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5FE1" w14:textId="7A98633E" w:rsidR="00527CBF" w:rsidRPr="006562D8" w:rsidRDefault="00385BAB" w:rsidP="00527CBF">
      <w:pPr>
        <w:pStyle w:val="1-MainHeading"/>
      </w:pPr>
      <w:bookmarkStart w:id="0" w:name="_Toc198725877"/>
      <w:r>
        <w:t>5.07</w:t>
      </w:r>
      <w:r w:rsidR="00527CBF" w:rsidRPr="006562D8">
        <w:tab/>
        <w:t>LENIOLISIB,</w:t>
      </w:r>
      <w:r w:rsidR="00527CBF" w:rsidRPr="006562D8">
        <w:br/>
      </w:r>
      <w:r w:rsidR="009A2F6B">
        <w:t>T</w:t>
      </w:r>
      <w:r w:rsidR="00527CBF" w:rsidRPr="006562D8">
        <w:t>ablet</w:t>
      </w:r>
      <w:r w:rsidR="001431EB">
        <w:t xml:space="preserve"> </w:t>
      </w:r>
      <w:r w:rsidR="00527CBF" w:rsidRPr="006562D8">
        <w:t>70 mg,</w:t>
      </w:r>
      <w:r w:rsidR="00527CBF" w:rsidRPr="006562D8">
        <w:br/>
        <w:t>Joenja</w:t>
      </w:r>
      <w:r w:rsidR="00527CBF" w:rsidRPr="006562D8">
        <w:rPr>
          <w:vertAlign w:val="superscript"/>
        </w:rPr>
        <w:t>®</w:t>
      </w:r>
      <w:r w:rsidR="00527CBF" w:rsidRPr="006562D8">
        <w:t>,</w:t>
      </w:r>
      <w:r w:rsidR="00527CBF" w:rsidRPr="006562D8">
        <w:br/>
        <w:t>Pharming Australia Pty Ltd</w:t>
      </w:r>
      <w:bookmarkEnd w:id="0"/>
    </w:p>
    <w:p w14:paraId="50C7F546" w14:textId="77777777" w:rsidR="00A4529D" w:rsidRPr="006562D8" w:rsidRDefault="00A4529D" w:rsidP="00A4529D">
      <w:pPr>
        <w:pStyle w:val="2-SectionHeading"/>
      </w:pPr>
      <w:bookmarkStart w:id="1" w:name="_Toc198725879"/>
      <w:r w:rsidRPr="006562D8">
        <w:t>Purpose of submission</w:t>
      </w:r>
      <w:bookmarkEnd w:id="1"/>
    </w:p>
    <w:p w14:paraId="22195FD7" w14:textId="4F3632C3" w:rsidR="00A4529D" w:rsidRPr="006562D8" w:rsidRDefault="00A4529D" w:rsidP="00A4529D">
      <w:pPr>
        <w:pStyle w:val="3-BodyText"/>
      </w:pPr>
      <w:r w:rsidRPr="006562D8">
        <w:t>The Category 1 submission requested listing of leniolisib on a Section 100 (Highly Specialised Drugs Program) Authority Required (Written) listing</w:t>
      </w:r>
      <w:r w:rsidR="008F6B59">
        <w:t xml:space="preserve"> </w:t>
      </w:r>
      <w:r w:rsidRPr="006562D8">
        <w:t xml:space="preserve">for the treatment of symptomatic activated phosphoinositide 3-kinase delta </w:t>
      </w:r>
      <w:r w:rsidR="00406947">
        <w:t>(</w:t>
      </w:r>
      <w:r w:rsidR="00406947" w:rsidRPr="006562D8">
        <w:t>PI3Kẟ</w:t>
      </w:r>
      <w:r w:rsidR="00406947">
        <w:t xml:space="preserve">) </w:t>
      </w:r>
      <w:r w:rsidRPr="006562D8">
        <w:t>syndrome (APDS) in adults and adolescents aged 12 years and older.</w:t>
      </w:r>
    </w:p>
    <w:p w14:paraId="427E73AD" w14:textId="0E64660D" w:rsidR="00A4529D" w:rsidRDefault="00A4529D" w:rsidP="00A4529D">
      <w:pPr>
        <w:pStyle w:val="3-BodyText"/>
      </w:pPr>
      <w:r w:rsidRPr="006562D8">
        <w:t>Listing was requested on the basis of a cost-effectiveness analysis versus standard of care (SoC). SoC refers to a range of treatment</w:t>
      </w:r>
      <w:r w:rsidR="00383DB8">
        <w:t>s</w:t>
      </w:r>
      <w:r w:rsidRPr="006562D8">
        <w:t xml:space="preserve"> currently used in Australia to manage symptoms of APDS.</w:t>
      </w:r>
    </w:p>
    <w:p w14:paraId="2165A33C" w14:textId="35FF4A03" w:rsidR="004C202A" w:rsidRPr="006562D8" w:rsidRDefault="004C202A" w:rsidP="00A4529D">
      <w:pPr>
        <w:pStyle w:val="3-BodyText"/>
      </w:pPr>
      <w:r w:rsidRPr="004C202A">
        <w:t xml:space="preserve">The submission </w:t>
      </w:r>
      <w:r w:rsidR="005703A2">
        <w:t>proposed leniolisib be</w:t>
      </w:r>
      <w:r w:rsidRPr="004C202A">
        <w:t xml:space="preserve"> consider</w:t>
      </w:r>
      <w:r w:rsidR="005703A2">
        <w:t>ed for</w:t>
      </w:r>
      <w:r w:rsidRPr="004C202A">
        <w:t xml:space="preserve"> listing </w:t>
      </w:r>
      <w:r w:rsidR="005703A2">
        <w:t xml:space="preserve">on either the PBS or </w:t>
      </w:r>
      <w:r w:rsidRPr="004C202A">
        <w:t>under the Life Savings Drugs Program (LSDP</w:t>
      </w:r>
      <w:r w:rsidR="005703A2">
        <w:t xml:space="preserve">). </w:t>
      </w:r>
      <w:r w:rsidRPr="004C202A">
        <w:t>The PBAC noted it does not make recommendations or give advice to the Minister about which drugs should be listed on the LSDP.</w:t>
      </w:r>
    </w:p>
    <w:p w14:paraId="08289303" w14:textId="1BB3C1EE" w:rsidR="00A4529D" w:rsidRPr="006562D8" w:rsidRDefault="00A4529D" w:rsidP="00A4529D">
      <w:pPr>
        <w:pStyle w:val="TableFigureHeading"/>
        <w:keepLines/>
        <w:rPr>
          <w:rStyle w:val="CommentReference"/>
          <w:b/>
          <w:szCs w:val="24"/>
        </w:rPr>
      </w:pPr>
      <w:bookmarkStart w:id="2" w:name="_Ref195993024"/>
      <w:r w:rsidRPr="006562D8">
        <w:lastRenderedPageBreak/>
        <w:t xml:space="preserve">Table </w:t>
      </w:r>
      <w:r w:rsidR="00C34379">
        <w:fldChar w:fldCharType="begin" w:fldLock="1"/>
      </w:r>
      <w:r w:rsidR="00C34379">
        <w:instrText xml:space="preserve"> SEQ Table \* ARABIC </w:instrText>
      </w:r>
      <w:r w:rsidR="00C34379">
        <w:fldChar w:fldCharType="separate"/>
      </w:r>
      <w:r w:rsidR="00C34379">
        <w:rPr>
          <w:noProof/>
        </w:rPr>
        <w:t>1</w:t>
      </w:r>
      <w:r w:rsidR="00C34379">
        <w:rPr>
          <w:noProof/>
        </w:rPr>
        <w:fldChar w:fldCharType="end"/>
      </w:r>
      <w:bookmarkEnd w:id="2"/>
      <w:r w:rsidRPr="006562D8">
        <w:t>:</w:t>
      </w:r>
      <w:r w:rsidRPr="006562D8">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able 1: Key components of the clinical issue addressed by the submission (as stated in the submission)"/>
      </w:tblPr>
      <w:tblGrid>
        <w:gridCol w:w="1668"/>
        <w:gridCol w:w="7488"/>
      </w:tblGrid>
      <w:tr w:rsidR="00A4529D" w:rsidRPr="00B130EF" w14:paraId="1FE3BE70" w14:textId="77777777" w:rsidTr="000B4467">
        <w:tc>
          <w:tcPr>
            <w:tcW w:w="1668" w:type="dxa"/>
            <w:vAlign w:val="center"/>
          </w:tcPr>
          <w:p w14:paraId="179C816E" w14:textId="77777777" w:rsidR="00A4529D" w:rsidRPr="00B130EF" w:rsidRDefault="00A4529D" w:rsidP="000B4467">
            <w:pPr>
              <w:pStyle w:val="In-tableHeading"/>
              <w:rPr>
                <w:lang w:val="en-AU"/>
              </w:rPr>
            </w:pPr>
            <w:r w:rsidRPr="00B130EF">
              <w:rPr>
                <w:lang w:val="en-AU"/>
              </w:rPr>
              <w:t>Component</w:t>
            </w:r>
          </w:p>
        </w:tc>
        <w:tc>
          <w:tcPr>
            <w:tcW w:w="7488" w:type="dxa"/>
            <w:vAlign w:val="center"/>
          </w:tcPr>
          <w:p w14:paraId="6A1E1A4C" w14:textId="77777777" w:rsidR="00A4529D" w:rsidRPr="00B130EF" w:rsidRDefault="00A4529D" w:rsidP="000B4467">
            <w:pPr>
              <w:pStyle w:val="In-tableHeading"/>
              <w:rPr>
                <w:lang w:val="en-AU"/>
              </w:rPr>
            </w:pPr>
            <w:r w:rsidRPr="00B130EF">
              <w:rPr>
                <w:lang w:val="en-AU"/>
              </w:rPr>
              <w:t>Description</w:t>
            </w:r>
          </w:p>
        </w:tc>
      </w:tr>
      <w:tr w:rsidR="00A4529D" w:rsidRPr="00B130EF" w14:paraId="6A192979" w14:textId="77777777" w:rsidTr="00AB53CD">
        <w:trPr>
          <w:trHeight w:val="393"/>
        </w:trPr>
        <w:tc>
          <w:tcPr>
            <w:tcW w:w="1668" w:type="dxa"/>
            <w:vAlign w:val="center"/>
          </w:tcPr>
          <w:p w14:paraId="7F0D8695" w14:textId="77777777" w:rsidR="00A4529D" w:rsidRPr="00B130EF" w:rsidRDefault="00A4529D" w:rsidP="000B4467">
            <w:pPr>
              <w:pStyle w:val="TableText0"/>
              <w:keepNext/>
              <w:keepLines/>
              <w:rPr>
                <w:lang w:val="en-AU"/>
              </w:rPr>
            </w:pPr>
            <w:r w:rsidRPr="00B130EF">
              <w:rPr>
                <w:lang w:val="en-AU"/>
              </w:rPr>
              <w:t>Population</w:t>
            </w:r>
          </w:p>
        </w:tc>
        <w:tc>
          <w:tcPr>
            <w:tcW w:w="7488" w:type="dxa"/>
            <w:vAlign w:val="center"/>
          </w:tcPr>
          <w:p w14:paraId="44F0EF4D" w14:textId="2BD818C5" w:rsidR="00A4529D" w:rsidRPr="00B130EF" w:rsidRDefault="00A4529D" w:rsidP="000B4467">
            <w:pPr>
              <w:pStyle w:val="TableText0"/>
              <w:keepNext/>
              <w:keepLines/>
              <w:rPr>
                <w:lang w:val="en-AU"/>
              </w:rPr>
            </w:pPr>
            <w:r w:rsidRPr="00B130EF">
              <w:rPr>
                <w:lang w:val="en-AU"/>
              </w:rPr>
              <w:t>Individuals with symptomatic</w:t>
            </w:r>
            <w:r w:rsidRPr="00B130EF">
              <w:rPr>
                <w:vertAlign w:val="superscript"/>
                <w:lang w:val="en-AU"/>
              </w:rPr>
              <w:t>a</w:t>
            </w:r>
            <w:r w:rsidRPr="00B130EF">
              <w:rPr>
                <w:lang w:val="en-AU"/>
              </w:rPr>
              <w:t xml:space="preserve"> activated phosphoinositide 3-kinase delta (PI3Kδ) syndrome (APDS) aged 12 years and over</w:t>
            </w:r>
          </w:p>
        </w:tc>
      </w:tr>
      <w:tr w:rsidR="00A4529D" w:rsidRPr="00B130EF" w14:paraId="3DDE0992" w14:textId="77777777" w:rsidTr="000B4467">
        <w:tc>
          <w:tcPr>
            <w:tcW w:w="1668" w:type="dxa"/>
            <w:vAlign w:val="center"/>
          </w:tcPr>
          <w:p w14:paraId="6258F241" w14:textId="77777777" w:rsidR="00A4529D" w:rsidRPr="00B130EF" w:rsidRDefault="00A4529D" w:rsidP="000B4467">
            <w:pPr>
              <w:pStyle w:val="TableText0"/>
              <w:keepNext/>
              <w:keepLines/>
              <w:rPr>
                <w:lang w:val="en-AU"/>
              </w:rPr>
            </w:pPr>
            <w:r w:rsidRPr="00B130EF">
              <w:rPr>
                <w:lang w:val="en-AU"/>
              </w:rPr>
              <w:t>Intervention</w:t>
            </w:r>
          </w:p>
        </w:tc>
        <w:tc>
          <w:tcPr>
            <w:tcW w:w="7488" w:type="dxa"/>
            <w:vAlign w:val="center"/>
          </w:tcPr>
          <w:p w14:paraId="095285A7" w14:textId="77777777" w:rsidR="00A4529D" w:rsidRPr="00B130EF" w:rsidRDefault="00A4529D" w:rsidP="000B4467">
            <w:pPr>
              <w:pStyle w:val="TableText0"/>
              <w:keepNext/>
              <w:keepLines/>
              <w:rPr>
                <w:lang w:val="en-AU"/>
              </w:rPr>
            </w:pPr>
            <w:r w:rsidRPr="00B130EF">
              <w:rPr>
                <w:lang w:val="en-AU"/>
              </w:rPr>
              <w:t>Leniolisib (70mg film-coated tablet for oral administration), BD plus standard of care</w:t>
            </w:r>
          </w:p>
        </w:tc>
      </w:tr>
      <w:tr w:rsidR="00A4529D" w:rsidRPr="00B130EF" w14:paraId="2A74C711" w14:textId="77777777" w:rsidTr="000B4467">
        <w:tc>
          <w:tcPr>
            <w:tcW w:w="1668" w:type="dxa"/>
            <w:vAlign w:val="center"/>
          </w:tcPr>
          <w:p w14:paraId="0A21FED5" w14:textId="77777777" w:rsidR="00A4529D" w:rsidRPr="00B130EF" w:rsidRDefault="00A4529D" w:rsidP="000B4467">
            <w:pPr>
              <w:pStyle w:val="TableText0"/>
              <w:keepNext/>
              <w:keepLines/>
              <w:rPr>
                <w:lang w:val="en-AU"/>
              </w:rPr>
            </w:pPr>
            <w:r w:rsidRPr="00B130EF">
              <w:rPr>
                <w:lang w:val="en-AU"/>
              </w:rPr>
              <w:t>Comparator</w:t>
            </w:r>
          </w:p>
        </w:tc>
        <w:tc>
          <w:tcPr>
            <w:tcW w:w="7488" w:type="dxa"/>
            <w:vAlign w:val="center"/>
          </w:tcPr>
          <w:p w14:paraId="5539EE38" w14:textId="77777777" w:rsidR="00A4529D" w:rsidRPr="00B130EF" w:rsidRDefault="00A4529D" w:rsidP="000B4467">
            <w:pPr>
              <w:pStyle w:val="TableText0"/>
              <w:keepNext/>
              <w:keepLines/>
              <w:rPr>
                <w:lang w:val="en-AU"/>
              </w:rPr>
            </w:pPr>
            <w:r w:rsidRPr="00B130EF">
              <w:rPr>
                <w:lang w:val="en-AU"/>
              </w:rPr>
              <w:t>Placebo/best supportive care (standard of care)</w:t>
            </w:r>
          </w:p>
        </w:tc>
      </w:tr>
      <w:tr w:rsidR="00A4529D" w:rsidRPr="00B130EF" w14:paraId="106BBC8C" w14:textId="77777777" w:rsidTr="000B4467">
        <w:tc>
          <w:tcPr>
            <w:tcW w:w="1668" w:type="dxa"/>
            <w:vAlign w:val="center"/>
          </w:tcPr>
          <w:p w14:paraId="5D05A028" w14:textId="77777777" w:rsidR="00A4529D" w:rsidRPr="00B130EF" w:rsidRDefault="00A4529D" w:rsidP="000B4467">
            <w:pPr>
              <w:pStyle w:val="TableText0"/>
              <w:keepNext/>
              <w:keepLines/>
              <w:rPr>
                <w:lang w:val="en-AU"/>
              </w:rPr>
            </w:pPr>
            <w:r w:rsidRPr="00B130EF">
              <w:rPr>
                <w:lang w:val="en-AU"/>
              </w:rPr>
              <w:t>Outcomes</w:t>
            </w:r>
          </w:p>
        </w:tc>
        <w:tc>
          <w:tcPr>
            <w:tcW w:w="7488" w:type="dxa"/>
            <w:vAlign w:val="center"/>
          </w:tcPr>
          <w:p w14:paraId="3BDDF539" w14:textId="77777777" w:rsidR="00A4529D" w:rsidRPr="00B130EF" w:rsidRDefault="00A4529D" w:rsidP="0022639C">
            <w:pPr>
              <w:pStyle w:val="TableText0"/>
              <w:keepNext/>
              <w:keepLines/>
              <w:numPr>
                <w:ilvl w:val="0"/>
                <w:numId w:val="9"/>
              </w:numPr>
              <w:rPr>
                <w:lang w:val="en-AU"/>
              </w:rPr>
            </w:pPr>
            <w:r w:rsidRPr="00B130EF">
              <w:rPr>
                <w:lang w:val="en-AU"/>
              </w:rPr>
              <w:t>Mortality</w:t>
            </w:r>
          </w:p>
          <w:p w14:paraId="4D156B9D" w14:textId="77777777" w:rsidR="00A4529D" w:rsidRPr="00B130EF" w:rsidRDefault="00A4529D" w:rsidP="0022639C">
            <w:pPr>
              <w:pStyle w:val="TableText0"/>
              <w:keepNext/>
              <w:keepLines/>
              <w:numPr>
                <w:ilvl w:val="0"/>
                <w:numId w:val="9"/>
              </w:numPr>
              <w:rPr>
                <w:lang w:val="en-AU"/>
              </w:rPr>
            </w:pPr>
            <w:r w:rsidRPr="00B130EF">
              <w:rPr>
                <w:lang w:val="en-AU"/>
              </w:rPr>
              <w:t>Malignancy (particularly lymphoma)</w:t>
            </w:r>
          </w:p>
          <w:p w14:paraId="49CE530E" w14:textId="77777777" w:rsidR="00A4529D" w:rsidRPr="00B130EF" w:rsidRDefault="00A4529D" w:rsidP="0022639C">
            <w:pPr>
              <w:pStyle w:val="TableText0"/>
              <w:keepNext/>
              <w:keepLines/>
              <w:numPr>
                <w:ilvl w:val="0"/>
                <w:numId w:val="9"/>
              </w:numPr>
              <w:rPr>
                <w:lang w:val="en-AU"/>
              </w:rPr>
            </w:pPr>
            <w:r w:rsidRPr="00B130EF">
              <w:rPr>
                <w:lang w:val="en-AU"/>
              </w:rPr>
              <w:t>(Advanced) lung disease, decline in lung function and recurrent pneumonia leading to bronchiectasis-associated airway disease</w:t>
            </w:r>
          </w:p>
          <w:p w14:paraId="0B5524F1" w14:textId="77777777" w:rsidR="00A4529D" w:rsidRPr="00B130EF" w:rsidRDefault="00A4529D" w:rsidP="0022639C">
            <w:pPr>
              <w:pStyle w:val="TableText0"/>
              <w:keepNext/>
              <w:keepLines/>
              <w:numPr>
                <w:ilvl w:val="0"/>
                <w:numId w:val="9"/>
              </w:numPr>
              <w:rPr>
                <w:lang w:val="en-AU"/>
              </w:rPr>
            </w:pPr>
            <w:r w:rsidRPr="00B130EF">
              <w:rPr>
                <w:lang w:val="en-AU"/>
              </w:rPr>
              <w:t>Infections causing frequent hospital admissions</w:t>
            </w:r>
          </w:p>
          <w:p w14:paraId="5C76F7C2" w14:textId="77777777" w:rsidR="00A4529D" w:rsidRPr="00B130EF" w:rsidRDefault="00A4529D" w:rsidP="0022639C">
            <w:pPr>
              <w:pStyle w:val="TableText0"/>
              <w:keepNext/>
              <w:keepLines/>
              <w:numPr>
                <w:ilvl w:val="0"/>
                <w:numId w:val="9"/>
              </w:numPr>
              <w:rPr>
                <w:lang w:val="en-AU"/>
              </w:rPr>
            </w:pPr>
            <w:r w:rsidRPr="00B130EF">
              <w:rPr>
                <w:lang w:val="en-AU"/>
              </w:rPr>
              <w:t>Lymphoproliferation</w:t>
            </w:r>
          </w:p>
          <w:p w14:paraId="5B0BAEE2" w14:textId="77777777" w:rsidR="00A4529D" w:rsidRPr="00B130EF" w:rsidRDefault="00A4529D" w:rsidP="0022639C">
            <w:pPr>
              <w:pStyle w:val="TableText0"/>
              <w:keepNext/>
              <w:keepLines/>
              <w:numPr>
                <w:ilvl w:val="0"/>
                <w:numId w:val="9"/>
              </w:numPr>
              <w:rPr>
                <w:lang w:val="en-AU"/>
              </w:rPr>
            </w:pPr>
            <w:r w:rsidRPr="00B130EF">
              <w:rPr>
                <w:lang w:val="en-AU"/>
              </w:rPr>
              <w:t>Gastrointestinal symptoms (resembling IBD)</w:t>
            </w:r>
          </w:p>
          <w:p w14:paraId="6A40F309" w14:textId="77777777" w:rsidR="00A4529D" w:rsidRPr="00B130EF" w:rsidRDefault="00A4529D" w:rsidP="0022639C">
            <w:pPr>
              <w:pStyle w:val="TableText0"/>
              <w:keepNext/>
              <w:keepLines/>
              <w:numPr>
                <w:ilvl w:val="0"/>
                <w:numId w:val="9"/>
              </w:numPr>
              <w:rPr>
                <w:lang w:val="en-AU"/>
              </w:rPr>
            </w:pPr>
            <w:r w:rsidRPr="00B130EF">
              <w:rPr>
                <w:lang w:val="en-AU"/>
              </w:rPr>
              <w:t>Hearing loss</w:t>
            </w:r>
          </w:p>
          <w:p w14:paraId="58B87F6D" w14:textId="77777777" w:rsidR="00A4529D" w:rsidRPr="00B130EF" w:rsidRDefault="00A4529D" w:rsidP="0022639C">
            <w:pPr>
              <w:pStyle w:val="TableText0"/>
              <w:keepNext/>
              <w:keepLines/>
              <w:numPr>
                <w:ilvl w:val="0"/>
                <w:numId w:val="9"/>
              </w:numPr>
              <w:rPr>
                <w:lang w:val="en-AU"/>
              </w:rPr>
            </w:pPr>
            <w:r w:rsidRPr="00B130EF">
              <w:rPr>
                <w:lang w:val="en-AU"/>
              </w:rPr>
              <w:t>Immune system function</w:t>
            </w:r>
          </w:p>
          <w:p w14:paraId="38FD6CAA" w14:textId="77777777" w:rsidR="00A4529D" w:rsidRPr="00B130EF" w:rsidRDefault="00A4529D" w:rsidP="0022639C">
            <w:pPr>
              <w:pStyle w:val="TableText0"/>
              <w:keepNext/>
              <w:keepLines/>
              <w:numPr>
                <w:ilvl w:val="0"/>
                <w:numId w:val="9"/>
              </w:numPr>
              <w:rPr>
                <w:lang w:val="en-AU"/>
              </w:rPr>
            </w:pPr>
            <w:r w:rsidRPr="00B130EF">
              <w:rPr>
                <w:lang w:val="en-AU"/>
              </w:rPr>
              <w:t>Immunophenotype measures (lymphocyte counts, cytopenia, immunoglobulin levels, cytokine and chemokine levels, use of IRT and antibiotics)</w:t>
            </w:r>
          </w:p>
          <w:p w14:paraId="6D3E7718" w14:textId="77777777" w:rsidR="00A4529D" w:rsidRPr="00B130EF" w:rsidRDefault="00A4529D" w:rsidP="0022639C">
            <w:pPr>
              <w:pStyle w:val="TableText0"/>
              <w:keepNext/>
              <w:keepLines/>
              <w:numPr>
                <w:ilvl w:val="0"/>
                <w:numId w:val="9"/>
              </w:numPr>
              <w:rPr>
                <w:lang w:val="en-AU"/>
              </w:rPr>
            </w:pPr>
            <w:r w:rsidRPr="00B130EF">
              <w:rPr>
                <w:lang w:val="en-AU"/>
              </w:rPr>
              <w:t>Lymph node size, spleen and liver volume size</w:t>
            </w:r>
          </w:p>
        </w:tc>
      </w:tr>
      <w:tr w:rsidR="00A4529D" w:rsidRPr="00B130EF" w14:paraId="0AA169D7" w14:textId="77777777" w:rsidTr="000B4467">
        <w:tc>
          <w:tcPr>
            <w:tcW w:w="1668" w:type="dxa"/>
            <w:vAlign w:val="center"/>
          </w:tcPr>
          <w:p w14:paraId="102CFED6" w14:textId="77777777" w:rsidR="00A4529D" w:rsidRPr="00B130EF" w:rsidRDefault="00A4529D" w:rsidP="000B4467">
            <w:pPr>
              <w:pStyle w:val="TableText0"/>
              <w:keepNext/>
              <w:keepLines/>
              <w:rPr>
                <w:lang w:val="en-AU"/>
              </w:rPr>
            </w:pPr>
            <w:r w:rsidRPr="00B130EF">
              <w:rPr>
                <w:lang w:val="en-AU"/>
              </w:rPr>
              <w:t>Clinical claim</w:t>
            </w:r>
          </w:p>
        </w:tc>
        <w:tc>
          <w:tcPr>
            <w:tcW w:w="7488" w:type="dxa"/>
            <w:vAlign w:val="center"/>
          </w:tcPr>
          <w:p w14:paraId="2938FF28" w14:textId="77777777" w:rsidR="00A4529D" w:rsidRPr="00B130EF" w:rsidRDefault="00A4529D" w:rsidP="000B4467">
            <w:pPr>
              <w:pStyle w:val="TableText0"/>
              <w:keepNext/>
              <w:keepLines/>
              <w:rPr>
                <w:lang w:val="en-AU"/>
              </w:rPr>
            </w:pPr>
            <w:r w:rsidRPr="00B130EF">
              <w:rPr>
                <w:lang w:val="en-AU"/>
              </w:rPr>
              <w:t>Leniolisib has superior efficacy and non-inferior safety relative to standard of care</w:t>
            </w:r>
          </w:p>
        </w:tc>
      </w:tr>
    </w:tbl>
    <w:p w14:paraId="6D661B72" w14:textId="77777777" w:rsidR="00A4529D" w:rsidRPr="006562D8" w:rsidRDefault="00A4529D" w:rsidP="00A4529D">
      <w:pPr>
        <w:pStyle w:val="TableFigureFooter"/>
        <w:keepNext/>
        <w:rPr>
          <w:lang w:val="en-AU"/>
        </w:rPr>
      </w:pPr>
      <w:r w:rsidRPr="006562D8">
        <w:rPr>
          <w:lang w:val="en-AU"/>
        </w:rPr>
        <w:t>APDS = activated phosphoinositide 3-kinase delta (PI3Kδ) syndrome; BD = twice daily; IBD = inflammatory bowel disease; IRT = immunoglobulin replacement therapy; mTOR = mammalian target of rapamycin; PI3Kδ = phosphoinositide 3-kinase delta</w:t>
      </w:r>
    </w:p>
    <w:p w14:paraId="0137C30D" w14:textId="22B3F41F" w:rsidR="00A4529D" w:rsidRPr="006562D8" w:rsidRDefault="00A4529D" w:rsidP="00A4529D">
      <w:pPr>
        <w:pStyle w:val="TableFigureFooter"/>
        <w:keepNext/>
        <w:rPr>
          <w:lang w:val="en-AU"/>
        </w:rPr>
      </w:pPr>
      <w:r w:rsidRPr="00FF551F">
        <w:rPr>
          <w:vertAlign w:val="superscript"/>
          <w:lang w:val="en-AU"/>
        </w:rPr>
        <w:t>a</w:t>
      </w:r>
      <w:r w:rsidRPr="006562D8">
        <w:rPr>
          <w:lang w:val="en-AU"/>
        </w:rPr>
        <w:t xml:space="preserve"> Symptomatic is defined a demonstrated mutation in either the </w:t>
      </w:r>
      <w:r w:rsidRPr="006562D8">
        <w:rPr>
          <w:i/>
          <w:iCs/>
          <w:lang w:val="en-AU"/>
        </w:rPr>
        <w:t>PIK3CD</w:t>
      </w:r>
      <w:r w:rsidRPr="006562D8">
        <w:rPr>
          <w:lang w:val="en-AU"/>
        </w:rPr>
        <w:t xml:space="preserve"> or </w:t>
      </w:r>
      <w:r w:rsidRPr="006562D8">
        <w:rPr>
          <w:i/>
          <w:iCs/>
          <w:lang w:val="en-AU"/>
        </w:rPr>
        <w:t>PIK3R1</w:t>
      </w:r>
      <w:r w:rsidRPr="006562D8">
        <w:rPr>
          <w:lang w:val="en-AU"/>
        </w:rPr>
        <w:t xml:space="preserve"> genes associated with APDS and having documented APDS associated symptoms or have been receiving any form of intervention to manage APDS (eg prophylactic antibiotics, IRT, mTOR inhibitors, immunosuppressive therapies). The purpose of this restriction is to exclude those people who are asymptomatic carriers.</w:t>
      </w:r>
    </w:p>
    <w:p w14:paraId="3B2B43C9" w14:textId="77777777" w:rsidR="00A4529D" w:rsidRPr="006562D8" w:rsidRDefault="00A4529D" w:rsidP="00A4529D">
      <w:pPr>
        <w:pStyle w:val="TableFigureFooter"/>
        <w:keepNext/>
        <w:rPr>
          <w:lang w:val="en-AU"/>
        </w:rPr>
      </w:pPr>
      <w:r w:rsidRPr="006562D8">
        <w:rPr>
          <w:lang w:val="en-AU"/>
        </w:rPr>
        <w:t>Source: Table 1.1, p25 of the submission.</w:t>
      </w:r>
    </w:p>
    <w:p w14:paraId="05D43D35" w14:textId="77777777" w:rsidR="00A4529D" w:rsidRPr="006562D8" w:rsidRDefault="00A4529D" w:rsidP="00A4529D">
      <w:pPr>
        <w:pStyle w:val="2-SectionHeading"/>
      </w:pPr>
      <w:bookmarkStart w:id="3" w:name="_Toc198725880"/>
      <w:r w:rsidRPr="006562D8">
        <w:t>Background</w:t>
      </w:r>
      <w:bookmarkEnd w:id="3"/>
    </w:p>
    <w:p w14:paraId="3A3CBCCC" w14:textId="77777777" w:rsidR="00A4529D" w:rsidRPr="006562D8" w:rsidRDefault="00A4529D" w:rsidP="00A4529D">
      <w:pPr>
        <w:pStyle w:val="4-SubsectionHeading"/>
      </w:pPr>
      <w:bookmarkStart w:id="4" w:name="_Toc198725881"/>
      <w:r w:rsidRPr="006562D8">
        <w:t>Registration status</w:t>
      </w:r>
      <w:bookmarkEnd w:id="4"/>
    </w:p>
    <w:p w14:paraId="4723ADD5" w14:textId="77777777" w:rsidR="00A4529D" w:rsidRPr="006562D8" w:rsidRDefault="00A4529D" w:rsidP="00A4529D">
      <w:pPr>
        <w:pStyle w:val="3-BodyText"/>
      </w:pPr>
      <w:r w:rsidRPr="006562D8">
        <w:t>Leniolisib was TGA registered on 18 March 2025 for the treatment of APDS in adults and adolescents 12 years of age and older.</w:t>
      </w:r>
    </w:p>
    <w:p w14:paraId="3ED0A869" w14:textId="77777777" w:rsidR="00A4529D" w:rsidRPr="006562D8" w:rsidRDefault="00A4529D" w:rsidP="00A4529D">
      <w:pPr>
        <w:pStyle w:val="2-SectionHeading"/>
      </w:pPr>
      <w:bookmarkStart w:id="5" w:name="_Toc198725882"/>
      <w:r w:rsidRPr="006562D8">
        <w:t>Requested listing</w:t>
      </w:r>
      <w:bookmarkEnd w:id="5"/>
    </w:p>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0"/>
        <w:gridCol w:w="2797"/>
        <w:gridCol w:w="979"/>
        <w:gridCol w:w="979"/>
        <w:gridCol w:w="700"/>
        <w:gridCol w:w="1558"/>
      </w:tblGrid>
      <w:tr w:rsidR="009E7FA3" w:rsidRPr="0056388D" w14:paraId="048F918A" w14:textId="77777777" w:rsidTr="00571568">
        <w:trPr>
          <w:cantSplit/>
          <w:trHeight w:val="20"/>
        </w:trPr>
        <w:tc>
          <w:tcPr>
            <w:tcW w:w="2127" w:type="dxa"/>
            <w:vAlign w:val="center"/>
          </w:tcPr>
          <w:p w14:paraId="7E1DCFC8" w14:textId="77777777" w:rsidR="0020118D" w:rsidRPr="0056388D" w:rsidRDefault="0020118D" w:rsidP="0056388D">
            <w:pPr>
              <w:pStyle w:val="In-tableHeading"/>
            </w:pPr>
            <w:r w:rsidRPr="0056388D">
              <w:t>MEDICINAL PRODUCT</w:t>
            </w:r>
          </w:p>
          <w:p w14:paraId="58B937C5" w14:textId="77777777" w:rsidR="0020118D" w:rsidRPr="0056388D" w:rsidRDefault="0020118D" w:rsidP="0056388D">
            <w:pPr>
              <w:pStyle w:val="In-tableHeading"/>
            </w:pPr>
            <w:r w:rsidRPr="0056388D">
              <w:t>medicinal product pack</w:t>
            </w:r>
          </w:p>
        </w:tc>
        <w:tc>
          <w:tcPr>
            <w:tcW w:w="2835" w:type="dxa"/>
            <w:vAlign w:val="center"/>
          </w:tcPr>
          <w:p w14:paraId="549D742E" w14:textId="77777777" w:rsidR="0020118D" w:rsidRPr="0056388D" w:rsidRDefault="0020118D" w:rsidP="0056388D">
            <w:pPr>
              <w:pStyle w:val="In-tableHeading"/>
            </w:pPr>
            <w:r w:rsidRPr="0056388D">
              <w:t xml:space="preserve">Dispensed Price for Max. Qty </w:t>
            </w:r>
          </w:p>
        </w:tc>
        <w:tc>
          <w:tcPr>
            <w:tcW w:w="992" w:type="dxa"/>
            <w:vAlign w:val="center"/>
          </w:tcPr>
          <w:p w14:paraId="377EECF7" w14:textId="77777777" w:rsidR="0020118D" w:rsidRPr="0056388D" w:rsidRDefault="0020118D" w:rsidP="0056388D">
            <w:pPr>
              <w:pStyle w:val="In-tableHeading"/>
            </w:pPr>
            <w:r w:rsidRPr="0056388D">
              <w:t>Max. qty packs</w:t>
            </w:r>
          </w:p>
        </w:tc>
        <w:tc>
          <w:tcPr>
            <w:tcW w:w="992" w:type="dxa"/>
            <w:vAlign w:val="center"/>
          </w:tcPr>
          <w:p w14:paraId="1B559AEC" w14:textId="77777777" w:rsidR="0020118D" w:rsidRPr="0056388D" w:rsidRDefault="0020118D" w:rsidP="0056388D">
            <w:pPr>
              <w:pStyle w:val="In-tableHeading"/>
            </w:pPr>
            <w:r w:rsidRPr="0056388D">
              <w:t>Max. qty units</w:t>
            </w:r>
          </w:p>
        </w:tc>
        <w:tc>
          <w:tcPr>
            <w:tcW w:w="709" w:type="dxa"/>
            <w:vAlign w:val="center"/>
          </w:tcPr>
          <w:p w14:paraId="3E250562" w14:textId="635541D9" w:rsidR="0020118D" w:rsidRPr="0056388D" w:rsidRDefault="00EB1ACE" w:rsidP="0056388D">
            <w:pPr>
              <w:pStyle w:val="In-tableHeading"/>
            </w:pPr>
            <w:r w:rsidRPr="0056388D">
              <w:t>№. of</w:t>
            </w:r>
          </w:p>
          <w:p w14:paraId="2D4C5C8A" w14:textId="77777777" w:rsidR="0020118D" w:rsidRPr="0056388D" w:rsidRDefault="0020118D" w:rsidP="0056388D">
            <w:pPr>
              <w:pStyle w:val="In-tableHeading"/>
            </w:pPr>
            <w:r w:rsidRPr="0056388D">
              <w:t>Rpts</w:t>
            </w:r>
          </w:p>
        </w:tc>
        <w:tc>
          <w:tcPr>
            <w:tcW w:w="1579" w:type="dxa"/>
            <w:vAlign w:val="center"/>
          </w:tcPr>
          <w:p w14:paraId="6586EF19" w14:textId="77777777" w:rsidR="0020118D" w:rsidRPr="0056388D" w:rsidRDefault="0020118D" w:rsidP="0056388D">
            <w:pPr>
              <w:pStyle w:val="In-tableHeading"/>
            </w:pPr>
            <w:r w:rsidRPr="0056388D">
              <w:t>Available brands</w:t>
            </w:r>
          </w:p>
        </w:tc>
      </w:tr>
      <w:tr w:rsidR="009E7FA3" w:rsidRPr="006562D8" w14:paraId="2C452A49" w14:textId="77777777" w:rsidTr="00571568">
        <w:trPr>
          <w:cantSplit/>
          <w:trHeight w:val="20"/>
        </w:trPr>
        <w:tc>
          <w:tcPr>
            <w:tcW w:w="9234" w:type="dxa"/>
            <w:gridSpan w:val="6"/>
            <w:vAlign w:val="center"/>
          </w:tcPr>
          <w:p w14:paraId="12CF0D7D" w14:textId="77777777" w:rsidR="0020118D" w:rsidRPr="006562D8" w:rsidRDefault="0020118D" w:rsidP="00747743">
            <w:pPr>
              <w:pStyle w:val="TableText0"/>
              <w:keepNext/>
              <w:keepLines/>
              <w:rPr>
                <w:rFonts w:cs="Arial"/>
                <w:szCs w:val="20"/>
                <w:lang w:val="en-AU"/>
              </w:rPr>
            </w:pPr>
            <w:r w:rsidRPr="006562D8">
              <w:rPr>
                <w:lang w:val="en-AU"/>
              </w:rPr>
              <w:t>LENIOLISIB</w:t>
            </w:r>
          </w:p>
        </w:tc>
      </w:tr>
      <w:tr w:rsidR="009E7FA3" w:rsidRPr="006562D8" w14:paraId="7E20E5E1" w14:textId="77777777" w:rsidTr="00571568">
        <w:trPr>
          <w:cantSplit/>
          <w:trHeight w:val="20"/>
        </w:trPr>
        <w:tc>
          <w:tcPr>
            <w:tcW w:w="2127" w:type="dxa"/>
            <w:vAlign w:val="center"/>
          </w:tcPr>
          <w:p w14:paraId="7473FCFF" w14:textId="77777777" w:rsidR="0020118D" w:rsidRPr="006562D8" w:rsidRDefault="0020118D" w:rsidP="00747743">
            <w:pPr>
              <w:pStyle w:val="TableText0"/>
              <w:keepNext/>
              <w:keepLines/>
              <w:rPr>
                <w:szCs w:val="20"/>
                <w:lang w:val="en-AU"/>
              </w:rPr>
            </w:pPr>
            <w:r w:rsidRPr="006562D8">
              <w:rPr>
                <w:lang w:val="en-AU"/>
              </w:rPr>
              <w:t>Leniolisib, 70mg, tablet for oral administration</w:t>
            </w:r>
          </w:p>
        </w:tc>
        <w:tc>
          <w:tcPr>
            <w:tcW w:w="2835" w:type="dxa"/>
            <w:vAlign w:val="center"/>
          </w:tcPr>
          <w:p w14:paraId="20BDB19C" w14:textId="6188E490" w:rsidR="0020118D" w:rsidRPr="006562D8" w:rsidRDefault="0020118D" w:rsidP="00747743">
            <w:pPr>
              <w:pStyle w:val="TableText0"/>
              <w:keepNext/>
              <w:keepLines/>
              <w:rPr>
                <w:lang w:val="en-AU"/>
              </w:rPr>
            </w:pPr>
            <w:r w:rsidRPr="006562D8">
              <w:rPr>
                <w:lang w:val="en-AU"/>
              </w:rPr>
              <w:t>$</w:t>
            </w:r>
            <w:r w:rsidR="001F60D7" w:rsidRPr="001F60D7">
              <w:rPr>
                <w:spacing w:val="51"/>
                <w:szCs w:val="20"/>
                <w:shd w:val="solid" w:color="000000" w:fill="000000"/>
                <w:fitText w:val="324" w:id="-629967616"/>
                <w:lang w:val="en-AU"/>
                <w14:textFill>
                  <w14:solidFill>
                    <w14:schemeClr w14:val="tx1">
                      <w14:alpha w14:val="100000"/>
                    </w14:schemeClr>
                  </w14:solidFill>
                </w14:textFill>
              </w:rPr>
              <w:t>|||</w:t>
            </w:r>
            <w:r w:rsidR="001F60D7" w:rsidRPr="001F60D7">
              <w:rPr>
                <w:spacing w:val="1"/>
                <w:szCs w:val="20"/>
                <w:shd w:val="solid" w:color="000000" w:fill="000000"/>
                <w:fitText w:val="324" w:id="-629967616"/>
                <w:lang w:val="en-AU"/>
                <w14:textFill>
                  <w14:solidFill>
                    <w14:schemeClr w14:val="tx1">
                      <w14:alpha w14:val="100000"/>
                    </w14:schemeClr>
                  </w14:solidFill>
                </w14:textFill>
              </w:rPr>
              <w:t>|</w:t>
            </w:r>
            <w:r w:rsidRPr="006562D8">
              <w:rPr>
                <w:lang w:val="en-AU"/>
              </w:rPr>
              <w:t>published price</w:t>
            </w:r>
          </w:p>
          <w:p w14:paraId="28536199" w14:textId="3D124044" w:rsidR="0020118D" w:rsidRPr="006562D8" w:rsidRDefault="0020118D" w:rsidP="00747743">
            <w:pPr>
              <w:pStyle w:val="TableText0"/>
              <w:keepNext/>
              <w:keepLines/>
              <w:rPr>
                <w:lang w:val="en-AU"/>
              </w:rPr>
            </w:pPr>
            <w:r w:rsidRPr="006562D8">
              <w:rPr>
                <w:lang w:val="en-AU"/>
              </w:rPr>
              <w:t>$</w:t>
            </w:r>
            <w:r w:rsidR="001F60D7" w:rsidRPr="005D75EA">
              <w:rPr>
                <w:spacing w:val="51"/>
                <w:shd w:val="solid" w:color="000000" w:fill="000000"/>
                <w:fitText w:val="324" w:id="-629967615"/>
                <w:lang w:val="en-AU"/>
                <w14:textFill>
                  <w14:solidFill>
                    <w14:schemeClr w14:val="tx1">
                      <w14:alpha w14:val="100000"/>
                    </w14:schemeClr>
                  </w14:solidFill>
                </w14:textFill>
              </w:rPr>
              <w:t>|||</w:t>
            </w:r>
            <w:r w:rsidR="001F60D7" w:rsidRPr="005D75EA">
              <w:rPr>
                <w:spacing w:val="1"/>
                <w:shd w:val="solid" w:color="000000" w:fill="000000"/>
                <w:fitText w:val="324" w:id="-629967615"/>
                <w:lang w:val="en-AU"/>
                <w14:textFill>
                  <w14:solidFill>
                    <w14:schemeClr w14:val="tx1">
                      <w14:alpha w14:val="100000"/>
                    </w14:schemeClr>
                  </w14:solidFill>
                </w14:textFill>
              </w:rPr>
              <w:t>|</w:t>
            </w:r>
            <w:r w:rsidRPr="006562D8">
              <w:rPr>
                <w:lang w:val="en-AU"/>
              </w:rPr>
              <w:t xml:space="preserve"> effective price</w:t>
            </w:r>
            <w:r w:rsidR="00A41D56">
              <w:rPr>
                <w:lang w:val="en-AU"/>
              </w:rPr>
              <w:t xml:space="preserve"> (Public Hospital)</w:t>
            </w:r>
          </w:p>
        </w:tc>
        <w:tc>
          <w:tcPr>
            <w:tcW w:w="992" w:type="dxa"/>
            <w:vAlign w:val="center"/>
          </w:tcPr>
          <w:p w14:paraId="21D3FFB4" w14:textId="77777777" w:rsidR="0020118D" w:rsidRPr="006562D8" w:rsidRDefault="0020118D" w:rsidP="00747743">
            <w:pPr>
              <w:keepNext/>
              <w:keepLines/>
              <w:jc w:val="center"/>
              <w:rPr>
                <w:rFonts w:ascii="Arial Narrow" w:hAnsi="Arial Narrow"/>
                <w:sz w:val="20"/>
                <w:szCs w:val="20"/>
              </w:rPr>
            </w:pPr>
            <w:r w:rsidRPr="006562D8">
              <w:rPr>
                <w:rFonts w:ascii="Arial Narrow" w:hAnsi="Arial Narrow"/>
                <w:sz w:val="20"/>
              </w:rPr>
              <w:t>1</w:t>
            </w:r>
          </w:p>
        </w:tc>
        <w:tc>
          <w:tcPr>
            <w:tcW w:w="992" w:type="dxa"/>
            <w:vAlign w:val="center"/>
          </w:tcPr>
          <w:p w14:paraId="5D055D0D" w14:textId="77777777" w:rsidR="0020118D" w:rsidRPr="006562D8" w:rsidRDefault="0020118D" w:rsidP="00747743">
            <w:pPr>
              <w:keepNext/>
              <w:keepLines/>
              <w:jc w:val="center"/>
              <w:rPr>
                <w:rFonts w:ascii="Arial Narrow" w:hAnsi="Arial Narrow"/>
                <w:sz w:val="20"/>
                <w:szCs w:val="20"/>
              </w:rPr>
            </w:pPr>
            <w:r w:rsidRPr="006562D8">
              <w:rPr>
                <w:rFonts w:ascii="Arial Narrow" w:hAnsi="Arial Narrow"/>
                <w:sz w:val="20"/>
              </w:rPr>
              <w:t>60</w:t>
            </w:r>
          </w:p>
        </w:tc>
        <w:tc>
          <w:tcPr>
            <w:tcW w:w="709" w:type="dxa"/>
            <w:vAlign w:val="center"/>
          </w:tcPr>
          <w:p w14:paraId="31CFB28F" w14:textId="77777777" w:rsidR="0020118D" w:rsidRPr="006562D8" w:rsidRDefault="0020118D" w:rsidP="00747743">
            <w:pPr>
              <w:keepNext/>
              <w:keepLines/>
              <w:jc w:val="center"/>
              <w:rPr>
                <w:rFonts w:ascii="Arial Narrow" w:hAnsi="Arial Narrow"/>
                <w:sz w:val="20"/>
                <w:szCs w:val="20"/>
              </w:rPr>
            </w:pPr>
            <w:r w:rsidRPr="006562D8">
              <w:rPr>
                <w:rFonts w:ascii="Arial Narrow" w:hAnsi="Arial Narrow"/>
                <w:sz w:val="20"/>
              </w:rPr>
              <w:t>5</w:t>
            </w:r>
          </w:p>
        </w:tc>
        <w:tc>
          <w:tcPr>
            <w:tcW w:w="1579" w:type="dxa"/>
            <w:vAlign w:val="center"/>
          </w:tcPr>
          <w:p w14:paraId="0801F4F0" w14:textId="77777777" w:rsidR="0020118D" w:rsidRPr="006562D8" w:rsidRDefault="0020118D" w:rsidP="00747743">
            <w:pPr>
              <w:keepNext/>
              <w:keepLines/>
              <w:rPr>
                <w:rFonts w:ascii="Arial Narrow" w:hAnsi="Arial Narrow"/>
                <w:sz w:val="20"/>
                <w:szCs w:val="20"/>
              </w:rPr>
            </w:pPr>
            <w:r w:rsidRPr="006562D8">
              <w:rPr>
                <w:rFonts w:ascii="Arial Narrow" w:hAnsi="Arial Narrow"/>
                <w:sz w:val="20"/>
                <w:szCs w:val="20"/>
              </w:rPr>
              <w:t>Joenja</w:t>
            </w:r>
          </w:p>
          <w:p w14:paraId="4E1E5E9F" w14:textId="77777777" w:rsidR="0020118D" w:rsidRPr="006562D8" w:rsidRDefault="0020118D" w:rsidP="00747743">
            <w:pPr>
              <w:keepNext/>
              <w:keepLines/>
              <w:rPr>
                <w:rFonts w:ascii="Arial Narrow" w:hAnsi="Arial Narrow"/>
                <w:sz w:val="20"/>
                <w:szCs w:val="20"/>
              </w:rPr>
            </w:pPr>
            <w:r w:rsidRPr="006562D8">
              <w:rPr>
                <w:rFonts w:ascii="Arial Narrow" w:hAnsi="Arial Narrow"/>
                <w:sz w:val="20"/>
                <w:szCs w:val="20"/>
              </w:rPr>
              <w:t>Pharming Technologies BV</w:t>
            </w:r>
          </w:p>
        </w:tc>
      </w:tr>
    </w:tbl>
    <w:p w14:paraId="4F1FED10" w14:textId="77777777" w:rsidR="0020118D" w:rsidRPr="006562D8" w:rsidRDefault="0020118D" w:rsidP="0020118D">
      <w:pPr>
        <w:pStyle w:val="TableFigureFooter"/>
        <w:rPr>
          <w:lang w:val="en-AU"/>
        </w:rPr>
      </w:pPr>
      <w:r w:rsidRPr="006562D8">
        <w:rPr>
          <w:lang w:val="en-AU"/>
        </w:rPr>
        <w:t>Source: Table 1.6, p59 of the submission.</w:t>
      </w:r>
    </w:p>
    <w:p w14:paraId="16D65043" w14:textId="77777777" w:rsidR="0020118D" w:rsidRPr="006562D8" w:rsidRDefault="0020118D" w:rsidP="0020118D">
      <w:pPr>
        <w:pStyle w:val="3-BodyText"/>
        <w:numPr>
          <w:ilvl w:val="0"/>
          <w:numId w:val="0"/>
        </w:num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Requested listing - initiation"/>
      </w:tblPr>
      <w:tblGrid>
        <w:gridCol w:w="8900"/>
      </w:tblGrid>
      <w:tr w:rsidR="0020118D" w:rsidRPr="006562D8" w14:paraId="2C5E1F3E" w14:textId="77777777" w:rsidTr="00747743">
        <w:trPr>
          <w:cantSplit/>
          <w:trHeight w:val="20"/>
        </w:trPr>
        <w:tc>
          <w:tcPr>
            <w:tcW w:w="5000" w:type="pct"/>
          </w:tcPr>
          <w:p w14:paraId="36D1DED3" w14:textId="77777777" w:rsidR="0020118D" w:rsidRPr="006562D8" w:rsidRDefault="0020118D" w:rsidP="00747743">
            <w:pPr>
              <w:pStyle w:val="TableText0"/>
              <w:keepNext/>
              <w:keepLines/>
              <w:rPr>
                <w:lang w:val="en-AU"/>
              </w:rPr>
            </w:pPr>
            <w:r w:rsidRPr="006562D8">
              <w:rPr>
                <w:b/>
                <w:lang w:val="en-AU"/>
              </w:rPr>
              <w:lastRenderedPageBreak/>
              <w:t xml:space="preserve">Category / Program: </w:t>
            </w:r>
            <w:r w:rsidRPr="006562D8">
              <w:rPr>
                <w:lang w:val="en-AU"/>
              </w:rPr>
              <w:t>Section 100 (HSD Program); Life Saving Drugs Program</w:t>
            </w:r>
          </w:p>
        </w:tc>
      </w:tr>
      <w:tr w:rsidR="0020118D" w:rsidRPr="006562D8" w14:paraId="2CFFA6B6" w14:textId="77777777" w:rsidTr="00747743">
        <w:trPr>
          <w:cantSplit/>
          <w:trHeight w:val="20"/>
        </w:trPr>
        <w:tc>
          <w:tcPr>
            <w:tcW w:w="5000" w:type="pct"/>
          </w:tcPr>
          <w:p w14:paraId="31E15827" w14:textId="77777777" w:rsidR="0020118D" w:rsidRPr="006562D8" w:rsidRDefault="0020118D" w:rsidP="00747743">
            <w:pPr>
              <w:pStyle w:val="TableText0"/>
              <w:keepNext/>
              <w:keepLines/>
              <w:rPr>
                <w:b/>
                <w:lang w:val="en-AU"/>
              </w:rPr>
            </w:pPr>
            <w:r w:rsidRPr="006562D8">
              <w:rPr>
                <w:b/>
                <w:lang w:val="en-AU"/>
              </w:rPr>
              <w:t xml:space="preserve">Prescriber type: </w:t>
            </w:r>
            <w:r w:rsidRPr="006562D8">
              <w:rPr>
                <w:lang w:val="en-AU"/>
              </w:rPr>
              <w:fldChar w:fldCharType="begin" w:fldLock="1">
                <w:ffData>
                  <w:name w:val="Check1"/>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Dental </w:t>
            </w:r>
            <w:r w:rsidRPr="006562D8">
              <w:rPr>
                <w:lang w:val="en-AU"/>
              </w:rPr>
              <w:fldChar w:fldCharType="begin" w:fldLock="1">
                <w:ffData>
                  <w:name w:val=""/>
                  <w:enabled/>
                  <w:calcOnExit w:val="0"/>
                  <w:checkBox>
                    <w:sizeAuto/>
                    <w:default w:val="1"/>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Medical Practitioners </w:t>
            </w:r>
            <w:r w:rsidRPr="006562D8">
              <w:rPr>
                <w:lang w:val="en-AU"/>
              </w:rPr>
              <w:fldChar w:fldCharType="begin" w:fldLock="1">
                <w:ffData>
                  <w:name w:val="Check3"/>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Nurse practitioners </w:t>
            </w:r>
            <w:r w:rsidRPr="006562D8">
              <w:rPr>
                <w:lang w:val="en-AU"/>
              </w:rPr>
              <w:fldChar w:fldCharType="begin" w:fldLock="1">
                <w:ffData>
                  <w:name w:val=""/>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Optometrists </w:t>
            </w:r>
          </w:p>
        </w:tc>
      </w:tr>
      <w:tr w:rsidR="0020118D" w:rsidRPr="006562D8" w14:paraId="1A8554B8" w14:textId="77777777" w:rsidTr="00747743">
        <w:trPr>
          <w:cantSplit/>
          <w:trHeight w:val="20"/>
        </w:trPr>
        <w:tc>
          <w:tcPr>
            <w:tcW w:w="5000" w:type="pct"/>
          </w:tcPr>
          <w:p w14:paraId="66AB6616" w14:textId="77777777" w:rsidR="0020118D" w:rsidRPr="006562D8" w:rsidRDefault="0020118D" w:rsidP="00747743">
            <w:pPr>
              <w:pStyle w:val="TableText0"/>
              <w:keepNext/>
              <w:keepLines/>
              <w:rPr>
                <w:lang w:val="en-AU"/>
              </w:rPr>
            </w:pPr>
            <w:r w:rsidRPr="006562D8">
              <w:rPr>
                <w:lang w:val="en-AU"/>
              </w:rPr>
              <w:t xml:space="preserve">Restriction type: </w:t>
            </w:r>
          </w:p>
          <w:p w14:paraId="58784F41" w14:textId="77777777" w:rsidR="0020118D" w:rsidRPr="006562D8" w:rsidRDefault="0020118D" w:rsidP="00747743">
            <w:pPr>
              <w:pStyle w:val="TableText0"/>
              <w:keepNext/>
              <w:keepLines/>
              <w:rPr>
                <w:lang w:val="en-AU"/>
              </w:rPr>
            </w:pPr>
            <w:r w:rsidRPr="006562D8">
              <w:rPr>
                <w:lang w:val="en-AU"/>
              </w:rPr>
              <w:fldChar w:fldCharType="begin" w:fldLock="1">
                <w:ffData>
                  <w:name w:val=""/>
                  <w:enabled/>
                  <w:calcOnExit w:val="0"/>
                  <w:checkBox>
                    <w:sizeAuto/>
                    <w:default w:val="1"/>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Authority Required (in writing only via post/HPOS upload)*</w:t>
            </w:r>
          </w:p>
        </w:tc>
      </w:tr>
      <w:tr w:rsidR="0020118D" w:rsidRPr="006562D8" w14:paraId="64AE50F9" w14:textId="77777777" w:rsidTr="00747743">
        <w:trPr>
          <w:cantSplit/>
          <w:trHeight w:val="20"/>
        </w:trPr>
        <w:tc>
          <w:tcPr>
            <w:tcW w:w="5000" w:type="pct"/>
            <w:vAlign w:val="center"/>
            <w:hideMark/>
          </w:tcPr>
          <w:p w14:paraId="080FE419" w14:textId="77777777" w:rsidR="0020118D" w:rsidRPr="006562D8" w:rsidRDefault="0020118D" w:rsidP="00747743">
            <w:pPr>
              <w:pStyle w:val="TableText0"/>
              <w:keepNext/>
              <w:keepLines/>
              <w:rPr>
                <w:lang w:val="en-AU"/>
              </w:rPr>
            </w:pPr>
            <w:r w:rsidRPr="006562D8">
              <w:rPr>
                <w:b/>
                <w:lang w:val="en-AU"/>
              </w:rPr>
              <w:t>Indication:</w:t>
            </w:r>
            <w:r w:rsidRPr="006562D8">
              <w:rPr>
                <w:lang w:val="en-AU"/>
              </w:rPr>
              <w:t xml:space="preserve"> Activated phosphoinositide 3-kinase delta (PI3Kδ) syndrome (APDS)</w:t>
            </w:r>
          </w:p>
        </w:tc>
      </w:tr>
      <w:tr w:rsidR="0020118D" w:rsidRPr="006562D8" w14:paraId="5CAE04F4" w14:textId="77777777" w:rsidTr="00747743">
        <w:trPr>
          <w:cantSplit/>
          <w:trHeight w:val="20"/>
        </w:trPr>
        <w:tc>
          <w:tcPr>
            <w:tcW w:w="5000" w:type="pct"/>
            <w:vAlign w:val="center"/>
            <w:hideMark/>
          </w:tcPr>
          <w:p w14:paraId="0E653BA6" w14:textId="77777777" w:rsidR="0020118D" w:rsidRPr="006562D8" w:rsidRDefault="0020118D" w:rsidP="00747743">
            <w:pPr>
              <w:pStyle w:val="TableText0"/>
              <w:keepNext/>
              <w:keepLines/>
              <w:rPr>
                <w:lang w:val="en-AU"/>
              </w:rPr>
            </w:pPr>
            <w:r w:rsidRPr="006562D8">
              <w:rPr>
                <w:lang w:val="en-AU"/>
              </w:rPr>
              <w:t>Treatment Phase: Initiation</w:t>
            </w:r>
          </w:p>
        </w:tc>
      </w:tr>
      <w:tr w:rsidR="0020118D" w:rsidRPr="006562D8" w14:paraId="0BB462BD" w14:textId="77777777" w:rsidTr="00747743">
        <w:trPr>
          <w:cantSplit/>
          <w:trHeight w:val="20"/>
        </w:trPr>
        <w:tc>
          <w:tcPr>
            <w:tcW w:w="5000" w:type="pct"/>
            <w:vAlign w:val="center"/>
            <w:hideMark/>
          </w:tcPr>
          <w:p w14:paraId="1B00E095" w14:textId="77777777" w:rsidR="0020118D" w:rsidRPr="006562D8" w:rsidRDefault="0020118D" w:rsidP="00747743">
            <w:pPr>
              <w:pStyle w:val="TableText0"/>
              <w:keepNext/>
              <w:keepLines/>
              <w:rPr>
                <w:lang w:val="en-AU"/>
              </w:rPr>
            </w:pPr>
            <w:r w:rsidRPr="006562D8">
              <w:rPr>
                <w:lang w:val="en-AU"/>
              </w:rPr>
              <w:t>Clinical criteria:</w:t>
            </w:r>
          </w:p>
        </w:tc>
      </w:tr>
      <w:tr w:rsidR="0020118D" w:rsidRPr="006562D8" w14:paraId="0ABB71AF" w14:textId="77777777" w:rsidTr="00747743">
        <w:trPr>
          <w:cantSplit/>
          <w:trHeight w:val="20"/>
        </w:trPr>
        <w:tc>
          <w:tcPr>
            <w:tcW w:w="5000" w:type="pct"/>
            <w:vAlign w:val="center"/>
            <w:hideMark/>
          </w:tcPr>
          <w:p w14:paraId="223C9F64" w14:textId="77777777" w:rsidR="0020118D" w:rsidRPr="006562D8" w:rsidRDefault="0020118D" w:rsidP="00747743">
            <w:pPr>
              <w:pStyle w:val="TableText0"/>
              <w:keepNext/>
              <w:keepLines/>
              <w:rPr>
                <w:lang w:val="en-AU"/>
              </w:rPr>
            </w:pPr>
            <w:r w:rsidRPr="006562D8">
              <w:rPr>
                <w:lang w:val="en-AU"/>
              </w:rPr>
              <w:t xml:space="preserve">Patient must have a diagnosis of APDS, confirmed by genomic or genetic testing demonstrating a pathogenic or likely pathogenic gain-of-function variant in the </w:t>
            </w:r>
            <w:r w:rsidRPr="006562D8">
              <w:rPr>
                <w:i/>
                <w:iCs/>
                <w:lang w:val="en-AU"/>
              </w:rPr>
              <w:t>PIK3CD</w:t>
            </w:r>
            <w:r w:rsidRPr="006562D8">
              <w:rPr>
                <w:lang w:val="en-AU"/>
              </w:rPr>
              <w:t xml:space="preserve"> gene or a pathogenic or likely pathogenic loss-of-function variant in the </w:t>
            </w:r>
            <w:r w:rsidRPr="006562D8">
              <w:rPr>
                <w:i/>
                <w:iCs/>
                <w:lang w:val="en-AU"/>
              </w:rPr>
              <w:t>PIK3R1</w:t>
            </w:r>
            <w:r w:rsidRPr="006562D8">
              <w:rPr>
                <w:lang w:val="en-AU"/>
              </w:rPr>
              <w:t xml:space="preserve"> gene</w:t>
            </w:r>
          </w:p>
        </w:tc>
      </w:tr>
      <w:tr w:rsidR="0020118D" w:rsidRPr="006562D8" w14:paraId="5E559241" w14:textId="77777777" w:rsidTr="00747743">
        <w:trPr>
          <w:cantSplit/>
          <w:trHeight w:val="20"/>
        </w:trPr>
        <w:tc>
          <w:tcPr>
            <w:tcW w:w="5000" w:type="pct"/>
            <w:vAlign w:val="center"/>
            <w:hideMark/>
          </w:tcPr>
          <w:p w14:paraId="5404FC72" w14:textId="77777777" w:rsidR="0020118D" w:rsidRPr="006562D8" w:rsidRDefault="0020118D" w:rsidP="00747743">
            <w:pPr>
              <w:pStyle w:val="TableText0"/>
              <w:keepNext/>
              <w:keepLines/>
              <w:rPr>
                <w:lang w:val="en-AU"/>
              </w:rPr>
            </w:pPr>
            <w:r w:rsidRPr="006562D8">
              <w:rPr>
                <w:lang w:val="en-AU"/>
              </w:rPr>
              <w:t>AND</w:t>
            </w:r>
          </w:p>
        </w:tc>
      </w:tr>
      <w:tr w:rsidR="0020118D" w:rsidRPr="006562D8" w14:paraId="586D8B9B" w14:textId="77777777" w:rsidTr="00747743">
        <w:trPr>
          <w:cantSplit/>
          <w:trHeight w:val="20"/>
        </w:trPr>
        <w:tc>
          <w:tcPr>
            <w:tcW w:w="5000" w:type="pct"/>
            <w:vAlign w:val="center"/>
            <w:hideMark/>
          </w:tcPr>
          <w:p w14:paraId="13D8B696" w14:textId="77777777" w:rsidR="0020118D" w:rsidRPr="006562D8" w:rsidRDefault="0020118D" w:rsidP="00747743">
            <w:pPr>
              <w:pStyle w:val="TableText0"/>
              <w:keepNext/>
              <w:keepLines/>
              <w:rPr>
                <w:lang w:val="en-AU"/>
              </w:rPr>
            </w:pPr>
            <w:r w:rsidRPr="006562D8">
              <w:rPr>
                <w:lang w:val="en-AU"/>
              </w:rPr>
              <w:t>Confirmation of symptomatic APDS, defined as having required or currently requiring any kind of therapeutic intervention for control or prevention of APDS-associated complications based on specialist clinical assessment. Clinical assessment tests may include:</w:t>
            </w:r>
          </w:p>
          <w:p w14:paraId="7BE14C57" w14:textId="77777777" w:rsidR="0020118D" w:rsidRPr="006562D8" w:rsidRDefault="0020118D" w:rsidP="00747743">
            <w:pPr>
              <w:pStyle w:val="TableText0"/>
              <w:keepNext/>
              <w:keepLines/>
              <w:tabs>
                <w:tab w:val="left" w:pos="369"/>
              </w:tabs>
              <w:ind w:left="393" w:hanging="393"/>
              <w:rPr>
                <w:lang w:val="en-AU"/>
              </w:rPr>
            </w:pPr>
            <w:r w:rsidRPr="006562D8">
              <w:rPr>
                <w:lang w:val="en-AU"/>
              </w:rPr>
              <w:t>1.</w:t>
            </w:r>
            <w:r w:rsidRPr="006562D8">
              <w:rPr>
                <w:lang w:val="en-AU"/>
              </w:rPr>
              <w:tab/>
              <w:t>Immunological evaluations: White blood cell count, lymphocyte count, lymphocyte subset analysis, serum IgG/IgG2/IgA/IgM, T-cell receptor excision circles (TRECs) and KRECs (Igκ -deleting recombination excision circles).</w:t>
            </w:r>
          </w:p>
          <w:p w14:paraId="0D3A9A1F" w14:textId="77777777" w:rsidR="0020118D" w:rsidRPr="006562D8" w:rsidRDefault="0020118D" w:rsidP="00747743">
            <w:pPr>
              <w:pStyle w:val="TableText0"/>
              <w:keepNext/>
              <w:keepLines/>
              <w:tabs>
                <w:tab w:val="left" w:pos="369"/>
              </w:tabs>
              <w:ind w:left="393" w:hanging="393"/>
              <w:rPr>
                <w:lang w:val="en-AU"/>
              </w:rPr>
            </w:pPr>
            <w:r w:rsidRPr="006562D8">
              <w:rPr>
                <w:lang w:val="en-AU"/>
              </w:rPr>
              <w:t>2.</w:t>
            </w:r>
            <w:r w:rsidRPr="006562D8">
              <w:rPr>
                <w:lang w:val="en-AU"/>
              </w:rPr>
              <w:tab/>
              <w:t>Monitoring of EBV/CMV infections: EBV-related antibody titre, CMV antigenemia test, blood EBV/CMV viral load assay.</w:t>
            </w:r>
          </w:p>
          <w:p w14:paraId="1C375C20" w14:textId="77777777" w:rsidR="0020118D" w:rsidRPr="006562D8" w:rsidRDefault="0020118D" w:rsidP="00747743">
            <w:pPr>
              <w:pStyle w:val="TableText0"/>
              <w:keepNext/>
              <w:keepLines/>
              <w:tabs>
                <w:tab w:val="left" w:pos="369"/>
              </w:tabs>
              <w:ind w:left="393" w:hanging="393"/>
              <w:rPr>
                <w:lang w:val="en-AU"/>
              </w:rPr>
            </w:pPr>
            <w:r w:rsidRPr="006562D8">
              <w:rPr>
                <w:lang w:val="en-AU"/>
              </w:rPr>
              <w:t>3.</w:t>
            </w:r>
            <w:r w:rsidRPr="006562D8">
              <w:rPr>
                <w:lang w:val="en-AU"/>
              </w:rPr>
              <w:tab/>
              <w:t>Pulmonary function tests: Bronchiectasis due to repeated lower respiratory tract infections should be carefully monitored. Chest X-rays and chest CT scans should be evaluated as necessary.</w:t>
            </w:r>
          </w:p>
          <w:p w14:paraId="12D5E855" w14:textId="77777777" w:rsidR="0020118D" w:rsidRPr="006562D8" w:rsidRDefault="0020118D" w:rsidP="00747743">
            <w:pPr>
              <w:pStyle w:val="TableText0"/>
              <w:keepNext/>
              <w:keepLines/>
              <w:tabs>
                <w:tab w:val="left" w:pos="369"/>
              </w:tabs>
              <w:ind w:left="393" w:hanging="393"/>
              <w:rPr>
                <w:lang w:val="en-AU"/>
              </w:rPr>
            </w:pPr>
            <w:r w:rsidRPr="006562D8">
              <w:rPr>
                <w:lang w:val="en-AU"/>
              </w:rPr>
              <w:t>4.</w:t>
            </w:r>
            <w:r w:rsidRPr="006562D8">
              <w:rPr>
                <w:lang w:val="en-AU"/>
              </w:rPr>
              <w:tab/>
              <w:t>Evaluation of lymphoid hyperplasia: Examine for tonsils and superficial and deep lymph nodes and hepatosplenomegaly, with assessments of imaging tests (i.e., CT/MRI, FDG-PET) as necessary.</w:t>
            </w:r>
          </w:p>
          <w:p w14:paraId="333EBAE7" w14:textId="77777777" w:rsidR="0020118D" w:rsidRPr="006562D8" w:rsidRDefault="0020118D" w:rsidP="00747743">
            <w:pPr>
              <w:pStyle w:val="TableText0"/>
              <w:keepNext/>
              <w:keepLines/>
              <w:tabs>
                <w:tab w:val="left" w:pos="369"/>
              </w:tabs>
              <w:ind w:left="393" w:hanging="393"/>
              <w:rPr>
                <w:lang w:val="en-AU"/>
              </w:rPr>
            </w:pPr>
            <w:r w:rsidRPr="006562D8">
              <w:rPr>
                <w:lang w:val="en-AU"/>
              </w:rPr>
              <w:t>5.</w:t>
            </w:r>
            <w:r w:rsidRPr="006562D8">
              <w:rPr>
                <w:lang w:val="en-AU"/>
              </w:rPr>
              <w:tab/>
              <w:t>Surveillance of malignant tumours: Carefully monitor for development of lymphoma.</w:t>
            </w:r>
          </w:p>
          <w:p w14:paraId="08950856" w14:textId="77777777" w:rsidR="0020118D" w:rsidRPr="006562D8" w:rsidRDefault="0020118D" w:rsidP="00747743">
            <w:pPr>
              <w:pStyle w:val="TableText0"/>
              <w:keepNext/>
              <w:keepLines/>
              <w:tabs>
                <w:tab w:val="left" w:pos="369"/>
              </w:tabs>
              <w:ind w:left="393" w:hanging="393"/>
              <w:rPr>
                <w:lang w:val="en-AU"/>
              </w:rPr>
            </w:pPr>
            <w:r w:rsidRPr="006562D8">
              <w:rPr>
                <w:lang w:val="en-AU"/>
              </w:rPr>
              <w:t>6.</w:t>
            </w:r>
            <w:r w:rsidRPr="006562D8">
              <w:rPr>
                <w:lang w:val="en-AU"/>
              </w:rPr>
              <w:tab/>
              <w:t>Evaluations of other complications: Examine for enteropathy including the gastrointestinal fibre scope. Type 1 diabetes mellitus can be associated with APDS2.</w:t>
            </w:r>
          </w:p>
        </w:tc>
      </w:tr>
      <w:tr w:rsidR="0020118D" w:rsidRPr="006562D8" w14:paraId="54F20889" w14:textId="77777777" w:rsidTr="00747743">
        <w:trPr>
          <w:cantSplit/>
          <w:trHeight w:val="20"/>
        </w:trPr>
        <w:tc>
          <w:tcPr>
            <w:tcW w:w="5000" w:type="pct"/>
            <w:vAlign w:val="center"/>
          </w:tcPr>
          <w:p w14:paraId="7D919445" w14:textId="77777777" w:rsidR="0020118D" w:rsidRPr="006562D8" w:rsidRDefault="0020118D" w:rsidP="00747743">
            <w:pPr>
              <w:pStyle w:val="TableText0"/>
              <w:keepNext/>
              <w:keepLines/>
              <w:rPr>
                <w:lang w:val="en-AU"/>
              </w:rPr>
            </w:pPr>
            <w:r w:rsidRPr="006562D8">
              <w:rPr>
                <w:lang w:val="en-AU"/>
              </w:rPr>
              <w:t>Treatment criteria:</w:t>
            </w:r>
          </w:p>
        </w:tc>
      </w:tr>
      <w:tr w:rsidR="0020118D" w:rsidRPr="006562D8" w14:paraId="46C85E41" w14:textId="77777777" w:rsidTr="00747743">
        <w:trPr>
          <w:cantSplit/>
          <w:trHeight w:val="20"/>
        </w:trPr>
        <w:tc>
          <w:tcPr>
            <w:tcW w:w="5000" w:type="pct"/>
          </w:tcPr>
          <w:p w14:paraId="643E5825" w14:textId="77777777" w:rsidR="0020118D" w:rsidRPr="006562D8" w:rsidRDefault="0020118D" w:rsidP="00747743">
            <w:pPr>
              <w:pStyle w:val="TableText0"/>
              <w:keepNext/>
              <w:keepLines/>
              <w:rPr>
                <w:b/>
                <w:szCs w:val="20"/>
                <w:lang w:val="en-AU"/>
              </w:rPr>
            </w:pPr>
            <w:r w:rsidRPr="006562D8">
              <w:rPr>
                <w:lang w:val="en-AU"/>
              </w:rPr>
              <w:t>Leniolisib should be prescribed by or in consultation with an immunologist with expertise in managing patients with primary immunodeficiencies or APDS specifically.</w:t>
            </w:r>
          </w:p>
        </w:tc>
      </w:tr>
      <w:tr w:rsidR="0020118D" w:rsidRPr="006562D8" w14:paraId="704F52FB" w14:textId="77777777" w:rsidTr="00747743">
        <w:trPr>
          <w:cantSplit/>
          <w:trHeight w:val="20"/>
        </w:trPr>
        <w:tc>
          <w:tcPr>
            <w:tcW w:w="5000" w:type="pct"/>
          </w:tcPr>
          <w:p w14:paraId="0FD4C326" w14:textId="77777777" w:rsidR="0020118D" w:rsidRPr="006562D8" w:rsidRDefault="0020118D" w:rsidP="00747743">
            <w:pPr>
              <w:pStyle w:val="TableText0"/>
              <w:keepNext/>
              <w:keepLines/>
              <w:rPr>
                <w:b/>
                <w:szCs w:val="20"/>
                <w:lang w:val="en-AU"/>
              </w:rPr>
            </w:pPr>
            <w:r w:rsidRPr="006562D8">
              <w:rPr>
                <w:lang w:val="en-AU"/>
              </w:rPr>
              <w:t>AND</w:t>
            </w:r>
          </w:p>
        </w:tc>
      </w:tr>
      <w:tr w:rsidR="0020118D" w:rsidRPr="006562D8" w14:paraId="6A9B5E59" w14:textId="77777777" w:rsidTr="00747743">
        <w:trPr>
          <w:cantSplit/>
          <w:trHeight w:val="20"/>
        </w:trPr>
        <w:tc>
          <w:tcPr>
            <w:tcW w:w="5000" w:type="pct"/>
          </w:tcPr>
          <w:p w14:paraId="2E2F60A5" w14:textId="77777777" w:rsidR="0020118D" w:rsidRPr="006562D8" w:rsidRDefault="0020118D" w:rsidP="00747743">
            <w:pPr>
              <w:pStyle w:val="TableText0"/>
              <w:keepNext/>
              <w:keepLines/>
              <w:rPr>
                <w:b/>
                <w:szCs w:val="20"/>
                <w:lang w:val="en-AU"/>
              </w:rPr>
            </w:pPr>
            <w:r w:rsidRPr="006562D8">
              <w:rPr>
                <w:lang w:val="en-AU"/>
              </w:rPr>
              <w:t>Patient should not be receiving concomitant treatment with any of the following: (i) rituximab; (ii) mTOR inhibitors</w:t>
            </w:r>
          </w:p>
        </w:tc>
      </w:tr>
      <w:tr w:rsidR="0020118D" w:rsidRPr="006562D8" w14:paraId="65EAD02C" w14:textId="77777777" w:rsidTr="00747743">
        <w:trPr>
          <w:cantSplit/>
          <w:trHeight w:val="20"/>
        </w:trPr>
        <w:tc>
          <w:tcPr>
            <w:tcW w:w="5000" w:type="pct"/>
            <w:vAlign w:val="center"/>
          </w:tcPr>
          <w:p w14:paraId="657F7650" w14:textId="77777777" w:rsidR="0020118D" w:rsidRPr="006562D8" w:rsidRDefault="0020118D" w:rsidP="00747743">
            <w:pPr>
              <w:pStyle w:val="TableText0"/>
              <w:keepNext/>
              <w:keepLines/>
              <w:rPr>
                <w:szCs w:val="20"/>
                <w:lang w:val="en-AU"/>
              </w:rPr>
            </w:pPr>
            <w:r w:rsidRPr="006562D8">
              <w:rPr>
                <w:lang w:val="en-AU"/>
              </w:rPr>
              <w:t>Population criteria:</w:t>
            </w:r>
          </w:p>
        </w:tc>
      </w:tr>
      <w:tr w:rsidR="0020118D" w:rsidRPr="006562D8" w14:paraId="6A22B172" w14:textId="77777777" w:rsidTr="00747743">
        <w:trPr>
          <w:cantSplit/>
          <w:trHeight w:val="20"/>
        </w:trPr>
        <w:tc>
          <w:tcPr>
            <w:tcW w:w="5000" w:type="pct"/>
            <w:vAlign w:val="center"/>
          </w:tcPr>
          <w:p w14:paraId="7C412483" w14:textId="77777777" w:rsidR="0020118D" w:rsidRPr="006562D8" w:rsidRDefault="0020118D" w:rsidP="00747743">
            <w:pPr>
              <w:pStyle w:val="TableText0"/>
              <w:keepNext/>
              <w:keepLines/>
              <w:rPr>
                <w:b/>
                <w:szCs w:val="20"/>
                <w:lang w:val="en-AU"/>
              </w:rPr>
            </w:pPr>
            <w:r w:rsidRPr="006562D8">
              <w:rPr>
                <w:lang w:val="en-AU"/>
              </w:rPr>
              <w:t>Patients must be aged 12 years or over</w:t>
            </w:r>
          </w:p>
        </w:tc>
      </w:tr>
      <w:tr w:rsidR="0020118D" w:rsidRPr="006562D8" w14:paraId="59157304" w14:textId="77777777" w:rsidTr="00747743">
        <w:trPr>
          <w:cantSplit/>
          <w:trHeight w:val="20"/>
        </w:trPr>
        <w:tc>
          <w:tcPr>
            <w:tcW w:w="5000" w:type="pct"/>
            <w:vAlign w:val="center"/>
            <w:hideMark/>
          </w:tcPr>
          <w:p w14:paraId="4FFE45FE" w14:textId="77777777" w:rsidR="0020118D" w:rsidRPr="006562D8" w:rsidRDefault="0020118D" w:rsidP="00747743">
            <w:pPr>
              <w:pStyle w:val="Table"/>
              <w:keepNext/>
              <w:keepLines/>
              <w:spacing w:before="0" w:after="0" w:line="240" w:lineRule="auto"/>
              <w:rPr>
                <w:rFonts w:ascii="Arial Narrow" w:eastAsia="Times New Roman" w:hAnsi="Arial Narrow" w:cs="Times New Roman"/>
                <w:lang w:eastAsia="en-AU"/>
              </w:rPr>
            </w:pPr>
            <w:r w:rsidRPr="006562D8">
              <w:rPr>
                <w:rFonts w:ascii="Arial Narrow" w:hAnsi="Arial Narrow"/>
                <w:b/>
              </w:rPr>
              <w:t xml:space="preserve">Prescribing Instructions: </w:t>
            </w:r>
            <w:r w:rsidRPr="006562D8">
              <w:rPr>
                <w:rFonts w:ascii="Arial Narrow" w:eastAsia="Times New Roman" w:hAnsi="Arial Narrow" w:cs="Times New Roman"/>
                <w:lang w:eastAsia="en-AU"/>
              </w:rPr>
              <w:t>Authority applications for initial treatment must be made in writing and must include:</w:t>
            </w:r>
          </w:p>
          <w:p w14:paraId="68D00A78" w14:textId="77777777" w:rsidR="0020118D" w:rsidRPr="006562D8" w:rsidRDefault="0020118D" w:rsidP="00747743">
            <w:pPr>
              <w:pStyle w:val="Table"/>
              <w:keepNext/>
              <w:keepLines/>
              <w:spacing w:before="0" w:after="0" w:line="240" w:lineRule="auto"/>
              <w:rPr>
                <w:rFonts w:ascii="Arial Narrow" w:eastAsia="Times New Roman" w:hAnsi="Arial Narrow" w:cs="Times New Roman"/>
                <w:lang w:eastAsia="en-AU"/>
              </w:rPr>
            </w:pPr>
            <w:r w:rsidRPr="006562D8">
              <w:rPr>
                <w:rFonts w:ascii="Arial Narrow" w:eastAsia="Times New Roman" w:hAnsi="Arial Narrow" w:cs="Times New Roman"/>
                <w:lang w:eastAsia="en-AU"/>
              </w:rPr>
              <w:t>(a) Details of the proposed prescription; and</w:t>
            </w:r>
          </w:p>
          <w:p w14:paraId="102E9EB3" w14:textId="77777777" w:rsidR="0020118D" w:rsidRPr="006562D8" w:rsidRDefault="0020118D" w:rsidP="00747743">
            <w:pPr>
              <w:pStyle w:val="Table"/>
              <w:keepNext/>
              <w:keepLines/>
              <w:spacing w:before="0" w:after="0" w:line="240" w:lineRule="auto"/>
              <w:rPr>
                <w:rFonts w:ascii="Arial Narrow" w:eastAsia="Times New Roman" w:hAnsi="Arial Narrow" w:cs="Times New Roman"/>
                <w:lang w:eastAsia="en-AU"/>
              </w:rPr>
            </w:pPr>
            <w:r w:rsidRPr="006562D8">
              <w:rPr>
                <w:rFonts w:ascii="Arial Narrow" w:eastAsia="Times New Roman" w:hAnsi="Arial Narrow" w:cs="Times New Roman"/>
                <w:lang w:eastAsia="en-AU"/>
              </w:rPr>
              <w:t>(b) A completed authority application form, relevant to the indication and treatment phase, which includes the following:</w:t>
            </w:r>
          </w:p>
          <w:p w14:paraId="678AEB3A" w14:textId="77777777" w:rsidR="0020118D" w:rsidRPr="006562D8" w:rsidRDefault="0020118D" w:rsidP="00747743">
            <w:pPr>
              <w:pStyle w:val="Table"/>
              <w:keepNext/>
              <w:keepLines/>
              <w:spacing w:before="0" w:after="0" w:line="240" w:lineRule="auto"/>
              <w:ind w:left="592" w:hanging="283"/>
              <w:rPr>
                <w:rFonts w:ascii="Arial Narrow" w:eastAsia="Times New Roman" w:hAnsi="Arial Narrow" w:cs="Times New Roman"/>
                <w:lang w:eastAsia="en-AU"/>
              </w:rPr>
            </w:pPr>
            <w:r w:rsidRPr="006562D8">
              <w:rPr>
                <w:rFonts w:ascii="Arial Narrow" w:eastAsia="Times New Roman" w:hAnsi="Arial Narrow" w:cs="Times New Roman"/>
                <w:lang w:eastAsia="en-AU"/>
              </w:rPr>
              <w:t xml:space="preserve">(i) Report confirming evidence of APDS with genetic diagnosis (as outlined under Clinical criteria) for gain of function mutations around </w:t>
            </w:r>
            <w:r w:rsidRPr="006562D8">
              <w:rPr>
                <w:rFonts w:ascii="Arial Narrow" w:eastAsia="Times New Roman" w:hAnsi="Arial Narrow" w:cs="Times New Roman"/>
                <w:i/>
                <w:iCs/>
                <w:lang w:eastAsia="en-AU"/>
              </w:rPr>
              <w:t>PIK3CD</w:t>
            </w:r>
            <w:r w:rsidRPr="006562D8">
              <w:rPr>
                <w:rFonts w:ascii="Arial Narrow" w:eastAsia="Times New Roman" w:hAnsi="Arial Narrow" w:cs="Times New Roman"/>
                <w:lang w:eastAsia="en-AU"/>
              </w:rPr>
              <w:t xml:space="preserve"> and </w:t>
            </w:r>
            <w:r w:rsidRPr="006562D8">
              <w:rPr>
                <w:rFonts w:ascii="Arial Narrow" w:eastAsia="Times New Roman" w:hAnsi="Arial Narrow" w:cs="Times New Roman"/>
                <w:i/>
                <w:iCs/>
                <w:lang w:eastAsia="en-AU"/>
              </w:rPr>
              <w:t>PIK3R1</w:t>
            </w:r>
          </w:p>
          <w:p w14:paraId="576F04BC" w14:textId="77777777" w:rsidR="0020118D" w:rsidRPr="006562D8" w:rsidRDefault="0020118D" w:rsidP="00747743">
            <w:pPr>
              <w:pStyle w:val="Table"/>
              <w:keepNext/>
              <w:keepLines/>
              <w:tabs>
                <w:tab w:val="left" w:pos="450"/>
              </w:tabs>
              <w:spacing w:before="0" w:after="0" w:line="240" w:lineRule="auto"/>
              <w:ind w:left="592" w:hanging="283"/>
              <w:rPr>
                <w:rFonts w:ascii="Arial Narrow" w:hAnsi="Arial Narrow"/>
              </w:rPr>
            </w:pPr>
            <w:r w:rsidRPr="006562D8">
              <w:rPr>
                <w:rFonts w:ascii="Arial Narrow" w:eastAsia="Times New Roman" w:hAnsi="Arial Narrow" w:cs="Times New Roman"/>
                <w:lang w:eastAsia="en-AU"/>
              </w:rPr>
              <w:t>(ii) Details (clinical history summary, any other testing, scans or imaging performed) of demonstration of symptomatic APDS (as per clinical criteria).</w:t>
            </w:r>
          </w:p>
        </w:tc>
      </w:tr>
      <w:tr w:rsidR="0020118D" w:rsidRPr="006562D8" w14:paraId="05D8FDBF" w14:textId="77777777" w:rsidTr="00747743">
        <w:trPr>
          <w:cantSplit/>
          <w:trHeight w:val="20"/>
        </w:trPr>
        <w:tc>
          <w:tcPr>
            <w:tcW w:w="5000" w:type="pct"/>
          </w:tcPr>
          <w:p w14:paraId="26EA4EAD" w14:textId="77777777" w:rsidR="0020118D" w:rsidRPr="006562D8" w:rsidRDefault="0020118D" w:rsidP="00747743">
            <w:pPr>
              <w:pStyle w:val="TableText0"/>
              <w:keepNext/>
              <w:keepLines/>
              <w:rPr>
                <w:lang w:val="en-AU"/>
              </w:rPr>
            </w:pPr>
            <w:r w:rsidRPr="006562D8">
              <w:rPr>
                <w:lang w:val="en-AU"/>
              </w:rPr>
              <w:t>Patient should be reviewed at 5 months after treatment initiation for treatment failure and meeting the continuation criteria for continuation of therapy after 6 months of initial treatment (application will need to be done by start of sixth month of therapy to ensure continuation of therapy from month 7)</w:t>
            </w:r>
          </w:p>
        </w:tc>
      </w:tr>
      <w:tr w:rsidR="0020118D" w:rsidRPr="006562D8" w14:paraId="27312E38" w14:textId="77777777" w:rsidTr="00747743">
        <w:trPr>
          <w:cantSplit/>
          <w:trHeight w:val="20"/>
        </w:trPr>
        <w:tc>
          <w:tcPr>
            <w:tcW w:w="5000" w:type="pct"/>
          </w:tcPr>
          <w:p w14:paraId="708B3305" w14:textId="77777777" w:rsidR="0020118D" w:rsidRPr="006562D8" w:rsidRDefault="0020118D" w:rsidP="00747743">
            <w:pPr>
              <w:pStyle w:val="TableText0"/>
              <w:keepNext/>
              <w:keepLines/>
              <w:rPr>
                <w:lang w:val="en-AU"/>
              </w:rPr>
            </w:pPr>
            <w:r w:rsidRPr="006562D8">
              <w:rPr>
                <w:lang w:val="en-AU"/>
              </w:rPr>
              <w:t>If intolerance to treatment develops during the relevant period of use, which is of a severity necessitating permanent treatment withdrawal, please provide details of the degree and nature of this toxicity</w:t>
            </w:r>
          </w:p>
        </w:tc>
      </w:tr>
      <w:tr w:rsidR="0020118D" w:rsidRPr="006562D8" w14:paraId="7DA416FD" w14:textId="77777777" w:rsidTr="00747743">
        <w:trPr>
          <w:cantSplit/>
          <w:trHeight w:val="20"/>
        </w:trPr>
        <w:tc>
          <w:tcPr>
            <w:tcW w:w="5000" w:type="pct"/>
            <w:vAlign w:val="center"/>
          </w:tcPr>
          <w:p w14:paraId="24C6E74C" w14:textId="77777777" w:rsidR="0020118D" w:rsidRPr="006562D8" w:rsidRDefault="0020118D" w:rsidP="00747743">
            <w:pPr>
              <w:pStyle w:val="TableText0"/>
              <w:keepNext/>
              <w:keepLines/>
              <w:rPr>
                <w:b/>
                <w:szCs w:val="20"/>
                <w:lang w:val="en-AU"/>
              </w:rPr>
            </w:pPr>
            <w:r w:rsidRPr="006562D8">
              <w:rPr>
                <w:b/>
                <w:lang w:val="en-AU"/>
              </w:rPr>
              <w:t xml:space="preserve">Administrative Advice: </w:t>
            </w:r>
            <w:r w:rsidRPr="006562D8">
              <w:rPr>
                <w:lang w:val="en-AU"/>
              </w:rPr>
              <w:t>Maximum duration of initial authorisation is six months</w:t>
            </w:r>
          </w:p>
        </w:tc>
      </w:tr>
    </w:tbl>
    <w:p w14:paraId="1B12D396" w14:textId="77777777" w:rsidR="0020118D" w:rsidRPr="00B130EF" w:rsidRDefault="0020118D" w:rsidP="0020118D">
      <w:pPr>
        <w:pStyle w:val="FooterTableFigure"/>
        <w:keepNext/>
        <w:keepLines/>
      </w:pPr>
      <w:r w:rsidRPr="00B130EF">
        <w:t>*The submission stated that the submission type was “Authority Required (s100)”, but under prescribing instructions stated that Authority applications for initial treatment must be made in writing.</w:t>
      </w:r>
    </w:p>
    <w:p w14:paraId="3C4BD5B8" w14:textId="77777777" w:rsidR="0020118D" w:rsidRPr="006562D8" w:rsidRDefault="0020118D" w:rsidP="0020118D">
      <w:pPr>
        <w:pStyle w:val="FooterTableFigure"/>
        <w:keepNext/>
        <w:keepLines/>
      </w:pPr>
      <w:r w:rsidRPr="006562D8">
        <w:t xml:space="preserve">Source: Table 1.7, pp61-62 of the submission. </w:t>
      </w:r>
    </w:p>
    <w:p w14:paraId="4452BE79" w14:textId="77777777" w:rsidR="0020118D" w:rsidRPr="006562D8" w:rsidRDefault="0020118D" w:rsidP="0020118D">
      <w:pPr>
        <w:rPr>
          <w:rStyle w:val="CommentReference"/>
          <w:b w:val="0"/>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Requested listing - continuation"/>
      </w:tblPr>
      <w:tblGrid>
        <w:gridCol w:w="8900"/>
      </w:tblGrid>
      <w:tr w:rsidR="0020118D" w:rsidRPr="006562D8" w14:paraId="0B6D467A" w14:textId="77777777" w:rsidTr="00747743">
        <w:trPr>
          <w:cantSplit/>
          <w:trHeight w:val="20"/>
        </w:trPr>
        <w:tc>
          <w:tcPr>
            <w:tcW w:w="5000" w:type="pct"/>
          </w:tcPr>
          <w:p w14:paraId="3561FE80" w14:textId="77777777" w:rsidR="0020118D" w:rsidRPr="006562D8" w:rsidRDefault="0020118D" w:rsidP="00747743">
            <w:pPr>
              <w:pStyle w:val="TableText0"/>
              <w:keepNext/>
              <w:keepLines/>
              <w:rPr>
                <w:lang w:val="en-AU"/>
              </w:rPr>
            </w:pPr>
            <w:r w:rsidRPr="006562D8">
              <w:rPr>
                <w:b/>
                <w:lang w:val="en-AU"/>
              </w:rPr>
              <w:t xml:space="preserve">Category / Program: </w:t>
            </w:r>
            <w:r w:rsidRPr="006562D8">
              <w:rPr>
                <w:lang w:val="en-AU"/>
              </w:rPr>
              <w:t>Section 100 (HSD Program); Life Saving Drugs Program</w:t>
            </w:r>
          </w:p>
        </w:tc>
      </w:tr>
      <w:tr w:rsidR="0020118D" w:rsidRPr="006562D8" w14:paraId="6C84DBA9" w14:textId="77777777" w:rsidTr="00747743">
        <w:trPr>
          <w:cantSplit/>
          <w:trHeight w:val="20"/>
        </w:trPr>
        <w:tc>
          <w:tcPr>
            <w:tcW w:w="5000" w:type="pct"/>
          </w:tcPr>
          <w:p w14:paraId="7A355EDA" w14:textId="77777777" w:rsidR="0020118D" w:rsidRPr="006562D8" w:rsidRDefault="0020118D" w:rsidP="00747743">
            <w:pPr>
              <w:pStyle w:val="TableText0"/>
              <w:keepNext/>
              <w:keepLines/>
              <w:rPr>
                <w:b/>
                <w:lang w:val="en-AU"/>
              </w:rPr>
            </w:pPr>
            <w:r w:rsidRPr="006562D8">
              <w:rPr>
                <w:b/>
                <w:lang w:val="en-AU"/>
              </w:rPr>
              <w:t xml:space="preserve">Prescriber type: </w:t>
            </w:r>
            <w:r w:rsidRPr="006562D8">
              <w:rPr>
                <w:lang w:val="en-AU"/>
              </w:rPr>
              <w:fldChar w:fldCharType="begin" w:fldLock="1">
                <w:ffData>
                  <w:name w:val="Check1"/>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Dental </w:t>
            </w:r>
            <w:r w:rsidRPr="006562D8">
              <w:rPr>
                <w:lang w:val="en-AU"/>
              </w:rPr>
              <w:fldChar w:fldCharType="begin" w:fldLock="1">
                <w:ffData>
                  <w:name w:val=""/>
                  <w:enabled/>
                  <w:calcOnExit w:val="0"/>
                  <w:checkBox>
                    <w:sizeAuto/>
                    <w:default w:val="1"/>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Medical Practitioners </w:t>
            </w:r>
            <w:r w:rsidRPr="006562D8">
              <w:rPr>
                <w:lang w:val="en-AU"/>
              </w:rPr>
              <w:fldChar w:fldCharType="begin" w:fldLock="1">
                <w:ffData>
                  <w:name w:val="Check3"/>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Nurse practitioners </w:t>
            </w:r>
            <w:r w:rsidRPr="006562D8">
              <w:rPr>
                <w:lang w:val="en-AU"/>
              </w:rPr>
              <w:fldChar w:fldCharType="begin" w:fldLock="1">
                <w:ffData>
                  <w:name w:val=""/>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Optometrists </w:t>
            </w:r>
          </w:p>
        </w:tc>
      </w:tr>
      <w:tr w:rsidR="0020118D" w:rsidRPr="006562D8" w14:paraId="5B48CE3E" w14:textId="77777777" w:rsidTr="00747743">
        <w:trPr>
          <w:cantSplit/>
          <w:trHeight w:val="20"/>
        </w:trPr>
        <w:tc>
          <w:tcPr>
            <w:tcW w:w="5000" w:type="pct"/>
          </w:tcPr>
          <w:p w14:paraId="3FEBD602" w14:textId="77777777" w:rsidR="0020118D" w:rsidRPr="006562D8" w:rsidRDefault="0020118D" w:rsidP="00747743">
            <w:pPr>
              <w:pStyle w:val="TableText0"/>
              <w:keepNext/>
              <w:keepLines/>
              <w:rPr>
                <w:lang w:val="en-AU"/>
              </w:rPr>
            </w:pPr>
            <w:r w:rsidRPr="006562D8">
              <w:rPr>
                <w:lang w:val="en-AU"/>
              </w:rPr>
              <w:t xml:space="preserve">Restriction type: </w:t>
            </w:r>
          </w:p>
          <w:p w14:paraId="557DEF0E" w14:textId="77777777" w:rsidR="0020118D" w:rsidRPr="006562D8" w:rsidRDefault="0020118D" w:rsidP="00747743">
            <w:pPr>
              <w:pStyle w:val="TableText0"/>
              <w:keepNext/>
              <w:keepLines/>
              <w:rPr>
                <w:lang w:val="en-AU"/>
              </w:rPr>
            </w:pPr>
            <w:r w:rsidRPr="006562D8">
              <w:rPr>
                <w:lang w:val="en-AU"/>
              </w:rPr>
              <w:fldChar w:fldCharType="begin" w:fldLock="1">
                <w:ffData>
                  <w:name w:val=""/>
                  <w:enabled/>
                  <w:calcOnExit w:val="0"/>
                  <w:checkBox>
                    <w:sizeAuto/>
                    <w:default w:val="1"/>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Authority Required*</w:t>
            </w:r>
          </w:p>
        </w:tc>
      </w:tr>
      <w:tr w:rsidR="0020118D" w:rsidRPr="006562D8" w14:paraId="5972D6D1" w14:textId="77777777" w:rsidTr="00747743">
        <w:trPr>
          <w:cantSplit/>
          <w:trHeight w:val="20"/>
        </w:trPr>
        <w:tc>
          <w:tcPr>
            <w:tcW w:w="5000" w:type="pct"/>
            <w:vAlign w:val="center"/>
            <w:hideMark/>
          </w:tcPr>
          <w:p w14:paraId="131CF86B" w14:textId="77777777" w:rsidR="0020118D" w:rsidRPr="006562D8" w:rsidRDefault="0020118D" w:rsidP="00747743">
            <w:pPr>
              <w:pStyle w:val="TableText0"/>
              <w:keepNext/>
              <w:keepLines/>
              <w:rPr>
                <w:lang w:val="en-AU"/>
              </w:rPr>
            </w:pPr>
            <w:r w:rsidRPr="006562D8">
              <w:rPr>
                <w:b/>
                <w:lang w:val="en-AU"/>
              </w:rPr>
              <w:t>Indication:</w:t>
            </w:r>
            <w:r w:rsidRPr="006562D8">
              <w:rPr>
                <w:lang w:val="en-AU"/>
              </w:rPr>
              <w:t xml:space="preserve"> Activated phosphoinositide 3-kinase delta (PI3Kδ) syndrome (APDS)</w:t>
            </w:r>
          </w:p>
        </w:tc>
      </w:tr>
      <w:tr w:rsidR="0020118D" w:rsidRPr="006562D8" w14:paraId="3A3DA225" w14:textId="77777777" w:rsidTr="00747743">
        <w:trPr>
          <w:cantSplit/>
          <w:trHeight w:val="20"/>
        </w:trPr>
        <w:tc>
          <w:tcPr>
            <w:tcW w:w="5000" w:type="pct"/>
            <w:vAlign w:val="center"/>
            <w:hideMark/>
          </w:tcPr>
          <w:p w14:paraId="25A807BD" w14:textId="77777777" w:rsidR="0020118D" w:rsidRPr="006562D8" w:rsidRDefault="0020118D" w:rsidP="00747743">
            <w:pPr>
              <w:pStyle w:val="TableText0"/>
              <w:keepNext/>
              <w:keepLines/>
              <w:rPr>
                <w:lang w:val="en-AU"/>
              </w:rPr>
            </w:pPr>
            <w:r w:rsidRPr="006562D8">
              <w:rPr>
                <w:lang w:val="en-AU"/>
              </w:rPr>
              <w:t>Treatment Phase: Continuation</w:t>
            </w:r>
          </w:p>
        </w:tc>
      </w:tr>
      <w:tr w:rsidR="0020118D" w:rsidRPr="006562D8" w14:paraId="44DF3D89" w14:textId="77777777" w:rsidTr="00747743">
        <w:trPr>
          <w:cantSplit/>
          <w:trHeight w:val="20"/>
        </w:trPr>
        <w:tc>
          <w:tcPr>
            <w:tcW w:w="5000" w:type="pct"/>
            <w:vAlign w:val="center"/>
            <w:hideMark/>
          </w:tcPr>
          <w:p w14:paraId="69824007" w14:textId="77777777" w:rsidR="0020118D" w:rsidRPr="006562D8" w:rsidRDefault="0020118D" w:rsidP="00747743">
            <w:pPr>
              <w:pStyle w:val="TableText0"/>
              <w:keepNext/>
              <w:keepLines/>
              <w:rPr>
                <w:lang w:val="en-AU"/>
              </w:rPr>
            </w:pPr>
            <w:r w:rsidRPr="006562D8">
              <w:rPr>
                <w:lang w:val="en-AU"/>
              </w:rPr>
              <w:t>Clinical criteria:</w:t>
            </w:r>
          </w:p>
        </w:tc>
      </w:tr>
      <w:tr w:rsidR="0020118D" w:rsidRPr="006562D8" w14:paraId="507BDA09" w14:textId="77777777" w:rsidTr="00747743">
        <w:trPr>
          <w:cantSplit/>
          <w:trHeight w:val="20"/>
        </w:trPr>
        <w:tc>
          <w:tcPr>
            <w:tcW w:w="5000" w:type="pct"/>
            <w:vAlign w:val="center"/>
            <w:hideMark/>
          </w:tcPr>
          <w:p w14:paraId="43488750" w14:textId="77777777" w:rsidR="0020118D" w:rsidRPr="006562D8" w:rsidRDefault="0020118D" w:rsidP="00747743">
            <w:pPr>
              <w:pStyle w:val="TableText0"/>
              <w:keepNext/>
              <w:keepLines/>
              <w:rPr>
                <w:szCs w:val="20"/>
                <w:lang w:val="en-AU"/>
              </w:rPr>
            </w:pPr>
            <w:r w:rsidRPr="006562D8">
              <w:rPr>
                <w:lang w:val="en-AU"/>
              </w:rPr>
              <w:t>Previous treatment with leniolisib for APDS under initiation criteria</w:t>
            </w:r>
          </w:p>
        </w:tc>
      </w:tr>
      <w:tr w:rsidR="0020118D" w:rsidRPr="006562D8" w14:paraId="505807BA" w14:textId="77777777" w:rsidTr="00747743">
        <w:trPr>
          <w:cantSplit/>
          <w:trHeight w:val="20"/>
        </w:trPr>
        <w:tc>
          <w:tcPr>
            <w:tcW w:w="5000" w:type="pct"/>
            <w:vAlign w:val="center"/>
            <w:hideMark/>
          </w:tcPr>
          <w:p w14:paraId="3A685A2B" w14:textId="77777777" w:rsidR="0020118D" w:rsidRPr="006562D8" w:rsidRDefault="0020118D" w:rsidP="00747743">
            <w:pPr>
              <w:pStyle w:val="TableText0"/>
              <w:keepNext/>
              <w:keepLines/>
              <w:rPr>
                <w:szCs w:val="20"/>
                <w:lang w:val="en-AU"/>
              </w:rPr>
            </w:pPr>
            <w:r w:rsidRPr="006562D8">
              <w:rPr>
                <w:lang w:val="en-AU"/>
              </w:rPr>
              <w:t>AND</w:t>
            </w:r>
          </w:p>
        </w:tc>
      </w:tr>
      <w:tr w:rsidR="0020118D" w:rsidRPr="006562D8" w14:paraId="4DC3578B" w14:textId="77777777" w:rsidTr="00747743">
        <w:trPr>
          <w:cantSplit/>
          <w:trHeight w:val="20"/>
        </w:trPr>
        <w:tc>
          <w:tcPr>
            <w:tcW w:w="5000" w:type="pct"/>
            <w:vAlign w:val="center"/>
            <w:hideMark/>
          </w:tcPr>
          <w:p w14:paraId="5C2D37D2" w14:textId="77777777" w:rsidR="0020118D" w:rsidRPr="006562D8" w:rsidRDefault="0020118D" w:rsidP="00747743">
            <w:pPr>
              <w:pStyle w:val="TableText0"/>
              <w:keepNext/>
              <w:keepLines/>
              <w:rPr>
                <w:szCs w:val="20"/>
                <w:lang w:val="en-AU"/>
              </w:rPr>
            </w:pPr>
            <w:r w:rsidRPr="006562D8">
              <w:rPr>
                <w:lang w:val="en-AU"/>
              </w:rPr>
              <w:t>Clinical confirmation that APDS symptoms have been managed (as defined by limiting progression of symptoms and/or resolution of symptoms) following the initial treatment period of six months. This should be assessed by or in consultation with an immunologist with expertise in managing patients with inborn errors of immunity, or APDS specifically.</w:t>
            </w:r>
          </w:p>
        </w:tc>
      </w:tr>
      <w:tr w:rsidR="0020118D" w:rsidRPr="006562D8" w14:paraId="24F7F797" w14:textId="77777777" w:rsidTr="00747743">
        <w:trPr>
          <w:cantSplit/>
          <w:trHeight w:val="20"/>
        </w:trPr>
        <w:tc>
          <w:tcPr>
            <w:tcW w:w="5000" w:type="pct"/>
            <w:vAlign w:val="center"/>
          </w:tcPr>
          <w:p w14:paraId="5A024AAF" w14:textId="77777777" w:rsidR="0020118D" w:rsidRPr="006562D8" w:rsidRDefault="0020118D" w:rsidP="00747743">
            <w:pPr>
              <w:pStyle w:val="TableText0"/>
              <w:keepNext/>
              <w:keepLines/>
              <w:rPr>
                <w:lang w:val="en-AU"/>
              </w:rPr>
            </w:pPr>
            <w:r w:rsidRPr="006562D8">
              <w:rPr>
                <w:lang w:val="en-AU"/>
              </w:rPr>
              <w:t>Treatment criteria:</w:t>
            </w:r>
          </w:p>
        </w:tc>
      </w:tr>
      <w:tr w:rsidR="0020118D" w:rsidRPr="006562D8" w14:paraId="16C37DEF" w14:textId="77777777" w:rsidTr="00747743">
        <w:trPr>
          <w:cantSplit/>
          <w:trHeight w:val="20"/>
        </w:trPr>
        <w:tc>
          <w:tcPr>
            <w:tcW w:w="5000" w:type="pct"/>
          </w:tcPr>
          <w:p w14:paraId="57E2116E" w14:textId="77777777" w:rsidR="0020118D" w:rsidRPr="006562D8" w:rsidRDefault="0020118D" w:rsidP="00747743">
            <w:pPr>
              <w:pStyle w:val="TableText0"/>
              <w:keepNext/>
              <w:keepLines/>
              <w:rPr>
                <w:b/>
                <w:szCs w:val="20"/>
                <w:lang w:val="en-AU"/>
              </w:rPr>
            </w:pPr>
            <w:r w:rsidRPr="006562D8">
              <w:rPr>
                <w:rFonts w:cs="Arial Narrow"/>
                <w:lang w:val="en-AU"/>
              </w:rPr>
              <w:t>Aligned to initiation criteria</w:t>
            </w:r>
            <w:r w:rsidRPr="006562D8">
              <w:rPr>
                <w:lang w:val="en-AU"/>
              </w:rPr>
              <w:t>; Leniolisib should be prescribed by or in consultation with an immunologist with expertise in managing patients with inborn errors of immunity, or APDS specifically.</w:t>
            </w:r>
          </w:p>
        </w:tc>
      </w:tr>
      <w:tr w:rsidR="0020118D" w:rsidRPr="006562D8" w14:paraId="24F9B5F1" w14:textId="77777777" w:rsidTr="00747743">
        <w:trPr>
          <w:cantSplit/>
          <w:trHeight w:val="20"/>
        </w:trPr>
        <w:tc>
          <w:tcPr>
            <w:tcW w:w="5000" w:type="pct"/>
          </w:tcPr>
          <w:p w14:paraId="64C2EC8C" w14:textId="77777777" w:rsidR="0020118D" w:rsidRPr="006562D8" w:rsidRDefault="0020118D" w:rsidP="00747743">
            <w:pPr>
              <w:pStyle w:val="TableText0"/>
              <w:keepNext/>
              <w:keepLines/>
              <w:rPr>
                <w:b/>
                <w:szCs w:val="20"/>
                <w:lang w:val="en-AU"/>
              </w:rPr>
            </w:pPr>
            <w:r w:rsidRPr="006562D8">
              <w:rPr>
                <w:lang w:val="en-AU"/>
              </w:rPr>
              <w:t>AND</w:t>
            </w:r>
          </w:p>
        </w:tc>
      </w:tr>
      <w:tr w:rsidR="0020118D" w:rsidRPr="006562D8" w14:paraId="28DBE414" w14:textId="77777777" w:rsidTr="00747743">
        <w:trPr>
          <w:cantSplit/>
          <w:trHeight w:val="20"/>
        </w:trPr>
        <w:tc>
          <w:tcPr>
            <w:tcW w:w="5000" w:type="pct"/>
          </w:tcPr>
          <w:p w14:paraId="1AC5946D" w14:textId="77777777" w:rsidR="0020118D" w:rsidRPr="006562D8" w:rsidRDefault="0020118D" w:rsidP="00747743">
            <w:pPr>
              <w:pStyle w:val="TableText0"/>
              <w:keepNext/>
              <w:keepLines/>
              <w:rPr>
                <w:b/>
                <w:szCs w:val="20"/>
                <w:lang w:val="en-AU"/>
              </w:rPr>
            </w:pPr>
            <w:r w:rsidRPr="006562D8">
              <w:rPr>
                <w:lang w:val="en-AU"/>
              </w:rPr>
              <w:t>Patient should not be receiving concomitant treatment with any of the following: (i) rituximab; (ii) mTOR inhibitors</w:t>
            </w:r>
          </w:p>
        </w:tc>
      </w:tr>
      <w:tr w:rsidR="0020118D" w:rsidRPr="006562D8" w14:paraId="4F6D943A" w14:textId="77777777" w:rsidTr="00747743">
        <w:trPr>
          <w:cantSplit/>
          <w:trHeight w:val="20"/>
        </w:trPr>
        <w:tc>
          <w:tcPr>
            <w:tcW w:w="5000" w:type="pct"/>
            <w:vAlign w:val="center"/>
          </w:tcPr>
          <w:p w14:paraId="16C99BE0" w14:textId="77777777" w:rsidR="0020118D" w:rsidRPr="006562D8" w:rsidRDefault="0020118D" w:rsidP="00747743">
            <w:pPr>
              <w:pStyle w:val="TableText0"/>
              <w:keepNext/>
              <w:keepLines/>
              <w:rPr>
                <w:szCs w:val="20"/>
                <w:lang w:val="en-AU"/>
              </w:rPr>
            </w:pPr>
            <w:r w:rsidRPr="006562D8">
              <w:rPr>
                <w:lang w:val="en-AU"/>
              </w:rPr>
              <w:t>Population criteria:</w:t>
            </w:r>
          </w:p>
        </w:tc>
      </w:tr>
      <w:tr w:rsidR="0020118D" w:rsidRPr="006562D8" w14:paraId="520BA67E" w14:textId="77777777" w:rsidTr="00747743">
        <w:trPr>
          <w:cantSplit/>
          <w:trHeight w:val="20"/>
        </w:trPr>
        <w:tc>
          <w:tcPr>
            <w:tcW w:w="5000" w:type="pct"/>
            <w:vAlign w:val="center"/>
          </w:tcPr>
          <w:p w14:paraId="39DC4339" w14:textId="77777777" w:rsidR="0020118D" w:rsidRPr="006562D8" w:rsidRDefault="0020118D" w:rsidP="00747743">
            <w:pPr>
              <w:pStyle w:val="TableText0"/>
              <w:keepNext/>
              <w:keepLines/>
              <w:rPr>
                <w:b/>
                <w:szCs w:val="20"/>
                <w:lang w:val="en-AU"/>
              </w:rPr>
            </w:pPr>
            <w:r w:rsidRPr="006562D8">
              <w:rPr>
                <w:lang w:val="en-AU"/>
              </w:rPr>
              <w:t>Patients must be aged 12 years or over</w:t>
            </w:r>
          </w:p>
        </w:tc>
      </w:tr>
    </w:tbl>
    <w:p w14:paraId="23FEFFE0" w14:textId="77777777" w:rsidR="0020118D" w:rsidRPr="00B130EF" w:rsidRDefault="0020118D" w:rsidP="0020118D">
      <w:pPr>
        <w:pStyle w:val="FooterTableFigure"/>
        <w:keepNext/>
        <w:keepLines/>
      </w:pPr>
      <w:r w:rsidRPr="00B130EF">
        <w:t>*The submission did not provide any further details regarding the type of Authority Required restriction.</w:t>
      </w:r>
    </w:p>
    <w:p w14:paraId="08AAEE86" w14:textId="77777777" w:rsidR="0020118D" w:rsidRPr="006562D8" w:rsidRDefault="0020118D" w:rsidP="0020118D">
      <w:pPr>
        <w:pStyle w:val="FooterTableFigure"/>
        <w:keepNext/>
        <w:keepLines/>
      </w:pPr>
      <w:r w:rsidRPr="006562D8">
        <w:t xml:space="preserve">Source: Table 1.8, pp63-64 of the submission. </w:t>
      </w:r>
    </w:p>
    <w:p w14:paraId="208D3C5C" w14:textId="77777777" w:rsidR="0020118D" w:rsidRPr="006562D8" w:rsidRDefault="0020118D" w:rsidP="0020118D"/>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Requested listing - reinitiation"/>
      </w:tblPr>
      <w:tblGrid>
        <w:gridCol w:w="8900"/>
      </w:tblGrid>
      <w:tr w:rsidR="0020118D" w:rsidRPr="006562D8" w14:paraId="7CDBF4E7" w14:textId="77777777" w:rsidTr="00747743">
        <w:trPr>
          <w:cantSplit/>
          <w:trHeight w:val="20"/>
        </w:trPr>
        <w:tc>
          <w:tcPr>
            <w:tcW w:w="5000" w:type="pct"/>
          </w:tcPr>
          <w:p w14:paraId="6551594E" w14:textId="77777777" w:rsidR="0020118D" w:rsidRPr="006562D8" w:rsidRDefault="0020118D" w:rsidP="00747743">
            <w:pPr>
              <w:pStyle w:val="TableText0"/>
              <w:keepNext/>
              <w:keepLines/>
              <w:rPr>
                <w:lang w:val="en-AU"/>
              </w:rPr>
            </w:pPr>
            <w:r w:rsidRPr="006562D8">
              <w:rPr>
                <w:b/>
                <w:lang w:val="en-AU"/>
              </w:rPr>
              <w:t xml:space="preserve">Category / Program: </w:t>
            </w:r>
            <w:r w:rsidRPr="006562D8">
              <w:rPr>
                <w:lang w:val="en-AU"/>
              </w:rPr>
              <w:t>Section 100 (HSD Program); Life Saving Drugs Program</w:t>
            </w:r>
          </w:p>
        </w:tc>
      </w:tr>
      <w:tr w:rsidR="0020118D" w:rsidRPr="006562D8" w14:paraId="0191F481" w14:textId="77777777" w:rsidTr="00747743">
        <w:trPr>
          <w:cantSplit/>
          <w:trHeight w:val="20"/>
        </w:trPr>
        <w:tc>
          <w:tcPr>
            <w:tcW w:w="5000" w:type="pct"/>
          </w:tcPr>
          <w:p w14:paraId="1D4F2D84" w14:textId="77777777" w:rsidR="0020118D" w:rsidRPr="006562D8" w:rsidRDefault="0020118D" w:rsidP="00747743">
            <w:pPr>
              <w:pStyle w:val="TableText0"/>
              <w:keepNext/>
              <w:keepLines/>
              <w:rPr>
                <w:b/>
                <w:lang w:val="en-AU"/>
              </w:rPr>
            </w:pPr>
            <w:r w:rsidRPr="006562D8">
              <w:rPr>
                <w:b/>
                <w:lang w:val="en-AU"/>
              </w:rPr>
              <w:t xml:space="preserve">Prescriber type: </w:t>
            </w:r>
            <w:r w:rsidRPr="006562D8">
              <w:rPr>
                <w:lang w:val="en-AU"/>
              </w:rPr>
              <w:fldChar w:fldCharType="begin" w:fldLock="1">
                <w:ffData>
                  <w:name w:val="Check1"/>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Dental </w:t>
            </w:r>
            <w:r w:rsidRPr="006562D8">
              <w:rPr>
                <w:lang w:val="en-AU"/>
              </w:rPr>
              <w:fldChar w:fldCharType="begin" w:fldLock="1">
                <w:ffData>
                  <w:name w:val=""/>
                  <w:enabled/>
                  <w:calcOnExit w:val="0"/>
                  <w:checkBox>
                    <w:sizeAuto/>
                    <w:default w:val="1"/>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Medical Practitioners </w:t>
            </w:r>
            <w:r w:rsidRPr="006562D8">
              <w:rPr>
                <w:lang w:val="en-AU"/>
              </w:rPr>
              <w:fldChar w:fldCharType="begin" w:fldLock="1">
                <w:ffData>
                  <w:name w:val="Check3"/>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Nurse practitioners </w:t>
            </w:r>
            <w:r w:rsidRPr="006562D8">
              <w:rPr>
                <w:lang w:val="en-AU"/>
              </w:rPr>
              <w:fldChar w:fldCharType="begin" w:fldLock="1">
                <w:ffData>
                  <w:name w:val=""/>
                  <w:enabled/>
                  <w:calcOnExit w:val="0"/>
                  <w:checkBox>
                    <w:sizeAuto/>
                    <w:default w:val="0"/>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 xml:space="preserve">Optometrists </w:t>
            </w:r>
          </w:p>
        </w:tc>
      </w:tr>
      <w:tr w:rsidR="0020118D" w:rsidRPr="006562D8" w14:paraId="0E3C7400" w14:textId="77777777" w:rsidTr="00747743">
        <w:trPr>
          <w:cantSplit/>
          <w:trHeight w:val="20"/>
        </w:trPr>
        <w:tc>
          <w:tcPr>
            <w:tcW w:w="5000" w:type="pct"/>
          </w:tcPr>
          <w:p w14:paraId="575D9A48" w14:textId="77777777" w:rsidR="0020118D" w:rsidRPr="006562D8" w:rsidRDefault="0020118D" w:rsidP="00747743">
            <w:pPr>
              <w:pStyle w:val="TableText0"/>
              <w:keepNext/>
              <w:keepLines/>
              <w:rPr>
                <w:lang w:val="en-AU"/>
              </w:rPr>
            </w:pPr>
            <w:r w:rsidRPr="006562D8">
              <w:rPr>
                <w:lang w:val="en-AU"/>
              </w:rPr>
              <w:t xml:space="preserve">Restriction type: </w:t>
            </w:r>
          </w:p>
          <w:p w14:paraId="3CF49672" w14:textId="77777777" w:rsidR="0020118D" w:rsidRPr="006562D8" w:rsidRDefault="0020118D" w:rsidP="00747743">
            <w:pPr>
              <w:pStyle w:val="TableText0"/>
              <w:keepNext/>
              <w:keepLines/>
              <w:rPr>
                <w:lang w:val="en-AU"/>
              </w:rPr>
            </w:pPr>
            <w:r w:rsidRPr="006562D8">
              <w:rPr>
                <w:lang w:val="en-AU"/>
              </w:rPr>
              <w:fldChar w:fldCharType="begin" w:fldLock="1">
                <w:ffData>
                  <w:name w:val=""/>
                  <w:enabled/>
                  <w:calcOnExit w:val="0"/>
                  <w:checkBox>
                    <w:sizeAuto/>
                    <w:default w:val="1"/>
                  </w:checkBox>
                </w:ffData>
              </w:fldChar>
            </w:r>
            <w:r w:rsidRPr="006562D8">
              <w:rPr>
                <w:lang w:val="en-AU"/>
              </w:rPr>
              <w:instrText xml:space="preserve"> FORMCHECKBOX </w:instrText>
            </w:r>
            <w:r w:rsidRPr="006562D8">
              <w:rPr>
                <w:lang w:val="en-AU"/>
              </w:rPr>
            </w:r>
            <w:r w:rsidRPr="006562D8">
              <w:rPr>
                <w:lang w:val="en-AU"/>
              </w:rPr>
              <w:fldChar w:fldCharType="separate"/>
            </w:r>
            <w:r w:rsidRPr="006562D8">
              <w:rPr>
                <w:lang w:val="en-AU"/>
              </w:rPr>
              <w:fldChar w:fldCharType="end"/>
            </w:r>
            <w:r w:rsidRPr="006562D8">
              <w:rPr>
                <w:lang w:val="en-AU"/>
              </w:rPr>
              <w:t>Authority Required (s100)*</w:t>
            </w:r>
          </w:p>
        </w:tc>
      </w:tr>
      <w:tr w:rsidR="0020118D" w:rsidRPr="006562D8" w14:paraId="2D2F8C12" w14:textId="77777777" w:rsidTr="00747743">
        <w:trPr>
          <w:cantSplit/>
          <w:trHeight w:val="20"/>
        </w:trPr>
        <w:tc>
          <w:tcPr>
            <w:tcW w:w="5000" w:type="pct"/>
            <w:vAlign w:val="center"/>
            <w:hideMark/>
          </w:tcPr>
          <w:p w14:paraId="403ADCA5" w14:textId="77777777" w:rsidR="0020118D" w:rsidRPr="006562D8" w:rsidRDefault="0020118D" w:rsidP="00747743">
            <w:pPr>
              <w:pStyle w:val="TableText0"/>
              <w:keepNext/>
              <w:keepLines/>
              <w:rPr>
                <w:lang w:val="en-AU"/>
              </w:rPr>
            </w:pPr>
            <w:r w:rsidRPr="006562D8">
              <w:rPr>
                <w:b/>
                <w:lang w:val="en-AU"/>
              </w:rPr>
              <w:t>Indication:</w:t>
            </w:r>
            <w:r w:rsidRPr="006562D8">
              <w:rPr>
                <w:lang w:val="en-AU"/>
              </w:rPr>
              <w:t xml:space="preserve"> Activated phosphoinositide 3-kinase delta (PI3Kδ) syndrome (APDS)</w:t>
            </w:r>
          </w:p>
        </w:tc>
      </w:tr>
      <w:tr w:rsidR="0020118D" w:rsidRPr="006562D8" w14:paraId="44CA5EF9" w14:textId="77777777" w:rsidTr="00747743">
        <w:trPr>
          <w:cantSplit/>
          <w:trHeight w:val="20"/>
        </w:trPr>
        <w:tc>
          <w:tcPr>
            <w:tcW w:w="5000" w:type="pct"/>
            <w:vAlign w:val="center"/>
            <w:hideMark/>
          </w:tcPr>
          <w:p w14:paraId="141D581F" w14:textId="77777777" w:rsidR="0020118D" w:rsidRPr="006562D8" w:rsidRDefault="0020118D" w:rsidP="00747743">
            <w:pPr>
              <w:pStyle w:val="TableText0"/>
              <w:keepNext/>
              <w:keepLines/>
              <w:rPr>
                <w:lang w:val="en-AU"/>
              </w:rPr>
            </w:pPr>
            <w:r w:rsidRPr="006562D8">
              <w:rPr>
                <w:lang w:val="en-AU"/>
              </w:rPr>
              <w:t>Treatment Phase: Reinitiation</w:t>
            </w:r>
          </w:p>
        </w:tc>
      </w:tr>
      <w:tr w:rsidR="0020118D" w:rsidRPr="006562D8" w14:paraId="7C8F117E" w14:textId="77777777" w:rsidTr="00747743">
        <w:trPr>
          <w:cantSplit/>
          <w:trHeight w:val="20"/>
        </w:trPr>
        <w:tc>
          <w:tcPr>
            <w:tcW w:w="5000" w:type="pct"/>
            <w:vAlign w:val="center"/>
            <w:hideMark/>
          </w:tcPr>
          <w:p w14:paraId="22AA5BC3" w14:textId="77777777" w:rsidR="0020118D" w:rsidRPr="006562D8" w:rsidRDefault="0020118D" w:rsidP="00747743">
            <w:pPr>
              <w:pStyle w:val="TableText0"/>
              <w:keepNext/>
              <w:keepLines/>
              <w:rPr>
                <w:lang w:val="en-AU"/>
              </w:rPr>
            </w:pPr>
            <w:r w:rsidRPr="006562D8">
              <w:rPr>
                <w:lang w:val="en-AU"/>
              </w:rPr>
              <w:t>Clinical criteria:</w:t>
            </w:r>
          </w:p>
        </w:tc>
      </w:tr>
      <w:tr w:rsidR="0020118D" w:rsidRPr="006562D8" w14:paraId="497C1C42" w14:textId="77777777" w:rsidTr="00747743">
        <w:trPr>
          <w:cantSplit/>
          <w:trHeight w:val="20"/>
        </w:trPr>
        <w:tc>
          <w:tcPr>
            <w:tcW w:w="5000" w:type="pct"/>
            <w:hideMark/>
          </w:tcPr>
          <w:p w14:paraId="179EFDD2" w14:textId="77777777" w:rsidR="0020118D" w:rsidRPr="006562D8" w:rsidRDefault="0020118D" w:rsidP="00747743">
            <w:pPr>
              <w:pStyle w:val="TableText0"/>
              <w:keepNext/>
              <w:keepLines/>
              <w:rPr>
                <w:szCs w:val="20"/>
                <w:lang w:val="en-AU"/>
              </w:rPr>
            </w:pPr>
            <w:r w:rsidRPr="006562D8">
              <w:rPr>
                <w:lang w:val="en-AU"/>
              </w:rPr>
              <w:t>Previous treatment with leniolisib for APDS under initiation criteria</w:t>
            </w:r>
          </w:p>
        </w:tc>
      </w:tr>
      <w:tr w:rsidR="0020118D" w:rsidRPr="006562D8" w14:paraId="0952EBD6" w14:textId="77777777" w:rsidTr="00747743">
        <w:trPr>
          <w:cantSplit/>
          <w:trHeight w:val="20"/>
        </w:trPr>
        <w:tc>
          <w:tcPr>
            <w:tcW w:w="5000" w:type="pct"/>
            <w:hideMark/>
          </w:tcPr>
          <w:p w14:paraId="3954E7F1" w14:textId="77777777" w:rsidR="0020118D" w:rsidRPr="006562D8" w:rsidRDefault="0020118D" w:rsidP="00747743">
            <w:pPr>
              <w:pStyle w:val="TableText0"/>
              <w:keepNext/>
              <w:keepLines/>
              <w:rPr>
                <w:szCs w:val="20"/>
                <w:lang w:val="en-AU"/>
              </w:rPr>
            </w:pPr>
            <w:r w:rsidRPr="006562D8">
              <w:rPr>
                <w:lang w:val="en-AU"/>
              </w:rPr>
              <w:t>AND</w:t>
            </w:r>
          </w:p>
        </w:tc>
      </w:tr>
      <w:tr w:rsidR="0020118D" w:rsidRPr="006562D8" w14:paraId="7C503F9C" w14:textId="77777777" w:rsidTr="00747743">
        <w:trPr>
          <w:cantSplit/>
          <w:trHeight w:val="20"/>
        </w:trPr>
        <w:tc>
          <w:tcPr>
            <w:tcW w:w="5000" w:type="pct"/>
            <w:hideMark/>
          </w:tcPr>
          <w:p w14:paraId="4D2E17B4" w14:textId="77777777" w:rsidR="0020118D" w:rsidRPr="006562D8" w:rsidRDefault="0020118D" w:rsidP="00747743">
            <w:pPr>
              <w:pStyle w:val="TableText0"/>
              <w:keepNext/>
              <w:keepLines/>
              <w:rPr>
                <w:szCs w:val="20"/>
                <w:lang w:val="en-AU"/>
              </w:rPr>
            </w:pPr>
            <w:r w:rsidRPr="006562D8">
              <w:rPr>
                <w:lang w:val="en-AU"/>
              </w:rPr>
              <w:t>Clinical confirmation that APDS symptoms have previously been managed (as defined by limiting progression of symptoms and/or resolution of symptoms) following initial treatment</w:t>
            </w:r>
          </w:p>
        </w:tc>
      </w:tr>
      <w:tr w:rsidR="0020118D" w:rsidRPr="006562D8" w14:paraId="37BF5EFC" w14:textId="77777777" w:rsidTr="00747743">
        <w:trPr>
          <w:cantSplit/>
          <w:trHeight w:val="20"/>
        </w:trPr>
        <w:tc>
          <w:tcPr>
            <w:tcW w:w="5000" w:type="pct"/>
            <w:vAlign w:val="center"/>
          </w:tcPr>
          <w:p w14:paraId="2DA5411A" w14:textId="77777777" w:rsidR="0020118D" w:rsidRPr="006562D8" w:rsidRDefault="0020118D" w:rsidP="00747743">
            <w:pPr>
              <w:pStyle w:val="TableText0"/>
              <w:keepNext/>
              <w:keepLines/>
              <w:rPr>
                <w:lang w:val="en-AU"/>
              </w:rPr>
            </w:pPr>
            <w:r w:rsidRPr="006562D8">
              <w:rPr>
                <w:lang w:val="en-AU"/>
              </w:rPr>
              <w:t>Treatment criteria:</w:t>
            </w:r>
          </w:p>
        </w:tc>
      </w:tr>
      <w:tr w:rsidR="0020118D" w:rsidRPr="006562D8" w14:paraId="2B93CB41" w14:textId="77777777" w:rsidTr="00747743">
        <w:trPr>
          <w:cantSplit/>
          <w:trHeight w:val="20"/>
        </w:trPr>
        <w:tc>
          <w:tcPr>
            <w:tcW w:w="5000" w:type="pct"/>
          </w:tcPr>
          <w:p w14:paraId="43ABA989" w14:textId="77777777" w:rsidR="0020118D" w:rsidRPr="006562D8" w:rsidRDefault="0020118D" w:rsidP="00747743">
            <w:pPr>
              <w:pStyle w:val="TableText0"/>
              <w:keepNext/>
              <w:keepLines/>
              <w:rPr>
                <w:b/>
                <w:szCs w:val="20"/>
                <w:lang w:val="en-AU"/>
              </w:rPr>
            </w:pPr>
            <w:r w:rsidRPr="006562D8">
              <w:rPr>
                <w:rFonts w:cs="Arial Narrow"/>
                <w:lang w:val="en-AU"/>
              </w:rPr>
              <w:t>Aligned to initiation criteria</w:t>
            </w:r>
            <w:r w:rsidRPr="006562D8">
              <w:rPr>
                <w:lang w:val="en-AU"/>
              </w:rPr>
              <w:t>; Leniolisib should be prescribed by or in consultation with an immunologist with expertise in managing patients with inborn errors of immunity, or APDS specifically.</w:t>
            </w:r>
          </w:p>
        </w:tc>
      </w:tr>
      <w:tr w:rsidR="0020118D" w:rsidRPr="006562D8" w14:paraId="15EE4E95" w14:textId="77777777" w:rsidTr="00747743">
        <w:trPr>
          <w:cantSplit/>
          <w:trHeight w:val="20"/>
        </w:trPr>
        <w:tc>
          <w:tcPr>
            <w:tcW w:w="5000" w:type="pct"/>
          </w:tcPr>
          <w:p w14:paraId="5FE95853" w14:textId="77777777" w:rsidR="0020118D" w:rsidRPr="006562D8" w:rsidRDefault="0020118D" w:rsidP="00747743">
            <w:pPr>
              <w:pStyle w:val="TableText0"/>
              <w:keepNext/>
              <w:keepLines/>
              <w:rPr>
                <w:b/>
                <w:szCs w:val="20"/>
                <w:lang w:val="en-AU"/>
              </w:rPr>
            </w:pPr>
            <w:r w:rsidRPr="006562D8">
              <w:rPr>
                <w:lang w:val="en-AU"/>
              </w:rPr>
              <w:t>AND</w:t>
            </w:r>
          </w:p>
        </w:tc>
      </w:tr>
      <w:tr w:rsidR="0020118D" w:rsidRPr="006562D8" w14:paraId="055660F0" w14:textId="77777777" w:rsidTr="00747743">
        <w:trPr>
          <w:cantSplit/>
          <w:trHeight w:val="20"/>
        </w:trPr>
        <w:tc>
          <w:tcPr>
            <w:tcW w:w="5000" w:type="pct"/>
          </w:tcPr>
          <w:p w14:paraId="72496937" w14:textId="77777777" w:rsidR="0020118D" w:rsidRPr="006562D8" w:rsidRDefault="0020118D" w:rsidP="00747743">
            <w:pPr>
              <w:pStyle w:val="TableText0"/>
              <w:keepNext/>
              <w:keepLines/>
              <w:rPr>
                <w:b/>
                <w:szCs w:val="20"/>
                <w:lang w:val="en-AU"/>
              </w:rPr>
            </w:pPr>
            <w:r w:rsidRPr="006562D8">
              <w:rPr>
                <w:lang w:val="en-AU"/>
              </w:rPr>
              <w:t>Patient should not be receiving concomitant treatment with any of the following: (i) rituximab; (ii) mTOR inhibitors</w:t>
            </w:r>
          </w:p>
        </w:tc>
      </w:tr>
      <w:tr w:rsidR="0020118D" w:rsidRPr="006562D8" w14:paraId="4CB596ED" w14:textId="77777777" w:rsidTr="00747743">
        <w:trPr>
          <w:cantSplit/>
          <w:trHeight w:val="20"/>
        </w:trPr>
        <w:tc>
          <w:tcPr>
            <w:tcW w:w="5000" w:type="pct"/>
            <w:vAlign w:val="center"/>
          </w:tcPr>
          <w:p w14:paraId="5DD197B3" w14:textId="77777777" w:rsidR="0020118D" w:rsidRPr="006562D8" w:rsidRDefault="0020118D" w:rsidP="00747743">
            <w:pPr>
              <w:pStyle w:val="TableText0"/>
              <w:keepNext/>
              <w:keepLines/>
              <w:rPr>
                <w:szCs w:val="20"/>
                <w:lang w:val="en-AU"/>
              </w:rPr>
            </w:pPr>
            <w:r w:rsidRPr="006562D8">
              <w:rPr>
                <w:lang w:val="en-AU"/>
              </w:rPr>
              <w:t>Population criteria:</w:t>
            </w:r>
          </w:p>
        </w:tc>
      </w:tr>
      <w:tr w:rsidR="0020118D" w:rsidRPr="006562D8" w14:paraId="5F964433" w14:textId="77777777" w:rsidTr="00747743">
        <w:trPr>
          <w:cantSplit/>
          <w:trHeight w:val="20"/>
        </w:trPr>
        <w:tc>
          <w:tcPr>
            <w:tcW w:w="5000" w:type="pct"/>
            <w:vAlign w:val="center"/>
          </w:tcPr>
          <w:p w14:paraId="6D6BE753" w14:textId="77777777" w:rsidR="0020118D" w:rsidRPr="006562D8" w:rsidRDefault="0020118D" w:rsidP="00747743">
            <w:pPr>
              <w:pStyle w:val="TableText0"/>
              <w:keepNext/>
              <w:keepLines/>
              <w:rPr>
                <w:b/>
                <w:szCs w:val="20"/>
                <w:lang w:val="en-AU"/>
              </w:rPr>
            </w:pPr>
            <w:r w:rsidRPr="006562D8">
              <w:rPr>
                <w:lang w:val="en-AU"/>
              </w:rPr>
              <w:t>Patients must be aged 12 years or over</w:t>
            </w:r>
          </w:p>
        </w:tc>
      </w:tr>
    </w:tbl>
    <w:p w14:paraId="22C34BD8" w14:textId="77777777" w:rsidR="0020118D" w:rsidRPr="00B130EF" w:rsidRDefault="0020118D" w:rsidP="0020118D">
      <w:pPr>
        <w:pStyle w:val="FooterTableFigure"/>
        <w:keepNext/>
        <w:keepLines/>
      </w:pPr>
      <w:r w:rsidRPr="00B130EF">
        <w:t>*The submission did not provide any further details regarding the type of Authority Required (s100) restriction.</w:t>
      </w:r>
    </w:p>
    <w:p w14:paraId="394165DA" w14:textId="77777777" w:rsidR="0020118D" w:rsidRPr="006562D8" w:rsidRDefault="0020118D" w:rsidP="0020118D">
      <w:pPr>
        <w:pStyle w:val="FooterTableFigure"/>
        <w:keepNext/>
        <w:keepLines/>
      </w:pPr>
      <w:r w:rsidRPr="006562D8">
        <w:t xml:space="preserve">Source: Table 1.9, pp64 of the submission. </w:t>
      </w:r>
    </w:p>
    <w:p w14:paraId="546907EA" w14:textId="35B5BC09" w:rsidR="003B4775" w:rsidRPr="006562D8" w:rsidRDefault="003B4775" w:rsidP="004C2A14">
      <w:pPr>
        <w:pStyle w:val="3-BodyText"/>
        <w:spacing w:before="120" w:after="120"/>
      </w:pPr>
      <w:r>
        <w:t>The submission proposed a</w:t>
      </w:r>
      <w:r w:rsidRPr="006562D8">
        <w:t xml:space="preserve">n effective </w:t>
      </w:r>
      <w:r w:rsidR="00A41D56">
        <w:t xml:space="preserve">ex-man </w:t>
      </w:r>
      <w:r w:rsidRPr="006562D8">
        <w:t>price of $</w:t>
      </w:r>
      <w:r w:rsidR="001F60D7" w:rsidRPr="005D75EA">
        <w:rPr>
          <w:color w:val="000000"/>
          <w:spacing w:val="1"/>
          <w:w w:val="32"/>
          <w:shd w:val="solid" w:color="000000" w:fill="000000"/>
          <w:fitText w:val="184" w:id="-629967614"/>
          <w14:textFill>
            <w14:solidFill>
              <w14:srgbClr w14:val="000000">
                <w14:alpha w14:val="100000"/>
              </w14:srgbClr>
            </w14:solidFill>
          </w14:textFill>
        </w:rPr>
        <w:t>||  |</w:t>
      </w:r>
      <w:r w:rsidR="001F60D7" w:rsidRPr="005D75EA">
        <w:rPr>
          <w:color w:val="000000"/>
          <w:spacing w:val="3"/>
          <w:w w:val="32"/>
          <w:shd w:val="solid" w:color="000000" w:fill="000000"/>
          <w:fitText w:val="184" w:id="-629967614"/>
          <w14:textFill>
            <w14:solidFill>
              <w14:srgbClr w14:val="000000">
                <w14:alpha w14:val="100000"/>
              </w14:srgbClr>
            </w14:solidFill>
          </w14:textFill>
        </w:rPr>
        <w:t>|</w:t>
      </w:r>
      <w:r>
        <w:t xml:space="preserve"> per pack (60 tablets) (</w:t>
      </w:r>
      <w:r w:rsidR="001F60D7" w:rsidRPr="00C740B8">
        <w:rPr>
          <w:color w:val="000000"/>
          <w:w w:val="15"/>
          <w:shd w:val="solid" w:color="000000" w:fill="000000"/>
          <w:fitText w:val="-20" w:id="-629967613"/>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13"/>
          <w14:textFill>
            <w14:solidFill>
              <w14:srgbClr w14:val="000000">
                <w14:alpha w14:val="100000"/>
              </w14:srgbClr>
            </w14:solidFill>
          </w14:textFill>
        </w:rPr>
        <w:t>|</w:t>
      </w:r>
      <w:r w:rsidRPr="006562D8">
        <w:t xml:space="preserve">% </w:t>
      </w:r>
      <w:r>
        <w:t>less than</w:t>
      </w:r>
      <w:r w:rsidRPr="006562D8">
        <w:t xml:space="preserve"> the proposed </w:t>
      </w:r>
      <w:r>
        <w:t xml:space="preserve">public </w:t>
      </w:r>
      <w:r w:rsidRPr="006562D8">
        <w:t>list price of $</w:t>
      </w:r>
      <w:r w:rsidR="001F60D7" w:rsidRPr="00C740B8">
        <w:rPr>
          <w:color w:val="000000"/>
          <w:w w:val="15"/>
          <w:shd w:val="solid" w:color="000000" w:fill="000000"/>
          <w:fitText w:val="-20" w:id="-629967612"/>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12"/>
          <w14:textFill>
            <w14:solidFill>
              <w14:srgbClr w14:val="000000">
                <w14:alpha w14:val="100000"/>
              </w14:srgbClr>
            </w14:solidFill>
          </w14:textFill>
        </w:rPr>
        <w:t>|</w:t>
      </w:r>
      <w:r>
        <w:t xml:space="preserve"> per pack)</w:t>
      </w:r>
      <w:r w:rsidRPr="006562D8">
        <w:t>.</w:t>
      </w:r>
      <w:r w:rsidR="00AD6525">
        <w:t xml:space="preserve"> The pre-PBAC response proposed a </w:t>
      </w:r>
      <w:r w:rsidR="006D37F5">
        <w:t>revised</w:t>
      </w:r>
      <w:r w:rsidR="00AD6525">
        <w:t xml:space="preserve"> effective </w:t>
      </w:r>
      <w:r w:rsidR="00A41D56">
        <w:t xml:space="preserve">ex-man </w:t>
      </w:r>
      <w:r w:rsidR="00AD6525">
        <w:t xml:space="preserve">price </w:t>
      </w:r>
      <w:r w:rsidR="006D37F5">
        <w:t>of $</w:t>
      </w:r>
      <w:r w:rsidR="001F60D7" w:rsidRPr="00C740B8">
        <w:rPr>
          <w:color w:val="000000"/>
          <w:w w:val="15"/>
          <w:shd w:val="solid" w:color="000000" w:fill="000000"/>
          <w:fitText w:val="-20" w:id="-629967611"/>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11"/>
          <w14:textFill>
            <w14:solidFill>
              <w14:srgbClr w14:val="000000">
                <w14:alpha w14:val="100000"/>
              </w14:srgbClr>
            </w14:solidFill>
          </w14:textFill>
        </w:rPr>
        <w:t>|</w:t>
      </w:r>
      <w:r w:rsidR="006746D5">
        <w:t xml:space="preserve"> per pack.</w:t>
      </w:r>
    </w:p>
    <w:p w14:paraId="6ED6B8DE" w14:textId="7D9D9397" w:rsidR="00A4529D" w:rsidRPr="000C0D3B" w:rsidRDefault="00A4529D" w:rsidP="00F31252">
      <w:pPr>
        <w:pStyle w:val="3-BodyText"/>
        <w:spacing w:before="120" w:after="120"/>
      </w:pPr>
      <w:r w:rsidRPr="000C0D3B">
        <w:t>The requested restriction was mostly consistent with the TGA approved indication, except that patients must have APDS that is symptomatic to initiat</w:t>
      </w:r>
      <w:r w:rsidR="001D3A8C" w:rsidRPr="000C0D3B">
        <w:t>e</w:t>
      </w:r>
      <w:r w:rsidRPr="000C0D3B">
        <w:t xml:space="preserve"> </w:t>
      </w:r>
      <w:r w:rsidR="001D3A8C" w:rsidRPr="000C0D3B">
        <w:t xml:space="preserve">treatment with </w:t>
      </w:r>
      <w:r w:rsidRPr="000C0D3B">
        <w:t>leniolisib (i.e. narrower than the TGA indication).</w:t>
      </w:r>
      <w:r w:rsidR="00E730D3">
        <w:t xml:space="preserve"> </w:t>
      </w:r>
      <w:r w:rsidR="00E730D3" w:rsidRPr="007E09BD">
        <w:rPr>
          <w:rFonts w:cstheme="minorHAnsi"/>
        </w:rPr>
        <w:t xml:space="preserve">The submission </w:t>
      </w:r>
      <w:r w:rsidR="00F37882">
        <w:rPr>
          <w:rFonts w:cstheme="minorHAnsi"/>
        </w:rPr>
        <w:t xml:space="preserve">stated </w:t>
      </w:r>
      <w:r w:rsidR="00E730D3" w:rsidRPr="007E09BD">
        <w:rPr>
          <w:rFonts w:cstheme="minorHAnsi"/>
        </w:rPr>
        <w:t xml:space="preserve">that the intention </w:t>
      </w:r>
      <w:r w:rsidR="00F37882">
        <w:rPr>
          <w:rFonts w:cstheme="minorHAnsi"/>
        </w:rPr>
        <w:t>wa</w:t>
      </w:r>
      <w:r w:rsidR="00E730D3" w:rsidRPr="007E09BD">
        <w:rPr>
          <w:rFonts w:cstheme="minorHAnsi"/>
        </w:rPr>
        <w:t>s to exclude asymptomatic or “carrier” patients.</w:t>
      </w:r>
    </w:p>
    <w:p w14:paraId="4C516294" w14:textId="22912100" w:rsidR="00D40E3B" w:rsidRPr="008B433C" w:rsidRDefault="00426CC6" w:rsidP="00A4529D">
      <w:pPr>
        <w:pStyle w:val="3-BodyText"/>
        <w:spacing w:before="0" w:after="120"/>
      </w:pPr>
      <w:r w:rsidRPr="008B433C">
        <w:rPr>
          <w:bCs/>
        </w:rPr>
        <w:t xml:space="preserve">The proposed </w:t>
      </w:r>
      <w:r w:rsidR="00D40E3B" w:rsidRPr="008B433C">
        <w:rPr>
          <w:bCs/>
        </w:rPr>
        <w:t xml:space="preserve">restriction </w:t>
      </w:r>
      <w:r w:rsidRPr="008B433C">
        <w:rPr>
          <w:bCs/>
        </w:rPr>
        <w:t xml:space="preserve">criteria state that the patient must have a diagnosis of APDS confirmed by genomic or genetic testing, however a corresponding test/panel is not funded through the MBS for patients aged more than 10 years. The submission claimed that genetic testing for patients </w:t>
      </w:r>
      <w:r w:rsidRPr="008B433C">
        <w:t xml:space="preserve">for inborn errors of immunity (IEIs) such as </w:t>
      </w:r>
      <w:r w:rsidRPr="008B433C">
        <w:rPr>
          <w:bCs/>
        </w:rPr>
        <w:t>suspected</w:t>
      </w:r>
      <w:r w:rsidR="00D40E3B" w:rsidRPr="008B433C">
        <w:rPr>
          <w:bCs/>
        </w:rPr>
        <w:t xml:space="preserve"> </w:t>
      </w:r>
      <w:r w:rsidRPr="008B433C">
        <w:rPr>
          <w:bCs/>
        </w:rPr>
        <w:t xml:space="preserve">APDS, is funded free of charge through public hospital systems for the purpose of diagnosis, however </w:t>
      </w:r>
      <w:r w:rsidR="00D40E3B" w:rsidRPr="008B433C">
        <w:rPr>
          <w:bCs/>
        </w:rPr>
        <w:t xml:space="preserve">the evaluation noted that </w:t>
      </w:r>
      <w:r w:rsidRPr="008B433C">
        <w:rPr>
          <w:bCs/>
        </w:rPr>
        <w:t>for adult patients in the private system there may be out of pocket costs</w:t>
      </w:r>
      <w:r w:rsidRPr="008B433C">
        <w:t>, as confirmed in consultation with Australian clinicians and the Australasian Society of Clinical Immunology and Allergy (ASCIA)</w:t>
      </w:r>
      <w:r w:rsidRPr="008B433C">
        <w:rPr>
          <w:bCs/>
        </w:rPr>
        <w:t>. T</w:t>
      </w:r>
      <w:r w:rsidRPr="008B433C">
        <w:t xml:space="preserve">he </w:t>
      </w:r>
      <w:r w:rsidR="00EE2B86" w:rsidRPr="00EE2B86">
        <w:t xml:space="preserve">Pre-Sub-Committee Response </w:t>
      </w:r>
      <w:r w:rsidR="00EE2B86">
        <w:t>(</w:t>
      </w:r>
      <w:r w:rsidRPr="008B433C">
        <w:t>PSCR</w:t>
      </w:r>
      <w:r w:rsidR="00EE2B86">
        <w:t>)</w:t>
      </w:r>
      <w:r w:rsidRPr="008B433C">
        <w:t xml:space="preserve"> noted that on 10 March 2025, the ASCIA lodged a letter of support for an MSAC application by the Royal College of Pathologists of Australasia (RCPA) for genomic testing for the diagnosis of IEI, including primary immunodeficiency diseases (PID). The </w:t>
      </w:r>
      <w:r w:rsidR="005A345C">
        <w:t xml:space="preserve">PBAC agreed with </w:t>
      </w:r>
      <w:r w:rsidR="009D2BB2">
        <w:t>its</w:t>
      </w:r>
      <w:r w:rsidR="005A345C">
        <w:t xml:space="preserve"> </w:t>
      </w:r>
      <w:r w:rsidRPr="008B433C">
        <w:t xml:space="preserve">Sub-Committees </w:t>
      </w:r>
      <w:r w:rsidR="004148AC">
        <w:t xml:space="preserve">(ESC and DUSC) </w:t>
      </w:r>
      <w:r w:rsidR="005A345C">
        <w:t xml:space="preserve">and </w:t>
      </w:r>
      <w:r w:rsidRPr="008B433C">
        <w:t>considered that genetic testing is not a barrier to APDS diagnosis and while the test is not on the MBS, all patients currently have access to testing given APDS patients are mainly treated in public hospitals by a small number of clinicians.</w:t>
      </w:r>
    </w:p>
    <w:p w14:paraId="3E7F0D57" w14:textId="54B3968D" w:rsidR="00A4529D" w:rsidRPr="000C0D3B" w:rsidRDefault="00A4529D" w:rsidP="00A4529D">
      <w:pPr>
        <w:pStyle w:val="3-BodyText"/>
        <w:spacing w:before="0" w:after="120"/>
      </w:pPr>
      <w:r w:rsidRPr="000C0D3B">
        <w:t xml:space="preserve">The proposed initiation criteria required confirmation of symptomatic APDS, defined as having required or currently requiring any kind of therapeutic intervention for control or prevention of APDS-associated complications based on specialist clinical assessment. </w:t>
      </w:r>
      <w:r w:rsidR="00BB41FD" w:rsidRPr="000C0D3B">
        <w:t>W</w:t>
      </w:r>
      <w:r w:rsidRPr="000C0D3B">
        <w:t>hile the proposed wording states that ‘confirmation of symptomatic APDS’ was required, no examples of symptoms were provided and instead, a range of clinical assessment tests were listed. Patients with APDS are typically identified as potentially having an IEI based on symptoms/presentation before they undergo functional laboratory testing and identification of the specific IEI. Therefore, it was likely that all patients being considered for treatment with leniolisib would have demonstrated prior symptoms.</w:t>
      </w:r>
      <w:r w:rsidR="00870E84">
        <w:t xml:space="preserve"> </w:t>
      </w:r>
      <w:r w:rsidR="004C2A60" w:rsidRPr="008B433C">
        <w:t xml:space="preserve">The </w:t>
      </w:r>
      <w:r w:rsidR="00BF1C7A" w:rsidRPr="008B433C">
        <w:t>Sub-Committees</w:t>
      </w:r>
      <w:r w:rsidR="004C2A60" w:rsidRPr="008B433C">
        <w:t xml:space="preserve"> </w:t>
      </w:r>
      <w:r w:rsidR="004E2F89" w:rsidRPr="008B433C">
        <w:t xml:space="preserve">noted the testing requirements were consistent with trial eligibility criteria but </w:t>
      </w:r>
      <w:r w:rsidR="00C22D20" w:rsidRPr="008B433C">
        <w:t xml:space="preserve">considered it remains unclear which </w:t>
      </w:r>
      <w:r w:rsidR="00BA09A7" w:rsidRPr="008B433C">
        <w:t xml:space="preserve">(if any) assessments should be required </w:t>
      </w:r>
      <w:r w:rsidR="00013D14" w:rsidRPr="008B433C">
        <w:t>to confirm diagnosis</w:t>
      </w:r>
      <w:r w:rsidR="003D2D2B" w:rsidRPr="008B433C">
        <w:t>/symptoms</w:t>
      </w:r>
      <w:r w:rsidR="00013D14" w:rsidRPr="008B433C">
        <w:t xml:space="preserve"> </w:t>
      </w:r>
      <w:r w:rsidR="00BA09A7" w:rsidRPr="008B433C">
        <w:t xml:space="preserve">and whether the proposed criteria would </w:t>
      </w:r>
      <w:r w:rsidR="00D36F42" w:rsidRPr="008B433C">
        <w:t xml:space="preserve">be reasonably expected to identify patients with symptoms </w:t>
      </w:r>
      <w:r w:rsidR="003D2D2B" w:rsidRPr="008B433C">
        <w:t xml:space="preserve">and manifestations </w:t>
      </w:r>
      <w:r w:rsidR="00D36F42" w:rsidRPr="008B433C">
        <w:t xml:space="preserve">consistent with </w:t>
      </w:r>
      <w:r w:rsidR="003D2D2B" w:rsidRPr="008B433C">
        <w:t>patients included</w:t>
      </w:r>
      <w:r w:rsidR="00D36F42" w:rsidRPr="008B433C">
        <w:t xml:space="preserve"> in the clinical trials.</w:t>
      </w:r>
      <w:r w:rsidR="00D36F42">
        <w:rPr>
          <w:i/>
          <w:iCs/>
        </w:rPr>
        <w:t xml:space="preserve"> </w:t>
      </w:r>
    </w:p>
    <w:p w14:paraId="5DA586AB" w14:textId="583CC39B" w:rsidR="00A4529D" w:rsidRPr="000C0D3B" w:rsidRDefault="00A4529D" w:rsidP="00A4529D">
      <w:pPr>
        <w:pStyle w:val="3-BodyText"/>
        <w:spacing w:before="0" w:after="120"/>
      </w:pPr>
      <w:r w:rsidRPr="000C0D3B">
        <w:t xml:space="preserve">The proposed initiation </w:t>
      </w:r>
      <w:r w:rsidR="008B110F" w:rsidRPr="000C0D3B">
        <w:t xml:space="preserve">restriction </w:t>
      </w:r>
      <w:r w:rsidRPr="000C0D3B">
        <w:t xml:space="preserve">did not include any requirement for patients to be naïve to leniolisib treatment. </w:t>
      </w:r>
      <w:r w:rsidR="00764ED0" w:rsidRPr="000C0D3B">
        <w:t>Therefore,</w:t>
      </w:r>
      <w:r w:rsidRPr="000C0D3B">
        <w:t xml:space="preserve"> patients receiving leniolisib under the leniolisib early access program (EAP), or patients who had previously received treatment under the EAP, would be able to initiate </w:t>
      </w:r>
      <w:r w:rsidR="0067036A">
        <w:t xml:space="preserve">PBS subsidised treatment with </w:t>
      </w:r>
      <w:r w:rsidRPr="000C0D3B">
        <w:t>leniolisib under the proposed</w:t>
      </w:r>
      <w:r w:rsidR="0067036A">
        <w:t xml:space="preserve"> initial treatment phase</w:t>
      </w:r>
      <w:r w:rsidRPr="000C0D3B">
        <w:t xml:space="preserve">. The </w:t>
      </w:r>
      <w:r w:rsidR="00AB5531">
        <w:t xml:space="preserve">PBAC considered </w:t>
      </w:r>
      <w:r w:rsidR="00DB4D8E">
        <w:t xml:space="preserve">this would be reasonable. </w:t>
      </w:r>
      <w:r w:rsidR="00604283">
        <w:t xml:space="preserve">The PBAC also </w:t>
      </w:r>
      <w:r w:rsidR="00B07AE2">
        <w:t>noted</w:t>
      </w:r>
      <w:r w:rsidR="00604283">
        <w:t xml:space="preserve"> </w:t>
      </w:r>
      <w:r w:rsidR="00AB5531">
        <w:t xml:space="preserve">the </w:t>
      </w:r>
      <w:r w:rsidRPr="000C0D3B">
        <w:t xml:space="preserve">switch from the EAP to PBS-funded leniolisib would not require demonstration of any response to or benefit with </w:t>
      </w:r>
      <w:r w:rsidR="00202B99" w:rsidRPr="000C0D3B">
        <w:t>leniolisib,</w:t>
      </w:r>
      <w:r w:rsidR="00EA3FCE">
        <w:t xml:space="preserve"> but </w:t>
      </w:r>
      <w:r w:rsidR="000A65DE">
        <w:t xml:space="preserve">ongoing treatment </w:t>
      </w:r>
      <w:r w:rsidR="00E5145E">
        <w:t>would require stable or responding disease</w:t>
      </w:r>
      <w:r w:rsidRPr="000C0D3B">
        <w:t>.</w:t>
      </w:r>
    </w:p>
    <w:p w14:paraId="322C41E3" w14:textId="24082F00" w:rsidR="00A4529D" w:rsidRPr="000C0D3B" w:rsidRDefault="00A4529D" w:rsidP="00A4529D">
      <w:pPr>
        <w:pStyle w:val="3-BodyText"/>
        <w:spacing w:before="0" w:after="120"/>
      </w:pPr>
      <w:r w:rsidRPr="000C0D3B">
        <w:t xml:space="preserve">While the proposed continuation and reinitiation criteria included the requirement for clinical confirmation that APDS symptoms have previously been managed following initial leniolisib treatment (as defined by limiting progression of symptoms and/or resolution of symptoms), no specific tests or explicit evidence of this was required. Consequently, it would largely be at the treating clinician’s discretion whether a patient met the continuation criteria. </w:t>
      </w:r>
    </w:p>
    <w:p w14:paraId="66E86D4A" w14:textId="30B94B91" w:rsidR="00A4529D" w:rsidRDefault="00A4529D" w:rsidP="00A4529D">
      <w:pPr>
        <w:pStyle w:val="3-BodyText"/>
        <w:spacing w:before="0" w:after="120"/>
      </w:pPr>
      <w:r w:rsidRPr="000C0D3B">
        <w:t xml:space="preserve">The </w:t>
      </w:r>
      <w:r w:rsidR="00167AA9">
        <w:t xml:space="preserve">submission </w:t>
      </w:r>
      <w:r w:rsidRPr="000C0D3B">
        <w:t>proposed reinitiation criteria requir</w:t>
      </w:r>
      <w:r w:rsidR="00167AA9">
        <w:t>ing</w:t>
      </w:r>
      <w:r w:rsidRPr="000C0D3B">
        <w:t xml:space="preserve"> patients to have received previous treatment with leniolisib under the initiation criteria.</w:t>
      </w:r>
      <w:r w:rsidR="00167AA9">
        <w:t xml:space="preserve"> </w:t>
      </w:r>
      <w:r w:rsidR="00C2352B">
        <w:t>T</w:t>
      </w:r>
      <w:r w:rsidR="00571D1D">
        <w:t>his reinitiation criteria would not be needed if patients</w:t>
      </w:r>
      <w:r w:rsidR="00C0175F">
        <w:t xml:space="preserve"> who had previously had stable/responding disease while treated with leniolisib were able to a</w:t>
      </w:r>
      <w:r w:rsidR="00002B3B">
        <w:t>ccess treatment under the propose</w:t>
      </w:r>
      <w:r w:rsidR="00C2352B">
        <w:t>d</w:t>
      </w:r>
      <w:r w:rsidR="00002B3B">
        <w:t xml:space="preserve"> continuing restrictions. </w:t>
      </w:r>
      <w:r w:rsidRPr="000C0D3B">
        <w:t xml:space="preserve"> </w:t>
      </w:r>
    </w:p>
    <w:p w14:paraId="77ED91EF" w14:textId="7DC73717" w:rsidR="00365115" w:rsidRPr="007E09BD" w:rsidRDefault="00365115" w:rsidP="00365115">
      <w:pPr>
        <w:pStyle w:val="3-BodyText"/>
        <w:rPr>
          <w:lang w:val="en-US"/>
        </w:rPr>
      </w:pPr>
      <w:r>
        <w:t>T</w:t>
      </w:r>
      <w:r w:rsidRPr="007E09BD">
        <w:t xml:space="preserve">he submission </w:t>
      </w:r>
      <w:r>
        <w:t xml:space="preserve">did </w:t>
      </w:r>
      <w:r w:rsidRPr="007E09BD">
        <w:t>not explicitly propose a</w:t>
      </w:r>
      <w:r w:rsidR="006749EC">
        <w:t>n authority level</w:t>
      </w:r>
      <w:r w:rsidR="001A03ED">
        <w:t xml:space="preserve"> </w:t>
      </w:r>
      <w:r w:rsidRPr="007E09BD">
        <w:t xml:space="preserve">for the initial, continuing and re-initiation treatment phases, but alluded to a requirement of an “in writing” application in the prescribing instructions for the initial treatment phase, to confirm diagnosis of symptomatic APDS. In addition, patients who have met the eligibility criteria for ongoing treatment would need to provide details of an assessment of response to continue PBS-subsidised treatment with leniolisib. </w:t>
      </w:r>
    </w:p>
    <w:p w14:paraId="1C8C761D" w14:textId="0AD4BDDE" w:rsidR="00AD4D65" w:rsidRPr="007E09BD" w:rsidRDefault="00AD4D65" w:rsidP="00AD4D65">
      <w:pPr>
        <w:pStyle w:val="3-BodyText"/>
      </w:pPr>
      <w:r w:rsidRPr="007E09BD">
        <w:t xml:space="preserve">The submission proposed immunologists or medical practitioners in consultation with an immunologist with expertise in managing patients with primary immunodeficiencies or APDS specifically as authorised prescribers. </w:t>
      </w:r>
      <w:r w:rsidRPr="00AD4D65">
        <w:t>The Sub-Committees advised this would be appropriate given immunologists are responsible for of diagnosis/treatment for patients with IEIs.</w:t>
      </w:r>
      <w:r w:rsidRPr="006019C1">
        <w:rPr>
          <w:i/>
          <w:iCs/>
        </w:rPr>
        <w:t xml:space="preserve"> </w:t>
      </w:r>
    </w:p>
    <w:p w14:paraId="0323030C" w14:textId="73281E98" w:rsidR="00B3469B" w:rsidRPr="00A440CE" w:rsidRDefault="00D11E1A" w:rsidP="00A4529D">
      <w:pPr>
        <w:pStyle w:val="3-BodyText"/>
        <w:spacing w:before="0" w:after="120"/>
      </w:pPr>
      <w:r>
        <w:rPr>
          <w:rFonts w:cstheme="minorHAnsi"/>
          <w:lang w:val="en-US"/>
        </w:rPr>
        <w:t xml:space="preserve">The PBAC considered </w:t>
      </w:r>
      <w:r w:rsidR="00811CEB">
        <w:rPr>
          <w:rFonts w:cstheme="minorHAnsi"/>
          <w:lang w:val="en-US"/>
        </w:rPr>
        <w:t xml:space="preserve">a </w:t>
      </w:r>
      <w:r w:rsidR="00B3469B" w:rsidRPr="007E09BD">
        <w:rPr>
          <w:rFonts w:cstheme="minorHAnsi"/>
          <w:lang w:val="en-US"/>
        </w:rPr>
        <w:t>Section 100 HSD listing (public/private hospital</w:t>
      </w:r>
      <w:r w:rsidR="00202B99" w:rsidRPr="007E09BD">
        <w:rPr>
          <w:rFonts w:cstheme="minorHAnsi"/>
          <w:lang w:val="en-US"/>
        </w:rPr>
        <w:t>)</w:t>
      </w:r>
      <w:r w:rsidR="00B3469B" w:rsidRPr="007E09BD">
        <w:rPr>
          <w:rFonts w:cstheme="minorHAnsi"/>
          <w:lang w:val="en-US"/>
        </w:rPr>
        <w:t xml:space="preserve"> </w:t>
      </w:r>
      <w:r w:rsidR="00C27F29">
        <w:rPr>
          <w:rFonts w:cstheme="minorHAnsi"/>
          <w:lang w:val="en-US"/>
        </w:rPr>
        <w:t xml:space="preserve">appropriate </w:t>
      </w:r>
      <w:r w:rsidR="00B3469B">
        <w:rPr>
          <w:rFonts w:cstheme="minorHAnsi"/>
          <w:lang w:val="en-US"/>
        </w:rPr>
        <w:t xml:space="preserve">to allow </w:t>
      </w:r>
      <w:r w:rsidR="00B3469B" w:rsidRPr="007E09BD">
        <w:rPr>
          <w:rFonts w:cstheme="minorHAnsi"/>
        </w:rPr>
        <w:t xml:space="preserve">genetic/genomic diagnostic testing </w:t>
      </w:r>
      <w:r w:rsidR="00B3469B">
        <w:rPr>
          <w:rFonts w:cstheme="minorHAnsi"/>
        </w:rPr>
        <w:t xml:space="preserve">to </w:t>
      </w:r>
      <w:r w:rsidR="00B3469B" w:rsidRPr="007E09BD">
        <w:rPr>
          <w:rFonts w:cstheme="minorHAnsi"/>
        </w:rPr>
        <w:t>be completed within the hospital setting</w:t>
      </w:r>
      <w:r w:rsidR="002A714C">
        <w:rPr>
          <w:rFonts w:cstheme="minorHAnsi"/>
        </w:rPr>
        <w:t>.</w:t>
      </w:r>
    </w:p>
    <w:p w14:paraId="1D3B1C62" w14:textId="51F8CA2B" w:rsidR="00A440CE" w:rsidRDefault="000D0F6F" w:rsidP="00A4529D">
      <w:pPr>
        <w:pStyle w:val="3-BodyText"/>
        <w:spacing w:before="0" w:after="120"/>
      </w:pPr>
      <w:r>
        <w:rPr>
          <w:rFonts w:cstheme="minorHAnsi"/>
        </w:rPr>
        <w:t>The PBAC n</w:t>
      </w:r>
      <w:r w:rsidR="00C0314C">
        <w:rPr>
          <w:rFonts w:cstheme="minorHAnsi"/>
        </w:rPr>
        <w:t>ot</w:t>
      </w:r>
      <w:r w:rsidR="00A440CE">
        <w:rPr>
          <w:rFonts w:cstheme="minorHAnsi"/>
        </w:rPr>
        <w:t xml:space="preserve">ed </w:t>
      </w:r>
      <w:r w:rsidR="00A440CE" w:rsidRPr="007E09BD">
        <w:rPr>
          <w:rFonts w:cstheme="minorHAnsi"/>
        </w:rPr>
        <w:t>leniolisib as a first line treatment option</w:t>
      </w:r>
      <w:r>
        <w:rPr>
          <w:rFonts w:cstheme="minorHAnsi"/>
        </w:rPr>
        <w:t xml:space="preserve">, </w:t>
      </w:r>
      <w:r w:rsidR="00A440CE" w:rsidRPr="007E09BD">
        <w:rPr>
          <w:rFonts w:cstheme="minorHAnsi"/>
        </w:rPr>
        <w:t>could also be used concomitantly with most existing SoC therapies</w:t>
      </w:r>
      <w:r w:rsidR="00A440CE" w:rsidRPr="007E09BD">
        <w:rPr>
          <w:color w:val="000000"/>
          <w:sz w:val="22"/>
          <w:bdr w:val="none" w:sz="0" w:space="0" w:color="auto" w:frame="1"/>
          <w:lang w:val="en-GB"/>
        </w:rPr>
        <w:t xml:space="preserve"> </w:t>
      </w:r>
      <w:r w:rsidR="00A440CE" w:rsidRPr="007E09BD">
        <w:rPr>
          <w:rFonts w:cstheme="minorHAnsi"/>
          <w:lang w:val="en-GB"/>
        </w:rPr>
        <w:t>(i.e. antimicrobials and/or</w:t>
      </w:r>
      <w:r w:rsidR="00A440CE" w:rsidRPr="007E09BD">
        <w:rPr>
          <w:color w:val="000000"/>
          <w:sz w:val="22"/>
          <w:bdr w:val="none" w:sz="0" w:space="0" w:color="auto" w:frame="1"/>
        </w:rPr>
        <w:t xml:space="preserve"> </w:t>
      </w:r>
      <w:r w:rsidR="00A440CE" w:rsidRPr="007E09BD">
        <w:rPr>
          <w:rFonts w:cstheme="minorHAnsi"/>
        </w:rPr>
        <w:t>immunoglobulin replacement therapy (</w:t>
      </w:r>
      <w:r w:rsidR="00A440CE" w:rsidRPr="007E09BD">
        <w:rPr>
          <w:rFonts w:cstheme="minorHAnsi"/>
          <w:lang w:val="en-GB"/>
        </w:rPr>
        <w:t>IRT) and/or corticosteroids)</w:t>
      </w:r>
      <w:r w:rsidR="00A440CE" w:rsidRPr="007E09BD">
        <w:rPr>
          <w:rFonts w:cstheme="minorHAnsi"/>
        </w:rPr>
        <w:t xml:space="preserve"> for APDS</w:t>
      </w:r>
      <w:r>
        <w:rPr>
          <w:rFonts w:cstheme="minorHAnsi"/>
        </w:rPr>
        <w:t>,</w:t>
      </w:r>
      <w:r w:rsidR="00A440CE" w:rsidRPr="007E09BD">
        <w:rPr>
          <w:rFonts w:cstheme="minorHAnsi"/>
        </w:rPr>
        <w:t xml:space="preserve"> except with immunosuppressive medications such as rituximab and mTOR inhibitors</w:t>
      </w:r>
      <w:r w:rsidR="00B569EF">
        <w:rPr>
          <w:rFonts w:cstheme="minorHAnsi"/>
        </w:rPr>
        <w:t>, as proposed in the restrictions</w:t>
      </w:r>
      <w:r w:rsidR="00A440CE" w:rsidRPr="007E09BD">
        <w:rPr>
          <w:rFonts w:cstheme="minorHAnsi"/>
        </w:rPr>
        <w:t>.</w:t>
      </w:r>
      <w:r>
        <w:rPr>
          <w:rFonts w:cstheme="minorHAnsi"/>
        </w:rPr>
        <w:t xml:space="preserve"> The PBAC noted </w:t>
      </w:r>
      <w:r w:rsidR="005037E4">
        <w:rPr>
          <w:rFonts w:cstheme="minorHAnsi"/>
        </w:rPr>
        <w:t xml:space="preserve">this was </w:t>
      </w:r>
      <w:r w:rsidR="00B569EF">
        <w:rPr>
          <w:rFonts w:cstheme="minorHAnsi"/>
        </w:rPr>
        <w:t xml:space="preserve">also </w:t>
      </w:r>
      <w:r w:rsidR="005037E4">
        <w:rPr>
          <w:rFonts w:cstheme="minorHAnsi"/>
        </w:rPr>
        <w:t xml:space="preserve">consistent with </w:t>
      </w:r>
      <w:r w:rsidR="005037E4" w:rsidRPr="006562D8">
        <w:t>Study 2201</w:t>
      </w:r>
      <w:r w:rsidR="005037E4">
        <w:t>.</w:t>
      </w:r>
    </w:p>
    <w:p w14:paraId="0B45BF61" w14:textId="3885AB66" w:rsidR="008064B5" w:rsidRPr="003B7582" w:rsidRDefault="003B7582" w:rsidP="003B7582">
      <w:pPr>
        <w:pStyle w:val="3-BodyText"/>
        <w:numPr>
          <w:ilvl w:val="0"/>
          <w:numId w:val="0"/>
        </w:numPr>
        <w:ind w:left="720"/>
        <w:rPr>
          <w:i/>
          <w:iCs/>
        </w:rPr>
      </w:pPr>
      <w:bookmarkStart w:id="6" w:name="_Hlk76375324"/>
      <w:r w:rsidRPr="003B7582">
        <w:rPr>
          <w:i/>
          <w:iCs/>
        </w:rPr>
        <w:t>For more detail on PBAC’s view, see section 7 PBAC outcome.</w:t>
      </w:r>
      <w:bookmarkEnd w:id="6"/>
    </w:p>
    <w:p w14:paraId="7DB5A930" w14:textId="77777777" w:rsidR="00A4529D" w:rsidRPr="000C0D3B" w:rsidDel="00195452" w:rsidRDefault="00A4529D" w:rsidP="00A4529D">
      <w:pPr>
        <w:pStyle w:val="2-SectionHeading"/>
      </w:pPr>
      <w:bookmarkStart w:id="7" w:name="_Toc198725883"/>
      <w:r w:rsidRPr="000C0D3B" w:rsidDel="00195452">
        <w:t>Population and disease</w:t>
      </w:r>
      <w:bookmarkEnd w:id="7"/>
    </w:p>
    <w:p w14:paraId="3D289990" w14:textId="0EAC62F2" w:rsidR="00A4529D" w:rsidRPr="000C0D3B" w:rsidRDefault="00A4529D" w:rsidP="00112265">
      <w:pPr>
        <w:pStyle w:val="3-BodyText"/>
        <w:spacing w:before="0" w:after="120"/>
      </w:pPr>
      <w:r w:rsidRPr="000C0D3B">
        <w:t xml:space="preserve">APDS is an ultra-rare severe IEI that affects the body’s immune system. APDS is characterised by the dysregulation of the PI3Kẟ signalling pathway, which has detrimental effects on the development and maturation of B and T cells, thereby impairing their functioning. </w:t>
      </w:r>
      <w:r w:rsidR="00EF398D" w:rsidRPr="000C0D3B">
        <w:t xml:space="preserve">The PI3Kδ protein complex comprises a p110δ catalytic subunit and a p85α regulatory subunit. </w:t>
      </w:r>
      <w:r w:rsidR="00EE0257" w:rsidRPr="000C0D3B">
        <w:t xml:space="preserve">The associated hyperactivation of the PI3Kδ pathway is caused by a pathogenic variant in either the </w:t>
      </w:r>
      <w:r w:rsidR="00B627BE" w:rsidRPr="000C0D3B">
        <w:t xml:space="preserve">PIK3CD or PIK3R1 </w:t>
      </w:r>
      <w:r w:rsidR="00EE0257" w:rsidRPr="000C0D3B">
        <w:t>genes</w:t>
      </w:r>
      <w:r w:rsidR="007A5276" w:rsidRPr="000C0D3B">
        <w:t>, with h</w:t>
      </w:r>
      <w:r w:rsidR="00EE0257" w:rsidRPr="000C0D3B">
        <w:t>eterozygous gain-of-function mutations in PIK3CD affect</w:t>
      </w:r>
      <w:r w:rsidR="007A5276" w:rsidRPr="000C0D3B">
        <w:t>ing</w:t>
      </w:r>
      <w:r w:rsidR="00EE0257" w:rsidRPr="000C0D3B">
        <w:t xml:space="preserve"> the p110δ catalytic subunit</w:t>
      </w:r>
      <w:r w:rsidR="007A5276" w:rsidRPr="000C0D3B">
        <w:t xml:space="preserve"> and </w:t>
      </w:r>
      <w:r w:rsidR="00EE0257" w:rsidRPr="000C0D3B">
        <w:t>heterozygous loss of function mutations in PIK3R1 affect</w:t>
      </w:r>
      <w:r w:rsidR="007A5276" w:rsidRPr="000C0D3B">
        <w:t>ing</w:t>
      </w:r>
      <w:r w:rsidR="00EE0257" w:rsidRPr="000C0D3B">
        <w:t xml:space="preserve"> the p85α regulatory subunit.</w:t>
      </w:r>
    </w:p>
    <w:p w14:paraId="5FB996C6" w14:textId="49566C21" w:rsidR="008B7FF3" w:rsidRPr="000C0D3B" w:rsidRDefault="00A4529D" w:rsidP="008B7FF3">
      <w:pPr>
        <w:pStyle w:val="3-BodyText"/>
        <w:spacing w:before="0" w:after="120"/>
        <w:rPr>
          <w:lang w:eastAsia="ja-JP"/>
        </w:rPr>
      </w:pPr>
      <w:r w:rsidRPr="000C0D3B">
        <w:rPr>
          <w:lang w:eastAsia="ja-JP"/>
        </w:rPr>
        <w:t>People with APDS show symptoms of both overactive and underactive immunity. The combination of immune dysregulation and immune deficiency that occurs in patients with APDS leads to severe and potentially life-threatening multi-system manifestations.</w:t>
      </w:r>
      <w:r w:rsidR="008B7FF3" w:rsidRPr="000C0D3B">
        <w:rPr>
          <w:lang w:eastAsia="ja-JP"/>
        </w:rPr>
        <w:t xml:space="preserve"> APDS has a heterogeneous presentation, as summarised in</w:t>
      </w:r>
      <w:r w:rsidR="0091709C" w:rsidRPr="000C0D3B">
        <w:rPr>
          <w:lang w:eastAsia="ja-JP"/>
        </w:rPr>
        <w:t xml:space="preserve"> </w:t>
      </w:r>
      <w:r w:rsidR="0091709C" w:rsidRPr="000C0D3B">
        <w:rPr>
          <w:lang w:eastAsia="ja-JP"/>
        </w:rPr>
        <w:fldChar w:fldCharType="begin" w:fldLock="1"/>
      </w:r>
      <w:r w:rsidR="0091709C" w:rsidRPr="000C0D3B">
        <w:rPr>
          <w:lang w:eastAsia="ja-JP"/>
        </w:rPr>
        <w:instrText xml:space="preserve"> REF _Ref197686953 \h </w:instrText>
      </w:r>
      <w:r w:rsidR="000C0D3B" w:rsidRPr="000C0D3B">
        <w:rPr>
          <w:lang w:eastAsia="ja-JP"/>
        </w:rPr>
        <w:instrText xml:space="preserve"> \* MERGEFORMAT </w:instrText>
      </w:r>
      <w:r w:rsidR="0091709C" w:rsidRPr="000C0D3B">
        <w:rPr>
          <w:lang w:eastAsia="ja-JP"/>
        </w:rPr>
      </w:r>
      <w:r w:rsidR="0091709C" w:rsidRPr="000C0D3B">
        <w:rPr>
          <w:lang w:eastAsia="ja-JP"/>
        </w:rPr>
        <w:fldChar w:fldCharType="separate"/>
      </w:r>
      <w:r w:rsidR="00C34379" w:rsidRPr="000C0D3B">
        <w:t xml:space="preserve">Figure </w:t>
      </w:r>
      <w:r w:rsidR="00C34379">
        <w:rPr>
          <w:noProof/>
        </w:rPr>
        <w:t>1</w:t>
      </w:r>
      <w:r w:rsidR="0091709C" w:rsidRPr="000C0D3B">
        <w:rPr>
          <w:lang w:eastAsia="ja-JP"/>
        </w:rPr>
        <w:fldChar w:fldCharType="end"/>
      </w:r>
      <w:r w:rsidR="008B7FF3" w:rsidRPr="000C0D3B">
        <w:rPr>
          <w:lang w:eastAsia="ja-JP"/>
        </w:rPr>
        <w:t xml:space="preserve">. Symptoms can include recurrent infections, bronchiectasis, poor response to vaccination, abnormal phenotypes in immunoglobulin G (IgG) and blood cells, splenomegaly, lymphadenopathy, autoimmune cytopenia and a high risk of lymphoma. </w:t>
      </w:r>
    </w:p>
    <w:p w14:paraId="61E6162F" w14:textId="19A94042" w:rsidR="008B7FF3" w:rsidRPr="000C0D3B" w:rsidRDefault="0091709C" w:rsidP="0091709C">
      <w:pPr>
        <w:pStyle w:val="Caption"/>
        <w:rPr>
          <w:rStyle w:val="CommentReference"/>
          <w:b/>
          <w:szCs w:val="24"/>
        </w:rPr>
      </w:pPr>
      <w:bookmarkStart w:id="8" w:name="_Ref197686953"/>
      <w:r w:rsidRPr="000C0D3B">
        <w:t xml:space="preserve">Figure </w:t>
      </w:r>
      <w:r w:rsidR="00C34379">
        <w:fldChar w:fldCharType="begin" w:fldLock="1"/>
      </w:r>
      <w:r w:rsidR="00C34379">
        <w:instrText xml:space="preserve"> SEQ Figure \* ARABIC </w:instrText>
      </w:r>
      <w:r w:rsidR="00C34379">
        <w:fldChar w:fldCharType="separate"/>
      </w:r>
      <w:r w:rsidR="00C34379">
        <w:rPr>
          <w:noProof/>
        </w:rPr>
        <w:t>1</w:t>
      </w:r>
      <w:r w:rsidR="00C34379">
        <w:rPr>
          <w:noProof/>
        </w:rPr>
        <w:fldChar w:fldCharType="end"/>
      </w:r>
      <w:bookmarkEnd w:id="8"/>
      <w:r w:rsidR="008B7FF3" w:rsidRPr="000C0D3B">
        <w:rPr>
          <w:rStyle w:val="CommentReference"/>
          <w:b/>
          <w:szCs w:val="24"/>
        </w:rPr>
        <w:t>: Clinical manifestations commonly seen in people with APDS</w:t>
      </w:r>
    </w:p>
    <w:p w14:paraId="52EDE336" w14:textId="77777777" w:rsidR="008B7FF3" w:rsidRPr="000C0D3B" w:rsidRDefault="008B7FF3" w:rsidP="008B7FF3">
      <w:pPr>
        <w:pStyle w:val="TableFigureFooter"/>
      </w:pPr>
      <w:r w:rsidRPr="000C0D3B">
        <w:rPr>
          <w:noProof/>
        </w:rPr>
        <w:drawing>
          <wp:inline distT="0" distB="0" distL="0" distR="0" wp14:anchorId="2AD2202A" wp14:editId="0D7C97D6">
            <wp:extent cx="5391150" cy="4254370"/>
            <wp:effectExtent l="0" t="0" r="0" b="0"/>
            <wp:docPr id="111519285" name="Picture 1" descr="Figure 1: Clinical manifestations commonly seen in people with AP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9285" name="Picture 1" descr="Figure 1: Clinical manifestations commonly seen in people with AP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349" cy="4259262"/>
                    </a:xfrm>
                    <a:prstGeom prst="rect">
                      <a:avLst/>
                    </a:prstGeom>
                    <a:noFill/>
                  </pic:spPr>
                </pic:pic>
              </a:graphicData>
            </a:graphic>
          </wp:inline>
        </w:drawing>
      </w:r>
    </w:p>
    <w:p w14:paraId="1B4E7DCB" w14:textId="431FCE2A" w:rsidR="008B7FF3" w:rsidRPr="000C0D3B" w:rsidRDefault="008B7FF3" w:rsidP="008B7FF3">
      <w:pPr>
        <w:pStyle w:val="TableFigureFooter"/>
      </w:pPr>
      <w:r w:rsidRPr="000C0D3B">
        <w:rPr>
          <w:lang w:val="en-AU"/>
        </w:rPr>
        <w:t>APDS = Activated PI3Kδ syndrome; HRQoL = health-related quality of life.</w:t>
      </w:r>
      <w:r w:rsidRPr="000C0D3B">
        <w:rPr>
          <w:lang w:val="en-AU"/>
        </w:rPr>
        <w:br/>
        <w:t>Source: Figure 1.2, p31 of the submission.</w:t>
      </w:r>
      <w:r w:rsidRPr="000C0D3B">
        <w:rPr>
          <w:b/>
          <w:lang w:val="en-AU"/>
        </w:rPr>
        <w:t xml:space="preserve"> </w:t>
      </w:r>
    </w:p>
    <w:p w14:paraId="5997FE5B" w14:textId="4CB09C42" w:rsidR="00A4529D" w:rsidRPr="000C0D3B" w:rsidRDefault="008B7FF3" w:rsidP="00A4529D">
      <w:pPr>
        <w:pStyle w:val="3-BodyText"/>
        <w:spacing w:before="0" w:after="120"/>
        <w:rPr>
          <w:lang w:eastAsia="ja-JP"/>
        </w:rPr>
      </w:pPr>
      <w:r w:rsidRPr="000C0D3B">
        <w:rPr>
          <w:lang w:eastAsia="ja-JP"/>
        </w:rPr>
        <w:t xml:space="preserve">The first </w:t>
      </w:r>
      <w:r w:rsidR="00A4529D" w:rsidRPr="000C0D3B">
        <w:rPr>
          <w:lang w:eastAsia="ja-JP"/>
        </w:rPr>
        <w:t xml:space="preserve">symptoms </w:t>
      </w:r>
      <w:r w:rsidRPr="000C0D3B">
        <w:rPr>
          <w:lang w:eastAsia="ja-JP"/>
        </w:rPr>
        <w:t xml:space="preserve">of APDS </w:t>
      </w:r>
      <w:r w:rsidR="00A4529D" w:rsidRPr="000C0D3B">
        <w:rPr>
          <w:lang w:eastAsia="ja-JP"/>
        </w:rPr>
        <w:t xml:space="preserve">usually occur early in life with &gt;70% of patients experiencing symptoms when aged one to </w:t>
      </w:r>
      <w:r w:rsidR="004B42A7" w:rsidRPr="000C0D3B">
        <w:rPr>
          <w:lang w:eastAsia="ja-JP"/>
        </w:rPr>
        <w:t>f</w:t>
      </w:r>
      <w:r w:rsidR="00A4529D" w:rsidRPr="000C0D3B">
        <w:rPr>
          <w:lang w:eastAsia="ja-JP"/>
        </w:rPr>
        <w:t>ive years and &gt;90% of patients experiencing symptoms when aged six to ten years (Thalhammer 2021). First symptoms are commonly related to infections (75.5%, particularly respiratory tract infections [65.0%]), organomegaly (15.8%), chronic diarrhoea or enteropathy (12.3%) or failure to thrive (8.8%) (Jamee 2020). APDS is progressive and patients experience additional manifestations as they get older. By adolescence, the majority of patients with APDS will experience multiple, life-limiting manifestations. Malignancy, and in particular lymphoma, is a major complication of APDS. The median age at presentation of malignancy is 18 years (Jamee 2020).</w:t>
      </w:r>
      <w:r w:rsidR="004D3DB7">
        <w:rPr>
          <w:lang w:eastAsia="ja-JP"/>
        </w:rPr>
        <w:t xml:space="preserve"> </w:t>
      </w:r>
      <w:r w:rsidR="00E043D4" w:rsidRPr="008B433C">
        <w:rPr>
          <w:lang w:eastAsia="ja-JP"/>
        </w:rPr>
        <w:t>The Sub-Committees also note</w:t>
      </w:r>
      <w:r w:rsidR="00C11C7E" w:rsidRPr="008B433C">
        <w:rPr>
          <w:lang w:eastAsia="ja-JP"/>
        </w:rPr>
        <w:t>d</w:t>
      </w:r>
      <w:r w:rsidR="00E043D4" w:rsidRPr="008B433C">
        <w:rPr>
          <w:lang w:eastAsia="ja-JP"/>
        </w:rPr>
        <w:t xml:space="preserve"> that bronch</w:t>
      </w:r>
      <w:r w:rsidR="00085464" w:rsidRPr="008B433C">
        <w:rPr>
          <w:lang w:eastAsia="ja-JP"/>
        </w:rPr>
        <w:t xml:space="preserve">iectasis is also a major complication of APDS, is largely irreversible and can also be life-limiting. </w:t>
      </w:r>
    </w:p>
    <w:p w14:paraId="1C0C3D84" w14:textId="771A5121" w:rsidR="006E3A43" w:rsidRPr="000C0D3B" w:rsidRDefault="00A4529D" w:rsidP="004F6C25">
      <w:pPr>
        <w:pStyle w:val="3-BodyText"/>
        <w:keepNext/>
        <w:spacing w:before="0" w:after="120"/>
        <w:rPr>
          <w:lang w:eastAsia="ja-JP"/>
        </w:rPr>
      </w:pPr>
      <w:r w:rsidRPr="000C0D3B">
        <w:t xml:space="preserve">Accumulation of severe manifestations, increased risk of malignancy and the adverse effects of current treatments all contribute to early mortality in APDS. </w:t>
      </w:r>
      <w:r w:rsidRPr="000C0D3B">
        <w:rPr>
          <w:lang w:eastAsia="ja-JP"/>
        </w:rPr>
        <w:t>Data from the European Society for Immunodeficiencies (ESID)-APDS registry reported that APDS patients had a 45% mortality rate at age 40, a 63% mortality rate at age 45 and a median survival age of 44 years (Maccari, unpublished manuscript). A systematic literature review identifying APDS patients found that lymphoma was the most common cause of death (with a mortality rate of 47.6%), followed by complications resulting from haematopoietic stem cell transplantation (HSCT; Hanson 2024).</w:t>
      </w:r>
      <w:r w:rsidR="008B47A7" w:rsidRPr="000C0D3B">
        <w:rPr>
          <w:lang w:eastAsia="ja-JP"/>
        </w:rPr>
        <w:t xml:space="preserve"> HSCT is an alternative non-drug therapy and potentially curative treatment for APDS. The </w:t>
      </w:r>
      <w:r w:rsidR="008B47A7" w:rsidRPr="000C0D3B">
        <w:t xml:space="preserve">Australasian Society of Clinical Immunology and Allergy (ASCIA) </w:t>
      </w:r>
      <w:r w:rsidR="008B47A7" w:rsidRPr="000C0D3B">
        <w:rPr>
          <w:lang w:eastAsia="ja-JP"/>
        </w:rPr>
        <w:t xml:space="preserve">IEI Clinical Care Standard recommend consideration of HSCT for patients diagnosed with the most severe IEIs, however the submission </w:t>
      </w:r>
      <w:r w:rsidR="00776B07" w:rsidRPr="000C0D3B">
        <w:rPr>
          <w:lang w:eastAsia="ja-JP"/>
        </w:rPr>
        <w:t xml:space="preserve">noted </w:t>
      </w:r>
      <w:r w:rsidR="00DA76E3" w:rsidRPr="000C0D3B">
        <w:rPr>
          <w:lang w:eastAsia="ja-JP"/>
        </w:rPr>
        <w:t xml:space="preserve">that </w:t>
      </w:r>
      <w:r w:rsidR="00DA76E3" w:rsidRPr="000C0D3B">
        <w:t xml:space="preserve">HSCT is not suitable or recommended for all patients and </w:t>
      </w:r>
      <w:r w:rsidR="00776B07" w:rsidRPr="000C0D3B">
        <w:rPr>
          <w:lang w:eastAsia="ja-JP"/>
        </w:rPr>
        <w:t xml:space="preserve">claimed that </w:t>
      </w:r>
      <w:r w:rsidR="008B47A7" w:rsidRPr="000C0D3B">
        <w:rPr>
          <w:lang w:eastAsia="ja-JP"/>
        </w:rPr>
        <w:t>clinical experts have advised its use is not common practice in Australia.</w:t>
      </w:r>
    </w:p>
    <w:p w14:paraId="3F69F585" w14:textId="6D46419F" w:rsidR="006F1F01" w:rsidRPr="001D5FE2" w:rsidRDefault="00A4529D" w:rsidP="004F6C25">
      <w:pPr>
        <w:pStyle w:val="3-BodyText"/>
        <w:keepNext/>
        <w:spacing w:before="0" w:after="120"/>
        <w:rPr>
          <w:i/>
          <w:iCs/>
          <w:lang w:val="en-US"/>
        </w:rPr>
      </w:pPr>
      <w:r w:rsidRPr="000C0D3B">
        <w:rPr>
          <w:lang w:eastAsia="ja-JP"/>
        </w:rPr>
        <w:t xml:space="preserve">Leniolisib is the first disease-modifying therapy (DMT) available for the treatment of APDS and is therefore likely to be used as a first line treatment option and as an add-on to </w:t>
      </w:r>
      <w:r w:rsidRPr="008B433C">
        <w:rPr>
          <w:lang w:eastAsia="ja-JP"/>
        </w:rPr>
        <w:t xml:space="preserve">existing </w:t>
      </w:r>
      <w:r w:rsidR="00297610" w:rsidRPr="008B433C">
        <w:t>Standard of Care (SoC) therapies</w:t>
      </w:r>
      <w:r w:rsidR="00297610" w:rsidRPr="008B433C">
        <w:rPr>
          <w:color w:val="000000"/>
          <w:sz w:val="22"/>
          <w:bdr w:val="none" w:sz="0" w:space="0" w:color="auto" w:frame="1"/>
          <w:lang w:val="en-GB"/>
        </w:rPr>
        <w:t xml:space="preserve"> </w:t>
      </w:r>
      <w:r w:rsidR="00297610" w:rsidRPr="008B433C">
        <w:t xml:space="preserve">for </w:t>
      </w:r>
      <w:r w:rsidR="001837D0" w:rsidRPr="008B433C">
        <w:t>APDS</w:t>
      </w:r>
      <w:r w:rsidRPr="008B433C">
        <w:rPr>
          <w:lang w:eastAsia="ja-JP"/>
        </w:rPr>
        <w:t>.</w:t>
      </w:r>
      <w:r w:rsidR="006F1F01" w:rsidRPr="008B433C">
        <w:t xml:space="preserve"> The evaluation noted that there are currently no specific Australian guidelines for the management of APDS. Figure </w:t>
      </w:r>
      <w:r w:rsidR="00D07A05" w:rsidRPr="008B433C">
        <w:t>2</w:t>
      </w:r>
      <w:r w:rsidR="003209CA" w:rsidRPr="008B433C">
        <w:t xml:space="preserve"> </w:t>
      </w:r>
      <w:r w:rsidR="006F1F01" w:rsidRPr="008B433C">
        <w:t>shows the treatment algorithm including leniolisib for symptomatic APDS in Australia</w:t>
      </w:r>
      <w:r w:rsidR="00AC13AE" w:rsidRPr="008B433C">
        <w:t>,</w:t>
      </w:r>
      <w:r w:rsidR="006F1F01" w:rsidRPr="008B433C">
        <w:t xml:space="preserve"> which was provided in </w:t>
      </w:r>
      <w:r w:rsidR="00EB688E" w:rsidRPr="008B433C">
        <w:t xml:space="preserve">the submission and </w:t>
      </w:r>
      <w:r w:rsidR="006F1F01" w:rsidRPr="008B433C">
        <w:t>the PSCR.</w:t>
      </w:r>
      <w:r w:rsidR="006F1F01" w:rsidRPr="001D5FE2">
        <w:rPr>
          <w:i/>
          <w:iCs/>
        </w:rPr>
        <w:t xml:space="preserve"> </w:t>
      </w:r>
    </w:p>
    <w:p w14:paraId="005C1592" w14:textId="034DA2B8" w:rsidR="006F1F01" w:rsidRDefault="00D07A05" w:rsidP="003209CA">
      <w:pPr>
        <w:pStyle w:val="Caption"/>
        <w:jc w:val="left"/>
      </w:pPr>
      <w:r w:rsidRPr="008B433C">
        <w:t xml:space="preserve">Figure </w:t>
      </w:r>
      <w:r w:rsidR="00C34379">
        <w:fldChar w:fldCharType="begin" w:fldLock="1"/>
      </w:r>
      <w:r w:rsidR="00C34379">
        <w:instrText xml:space="preserve"> SEQ Figure \* ARABIC </w:instrText>
      </w:r>
      <w:r w:rsidR="00C34379">
        <w:fldChar w:fldCharType="separate"/>
      </w:r>
      <w:r w:rsidR="00C34379" w:rsidRPr="008B433C">
        <w:rPr>
          <w:noProof/>
        </w:rPr>
        <w:t>2</w:t>
      </w:r>
      <w:r w:rsidR="00C34379">
        <w:rPr>
          <w:noProof/>
        </w:rPr>
        <w:fldChar w:fldCharType="end"/>
      </w:r>
      <w:r w:rsidR="006F1F01" w:rsidRPr="008B433C">
        <w:t>: Treatment algorithm including leniolisib for symptomatic APDS in Australia</w:t>
      </w:r>
      <w:r w:rsidR="006F1F01">
        <w:rPr>
          <w:noProof/>
        </w:rPr>
        <w:drawing>
          <wp:inline distT="0" distB="0" distL="0" distR="0" wp14:anchorId="3D4EAF4F" wp14:editId="7D9E9C23">
            <wp:extent cx="6136335" cy="2788920"/>
            <wp:effectExtent l="0" t="0" r="0" b="0"/>
            <wp:docPr id="1700025955" name="Picture 1" descr="Figure 2: Treatment algorithm including leniolisib for symptomatic APD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25955" name="Picture 1" descr="Figure 2: Treatment algorithm including leniolisib for symptomatic APDS in Australia"/>
                    <pic:cNvPicPr/>
                  </pic:nvPicPr>
                  <pic:blipFill>
                    <a:blip r:embed="rId12">
                      <a:extLst>
                        <a:ext uri="{28A0092B-C50C-407E-A947-70E740481C1C}">
                          <a14:useLocalDpi xmlns:a14="http://schemas.microsoft.com/office/drawing/2010/main" val="0"/>
                        </a:ext>
                      </a:extLst>
                    </a:blip>
                    <a:stretch>
                      <a:fillRect/>
                    </a:stretch>
                  </pic:blipFill>
                  <pic:spPr>
                    <a:xfrm>
                      <a:off x="0" y="0"/>
                      <a:ext cx="6144133" cy="2792464"/>
                    </a:xfrm>
                    <a:prstGeom prst="rect">
                      <a:avLst/>
                    </a:prstGeom>
                  </pic:spPr>
                </pic:pic>
              </a:graphicData>
            </a:graphic>
          </wp:inline>
        </w:drawing>
      </w:r>
    </w:p>
    <w:p w14:paraId="156420E5" w14:textId="3B506859" w:rsidR="006F1F01" w:rsidRPr="008B433C" w:rsidRDefault="006F1F01" w:rsidP="006F1F01">
      <w:pPr>
        <w:pStyle w:val="TableFigureFooter"/>
        <w:rPr>
          <w:sz w:val="22"/>
        </w:rPr>
      </w:pPr>
      <w:r w:rsidRPr="008B433C">
        <w:t xml:space="preserve">Source: Pre-Sub-Committee Response (PSCR) </w:t>
      </w:r>
    </w:p>
    <w:p w14:paraId="5F176856" w14:textId="45E9B892" w:rsidR="00297610" w:rsidRDefault="00A4529D" w:rsidP="00A4529D">
      <w:pPr>
        <w:pStyle w:val="3-BodyText"/>
        <w:spacing w:before="0" w:after="120"/>
      </w:pPr>
      <w:r w:rsidRPr="000C0D3B">
        <w:rPr>
          <w:lang w:eastAsia="ja-JP"/>
        </w:rPr>
        <w:t xml:space="preserve">Leniolisib </w:t>
      </w:r>
      <w:r w:rsidRPr="000C0D3B">
        <w:t>acts by directly inhibiting the overactive PI3Kδ protein present in patients with APDS. By selectively inhibiting p110δ, the catalytic subunit of the PI3Kδ enzyme complex, and normalising PI3Kδ pathway activity in patients with APDS, leniolisib inhibits the recruitment and activation of a range of downstream messengers in the PI3Kδ signalling pathway. In turn, this diminishes the dysregulation of immune B and T cells and re-establishes their normal development and maturation.</w:t>
      </w:r>
    </w:p>
    <w:p w14:paraId="4841C402" w14:textId="6FD6FC4D" w:rsidR="003B7582" w:rsidRDefault="003B7582" w:rsidP="003B7582">
      <w:pPr>
        <w:pStyle w:val="3-BodyText"/>
        <w:numPr>
          <w:ilvl w:val="0"/>
          <w:numId w:val="0"/>
        </w:numPr>
        <w:spacing w:before="0" w:after="120"/>
        <w:ind w:left="720"/>
      </w:pPr>
      <w:r w:rsidRPr="003B7582">
        <w:rPr>
          <w:i/>
          <w:iCs/>
        </w:rPr>
        <w:t>For more detail on PBAC’s view, see section 7 PBAC outcome.</w:t>
      </w:r>
    </w:p>
    <w:p w14:paraId="66DDBAEB" w14:textId="77777777" w:rsidR="00A4529D" w:rsidRPr="000C0D3B" w:rsidRDefault="00A4529D" w:rsidP="00A4529D">
      <w:pPr>
        <w:pStyle w:val="2-SectionHeading"/>
      </w:pPr>
      <w:bookmarkStart w:id="9" w:name="_Toc198725884"/>
      <w:r w:rsidRPr="000C0D3B">
        <w:t>Comparator</w:t>
      </w:r>
      <w:bookmarkEnd w:id="9"/>
    </w:p>
    <w:p w14:paraId="6358CA2C" w14:textId="0B8C3F36" w:rsidR="00A4529D" w:rsidRPr="000C0D3B" w:rsidRDefault="00A4529D" w:rsidP="00A4529D">
      <w:pPr>
        <w:pStyle w:val="3-BodyText"/>
        <w:spacing w:before="0" w:after="120"/>
      </w:pPr>
      <w:r w:rsidRPr="000C0D3B">
        <w:t>The submission nominated standard of care (SoC) as the main comparator. While SoC was likely a reasonable comparator to leniolisib, in clinical practice, leniolisib would be used in addition to SoC rather than completely replacing SoC; however, the utilisation of different components of SoC may differ depending on whether a patient also receives leniolisib.</w:t>
      </w:r>
      <w:r w:rsidR="00ED00FE" w:rsidRPr="000C0D3B">
        <w:t xml:space="preserve"> For example, use of</w:t>
      </w:r>
      <w:r w:rsidR="00BC45B1" w:rsidRPr="000C0D3B">
        <w:t xml:space="preserve"> </w:t>
      </w:r>
      <w:r w:rsidR="00ED00FE" w:rsidRPr="000C0D3B">
        <w:t xml:space="preserve">mTOR inhibitors was </w:t>
      </w:r>
      <w:r w:rsidR="002727B5" w:rsidRPr="000C0D3B">
        <w:t xml:space="preserve">not allowed in the clinical trial and </w:t>
      </w:r>
      <w:r w:rsidR="00AF4BF9" w:rsidRPr="000C0D3B">
        <w:t xml:space="preserve">concomitant use with leniolisib </w:t>
      </w:r>
      <w:r w:rsidR="002727B5" w:rsidRPr="000C0D3B">
        <w:t xml:space="preserve">would not be allowed under the </w:t>
      </w:r>
      <w:r w:rsidR="00AF4BF9" w:rsidRPr="000C0D3B">
        <w:t>proposed restrictions.</w:t>
      </w:r>
    </w:p>
    <w:p w14:paraId="6050DD0A" w14:textId="7D65F729" w:rsidR="00A4529D" w:rsidRPr="000C0D3B" w:rsidRDefault="00A4529D" w:rsidP="00A4529D">
      <w:pPr>
        <w:pStyle w:val="3-BodyText"/>
        <w:spacing w:before="0" w:after="120"/>
      </w:pPr>
      <w:r w:rsidRPr="000C0D3B">
        <w:t>SoC refers to a range of treatment</w:t>
      </w:r>
      <w:r w:rsidR="00495765" w:rsidRPr="000C0D3B">
        <w:t>s</w:t>
      </w:r>
      <w:r w:rsidRPr="000C0D3B">
        <w:t xml:space="preserve"> which are currently used in Australia to manage symptoms of APDS. Following confirmed genetic diagnosis of APDS, treatment in Australia is tailored to the individual’s presentation and needs, and may include immunoglobulin replacement therapy (IRT; including intravenous (IVIg) and subcutaneous (SCIg) options), antimicrobial therapy (antibiotics, antifungal and antiviral drugs) and immunosuppressive therapy (e.g., corticosteroids, mammalian target of rapamycin (mTOR) inhibitors (predominantly sirolimus) and rituximab, which are all prescribed off-label for APDS).</w:t>
      </w:r>
    </w:p>
    <w:p w14:paraId="193CA76B" w14:textId="6971430A" w:rsidR="00A4529D" w:rsidRDefault="003507D9" w:rsidP="00A4529D">
      <w:pPr>
        <w:pStyle w:val="3-BodyText"/>
        <w:spacing w:before="0" w:after="120"/>
      </w:pPr>
      <w:r w:rsidRPr="003802BA">
        <w:t xml:space="preserve">The evaluation </w:t>
      </w:r>
      <w:r w:rsidR="008948C4">
        <w:t>suggested</w:t>
      </w:r>
      <w:r w:rsidR="008948C4">
        <w:rPr>
          <w:i/>
          <w:iCs/>
        </w:rPr>
        <w:t xml:space="preserve"> </w:t>
      </w:r>
      <w:r w:rsidR="00A4529D" w:rsidRPr="000C0D3B">
        <w:t>sirolimus alone (instead of as part of SoC) should be considered the comparator to leniolisib, given that the APDS Case Series Report – Australia (2025) indicated that six of the seven (86%) patients who used leniolisib also used sirolimus, with only one patient treated with leniolisib without having been treated with sirolimus. However, there was no clinical evidence presented in the submission that would allow comparison of these treatments with leniolisib as sirolimus use was not permitted in Study 2201.</w:t>
      </w:r>
      <w:r w:rsidR="00CC36C1" w:rsidRPr="000C0D3B">
        <w:t xml:space="preserve"> The leniolisib submission to NICE included an </w:t>
      </w:r>
      <w:r w:rsidR="00066669" w:rsidRPr="000C0D3B">
        <w:t xml:space="preserve">indirect treatment comparison </w:t>
      </w:r>
      <w:r w:rsidR="00CC36C1" w:rsidRPr="000C0D3B">
        <w:t xml:space="preserve">using a SoC arm </w:t>
      </w:r>
      <w:r w:rsidR="002C6117" w:rsidRPr="000C0D3B">
        <w:t xml:space="preserve">comprised of patients from the ESID-APDS registry </w:t>
      </w:r>
      <w:r w:rsidR="00227C6A" w:rsidRPr="000C0D3B">
        <w:t>(see par</w:t>
      </w:r>
      <w:r w:rsidR="009B5BEB" w:rsidRPr="000C0D3B">
        <w:t>a</w:t>
      </w:r>
      <w:r w:rsidR="00227C6A" w:rsidRPr="000C0D3B">
        <w:t>gr</w:t>
      </w:r>
      <w:r w:rsidR="00252537" w:rsidRPr="000C0D3B">
        <w:t>a</w:t>
      </w:r>
      <w:r w:rsidR="00227C6A" w:rsidRPr="000C0D3B">
        <w:t xml:space="preserve">ph </w:t>
      </w:r>
      <w:r w:rsidR="00252537" w:rsidRPr="000C0D3B">
        <w:fldChar w:fldCharType="begin" w:fldLock="1"/>
      </w:r>
      <w:r w:rsidR="00252537" w:rsidRPr="000C0D3B">
        <w:instrText xml:space="preserve"> REF _Ref198111025 \r \h </w:instrText>
      </w:r>
      <w:r w:rsidR="000C0D3B" w:rsidRPr="000C0D3B">
        <w:instrText xml:space="preserve"> \* MERGEFORMAT </w:instrText>
      </w:r>
      <w:r w:rsidR="00252537" w:rsidRPr="000C0D3B">
        <w:fldChar w:fldCharType="separate"/>
      </w:r>
      <w:r w:rsidR="008948C4">
        <w:t>6.48</w:t>
      </w:r>
      <w:r w:rsidR="00252537" w:rsidRPr="000C0D3B">
        <w:fldChar w:fldCharType="end"/>
      </w:r>
      <w:r w:rsidR="00252537" w:rsidRPr="000C0D3B">
        <w:t xml:space="preserve"> for a description of this registry) </w:t>
      </w:r>
      <w:r w:rsidR="00CC36C1" w:rsidRPr="000C0D3B">
        <w:t xml:space="preserve">that </w:t>
      </w:r>
      <w:r w:rsidR="00066669" w:rsidRPr="000C0D3B">
        <w:t>better represented current UK clinical management</w:t>
      </w:r>
      <w:r w:rsidR="002C6117" w:rsidRPr="000C0D3B">
        <w:t>;</w:t>
      </w:r>
      <w:r w:rsidR="00CC36C1" w:rsidRPr="000C0D3B">
        <w:t xml:space="preserve"> however</w:t>
      </w:r>
      <w:r w:rsidR="002C6117" w:rsidRPr="000C0D3B">
        <w:t>,</w:t>
      </w:r>
      <w:r w:rsidR="00CC36C1" w:rsidRPr="000C0D3B">
        <w:t xml:space="preserve"> </w:t>
      </w:r>
      <w:r w:rsidR="00E41ADD" w:rsidRPr="000C0D3B">
        <w:t>a similar</w:t>
      </w:r>
      <w:r w:rsidR="00CC36C1" w:rsidRPr="000C0D3B">
        <w:t xml:space="preserve"> </w:t>
      </w:r>
      <w:r w:rsidR="00252537" w:rsidRPr="000C0D3B">
        <w:t xml:space="preserve">indirect treatment comparison </w:t>
      </w:r>
      <w:r w:rsidR="00CC36C1" w:rsidRPr="000C0D3B">
        <w:t>was not presented in the submission.</w:t>
      </w:r>
      <w:r w:rsidR="00772AAD" w:rsidRPr="000C0D3B">
        <w:t xml:space="preserve"> </w:t>
      </w:r>
      <w:r w:rsidR="00A01901" w:rsidRPr="008B433C">
        <w:t xml:space="preserve">The PSCR </w:t>
      </w:r>
      <w:r w:rsidR="00D907AC" w:rsidRPr="008B433C">
        <w:t xml:space="preserve">argued </w:t>
      </w:r>
      <w:r w:rsidR="00A01901" w:rsidRPr="008B433C">
        <w:t xml:space="preserve">that sirolimus </w:t>
      </w:r>
      <w:r w:rsidR="00651EA4" w:rsidRPr="008B433C">
        <w:t xml:space="preserve">should not be considered a stand-alone comparator </w:t>
      </w:r>
      <w:r w:rsidR="00A01901" w:rsidRPr="008B433C">
        <w:t xml:space="preserve">for leniolisib </w:t>
      </w:r>
      <w:r w:rsidR="000E558B" w:rsidRPr="008B433C">
        <w:t xml:space="preserve">given </w:t>
      </w:r>
      <w:r w:rsidR="00FF6C49" w:rsidRPr="008B433C">
        <w:t xml:space="preserve">it has only been prescribed in a minority of patients globally and </w:t>
      </w:r>
      <w:r w:rsidR="00CC7097" w:rsidRPr="008B433C">
        <w:t xml:space="preserve">the </w:t>
      </w:r>
      <w:r w:rsidR="00A01901" w:rsidRPr="008B433C">
        <w:t>utilisation of sirolimus is limited due to toxicities (including pulmonary toxicity), complex dosing in growing children with a frequent need for drug-level monitoring, and complications due to worsening immunodeficiency.</w:t>
      </w:r>
      <w:r w:rsidR="00C52DF4" w:rsidRPr="008B433C">
        <w:t xml:space="preserve"> </w:t>
      </w:r>
      <w:r w:rsidR="00A01901" w:rsidRPr="008B433C">
        <w:t xml:space="preserve">The </w:t>
      </w:r>
      <w:r w:rsidR="00AB7EDD" w:rsidRPr="008B433C">
        <w:t xml:space="preserve">Sub-Committees </w:t>
      </w:r>
      <w:r w:rsidR="00194956" w:rsidRPr="008B433C">
        <w:t xml:space="preserve">noted that sirolimus would only be effective in treating </w:t>
      </w:r>
      <w:r w:rsidR="00D86180" w:rsidRPr="008B433C">
        <w:t xml:space="preserve">some manifestations of APDS </w:t>
      </w:r>
      <w:r w:rsidR="00D83494" w:rsidRPr="008B433C">
        <w:t xml:space="preserve">and </w:t>
      </w:r>
      <w:r w:rsidR="00FB7873" w:rsidRPr="008B433C">
        <w:t xml:space="preserve">agreed with the PSCR that </w:t>
      </w:r>
      <w:r w:rsidR="00D83494" w:rsidRPr="008B433C">
        <w:t>it would not be used commonly in clinical practice in Australia</w:t>
      </w:r>
      <w:r w:rsidR="00186DC7" w:rsidRPr="008B433C">
        <w:t xml:space="preserve"> and </w:t>
      </w:r>
      <w:r w:rsidR="00385290" w:rsidRPr="008B433C">
        <w:t>sh</w:t>
      </w:r>
      <w:r w:rsidR="00186DC7" w:rsidRPr="008B433C">
        <w:t xml:space="preserve">ould </w:t>
      </w:r>
      <w:r w:rsidR="00385290" w:rsidRPr="008B433C">
        <w:t>not be considered a</w:t>
      </w:r>
      <w:r w:rsidR="0012748D" w:rsidRPr="008B433C">
        <w:t xml:space="preserve"> </w:t>
      </w:r>
      <w:r w:rsidR="00385290" w:rsidRPr="008B433C">
        <w:t>primary</w:t>
      </w:r>
      <w:r w:rsidR="0012748D" w:rsidRPr="008B433C">
        <w:t xml:space="preserve"> comparator for </w:t>
      </w:r>
      <w:r w:rsidR="00385290" w:rsidRPr="008B433C">
        <w:t>leniolisib</w:t>
      </w:r>
      <w:r w:rsidR="0012748D" w:rsidRPr="008B433C">
        <w:t>.</w:t>
      </w:r>
    </w:p>
    <w:p w14:paraId="7963050C" w14:textId="5D8E32D0" w:rsidR="003B7582" w:rsidRPr="000C0D3B" w:rsidRDefault="003B7582" w:rsidP="003B7582">
      <w:pPr>
        <w:pStyle w:val="3-BodyText"/>
        <w:numPr>
          <w:ilvl w:val="0"/>
          <w:numId w:val="0"/>
        </w:numPr>
        <w:spacing w:before="0" w:after="120"/>
        <w:ind w:left="720"/>
      </w:pPr>
      <w:r w:rsidRPr="003B7582">
        <w:rPr>
          <w:i/>
          <w:iCs/>
        </w:rPr>
        <w:t>For more detail on PBAC’s view, see section 7 PBAC outcome.</w:t>
      </w:r>
    </w:p>
    <w:p w14:paraId="46EF8518" w14:textId="77777777" w:rsidR="00A4529D" w:rsidRPr="000C0D3B" w:rsidRDefault="00A4529D" w:rsidP="00A4529D">
      <w:pPr>
        <w:pStyle w:val="2-SectionHeading"/>
        <w:numPr>
          <w:ilvl w:val="0"/>
          <w:numId w:val="1"/>
        </w:numPr>
      </w:pPr>
      <w:bookmarkStart w:id="10" w:name="_Toc198725885"/>
      <w:r w:rsidRPr="000C0D3B">
        <w:t>Consideration of the evidence</w:t>
      </w:r>
      <w:bookmarkEnd w:id="10"/>
    </w:p>
    <w:p w14:paraId="00D9F7DA" w14:textId="77777777" w:rsidR="008629D5" w:rsidRPr="008629D5" w:rsidRDefault="008629D5" w:rsidP="008629D5">
      <w:pPr>
        <w:pStyle w:val="4-SubsectionHeading"/>
      </w:pPr>
      <w:bookmarkStart w:id="11" w:name="_Hlk76375935"/>
      <w:bookmarkStart w:id="12" w:name="_Toc198725886"/>
      <w:r w:rsidRPr="008629D5">
        <w:t>Sponsor hearing</w:t>
      </w:r>
    </w:p>
    <w:p w14:paraId="66632CF6" w14:textId="77777777" w:rsidR="00CB7F5B" w:rsidRDefault="008629D5" w:rsidP="001326EF">
      <w:pPr>
        <w:widowControl w:val="0"/>
        <w:numPr>
          <w:ilvl w:val="1"/>
          <w:numId w:val="1"/>
        </w:numPr>
        <w:spacing w:after="120"/>
        <w:rPr>
          <w:rFonts w:asciiTheme="minorHAnsi" w:hAnsiTheme="minorHAnsi"/>
          <w:bCs/>
          <w:snapToGrid w:val="0"/>
        </w:rPr>
      </w:pPr>
      <w:bookmarkStart w:id="13" w:name="_Hlk76382586"/>
      <w:r w:rsidRPr="00836F75">
        <w:rPr>
          <w:rFonts w:asciiTheme="minorHAnsi" w:hAnsiTheme="minorHAnsi"/>
          <w:bCs/>
          <w:snapToGrid w:val="0"/>
        </w:rPr>
        <w:t xml:space="preserve">The sponsor requested a hearing for this item. The clinician presented </w:t>
      </w:r>
      <w:r w:rsidR="007F0011">
        <w:rPr>
          <w:rFonts w:asciiTheme="minorHAnsi" w:hAnsiTheme="minorHAnsi"/>
          <w:bCs/>
          <w:snapToGrid w:val="0"/>
        </w:rPr>
        <w:t xml:space="preserve">a </w:t>
      </w:r>
      <w:r w:rsidRPr="00836F75">
        <w:rPr>
          <w:rFonts w:asciiTheme="minorHAnsi" w:hAnsiTheme="minorHAnsi"/>
          <w:bCs/>
          <w:snapToGrid w:val="0"/>
        </w:rPr>
        <w:t>clinical case stu</w:t>
      </w:r>
      <w:r w:rsidR="00ED2271">
        <w:rPr>
          <w:rFonts w:asciiTheme="minorHAnsi" w:hAnsiTheme="minorHAnsi"/>
          <w:bCs/>
          <w:snapToGrid w:val="0"/>
        </w:rPr>
        <w:t>dy</w:t>
      </w:r>
      <w:r w:rsidR="003D23B4">
        <w:rPr>
          <w:rFonts w:asciiTheme="minorHAnsi" w:hAnsiTheme="minorHAnsi"/>
          <w:bCs/>
          <w:snapToGrid w:val="0"/>
        </w:rPr>
        <w:t xml:space="preserve"> where treatment </w:t>
      </w:r>
      <w:r w:rsidR="00E44A4C">
        <w:rPr>
          <w:rFonts w:asciiTheme="minorHAnsi" w:hAnsiTheme="minorHAnsi"/>
          <w:bCs/>
          <w:snapToGrid w:val="0"/>
        </w:rPr>
        <w:t xml:space="preserve">with </w:t>
      </w:r>
      <w:r w:rsidR="00A77A81">
        <w:rPr>
          <w:rFonts w:asciiTheme="minorHAnsi" w:hAnsiTheme="minorHAnsi"/>
          <w:bCs/>
          <w:snapToGrid w:val="0"/>
        </w:rPr>
        <w:t xml:space="preserve">two years of treatment with </w:t>
      </w:r>
      <w:r w:rsidR="00E44A4C">
        <w:rPr>
          <w:rFonts w:asciiTheme="minorHAnsi" w:hAnsiTheme="minorHAnsi"/>
          <w:bCs/>
          <w:snapToGrid w:val="0"/>
        </w:rPr>
        <w:t xml:space="preserve">leniolisib </w:t>
      </w:r>
      <w:r w:rsidR="00A77A81">
        <w:rPr>
          <w:rFonts w:asciiTheme="minorHAnsi" w:hAnsiTheme="minorHAnsi"/>
          <w:bCs/>
          <w:snapToGrid w:val="0"/>
        </w:rPr>
        <w:t xml:space="preserve">resulted in </w:t>
      </w:r>
      <w:r w:rsidR="00B06DEC">
        <w:rPr>
          <w:rFonts w:asciiTheme="minorHAnsi" w:hAnsiTheme="minorHAnsi"/>
          <w:bCs/>
          <w:snapToGrid w:val="0"/>
        </w:rPr>
        <w:t>improved lung function</w:t>
      </w:r>
      <w:r w:rsidR="00A77A81">
        <w:rPr>
          <w:rFonts w:asciiTheme="minorHAnsi" w:hAnsiTheme="minorHAnsi"/>
          <w:bCs/>
          <w:snapToGrid w:val="0"/>
        </w:rPr>
        <w:t xml:space="preserve">, </w:t>
      </w:r>
      <w:r w:rsidR="00CA186A">
        <w:rPr>
          <w:rFonts w:asciiTheme="minorHAnsi" w:hAnsiTheme="minorHAnsi"/>
          <w:bCs/>
          <w:snapToGrid w:val="0"/>
        </w:rPr>
        <w:t xml:space="preserve">fewer infections, and </w:t>
      </w:r>
      <w:r w:rsidR="00A77A81">
        <w:rPr>
          <w:rFonts w:asciiTheme="minorHAnsi" w:hAnsiTheme="minorHAnsi"/>
          <w:bCs/>
          <w:snapToGrid w:val="0"/>
        </w:rPr>
        <w:t>improved quality of life</w:t>
      </w:r>
      <w:r w:rsidR="004A7C32">
        <w:rPr>
          <w:rFonts w:asciiTheme="minorHAnsi" w:hAnsiTheme="minorHAnsi"/>
          <w:bCs/>
          <w:snapToGrid w:val="0"/>
        </w:rPr>
        <w:t xml:space="preserve">. The patient </w:t>
      </w:r>
      <w:r w:rsidR="00B06DEC">
        <w:rPr>
          <w:rFonts w:asciiTheme="minorHAnsi" w:hAnsiTheme="minorHAnsi"/>
          <w:bCs/>
          <w:snapToGrid w:val="0"/>
        </w:rPr>
        <w:t xml:space="preserve">described treatment as “not a cure but feels close”. The clinician </w:t>
      </w:r>
      <w:r w:rsidRPr="00836F75">
        <w:rPr>
          <w:rFonts w:asciiTheme="minorHAnsi" w:hAnsiTheme="minorHAnsi"/>
          <w:bCs/>
          <w:snapToGrid w:val="0"/>
        </w:rPr>
        <w:t>discussed the natural history of the disease</w:t>
      </w:r>
      <w:r w:rsidR="008A7797">
        <w:rPr>
          <w:rFonts w:asciiTheme="minorHAnsi" w:hAnsiTheme="minorHAnsi"/>
          <w:bCs/>
          <w:snapToGrid w:val="0"/>
        </w:rPr>
        <w:t xml:space="preserve"> and</w:t>
      </w:r>
      <w:r w:rsidRPr="00836F75">
        <w:rPr>
          <w:rFonts w:asciiTheme="minorHAnsi" w:hAnsiTheme="minorHAnsi"/>
          <w:bCs/>
          <w:snapToGrid w:val="0"/>
        </w:rPr>
        <w:t xml:space="preserve"> </w:t>
      </w:r>
      <w:r w:rsidR="00177E2F">
        <w:rPr>
          <w:rFonts w:asciiTheme="minorHAnsi" w:hAnsiTheme="minorHAnsi"/>
          <w:bCs/>
          <w:snapToGrid w:val="0"/>
        </w:rPr>
        <w:t xml:space="preserve">described that </w:t>
      </w:r>
      <w:r w:rsidR="008A7797">
        <w:rPr>
          <w:rFonts w:asciiTheme="minorHAnsi" w:hAnsiTheme="minorHAnsi"/>
          <w:bCs/>
          <w:snapToGrid w:val="0"/>
        </w:rPr>
        <w:t xml:space="preserve">leniolisib </w:t>
      </w:r>
      <w:r w:rsidRPr="00836F75">
        <w:rPr>
          <w:rFonts w:asciiTheme="minorHAnsi" w:hAnsiTheme="minorHAnsi"/>
          <w:bCs/>
          <w:snapToGrid w:val="0"/>
        </w:rPr>
        <w:t xml:space="preserve">would be </w:t>
      </w:r>
      <w:r w:rsidR="00177E2F">
        <w:rPr>
          <w:rFonts w:asciiTheme="minorHAnsi" w:hAnsiTheme="minorHAnsi"/>
          <w:bCs/>
          <w:snapToGrid w:val="0"/>
        </w:rPr>
        <w:t xml:space="preserve">a game changing treatment for APDS </w:t>
      </w:r>
      <w:r w:rsidR="00BB0FC0">
        <w:rPr>
          <w:rFonts w:asciiTheme="minorHAnsi" w:hAnsiTheme="minorHAnsi"/>
          <w:bCs/>
          <w:snapToGrid w:val="0"/>
        </w:rPr>
        <w:t>in Australia as it corrects the root cause of APDS</w:t>
      </w:r>
      <w:r w:rsidR="00CB7F5B">
        <w:rPr>
          <w:rFonts w:asciiTheme="minorHAnsi" w:hAnsiTheme="minorHAnsi"/>
          <w:bCs/>
          <w:snapToGrid w:val="0"/>
        </w:rPr>
        <w:t xml:space="preserve"> and manages infection</w:t>
      </w:r>
      <w:r w:rsidR="00BB0FC0">
        <w:rPr>
          <w:rFonts w:asciiTheme="minorHAnsi" w:hAnsiTheme="minorHAnsi"/>
          <w:bCs/>
          <w:snapToGrid w:val="0"/>
        </w:rPr>
        <w:t xml:space="preserve">. </w:t>
      </w:r>
    </w:p>
    <w:p w14:paraId="6A98AE71" w14:textId="626930D1" w:rsidR="008629D5" w:rsidRPr="001326EF" w:rsidRDefault="00CB7F5B" w:rsidP="001326EF">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clinician </w:t>
      </w:r>
      <w:r w:rsidR="008629D5" w:rsidRPr="00836F75">
        <w:rPr>
          <w:rFonts w:asciiTheme="minorHAnsi" w:hAnsiTheme="minorHAnsi"/>
          <w:bCs/>
          <w:snapToGrid w:val="0"/>
        </w:rPr>
        <w:t>addressed other matters in response to the Committee’s qu</w:t>
      </w:r>
      <w:r w:rsidR="008629D5">
        <w:rPr>
          <w:rFonts w:asciiTheme="minorHAnsi" w:hAnsiTheme="minorHAnsi"/>
          <w:bCs/>
          <w:snapToGrid w:val="0"/>
        </w:rPr>
        <w:t>estions</w:t>
      </w:r>
      <w:r w:rsidR="003D6742">
        <w:rPr>
          <w:rFonts w:asciiTheme="minorHAnsi" w:hAnsiTheme="minorHAnsi"/>
          <w:bCs/>
          <w:snapToGrid w:val="0"/>
        </w:rPr>
        <w:t>.</w:t>
      </w:r>
      <w:r w:rsidR="00CB481C">
        <w:rPr>
          <w:rFonts w:asciiTheme="minorHAnsi" w:hAnsiTheme="minorHAnsi"/>
          <w:bCs/>
          <w:snapToGrid w:val="0"/>
        </w:rPr>
        <w:t xml:space="preserve"> </w:t>
      </w:r>
      <w:r w:rsidR="003D6742">
        <w:rPr>
          <w:rFonts w:asciiTheme="minorHAnsi" w:hAnsiTheme="minorHAnsi"/>
          <w:bCs/>
          <w:snapToGrid w:val="0"/>
        </w:rPr>
        <w:t xml:space="preserve">Regarding </w:t>
      </w:r>
      <w:r w:rsidR="00602FCD">
        <w:rPr>
          <w:rFonts w:asciiTheme="minorHAnsi" w:hAnsiTheme="minorHAnsi"/>
          <w:bCs/>
          <w:snapToGrid w:val="0"/>
        </w:rPr>
        <w:t>measuring</w:t>
      </w:r>
      <w:r w:rsidR="00C52743">
        <w:rPr>
          <w:rFonts w:asciiTheme="minorHAnsi" w:hAnsiTheme="minorHAnsi"/>
          <w:bCs/>
          <w:snapToGrid w:val="0"/>
        </w:rPr>
        <w:t xml:space="preserve"> response to treatment</w:t>
      </w:r>
      <w:r w:rsidR="00602FCD">
        <w:rPr>
          <w:rFonts w:asciiTheme="minorHAnsi" w:hAnsiTheme="minorHAnsi"/>
          <w:bCs/>
          <w:snapToGrid w:val="0"/>
        </w:rPr>
        <w:t xml:space="preserve"> with leniolisib, the clinician noted that </w:t>
      </w:r>
      <w:r w:rsidR="00DF3CEC">
        <w:rPr>
          <w:rFonts w:asciiTheme="minorHAnsi" w:hAnsiTheme="minorHAnsi"/>
          <w:bCs/>
          <w:snapToGrid w:val="0"/>
        </w:rPr>
        <w:t>it is difficult to define</w:t>
      </w:r>
      <w:r w:rsidR="001B3F22">
        <w:rPr>
          <w:rFonts w:asciiTheme="minorHAnsi" w:hAnsiTheme="minorHAnsi"/>
          <w:bCs/>
          <w:snapToGrid w:val="0"/>
        </w:rPr>
        <w:t xml:space="preserve"> appropriate</w:t>
      </w:r>
      <w:r w:rsidR="00DF3CEC">
        <w:rPr>
          <w:rFonts w:asciiTheme="minorHAnsi" w:hAnsiTheme="minorHAnsi"/>
          <w:bCs/>
          <w:snapToGrid w:val="0"/>
        </w:rPr>
        <w:t xml:space="preserve"> response criteria that would apply to all patients </w:t>
      </w:r>
      <w:r w:rsidR="00602FCD">
        <w:rPr>
          <w:rFonts w:asciiTheme="minorHAnsi" w:hAnsiTheme="minorHAnsi"/>
          <w:bCs/>
          <w:snapToGrid w:val="0"/>
        </w:rPr>
        <w:t>since</w:t>
      </w:r>
      <w:r w:rsidR="00210400">
        <w:rPr>
          <w:rFonts w:asciiTheme="minorHAnsi" w:hAnsiTheme="minorHAnsi"/>
          <w:bCs/>
          <w:snapToGrid w:val="0"/>
        </w:rPr>
        <w:t xml:space="preserve"> APDS </w:t>
      </w:r>
      <w:r w:rsidR="001B3F22">
        <w:rPr>
          <w:rFonts w:asciiTheme="minorHAnsi" w:hAnsiTheme="minorHAnsi"/>
          <w:bCs/>
          <w:snapToGrid w:val="0"/>
        </w:rPr>
        <w:t>is a rare disease</w:t>
      </w:r>
      <w:r w:rsidR="00A358F6">
        <w:rPr>
          <w:rFonts w:asciiTheme="minorHAnsi" w:hAnsiTheme="minorHAnsi"/>
          <w:bCs/>
          <w:snapToGrid w:val="0"/>
        </w:rPr>
        <w:t xml:space="preserve"> </w:t>
      </w:r>
      <w:r w:rsidR="00406EB1">
        <w:rPr>
          <w:rFonts w:asciiTheme="minorHAnsi" w:hAnsiTheme="minorHAnsi"/>
          <w:bCs/>
          <w:snapToGrid w:val="0"/>
        </w:rPr>
        <w:t>the</w:t>
      </w:r>
      <w:r w:rsidR="001B3F22">
        <w:rPr>
          <w:rFonts w:asciiTheme="minorHAnsi" w:hAnsiTheme="minorHAnsi"/>
          <w:bCs/>
          <w:snapToGrid w:val="0"/>
        </w:rPr>
        <w:t xml:space="preserve">re </w:t>
      </w:r>
      <w:r w:rsidR="00FB0415">
        <w:rPr>
          <w:rFonts w:asciiTheme="minorHAnsi" w:hAnsiTheme="minorHAnsi"/>
          <w:bCs/>
          <w:snapToGrid w:val="0"/>
        </w:rPr>
        <w:t xml:space="preserve">is </w:t>
      </w:r>
      <w:r w:rsidR="00912BBA">
        <w:rPr>
          <w:rFonts w:asciiTheme="minorHAnsi" w:hAnsiTheme="minorHAnsi"/>
          <w:bCs/>
          <w:snapToGrid w:val="0"/>
        </w:rPr>
        <w:t xml:space="preserve">considerable variation in the manifestations </w:t>
      </w:r>
      <w:r w:rsidR="000A5BE2">
        <w:rPr>
          <w:rFonts w:asciiTheme="minorHAnsi" w:hAnsiTheme="minorHAnsi"/>
          <w:bCs/>
          <w:snapToGrid w:val="0"/>
        </w:rPr>
        <w:t xml:space="preserve">experienced by patients and there </w:t>
      </w:r>
      <w:r w:rsidR="001B3F22">
        <w:rPr>
          <w:rFonts w:asciiTheme="minorHAnsi" w:hAnsiTheme="minorHAnsi"/>
          <w:bCs/>
          <w:snapToGrid w:val="0"/>
        </w:rPr>
        <w:t>are</w:t>
      </w:r>
      <w:r w:rsidR="00406EB1">
        <w:rPr>
          <w:rFonts w:asciiTheme="minorHAnsi" w:hAnsiTheme="minorHAnsi"/>
          <w:bCs/>
          <w:snapToGrid w:val="0"/>
        </w:rPr>
        <w:t xml:space="preserve"> multiple </w:t>
      </w:r>
      <w:r w:rsidR="00DF3CEC">
        <w:rPr>
          <w:rFonts w:asciiTheme="minorHAnsi" w:hAnsiTheme="minorHAnsi"/>
          <w:bCs/>
          <w:snapToGrid w:val="0"/>
        </w:rPr>
        <w:t>health benefits that can be achieved</w:t>
      </w:r>
      <w:r w:rsidR="00E12850">
        <w:rPr>
          <w:rFonts w:asciiTheme="minorHAnsi" w:hAnsiTheme="minorHAnsi"/>
          <w:bCs/>
          <w:snapToGrid w:val="0"/>
        </w:rPr>
        <w:t xml:space="preserve"> and measured</w:t>
      </w:r>
      <w:r w:rsidR="00C52743">
        <w:rPr>
          <w:rFonts w:asciiTheme="minorHAnsi" w:hAnsiTheme="minorHAnsi"/>
          <w:bCs/>
          <w:snapToGrid w:val="0"/>
        </w:rPr>
        <w:t xml:space="preserve">. </w:t>
      </w:r>
      <w:r w:rsidR="00E40CB3">
        <w:rPr>
          <w:rFonts w:asciiTheme="minorHAnsi" w:hAnsiTheme="minorHAnsi"/>
          <w:bCs/>
          <w:snapToGrid w:val="0"/>
        </w:rPr>
        <w:t>In saying this, t</w:t>
      </w:r>
      <w:r w:rsidR="00B755D4">
        <w:rPr>
          <w:rFonts w:asciiTheme="minorHAnsi" w:hAnsiTheme="minorHAnsi"/>
          <w:bCs/>
          <w:snapToGrid w:val="0"/>
        </w:rPr>
        <w:t xml:space="preserve">he clinician noted the most important </w:t>
      </w:r>
      <w:r w:rsidR="005A2F56">
        <w:rPr>
          <w:rFonts w:asciiTheme="minorHAnsi" w:hAnsiTheme="minorHAnsi"/>
          <w:bCs/>
          <w:snapToGrid w:val="0"/>
        </w:rPr>
        <w:t xml:space="preserve">overall </w:t>
      </w:r>
      <w:r w:rsidR="00493235">
        <w:rPr>
          <w:rFonts w:asciiTheme="minorHAnsi" w:hAnsiTheme="minorHAnsi"/>
          <w:bCs/>
          <w:snapToGrid w:val="0"/>
        </w:rPr>
        <w:t>aim of treatment is to</w:t>
      </w:r>
      <w:r w:rsidR="005A2F56">
        <w:rPr>
          <w:rFonts w:asciiTheme="minorHAnsi" w:hAnsiTheme="minorHAnsi"/>
          <w:bCs/>
          <w:snapToGrid w:val="0"/>
        </w:rPr>
        <w:t xml:space="preserve"> </w:t>
      </w:r>
      <w:r w:rsidR="00517BD5">
        <w:rPr>
          <w:rFonts w:asciiTheme="minorHAnsi" w:hAnsiTheme="minorHAnsi"/>
          <w:bCs/>
          <w:snapToGrid w:val="0"/>
        </w:rPr>
        <w:t xml:space="preserve">slow down </w:t>
      </w:r>
      <w:r w:rsidR="003D3C5A">
        <w:rPr>
          <w:rFonts w:asciiTheme="minorHAnsi" w:hAnsiTheme="minorHAnsi"/>
          <w:bCs/>
          <w:snapToGrid w:val="0"/>
        </w:rPr>
        <w:t xml:space="preserve">or prevent </w:t>
      </w:r>
      <w:r w:rsidR="00B755D4">
        <w:rPr>
          <w:rFonts w:asciiTheme="minorHAnsi" w:hAnsiTheme="minorHAnsi"/>
          <w:bCs/>
          <w:snapToGrid w:val="0"/>
        </w:rPr>
        <w:t xml:space="preserve">disease </w:t>
      </w:r>
      <w:r w:rsidR="00517BD5">
        <w:rPr>
          <w:rFonts w:asciiTheme="minorHAnsi" w:hAnsiTheme="minorHAnsi"/>
          <w:bCs/>
          <w:snapToGrid w:val="0"/>
        </w:rPr>
        <w:t>progression and maintain quality of life, particularly</w:t>
      </w:r>
      <w:r w:rsidR="008A1CDA">
        <w:rPr>
          <w:rFonts w:asciiTheme="minorHAnsi" w:hAnsiTheme="minorHAnsi"/>
          <w:bCs/>
          <w:snapToGrid w:val="0"/>
        </w:rPr>
        <w:t xml:space="preserve"> by</w:t>
      </w:r>
      <w:r w:rsidR="00517BD5">
        <w:rPr>
          <w:rFonts w:asciiTheme="minorHAnsi" w:hAnsiTheme="minorHAnsi"/>
          <w:bCs/>
          <w:snapToGrid w:val="0"/>
        </w:rPr>
        <w:t xml:space="preserve"> </w:t>
      </w:r>
      <w:r w:rsidR="00FD5437">
        <w:rPr>
          <w:rFonts w:asciiTheme="minorHAnsi" w:hAnsiTheme="minorHAnsi"/>
          <w:bCs/>
          <w:snapToGrid w:val="0"/>
        </w:rPr>
        <w:t xml:space="preserve">preventing </w:t>
      </w:r>
      <w:r w:rsidR="00C13391">
        <w:rPr>
          <w:rFonts w:asciiTheme="minorHAnsi" w:hAnsiTheme="minorHAnsi"/>
          <w:bCs/>
          <w:snapToGrid w:val="0"/>
        </w:rPr>
        <w:t>worsening</w:t>
      </w:r>
      <w:r w:rsidR="00432491">
        <w:rPr>
          <w:rFonts w:asciiTheme="minorHAnsi" w:hAnsiTheme="minorHAnsi"/>
          <w:bCs/>
          <w:snapToGrid w:val="0"/>
        </w:rPr>
        <w:t xml:space="preserve"> of </w:t>
      </w:r>
      <w:r w:rsidR="00CF065E" w:rsidRPr="0031419F">
        <w:t>bronchiectasis</w:t>
      </w:r>
      <w:r w:rsidR="008629D5">
        <w:rPr>
          <w:rFonts w:asciiTheme="minorHAnsi" w:hAnsiTheme="minorHAnsi"/>
          <w:bCs/>
          <w:snapToGrid w:val="0"/>
        </w:rPr>
        <w:t>.</w:t>
      </w:r>
      <w:r w:rsidR="00517BD5">
        <w:rPr>
          <w:rFonts w:asciiTheme="minorHAnsi" w:hAnsiTheme="minorHAnsi"/>
          <w:bCs/>
          <w:snapToGrid w:val="0"/>
        </w:rPr>
        <w:t xml:space="preserve"> Therefore, a continuing criterion of </w:t>
      </w:r>
      <w:r w:rsidR="009E23AF">
        <w:rPr>
          <w:rFonts w:asciiTheme="minorHAnsi" w:hAnsiTheme="minorHAnsi"/>
          <w:bCs/>
          <w:snapToGrid w:val="0"/>
        </w:rPr>
        <w:t>s</w:t>
      </w:r>
      <w:r w:rsidR="002E702F" w:rsidRPr="002E702F">
        <w:rPr>
          <w:rFonts w:asciiTheme="minorHAnsi" w:hAnsiTheme="minorHAnsi"/>
          <w:bCs/>
          <w:snapToGrid w:val="0"/>
        </w:rPr>
        <w:t>table</w:t>
      </w:r>
      <w:r w:rsidR="009E23AF">
        <w:rPr>
          <w:rFonts w:asciiTheme="minorHAnsi" w:hAnsiTheme="minorHAnsi"/>
          <w:bCs/>
          <w:snapToGrid w:val="0"/>
        </w:rPr>
        <w:t xml:space="preserve"> or </w:t>
      </w:r>
      <w:r w:rsidR="002E702F" w:rsidRPr="002E702F">
        <w:rPr>
          <w:rFonts w:asciiTheme="minorHAnsi" w:hAnsiTheme="minorHAnsi"/>
          <w:bCs/>
          <w:snapToGrid w:val="0"/>
        </w:rPr>
        <w:t xml:space="preserve">responding to </w:t>
      </w:r>
      <w:r w:rsidR="003D3536">
        <w:rPr>
          <w:rFonts w:asciiTheme="minorHAnsi" w:hAnsiTheme="minorHAnsi"/>
          <w:bCs/>
          <w:snapToGrid w:val="0"/>
        </w:rPr>
        <w:t xml:space="preserve">treatment </w:t>
      </w:r>
      <w:r w:rsidR="009E23AF">
        <w:rPr>
          <w:rFonts w:asciiTheme="minorHAnsi" w:hAnsiTheme="minorHAnsi"/>
          <w:bCs/>
          <w:snapToGrid w:val="0"/>
        </w:rPr>
        <w:t>would be appropriate</w:t>
      </w:r>
      <w:r w:rsidR="00E42634">
        <w:rPr>
          <w:rFonts w:asciiTheme="minorHAnsi" w:hAnsiTheme="minorHAnsi"/>
          <w:bCs/>
          <w:snapToGrid w:val="0"/>
        </w:rPr>
        <w:t>, particularly given this is a lifelong treatment.</w:t>
      </w:r>
      <w:r w:rsidR="003655BF">
        <w:rPr>
          <w:rFonts w:asciiTheme="minorHAnsi" w:hAnsiTheme="minorHAnsi"/>
          <w:bCs/>
          <w:snapToGrid w:val="0"/>
        </w:rPr>
        <w:t xml:space="preserve"> </w:t>
      </w:r>
      <w:r w:rsidR="004E2FDE">
        <w:rPr>
          <w:rFonts w:asciiTheme="minorHAnsi" w:hAnsiTheme="minorHAnsi"/>
          <w:bCs/>
          <w:snapToGrid w:val="0"/>
        </w:rPr>
        <w:t xml:space="preserve">The clinician noted that the life-expectancy for </w:t>
      </w:r>
      <w:r w:rsidR="00FB2C6A">
        <w:rPr>
          <w:rFonts w:asciiTheme="minorHAnsi" w:hAnsiTheme="minorHAnsi"/>
          <w:bCs/>
          <w:snapToGrid w:val="0"/>
        </w:rPr>
        <w:t xml:space="preserve">patients with APDS is difficult to define as the condition </w:t>
      </w:r>
      <w:r w:rsidR="004E2FDE">
        <w:rPr>
          <w:rFonts w:asciiTheme="minorHAnsi" w:hAnsiTheme="minorHAnsi"/>
          <w:bCs/>
          <w:snapToGrid w:val="0"/>
        </w:rPr>
        <w:t>has only been characterised in the last 10 years</w:t>
      </w:r>
      <w:r w:rsidR="00FB2C6A">
        <w:rPr>
          <w:rFonts w:asciiTheme="minorHAnsi" w:hAnsiTheme="minorHAnsi"/>
          <w:bCs/>
          <w:snapToGrid w:val="0"/>
        </w:rPr>
        <w:t>.</w:t>
      </w:r>
      <w:r w:rsidR="004E2FDE">
        <w:rPr>
          <w:rFonts w:asciiTheme="minorHAnsi" w:hAnsiTheme="minorHAnsi"/>
          <w:bCs/>
          <w:snapToGrid w:val="0"/>
        </w:rPr>
        <w:t xml:space="preserve"> </w:t>
      </w:r>
      <w:r w:rsidR="002E702F">
        <w:rPr>
          <w:rFonts w:asciiTheme="minorHAnsi" w:hAnsiTheme="minorHAnsi"/>
          <w:bCs/>
          <w:snapToGrid w:val="0"/>
        </w:rPr>
        <w:t xml:space="preserve">Additionally, the clinician </w:t>
      </w:r>
      <w:r w:rsidR="00FB6824">
        <w:rPr>
          <w:rFonts w:asciiTheme="minorHAnsi" w:hAnsiTheme="minorHAnsi"/>
          <w:bCs/>
          <w:snapToGrid w:val="0"/>
        </w:rPr>
        <w:t xml:space="preserve">noted it is likely </w:t>
      </w:r>
      <w:r w:rsidR="00936E0E">
        <w:rPr>
          <w:rFonts w:asciiTheme="minorHAnsi" w:hAnsiTheme="minorHAnsi"/>
          <w:bCs/>
          <w:snapToGrid w:val="0"/>
        </w:rPr>
        <w:t xml:space="preserve">that </w:t>
      </w:r>
      <w:r w:rsidR="00FB6824">
        <w:rPr>
          <w:rFonts w:asciiTheme="minorHAnsi" w:hAnsiTheme="minorHAnsi"/>
          <w:bCs/>
          <w:snapToGrid w:val="0"/>
        </w:rPr>
        <w:t xml:space="preserve">uptake </w:t>
      </w:r>
      <w:r w:rsidR="00C954A0">
        <w:rPr>
          <w:rFonts w:asciiTheme="minorHAnsi" w:hAnsiTheme="minorHAnsi"/>
          <w:bCs/>
          <w:snapToGrid w:val="0"/>
        </w:rPr>
        <w:t xml:space="preserve">of leniolisib will </w:t>
      </w:r>
      <w:r w:rsidR="00FB6824">
        <w:rPr>
          <w:rFonts w:asciiTheme="minorHAnsi" w:hAnsiTheme="minorHAnsi"/>
          <w:bCs/>
          <w:snapToGrid w:val="0"/>
        </w:rPr>
        <w:t>be high if leniolisib was made available on the PBS.</w:t>
      </w:r>
      <w:r w:rsidR="008629D5">
        <w:rPr>
          <w:rFonts w:asciiTheme="minorHAnsi" w:hAnsiTheme="minorHAnsi"/>
          <w:bCs/>
          <w:snapToGrid w:val="0"/>
        </w:rPr>
        <w:t xml:space="preserve"> </w:t>
      </w:r>
      <w:r w:rsidR="008629D5" w:rsidRPr="00836F75">
        <w:rPr>
          <w:rFonts w:asciiTheme="minorHAnsi" w:hAnsiTheme="minorHAnsi"/>
          <w:bCs/>
          <w:snapToGrid w:val="0"/>
        </w:rPr>
        <w:t xml:space="preserve">The PBAC considered </w:t>
      </w:r>
      <w:r w:rsidR="00A76C37">
        <w:rPr>
          <w:rFonts w:asciiTheme="minorHAnsi" w:hAnsiTheme="minorHAnsi"/>
          <w:bCs/>
          <w:snapToGrid w:val="0"/>
        </w:rPr>
        <w:t xml:space="preserve">the clinician’s responses to the Committee’s questions </w:t>
      </w:r>
      <w:r w:rsidR="008A1CDA">
        <w:rPr>
          <w:rFonts w:asciiTheme="minorHAnsi" w:hAnsiTheme="minorHAnsi"/>
          <w:bCs/>
          <w:snapToGrid w:val="0"/>
        </w:rPr>
        <w:t xml:space="preserve">were </w:t>
      </w:r>
      <w:r w:rsidR="008629D5" w:rsidRPr="00836F75">
        <w:rPr>
          <w:rFonts w:asciiTheme="minorHAnsi" w:hAnsiTheme="minorHAnsi"/>
          <w:bCs/>
          <w:snapToGrid w:val="0"/>
        </w:rPr>
        <w:t xml:space="preserve">informative </w:t>
      </w:r>
      <w:r w:rsidR="009844D6">
        <w:rPr>
          <w:rFonts w:asciiTheme="minorHAnsi" w:hAnsiTheme="minorHAnsi"/>
          <w:bCs/>
          <w:snapToGrid w:val="0"/>
        </w:rPr>
        <w:t xml:space="preserve">to the restrictions </w:t>
      </w:r>
      <w:r w:rsidR="00376C24">
        <w:rPr>
          <w:rFonts w:asciiTheme="minorHAnsi" w:hAnsiTheme="minorHAnsi"/>
          <w:bCs/>
          <w:snapToGrid w:val="0"/>
        </w:rPr>
        <w:t xml:space="preserve">and estimates </w:t>
      </w:r>
      <w:r w:rsidR="009844D6">
        <w:rPr>
          <w:rFonts w:asciiTheme="minorHAnsi" w:hAnsiTheme="minorHAnsi"/>
          <w:bCs/>
          <w:snapToGrid w:val="0"/>
        </w:rPr>
        <w:t xml:space="preserve">for </w:t>
      </w:r>
      <w:r w:rsidR="00376C24">
        <w:rPr>
          <w:rFonts w:asciiTheme="minorHAnsi" w:hAnsiTheme="minorHAnsi"/>
          <w:bCs/>
          <w:snapToGrid w:val="0"/>
        </w:rPr>
        <w:t xml:space="preserve">uptake </w:t>
      </w:r>
      <w:r w:rsidR="00CC31F6">
        <w:rPr>
          <w:rFonts w:asciiTheme="minorHAnsi" w:hAnsiTheme="minorHAnsi"/>
          <w:bCs/>
          <w:snapToGrid w:val="0"/>
        </w:rPr>
        <w:t>for leniolisib</w:t>
      </w:r>
      <w:r w:rsidR="008629D5" w:rsidRPr="00836F75">
        <w:rPr>
          <w:rFonts w:asciiTheme="minorHAnsi" w:hAnsiTheme="minorHAnsi"/>
          <w:bCs/>
          <w:snapToGrid w:val="0"/>
        </w:rPr>
        <w:t>.</w:t>
      </w:r>
      <w:bookmarkEnd w:id="13"/>
    </w:p>
    <w:p w14:paraId="7E691584" w14:textId="77777777" w:rsidR="008629D5" w:rsidRPr="008629D5" w:rsidRDefault="008629D5" w:rsidP="00EA1BAB">
      <w:pPr>
        <w:pStyle w:val="4-SubsectionHeading"/>
      </w:pPr>
      <w:r w:rsidRPr="008629D5">
        <w:t>Consumer comments</w:t>
      </w:r>
    </w:p>
    <w:p w14:paraId="206B5B72" w14:textId="2F08D5DF" w:rsidR="008629D5" w:rsidRPr="002A7EDA" w:rsidRDefault="008629D5" w:rsidP="008629D5">
      <w:pPr>
        <w:widowControl w:val="0"/>
        <w:numPr>
          <w:ilvl w:val="1"/>
          <w:numId w:val="1"/>
        </w:numPr>
        <w:spacing w:after="120"/>
        <w:rPr>
          <w:rFonts w:asciiTheme="minorHAnsi" w:hAnsiTheme="minorHAnsi"/>
          <w:bCs/>
          <w:snapToGrid w:val="0"/>
        </w:rPr>
      </w:pPr>
      <w:bookmarkStart w:id="14" w:name="_Hlk76382618"/>
      <w:r w:rsidRPr="00836F75">
        <w:rPr>
          <w:rFonts w:asciiTheme="minorHAnsi" w:hAnsiTheme="minorHAnsi"/>
          <w:bCs/>
          <w:snapToGrid w:val="0"/>
        </w:rPr>
        <w:t>The PBAC noted and welcomed the input from individuals (</w:t>
      </w:r>
      <w:r w:rsidR="00DC6A0D">
        <w:rPr>
          <w:rFonts w:asciiTheme="minorHAnsi" w:hAnsiTheme="minorHAnsi"/>
          <w:bCs/>
          <w:snapToGrid w:val="0"/>
        </w:rPr>
        <w:t>1</w:t>
      </w:r>
      <w:r w:rsidRPr="00836F75">
        <w:rPr>
          <w:rFonts w:asciiTheme="minorHAnsi" w:hAnsiTheme="minorHAnsi"/>
          <w:bCs/>
          <w:snapToGrid w:val="0"/>
        </w:rPr>
        <w:t>), health care professionals (</w:t>
      </w:r>
      <w:r w:rsidR="0099101E">
        <w:rPr>
          <w:rFonts w:asciiTheme="minorHAnsi" w:hAnsiTheme="minorHAnsi"/>
          <w:bCs/>
          <w:snapToGrid w:val="0"/>
        </w:rPr>
        <w:t>2</w:t>
      </w:r>
      <w:r w:rsidRPr="00836F75">
        <w:rPr>
          <w:rFonts w:asciiTheme="minorHAnsi" w:hAnsiTheme="minorHAnsi"/>
          <w:bCs/>
          <w:snapToGrid w:val="0"/>
        </w:rPr>
        <w:t>) and organisations (</w:t>
      </w:r>
      <w:r w:rsidR="00DC6A0D">
        <w:rPr>
          <w:rFonts w:asciiTheme="minorHAnsi" w:hAnsiTheme="minorHAnsi"/>
          <w:bCs/>
          <w:snapToGrid w:val="0"/>
        </w:rPr>
        <w:t>2</w:t>
      </w:r>
      <w:r w:rsidRPr="00836F75">
        <w:rPr>
          <w:rFonts w:asciiTheme="minorHAnsi" w:hAnsiTheme="minorHAnsi"/>
          <w:bCs/>
          <w:snapToGrid w:val="0"/>
        </w:rPr>
        <w:t xml:space="preserve">) via the Consumer Comments facility on the PBS website. The comments described </w:t>
      </w:r>
      <w:r w:rsidR="001C61F0">
        <w:rPr>
          <w:rFonts w:asciiTheme="minorHAnsi" w:hAnsiTheme="minorHAnsi"/>
          <w:bCs/>
          <w:snapToGrid w:val="0"/>
        </w:rPr>
        <w:t xml:space="preserve">how debilitating and isolating APDS is given the frequency of infections </w:t>
      </w:r>
      <w:r w:rsidR="001E6405">
        <w:rPr>
          <w:rFonts w:asciiTheme="minorHAnsi" w:hAnsiTheme="minorHAnsi"/>
          <w:bCs/>
          <w:snapToGrid w:val="0"/>
        </w:rPr>
        <w:t>resulting in</w:t>
      </w:r>
      <w:r w:rsidR="005A1CEC">
        <w:rPr>
          <w:rFonts w:asciiTheme="minorHAnsi" w:hAnsiTheme="minorHAnsi"/>
          <w:bCs/>
          <w:snapToGrid w:val="0"/>
        </w:rPr>
        <w:t xml:space="preserve"> </w:t>
      </w:r>
      <w:r w:rsidR="00A0392A">
        <w:rPr>
          <w:rFonts w:asciiTheme="minorHAnsi" w:hAnsiTheme="minorHAnsi"/>
          <w:bCs/>
          <w:snapToGrid w:val="0"/>
        </w:rPr>
        <w:t xml:space="preserve">limited participation at work and school. </w:t>
      </w:r>
      <w:r w:rsidR="00487E2D">
        <w:rPr>
          <w:rFonts w:asciiTheme="minorHAnsi" w:hAnsiTheme="minorHAnsi"/>
          <w:bCs/>
          <w:snapToGrid w:val="0"/>
        </w:rPr>
        <w:t>T</w:t>
      </w:r>
      <w:r w:rsidR="00A0392A">
        <w:rPr>
          <w:rFonts w:asciiTheme="minorHAnsi" w:hAnsiTheme="minorHAnsi"/>
          <w:bCs/>
          <w:snapToGrid w:val="0"/>
        </w:rPr>
        <w:t>he</w:t>
      </w:r>
      <w:r w:rsidR="00E564C9">
        <w:rPr>
          <w:rFonts w:asciiTheme="minorHAnsi" w:hAnsiTheme="minorHAnsi"/>
          <w:bCs/>
          <w:snapToGrid w:val="0"/>
        </w:rPr>
        <w:t xml:space="preserve"> input described the</w:t>
      </w:r>
      <w:r w:rsidR="00A0392A">
        <w:rPr>
          <w:rFonts w:asciiTheme="minorHAnsi" w:hAnsiTheme="minorHAnsi"/>
          <w:bCs/>
          <w:snapToGrid w:val="0"/>
        </w:rPr>
        <w:t xml:space="preserve"> </w:t>
      </w:r>
      <w:r w:rsidRPr="00836F75">
        <w:rPr>
          <w:rFonts w:asciiTheme="minorHAnsi" w:hAnsiTheme="minorHAnsi"/>
          <w:bCs/>
          <w:snapToGrid w:val="0"/>
        </w:rPr>
        <w:t xml:space="preserve">benefits of treatment with </w:t>
      </w:r>
      <w:r w:rsidR="00C03A64">
        <w:rPr>
          <w:rFonts w:asciiTheme="minorHAnsi" w:hAnsiTheme="minorHAnsi"/>
          <w:bCs/>
          <w:snapToGrid w:val="0"/>
        </w:rPr>
        <w:t>leniolisib</w:t>
      </w:r>
      <w:r w:rsidRPr="00836F75">
        <w:rPr>
          <w:rFonts w:asciiTheme="minorHAnsi" w:hAnsiTheme="minorHAnsi"/>
          <w:bCs/>
          <w:snapToGrid w:val="0"/>
        </w:rPr>
        <w:t xml:space="preserve"> including </w:t>
      </w:r>
      <w:r w:rsidR="00A3692D">
        <w:rPr>
          <w:rFonts w:asciiTheme="minorHAnsi" w:hAnsiTheme="minorHAnsi"/>
          <w:bCs/>
          <w:snapToGrid w:val="0"/>
        </w:rPr>
        <w:t xml:space="preserve">reduced frequency </w:t>
      </w:r>
      <w:r w:rsidR="00BF73E1">
        <w:rPr>
          <w:rFonts w:asciiTheme="minorHAnsi" w:hAnsiTheme="minorHAnsi"/>
          <w:bCs/>
          <w:snapToGrid w:val="0"/>
        </w:rPr>
        <w:t>of illness</w:t>
      </w:r>
      <w:r w:rsidR="00A0392A">
        <w:rPr>
          <w:rFonts w:asciiTheme="minorHAnsi" w:hAnsiTheme="minorHAnsi"/>
          <w:bCs/>
          <w:snapToGrid w:val="0"/>
        </w:rPr>
        <w:t xml:space="preserve"> which has resulted in </w:t>
      </w:r>
      <w:r w:rsidR="007A4690">
        <w:rPr>
          <w:rFonts w:asciiTheme="minorHAnsi" w:hAnsiTheme="minorHAnsi"/>
          <w:bCs/>
          <w:snapToGrid w:val="0"/>
        </w:rPr>
        <w:t>avoid</w:t>
      </w:r>
      <w:r w:rsidR="00A0392A">
        <w:rPr>
          <w:rFonts w:asciiTheme="minorHAnsi" w:hAnsiTheme="minorHAnsi"/>
          <w:bCs/>
          <w:snapToGrid w:val="0"/>
        </w:rPr>
        <w:t>ing</w:t>
      </w:r>
      <w:r w:rsidR="007A4690">
        <w:rPr>
          <w:rFonts w:asciiTheme="minorHAnsi" w:hAnsiTheme="minorHAnsi"/>
          <w:bCs/>
          <w:snapToGrid w:val="0"/>
        </w:rPr>
        <w:t xml:space="preserve"> </w:t>
      </w:r>
      <w:r w:rsidR="007A4690" w:rsidRPr="00EE4572">
        <w:rPr>
          <w:bCs/>
          <w:snapToGrid w:val="0"/>
        </w:rPr>
        <w:t>stem cell or lung transplants</w:t>
      </w:r>
      <w:r w:rsidR="00A0392A">
        <w:rPr>
          <w:bCs/>
          <w:snapToGrid w:val="0"/>
        </w:rPr>
        <w:t xml:space="preserve"> and </w:t>
      </w:r>
      <w:r w:rsidR="0037610C">
        <w:rPr>
          <w:rFonts w:asciiTheme="minorHAnsi" w:hAnsiTheme="minorHAnsi"/>
          <w:bCs/>
          <w:snapToGrid w:val="0"/>
        </w:rPr>
        <w:t xml:space="preserve">allowed </w:t>
      </w:r>
      <w:r w:rsidR="00A0392A">
        <w:rPr>
          <w:rFonts w:asciiTheme="minorHAnsi" w:hAnsiTheme="minorHAnsi"/>
          <w:bCs/>
          <w:snapToGrid w:val="0"/>
        </w:rPr>
        <w:t xml:space="preserve">the patient to leave the house. The patient described the </w:t>
      </w:r>
      <w:r w:rsidR="00A0392A">
        <w:rPr>
          <w:bCs/>
          <w:snapToGrid w:val="0"/>
        </w:rPr>
        <w:t xml:space="preserve">increase in </w:t>
      </w:r>
      <w:r w:rsidR="00BF73E1">
        <w:rPr>
          <w:rFonts w:asciiTheme="minorHAnsi" w:hAnsiTheme="minorHAnsi"/>
          <w:bCs/>
          <w:snapToGrid w:val="0"/>
        </w:rPr>
        <w:t>quality of life</w:t>
      </w:r>
      <w:r w:rsidR="005461D6">
        <w:rPr>
          <w:rFonts w:asciiTheme="minorHAnsi" w:hAnsiTheme="minorHAnsi"/>
          <w:bCs/>
          <w:snapToGrid w:val="0"/>
        </w:rPr>
        <w:t xml:space="preserve"> </w:t>
      </w:r>
      <w:r w:rsidR="00456E4C">
        <w:rPr>
          <w:rFonts w:asciiTheme="minorHAnsi" w:hAnsiTheme="minorHAnsi"/>
          <w:bCs/>
          <w:snapToGrid w:val="0"/>
        </w:rPr>
        <w:t xml:space="preserve">in terms of </w:t>
      </w:r>
      <w:r w:rsidR="00DE390D">
        <w:rPr>
          <w:rFonts w:asciiTheme="minorHAnsi" w:hAnsiTheme="minorHAnsi"/>
          <w:bCs/>
          <w:snapToGrid w:val="0"/>
        </w:rPr>
        <w:t>physical, emotional and mental</w:t>
      </w:r>
      <w:r w:rsidR="00456E4C">
        <w:rPr>
          <w:rFonts w:asciiTheme="minorHAnsi" w:hAnsiTheme="minorHAnsi"/>
          <w:bCs/>
          <w:snapToGrid w:val="0"/>
        </w:rPr>
        <w:t xml:space="preserve"> health</w:t>
      </w:r>
      <w:r w:rsidR="00DE390D">
        <w:rPr>
          <w:rFonts w:asciiTheme="minorHAnsi" w:hAnsiTheme="minorHAnsi"/>
          <w:bCs/>
          <w:snapToGrid w:val="0"/>
        </w:rPr>
        <w:t xml:space="preserve">. </w:t>
      </w:r>
      <w:bookmarkStart w:id="15" w:name="_Hlk97141379"/>
      <w:r w:rsidR="00544D27">
        <w:rPr>
          <w:rFonts w:asciiTheme="minorHAnsi" w:hAnsiTheme="minorHAnsi"/>
          <w:bCs/>
          <w:snapToGrid w:val="0"/>
        </w:rPr>
        <w:t xml:space="preserve">The patient described the side effects of leniolisib, although hard to distinguish from infection, are manageable. </w:t>
      </w:r>
      <w:r w:rsidR="005461D6">
        <w:rPr>
          <w:rFonts w:asciiTheme="minorHAnsi" w:hAnsiTheme="minorHAnsi"/>
          <w:bCs/>
          <w:snapToGrid w:val="0"/>
        </w:rPr>
        <w:t xml:space="preserve">The patient noted </w:t>
      </w:r>
      <w:r w:rsidR="007F7A5E">
        <w:rPr>
          <w:bCs/>
          <w:snapToGrid w:val="0"/>
        </w:rPr>
        <w:t>patients</w:t>
      </w:r>
      <w:r w:rsidR="00C560FA">
        <w:rPr>
          <w:bCs/>
          <w:snapToGrid w:val="0"/>
        </w:rPr>
        <w:t xml:space="preserve"> </w:t>
      </w:r>
      <w:r w:rsidR="00544D27">
        <w:rPr>
          <w:bCs/>
          <w:snapToGrid w:val="0"/>
        </w:rPr>
        <w:t xml:space="preserve">on leniolisib will </w:t>
      </w:r>
      <w:r w:rsidR="00C560FA">
        <w:rPr>
          <w:bCs/>
          <w:snapToGrid w:val="0"/>
        </w:rPr>
        <w:t xml:space="preserve">also </w:t>
      </w:r>
      <w:r w:rsidR="00544D27">
        <w:rPr>
          <w:bCs/>
          <w:snapToGrid w:val="0"/>
        </w:rPr>
        <w:t xml:space="preserve">still </w:t>
      </w:r>
      <w:r w:rsidR="00C560FA">
        <w:rPr>
          <w:bCs/>
          <w:snapToGrid w:val="0"/>
        </w:rPr>
        <w:t xml:space="preserve">need to be </w:t>
      </w:r>
      <w:r w:rsidR="007F7A5E">
        <w:rPr>
          <w:bCs/>
          <w:snapToGrid w:val="0"/>
        </w:rPr>
        <w:t>able</w:t>
      </w:r>
      <w:r w:rsidR="00C560FA">
        <w:rPr>
          <w:bCs/>
          <w:snapToGrid w:val="0"/>
        </w:rPr>
        <w:t xml:space="preserve"> to access plasma and antibiotics. </w:t>
      </w:r>
      <w:r w:rsidR="00BD0F7C">
        <w:rPr>
          <w:bCs/>
          <w:snapToGrid w:val="0"/>
        </w:rPr>
        <w:t xml:space="preserve">The patient raised some barriers to accessing leniolisib </w:t>
      </w:r>
      <w:r w:rsidR="00991DF4">
        <w:rPr>
          <w:bCs/>
          <w:snapToGrid w:val="0"/>
        </w:rPr>
        <w:t>noting that</w:t>
      </w:r>
      <w:r w:rsidR="00BD0F7C">
        <w:rPr>
          <w:bCs/>
          <w:snapToGrid w:val="0"/>
        </w:rPr>
        <w:t xml:space="preserve"> having access to </w:t>
      </w:r>
      <w:r w:rsidR="007F7A5E">
        <w:rPr>
          <w:bCs/>
          <w:snapToGrid w:val="0"/>
        </w:rPr>
        <w:t>home delivery of leniolisib was considered important</w:t>
      </w:r>
      <w:r w:rsidR="007F7A5E" w:rsidRPr="00907C9A">
        <w:rPr>
          <w:bCs/>
          <w:snapToGrid w:val="0"/>
        </w:rPr>
        <w:t xml:space="preserve"> given APDS can make leaving home difficult</w:t>
      </w:r>
      <w:r w:rsidR="00BD0F7C">
        <w:rPr>
          <w:bCs/>
          <w:snapToGrid w:val="0"/>
        </w:rPr>
        <w:t xml:space="preserve">, </w:t>
      </w:r>
      <w:r w:rsidR="00991DF4">
        <w:rPr>
          <w:bCs/>
          <w:snapToGrid w:val="0"/>
        </w:rPr>
        <w:t xml:space="preserve">and for </w:t>
      </w:r>
      <w:r w:rsidR="00BD0F7C">
        <w:rPr>
          <w:bCs/>
          <w:snapToGrid w:val="0"/>
        </w:rPr>
        <w:t xml:space="preserve">those who have difficulty </w:t>
      </w:r>
      <w:r w:rsidR="008E4A8D">
        <w:rPr>
          <w:bCs/>
          <w:snapToGrid w:val="0"/>
        </w:rPr>
        <w:t>swallowing</w:t>
      </w:r>
      <w:r w:rsidR="00BD0F7C">
        <w:rPr>
          <w:bCs/>
          <w:snapToGrid w:val="0"/>
        </w:rPr>
        <w:t xml:space="preserve"> </w:t>
      </w:r>
      <w:r w:rsidR="00D72C7C">
        <w:rPr>
          <w:bCs/>
          <w:snapToGrid w:val="0"/>
        </w:rPr>
        <w:t xml:space="preserve">the oral form will be </w:t>
      </w:r>
      <w:r w:rsidR="001D3809">
        <w:rPr>
          <w:bCs/>
          <w:snapToGrid w:val="0"/>
        </w:rPr>
        <w:t>challenging</w:t>
      </w:r>
      <w:r w:rsidR="00D72C7C">
        <w:rPr>
          <w:bCs/>
          <w:snapToGrid w:val="0"/>
        </w:rPr>
        <w:t>. The patient also suggested that</w:t>
      </w:r>
      <w:r w:rsidR="00D63F36">
        <w:rPr>
          <w:bCs/>
          <w:snapToGrid w:val="0"/>
        </w:rPr>
        <w:t xml:space="preserve"> restrictions should not be too strict </w:t>
      </w:r>
      <w:r w:rsidR="004A53AF">
        <w:rPr>
          <w:bCs/>
          <w:snapToGrid w:val="0"/>
        </w:rPr>
        <w:t xml:space="preserve">as to </w:t>
      </w:r>
      <w:r w:rsidR="00D63F36">
        <w:rPr>
          <w:bCs/>
          <w:snapToGrid w:val="0"/>
        </w:rPr>
        <w:t>limit access</w:t>
      </w:r>
      <w:r w:rsidR="006170C9">
        <w:rPr>
          <w:bCs/>
          <w:snapToGrid w:val="0"/>
        </w:rPr>
        <w:t xml:space="preserve"> for patients who would benefit from the treatment</w:t>
      </w:r>
      <w:r w:rsidR="007F7A5E">
        <w:rPr>
          <w:bCs/>
          <w:snapToGrid w:val="0"/>
        </w:rPr>
        <w:t xml:space="preserve">. </w:t>
      </w:r>
      <w:bookmarkEnd w:id="15"/>
    </w:p>
    <w:p w14:paraId="757BEA42" w14:textId="1151DB33" w:rsidR="0073299A" w:rsidRPr="0073299A" w:rsidRDefault="008711DA">
      <w:pPr>
        <w:pStyle w:val="3-BodyText"/>
        <w:rPr>
          <w:snapToGrid w:val="0"/>
        </w:rPr>
      </w:pPr>
      <w:r>
        <w:rPr>
          <w:snapToGrid w:val="0"/>
        </w:rPr>
        <w:t xml:space="preserve">The PBAC </w:t>
      </w:r>
      <w:r w:rsidR="0008430B">
        <w:rPr>
          <w:snapToGrid w:val="0"/>
        </w:rPr>
        <w:t>welcomed the comments from the Australasian Society of Clinical Immunology and Alle</w:t>
      </w:r>
      <w:r w:rsidR="00BA75A2">
        <w:rPr>
          <w:snapToGrid w:val="0"/>
        </w:rPr>
        <w:t>r</w:t>
      </w:r>
      <w:r w:rsidR="0008430B">
        <w:rPr>
          <w:snapToGrid w:val="0"/>
        </w:rPr>
        <w:t>gy (ASCIA) and AusPIPs</w:t>
      </w:r>
      <w:r w:rsidR="00FB2276">
        <w:rPr>
          <w:snapToGrid w:val="0"/>
        </w:rPr>
        <w:t xml:space="preserve"> Inc</w:t>
      </w:r>
      <w:r w:rsidR="00004884">
        <w:rPr>
          <w:snapToGrid w:val="0"/>
        </w:rPr>
        <w:t xml:space="preserve"> </w:t>
      </w:r>
      <w:r w:rsidR="00BB43EA">
        <w:rPr>
          <w:snapToGrid w:val="0"/>
        </w:rPr>
        <w:t>(</w:t>
      </w:r>
      <w:r w:rsidR="00004884">
        <w:rPr>
          <w:snapToGrid w:val="0"/>
        </w:rPr>
        <w:t>an advocacy group for people who have Primary Immune Deficiency (PID)</w:t>
      </w:r>
      <w:r w:rsidR="00BB43EA">
        <w:rPr>
          <w:snapToGrid w:val="0"/>
        </w:rPr>
        <w:t>)</w:t>
      </w:r>
      <w:r w:rsidR="00FB2276">
        <w:rPr>
          <w:snapToGrid w:val="0"/>
        </w:rPr>
        <w:t xml:space="preserve">. </w:t>
      </w:r>
      <w:r w:rsidR="007A66D0" w:rsidRPr="00CB4F8E">
        <w:rPr>
          <w:snapToGrid w:val="0"/>
        </w:rPr>
        <w:t>The input from health professionals</w:t>
      </w:r>
      <w:r w:rsidR="007A66D0">
        <w:rPr>
          <w:snapToGrid w:val="0"/>
        </w:rPr>
        <w:t xml:space="preserve"> and organisations</w:t>
      </w:r>
      <w:r w:rsidR="007A66D0" w:rsidRPr="00CB4F8E">
        <w:rPr>
          <w:snapToGrid w:val="0"/>
        </w:rPr>
        <w:t xml:space="preserve"> noted how rare APDS is and that there are limited effective treatment options. </w:t>
      </w:r>
      <w:r w:rsidR="008F566B" w:rsidRPr="00CB4F8E">
        <w:rPr>
          <w:snapToGrid w:val="0"/>
        </w:rPr>
        <w:t>The</w:t>
      </w:r>
      <w:r w:rsidR="008F566B">
        <w:rPr>
          <w:snapToGrid w:val="0"/>
        </w:rPr>
        <w:t xml:space="preserve"> comments </w:t>
      </w:r>
      <w:r w:rsidR="006E587E">
        <w:rPr>
          <w:snapToGrid w:val="0"/>
        </w:rPr>
        <w:t>confirmed the current treatment</w:t>
      </w:r>
      <w:r w:rsidR="004E3770">
        <w:rPr>
          <w:snapToGrid w:val="0"/>
        </w:rPr>
        <w:t>s</w:t>
      </w:r>
      <w:r w:rsidR="006E587E">
        <w:rPr>
          <w:snapToGrid w:val="0"/>
        </w:rPr>
        <w:t xml:space="preserve"> </w:t>
      </w:r>
      <w:r w:rsidR="00F176DE">
        <w:rPr>
          <w:snapToGrid w:val="0"/>
        </w:rPr>
        <w:t xml:space="preserve">for APDS </w:t>
      </w:r>
      <w:r w:rsidR="00AD181A">
        <w:rPr>
          <w:snapToGrid w:val="0"/>
        </w:rPr>
        <w:t>are non-specific and</w:t>
      </w:r>
      <w:r w:rsidR="00F176DE" w:rsidRPr="00CB4F8E">
        <w:rPr>
          <w:snapToGrid w:val="0"/>
        </w:rPr>
        <w:t xml:space="preserve"> </w:t>
      </w:r>
      <w:r w:rsidR="00F176DE" w:rsidRPr="00F176DE">
        <w:rPr>
          <w:snapToGrid w:val="0"/>
        </w:rPr>
        <w:t xml:space="preserve">generally </w:t>
      </w:r>
      <w:r w:rsidR="00AD181A">
        <w:rPr>
          <w:snapToGrid w:val="0"/>
        </w:rPr>
        <w:t xml:space="preserve">include </w:t>
      </w:r>
      <w:r w:rsidR="00F176DE" w:rsidRPr="00F176DE">
        <w:rPr>
          <w:snapToGrid w:val="0"/>
        </w:rPr>
        <w:t>anti-microbial and immunosuppressive therapy, including IVIg/SCIg and prophylactic antibiotics</w:t>
      </w:r>
      <w:r w:rsidR="00F176DE" w:rsidRPr="00CB4F8E">
        <w:rPr>
          <w:snapToGrid w:val="0"/>
        </w:rPr>
        <w:t xml:space="preserve">. </w:t>
      </w:r>
      <w:r w:rsidR="00101A8C">
        <w:rPr>
          <w:snapToGrid w:val="0"/>
        </w:rPr>
        <w:t>T</w:t>
      </w:r>
      <w:r w:rsidR="00E72211" w:rsidRPr="00CB4F8E">
        <w:rPr>
          <w:snapToGrid w:val="0"/>
        </w:rPr>
        <w:t>he</w:t>
      </w:r>
      <w:r w:rsidR="00E72211">
        <w:rPr>
          <w:snapToGrid w:val="0"/>
        </w:rPr>
        <w:t xml:space="preserve"> comments </w:t>
      </w:r>
      <w:r w:rsidR="005D5F77">
        <w:rPr>
          <w:snapToGrid w:val="0"/>
        </w:rPr>
        <w:t xml:space="preserve">noted that </w:t>
      </w:r>
      <w:r w:rsidR="0000369C">
        <w:rPr>
          <w:snapToGrid w:val="0"/>
        </w:rPr>
        <w:t xml:space="preserve">is has been shown in studies that </w:t>
      </w:r>
      <w:r w:rsidR="005D5F77">
        <w:rPr>
          <w:snapToGrid w:val="0"/>
        </w:rPr>
        <w:t>leniolisib</w:t>
      </w:r>
      <w:r w:rsidR="0000369C">
        <w:rPr>
          <w:snapToGrid w:val="0"/>
        </w:rPr>
        <w:t xml:space="preserve"> helps </w:t>
      </w:r>
      <w:r w:rsidR="0000369C" w:rsidRPr="0000369C">
        <w:rPr>
          <w:snapToGrid w:val="0"/>
        </w:rPr>
        <w:t>manage specific features of APDS which do not respond to other treatments, such as cytopenias, and has also been shown to reduce IVIg/SCIg requirements</w:t>
      </w:r>
      <w:r w:rsidR="00FC6322">
        <w:rPr>
          <w:snapToGrid w:val="0"/>
        </w:rPr>
        <w:t>.</w:t>
      </w:r>
      <w:r w:rsidR="00F3020D">
        <w:rPr>
          <w:bCs/>
          <w:snapToGrid w:val="0"/>
        </w:rPr>
        <w:t xml:space="preserve"> </w:t>
      </w:r>
      <w:r w:rsidR="00CE483A">
        <w:rPr>
          <w:bCs/>
          <w:snapToGrid w:val="0"/>
        </w:rPr>
        <w:t xml:space="preserve">The comments </w:t>
      </w:r>
      <w:r w:rsidR="0006680C">
        <w:rPr>
          <w:bCs/>
          <w:snapToGrid w:val="0"/>
        </w:rPr>
        <w:t xml:space="preserve">stated the benefits of leniolisib (including </w:t>
      </w:r>
      <w:r w:rsidR="006C28CC">
        <w:rPr>
          <w:bCs/>
          <w:snapToGrid w:val="0"/>
        </w:rPr>
        <w:t xml:space="preserve">fewer infections, </w:t>
      </w:r>
      <w:r w:rsidR="0006680C">
        <w:rPr>
          <w:bCs/>
          <w:snapToGrid w:val="0"/>
        </w:rPr>
        <w:t xml:space="preserve">reduced </w:t>
      </w:r>
      <w:r w:rsidR="00177F36">
        <w:rPr>
          <w:bCs/>
          <w:snapToGrid w:val="0"/>
        </w:rPr>
        <w:t xml:space="preserve">hospitalisations </w:t>
      </w:r>
      <w:r w:rsidR="006C28CC">
        <w:rPr>
          <w:bCs/>
          <w:snapToGrid w:val="0"/>
        </w:rPr>
        <w:t xml:space="preserve">and </w:t>
      </w:r>
      <w:r w:rsidR="00065979">
        <w:rPr>
          <w:bCs/>
          <w:snapToGrid w:val="0"/>
        </w:rPr>
        <w:t>immunoglobulin infusions, increased quality of life</w:t>
      </w:r>
      <w:r w:rsidR="003B09BD">
        <w:rPr>
          <w:bCs/>
          <w:snapToGrid w:val="0"/>
        </w:rPr>
        <w:t xml:space="preserve"> and engagement with the community without the fear of </w:t>
      </w:r>
      <w:r w:rsidR="005477D3">
        <w:rPr>
          <w:bCs/>
          <w:snapToGrid w:val="0"/>
        </w:rPr>
        <w:t>being immunocompromised</w:t>
      </w:r>
      <w:r w:rsidR="00065979">
        <w:rPr>
          <w:bCs/>
          <w:snapToGrid w:val="0"/>
        </w:rPr>
        <w:t xml:space="preserve">) </w:t>
      </w:r>
      <w:r w:rsidR="0006680C">
        <w:rPr>
          <w:bCs/>
          <w:snapToGrid w:val="0"/>
        </w:rPr>
        <w:t xml:space="preserve">outweigh the side effects of </w:t>
      </w:r>
      <w:r w:rsidR="00DC7E52">
        <w:rPr>
          <w:bCs/>
          <w:snapToGrid w:val="0"/>
        </w:rPr>
        <w:t>treatment.</w:t>
      </w:r>
      <w:r w:rsidR="00CE483A">
        <w:rPr>
          <w:bCs/>
          <w:snapToGrid w:val="0"/>
        </w:rPr>
        <w:t xml:space="preserve"> </w:t>
      </w:r>
      <w:r w:rsidR="001F1FD2">
        <w:rPr>
          <w:snapToGrid w:val="0"/>
        </w:rPr>
        <w:t>AusPIPs Inc</w:t>
      </w:r>
      <w:r w:rsidR="00CB4F8E">
        <w:rPr>
          <w:snapToGrid w:val="0"/>
        </w:rPr>
        <w:t xml:space="preserve"> acknowledged </w:t>
      </w:r>
      <w:r w:rsidR="0073299A">
        <w:rPr>
          <w:snapToGrid w:val="0"/>
        </w:rPr>
        <w:t>that t</w:t>
      </w:r>
      <w:r w:rsidR="00B3476D" w:rsidRPr="00CB4F8E">
        <w:rPr>
          <w:bCs/>
          <w:snapToGrid w:val="0"/>
        </w:rPr>
        <w:t>here</w:t>
      </w:r>
      <w:r w:rsidR="00B3476D" w:rsidRPr="00B3476D">
        <w:rPr>
          <w:bCs/>
          <w:snapToGrid w:val="0"/>
        </w:rPr>
        <w:t xml:space="preserve"> is no guarantee that </w:t>
      </w:r>
      <w:r w:rsidR="00CB4F8E">
        <w:rPr>
          <w:bCs/>
          <w:snapToGrid w:val="0"/>
        </w:rPr>
        <w:t>l</w:t>
      </w:r>
      <w:r w:rsidR="00B3476D" w:rsidRPr="00CB4F8E">
        <w:rPr>
          <w:bCs/>
          <w:snapToGrid w:val="0"/>
        </w:rPr>
        <w:t>eniolisib</w:t>
      </w:r>
      <w:r w:rsidR="00B3476D" w:rsidRPr="00B3476D">
        <w:rPr>
          <w:bCs/>
          <w:snapToGrid w:val="0"/>
        </w:rPr>
        <w:t xml:space="preserve"> will bring about a cure for APDS but </w:t>
      </w:r>
      <w:r w:rsidR="009F10A5">
        <w:rPr>
          <w:bCs/>
          <w:snapToGrid w:val="0"/>
        </w:rPr>
        <w:t>l</w:t>
      </w:r>
      <w:r w:rsidR="00B3476D" w:rsidRPr="00CB4F8E">
        <w:rPr>
          <w:bCs/>
          <w:snapToGrid w:val="0"/>
        </w:rPr>
        <w:t>eniolisib</w:t>
      </w:r>
      <w:r w:rsidR="00B3476D" w:rsidRPr="00B3476D">
        <w:rPr>
          <w:bCs/>
          <w:snapToGrid w:val="0"/>
        </w:rPr>
        <w:t xml:space="preserve"> has the best clinical trial evidence for effectiveness in people with</w:t>
      </w:r>
      <w:r w:rsidR="00CB4F8E">
        <w:rPr>
          <w:bCs/>
          <w:snapToGrid w:val="0"/>
        </w:rPr>
        <w:t xml:space="preserve"> </w:t>
      </w:r>
      <w:r w:rsidR="00B3476D" w:rsidRPr="00B3476D">
        <w:rPr>
          <w:bCs/>
          <w:snapToGrid w:val="0"/>
        </w:rPr>
        <w:t>APDS</w:t>
      </w:r>
      <w:r w:rsidR="00B3476D" w:rsidRPr="00CB4F8E">
        <w:rPr>
          <w:bCs/>
          <w:snapToGrid w:val="0"/>
        </w:rPr>
        <w:t>.</w:t>
      </w:r>
      <w:r w:rsidR="00B3476D" w:rsidRPr="00B3476D">
        <w:rPr>
          <w:bCs/>
          <w:snapToGrid w:val="0"/>
        </w:rPr>
        <w:t xml:space="preserve"> </w:t>
      </w:r>
    </w:p>
    <w:p w14:paraId="2334DACC" w14:textId="75280B4C" w:rsidR="00423B4C" w:rsidRPr="00423B4C" w:rsidRDefault="0073299A">
      <w:pPr>
        <w:pStyle w:val="3-BodyText"/>
        <w:rPr>
          <w:snapToGrid w:val="0"/>
        </w:rPr>
      </w:pPr>
      <w:r>
        <w:rPr>
          <w:bCs/>
          <w:snapToGrid w:val="0"/>
        </w:rPr>
        <w:t xml:space="preserve">The PBAC noted ASCIA </w:t>
      </w:r>
      <w:r w:rsidR="00423B4C">
        <w:rPr>
          <w:bCs/>
          <w:snapToGrid w:val="0"/>
        </w:rPr>
        <w:t xml:space="preserve">stated that </w:t>
      </w:r>
      <w:r w:rsidR="00E53854">
        <w:rPr>
          <w:bCs/>
          <w:snapToGrid w:val="0"/>
        </w:rPr>
        <w:t>h</w:t>
      </w:r>
      <w:r w:rsidR="00E53854" w:rsidRPr="00E53854">
        <w:rPr>
          <w:bCs/>
          <w:snapToGrid w:val="0"/>
        </w:rPr>
        <w:t xml:space="preserve">aematopoietic stem cell transplantation (HSCT) is </w:t>
      </w:r>
      <w:r w:rsidR="005827D0" w:rsidRPr="005827D0">
        <w:rPr>
          <w:bCs/>
          <w:snapToGrid w:val="0"/>
        </w:rPr>
        <w:t xml:space="preserve">not considered to be a suitable comparator </w:t>
      </w:r>
      <w:r w:rsidR="006E3813">
        <w:rPr>
          <w:bCs/>
          <w:snapToGrid w:val="0"/>
        </w:rPr>
        <w:t xml:space="preserve">to leniolisib. HSCT </w:t>
      </w:r>
      <w:r w:rsidR="00E53854" w:rsidRPr="00E53854">
        <w:rPr>
          <w:bCs/>
          <w:snapToGrid w:val="0"/>
        </w:rPr>
        <w:t xml:space="preserve">is an alternative non-drug therapy that has been described by Australian clinical experts as a ‘potentially curative medically indicated rescue therapy’ however is a </w:t>
      </w:r>
      <w:r w:rsidR="00F56695" w:rsidRPr="00E53854">
        <w:rPr>
          <w:bCs/>
          <w:snapToGrid w:val="0"/>
        </w:rPr>
        <w:t>high-risk</w:t>
      </w:r>
      <w:r w:rsidR="00E53854" w:rsidRPr="00E53854">
        <w:rPr>
          <w:bCs/>
          <w:snapToGrid w:val="0"/>
        </w:rPr>
        <w:t xml:space="preserve"> procedure that is not an option for many APDS patients</w:t>
      </w:r>
      <w:r w:rsidR="009135A0">
        <w:rPr>
          <w:bCs/>
          <w:snapToGrid w:val="0"/>
        </w:rPr>
        <w:t xml:space="preserve">. </w:t>
      </w:r>
      <w:r w:rsidR="002C7EA0">
        <w:rPr>
          <w:bCs/>
          <w:snapToGrid w:val="0"/>
        </w:rPr>
        <w:t xml:space="preserve">Additionally, </w:t>
      </w:r>
      <w:r w:rsidR="00F27737">
        <w:rPr>
          <w:bCs/>
          <w:snapToGrid w:val="0"/>
        </w:rPr>
        <w:t xml:space="preserve">ASCIA noted that </w:t>
      </w:r>
      <w:r w:rsidR="00F837C5">
        <w:rPr>
          <w:bCs/>
          <w:snapToGrid w:val="0"/>
        </w:rPr>
        <w:t>if a</w:t>
      </w:r>
      <w:r w:rsidR="00200B49">
        <w:rPr>
          <w:bCs/>
          <w:snapToGrid w:val="0"/>
        </w:rPr>
        <w:t xml:space="preserve">n </w:t>
      </w:r>
      <w:r w:rsidR="00200B49" w:rsidRPr="00200B49">
        <w:rPr>
          <w:bCs/>
          <w:snapToGrid w:val="0"/>
        </w:rPr>
        <w:t xml:space="preserve">individual </w:t>
      </w:r>
      <w:r w:rsidR="00200B49">
        <w:rPr>
          <w:bCs/>
          <w:snapToGrid w:val="0"/>
        </w:rPr>
        <w:t xml:space="preserve">is </w:t>
      </w:r>
      <w:r w:rsidR="00200B49" w:rsidRPr="00200B49">
        <w:rPr>
          <w:bCs/>
          <w:snapToGrid w:val="0"/>
        </w:rPr>
        <w:t>tested because</w:t>
      </w:r>
      <w:r w:rsidR="00F837C5">
        <w:rPr>
          <w:bCs/>
          <w:snapToGrid w:val="0"/>
        </w:rPr>
        <w:t xml:space="preserve"> a</w:t>
      </w:r>
      <w:r w:rsidR="00F27737" w:rsidRPr="00F27737">
        <w:rPr>
          <w:bCs/>
          <w:snapToGrid w:val="0"/>
        </w:rPr>
        <w:t xml:space="preserve"> </w:t>
      </w:r>
      <w:r w:rsidR="00200B49" w:rsidRPr="00200B49">
        <w:rPr>
          <w:bCs/>
          <w:snapToGrid w:val="0"/>
        </w:rPr>
        <w:t>family member (e.g. a child) had been symptomatic and diagnosed</w:t>
      </w:r>
      <w:r w:rsidR="00200B49">
        <w:rPr>
          <w:bCs/>
          <w:snapToGrid w:val="0"/>
        </w:rPr>
        <w:t xml:space="preserve"> with APDS</w:t>
      </w:r>
      <w:r w:rsidR="00697E9E">
        <w:rPr>
          <w:bCs/>
          <w:snapToGrid w:val="0"/>
        </w:rPr>
        <w:t xml:space="preserve"> and</w:t>
      </w:r>
      <w:r w:rsidR="00806A41">
        <w:rPr>
          <w:bCs/>
          <w:snapToGrid w:val="0"/>
        </w:rPr>
        <w:t xml:space="preserve"> the individual</w:t>
      </w:r>
      <w:r w:rsidR="00F27737" w:rsidRPr="00F27737">
        <w:rPr>
          <w:bCs/>
          <w:snapToGrid w:val="0"/>
        </w:rPr>
        <w:t xml:space="preserve"> is assessed by an experienced clinician as asymptomatic, no treatment is required or provided.</w:t>
      </w:r>
    </w:p>
    <w:p w14:paraId="5BC071C8" w14:textId="01018B55" w:rsidR="008629D5" w:rsidRPr="00F65948" w:rsidRDefault="00F3020D" w:rsidP="00FC6322">
      <w:pPr>
        <w:pStyle w:val="3-BodyText"/>
        <w:rPr>
          <w:bCs/>
          <w:snapToGrid w:val="0"/>
        </w:rPr>
      </w:pPr>
      <w:r>
        <w:rPr>
          <w:bCs/>
          <w:snapToGrid w:val="0"/>
        </w:rPr>
        <w:t xml:space="preserve">The PBAC noted </w:t>
      </w:r>
      <w:r w:rsidR="00D933CC">
        <w:rPr>
          <w:bCs/>
          <w:snapToGrid w:val="0"/>
        </w:rPr>
        <w:t xml:space="preserve">the comments </w:t>
      </w:r>
      <w:r w:rsidR="00D324C4">
        <w:rPr>
          <w:bCs/>
          <w:snapToGrid w:val="0"/>
        </w:rPr>
        <w:t xml:space="preserve">were </w:t>
      </w:r>
      <w:r w:rsidR="008629D5" w:rsidRPr="00836F75">
        <w:rPr>
          <w:bCs/>
          <w:snapToGrid w:val="0"/>
        </w:rPr>
        <w:t>supportive of the evidence provided in the submission.</w:t>
      </w:r>
      <w:bookmarkEnd w:id="11"/>
      <w:bookmarkEnd w:id="14"/>
      <w:r w:rsidR="00512FA8">
        <w:rPr>
          <w:snapToGrid w:val="0"/>
        </w:rPr>
        <w:t xml:space="preserve"> The PBAC valued </w:t>
      </w:r>
      <w:r w:rsidR="00097BB6">
        <w:rPr>
          <w:snapToGrid w:val="0"/>
        </w:rPr>
        <w:t xml:space="preserve">the comments provided </w:t>
      </w:r>
      <w:r w:rsidR="009F3928">
        <w:rPr>
          <w:snapToGrid w:val="0"/>
        </w:rPr>
        <w:t xml:space="preserve">as </w:t>
      </w:r>
      <w:r w:rsidR="00E57753">
        <w:rPr>
          <w:snapToGrid w:val="0"/>
        </w:rPr>
        <w:t>the input</w:t>
      </w:r>
      <w:r w:rsidR="009F3928">
        <w:rPr>
          <w:snapToGrid w:val="0"/>
        </w:rPr>
        <w:t xml:space="preserve"> </w:t>
      </w:r>
      <w:r w:rsidR="000E0C43">
        <w:rPr>
          <w:snapToGrid w:val="0"/>
        </w:rPr>
        <w:t>allowed</w:t>
      </w:r>
      <w:r w:rsidR="000F259B">
        <w:rPr>
          <w:snapToGrid w:val="0"/>
        </w:rPr>
        <w:t xml:space="preserve"> insight </w:t>
      </w:r>
      <w:r w:rsidR="000E0C43">
        <w:rPr>
          <w:snapToGrid w:val="0"/>
        </w:rPr>
        <w:t>in</w:t>
      </w:r>
      <w:r w:rsidR="000F259B">
        <w:rPr>
          <w:snapToGrid w:val="0"/>
        </w:rPr>
        <w:t>to the patient and health care provider perspective</w:t>
      </w:r>
      <w:r w:rsidR="000E0C43">
        <w:rPr>
          <w:snapToGrid w:val="0"/>
        </w:rPr>
        <w:t xml:space="preserve"> for a rare disease</w:t>
      </w:r>
      <w:r w:rsidR="000F259B">
        <w:rPr>
          <w:snapToGrid w:val="0"/>
        </w:rPr>
        <w:t>.</w:t>
      </w:r>
      <w:r w:rsidR="009B5480">
        <w:rPr>
          <w:snapToGrid w:val="0"/>
        </w:rPr>
        <w:t xml:space="preserve"> </w:t>
      </w:r>
    </w:p>
    <w:p w14:paraId="6DD1BFA9" w14:textId="40F6EBCA" w:rsidR="00A4529D" w:rsidRPr="006562D8" w:rsidRDefault="00A4529D" w:rsidP="00A4529D">
      <w:pPr>
        <w:pStyle w:val="4-SubsectionHeading"/>
      </w:pPr>
      <w:r w:rsidRPr="006562D8">
        <w:t>Clinical studies and trials</w:t>
      </w:r>
      <w:bookmarkEnd w:id="12"/>
    </w:p>
    <w:p w14:paraId="22B29D59" w14:textId="77777777" w:rsidR="00A4529D" w:rsidRPr="006562D8" w:rsidRDefault="00A4529D" w:rsidP="00A4529D">
      <w:pPr>
        <w:pStyle w:val="3-BodyText"/>
        <w:spacing w:before="0" w:after="120"/>
      </w:pPr>
      <w:r w:rsidRPr="006562D8">
        <w:t xml:space="preserve">The submission was primarily based on one phase 3 head-to-head randomised controlled trial (RCT) that compared leniolisib to placebo (as a proxy for SoC) in patients with APDS aged 12 to 75 years (Study 2201 Part II) and two associated non-randomised studies (Study 2201 Part I: a phase 2 single-arm within-patient, dose-escalation trial and Study 2201E1: an open-label extension study). </w:t>
      </w:r>
    </w:p>
    <w:p w14:paraId="394B28FD" w14:textId="5C84C070" w:rsidR="00A4529D" w:rsidRPr="006562D8" w:rsidRDefault="00A4529D" w:rsidP="00A4529D">
      <w:pPr>
        <w:pStyle w:val="3-BodyText"/>
        <w:spacing w:before="0" w:after="120"/>
      </w:pPr>
      <w:r w:rsidRPr="006562D8">
        <w:t xml:space="preserve">Additionally, the submission identified one study (Whalen 2025) and four </w:t>
      </w:r>
      <w:r w:rsidRPr="006562D8">
        <w:rPr>
          <w:i/>
          <w:iCs/>
        </w:rPr>
        <w:t>post hoc</w:t>
      </w:r>
      <w:r w:rsidRPr="006562D8">
        <w:t xml:space="preserve"> analyses utilising data from Study 2201 Part II and Study 2201E1 that </w:t>
      </w:r>
      <w:r w:rsidR="00F4495C">
        <w:t xml:space="preserve">were </w:t>
      </w:r>
      <w:r w:rsidRPr="006562D8">
        <w:t>included in the submission.</w:t>
      </w:r>
      <w:r w:rsidR="00FB543C">
        <w:t xml:space="preserve"> </w:t>
      </w:r>
      <w:r w:rsidR="00CE7CAF" w:rsidRPr="008B433C">
        <w:t xml:space="preserve">The Sub-Committees noted that the submission relied on </w:t>
      </w:r>
      <w:r w:rsidR="00C46EC3" w:rsidRPr="008B433C">
        <w:t xml:space="preserve">many post-hoc analyses (internal documents and unpublished manuscripts) in an attempt to fill the gaps in </w:t>
      </w:r>
      <w:r w:rsidR="00803E2A" w:rsidRPr="008B433C">
        <w:t>published data.</w:t>
      </w:r>
      <w:r w:rsidR="008F677A" w:rsidRPr="008B433C">
        <w:t xml:space="preserve"> These analyses were associated with a high </w:t>
      </w:r>
      <w:r w:rsidR="003D2032" w:rsidRPr="008B433C">
        <w:t>risk</w:t>
      </w:r>
      <w:r w:rsidR="008F677A" w:rsidRPr="008B433C">
        <w:t xml:space="preserve"> of bias.</w:t>
      </w:r>
      <w:r w:rsidR="008F677A">
        <w:rPr>
          <w:i/>
          <w:iCs/>
        </w:rPr>
        <w:t xml:space="preserve"> </w:t>
      </w:r>
      <w:r w:rsidR="00803E2A">
        <w:t xml:space="preserve"> </w:t>
      </w:r>
    </w:p>
    <w:p w14:paraId="13703A98" w14:textId="71E9848D" w:rsidR="00A4529D" w:rsidRPr="006562D8" w:rsidRDefault="00A4529D" w:rsidP="00A4529D">
      <w:pPr>
        <w:pStyle w:val="3-BodyText"/>
        <w:spacing w:before="0" w:after="120"/>
      </w:pPr>
      <w:r w:rsidRPr="006562D8">
        <w:t xml:space="preserve">Details of the trial and studies presented in the submission are provided in </w:t>
      </w:r>
      <w:r w:rsidRPr="006562D8">
        <w:fldChar w:fldCharType="begin" w:fldLock="1"/>
      </w:r>
      <w:r w:rsidRPr="006562D8">
        <w:instrText xml:space="preserve"> REF _Ref195993064 \h </w:instrText>
      </w:r>
      <w:r w:rsidRPr="006562D8">
        <w:fldChar w:fldCharType="separate"/>
      </w:r>
      <w:r w:rsidR="00C34379" w:rsidRPr="006562D8">
        <w:t xml:space="preserve">Table </w:t>
      </w:r>
      <w:r w:rsidR="00C34379">
        <w:rPr>
          <w:noProof/>
        </w:rPr>
        <w:t>2</w:t>
      </w:r>
      <w:r w:rsidRPr="006562D8">
        <w:fldChar w:fldCharType="end"/>
      </w:r>
      <w:r w:rsidRPr="006562D8">
        <w:t>.</w:t>
      </w:r>
    </w:p>
    <w:p w14:paraId="53849409" w14:textId="5CA278F5" w:rsidR="00A4529D" w:rsidRPr="006562D8" w:rsidRDefault="00A4529D" w:rsidP="00A4529D">
      <w:pPr>
        <w:pStyle w:val="Caption"/>
      </w:pPr>
      <w:bookmarkStart w:id="16" w:name="_Ref195993064"/>
      <w:r w:rsidRPr="006562D8">
        <w:t xml:space="preserve">Table </w:t>
      </w:r>
      <w:r w:rsidR="00C34379">
        <w:fldChar w:fldCharType="begin" w:fldLock="1"/>
      </w:r>
      <w:r w:rsidR="00C34379">
        <w:instrText xml:space="preserve"> SEQ Table \* ARABIC </w:instrText>
      </w:r>
      <w:r w:rsidR="00C34379">
        <w:fldChar w:fldCharType="separate"/>
      </w:r>
      <w:r w:rsidR="00C34379">
        <w:rPr>
          <w:noProof/>
        </w:rPr>
        <w:t>2</w:t>
      </w:r>
      <w:r w:rsidR="00C34379">
        <w:rPr>
          <w:noProof/>
        </w:rPr>
        <w:fldChar w:fldCharType="end"/>
      </w:r>
      <w:bookmarkEnd w:id="16"/>
      <w:r w:rsidRPr="006562D8">
        <w:t>:</w:t>
      </w:r>
      <w:r w:rsidRPr="006562D8">
        <w:rPr>
          <w:rStyle w:val="CommentReference"/>
          <w:b/>
          <w:szCs w:val="24"/>
        </w:rPr>
        <w:t xml:space="preserve"> Trial/studies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tudies and associated reports presented in the submission"/>
      </w:tblPr>
      <w:tblGrid>
        <w:gridCol w:w="1460"/>
        <w:gridCol w:w="4198"/>
        <w:gridCol w:w="3240"/>
      </w:tblGrid>
      <w:tr w:rsidR="00A4529D" w:rsidRPr="006562D8" w14:paraId="4CF93C54" w14:textId="77777777" w:rsidTr="000B4467">
        <w:trPr>
          <w:tblHeader/>
        </w:trPr>
        <w:tc>
          <w:tcPr>
            <w:tcW w:w="810" w:type="pct"/>
          </w:tcPr>
          <w:p w14:paraId="20300DAA" w14:textId="77777777" w:rsidR="00A4529D" w:rsidRPr="006562D8" w:rsidRDefault="00A4529D" w:rsidP="000B4467">
            <w:pPr>
              <w:pStyle w:val="In-tableHeading"/>
              <w:rPr>
                <w:lang w:val="en-AU"/>
              </w:rPr>
            </w:pPr>
            <w:r w:rsidRPr="006562D8">
              <w:rPr>
                <w:lang w:val="en-AU"/>
              </w:rPr>
              <w:t>Trial ID</w:t>
            </w:r>
          </w:p>
        </w:tc>
        <w:tc>
          <w:tcPr>
            <w:tcW w:w="2394" w:type="pct"/>
            <w:tcBorders>
              <w:bottom w:val="single" w:sz="4" w:space="0" w:color="auto"/>
            </w:tcBorders>
          </w:tcPr>
          <w:p w14:paraId="6E88F7EA" w14:textId="77777777" w:rsidR="00A4529D" w:rsidRPr="006562D8" w:rsidRDefault="00A4529D" w:rsidP="000B4467">
            <w:pPr>
              <w:pStyle w:val="In-tableHeading"/>
              <w:rPr>
                <w:lang w:val="en-AU"/>
              </w:rPr>
            </w:pPr>
            <w:r w:rsidRPr="006562D8">
              <w:rPr>
                <w:lang w:val="en-AU"/>
              </w:rPr>
              <w:t>Protocol title/ Publication title</w:t>
            </w:r>
          </w:p>
        </w:tc>
        <w:tc>
          <w:tcPr>
            <w:tcW w:w="1797" w:type="pct"/>
            <w:tcBorders>
              <w:bottom w:val="single" w:sz="4" w:space="0" w:color="auto"/>
            </w:tcBorders>
          </w:tcPr>
          <w:p w14:paraId="179BBEF3" w14:textId="77777777" w:rsidR="00A4529D" w:rsidRPr="006562D8" w:rsidRDefault="00A4529D" w:rsidP="000B4467">
            <w:pPr>
              <w:pStyle w:val="In-tableHeading"/>
              <w:rPr>
                <w:lang w:val="en-AU"/>
              </w:rPr>
            </w:pPr>
            <w:r w:rsidRPr="006562D8">
              <w:rPr>
                <w:lang w:val="en-AU"/>
              </w:rPr>
              <w:t>Publication citation</w:t>
            </w:r>
          </w:p>
        </w:tc>
      </w:tr>
      <w:tr w:rsidR="00A4529D" w:rsidRPr="006562D8" w14:paraId="2F0F88C2" w14:textId="77777777" w:rsidTr="000B4467">
        <w:tc>
          <w:tcPr>
            <w:tcW w:w="810" w:type="pct"/>
            <w:vMerge w:val="restart"/>
          </w:tcPr>
          <w:p w14:paraId="108C4A5F" w14:textId="77777777" w:rsidR="00A4529D" w:rsidRPr="006562D8" w:rsidRDefault="00A4529D" w:rsidP="000B4467">
            <w:pPr>
              <w:pStyle w:val="TableText0"/>
              <w:rPr>
                <w:lang w:val="en-AU"/>
              </w:rPr>
            </w:pPr>
            <w:r w:rsidRPr="006562D8">
              <w:rPr>
                <w:lang w:val="en-AU"/>
              </w:rPr>
              <w:t>CCDZ173X2201 Part I</w:t>
            </w:r>
          </w:p>
          <w:p w14:paraId="710DC88B" w14:textId="77777777" w:rsidR="00A4529D" w:rsidRPr="006562D8" w:rsidRDefault="00A4529D" w:rsidP="000B4467">
            <w:pPr>
              <w:pStyle w:val="TableText0"/>
              <w:rPr>
                <w:lang w:val="en-AU"/>
              </w:rPr>
            </w:pPr>
            <w:r w:rsidRPr="006562D8">
              <w:rPr>
                <w:lang w:val="en-AU"/>
              </w:rPr>
              <w:t>[NCT02435173]</w:t>
            </w:r>
          </w:p>
        </w:tc>
        <w:tc>
          <w:tcPr>
            <w:tcW w:w="2394" w:type="pct"/>
            <w:tcBorders>
              <w:bottom w:val="nil"/>
            </w:tcBorders>
          </w:tcPr>
          <w:p w14:paraId="38D378E1" w14:textId="77777777" w:rsidR="00A4529D" w:rsidRPr="006562D8" w:rsidRDefault="00A4529D" w:rsidP="000B4467">
            <w:pPr>
              <w:pStyle w:val="TableText0"/>
              <w:rPr>
                <w:lang w:val="en-AU"/>
              </w:rPr>
            </w:pPr>
            <w:r w:rsidRPr="006562D8">
              <w:rPr>
                <w:lang w:val="en-AU"/>
              </w:rPr>
              <w:t>Effective "activated PI3Kδ syndrome"-targeted therapy with the PI3Kδ inhibitor leniolisib.</w:t>
            </w:r>
          </w:p>
        </w:tc>
        <w:tc>
          <w:tcPr>
            <w:tcW w:w="1797" w:type="pct"/>
            <w:tcBorders>
              <w:bottom w:val="nil"/>
            </w:tcBorders>
          </w:tcPr>
          <w:p w14:paraId="23D1174C" w14:textId="77777777" w:rsidR="00A4529D" w:rsidRPr="006562D8" w:rsidRDefault="00A4529D" w:rsidP="000B4467">
            <w:pPr>
              <w:pStyle w:val="TableText0"/>
              <w:rPr>
                <w:lang w:val="en-AU"/>
              </w:rPr>
            </w:pPr>
            <w:r w:rsidRPr="006C4D53">
              <w:rPr>
                <w:lang w:val="nl-NL"/>
              </w:rPr>
              <w:t xml:space="preserve">Rao VK et al., Blood. </w:t>
            </w:r>
            <w:r w:rsidRPr="006562D8">
              <w:rPr>
                <w:lang w:val="en-AU"/>
              </w:rPr>
              <w:t xml:space="preserve">2017 Nov 23;130(21):2307-2316. </w:t>
            </w:r>
          </w:p>
          <w:p w14:paraId="277783FF" w14:textId="77777777" w:rsidR="00A4529D" w:rsidRPr="006562D8" w:rsidRDefault="00A4529D" w:rsidP="000B4467">
            <w:pPr>
              <w:pStyle w:val="TableText0"/>
              <w:rPr>
                <w:lang w:val="en-AU"/>
              </w:rPr>
            </w:pPr>
            <w:r w:rsidRPr="006562D8">
              <w:rPr>
                <w:lang w:val="en-AU"/>
              </w:rPr>
              <w:t>doi: 10.1182/blood-2017-08-801191</w:t>
            </w:r>
          </w:p>
        </w:tc>
      </w:tr>
      <w:tr w:rsidR="00A4529D" w:rsidRPr="006562D8" w14:paraId="57254903" w14:textId="77777777" w:rsidTr="000B4467">
        <w:tc>
          <w:tcPr>
            <w:tcW w:w="810" w:type="pct"/>
            <w:vMerge/>
            <w:tcBorders>
              <w:bottom w:val="nil"/>
            </w:tcBorders>
          </w:tcPr>
          <w:p w14:paraId="01FE3A05" w14:textId="77777777" w:rsidR="00A4529D" w:rsidRPr="006562D8" w:rsidRDefault="00A4529D" w:rsidP="000B4467">
            <w:pPr>
              <w:pStyle w:val="TableText0"/>
              <w:rPr>
                <w:lang w:val="en-AU"/>
              </w:rPr>
            </w:pPr>
          </w:p>
        </w:tc>
        <w:tc>
          <w:tcPr>
            <w:tcW w:w="2394" w:type="pct"/>
            <w:tcBorders>
              <w:top w:val="nil"/>
              <w:bottom w:val="single" w:sz="4" w:space="0" w:color="auto"/>
            </w:tcBorders>
          </w:tcPr>
          <w:p w14:paraId="1104867F" w14:textId="77777777" w:rsidR="00A4529D" w:rsidRPr="006562D8" w:rsidRDefault="00A4529D" w:rsidP="000B4467">
            <w:pPr>
              <w:pStyle w:val="TableText0"/>
              <w:rPr>
                <w:lang w:val="en-AU"/>
              </w:rPr>
            </w:pPr>
            <w:r w:rsidRPr="006562D8">
              <w:rPr>
                <w:lang w:val="en-AU"/>
              </w:rPr>
              <w:t>Successful Clinical Study of Leniolisib (CDZ173), a Small Molecule PI3K-Delta Inhibitor, in Patients with APDS/PASLI.</w:t>
            </w:r>
          </w:p>
        </w:tc>
        <w:tc>
          <w:tcPr>
            <w:tcW w:w="1797" w:type="pct"/>
            <w:tcBorders>
              <w:top w:val="nil"/>
              <w:bottom w:val="single" w:sz="4" w:space="0" w:color="auto"/>
            </w:tcBorders>
          </w:tcPr>
          <w:p w14:paraId="75A85DD9" w14:textId="77777777" w:rsidR="00A4529D" w:rsidRPr="006562D8" w:rsidRDefault="00A4529D" w:rsidP="000B4467">
            <w:pPr>
              <w:pStyle w:val="TableText0"/>
              <w:rPr>
                <w:b/>
                <w:lang w:val="en-AU"/>
              </w:rPr>
            </w:pPr>
            <w:r w:rsidRPr="006562D8">
              <w:rPr>
                <w:lang w:val="en-AU"/>
              </w:rPr>
              <w:t>Rao VK, et al. Journal of Clinical Immunology. 2017 Feb 1;37(2):204.</w:t>
            </w:r>
          </w:p>
        </w:tc>
      </w:tr>
      <w:tr w:rsidR="00A4529D" w:rsidRPr="006562D8" w14:paraId="508E4C9B" w14:textId="77777777" w:rsidTr="000B4467">
        <w:tc>
          <w:tcPr>
            <w:tcW w:w="810" w:type="pct"/>
            <w:vMerge w:val="restart"/>
          </w:tcPr>
          <w:p w14:paraId="4C6EE99B" w14:textId="77777777" w:rsidR="00A4529D" w:rsidRPr="006562D8" w:rsidRDefault="00A4529D" w:rsidP="000B4467">
            <w:pPr>
              <w:pStyle w:val="TableText0"/>
              <w:rPr>
                <w:lang w:val="en-AU"/>
              </w:rPr>
            </w:pPr>
            <w:r w:rsidRPr="006562D8">
              <w:rPr>
                <w:lang w:val="en-AU"/>
              </w:rPr>
              <w:t>CCDZ173X2201 Part II</w:t>
            </w:r>
          </w:p>
          <w:p w14:paraId="5604C044" w14:textId="77777777" w:rsidR="00A4529D" w:rsidRPr="006562D8" w:rsidRDefault="00A4529D" w:rsidP="000B4467">
            <w:pPr>
              <w:pStyle w:val="TableText0"/>
              <w:rPr>
                <w:lang w:val="en-AU"/>
              </w:rPr>
            </w:pPr>
            <w:r w:rsidRPr="006562D8">
              <w:rPr>
                <w:lang w:val="en-AU"/>
              </w:rPr>
              <w:t>[NCT02435173]</w:t>
            </w:r>
          </w:p>
        </w:tc>
        <w:tc>
          <w:tcPr>
            <w:tcW w:w="2394" w:type="pct"/>
            <w:tcBorders>
              <w:top w:val="single" w:sz="4" w:space="0" w:color="auto"/>
              <w:bottom w:val="nil"/>
            </w:tcBorders>
          </w:tcPr>
          <w:p w14:paraId="0F50CC32" w14:textId="77777777" w:rsidR="00A4529D" w:rsidRPr="006562D8" w:rsidRDefault="00A4529D" w:rsidP="000B4467">
            <w:pPr>
              <w:pStyle w:val="TableText0"/>
              <w:rPr>
                <w:lang w:val="en-AU"/>
              </w:rPr>
            </w:pPr>
            <w:r w:rsidRPr="006562D8">
              <w:rPr>
                <w:lang w:val="en-AU"/>
              </w:rPr>
              <w:t>A randomised, placebo-controlled, phase III trial of leniolisib in activated phosphoinositide 3-kinase delta (PI3Kδ) syndrome (APDS): Adolescent and adult subgroup analysis.</w:t>
            </w:r>
          </w:p>
        </w:tc>
        <w:tc>
          <w:tcPr>
            <w:tcW w:w="1797" w:type="pct"/>
            <w:tcBorders>
              <w:top w:val="single" w:sz="4" w:space="0" w:color="auto"/>
              <w:bottom w:val="nil"/>
            </w:tcBorders>
          </w:tcPr>
          <w:p w14:paraId="29B64553" w14:textId="77777777" w:rsidR="00A4529D" w:rsidRPr="006562D8" w:rsidRDefault="00A4529D" w:rsidP="000B4467">
            <w:pPr>
              <w:pStyle w:val="TableText0"/>
              <w:rPr>
                <w:lang w:val="en-AU"/>
              </w:rPr>
            </w:pPr>
            <w:r w:rsidRPr="006562D8">
              <w:rPr>
                <w:lang w:val="en-AU"/>
              </w:rPr>
              <w:t>Rao VK et al., Clin Immunol. 2025 Jan; 270:110400. doi: 10.1016/j.clim.2024.110400</w:t>
            </w:r>
          </w:p>
        </w:tc>
      </w:tr>
      <w:tr w:rsidR="00A4529D" w:rsidRPr="006562D8" w14:paraId="614A2316" w14:textId="77777777" w:rsidTr="000B4467">
        <w:tc>
          <w:tcPr>
            <w:tcW w:w="810" w:type="pct"/>
            <w:vMerge/>
          </w:tcPr>
          <w:p w14:paraId="7E1DACC6" w14:textId="77777777" w:rsidR="00A4529D" w:rsidRPr="006562D8" w:rsidRDefault="00A4529D" w:rsidP="000B4467">
            <w:pPr>
              <w:pStyle w:val="TableText0"/>
              <w:rPr>
                <w:lang w:val="en-AU"/>
              </w:rPr>
            </w:pPr>
          </w:p>
        </w:tc>
        <w:tc>
          <w:tcPr>
            <w:tcW w:w="2394" w:type="pct"/>
            <w:tcBorders>
              <w:top w:val="nil"/>
              <w:bottom w:val="nil"/>
            </w:tcBorders>
          </w:tcPr>
          <w:p w14:paraId="537A194C" w14:textId="77777777" w:rsidR="00A4529D" w:rsidRPr="006562D8" w:rsidRDefault="00A4529D" w:rsidP="000B4467">
            <w:pPr>
              <w:pStyle w:val="TableText0"/>
              <w:rPr>
                <w:lang w:val="en-AU"/>
              </w:rPr>
            </w:pPr>
            <w:r w:rsidRPr="006562D8">
              <w:rPr>
                <w:lang w:val="en-AU"/>
              </w:rPr>
              <w:t>A randomized, placebo-controlled phase 3 trial of the PI3Kδ inhibitor leniolisib for activated PI3Kδ syndrome.</w:t>
            </w:r>
          </w:p>
        </w:tc>
        <w:tc>
          <w:tcPr>
            <w:tcW w:w="1797" w:type="pct"/>
            <w:tcBorders>
              <w:top w:val="nil"/>
              <w:bottom w:val="nil"/>
            </w:tcBorders>
          </w:tcPr>
          <w:p w14:paraId="0E294BB5" w14:textId="77777777" w:rsidR="00A4529D" w:rsidRPr="006562D8" w:rsidRDefault="00A4529D" w:rsidP="000B4467">
            <w:pPr>
              <w:pStyle w:val="TableText0"/>
              <w:rPr>
                <w:lang w:val="en-AU"/>
              </w:rPr>
            </w:pPr>
            <w:r w:rsidRPr="006C4D53">
              <w:rPr>
                <w:lang w:val="nl-NL"/>
              </w:rPr>
              <w:t xml:space="preserve">Rao VK et al., Blood. </w:t>
            </w:r>
            <w:r w:rsidRPr="006562D8">
              <w:rPr>
                <w:lang w:val="en-AU"/>
              </w:rPr>
              <w:t>2023 Mar 2;141(9):971-983. doi: 10.1182/blood.2022018546</w:t>
            </w:r>
          </w:p>
        </w:tc>
      </w:tr>
      <w:tr w:rsidR="00A4529D" w:rsidRPr="006562D8" w14:paraId="1B65F7A2" w14:textId="77777777" w:rsidTr="000B4467">
        <w:tc>
          <w:tcPr>
            <w:tcW w:w="810" w:type="pct"/>
            <w:vMerge/>
          </w:tcPr>
          <w:p w14:paraId="7430F601" w14:textId="77777777" w:rsidR="00A4529D" w:rsidRPr="006562D8" w:rsidRDefault="00A4529D" w:rsidP="000B4467">
            <w:pPr>
              <w:pStyle w:val="TableText0"/>
              <w:rPr>
                <w:lang w:val="en-AU"/>
              </w:rPr>
            </w:pPr>
          </w:p>
        </w:tc>
        <w:tc>
          <w:tcPr>
            <w:tcW w:w="2394" w:type="pct"/>
            <w:tcBorders>
              <w:top w:val="nil"/>
              <w:bottom w:val="nil"/>
            </w:tcBorders>
          </w:tcPr>
          <w:p w14:paraId="155A7D9A" w14:textId="77777777" w:rsidR="00A4529D" w:rsidRPr="006562D8" w:rsidRDefault="00A4529D" w:rsidP="000B4467">
            <w:pPr>
              <w:pStyle w:val="TableText0"/>
              <w:rPr>
                <w:lang w:val="en-AU"/>
              </w:rPr>
            </w:pPr>
            <w:r w:rsidRPr="006562D8">
              <w:rPr>
                <w:lang w:val="en-AU"/>
              </w:rPr>
              <w:t>Immunological and Exploratory Outcomes from a Phase 3, Placebo-Controlled, Randomized Clinical Trial of PI3K Delta Inhibitor Leniolisib in Patients with Activated PI3K Delta Syndrome (APDS/PASLI).</w:t>
            </w:r>
          </w:p>
        </w:tc>
        <w:tc>
          <w:tcPr>
            <w:tcW w:w="1797" w:type="pct"/>
            <w:tcBorders>
              <w:top w:val="nil"/>
              <w:bottom w:val="nil"/>
            </w:tcBorders>
          </w:tcPr>
          <w:p w14:paraId="4B912C86" w14:textId="77777777" w:rsidR="00A4529D" w:rsidRPr="006562D8" w:rsidRDefault="00A4529D" w:rsidP="000B4467">
            <w:pPr>
              <w:pStyle w:val="TableText0"/>
              <w:rPr>
                <w:lang w:val="en-AU"/>
              </w:rPr>
            </w:pPr>
            <w:r w:rsidRPr="006562D8">
              <w:rPr>
                <w:lang w:val="en-AU"/>
              </w:rPr>
              <w:t>Rao VK, et al. European Journal of Allergy and Clinical Immunology. 2023 Mar 12;78(S111):39–55.</w:t>
            </w:r>
          </w:p>
        </w:tc>
      </w:tr>
      <w:tr w:rsidR="00A4529D" w:rsidRPr="006562D8" w14:paraId="12F781DB" w14:textId="77777777" w:rsidTr="000B4467">
        <w:tc>
          <w:tcPr>
            <w:tcW w:w="810" w:type="pct"/>
            <w:vMerge/>
          </w:tcPr>
          <w:p w14:paraId="31D9CB5B" w14:textId="77777777" w:rsidR="00A4529D" w:rsidRPr="006562D8" w:rsidRDefault="00A4529D" w:rsidP="000B4467">
            <w:pPr>
              <w:pStyle w:val="TableText0"/>
              <w:rPr>
                <w:lang w:val="en-AU"/>
              </w:rPr>
            </w:pPr>
          </w:p>
        </w:tc>
        <w:tc>
          <w:tcPr>
            <w:tcW w:w="2394" w:type="pct"/>
            <w:tcBorders>
              <w:top w:val="nil"/>
              <w:bottom w:val="nil"/>
            </w:tcBorders>
          </w:tcPr>
          <w:p w14:paraId="0B5B432B" w14:textId="77777777" w:rsidR="00A4529D" w:rsidRPr="006562D8" w:rsidRDefault="00A4529D" w:rsidP="000B4467">
            <w:pPr>
              <w:pStyle w:val="TableText0"/>
              <w:rPr>
                <w:lang w:val="en-AU"/>
              </w:rPr>
            </w:pPr>
            <w:r w:rsidRPr="006562D8">
              <w:rPr>
                <w:lang w:val="en-AU"/>
              </w:rPr>
              <w:t>Primary and safety outcomes of a phase 3 placebo controlled, randomized clinical trial of PI3K. (2022).</w:t>
            </w:r>
          </w:p>
        </w:tc>
        <w:tc>
          <w:tcPr>
            <w:tcW w:w="1797" w:type="pct"/>
            <w:tcBorders>
              <w:top w:val="nil"/>
              <w:bottom w:val="nil"/>
            </w:tcBorders>
          </w:tcPr>
          <w:p w14:paraId="472C8BAF" w14:textId="77777777" w:rsidR="00A4529D" w:rsidRPr="006562D8" w:rsidRDefault="00A4529D" w:rsidP="000B4467">
            <w:pPr>
              <w:pStyle w:val="TableText0"/>
              <w:rPr>
                <w:lang w:val="en-AU"/>
              </w:rPr>
            </w:pPr>
            <w:r w:rsidRPr="006562D8">
              <w:rPr>
                <w:lang w:val="en-AU"/>
              </w:rPr>
              <w:t>Rao VK et al., Allergy and Asthma Proceedings, 43(6), 560–567. https://doi.org/10.2500/aap.2022.43.220064</w:t>
            </w:r>
          </w:p>
        </w:tc>
      </w:tr>
      <w:tr w:rsidR="00A4529D" w:rsidRPr="006562D8" w14:paraId="71C190B0" w14:textId="77777777" w:rsidTr="000B4467">
        <w:tc>
          <w:tcPr>
            <w:tcW w:w="810" w:type="pct"/>
            <w:vMerge/>
            <w:tcBorders>
              <w:bottom w:val="nil"/>
            </w:tcBorders>
          </w:tcPr>
          <w:p w14:paraId="3C3D7AC3" w14:textId="77777777" w:rsidR="00A4529D" w:rsidRPr="006562D8" w:rsidRDefault="00A4529D" w:rsidP="000B4467">
            <w:pPr>
              <w:pStyle w:val="TableText0"/>
              <w:rPr>
                <w:lang w:val="en-AU"/>
              </w:rPr>
            </w:pPr>
          </w:p>
        </w:tc>
        <w:tc>
          <w:tcPr>
            <w:tcW w:w="2394" w:type="pct"/>
            <w:tcBorders>
              <w:top w:val="nil"/>
              <w:bottom w:val="single" w:sz="4" w:space="0" w:color="auto"/>
            </w:tcBorders>
          </w:tcPr>
          <w:p w14:paraId="1D9B5A44" w14:textId="77777777" w:rsidR="00A4529D" w:rsidRPr="006562D8" w:rsidRDefault="00A4529D" w:rsidP="000B4467">
            <w:pPr>
              <w:pStyle w:val="TableText0"/>
              <w:rPr>
                <w:lang w:val="en-AU"/>
              </w:rPr>
            </w:pPr>
            <w:r w:rsidRPr="006562D8">
              <w:rPr>
                <w:lang w:val="en-AU"/>
              </w:rPr>
              <w:t>Phase 3 Placebo-Controlled, Randomized Clinical Trial Outcomes of PI3K Delta Inhibitor Leniolisib in Patients with Activated PI3K Delta Syndrome (APDS/PASLI).</w:t>
            </w:r>
          </w:p>
        </w:tc>
        <w:tc>
          <w:tcPr>
            <w:tcW w:w="1797" w:type="pct"/>
            <w:tcBorders>
              <w:top w:val="nil"/>
              <w:bottom w:val="single" w:sz="4" w:space="0" w:color="auto"/>
            </w:tcBorders>
          </w:tcPr>
          <w:p w14:paraId="6BE2AADB" w14:textId="77777777" w:rsidR="00A4529D" w:rsidRPr="006562D8" w:rsidRDefault="00A4529D" w:rsidP="000B4467">
            <w:pPr>
              <w:pStyle w:val="TableText0"/>
              <w:rPr>
                <w:lang w:val="en-AU"/>
              </w:rPr>
            </w:pPr>
            <w:r w:rsidRPr="006562D8">
              <w:rPr>
                <w:lang w:val="en-AU"/>
              </w:rPr>
              <w:t>Rao VK, et al. 2022. Journal of Clinical Immunology. 42(S1):S1–S115.</w:t>
            </w:r>
          </w:p>
        </w:tc>
      </w:tr>
      <w:tr w:rsidR="00A4529D" w:rsidRPr="006562D8" w14:paraId="3FD1FC0D" w14:textId="77777777" w:rsidTr="000B4467">
        <w:tc>
          <w:tcPr>
            <w:tcW w:w="810" w:type="pct"/>
            <w:vMerge w:val="restart"/>
          </w:tcPr>
          <w:p w14:paraId="29D896F7" w14:textId="77777777" w:rsidR="00A4529D" w:rsidRPr="006562D8" w:rsidRDefault="00A4529D" w:rsidP="000B4467">
            <w:pPr>
              <w:pStyle w:val="TableText0"/>
              <w:rPr>
                <w:lang w:val="en-AU"/>
              </w:rPr>
            </w:pPr>
            <w:r w:rsidRPr="006562D8">
              <w:rPr>
                <w:lang w:val="en-AU"/>
              </w:rPr>
              <w:t>CCDZ173X2201E1 [NCT02859727]</w:t>
            </w:r>
          </w:p>
        </w:tc>
        <w:tc>
          <w:tcPr>
            <w:tcW w:w="2394" w:type="pct"/>
            <w:tcBorders>
              <w:top w:val="single" w:sz="4" w:space="0" w:color="auto"/>
              <w:bottom w:val="nil"/>
            </w:tcBorders>
          </w:tcPr>
          <w:p w14:paraId="75245247" w14:textId="77777777" w:rsidR="00A4529D" w:rsidRPr="006562D8" w:rsidRDefault="00A4529D" w:rsidP="000B4467">
            <w:pPr>
              <w:pStyle w:val="TableText0"/>
              <w:rPr>
                <w:lang w:val="en-AU"/>
              </w:rPr>
            </w:pPr>
            <w:r w:rsidRPr="006562D8">
              <w:rPr>
                <w:lang w:val="en-AU"/>
              </w:rPr>
              <w:t>Long-term treatment with selective PI3Kδ inhibitor leniolisib in adults with activated PI3Kδ syndrome.</w:t>
            </w:r>
          </w:p>
        </w:tc>
        <w:tc>
          <w:tcPr>
            <w:tcW w:w="1797" w:type="pct"/>
            <w:tcBorders>
              <w:top w:val="single" w:sz="4" w:space="0" w:color="auto"/>
              <w:bottom w:val="nil"/>
            </w:tcBorders>
          </w:tcPr>
          <w:p w14:paraId="0D7551C0" w14:textId="77777777" w:rsidR="00A4529D" w:rsidRPr="006562D8" w:rsidRDefault="00A4529D" w:rsidP="000B4467">
            <w:pPr>
              <w:pStyle w:val="TableText0"/>
              <w:rPr>
                <w:lang w:val="en-AU"/>
              </w:rPr>
            </w:pPr>
            <w:r w:rsidRPr="006562D8">
              <w:rPr>
                <w:lang w:val="en-AU"/>
              </w:rPr>
              <w:t xml:space="preserve">Rao VK et al,, Blood Adv. 2024 Jun 25;8(12):3092-3108. </w:t>
            </w:r>
          </w:p>
          <w:p w14:paraId="68CDF236" w14:textId="77777777" w:rsidR="00A4529D" w:rsidRPr="006562D8" w:rsidRDefault="00A4529D" w:rsidP="000B4467">
            <w:pPr>
              <w:pStyle w:val="TableText0"/>
              <w:rPr>
                <w:lang w:val="en-AU"/>
              </w:rPr>
            </w:pPr>
            <w:r w:rsidRPr="006562D8">
              <w:rPr>
                <w:lang w:val="en-AU"/>
              </w:rPr>
              <w:t>doi: 10.1182/bloodadvances.2023011000</w:t>
            </w:r>
          </w:p>
        </w:tc>
      </w:tr>
      <w:tr w:rsidR="00A4529D" w:rsidRPr="006562D8" w14:paraId="0E6281BC" w14:textId="77777777" w:rsidTr="000B4467">
        <w:tc>
          <w:tcPr>
            <w:tcW w:w="810" w:type="pct"/>
            <w:vMerge/>
          </w:tcPr>
          <w:p w14:paraId="75BF50EB" w14:textId="77777777" w:rsidR="00A4529D" w:rsidRPr="006562D8" w:rsidRDefault="00A4529D" w:rsidP="000B4467">
            <w:pPr>
              <w:pStyle w:val="TableText0"/>
              <w:rPr>
                <w:lang w:val="en-AU"/>
              </w:rPr>
            </w:pPr>
          </w:p>
        </w:tc>
        <w:tc>
          <w:tcPr>
            <w:tcW w:w="2394" w:type="pct"/>
            <w:tcBorders>
              <w:top w:val="nil"/>
              <w:bottom w:val="nil"/>
            </w:tcBorders>
          </w:tcPr>
          <w:p w14:paraId="47902B2D" w14:textId="77777777" w:rsidR="00A4529D" w:rsidRPr="006562D8" w:rsidRDefault="00A4529D" w:rsidP="000B4467">
            <w:pPr>
              <w:pStyle w:val="TableText0"/>
              <w:rPr>
                <w:lang w:val="en-AU"/>
              </w:rPr>
            </w:pPr>
            <w:r w:rsidRPr="006562D8">
              <w:rPr>
                <w:lang w:val="en-AU"/>
              </w:rPr>
              <w:t>Interim Analysis: Open-Label Extension Study of Leniolisib for Patients with APDS.</w:t>
            </w:r>
          </w:p>
        </w:tc>
        <w:tc>
          <w:tcPr>
            <w:tcW w:w="1797" w:type="pct"/>
            <w:tcBorders>
              <w:top w:val="nil"/>
              <w:bottom w:val="nil"/>
            </w:tcBorders>
          </w:tcPr>
          <w:p w14:paraId="00D53518" w14:textId="77777777" w:rsidR="00A4529D" w:rsidRPr="006562D8" w:rsidRDefault="00A4529D" w:rsidP="000B4467">
            <w:pPr>
              <w:pStyle w:val="TableText0"/>
              <w:rPr>
                <w:lang w:val="en-AU"/>
              </w:rPr>
            </w:pPr>
            <w:r w:rsidRPr="006562D8">
              <w:rPr>
                <w:lang w:val="en-AU"/>
              </w:rPr>
              <w:t>Rao VK et al., Journal of Allergy and Clinical Immunology, 2024; 153(1), 265-274.e9. https://doi.org/10.1016/j.jaci.2023.09.032</w:t>
            </w:r>
          </w:p>
        </w:tc>
      </w:tr>
      <w:tr w:rsidR="00A4529D" w:rsidRPr="006562D8" w14:paraId="648CB3AD" w14:textId="77777777" w:rsidTr="000B4467">
        <w:tc>
          <w:tcPr>
            <w:tcW w:w="810" w:type="pct"/>
            <w:vMerge/>
          </w:tcPr>
          <w:p w14:paraId="7417BC9F" w14:textId="77777777" w:rsidR="00A4529D" w:rsidRPr="006562D8" w:rsidRDefault="00A4529D" w:rsidP="000B4467">
            <w:pPr>
              <w:pStyle w:val="TableText0"/>
              <w:rPr>
                <w:lang w:val="en-AU"/>
              </w:rPr>
            </w:pPr>
          </w:p>
        </w:tc>
        <w:tc>
          <w:tcPr>
            <w:tcW w:w="2394" w:type="pct"/>
            <w:tcBorders>
              <w:top w:val="nil"/>
              <w:bottom w:val="nil"/>
            </w:tcBorders>
          </w:tcPr>
          <w:p w14:paraId="4DAC155C" w14:textId="77777777" w:rsidR="00A4529D" w:rsidRPr="006562D8" w:rsidRDefault="00A4529D" w:rsidP="000B4467">
            <w:pPr>
              <w:pStyle w:val="TableText0"/>
              <w:rPr>
                <w:lang w:val="en-AU"/>
              </w:rPr>
            </w:pPr>
            <w:r w:rsidRPr="006562D8">
              <w:rPr>
                <w:lang w:val="en-AU"/>
              </w:rPr>
              <w:t>Interim Analysis of Safety and Hematological Parameters of an Ongoing Long-Term Open-Label Extension Study of Investigational PI3Kδ Inhibitor Leniolisib for Patients with Activated PI3K Delta Syndrome (APDS) through December 2021.</w:t>
            </w:r>
          </w:p>
        </w:tc>
        <w:tc>
          <w:tcPr>
            <w:tcW w:w="1797" w:type="pct"/>
            <w:tcBorders>
              <w:top w:val="nil"/>
              <w:bottom w:val="nil"/>
            </w:tcBorders>
          </w:tcPr>
          <w:p w14:paraId="5DBC5ABD" w14:textId="77777777" w:rsidR="00A4529D" w:rsidRPr="006562D8" w:rsidRDefault="00A4529D" w:rsidP="000B4467">
            <w:pPr>
              <w:pStyle w:val="TableText0"/>
              <w:rPr>
                <w:lang w:val="en-AU"/>
              </w:rPr>
            </w:pPr>
            <w:r w:rsidRPr="006562D8">
              <w:rPr>
                <w:lang w:val="en-AU"/>
              </w:rPr>
              <w:t xml:space="preserve">Rao VK et al., Blood 2022; 140 (Supplement 1): 1643–1645. </w:t>
            </w:r>
          </w:p>
          <w:p w14:paraId="1DF1E937" w14:textId="77777777" w:rsidR="00A4529D" w:rsidRPr="006562D8" w:rsidRDefault="00A4529D" w:rsidP="000B4467">
            <w:pPr>
              <w:pStyle w:val="TableText0"/>
              <w:rPr>
                <w:lang w:val="en-AU"/>
              </w:rPr>
            </w:pPr>
            <w:r w:rsidRPr="006562D8">
              <w:rPr>
                <w:lang w:val="en-AU"/>
              </w:rPr>
              <w:t>doi: https://doi.org/10.1182/blood-2022-160334</w:t>
            </w:r>
          </w:p>
        </w:tc>
      </w:tr>
      <w:tr w:rsidR="00A4529D" w:rsidRPr="006562D8" w14:paraId="765118D4" w14:textId="77777777" w:rsidTr="000B4467">
        <w:tc>
          <w:tcPr>
            <w:tcW w:w="810" w:type="pct"/>
            <w:vMerge/>
            <w:tcBorders>
              <w:bottom w:val="nil"/>
            </w:tcBorders>
          </w:tcPr>
          <w:p w14:paraId="04D5E5BE" w14:textId="77777777" w:rsidR="00A4529D" w:rsidRPr="006562D8" w:rsidRDefault="00A4529D" w:rsidP="000B4467">
            <w:pPr>
              <w:pStyle w:val="TableText0"/>
              <w:rPr>
                <w:lang w:val="en-AU"/>
              </w:rPr>
            </w:pPr>
          </w:p>
        </w:tc>
        <w:tc>
          <w:tcPr>
            <w:tcW w:w="2394" w:type="pct"/>
            <w:tcBorders>
              <w:top w:val="nil"/>
              <w:bottom w:val="single" w:sz="4" w:space="0" w:color="auto"/>
            </w:tcBorders>
          </w:tcPr>
          <w:p w14:paraId="1CDB6119" w14:textId="77777777" w:rsidR="00A4529D" w:rsidRPr="006562D8" w:rsidRDefault="00A4529D" w:rsidP="000B4467">
            <w:pPr>
              <w:pStyle w:val="TableText0"/>
              <w:rPr>
                <w:lang w:val="en-AU"/>
              </w:rPr>
            </w:pPr>
            <w:r w:rsidRPr="006562D8">
              <w:rPr>
                <w:lang w:val="en-AU"/>
              </w:rPr>
              <w:t>Safety and Efficacy of Long Term Suppression of PI3Kinase Pathway By Small Molecule PI3K-Delta Inhibitor, Leniolisib in Apds (Activated PI3Kδ Syndrome).</w:t>
            </w:r>
          </w:p>
        </w:tc>
        <w:tc>
          <w:tcPr>
            <w:tcW w:w="1797" w:type="pct"/>
            <w:tcBorders>
              <w:top w:val="nil"/>
              <w:bottom w:val="single" w:sz="4" w:space="0" w:color="auto"/>
            </w:tcBorders>
          </w:tcPr>
          <w:p w14:paraId="2728C2F7" w14:textId="77777777" w:rsidR="00A4529D" w:rsidRPr="006562D8" w:rsidRDefault="00A4529D" w:rsidP="000B4467">
            <w:pPr>
              <w:pStyle w:val="TableText0"/>
              <w:rPr>
                <w:lang w:val="en-AU"/>
              </w:rPr>
            </w:pPr>
            <w:r w:rsidRPr="006562D8">
              <w:rPr>
                <w:lang w:val="en-AU"/>
              </w:rPr>
              <w:t xml:space="preserve">Rao VK et al., Blood 2018; 132 (Supplement 1): 3706. </w:t>
            </w:r>
          </w:p>
          <w:p w14:paraId="61CC5120" w14:textId="77777777" w:rsidR="00A4529D" w:rsidRPr="006562D8" w:rsidRDefault="00A4529D" w:rsidP="000B4467">
            <w:pPr>
              <w:pStyle w:val="TableText0"/>
              <w:rPr>
                <w:lang w:val="en-AU"/>
              </w:rPr>
            </w:pPr>
            <w:r w:rsidRPr="006562D8">
              <w:rPr>
                <w:lang w:val="en-AU"/>
              </w:rPr>
              <w:t>doi: https://doi.org/10.1182/blood-2018-99-113426</w:t>
            </w:r>
          </w:p>
        </w:tc>
      </w:tr>
      <w:tr w:rsidR="00A4529D" w:rsidRPr="006562D8" w14:paraId="2B002F1B" w14:textId="77777777" w:rsidTr="000B4467">
        <w:tc>
          <w:tcPr>
            <w:tcW w:w="810" w:type="pct"/>
            <w:tcBorders>
              <w:bottom w:val="nil"/>
            </w:tcBorders>
          </w:tcPr>
          <w:p w14:paraId="203285E9" w14:textId="77777777" w:rsidR="00A4529D" w:rsidRPr="006562D8" w:rsidRDefault="00A4529D" w:rsidP="000B4467">
            <w:pPr>
              <w:pStyle w:val="TableText0"/>
              <w:rPr>
                <w:lang w:val="en-AU"/>
              </w:rPr>
            </w:pPr>
            <w:r w:rsidRPr="006562D8">
              <w:rPr>
                <w:lang w:val="en-AU"/>
              </w:rPr>
              <w:t>Whalen 2025 (Study compares data from Study 2201E1 and the ESID-APDS registry)</w:t>
            </w:r>
          </w:p>
        </w:tc>
        <w:tc>
          <w:tcPr>
            <w:tcW w:w="2394" w:type="pct"/>
            <w:tcBorders>
              <w:top w:val="single" w:sz="4" w:space="0" w:color="auto"/>
              <w:bottom w:val="nil"/>
            </w:tcBorders>
          </w:tcPr>
          <w:p w14:paraId="4D481017" w14:textId="77777777" w:rsidR="00A4529D" w:rsidRPr="006562D8" w:rsidRDefault="00A4529D" w:rsidP="000B4467">
            <w:pPr>
              <w:pStyle w:val="TableText0"/>
              <w:rPr>
                <w:lang w:val="en-AU"/>
              </w:rPr>
            </w:pPr>
            <w:r w:rsidRPr="006562D8">
              <w:rPr>
                <w:lang w:val="en-AU"/>
              </w:rPr>
              <w:t>Comparative efficacy of leniolisib (CDZ173) versus standard of care on rates of respiratory tract infection and serum immunoglobulin M (IgM) levels among individuals with activated phosphoinositide 3-kinase delta (PI3Kδ) syndrome (APDS): an externally controlled study.</w:t>
            </w:r>
          </w:p>
        </w:tc>
        <w:tc>
          <w:tcPr>
            <w:tcW w:w="1797" w:type="pct"/>
            <w:tcBorders>
              <w:top w:val="single" w:sz="4" w:space="0" w:color="auto"/>
              <w:bottom w:val="nil"/>
            </w:tcBorders>
          </w:tcPr>
          <w:p w14:paraId="609E1107" w14:textId="77777777" w:rsidR="00A4529D" w:rsidRPr="006562D8" w:rsidRDefault="00A4529D" w:rsidP="000B4467">
            <w:pPr>
              <w:pStyle w:val="TableText0"/>
              <w:rPr>
                <w:lang w:val="en-AU"/>
              </w:rPr>
            </w:pPr>
            <w:r w:rsidRPr="006562D8">
              <w:rPr>
                <w:lang w:val="en-AU"/>
              </w:rPr>
              <w:t>Whalen J et al., Clinical and Experimental Immunology, Volume 219, Issue 1, January 2025, https://doi.org/10.1093/cei/uxae107.</w:t>
            </w:r>
          </w:p>
        </w:tc>
      </w:tr>
      <w:tr w:rsidR="00A4529D" w:rsidRPr="006562D8" w14:paraId="24E7D63C" w14:textId="77777777" w:rsidTr="000B4467">
        <w:tc>
          <w:tcPr>
            <w:tcW w:w="810" w:type="pct"/>
            <w:vMerge w:val="restart"/>
          </w:tcPr>
          <w:p w14:paraId="411BF86C" w14:textId="77777777" w:rsidR="00A4529D" w:rsidRPr="006562D8" w:rsidRDefault="00A4529D" w:rsidP="000B4467">
            <w:pPr>
              <w:pStyle w:val="TableText0"/>
              <w:rPr>
                <w:highlight w:val="yellow"/>
                <w:lang w:val="en-AU"/>
              </w:rPr>
            </w:pPr>
            <w:r w:rsidRPr="006562D8">
              <w:rPr>
                <w:lang w:val="en-AU"/>
              </w:rPr>
              <w:t>Post hoc analysis Study 2201 Part II and 2201E1</w:t>
            </w:r>
          </w:p>
        </w:tc>
        <w:tc>
          <w:tcPr>
            <w:tcW w:w="2394" w:type="pct"/>
            <w:tcBorders>
              <w:top w:val="single" w:sz="4" w:space="0" w:color="auto"/>
              <w:bottom w:val="nil"/>
            </w:tcBorders>
          </w:tcPr>
          <w:p w14:paraId="69162A5D" w14:textId="77777777" w:rsidR="00A4529D" w:rsidRPr="006562D8" w:rsidRDefault="00A4529D" w:rsidP="000B4467">
            <w:pPr>
              <w:pStyle w:val="TableText0"/>
              <w:rPr>
                <w:i/>
                <w:iCs/>
                <w:lang w:val="en-AU"/>
              </w:rPr>
            </w:pPr>
            <w:r w:rsidRPr="006562D8">
              <w:rPr>
                <w:lang w:val="en-AU"/>
              </w:rPr>
              <w:t>Sponsor internal document.</w:t>
            </w:r>
          </w:p>
        </w:tc>
        <w:tc>
          <w:tcPr>
            <w:tcW w:w="1797" w:type="pct"/>
            <w:tcBorders>
              <w:top w:val="single" w:sz="4" w:space="0" w:color="auto"/>
              <w:bottom w:val="nil"/>
            </w:tcBorders>
          </w:tcPr>
          <w:p w14:paraId="1264178A" w14:textId="0DFBB70D" w:rsidR="00A4529D" w:rsidRPr="006562D8" w:rsidRDefault="00A4529D" w:rsidP="000B4467">
            <w:pPr>
              <w:pStyle w:val="TableText0"/>
              <w:rPr>
                <w:lang w:val="en-AU"/>
              </w:rPr>
            </w:pPr>
            <w:r w:rsidRPr="006562D8">
              <w:rPr>
                <w:lang w:val="en-AU"/>
              </w:rPr>
              <w:t xml:space="preserve">Data file provided with submission titled “Pharming – </w:t>
            </w:r>
            <w:r w:rsidRPr="006562D8">
              <w:rPr>
                <w:i/>
                <w:iCs/>
                <w:lang w:val="en-AU"/>
              </w:rPr>
              <w:t>Post Hoc</w:t>
            </w:r>
            <w:r w:rsidRPr="006562D8">
              <w:rPr>
                <w:lang w:val="en-AU"/>
              </w:rPr>
              <w:t xml:space="preserve"> Analysis of Study 2201 and 2201E1”</w:t>
            </w:r>
            <w:r w:rsidRPr="006562D8">
              <w:rPr>
                <w:vertAlign w:val="superscript"/>
                <w:lang w:val="en-AU"/>
              </w:rPr>
              <w:t>a</w:t>
            </w:r>
          </w:p>
        </w:tc>
      </w:tr>
      <w:tr w:rsidR="00A4529D" w:rsidRPr="008548AD" w14:paraId="3C0AA266" w14:textId="77777777" w:rsidTr="000B4467">
        <w:tc>
          <w:tcPr>
            <w:tcW w:w="810" w:type="pct"/>
            <w:vMerge/>
            <w:tcBorders>
              <w:bottom w:val="nil"/>
            </w:tcBorders>
          </w:tcPr>
          <w:p w14:paraId="6D12921D" w14:textId="77777777" w:rsidR="00A4529D" w:rsidRPr="006562D8" w:rsidRDefault="00A4529D" w:rsidP="000B4467">
            <w:pPr>
              <w:pStyle w:val="TableText0"/>
              <w:rPr>
                <w:highlight w:val="yellow"/>
                <w:lang w:val="en-AU"/>
              </w:rPr>
            </w:pPr>
          </w:p>
        </w:tc>
        <w:tc>
          <w:tcPr>
            <w:tcW w:w="2394" w:type="pct"/>
            <w:tcBorders>
              <w:top w:val="nil"/>
              <w:bottom w:val="single" w:sz="4" w:space="0" w:color="auto"/>
            </w:tcBorders>
          </w:tcPr>
          <w:p w14:paraId="7C7C45F6" w14:textId="77777777" w:rsidR="00A4529D" w:rsidRPr="006562D8" w:rsidRDefault="00A4529D" w:rsidP="000B4467">
            <w:pPr>
              <w:pStyle w:val="TableText0"/>
              <w:rPr>
                <w:lang w:val="en-AU"/>
              </w:rPr>
            </w:pPr>
            <w:r w:rsidRPr="006562D8">
              <w:rPr>
                <w:lang w:val="en-AU"/>
              </w:rPr>
              <w:t>Leniolisib Effect On Response Rates For Select Outcomes In Activated Phosphoinositide 3-Kinase Delta Syndrome (APDS).</w:t>
            </w:r>
          </w:p>
        </w:tc>
        <w:tc>
          <w:tcPr>
            <w:tcW w:w="1797" w:type="pct"/>
            <w:tcBorders>
              <w:top w:val="nil"/>
              <w:bottom w:val="single" w:sz="4" w:space="0" w:color="auto"/>
            </w:tcBorders>
          </w:tcPr>
          <w:p w14:paraId="4694F011" w14:textId="77777777" w:rsidR="00A4529D" w:rsidRPr="006562D8" w:rsidRDefault="00A4529D" w:rsidP="000B4467">
            <w:pPr>
              <w:pStyle w:val="TableText0"/>
              <w:rPr>
                <w:lang w:val="en-AU"/>
              </w:rPr>
            </w:pPr>
            <w:r w:rsidRPr="006562D8">
              <w:rPr>
                <w:lang w:val="en-AU"/>
              </w:rPr>
              <w:t>Harrington A et al. Annals of Allergy, Asthma &amp; Immunology, Volume 133, Issue 6, Supplement,</w:t>
            </w:r>
          </w:p>
          <w:p w14:paraId="5ACAA633" w14:textId="77777777" w:rsidR="00A4529D" w:rsidRPr="006C4D53" w:rsidRDefault="00A4529D" w:rsidP="000B4467">
            <w:pPr>
              <w:pStyle w:val="TableText0"/>
              <w:rPr>
                <w:lang w:val="nl-NL"/>
              </w:rPr>
            </w:pPr>
            <w:r w:rsidRPr="006C4D53">
              <w:rPr>
                <w:lang w:val="nl-NL"/>
              </w:rPr>
              <w:t>2024, Page S60.</w:t>
            </w:r>
          </w:p>
          <w:p w14:paraId="2B56CD31" w14:textId="77777777" w:rsidR="00A4529D" w:rsidRPr="006C4D53" w:rsidRDefault="00A4529D" w:rsidP="000B4467">
            <w:pPr>
              <w:pStyle w:val="TableText0"/>
              <w:rPr>
                <w:lang w:val="nl-NL"/>
              </w:rPr>
            </w:pPr>
            <w:r w:rsidRPr="006C4D53">
              <w:rPr>
                <w:lang w:val="nl-NL"/>
              </w:rPr>
              <w:t>https://doi.org/10.1016/j.anai.2024.08.201</w:t>
            </w:r>
          </w:p>
        </w:tc>
      </w:tr>
      <w:tr w:rsidR="00A4529D" w:rsidRPr="006562D8" w14:paraId="1D17EFF2" w14:textId="77777777" w:rsidTr="000B4467">
        <w:tc>
          <w:tcPr>
            <w:tcW w:w="810" w:type="pct"/>
            <w:tcBorders>
              <w:bottom w:val="nil"/>
            </w:tcBorders>
          </w:tcPr>
          <w:p w14:paraId="7F04F579" w14:textId="77777777" w:rsidR="00A4529D" w:rsidRPr="006562D8" w:rsidRDefault="00A4529D" w:rsidP="000B4467">
            <w:pPr>
              <w:pStyle w:val="TableText0"/>
              <w:rPr>
                <w:highlight w:val="yellow"/>
                <w:lang w:val="en-AU"/>
              </w:rPr>
            </w:pPr>
            <w:r w:rsidRPr="006562D8">
              <w:rPr>
                <w:lang w:val="en-AU"/>
              </w:rPr>
              <w:t>Post hoc analysis: Study 2201 Part II and 2201E1</w:t>
            </w:r>
          </w:p>
        </w:tc>
        <w:tc>
          <w:tcPr>
            <w:tcW w:w="2394" w:type="pct"/>
            <w:tcBorders>
              <w:top w:val="single" w:sz="4" w:space="0" w:color="auto"/>
              <w:bottom w:val="nil"/>
            </w:tcBorders>
          </w:tcPr>
          <w:p w14:paraId="7C4A1BAA" w14:textId="77777777" w:rsidR="00A4529D" w:rsidRPr="006562D8" w:rsidRDefault="00A4529D" w:rsidP="000B4467">
            <w:pPr>
              <w:pStyle w:val="TableText0"/>
              <w:rPr>
                <w:lang w:val="en-AU"/>
              </w:rPr>
            </w:pPr>
            <w:r w:rsidRPr="006562D8">
              <w:rPr>
                <w:lang w:val="en-AU"/>
              </w:rPr>
              <w:t>Sponsor internal document.</w:t>
            </w:r>
          </w:p>
        </w:tc>
        <w:tc>
          <w:tcPr>
            <w:tcW w:w="1797" w:type="pct"/>
            <w:tcBorders>
              <w:top w:val="single" w:sz="4" w:space="0" w:color="auto"/>
              <w:bottom w:val="nil"/>
            </w:tcBorders>
          </w:tcPr>
          <w:p w14:paraId="42143A93" w14:textId="77777777" w:rsidR="00A4529D" w:rsidRPr="006562D8" w:rsidRDefault="00A4529D" w:rsidP="000B4467">
            <w:pPr>
              <w:pStyle w:val="TableText0"/>
              <w:rPr>
                <w:lang w:val="en-AU"/>
              </w:rPr>
            </w:pPr>
            <w:r w:rsidRPr="006562D8">
              <w:rPr>
                <w:lang w:val="en-AU"/>
              </w:rPr>
              <w:t xml:space="preserve">Data file provided with submission titled “Pharming – 2024 – Pharming Data on File. Combined responder analysis </w:t>
            </w:r>
            <w:r w:rsidRPr="006562D8">
              <w:rPr>
                <w:vertAlign w:val="superscript"/>
                <w:lang w:val="en-AU"/>
              </w:rPr>
              <w:t>a</w:t>
            </w:r>
          </w:p>
        </w:tc>
      </w:tr>
      <w:tr w:rsidR="00A4529D" w:rsidRPr="006562D8" w14:paraId="36DAD215" w14:textId="77777777" w:rsidTr="000B4467">
        <w:tc>
          <w:tcPr>
            <w:tcW w:w="810" w:type="pct"/>
            <w:tcBorders>
              <w:bottom w:val="single" w:sz="4" w:space="0" w:color="auto"/>
            </w:tcBorders>
          </w:tcPr>
          <w:p w14:paraId="3A5CE8E3" w14:textId="77777777" w:rsidR="00A4529D" w:rsidRPr="006562D8" w:rsidRDefault="00A4529D" w:rsidP="000B4467">
            <w:pPr>
              <w:pStyle w:val="TableText0"/>
              <w:rPr>
                <w:lang w:val="en-AU"/>
              </w:rPr>
            </w:pPr>
            <w:r w:rsidRPr="006562D8">
              <w:rPr>
                <w:lang w:val="en-AU"/>
              </w:rPr>
              <w:t>Supplementary Analysis IA2</w:t>
            </w:r>
          </w:p>
        </w:tc>
        <w:tc>
          <w:tcPr>
            <w:tcW w:w="2394" w:type="pct"/>
            <w:tcBorders>
              <w:bottom w:val="single" w:sz="4" w:space="0" w:color="auto"/>
            </w:tcBorders>
          </w:tcPr>
          <w:p w14:paraId="195F1B5E" w14:textId="77777777" w:rsidR="00A4529D" w:rsidRPr="006562D8" w:rsidRDefault="00A4529D" w:rsidP="000B4467">
            <w:pPr>
              <w:pStyle w:val="TableText0"/>
              <w:rPr>
                <w:lang w:val="en-AU"/>
              </w:rPr>
            </w:pPr>
            <w:r w:rsidRPr="006562D8">
              <w:rPr>
                <w:lang w:val="en-AU"/>
              </w:rPr>
              <w:t>Sponsor internal document.</w:t>
            </w:r>
          </w:p>
        </w:tc>
        <w:tc>
          <w:tcPr>
            <w:tcW w:w="1797" w:type="pct"/>
            <w:tcBorders>
              <w:bottom w:val="single" w:sz="4" w:space="0" w:color="auto"/>
            </w:tcBorders>
          </w:tcPr>
          <w:p w14:paraId="70A9A2E3" w14:textId="77777777" w:rsidR="00A4529D" w:rsidRPr="006562D8" w:rsidRDefault="00A4529D" w:rsidP="000B4467">
            <w:pPr>
              <w:pStyle w:val="TableText0"/>
              <w:rPr>
                <w:lang w:val="en-AU"/>
              </w:rPr>
            </w:pPr>
            <w:r w:rsidRPr="006562D8">
              <w:rPr>
                <w:lang w:val="en-AU"/>
              </w:rPr>
              <w:t>Not published</w:t>
            </w:r>
          </w:p>
        </w:tc>
      </w:tr>
      <w:tr w:rsidR="00A4529D" w:rsidRPr="006562D8" w14:paraId="5539DF84" w14:textId="77777777" w:rsidTr="000B4467">
        <w:tc>
          <w:tcPr>
            <w:tcW w:w="810" w:type="pct"/>
            <w:tcBorders>
              <w:bottom w:val="single" w:sz="4" w:space="0" w:color="auto"/>
            </w:tcBorders>
          </w:tcPr>
          <w:p w14:paraId="03BA2D99" w14:textId="77777777" w:rsidR="00A4529D" w:rsidRPr="006562D8" w:rsidRDefault="00A4529D" w:rsidP="000B4467">
            <w:pPr>
              <w:pStyle w:val="TableText0"/>
              <w:rPr>
                <w:lang w:val="en-AU"/>
              </w:rPr>
            </w:pPr>
            <w:r w:rsidRPr="006562D8">
              <w:rPr>
                <w:i/>
                <w:iCs/>
                <w:lang w:val="en-AU"/>
              </w:rPr>
              <w:t>Post hoc</w:t>
            </w:r>
            <w:r w:rsidRPr="006562D8">
              <w:rPr>
                <w:lang w:val="en-AU"/>
              </w:rPr>
              <w:t xml:space="preserve"> analysis Study 2201 Part II and 2201E1</w:t>
            </w:r>
          </w:p>
        </w:tc>
        <w:tc>
          <w:tcPr>
            <w:tcW w:w="2394" w:type="pct"/>
            <w:tcBorders>
              <w:bottom w:val="single" w:sz="4" w:space="0" w:color="auto"/>
            </w:tcBorders>
          </w:tcPr>
          <w:p w14:paraId="18740261" w14:textId="77777777" w:rsidR="00A4529D" w:rsidRPr="006562D8" w:rsidRDefault="00A4529D" w:rsidP="000B4467">
            <w:pPr>
              <w:pStyle w:val="TableText0"/>
              <w:rPr>
                <w:lang w:val="en-AU"/>
              </w:rPr>
            </w:pPr>
            <w:r w:rsidRPr="006562D8">
              <w:rPr>
                <w:lang w:val="en-AU"/>
              </w:rPr>
              <w:t>Unpublished manuscript: Rao et al. Short-Term Changes in Disease Activity May Predict Long-Term Clinical Outcomes in Activated Phosphoinositide 3-Kinase Delta Syndrome. Dated 6 March 2025.</w:t>
            </w:r>
          </w:p>
        </w:tc>
        <w:tc>
          <w:tcPr>
            <w:tcW w:w="1797" w:type="pct"/>
            <w:tcBorders>
              <w:bottom w:val="single" w:sz="4" w:space="0" w:color="auto"/>
            </w:tcBorders>
          </w:tcPr>
          <w:p w14:paraId="358BF4C4" w14:textId="77777777" w:rsidR="00A4529D" w:rsidRPr="006562D8" w:rsidRDefault="00A4529D" w:rsidP="000B4467">
            <w:pPr>
              <w:pStyle w:val="TableText0"/>
              <w:rPr>
                <w:lang w:val="en-AU"/>
              </w:rPr>
            </w:pPr>
            <w:r w:rsidRPr="006562D8">
              <w:rPr>
                <w:lang w:val="en-AU"/>
              </w:rPr>
              <w:t>Data file provided with submission titled “Rao et al. - Short-Term Changes in Disease Activity May Predict”</w:t>
            </w:r>
          </w:p>
        </w:tc>
      </w:tr>
    </w:tbl>
    <w:p w14:paraId="28409C67" w14:textId="1DD9E6C2" w:rsidR="00A4529D" w:rsidRPr="006562D8" w:rsidRDefault="00A4529D" w:rsidP="00A4529D">
      <w:pPr>
        <w:pStyle w:val="FooterTableFigure"/>
      </w:pPr>
      <w:r w:rsidRPr="006562D8">
        <w:t xml:space="preserve">ADPS = activated phosphoinositide 3-kinase delta (PI3Kδ) syndrome; </w:t>
      </w:r>
      <w:r w:rsidR="00A96F6E" w:rsidRPr="006562D8">
        <w:t xml:space="preserve">ESID = European Society for Immunodeficiencies; </w:t>
      </w:r>
      <w:r w:rsidRPr="006562D8">
        <w:t>PASLI = p110δ-activating mutation causing senescent T cells, lymphadenopathy and Immunodeficiency</w:t>
      </w:r>
    </w:p>
    <w:p w14:paraId="51BCDFE7" w14:textId="77777777" w:rsidR="00A4529D" w:rsidRPr="006562D8" w:rsidRDefault="00A4529D" w:rsidP="00A4529D">
      <w:pPr>
        <w:pStyle w:val="FooterTableFigure"/>
      </w:pPr>
      <w:r w:rsidRPr="00FF551F">
        <w:rPr>
          <w:rFonts w:eastAsiaTheme="minorEastAsia"/>
          <w:color w:val="000000" w:themeColor="text1"/>
          <w:vertAlign w:val="superscript"/>
          <w:lang w:eastAsia="ja-JP"/>
        </w:rPr>
        <w:t xml:space="preserve">a </w:t>
      </w:r>
      <w:r w:rsidRPr="006562D8">
        <w:t>These documents included only data tables and did not appear to contain any analysis text. It is unclear if they have been published.</w:t>
      </w:r>
    </w:p>
    <w:p w14:paraId="55E67B81" w14:textId="77777777" w:rsidR="00A4529D" w:rsidRPr="006562D8" w:rsidRDefault="00A4529D" w:rsidP="00A4529D">
      <w:pPr>
        <w:pStyle w:val="FooterTableFigure"/>
        <w:rPr>
          <w:i/>
          <w:iCs/>
          <w:sz w:val="20"/>
        </w:rPr>
      </w:pPr>
      <w:r w:rsidRPr="006562D8">
        <w:t>Source: Tables 2.3, 2.4 and 2.5, pp73-78 of the submission.</w:t>
      </w:r>
    </w:p>
    <w:p w14:paraId="061CF4DC" w14:textId="63572949" w:rsidR="00A4529D" w:rsidRPr="006562D8" w:rsidRDefault="008A6B4C" w:rsidP="00A4529D">
      <w:pPr>
        <w:pStyle w:val="3-BodyText"/>
        <w:spacing w:before="0" w:after="120"/>
      </w:pPr>
      <w:r w:rsidRPr="006562D8">
        <w:fldChar w:fldCharType="begin" w:fldLock="1"/>
      </w:r>
      <w:r w:rsidRPr="006562D8">
        <w:instrText xml:space="preserve"> REF _Ref196166124 \h </w:instrText>
      </w:r>
      <w:r w:rsidRPr="006562D8">
        <w:fldChar w:fldCharType="separate"/>
      </w:r>
      <w:r w:rsidR="00C34379" w:rsidRPr="006562D8">
        <w:t xml:space="preserve">Figure </w:t>
      </w:r>
      <w:r w:rsidR="00C34379">
        <w:rPr>
          <w:noProof/>
        </w:rPr>
        <w:t>3</w:t>
      </w:r>
      <w:r w:rsidRPr="006562D8">
        <w:fldChar w:fldCharType="end"/>
      </w:r>
      <w:r w:rsidR="004963A3" w:rsidRPr="006562D8">
        <w:t xml:space="preserve"> </w:t>
      </w:r>
      <w:r w:rsidR="00A4529D" w:rsidRPr="006562D8">
        <w:t xml:space="preserve">provides a visual summary of the series of three Study 2201 trials/studies (Study 2201 Part I, Study 2201 Part II and Study 2201E1, the extension phase of Study 2201) which provided the </w:t>
      </w:r>
      <w:r w:rsidR="00032277">
        <w:t>primary</w:t>
      </w:r>
      <w:r w:rsidR="00032277" w:rsidRPr="006562D8">
        <w:t xml:space="preserve"> </w:t>
      </w:r>
      <w:r w:rsidR="00A4529D" w:rsidRPr="006562D8">
        <w:t xml:space="preserve">clinical evidence. </w:t>
      </w:r>
    </w:p>
    <w:p w14:paraId="1FEA4C1A" w14:textId="3F0B48DC" w:rsidR="00A4529D" w:rsidRPr="006562D8" w:rsidRDefault="008A6B4C" w:rsidP="008A6B4C">
      <w:pPr>
        <w:pStyle w:val="Caption"/>
      </w:pPr>
      <w:bookmarkStart w:id="17" w:name="_Ref196166124"/>
      <w:r w:rsidRPr="006562D8">
        <w:t xml:space="preserve">Figure </w:t>
      </w:r>
      <w:r w:rsidR="00C34379">
        <w:fldChar w:fldCharType="begin" w:fldLock="1"/>
      </w:r>
      <w:r w:rsidR="00C34379">
        <w:instrText xml:space="preserve"> SEQ Figure \* ARABIC </w:instrText>
      </w:r>
      <w:r w:rsidR="00C34379">
        <w:fldChar w:fldCharType="separate"/>
      </w:r>
      <w:r w:rsidR="00C34379">
        <w:rPr>
          <w:noProof/>
        </w:rPr>
        <w:t>3</w:t>
      </w:r>
      <w:r w:rsidR="00C34379">
        <w:rPr>
          <w:noProof/>
        </w:rPr>
        <w:fldChar w:fldCharType="end"/>
      </w:r>
      <w:bookmarkEnd w:id="17"/>
      <w:r w:rsidR="00A4529D" w:rsidRPr="006562D8">
        <w:t>: Visual summary of treatment details for the trial/studies within Study 2201</w:t>
      </w:r>
    </w:p>
    <w:p w14:paraId="7A76536A" w14:textId="77777777" w:rsidR="00A4529D" w:rsidRPr="006562D8" w:rsidRDefault="00A4529D" w:rsidP="00A4529D">
      <w:pPr>
        <w:pStyle w:val="FigureLegend"/>
        <w:spacing w:after="120"/>
        <w:rPr>
          <w:rStyle w:val="FootnotesChar"/>
          <w:lang w:val="en-AU"/>
        </w:rPr>
      </w:pPr>
      <w:r w:rsidRPr="006562D8">
        <w:rPr>
          <w:noProof/>
        </w:rPr>
        <w:drawing>
          <wp:inline distT="0" distB="0" distL="0" distR="0" wp14:anchorId="60C04F4C" wp14:editId="398C2274">
            <wp:extent cx="5705061" cy="2342302"/>
            <wp:effectExtent l="0" t="0" r="0" b="1270"/>
            <wp:docPr id="645460291" name="Graphic 1" descr="Figure 3: Visual summary of treatment details for the trial/studies within Study 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60291" name="Graphic 1" descr="Figure 3: Visual summary of treatment details for the trial/studies within Study 2201"/>
                    <pic:cNvPicPr/>
                  </pic:nvPicPr>
                  <pic:blipFill rotWithShape="1">
                    <a:blip r:embed="rId13">
                      <a:extLst>
                        <a:ext uri="{96DAC541-7B7A-43D3-8B79-37D633B846F1}">
                          <asvg:svgBlip xmlns:asvg="http://schemas.microsoft.com/office/drawing/2016/SVG/main" r:embed="rId14"/>
                        </a:ext>
                      </a:extLst>
                    </a:blip>
                    <a:srcRect l="6365" t="16530" r="5232" b="18932"/>
                    <a:stretch/>
                  </pic:blipFill>
                  <pic:spPr bwMode="auto">
                    <a:xfrm>
                      <a:off x="0" y="0"/>
                      <a:ext cx="5722122" cy="2349307"/>
                    </a:xfrm>
                    <a:prstGeom prst="rect">
                      <a:avLst/>
                    </a:prstGeom>
                    <a:ln>
                      <a:noFill/>
                    </a:ln>
                    <a:extLst>
                      <a:ext uri="{53640926-AAD7-44D8-BBD7-CCE9431645EC}">
                        <a14:shadowObscured xmlns:a14="http://schemas.microsoft.com/office/drawing/2010/main"/>
                      </a:ext>
                    </a:extLst>
                  </pic:spPr>
                </pic:pic>
              </a:graphicData>
            </a:graphic>
          </wp:inline>
        </w:drawing>
      </w:r>
    </w:p>
    <w:p w14:paraId="286AFEC6" w14:textId="77777777" w:rsidR="00A4529D" w:rsidRPr="006562D8" w:rsidRDefault="00A4529D" w:rsidP="00A4529D">
      <w:pPr>
        <w:pStyle w:val="TableFigureFooter"/>
        <w:rPr>
          <w:rFonts w:cs="Times New Roman"/>
          <w:lang w:val="en-AU"/>
        </w:rPr>
      </w:pPr>
      <w:r w:rsidRPr="006562D8">
        <w:rPr>
          <w:lang w:val="en-AU"/>
        </w:rPr>
        <w:t>Source: Figure 2.1, p92 of the submission</w:t>
      </w:r>
    </w:p>
    <w:p w14:paraId="2BBCAFBF" w14:textId="70AA186A" w:rsidR="00A4529D" w:rsidRPr="006562D8" w:rsidRDefault="00A4529D" w:rsidP="00A4529D">
      <w:pPr>
        <w:pStyle w:val="3-BodyText"/>
        <w:spacing w:before="0" w:after="120"/>
      </w:pPr>
      <w:r w:rsidRPr="006562D8">
        <w:t xml:space="preserve">The key features of the direct randomised trial, studies and other included evidence are summarised in </w:t>
      </w:r>
      <w:r w:rsidRPr="006562D8">
        <w:fldChar w:fldCharType="begin" w:fldLock="1"/>
      </w:r>
      <w:r w:rsidRPr="006562D8">
        <w:instrText xml:space="preserve"> REF _Ref195993088 \h  \* MERGEFORMAT </w:instrText>
      </w:r>
      <w:r w:rsidRPr="006562D8">
        <w:fldChar w:fldCharType="separate"/>
      </w:r>
      <w:r w:rsidR="00C34379" w:rsidRPr="00C34379">
        <w:t>Table 3</w:t>
      </w:r>
      <w:r w:rsidRPr="006562D8">
        <w:fldChar w:fldCharType="end"/>
      </w:r>
      <w:r w:rsidRPr="006562D8">
        <w:t xml:space="preserve">. </w:t>
      </w:r>
    </w:p>
    <w:p w14:paraId="00AF069C" w14:textId="3EDC15AC" w:rsidR="00A4529D" w:rsidRPr="006562D8" w:rsidRDefault="00A4529D" w:rsidP="00A4529D">
      <w:pPr>
        <w:pStyle w:val="Caption"/>
        <w:rPr>
          <w:rStyle w:val="CommentReference"/>
          <w:rFonts w:eastAsiaTheme="majorEastAsia" w:cstheme="majorBidi"/>
          <w:b/>
          <w:szCs w:val="24"/>
        </w:rPr>
      </w:pPr>
      <w:bookmarkStart w:id="18" w:name="_Ref195993088"/>
      <w:r w:rsidRPr="006562D8">
        <w:rPr>
          <w:rStyle w:val="CommentReference"/>
          <w:rFonts w:eastAsiaTheme="majorEastAsia" w:cstheme="majorBidi"/>
          <w:b/>
          <w:szCs w:val="24"/>
        </w:rPr>
        <w:t xml:space="preserve">Table </w:t>
      </w:r>
      <w:r w:rsidRPr="006562D8">
        <w:rPr>
          <w:rStyle w:val="CommentReference"/>
          <w:rFonts w:eastAsiaTheme="majorEastAsia" w:cstheme="majorBidi"/>
          <w:b/>
          <w:szCs w:val="24"/>
        </w:rPr>
        <w:fldChar w:fldCharType="begin" w:fldLock="1"/>
      </w:r>
      <w:r w:rsidRPr="006562D8">
        <w:rPr>
          <w:rStyle w:val="CommentReference"/>
          <w:rFonts w:eastAsiaTheme="majorEastAsia" w:cstheme="majorBidi"/>
          <w:b/>
          <w:szCs w:val="24"/>
        </w:rPr>
        <w:instrText xml:space="preserve"> SEQ Table \* ARABIC </w:instrText>
      </w:r>
      <w:r w:rsidRPr="006562D8">
        <w:rPr>
          <w:rStyle w:val="CommentReference"/>
          <w:rFonts w:eastAsiaTheme="majorEastAsia" w:cstheme="majorBidi"/>
          <w:b/>
          <w:szCs w:val="24"/>
        </w:rPr>
        <w:fldChar w:fldCharType="separate"/>
      </w:r>
      <w:r w:rsidR="00C34379">
        <w:rPr>
          <w:rStyle w:val="CommentReference"/>
          <w:rFonts w:eastAsiaTheme="majorEastAsia" w:cstheme="majorBidi"/>
          <w:b/>
          <w:noProof/>
          <w:szCs w:val="24"/>
        </w:rPr>
        <w:t>3</w:t>
      </w:r>
      <w:r w:rsidRPr="006562D8">
        <w:rPr>
          <w:rStyle w:val="CommentReference"/>
          <w:rFonts w:eastAsiaTheme="majorEastAsia" w:cstheme="majorBidi"/>
          <w:b/>
          <w:szCs w:val="24"/>
        </w:rPr>
        <w:fldChar w:fldCharType="end"/>
      </w:r>
      <w:bookmarkEnd w:id="18"/>
      <w:r w:rsidRPr="006562D8">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60"/>
        <w:gridCol w:w="547"/>
        <w:gridCol w:w="2773"/>
        <w:gridCol w:w="837"/>
        <w:gridCol w:w="1396"/>
        <w:gridCol w:w="2185"/>
      </w:tblGrid>
      <w:tr w:rsidR="00A4529D" w:rsidRPr="006562D8" w14:paraId="3AE18C47" w14:textId="77777777" w:rsidTr="00C844EC">
        <w:trPr>
          <w:cantSplit/>
          <w:tblHeader/>
        </w:trPr>
        <w:tc>
          <w:tcPr>
            <w:tcW w:w="644" w:type="pct"/>
            <w:vAlign w:val="center"/>
          </w:tcPr>
          <w:p w14:paraId="559D4871" w14:textId="77777777" w:rsidR="00A4529D" w:rsidRPr="006562D8" w:rsidRDefault="00A4529D" w:rsidP="000B4467">
            <w:pPr>
              <w:pStyle w:val="In-tableHeading"/>
              <w:rPr>
                <w:lang w:val="en-AU"/>
              </w:rPr>
            </w:pPr>
            <w:r w:rsidRPr="006562D8">
              <w:rPr>
                <w:lang w:val="en-AU"/>
              </w:rPr>
              <w:t>Trial/study</w:t>
            </w:r>
          </w:p>
        </w:tc>
        <w:tc>
          <w:tcPr>
            <w:tcW w:w="309" w:type="pct"/>
            <w:vAlign w:val="center"/>
          </w:tcPr>
          <w:p w14:paraId="0DF0F29E" w14:textId="77777777" w:rsidR="00A4529D" w:rsidRPr="006562D8" w:rsidRDefault="00A4529D" w:rsidP="000B4467">
            <w:pPr>
              <w:pStyle w:val="In-tableHeading"/>
              <w:rPr>
                <w:lang w:val="en-AU"/>
              </w:rPr>
            </w:pPr>
            <w:r w:rsidRPr="006562D8">
              <w:rPr>
                <w:lang w:val="en-AU"/>
              </w:rPr>
              <w:t>N</w:t>
            </w:r>
          </w:p>
        </w:tc>
        <w:tc>
          <w:tcPr>
            <w:tcW w:w="1560" w:type="pct"/>
            <w:vAlign w:val="center"/>
          </w:tcPr>
          <w:p w14:paraId="6F9854FD" w14:textId="77777777" w:rsidR="00A4529D" w:rsidRPr="006562D8" w:rsidRDefault="00A4529D" w:rsidP="000B4467">
            <w:pPr>
              <w:pStyle w:val="In-tableHeading"/>
              <w:rPr>
                <w:lang w:val="en-AU"/>
              </w:rPr>
            </w:pPr>
            <w:r w:rsidRPr="006562D8">
              <w:rPr>
                <w:lang w:val="en-AU"/>
              </w:rPr>
              <w:t>Design/ duration</w:t>
            </w:r>
          </w:p>
        </w:tc>
        <w:tc>
          <w:tcPr>
            <w:tcW w:w="472" w:type="pct"/>
            <w:vAlign w:val="center"/>
          </w:tcPr>
          <w:p w14:paraId="42015397" w14:textId="77777777" w:rsidR="00A4529D" w:rsidRPr="006562D8" w:rsidRDefault="00A4529D" w:rsidP="000B4467">
            <w:pPr>
              <w:pStyle w:val="In-tableHeading"/>
              <w:rPr>
                <w:lang w:val="en-AU"/>
              </w:rPr>
            </w:pPr>
            <w:r w:rsidRPr="006562D8">
              <w:rPr>
                <w:lang w:val="en-AU"/>
              </w:rPr>
              <w:t>Risk of bias</w:t>
            </w:r>
          </w:p>
        </w:tc>
        <w:tc>
          <w:tcPr>
            <w:tcW w:w="786" w:type="pct"/>
            <w:vAlign w:val="center"/>
          </w:tcPr>
          <w:p w14:paraId="47F08E10" w14:textId="77777777" w:rsidR="00A4529D" w:rsidRPr="006562D8" w:rsidRDefault="00A4529D" w:rsidP="000B4467">
            <w:pPr>
              <w:pStyle w:val="In-tableHeading"/>
              <w:rPr>
                <w:lang w:val="en-AU"/>
              </w:rPr>
            </w:pPr>
            <w:r w:rsidRPr="006562D8">
              <w:rPr>
                <w:lang w:val="en-AU"/>
              </w:rPr>
              <w:t>Patient population</w:t>
            </w:r>
          </w:p>
        </w:tc>
        <w:tc>
          <w:tcPr>
            <w:tcW w:w="1229" w:type="pct"/>
            <w:vAlign w:val="center"/>
          </w:tcPr>
          <w:p w14:paraId="7286DD37" w14:textId="77777777" w:rsidR="00A4529D" w:rsidRPr="006562D8" w:rsidRDefault="00A4529D" w:rsidP="000B4467">
            <w:pPr>
              <w:pStyle w:val="In-tableHeading"/>
              <w:rPr>
                <w:lang w:val="en-AU"/>
              </w:rPr>
            </w:pPr>
            <w:r w:rsidRPr="006562D8">
              <w:rPr>
                <w:lang w:val="en-AU"/>
              </w:rPr>
              <w:t>Outcome(s)</w:t>
            </w:r>
          </w:p>
        </w:tc>
      </w:tr>
      <w:tr w:rsidR="00A4529D" w:rsidRPr="006562D8" w14:paraId="44D0ADF9" w14:textId="77777777" w:rsidTr="00C844EC">
        <w:trPr>
          <w:cantSplit/>
        </w:trPr>
        <w:tc>
          <w:tcPr>
            <w:tcW w:w="644" w:type="pct"/>
            <w:vAlign w:val="center"/>
          </w:tcPr>
          <w:p w14:paraId="79CF5F06" w14:textId="77777777" w:rsidR="00A4529D" w:rsidRPr="006562D8" w:rsidRDefault="00A4529D" w:rsidP="000B4467">
            <w:pPr>
              <w:pStyle w:val="TableText0"/>
              <w:keepNext/>
              <w:keepLines/>
              <w:rPr>
                <w:lang w:val="en-AU"/>
              </w:rPr>
            </w:pPr>
            <w:r w:rsidRPr="006562D8">
              <w:rPr>
                <w:lang w:val="en-AU"/>
              </w:rPr>
              <w:t>Study 2201 Part I</w:t>
            </w:r>
          </w:p>
        </w:tc>
        <w:tc>
          <w:tcPr>
            <w:tcW w:w="309" w:type="pct"/>
            <w:vAlign w:val="center"/>
          </w:tcPr>
          <w:p w14:paraId="237D6437" w14:textId="77777777" w:rsidR="00A4529D" w:rsidRPr="006562D8" w:rsidRDefault="00A4529D" w:rsidP="000B4467">
            <w:pPr>
              <w:pStyle w:val="TableText0"/>
              <w:keepNext/>
              <w:keepLines/>
              <w:jc w:val="center"/>
              <w:rPr>
                <w:lang w:val="en-AU"/>
              </w:rPr>
            </w:pPr>
            <w:r w:rsidRPr="006562D8">
              <w:rPr>
                <w:lang w:val="en-AU"/>
              </w:rPr>
              <w:t>6</w:t>
            </w:r>
          </w:p>
        </w:tc>
        <w:tc>
          <w:tcPr>
            <w:tcW w:w="1560" w:type="pct"/>
            <w:vAlign w:val="center"/>
          </w:tcPr>
          <w:p w14:paraId="1C7A4F59" w14:textId="77777777" w:rsidR="00A4529D" w:rsidRPr="006562D8" w:rsidRDefault="00A4529D" w:rsidP="000B4467">
            <w:pPr>
              <w:pStyle w:val="TableText0"/>
              <w:keepNext/>
              <w:keepLines/>
              <w:rPr>
                <w:lang w:val="en-AU"/>
              </w:rPr>
            </w:pPr>
            <w:r w:rsidRPr="006562D8">
              <w:rPr>
                <w:lang w:val="en-AU"/>
              </w:rPr>
              <w:t>Phase II, OL, MC, non-randomised, dose-finding, dose escalations study; 12 weeks</w:t>
            </w:r>
          </w:p>
        </w:tc>
        <w:tc>
          <w:tcPr>
            <w:tcW w:w="472" w:type="pct"/>
            <w:vAlign w:val="center"/>
          </w:tcPr>
          <w:p w14:paraId="1B42DA1B"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6EB6104D" w14:textId="77777777" w:rsidR="00A4529D" w:rsidRPr="006562D8" w:rsidRDefault="00A4529D" w:rsidP="000B4467">
            <w:pPr>
              <w:pStyle w:val="TableText0"/>
              <w:keepNext/>
              <w:keepLines/>
              <w:rPr>
                <w:lang w:val="en-AU"/>
              </w:rPr>
            </w:pPr>
            <w:r w:rsidRPr="006562D8">
              <w:rPr>
                <w:lang w:val="en-AU"/>
              </w:rPr>
              <w:t>Patients with APDS aged 12</w:t>
            </w:r>
            <w:r w:rsidRPr="006562D8">
              <w:rPr>
                <w:rFonts w:ascii="Arial" w:hAnsi="Arial" w:cs="Arial"/>
                <w:lang w:val="en-AU"/>
              </w:rPr>
              <w:t>‒</w:t>
            </w:r>
            <w:r w:rsidRPr="006562D8">
              <w:rPr>
                <w:lang w:val="en-AU"/>
              </w:rPr>
              <w:t>75 years old</w:t>
            </w:r>
          </w:p>
        </w:tc>
        <w:tc>
          <w:tcPr>
            <w:tcW w:w="1229" w:type="pct"/>
            <w:vAlign w:val="center"/>
          </w:tcPr>
          <w:p w14:paraId="599C59A6"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Safety;</w:t>
            </w:r>
          </w:p>
          <w:p w14:paraId="5E2822EC"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SF-36</w:t>
            </w:r>
          </w:p>
        </w:tc>
      </w:tr>
      <w:tr w:rsidR="00A4529D" w:rsidRPr="006562D8" w14:paraId="2990B9D8" w14:textId="77777777" w:rsidTr="00C844EC">
        <w:trPr>
          <w:cantSplit/>
        </w:trPr>
        <w:tc>
          <w:tcPr>
            <w:tcW w:w="644" w:type="pct"/>
            <w:vAlign w:val="center"/>
          </w:tcPr>
          <w:p w14:paraId="14AEF510" w14:textId="77777777" w:rsidR="00A4529D" w:rsidRPr="006562D8" w:rsidRDefault="00A4529D" w:rsidP="000B4467">
            <w:pPr>
              <w:pStyle w:val="TableText0"/>
              <w:keepNext/>
              <w:keepLines/>
              <w:rPr>
                <w:lang w:val="en-AU"/>
              </w:rPr>
            </w:pPr>
            <w:r w:rsidRPr="006562D8">
              <w:rPr>
                <w:lang w:val="en-AU"/>
              </w:rPr>
              <w:t xml:space="preserve">Study 2201 Part II </w:t>
            </w:r>
          </w:p>
        </w:tc>
        <w:tc>
          <w:tcPr>
            <w:tcW w:w="309" w:type="pct"/>
            <w:vAlign w:val="center"/>
          </w:tcPr>
          <w:p w14:paraId="16FC24DB" w14:textId="77777777" w:rsidR="00A4529D" w:rsidRPr="006562D8" w:rsidRDefault="00A4529D" w:rsidP="000B4467">
            <w:pPr>
              <w:pStyle w:val="TableText0"/>
              <w:keepNext/>
              <w:keepLines/>
              <w:jc w:val="center"/>
              <w:rPr>
                <w:lang w:val="en-AU"/>
              </w:rPr>
            </w:pPr>
            <w:r w:rsidRPr="006562D8">
              <w:rPr>
                <w:lang w:val="en-AU"/>
              </w:rPr>
              <w:t>31</w:t>
            </w:r>
          </w:p>
        </w:tc>
        <w:tc>
          <w:tcPr>
            <w:tcW w:w="1560" w:type="pct"/>
            <w:vAlign w:val="center"/>
          </w:tcPr>
          <w:p w14:paraId="621EA851" w14:textId="77777777" w:rsidR="00A4529D" w:rsidRPr="006562D8" w:rsidRDefault="00A4529D" w:rsidP="000B4467">
            <w:pPr>
              <w:pStyle w:val="TableText0"/>
              <w:keepNext/>
              <w:keepLines/>
              <w:rPr>
                <w:lang w:val="en-AU"/>
              </w:rPr>
            </w:pPr>
            <w:r w:rsidRPr="006562D8">
              <w:rPr>
                <w:lang w:val="en-AU"/>
              </w:rPr>
              <w:t>R, OL, DB, MC, placebo-controlled study; 12 weeks</w:t>
            </w:r>
          </w:p>
        </w:tc>
        <w:tc>
          <w:tcPr>
            <w:tcW w:w="472" w:type="pct"/>
            <w:vAlign w:val="center"/>
          </w:tcPr>
          <w:p w14:paraId="4D2C258F" w14:textId="77777777" w:rsidR="00A4529D" w:rsidRPr="006562D8" w:rsidRDefault="00A4529D" w:rsidP="000B4467">
            <w:pPr>
              <w:pStyle w:val="TableText0"/>
              <w:keepNext/>
              <w:keepLines/>
              <w:jc w:val="center"/>
              <w:rPr>
                <w:lang w:val="en-AU"/>
              </w:rPr>
            </w:pPr>
            <w:r w:rsidRPr="006562D8">
              <w:rPr>
                <w:lang w:val="en-AU"/>
              </w:rPr>
              <w:t>Low</w:t>
            </w:r>
          </w:p>
        </w:tc>
        <w:tc>
          <w:tcPr>
            <w:tcW w:w="786" w:type="pct"/>
            <w:vAlign w:val="center"/>
          </w:tcPr>
          <w:p w14:paraId="31A9BBA3" w14:textId="77777777" w:rsidR="00A4529D" w:rsidRPr="006562D8" w:rsidRDefault="00A4529D" w:rsidP="000B4467">
            <w:pPr>
              <w:pStyle w:val="TableText0"/>
              <w:keepNext/>
              <w:keepLines/>
              <w:rPr>
                <w:lang w:val="en-AU"/>
              </w:rPr>
            </w:pPr>
            <w:r w:rsidRPr="006562D8">
              <w:rPr>
                <w:lang w:val="en-AU"/>
              </w:rPr>
              <w:t>Patients with APDS aged 12</w:t>
            </w:r>
            <w:r w:rsidRPr="006562D8">
              <w:rPr>
                <w:rFonts w:ascii="Arial" w:hAnsi="Arial" w:cs="Arial"/>
                <w:lang w:val="en-AU"/>
              </w:rPr>
              <w:t>‒</w:t>
            </w:r>
            <w:r w:rsidRPr="006562D8">
              <w:rPr>
                <w:lang w:val="en-AU"/>
              </w:rPr>
              <w:t>75 years old</w:t>
            </w:r>
          </w:p>
        </w:tc>
        <w:tc>
          <w:tcPr>
            <w:tcW w:w="1229" w:type="pct"/>
            <w:vAlign w:val="center"/>
          </w:tcPr>
          <w:p w14:paraId="57902A24"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 naïve B cells;</w:t>
            </w:r>
          </w:p>
          <w:p w14:paraId="50AD7D52"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Lymphadenopathy;</w:t>
            </w:r>
          </w:p>
          <w:p w14:paraId="2AAD8F41"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Lymphoproliferation and splenomegaly;</w:t>
            </w:r>
          </w:p>
          <w:p w14:paraId="5F5D69A2"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Safety;</w:t>
            </w:r>
          </w:p>
          <w:p w14:paraId="1DAA4E76"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SF-36</w:t>
            </w:r>
          </w:p>
        </w:tc>
      </w:tr>
      <w:tr w:rsidR="00A4529D" w:rsidRPr="006562D8" w14:paraId="38AEB1C9" w14:textId="77777777" w:rsidTr="00C844EC">
        <w:trPr>
          <w:cantSplit/>
        </w:trPr>
        <w:tc>
          <w:tcPr>
            <w:tcW w:w="644" w:type="pct"/>
            <w:vAlign w:val="center"/>
          </w:tcPr>
          <w:p w14:paraId="3036570E" w14:textId="77777777" w:rsidR="00A4529D" w:rsidRPr="006562D8" w:rsidRDefault="00A4529D" w:rsidP="000B4467">
            <w:pPr>
              <w:pStyle w:val="TableText0"/>
              <w:keepNext/>
              <w:keepLines/>
              <w:rPr>
                <w:lang w:val="en-AU"/>
              </w:rPr>
            </w:pPr>
            <w:r w:rsidRPr="006562D8">
              <w:rPr>
                <w:lang w:val="en-AU"/>
              </w:rPr>
              <w:t>Study 2201E1</w:t>
            </w:r>
          </w:p>
        </w:tc>
        <w:tc>
          <w:tcPr>
            <w:tcW w:w="309" w:type="pct"/>
            <w:vAlign w:val="center"/>
          </w:tcPr>
          <w:p w14:paraId="2FB687C8" w14:textId="77777777" w:rsidR="00A4529D" w:rsidRPr="006562D8" w:rsidRDefault="00A4529D" w:rsidP="000B4467">
            <w:pPr>
              <w:pStyle w:val="TableText0"/>
              <w:keepNext/>
              <w:keepLines/>
              <w:jc w:val="center"/>
              <w:rPr>
                <w:lang w:val="en-AU"/>
              </w:rPr>
            </w:pPr>
            <w:r w:rsidRPr="006562D8">
              <w:rPr>
                <w:lang w:val="en-AU"/>
              </w:rPr>
              <w:t>37</w:t>
            </w:r>
          </w:p>
        </w:tc>
        <w:tc>
          <w:tcPr>
            <w:tcW w:w="1560" w:type="pct"/>
            <w:vAlign w:val="center"/>
          </w:tcPr>
          <w:p w14:paraId="0883D961" w14:textId="77777777" w:rsidR="00A4529D" w:rsidRPr="006562D8" w:rsidRDefault="00A4529D" w:rsidP="000B4467">
            <w:pPr>
              <w:pStyle w:val="TableText0"/>
              <w:keepNext/>
              <w:keepLines/>
              <w:rPr>
                <w:lang w:val="en-AU"/>
              </w:rPr>
            </w:pPr>
            <w:r w:rsidRPr="006562D8">
              <w:rPr>
                <w:lang w:val="en-AU"/>
              </w:rPr>
              <w:t>Phase II, OL, MC, non-randomised; up to 6 years</w:t>
            </w:r>
          </w:p>
        </w:tc>
        <w:tc>
          <w:tcPr>
            <w:tcW w:w="472" w:type="pct"/>
            <w:vAlign w:val="center"/>
          </w:tcPr>
          <w:p w14:paraId="453709EC"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6B84789A" w14:textId="77777777" w:rsidR="00A4529D" w:rsidRPr="006562D8" w:rsidRDefault="00A4529D" w:rsidP="000B4467">
            <w:pPr>
              <w:pStyle w:val="TableText0"/>
              <w:keepNext/>
              <w:keepLines/>
              <w:rPr>
                <w:lang w:val="en-AU"/>
              </w:rPr>
            </w:pPr>
            <w:r w:rsidRPr="006562D8">
              <w:rPr>
                <w:lang w:val="en-AU"/>
              </w:rPr>
              <w:t>Patients with APDS aged 12</w:t>
            </w:r>
            <w:r w:rsidRPr="006562D8">
              <w:rPr>
                <w:rFonts w:ascii="Arial" w:hAnsi="Arial" w:cs="Arial"/>
                <w:lang w:val="en-AU"/>
              </w:rPr>
              <w:t>‒</w:t>
            </w:r>
            <w:r w:rsidRPr="006562D8">
              <w:rPr>
                <w:lang w:val="en-AU"/>
              </w:rPr>
              <w:t>75 years old</w:t>
            </w:r>
          </w:p>
        </w:tc>
        <w:tc>
          <w:tcPr>
            <w:tcW w:w="1229" w:type="pct"/>
            <w:vAlign w:val="center"/>
          </w:tcPr>
          <w:p w14:paraId="54138BED"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Safety;</w:t>
            </w:r>
          </w:p>
          <w:p w14:paraId="0CEBF72A"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 naïve B cells;</w:t>
            </w:r>
          </w:p>
          <w:p w14:paraId="5375C798"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Lymphoproliferation;</w:t>
            </w:r>
          </w:p>
          <w:p w14:paraId="6876FB0B"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Infection frequency;</w:t>
            </w:r>
          </w:p>
          <w:p w14:paraId="3789B342"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SF-36</w:t>
            </w:r>
          </w:p>
        </w:tc>
      </w:tr>
      <w:tr w:rsidR="00A4529D" w:rsidRPr="006562D8" w14:paraId="1981E338" w14:textId="77777777" w:rsidTr="00C844EC">
        <w:trPr>
          <w:cantSplit/>
        </w:trPr>
        <w:tc>
          <w:tcPr>
            <w:tcW w:w="644" w:type="pct"/>
            <w:vAlign w:val="center"/>
          </w:tcPr>
          <w:p w14:paraId="20E73873" w14:textId="77777777" w:rsidR="00A4529D" w:rsidRPr="006562D8" w:rsidRDefault="00A4529D" w:rsidP="000B4467">
            <w:pPr>
              <w:pStyle w:val="TableText0"/>
              <w:keepNext/>
              <w:keepLines/>
              <w:rPr>
                <w:lang w:val="en-AU"/>
              </w:rPr>
            </w:pPr>
            <w:r w:rsidRPr="006562D8">
              <w:rPr>
                <w:lang w:val="en-AU"/>
              </w:rPr>
              <w:t>Whalen 2025</w:t>
            </w:r>
          </w:p>
        </w:tc>
        <w:tc>
          <w:tcPr>
            <w:tcW w:w="309" w:type="pct"/>
            <w:vAlign w:val="center"/>
          </w:tcPr>
          <w:p w14:paraId="616D51BE" w14:textId="2D50E194" w:rsidR="00A4529D" w:rsidRPr="006562D8" w:rsidRDefault="00A4529D" w:rsidP="000B4467">
            <w:pPr>
              <w:pStyle w:val="TableText0"/>
              <w:keepNext/>
              <w:keepLines/>
              <w:jc w:val="center"/>
              <w:rPr>
                <w:lang w:val="en-AU"/>
              </w:rPr>
            </w:pPr>
            <w:r w:rsidRPr="006562D8">
              <w:rPr>
                <w:lang w:val="en-AU"/>
              </w:rPr>
              <w:t>99</w:t>
            </w:r>
            <w:r w:rsidRPr="006562D8">
              <w:rPr>
                <w:vertAlign w:val="superscript"/>
                <w:lang w:val="en-AU"/>
              </w:rPr>
              <w:t>a</w:t>
            </w:r>
          </w:p>
        </w:tc>
        <w:tc>
          <w:tcPr>
            <w:tcW w:w="1560" w:type="pct"/>
            <w:vAlign w:val="center"/>
          </w:tcPr>
          <w:p w14:paraId="39E5C82E" w14:textId="77777777" w:rsidR="00A4529D" w:rsidRPr="006562D8" w:rsidRDefault="00A4529D" w:rsidP="000B4467">
            <w:pPr>
              <w:pStyle w:val="TableText0"/>
              <w:keepNext/>
              <w:keepLines/>
              <w:rPr>
                <w:lang w:val="en-AU"/>
              </w:rPr>
            </w:pPr>
            <w:r w:rsidRPr="006562D8">
              <w:rPr>
                <w:lang w:val="en-AU"/>
              </w:rPr>
              <w:t>Comparison of patients in Study 2201E1 (leniolisib arm) and the ESID-APDS registry (control arm)</w:t>
            </w:r>
          </w:p>
        </w:tc>
        <w:tc>
          <w:tcPr>
            <w:tcW w:w="472" w:type="pct"/>
            <w:vAlign w:val="center"/>
          </w:tcPr>
          <w:p w14:paraId="3F3D649A"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31494442" w14:textId="77777777" w:rsidR="00A4529D" w:rsidRPr="006562D8" w:rsidRDefault="00A4529D" w:rsidP="000B4467">
            <w:pPr>
              <w:pStyle w:val="TableText0"/>
              <w:keepNext/>
              <w:keepLines/>
              <w:rPr>
                <w:lang w:val="en-AU"/>
              </w:rPr>
            </w:pPr>
            <w:r w:rsidRPr="006562D8">
              <w:rPr>
                <w:lang w:val="en-AU"/>
              </w:rPr>
              <w:t>Study 2201E1 and the ESID-APDS registry</w:t>
            </w:r>
          </w:p>
        </w:tc>
        <w:tc>
          <w:tcPr>
            <w:tcW w:w="1229" w:type="pct"/>
            <w:vAlign w:val="center"/>
          </w:tcPr>
          <w:p w14:paraId="62CC696C"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Change in serum IgM levels;</w:t>
            </w:r>
          </w:p>
          <w:p w14:paraId="56F53F15" w14:textId="77777777" w:rsidR="00A4529D" w:rsidRPr="006562D8" w:rsidRDefault="00A4529D" w:rsidP="002F61DF">
            <w:pPr>
              <w:pStyle w:val="TableText0"/>
              <w:keepNext/>
              <w:keepLines/>
              <w:numPr>
                <w:ilvl w:val="0"/>
                <w:numId w:val="20"/>
              </w:numPr>
              <w:ind w:left="160" w:hanging="141"/>
              <w:rPr>
                <w:lang w:val="en-AU"/>
              </w:rPr>
            </w:pPr>
            <w:r w:rsidRPr="006562D8">
              <w:rPr>
                <w:lang w:val="en-AU"/>
              </w:rPr>
              <w:t>Respiratory infections;</w:t>
            </w:r>
          </w:p>
        </w:tc>
      </w:tr>
      <w:tr w:rsidR="00A4529D" w:rsidRPr="006562D8" w14:paraId="69178A7A" w14:textId="77777777" w:rsidTr="00C844EC">
        <w:trPr>
          <w:cantSplit/>
        </w:trPr>
        <w:tc>
          <w:tcPr>
            <w:tcW w:w="644" w:type="pct"/>
            <w:vAlign w:val="center"/>
          </w:tcPr>
          <w:p w14:paraId="26F6A5F9" w14:textId="77777777" w:rsidR="00A4529D" w:rsidRPr="006562D8" w:rsidRDefault="00A4529D" w:rsidP="000B4467">
            <w:pPr>
              <w:pStyle w:val="TableText0"/>
              <w:keepNext/>
              <w:keepLines/>
              <w:rPr>
                <w:lang w:val="en-AU"/>
              </w:rPr>
            </w:pPr>
            <w:r w:rsidRPr="006562D8">
              <w:rPr>
                <w:i/>
                <w:iCs/>
                <w:lang w:val="en-AU"/>
              </w:rPr>
              <w:t>Post hoc</w:t>
            </w:r>
            <w:r w:rsidRPr="006562D8">
              <w:rPr>
                <w:lang w:val="en-AU"/>
              </w:rPr>
              <w:t xml:space="preserve"> analysis A</w:t>
            </w:r>
          </w:p>
        </w:tc>
        <w:tc>
          <w:tcPr>
            <w:tcW w:w="309" w:type="pct"/>
            <w:vAlign w:val="center"/>
          </w:tcPr>
          <w:p w14:paraId="5F4A17FF" w14:textId="77777777" w:rsidR="00A4529D" w:rsidRPr="006562D8" w:rsidRDefault="00A4529D" w:rsidP="000B4467">
            <w:pPr>
              <w:pStyle w:val="TableText0"/>
              <w:keepNext/>
              <w:keepLines/>
              <w:jc w:val="center"/>
              <w:rPr>
                <w:lang w:val="en-AU"/>
              </w:rPr>
            </w:pPr>
            <w:r w:rsidRPr="006562D8">
              <w:rPr>
                <w:lang w:val="en-AU"/>
              </w:rPr>
              <w:t>39</w:t>
            </w:r>
          </w:p>
        </w:tc>
        <w:tc>
          <w:tcPr>
            <w:tcW w:w="1560" w:type="pct"/>
            <w:vAlign w:val="center"/>
          </w:tcPr>
          <w:p w14:paraId="388789F9" w14:textId="77777777" w:rsidR="00A4529D" w:rsidRPr="006562D8" w:rsidRDefault="00A4529D" w:rsidP="000B4467">
            <w:pPr>
              <w:pStyle w:val="TableText0"/>
              <w:keepNext/>
              <w:keepLines/>
              <w:rPr>
                <w:lang w:val="en-AU"/>
              </w:rPr>
            </w:pPr>
            <w:r w:rsidRPr="006562D8">
              <w:rPr>
                <w:i/>
                <w:iCs/>
                <w:lang w:val="en-AU"/>
              </w:rPr>
              <w:t>Post hoc</w:t>
            </w:r>
            <w:r w:rsidRPr="006562D8">
              <w:rPr>
                <w:lang w:val="en-AU"/>
              </w:rPr>
              <w:t xml:space="preserve"> study assessing ‘response rate’, where a responder was a patient whose change from baseline exceeded the median MCID estimation reported from a Delphi panel.</w:t>
            </w:r>
          </w:p>
        </w:tc>
        <w:tc>
          <w:tcPr>
            <w:tcW w:w="472" w:type="pct"/>
            <w:vAlign w:val="center"/>
          </w:tcPr>
          <w:p w14:paraId="42C4E45B"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16795B2A" w14:textId="77777777" w:rsidR="00A4529D" w:rsidRPr="006562D8" w:rsidRDefault="00A4529D" w:rsidP="000B4467">
            <w:pPr>
              <w:pStyle w:val="TableText0"/>
              <w:keepNext/>
              <w:keepLines/>
              <w:rPr>
                <w:lang w:val="en-AU"/>
              </w:rPr>
            </w:pPr>
            <w:r w:rsidRPr="006562D8">
              <w:rPr>
                <w:lang w:val="en-AU"/>
              </w:rPr>
              <w:t>Study 2201 Part II and Study 2201E1</w:t>
            </w:r>
          </w:p>
        </w:tc>
        <w:tc>
          <w:tcPr>
            <w:tcW w:w="1229" w:type="pct"/>
            <w:vAlign w:val="center"/>
          </w:tcPr>
          <w:p w14:paraId="48AB2782" w14:textId="77777777" w:rsidR="00A4529D" w:rsidRPr="006562D8" w:rsidRDefault="00A4529D" w:rsidP="000B4467">
            <w:pPr>
              <w:pStyle w:val="TableText0"/>
              <w:keepNext/>
              <w:keepLines/>
              <w:rPr>
                <w:lang w:val="en-AU"/>
              </w:rPr>
            </w:pPr>
            <w:r w:rsidRPr="006562D8">
              <w:rPr>
                <w:lang w:val="en-AU"/>
              </w:rPr>
              <w:t xml:space="preserve">Responders for improvement in </w:t>
            </w:r>
            <w:r w:rsidRPr="006562D8">
              <w:rPr>
                <w:szCs w:val="20"/>
                <w:lang w:val="en-AU"/>
              </w:rPr>
              <w:t>lymph node size, spleen volume, % of naïve to total B-cell ratio, haemoglobin, platelets and lymphocytes.</w:t>
            </w:r>
          </w:p>
        </w:tc>
      </w:tr>
      <w:tr w:rsidR="00A4529D" w:rsidRPr="006562D8" w14:paraId="3FB22251" w14:textId="77777777" w:rsidTr="00C844EC">
        <w:trPr>
          <w:cantSplit/>
        </w:trPr>
        <w:tc>
          <w:tcPr>
            <w:tcW w:w="644" w:type="pct"/>
            <w:vAlign w:val="center"/>
          </w:tcPr>
          <w:p w14:paraId="47286BDF" w14:textId="77777777" w:rsidR="00A4529D" w:rsidRPr="006562D8" w:rsidRDefault="00A4529D" w:rsidP="000B4467">
            <w:pPr>
              <w:pStyle w:val="TableText0"/>
              <w:keepNext/>
              <w:keepLines/>
              <w:rPr>
                <w:lang w:val="en-AU"/>
              </w:rPr>
            </w:pPr>
            <w:r w:rsidRPr="006562D8">
              <w:rPr>
                <w:i/>
                <w:iCs/>
                <w:lang w:val="en-AU"/>
              </w:rPr>
              <w:t>Post hoc</w:t>
            </w:r>
            <w:r w:rsidRPr="006562D8">
              <w:rPr>
                <w:lang w:val="en-AU"/>
              </w:rPr>
              <w:t xml:space="preserve"> analysis B</w:t>
            </w:r>
          </w:p>
        </w:tc>
        <w:tc>
          <w:tcPr>
            <w:tcW w:w="309" w:type="pct"/>
            <w:vAlign w:val="center"/>
          </w:tcPr>
          <w:p w14:paraId="74BF2605" w14:textId="77777777" w:rsidR="00A4529D" w:rsidRPr="006562D8" w:rsidRDefault="00A4529D" w:rsidP="000B4467">
            <w:pPr>
              <w:pStyle w:val="TableText0"/>
              <w:keepNext/>
              <w:keepLines/>
              <w:jc w:val="center"/>
              <w:rPr>
                <w:lang w:val="en-AU"/>
              </w:rPr>
            </w:pPr>
            <w:r w:rsidRPr="006562D8">
              <w:rPr>
                <w:lang w:val="en-AU"/>
              </w:rPr>
              <w:t>39</w:t>
            </w:r>
          </w:p>
        </w:tc>
        <w:tc>
          <w:tcPr>
            <w:tcW w:w="1560" w:type="pct"/>
            <w:vAlign w:val="center"/>
          </w:tcPr>
          <w:p w14:paraId="6422901D" w14:textId="77777777" w:rsidR="00A4529D" w:rsidRPr="006562D8" w:rsidRDefault="00A4529D" w:rsidP="000B4467">
            <w:pPr>
              <w:pStyle w:val="TableText0"/>
              <w:keepNext/>
              <w:keepLines/>
              <w:rPr>
                <w:lang w:val="en-AU"/>
              </w:rPr>
            </w:pPr>
            <w:r w:rsidRPr="006562D8">
              <w:rPr>
                <w:i/>
                <w:iCs/>
                <w:lang w:val="en-AU"/>
              </w:rPr>
              <w:t>Post hoc</w:t>
            </w:r>
            <w:r w:rsidRPr="006562D8">
              <w:rPr>
                <w:lang w:val="en-AU"/>
              </w:rPr>
              <w:t xml:space="preserve"> study assessing ‘response rate’, where a responder was a patient whose change from baseline exceeded the median MCID estimation reported from a Delphi panel.</w:t>
            </w:r>
          </w:p>
        </w:tc>
        <w:tc>
          <w:tcPr>
            <w:tcW w:w="472" w:type="pct"/>
            <w:vAlign w:val="center"/>
          </w:tcPr>
          <w:p w14:paraId="1CFFA3F2"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1641349D" w14:textId="77777777" w:rsidR="00A4529D" w:rsidRPr="006562D8" w:rsidRDefault="00A4529D" w:rsidP="000B4467">
            <w:pPr>
              <w:pStyle w:val="TableText0"/>
              <w:keepNext/>
              <w:keepLines/>
              <w:rPr>
                <w:lang w:val="en-AU"/>
              </w:rPr>
            </w:pPr>
            <w:r w:rsidRPr="006562D8">
              <w:rPr>
                <w:lang w:val="en-AU"/>
              </w:rPr>
              <w:t>Study 2201 Part II and Study 2201E1</w:t>
            </w:r>
          </w:p>
        </w:tc>
        <w:tc>
          <w:tcPr>
            <w:tcW w:w="1229" w:type="pct"/>
            <w:vAlign w:val="center"/>
          </w:tcPr>
          <w:p w14:paraId="5E8C1944" w14:textId="77777777" w:rsidR="00A4529D" w:rsidRPr="006562D8" w:rsidRDefault="00A4529D" w:rsidP="000B4467">
            <w:pPr>
              <w:pStyle w:val="TableText0"/>
              <w:keepNext/>
              <w:keepLines/>
              <w:rPr>
                <w:lang w:val="en-AU"/>
              </w:rPr>
            </w:pPr>
            <w:r w:rsidRPr="006562D8">
              <w:rPr>
                <w:lang w:val="en-AU"/>
              </w:rPr>
              <w:t>Responders for improvement in lymphoproliferation and cytopenia.</w:t>
            </w:r>
          </w:p>
        </w:tc>
      </w:tr>
      <w:tr w:rsidR="00A4529D" w:rsidRPr="006562D8" w14:paraId="6D0F86D5" w14:textId="77777777" w:rsidTr="00C844EC">
        <w:trPr>
          <w:cantSplit/>
        </w:trPr>
        <w:tc>
          <w:tcPr>
            <w:tcW w:w="644" w:type="pct"/>
            <w:vAlign w:val="center"/>
          </w:tcPr>
          <w:p w14:paraId="2FDB4462" w14:textId="77777777" w:rsidR="00A4529D" w:rsidRPr="006562D8" w:rsidRDefault="00A4529D" w:rsidP="000B4467">
            <w:pPr>
              <w:pStyle w:val="TableText0"/>
              <w:keepNext/>
              <w:keepLines/>
              <w:rPr>
                <w:lang w:val="en-AU"/>
              </w:rPr>
            </w:pPr>
            <w:r w:rsidRPr="006562D8">
              <w:rPr>
                <w:lang w:val="en-AU"/>
              </w:rPr>
              <w:t>Supplementary analysis IA2</w:t>
            </w:r>
          </w:p>
        </w:tc>
        <w:tc>
          <w:tcPr>
            <w:tcW w:w="309" w:type="pct"/>
            <w:vAlign w:val="center"/>
          </w:tcPr>
          <w:p w14:paraId="09DB3DF8" w14:textId="77777777" w:rsidR="00A4529D" w:rsidRPr="006562D8" w:rsidRDefault="00A4529D" w:rsidP="000B4467">
            <w:pPr>
              <w:pStyle w:val="TableText0"/>
              <w:keepNext/>
              <w:keepLines/>
              <w:jc w:val="center"/>
              <w:rPr>
                <w:lang w:val="en-AU"/>
              </w:rPr>
            </w:pPr>
            <w:r w:rsidRPr="006562D8">
              <w:rPr>
                <w:lang w:val="en-AU"/>
              </w:rPr>
              <w:t>39</w:t>
            </w:r>
          </w:p>
        </w:tc>
        <w:tc>
          <w:tcPr>
            <w:tcW w:w="1560" w:type="pct"/>
            <w:vAlign w:val="center"/>
          </w:tcPr>
          <w:p w14:paraId="3AE508D1" w14:textId="4CD12EB7" w:rsidR="00A4529D" w:rsidRPr="006562D8" w:rsidRDefault="00A4529D" w:rsidP="000B4467">
            <w:pPr>
              <w:pStyle w:val="TableText0"/>
              <w:keepNext/>
              <w:keepLines/>
              <w:rPr>
                <w:i/>
                <w:iCs/>
                <w:lang w:val="en-AU"/>
              </w:rPr>
            </w:pPr>
            <w:r w:rsidRPr="006562D8">
              <w:rPr>
                <w:i/>
                <w:iCs/>
                <w:lang w:val="en-AU"/>
              </w:rPr>
              <w:t>Post hoc</w:t>
            </w:r>
            <w:r w:rsidRPr="006562D8">
              <w:rPr>
                <w:lang w:val="en-AU"/>
              </w:rPr>
              <w:t xml:space="preserve"> study assessing ‘response rate’.</w:t>
            </w:r>
            <w:r w:rsidRPr="006562D8">
              <w:rPr>
                <w:vertAlign w:val="superscript"/>
                <w:lang w:val="en-AU"/>
              </w:rPr>
              <w:t>b</w:t>
            </w:r>
          </w:p>
        </w:tc>
        <w:tc>
          <w:tcPr>
            <w:tcW w:w="472" w:type="pct"/>
            <w:vAlign w:val="center"/>
          </w:tcPr>
          <w:p w14:paraId="7F901CD4"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56AEE83A" w14:textId="77777777" w:rsidR="00A4529D" w:rsidRPr="006562D8" w:rsidRDefault="00A4529D" w:rsidP="000B4467">
            <w:pPr>
              <w:pStyle w:val="TableText0"/>
              <w:keepNext/>
              <w:keepLines/>
              <w:rPr>
                <w:lang w:val="en-AU"/>
              </w:rPr>
            </w:pPr>
            <w:r w:rsidRPr="006562D8">
              <w:rPr>
                <w:lang w:val="en-AU"/>
              </w:rPr>
              <w:t>Study 2201 Parts I and II and Study 2201E1</w:t>
            </w:r>
          </w:p>
        </w:tc>
        <w:tc>
          <w:tcPr>
            <w:tcW w:w="1229" w:type="pct"/>
            <w:vAlign w:val="center"/>
          </w:tcPr>
          <w:p w14:paraId="0F0FD29D" w14:textId="00EADA42" w:rsidR="00A4529D" w:rsidRPr="006562D8" w:rsidRDefault="00A4529D" w:rsidP="000B4467">
            <w:pPr>
              <w:pStyle w:val="TableText0"/>
              <w:keepNext/>
              <w:keepLines/>
              <w:rPr>
                <w:lang w:val="en-AU"/>
              </w:rPr>
            </w:pPr>
            <w:r w:rsidRPr="006562D8">
              <w:rPr>
                <w:lang w:val="en-AU"/>
              </w:rPr>
              <w:t>Responders for SF-36 subscales.</w:t>
            </w:r>
            <w:r w:rsidR="000E7AEE" w:rsidRPr="006562D8">
              <w:rPr>
                <w:lang w:val="en-AU"/>
              </w:rPr>
              <w:t xml:space="preserve"> </w:t>
            </w:r>
            <w:r w:rsidRPr="006562D8">
              <w:rPr>
                <w:vertAlign w:val="superscript"/>
                <w:lang w:val="en-AU"/>
              </w:rPr>
              <w:t>b</w:t>
            </w:r>
          </w:p>
        </w:tc>
      </w:tr>
      <w:tr w:rsidR="00A4529D" w:rsidRPr="006562D8" w14:paraId="31E6ACAD" w14:textId="77777777" w:rsidTr="00C844EC">
        <w:trPr>
          <w:cantSplit/>
        </w:trPr>
        <w:tc>
          <w:tcPr>
            <w:tcW w:w="644" w:type="pct"/>
            <w:vAlign w:val="center"/>
          </w:tcPr>
          <w:p w14:paraId="07B48342" w14:textId="16BFF447" w:rsidR="00A4529D" w:rsidRPr="006562D8" w:rsidRDefault="006C3F32" w:rsidP="000B4467">
            <w:pPr>
              <w:pStyle w:val="TableText0"/>
              <w:keepNext/>
              <w:keepLines/>
              <w:rPr>
                <w:lang w:val="en-AU"/>
              </w:rPr>
            </w:pPr>
            <w:r w:rsidRPr="006C3F32">
              <w:rPr>
                <w:lang w:val="en-AU"/>
              </w:rPr>
              <w:t>Tutein Nolthenius</w:t>
            </w:r>
            <w:r w:rsidR="00A4529D" w:rsidRPr="006562D8">
              <w:rPr>
                <w:lang w:val="en-AU"/>
              </w:rPr>
              <w:t xml:space="preserve"> 2025 (unpublished manuscript)</w:t>
            </w:r>
          </w:p>
        </w:tc>
        <w:tc>
          <w:tcPr>
            <w:tcW w:w="309" w:type="pct"/>
            <w:vAlign w:val="center"/>
          </w:tcPr>
          <w:p w14:paraId="331C216A" w14:textId="77777777" w:rsidR="00A4529D" w:rsidRPr="006562D8" w:rsidRDefault="00A4529D" w:rsidP="000B4467">
            <w:pPr>
              <w:pStyle w:val="TableText0"/>
              <w:keepNext/>
              <w:keepLines/>
              <w:jc w:val="center"/>
              <w:rPr>
                <w:lang w:val="en-AU"/>
              </w:rPr>
            </w:pPr>
            <w:r w:rsidRPr="006562D8">
              <w:rPr>
                <w:lang w:val="en-AU"/>
              </w:rPr>
              <w:t>39</w:t>
            </w:r>
          </w:p>
        </w:tc>
        <w:tc>
          <w:tcPr>
            <w:tcW w:w="1560" w:type="pct"/>
            <w:vAlign w:val="center"/>
          </w:tcPr>
          <w:p w14:paraId="593AC050" w14:textId="77777777" w:rsidR="00A4529D" w:rsidRPr="006562D8" w:rsidRDefault="00A4529D" w:rsidP="000B4467">
            <w:pPr>
              <w:pStyle w:val="TableText0"/>
              <w:keepNext/>
              <w:keepLines/>
              <w:rPr>
                <w:lang w:val="en-AU"/>
              </w:rPr>
            </w:pPr>
            <w:r w:rsidRPr="006562D8">
              <w:rPr>
                <w:i/>
                <w:iCs/>
                <w:lang w:val="en-AU"/>
              </w:rPr>
              <w:t>Post hoc</w:t>
            </w:r>
            <w:r w:rsidRPr="006562D8">
              <w:rPr>
                <w:lang w:val="en-AU"/>
              </w:rPr>
              <w:t xml:space="preserve"> study comparing Study 2201E1 (leniolisib population) vs the APDS-ESID registry (SoC population)</w:t>
            </w:r>
          </w:p>
        </w:tc>
        <w:tc>
          <w:tcPr>
            <w:tcW w:w="472" w:type="pct"/>
            <w:vAlign w:val="center"/>
          </w:tcPr>
          <w:p w14:paraId="3DF0B0FA" w14:textId="77777777" w:rsidR="00A4529D" w:rsidRPr="006562D8" w:rsidRDefault="00A4529D" w:rsidP="000B4467">
            <w:pPr>
              <w:pStyle w:val="TableText0"/>
              <w:keepNext/>
              <w:keepLines/>
              <w:jc w:val="center"/>
              <w:rPr>
                <w:lang w:val="en-AU"/>
              </w:rPr>
            </w:pPr>
            <w:r w:rsidRPr="006562D8">
              <w:rPr>
                <w:lang w:val="en-AU"/>
              </w:rPr>
              <w:t>High</w:t>
            </w:r>
          </w:p>
        </w:tc>
        <w:tc>
          <w:tcPr>
            <w:tcW w:w="786" w:type="pct"/>
            <w:vAlign w:val="center"/>
          </w:tcPr>
          <w:p w14:paraId="55C24095" w14:textId="77777777" w:rsidR="00A4529D" w:rsidRPr="006562D8" w:rsidRDefault="00A4529D" w:rsidP="000B4467">
            <w:pPr>
              <w:pStyle w:val="TableText0"/>
              <w:keepNext/>
              <w:keepLines/>
              <w:rPr>
                <w:lang w:val="en-AU"/>
              </w:rPr>
            </w:pPr>
            <w:r w:rsidRPr="006562D8">
              <w:rPr>
                <w:lang w:val="en-AU"/>
              </w:rPr>
              <w:t>Study 2201E1 and the ESID-APDS registry</w:t>
            </w:r>
          </w:p>
        </w:tc>
        <w:tc>
          <w:tcPr>
            <w:tcW w:w="1229" w:type="pct"/>
            <w:vAlign w:val="center"/>
          </w:tcPr>
          <w:p w14:paraId="18348533" w14:textId="77777777" w:rsidR="00A4529D" w:rsidRPr="006562D8" w:rsidRDefault="00A4529D" w:rsidP="000B4467">
            <w:pPr>
              <w:pStyle w:val="TableText0"/>
              <w:keepNext/>
              <w:keepLines/>
              <w:rPr>
                <w:lang w:val="en-AU"/>
              </w:rPr>
            </w:pPr>
            <w:r w:rsidRPr="006562D8">
              <w:rPr>
                <w:lang w:val="en-AU"/>
              </w:rPr>
              <w:t>Associations between short-term disease activity endpoints and longer-term clinical outcomes.</w:t>
            </w:r>
          </w:p>
        </w:tc>
      </w:tr>
    </w:tbl>
    <w:p w14:paraId="797B36B2" w14:textId="742C4D8D" w:rsidR="00A4529D" w:rsidRPr="006562D8" w:rsidRDefault="00A4529D" w:rsidP="00A4529D">
      <w:pPr>
        <w:pStyle w:val="FooterTableFigure"/>
        <w:keepNext/>
        <w:keepLines/>
        <w:rPr>
          <w:sz w:val="20"/>
        </w:rPr>
      </w:pPr>
      <w:r w:rsidRPr="006562D8">
        <w:t xml:space="preserve">APDS = activated phosphoinositide 3-kinase delta (PI3Kδ) syndrome; DB = double blind; ESID = European Society for Immunodeficiencies; </w:t>
      </w:r>
      <w:r w:rsidR="00736A31" w:rsidRPr="006562D8">
        <w:t xml:space="preserve">Ig = immunoglobulin; </w:t>
      </w:r>
      <w:r w:rsidRPr="006562D8">
        <w:t>MC = multi-centre; MCID = minimal clinically important difference; OL = open label; R = randomised.</w:t>
      </w:r>
    </w:p>
    <w:p w14:paraId="06EE404E" w14:textId="77777777" w:rsidR="00A4529D" w:rsidRPr="006562D8" w:rsidRDefault="00A4529D" w:rsidP="00A4529D">
      <w:pPr>
        <w:pStyle w:val="FooterTableFigure"/>
        <w:keepNext/>
        <w:keepLines/>
      </w:pPr>
      <w:r w:rsidRPr="00FF551F">
        <w:rPr>
          <w:rFonts w:eastAsiaTheme="minorEastAsia"/>
          <w:color w:val="000000" w:themeColor="text1"/>
          <w:vertAlign w:val="superscript"/>
          <w:lang w:eastAsia="ja-JP"/>
        </w:rPr>
        <w:t xml:space="preserve">a </w:t>
      </w:r>
      <w:r w:rsidRPr="006562D8">
        <w:t>Whalen 2025 included all 37 patients from Study 2201E1 (leniolisib arm) and 62 and 49 patients from the ESID-APDS Registry (control arm) for analysis of respiratory tract infections and serum IgM levels, respectively.</w:t>
      </w:r>
    </w:p>
    <w:p w14:paraId="7D25AAB4" w14:textId="77777777" w:rsidR="00A4529D" w:rsidRPr="006562D8" w:rsidRDefault="00A4529D" w:rsidP="00A4529D">
      <w:pPr>
        <w:pStyle w:val="FooterTableFigure"/>
        <w:keepNext/>
        <w:keepLines/>
      </w:pPr>
      <w:r w:rsidRPr="00FF551F">
        <w:rPr>
          <w:rFonts w:eastAsiaTheme="minorEastAsia"/>
          <w:color w:val="000000" w:themeColor="text1"/>
          <w:vertAlign w:val="superscript"/>
          <w:lang w:eastAsia="ja-JP"/>
        </w:rPr>
        <w:t xml:space="preserve">b </w:t>
      </w:r>
      <w:r w:rsidRPr="006562D8">
        <w:t>Further details were unclear as details were not provided in submission.</w:t>
      </w:r>
    </w:p>
    <w:p w14:paraId="2912A857" w14:textId="77777777" w:rsidR="00A4529D" w:rsidRPr="006562D8" w:rsidRDefault="00A4529D" w:rsidP="00A4529D">
      <w:pPr>
        <w:pStyle w:val="FooterTableFigure"/>
        <w:keepNext/>
        <w:keepLines/>
      </w:pPr>
      <w:r w:rsidRPr="006562D8">
        <w:t>Source: Section 2.4 of the submission.</w:t>
      </w:r>
    </w:p>
    <w:p w14:paraId="4BD0C947" w14:textId="0BF6D72A" w:rsidR="00A4529D" w:rsidRPr="0031419F" w:rsidRDefault="00A4529D" w:rsidP="00A4529D">
      <w:pPr>
        <w:pStyle w:val="3-BodyText"/>
        <w:spacing w:before="0" w:after="120"/>
      </w:pPr>
      <w:r w:rsidRPr="0031419F">
        <w:t xml:space="preserve">The risk of bias in Study 2201 Part I and 2201E1 were considered to be high due to risk of bias from measurement of the outcome because all patients were known to have received leniolisib and there is potential for a higher risk of bias regarding the generalisability of patients to the wider APDS population due to the small number patients enrolled in the studies. The risk of bias of Whalen 2025 was considered high as there was potential risk of bias in selection of participants into the study and in measurement of the outcome because the study compared data from two different studies (Study 2201E1 and the ESID-APDS registry). The risk of bias </w:t>
      </w:r>
      <w:r w:rsidR="00800706" w:rsidRPr="0031419F">
        <w:t xml:space="preserve">for </w:t>
      </w:r>
      <w:r w:rsidRPr="0031419F">
        <w:t xml:space="preserve">all the included post hoc analyses </w:t>
      </w:r>
      <w:r w:rsidR="001E744A" w:rsidRPr="0031419F">
        <w:t xml:space="preserve">was </w:t>
      </w:r>
      <w:r w:rsidRPr="0031419F">
        <w:t xml:space="preserve">considered high. These studies may be associated with numerous types of bias due to confounding, selection of participants into the study, missing data and the selection of the reported results. </w:t>
      </w:r>
    </w:p>
    <w:p w14:paraId="23C6810F" w14:textId="13DCFF32" w:rsidR="00A4529D" w:rsidRPr="0031419F" w:rsidRDefault="00A4529D" w:rsidP="00A4529D">
      <w:pPr>
        <w:pStyle w:val="3-BodyText"/>
        <w:spacing w:before="0" w:after="120"/>
      </w:pPr>
      <w:r w:rsidRPr="0031419F">
        <w:t>Post hoc analyses A and B were responder analyses based on response thresholds derived from a Delphi panel with 24 clinicians with experience in managing patients with APDS or primary immunodeficiency disorder (PID) in Europe or the US. The Delphi panel first aimed to gather consensus on treatment outcomes that are important in determining how well a new treatment is working in APDS. The final outcomes with consensus were lymphoproliferation (including lymph node size and spleen volume), naïve B-cell count and cytopenia (including haemoglobin levels, platelet count and lymphocyte count). For these outcomes, consensus was then gathered on the amount of improvement that “you would consider clinically meaningful” or “the smallest improvement on each outcome that you would consider to be meaningful or important”, i.e. a minimum clinically important difference (MICD). These MCID estimations were then used to assess the results of Study 2201 Part II and Study 2201E1 to determine the proportion of patients who were considered to be responders for each outcome.</w:t>
      </w:r>
    </w:p>
    <w:p w14:paraId="1151F53E" w14:textId="06DC375F" w:rsidR="00A4529D" w:rsidRPr="0031419F" w:rsidRDefault="00A4529D" w:rsidP="00A4529D">
      <w:pPr>
        <w:pStyle w:val="3-BodyText"/>
        <w:spacing w:before="0" w:after="120"/>
      </w:pPr>
      <w:r w:rsidRPr="0031419F">
        <w:t xml:space="preserve">The submission relied on a wide range of clinical inputs in the economic model. However, not all of them were reported directly in the included studies and required further manipulation of the data and as such, were not discussed under comparative effectiveness or comparative harms but instead will be discussed under </w:t>
      </w:r>
      <w:r w:rsidR="000F06E0" w:rsidRPr="0031419F">
        <w:t xml:space="preserve">the </w:t>
      </w:r>
      <w:r w:rsidRPr="0031419F">
        <w:t xml:space="preserve">economic analysis </w:t>
      </w:r>
      <w:r w:rsidR="000F06E0" w:rsidRPr="0031419F">
        <w:t xml:space="preserve">section </w:t>
      </w:r>
      <w:r w:rsidRPr="0031419F">
        <w:t>below. These outcomes include:</w:t>
      </w:r>
    </w:p>
    <w:p w14:paraId="103A085E" w14:textId="77777777" w:rsidR="00A4529D" w:rsidRPr="0031419F" w:rsidRDefault="00A4529D" w:rsidP="002F61DF">
      <w:pPr>
        <w:pStyle w:val="3-BodyText"/>
        <w:numPr>
          <w:ilvl w:val="0"/>
          <w:numId w:val="22"/>
        </w:numPr>
        <w:spacing w:after="120"/>
      </w:pPr>
      <w:r w:rsidRPr="0031419F">
        <w:t>Manifestation rates for lymphoproliferation, gastrointestinal manifestations, cytopenia, infections, malignancies, bronchiectasis-associated airway disease, advanced lung disease and hearing loss;</w:t>
      </w:r>
    </w:p>
    <w:p w14:paraId="1D5FC482" w14:textId="77777777" w:rsidR="00A4529D" w:rsidRPr="0031419F" w:rsidRDefault="00A4529D" w:rsidP="002F61DF">
      <w:pPr>
        <w:pStyle w:val="3-BodyText"/>
        <w:numPr>
          <w:ilvl w:val="0"/>
          <w:numId w:val="22"/>
        </w:numPr>
        <w:spacing w:after="120"/>
      </w:pPr>
      <w:r w:rsidRPr="0031419F">
        <w:t>Treatment discontinuation rates; and</w:t>
      </w:r>
    </w:p>
    <w:p w14:paraId="7E027834" w14:textId="724BF9F0" w:rsidR="00A4529D" w:rsidRPr="0031419F" w:rsidRDefault="00A4529D" w:rsidP="002F61DF">
      <w:pPr>
        <w:pStyle w:val="3-BodyText"/>
        <w:numPr>
          <w:ilvl w:val="0"/>
          <w:numId w:val="22"/>
        </w:numPr>
        <w:spacing w:before="0" w:after="120"/>
      </w:pPr>
      <w:r w:rsidRPr="0031419F">
        <w:t>Mortality</w:t>
      </w:r>
      <w:r w:rsidR="00FF60FC" w:rsidRPr="0031419F">
        <w:t>.</w:t>
      </w:r>
    </w:p>
    <w:p w14:paraId="3FCA5FF2" w14:textId="77777777" w:rsidR="00A4529D" w:rsidRPr="006562D8" w:rsidRDefault="00A4529D" w:rsidP="00A4529D">
      <w:pPr>
        <w:pStyle w:val="4-SubsectionHeading"/>
      </w:pPr>
      <w:bookmarkStart w:id="19" w:name="_Toc198725887"/>
      <w:r w:rsidRPr="006562D8">
        <w:t>Comparative effectiveness</w:t>
      </w:r>
      <w:bookmarkEnd w:id="19"/>
    </w:p>
    <w:p w14:paraId="51CFA6E5" w14:textId="47C54895" w:rsidR="00A4529D" w:rsidRPr="0031419F" w:rsidRDefault="00A4529D" w:rsidP="00A4529D">
      <w:pPr>
        <w:pStyle w:val="3-BodyText"/>
        <w:spacing w:before="0" w:after="120"/>
      </w:pPr>
      <w:r w:rsidRPr="0031419F">
        <w:t>Leniolisib met the co-primary endpoint of Study 2201 Part II, with a statistically significant increase from baseline to Week 12 (Day 85) in naïve B cells as a percentage of total B cells in participants with fewer than 48% naïve B cells out of total B cells at baseline, i.e. the B-PD analysis set (</w:t>
      </w:r>
      <w:r w:rsidRPr="0031419F">
        <w:fldChar w:fldCharType="begin" w:fldLock="1"/>
      </w:r>
      <w:r w:rsidRPr="0031419F">
        <w:instrText xml:space="preserve"> REF _Ref195993190 \h </w:instrText>
      </w:r>
      <w:r w:rsidR="0031419F" w:rsidRPr="0031419F">
        <w:instrText xml:space="preserve"> \* MERGEFORMAT </w:instrText>
      </w:r>
      <w:r w:rsidRPr="0031419F">
        <w:fldChar w:fldCharType="separate"/>
      </w:r>
      <w:r w:rsidR="00C34379" w:rsidRPr="0031419F">
        <w:t xml:space="preserve">Table </w:t>
      </w:r>
      <w:r w:rsidR="00C34379">
        <w:rPr>
          <w:noProof/>
        </w:rPr>
        <w:t>4</w:t>
      </w:r>
      <w:r w:rsidRPr="0031419F">
        <w:fldChar w:fldCharType="end"/>
      </w:r>
      <w:r w:rsidRPr="0031419F">
        <w:t>). While the results indicate that leniolisib treatment resulted in a significant increase in naïve B cells as a percentage of total B cells, this analysis was underpowered due to the inclusion of fewer patients than anticipated. Consequently, the magnitude of these results should be interpreted with caution.</w:t>
      </w:r>
    </w:p>
    <w:p w14:paraId="2642932F" w14:textId="73B16CF1" w:rsidR="00A4529D" w:rsidRPr="0031419F" w:rsidRDefault="00A4529D" w:rsidP="00B52D08">
      <w:pPr>
        <w:pStyle w:val="Caption"/>
      </w:pPr>
      <w:bookmarkStart w:id="20" w:name="_Ref195993190"/>
      <w:r w:rsidRPr="0031419F">
        <w:t xml:space="preserve">Table </w:t>
      </w:r>
      <w:r w:rsidR="00C34379">
        <w:fldChar w:fldCharType="begin" w:fldLock="1"/>
      </w:r>
      <w:r w:rsidR="00C34379">
        <w:instrText xml:space="preserve"> SEQ Table \* ARABIC </w:instrText>
      </w:r>
      <w:r w:rsidR="00C34379">
        <w:fldChar w:fldCharType="separate"/>
      </w:r>
      <w:r w:rsidR="00C34379">
        <w:rPr>
          <w:noProof/>
        </w:rPr>
        <w:t>4</w:t>
      </w:r>
      <w:r w:rsidR="00C34379">
        <w:rPr>
          <w:noProof/>
        </w:rPr>
        <w:fldChar w:fldCharType="end"/>
      </w:r>
      <w:bookmarkEnd w:id="20"/>
      <w:r w:rsidRPr="0031419F">
        <w:rPr>
          <w:szCs w:val="28"/>
        </w:rPr>
        <w:t>: N</w:t>
      </w:r>
      <w:r w:rsidRPr="0031419F">
        <w:t>aïve B cells as a % of total B cells, change from baseline at Day 85 (Week 12), Study 2201 Part II</w:t>
      </w:r>
    </w:p>
    <w:tbl>
      <w:tblPr>
        <w:tblStyle w:val="DossierTable1"/>
        <w:tblW w:w="5000" w:type="pct"/>
        <w:tblCellMar>
          <w:left w:w="28" w:type="dxa"/>
          <w:right w:w="28" w:type="dxa"/>
        </w:tblCellMar>
        <w:tblLook w:val="04A0" w:firstRow="1" w:lastRow="0" w:firstColumn="1" w:lastColumn="0" w:noHBand="0" w:noVBand="1"/>
        <w:tblCaption w:val="Table 4: Naïve B cells as a % of total B cells, change from baseline at Day 85 (Week 12), Study 2201 Part II"/>
      </w:tblPr>
      <w:tblGrid>
        <w:gridCol w:w="2511"/>
        <w:gridCol w:w="1541"/>
        <w:gridCol w:w="1260"/>
        <w:gridCol w:w="838"/>
        <w:gridCol w:w="1260"/>
        <w:gridCol w:w="1488"/>
      </w:tblGrid>
      <w:tr w:rsidR="00A4529D" w:rsidRPr="00C844EC" w14:paraId="0990F203" w14:textId="77777777" w:rsidTr="00C844EC">
        <w:trPr>
          <w:cnfStyle w:val="100000000000" w:firstRow="1" w:lastRow="0" w:firstColumn="0" w:lastColumn="0" w:oddVBand="0" w:evenVBand="0" w:oddHBand="0"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1411" w:type="pct"/>
            <w:vMerge w:val="restart"/>
          </w:tcPr>
          <w:p w14:paraId="63152C71" w14:textId="77777777" w:rsidR="00A4529D" w:rsidRPr="00C844EC" w:rsidRDefault="00A4529D" w:rsidP="00C844EC">
            <w:pPr>
              <w:pStyle w:val="In-tableHeading"/>
            </w:pPr>
          </w:p>
        </w:tc>
        <w:tc>
          <w:tcPr>
            <w:tcW w:w="866" w:type="pct"/>
            <w:vMerge w:val="restart"/>
            <w:vAlign w:val="center"/>
          </w:tcPr>
          <w:p w14:paraId="3E56D7FF" w14:textId="77777777" w:rsidR="00A4529D" w:rsidRPr="00C844EC" w:rsidRDefault="00A4529D" w:rsidP="00C844EC">
            <w:pPr>
              <w:pStyle w:val="In-tableHeading"/>
              <w:cnfStyle w:val="100000000000" w:firstRow="1" w:lastRow="0" w:firstColumn="0" w:lastColumn="0" w:oddVBand="0" w:evenVBand="0" w:oddHBand="0" w:evenHBand="0" w:firstRowFirstColumn="0" w:firstRowLastColumn="0" w:lastRowFirstColumn="0" w:lastRowLastColumn="0"/>
            </w:pPr>
            <w:r w:rsidRPr="00C844EC">
              <w:t>Adjusted mean CfB (SE)a</w:t>
            </w:r>
          </w:p>
        </w:tc>
        <w:tc>
          <w:tcPr>
            <w:tcW w:w="2723" w:type="pct"/>
            <w:gridSpan w:val="4"/>
            <w:vAlign w:val="center"/>
          </w:tcPr>
          <w:p w14:paraId="24A92F86" w14:textId="77777777" w:rsidR="00A4529D" w:rsidRPr="00C844EC" w:rsidRDefault="00A4529D" w:rsidP="00C844EC">
            <w:pPr>
              <w:pStyle w:val="In-tableHeading"/>
              <w:cnfStyle w:val="100000000000" w:firstRow="1" w:lastRow="0" w:firstColumn="0" w:lastColumn="0" w:oddVBand="0" w:evenVBand="0" w:oddHBand="0" w:evenHBand="0" w:firstRowFirstColumn="0" w:firstRowLastColumn="0" w:lastRowFirstColumn="0" w:lastRowLastColumn="0"/>
            </w:pPr>
            <w:r w:rsidRPr="00C844EC">
              <w:t>Comparison of adjusted means</w:t>
            </w:r>
          </w:p>
        </w:tc>
      </w:tr>
      <w:tr w:rsidR="00A4529D" w:rsidRPr="0031419F" w14:paraId="436CD583"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1411" w:type="pct"/>
            <w:vMerge/>
          </w:tcPr>
          <w:p w14:paraId="18A117C3" w14:textId="77777777" w:rsidR="00A4529D" w:rsidRPr="0031419F" w:rsidRDefault="00A4529D" w:rsidP="00B52D08">
            <w:pPr>
              <w:pStyle w:val="TableText0"/>
              <w:keepNext/>
              <w:keepLines/>
              <w:rPr>
                <w:lang w:val="en-AU"/>
              </w:rPr>
            </w:pPr>
          </w:p>
        </w:tc>
        <w:tc>
          <w:tcPr>
            <w:tcW w:w="866" w:type="pct"/>
            <w:vMerge/>
            <w:vAlign w:val="center"/>
          </w:tcPr>
          <w:p w14:paraId="77194FEE" w14:textId="77777777" w:rsidR="00A4529D" w:rsidRPr="0031419F" w:rsidRDefault="00A4529D" w:rsidP="00B52D08">
            <w:pPr>
              <w:pStyle w:val="TableText0"/>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708" w:type="pct"/>
            <w:vAlign w:val="center"/>
          </w:tcPr>
          <w:p w14:paraId="211C513A" w14:textId="77777777" w:rsidR="00A4529D" w:rsidRPr="0031419F" w:rsidRDefault="00A4529D" w:rsidP="00B52D08">
            <w:pPr>
              <w:pStyle w:val="In-tableHeading"/>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Difference</w:t>
            </w:r>
          </w:p>
        </w:tc>
        <w:tc>
          <w:tcPr>
            <w:tcW w:w="471" w:type="pct"/>
            <w:vAlign w:val="center"/>
          </w:tcPr>
          <w:p w14:paraId="5664E9F9" w14:textId="77777777" w:rsidR="00A4529D" w:rsidRPr="0031419F" w:rsidRDefault="00A4529D" w:rsidP="00B52D08">
            <w:pPr>
              <w:pStyle w:val="In-tableHeading"/>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SE</w:t>
            </w:r>
          </w:p>
        </w:tc>
        <w:tc>
          <w:tcPr>
            <w:tcW w:w="708" w:type="pct"/>
            <w:vAlign w:val="center"/>
          </w:tcPr>
          <w:p w14:paraId="7870CF5E" w14:textId="77777777" w:rsidR="00A4529D" w:rsidRPr="0031419F" w:rsidRDefault="00A4529D" w:rsidP="00B52D08">
            <w:pPr>
              <w:pStyle w:val="In-tableHeading"/>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95% CI</w:t>
            </w:r>
          </w:p>
        </w:tc>
        <w:tc>
          <w:tcPr>
            <w:tcW w:w="836" w:type="pct"/>
            <w:vAlign w:val="center"/>
          </w:tcPr>
          <w:p w14:paraId="1AD04828" w14:textId="77777777" w:rsidR="00A4529D" w:rsidRPr="0031419F" w:rsidRDefault="00A4529D" w:rsidP="00B52D08">
            <w:pPr>
              <w:pStyle w:val="In-tableHeading"/>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2-sided p-value</w:t>
            </w:r>
          </w:p>
        </w:tc>
      </w:tr>
      <w:tr w:rsidR="00A4529D" w:rsidRPr="0031419F" w14:paraId="7C3C6100" w14:textId="77777777" w:rsidTr="00C844EC">
        <w:trPr>
          <w:trHeight w:val="206"/>
        </w:trPr>
        <w:tc>
          <w:tcPr>
            <w:cnfStyle w:val="001000000000" w:firstRow="0" w:lastRow="0" w:firstColumn="1" w:lastColumn="0" w:oddVBand="0" w:evenVBand="0" w:oddHBand="0" w:evenHBand="0" w:firstRowFirstColumn="0" w:firstRowLastColumn="0" w:lastRowFirstColumn="0" w:lastRowLastColumn="0"/>
            <w:tcW w:w="5000" w:type="pct"/>
            <w:gridSpan w:val="6"/>
          </w:tcPr>
          <w:p w14:paraId="4147D828" w14:textId="77777777" w:rsidR="00A4529D" w:rsidRPr="0031419F" w:rsidRDefault="00A4529D" w:rsidP="00B52D08">
            <w:pPr>
              <w:pStyle w:val="Tabletext"/>
              <w:keepNext/>
              <w:keepLines/>
              <w:rPr>
                <w:b/>
                <w:bCs/>
                <w:lang w:val="en-AU"/>
              </w:rPr>
            </w:pPr>
            <w:r w:rsidRPr="0031419F">
              <w:rPr>
                <w:b/>
                <w:bCs/>
                <w:lang w:val="en-AU"/>
              </w:rPr>
              <w:t>Primary efficacy analysis (B-PD analysis set)</w:t>
            </w:r>
            <w:r w:rsidRPr="0031419F">
              <w:rPr>
                <w:b/>
                <w:bCs/>
                <w:vertAlign w:val="superscript"/>
                <w:lang w:val="en-AU"/>
              </w:rPr>
              <w:t>b</w:t>
            </w:r>
            <w:r w:rsidRPr="0031419F">
              <w:rPr>
                <w:b/>
                <w:bCs/>
                <w:lang w:val="en-AU"/>
              </w:rPr>
              <w:t xml:space="preserve"> – co-primary endpoint</w:t>
            </w:r>
          </w:p>
        </w:tc>
      </w:tr>
      <w:tr w:rsidR="00A4529D" w:rsidRPr="0031419F" w14:paraId="140E7505" w14:textId="77777777" w:rsidTr="00C844EC">
        <w:tc>
          <w:tcPr>
            <w:cnfStyle w:val="001000000000" w:firstRow="0" w:lastRow="0" w:firstColumn="1" w:lastColumn="0" w:oddVBand="0" w:evenVBand="0" w:oddHBand="0" w:evenHBand="0" w:firstRowFirstColumn="0" w:firstRowLastColumn="0" w:lastRowFirstColumn="0" w:lastRowLastColumn="0"/>
            <w:tcW w:w="1411" w:type="pct"/>
          </w:tcPr>
          <w:p w14:paraId="33624179" w14:textId="77777777" w:rsidR="00A4529D" w:rsidRPr="0031419F" w:rsidRDefault="00A4529D" w:rsidP="00B52D08">
            <w:pPr>
              <w:pStyle w:val="Tabletext"/>
              <w:keepNext/>
              <w:keepLines/>
              <w:rPr>
                <w:lang w:val="en-AU"/>
              </w:rPr>
            </w:pPr>
            <w:r w:rsidRPr="0031419F">
              <w:rPr>
                <w:lang w:val="en-AU"/>
              </w:rPr>
              <w:t xml:space="preserve">Leniolisib 70 mg bid (n=8) </w:t>
            </w:r>
          </w:p>
        </w:tc>
        <w:tc>
          <w:tcPr>
            <w:tcW w:w="866" w:type="pct"/>
            <w:vAlign w:val="center"/>
          </w:tcPr>
          <w:p w14:paraId="5B769E31"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37.39 (5.35)</w:t>
            </w:r>
          </w:p>
        </w:tc>
        <w:tc>
          <w:tcPr>
            <w:tcW w:w="708" w:type="pct"/>
            <w:vMerge w:val="restart"/>
            <w:vAlign w:val="center"/>
          </w:tcPr>
          <w:p w14:paraId="709F9278"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37.30</w:t>
            </w:r>
          </w:p>
        </w:tc>
        <w:tc>
          <w:tcPr>
            <w:tcW w:w="471" w:type="pct"/>
            <w:vMerge w:val="restart"/>
            <w:vAlign w:val="center"/>
          </w:tcPr>
          <w:p w14:paraId="34C2E92D"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5.74</w:t>
            </w:r>
          </w:p>
        </w:tc>
        <w:tc>
          <w:tcPr>
            <w:tcW w:w="708" w:type="pct"/>
            <w:vMerge w:val="restart"/>
            <w:vAlign w:val="center"/>
          </w:tcPr>
          <w:p w14:paraId="34782642"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24.06, 50.54</w:t>
            </w:r>
          </w:p>
        </w:tc>
        <w:tc>
          <w:tcPr>
            <w:tcW w:w="836" w:type="pct"/>
            <w:vMerge w:val="restart"/>
            <w:vAlign w:val="center"/>
          </w:tcPr>
          <w:p w14:paraId="006093B0"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0.0002</w:t>
            </w:r>
          </w:p>
        </w:tc>
      </w:tr>
      <w:tr w:rsidR="00A4529D" w:rsidRPr="0031419F" w14:paraId="13307265"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1411" w:type="pct"/>
          </w:tcPr>
          <w:p w14:paraId="09AC0F7F" w14:textId="77777777" w:rsidR="00A4529D" w:rsidRPr="0031419F" w:rsidRDefault="00A4529D" w:rsidP="00B52D08">
            <w:pPr>
              <w:pStyle w:val="Tabletext"/>
              <w:keepNext/>
              <w:keepLines/>
              <w:rPr>
                <w:lang w:val="en-AU"/>
              </w:rPr>
            </w:pPr>
            <w:r w:rsidRPr="0031419F">
              <w:rPr>
                <w:lang w:val="en-AU"/>
              </w:rPr>
              <w:t>Placebo (n=5)</w:t>
            </w:r>
          </w:p>
        </w:tc>
        <w:tc>
          <w:tcPr>
            <w:tcW w:w="866" w:type="pct"/>
          </w:tcPr>
          <w:p w14:paraId="28DB3258"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0.09 (6.66)</w:t>
            </w:r>
          </w:p>
        </w:tc>
        <w:tc>
          <w:tcPr>
            <w:tcW w:w="708" w:type="pct"/>
            <w:vMerge/>
          </w:tcPr>
          <w:p w14:paraId="7C271045" w14:textId="77777777" w:rsidR="00A4529D" w:rsidRPr="0031419F" w:rsidRDefault="00A4529D" w:rsidP="00B52D08">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471" w:type="pct"/>
            <w:vMerge/>
          </w:tcPr>
          <w:p w14:paraId="01A8233A" w14:textId="77777777" w:rsidR="00A4529D" w:rsidRPr="0031419F" w:rsidRDefault="00A4529D" w:rsidP="00B52D08">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708" w:type="pct"/>
            <w:vMerge/>
          </w:tcPr>
          <w:p w14:paraId="2A5C1ACC" w14:textId="77777777" w:rsidR="00A4529D" w:rsidRPr="0031419F" w:rsidRDefault="00A4529D" w:rsidP="00B52D08">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836" w:type="pct"/>
            <w:vMerge/>
          </w:tcPr>
          <w:p w14:paraId="2A7CDCD4" w14:textId="77777777" w:rsidR="00A4529D" w:rsidRPr="0031419F" w:rsidRDefault="00A4529D" w:rsidP="00B52D08">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r>
      <w:tr w:rsidR="00A4529D" w:rsidRPr="0031419F" w14:paraId="790C3485" w14:textId="77777777" w:rsidTr="00C844EC">
        <w:tc>
          <w:tcPr>
            <w:cnfStyle w:val="001000000000" w:firstRow="0" w:lastRow="0" w:firstColumn="1" w:lastColumn="0" w:oddVBand="0" w:evenVBand="0" w:oddHBand="0" w:evenHBand="0" w:firstRowFirstColumn="0" w:firstRowLastColumn="0" w:lastRowFirstColumn="0" w:lastRowLastColumn="0"/>
            <w:tcW w:w="5000" w:type="pct"/>
            <w:gridSpan w:val="6"/>
          </w:tcPr>
          <w:p w14:paraId="44A13F75" w14:textId="77777777" w:rsidR="00A4529D" w:rsidRPr="0031419F" w:rsidRDefault="00A4529D" w:rsidP="00B52D08">
            <w:pPr>
              <w:pStyle w:val="Tabletext"/>
              <w:keepNext/>
              <w:keepLines/>
              <w:rPr>
                <w:lang w:val="en-AU"/>
              </w:rPr>
            </w:pPr>
            <w:r w:rsidRPr="0031419F">
              <w:rPr>
                <w:lang w:val="en-AU"/>
              </w:rPr>
              <w:t xml:space="preserve">Supportive analysis (PD analysis set) </w:t>
            </w:r>
            <w:r w:rsidRPr="0031419F">
              <w:rPr>
                <w:vertAlign w:val="superscript"/>
                <w:lang w:val="en-AU"/>
              </w:rPr>
              <w:t>c</w:t>
            </w:r>
          </w:p>
        </w:tc>
      </w:tr>
      <w:tr w:rsidR="00A4529D" w:rsidRPr="0031419F" w14:paraId="7FA34089" w14:textId="77777777" w:rsidTr="00C844EC">
        <w:tc>
          <w:tcPr>
            <w:cnfStyle w:val="001000000000" w:firstRow="0" w:lastRow="0" w:firstColumn="1" w:lastColumn="0" w:oddVBand="0" w:evenVBand="0" w:oddHBand="0" w:evenHBand="0" w:firstRowFirstColumn="0" w:firstRowLastColumn="0" w:lastRowFirstColumn="0" w:lastRowLastColumn="0"/>
            <w:tcW w:w="1411" w:type="pct"/>
          </w:tcPr>
          <w:p w14:paraId="6447BFB6" w14:textId="77777777" w:rsidR="00A4529D" w:rsidRPr="0031419F" w:rsidRDefault="00A4529D" w:rsidP="00B52D08">
            <w:pPr>
              <w:pStyle w:val="Tabletext"/>
              <w:keepNext/>
              <w:keepLines/>
              <w:rPr>
                <w:lang w:val="en-AU"/>
              </w:rPr>
            </w:pPr>
            <w:r w:rsidRPr="0031419F">
              <w:rPr>
                <w:lang w:val="en-AU"/>
              </w:rPr>
              <w:t xml:space="preserve">Leniolisib 70 mg bid (n=13) </w:t>
            </w:r>
          </w:p>
        </w:tc>
        <w:tc>
          <w:tcPr>
            <w:tcW w:w="866" w:type="pct"/>
            <w:vAlign w:val="center"/>
          </w:tcPr>
          <w:p w14:paraId="2F928A73"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34.70 (5.66)</w:t>
            </w:r>
          </w:p>
        </w:tc>
        <w:tc>
          <w:tcPr>
            <w:tcW w:w="708" w:type="pct"/>
            <w:vMerge w:val="restart"/>
            <w:vAlign w:val="center"/>
          </w:tcPr>
          <w:p w14:paraId="23D635BF"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27.94</w:t>
            </w:r>
          </w:p>
        </w:tc>
        <w:tc>
          <w:tcPr>
            <w:tcW w:w="471" w:type="pct"/>
            <w:vMerge w:val="restart"/>
            <w:vAlign w:val="center"/>
          </w:tcPr>
          <w:p w14:paraId="6BD89D4D"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6.09</w:t>
            </w:r>
          </w:p>
        </w:tc>
        <w:tc>
          <w:tcPr>
            <w:tcW w:w="708" w:type="pct"/>
            <w:vMerge w:val="restart"/>
            <w:vAlign w:val="center"/>
          </w:tcPr>
          <w:p w14:paraId="701786A9"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15.02, 40.85</w:t>
            </w:r>
          </w:p>
        </w:tc>
        <w:tc>
          <w:tcPr>
            <w:tcW w:w="836" w:type="pct"/>
            <w:vMerge w:val="restart"/>
            <w:vAlign w:val="center"/>
          </w:tcPr>
          <w:p w14:paraId="5195EC9E"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0.0003</w:t>
            </w:r>
          </w:p>
        </w:tc>
      </w:tr>
      <w:tr w:rsidR="00A4529D" w:rsidRPr="0031419F" w14:paraId="20C55979" w14:textId="77777777" w:rsidTr="00C844EC">
        <w:tc>
          <w:tcPr>
            <w:cnfStyle w:val="001000000000" w:firstRow="0" w:lastRow="0" w:firstColumn="1" w:lastColumn="0" w:oddVBand="0" w:evenVBand="0" w:oddHBand="0" w:evenHBand="0" w:firstRowFirstColumn="0" w:firstRowLastColumn="0" w:lastRowFirstColumn="0" w:lastRowLastColumn="0"/>
            <w:tcW w:w="1411" w:type="pct"/>
          </w:tcPr>
          <w:p w14:paraId="34EFD17D" w14:textId="77777777" w:rsidR="00A4529D" w:rsidRPr="0031419F" w:rsidRDefault="00A4529D" w:rsidP="00B52D08">
            <w:pPr>
              <w:pStyle w:val="Tabletext"/>
              <w:keepNext/>
              <w:keepLines/>
              <w:rPr>
                <w:lang w:val="en-AU"/>
              </w:rPr>
            </w:pPr>
            <w:r w:rsidRPr="0031419F">
              <w:rPr>
                <w:lang w:val="en-AU"/>
              </w:rPr>
              <w:t>Placebo (n=8)</w:t>
            </w:r>
          </w:p>
        </w:tc>
        <w:tc>
          <w:tcPr>
            <w:tcW w:w="866" w:type="pct"/>
          </w:tcPr>
          <w:p w14:paraId="6F447CDA" w14:textId="77777777" w:rsidR="00A4529D" w:rsidRPr="0031419F" w:rsidRDefault="00A4529D" w:rsidP="00B52D08">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6.76 (5.67)</w:t>
            </w:r>
          </w:p>
        </w:tc>
        <w:tc>
          <w:tcPr>
            <w:tcW w:w="708" w:type="pct"/>
            <w:vMerge/>
          </w:tcPr>
          <w:p w14:paraId="3176AC3C" w14:textId="77777777" w:rsidR="00A4529D" w:rsidRPr="0031419F" w:rsidRDefault="00A4529D" w:rsidP="00B52D08">
            <w:pPr>
              <w:pStyle w:val="TableText0"/>
              <w:keepNext/>
              <w:keepLines/>
              <w:cnfStyle w:val="000000000000" w:firstRow="0" w:lastRow="0" w:firstColumn="0" w:lastColumn="0" w:oddVBand="0" w:evenVBand="0" w:oddHBand="0" w:evenHBand="0" w:firstRowFirstColumn="0" w:firstRowLastColumn="0" w:lastRowFirstColumn="0" w:lastRowLastColumn="0"/>
              <w:rPr>
                <w:szCs w:val="21"/>
                <w:lang w:val="en-AU"/>
              </w:rPr>
            </w:pPr>
          </w:p>
        </w:tc>
        <w:tc>
          <w:tcPr>
            <w:tcW w:w="471" w:type="pct"/>
            <w:vMerge/>
          </w:tcPr>
          <w:p w14:paraId="30BA4926" w14:textId="77777777" w:rsidR="00A4529D" w:rsidRPr="0031419F" w:rsidRDefault="00A4529D" w:rsidP="00B52D08">
            <w:pPr>
              <w:pStyle w:val="TableText0"/>
              <w:keepNext/>
              <w:keepLines/>
              <w:cnfStyle w:val="000000000000" w:firstRow="0" w:lastRow="0" w:firstColumn="0" w:lastColumn="0" w:oddVBand="0" w:evenVBand="0" w:oddHBand="0" w:evenHBand="0" w:firstRowFirstColumn="0" w:firstRowLastColumn="0" w:lastRowFirstColumn="0" w:lastRowLastColumn="0"/>
              <w:rPr>
                <w:szCs w:val="21"/>
                <w:lang w:val="en-AU"/>
              </w:rPr>
            </w:pPr>
          </w:p>
        </w:tc>
        <w:tc>
          <w:tcPr>
            <w:tcW w:w="708" w:type="pct"/>
            <w:vMerge/>
          </w:tcPr>
          <w:p w14:paraId="7594F7FD" w14:textId="77777777" w:rsidR="00A4529D" w:rsidRPr="0031419F" w:rsidRDefault="00A4529D" w:rsidP="00B52D08">
            <w:pPr>
              <w:pStyle w:val="TableText0"/>
              <w:keepNext/>
              <w:keepLines/>
              <w:cnfStyle w:val="000000000000" w:firstRow="0" w:lastRow="0" w:firstColumn="0" w:lastColumn="0" w:oddVBand="0" w:evenVBand="0" w:oddHBand="0" w:evenHBand="0" w:firstRowFirstColumn="0" w:firstRowLastColumn="0" w:lastRowFirstColumn="0" w:lastRowLastColumn="0"/>
              <w:rPr>
                <w:szCs w:val="21"/>
                <w:lang w:val="en-AU"/>
              </w:rPr>
            </w:pPr>
          </w:p>
        </w:tc>
        <w:tc>
          <w:tcPr>
            <w:tcW w:w="836" w:type="pct"/>
            <w:vMerge/>
          </w:tcPr>
          <w:p w14:paraId="6EFAA629" w14:textId="77777777" w:rsidR="00A4529D" w:rsidRPr="0031419F" w:rsidRDefault="00A4529D" w:rsidP="00B52D08">
            <w:pPr>
              <w:pStyle w:val="TableText0"/>
              <w:keepNext/>
              <w:keepLines/>
              <w:cnfStyle w:val="000000000000" w:firstRow="0" w:lastRow="0" w:firstColumn="0" w:lastColumn="0" w:oddVBand="0" w:evenVBand="0" w:oddHBand="0" w:evenHBand="0" w:firstRowFirstColumn="0" w:firstRowLastColumn="0" w:lastRowFirstColumn="0" w:lastRowLastColumn="0"/>
              <w:rPr>
                <w:szCs w:val="21"/>
                <w:lang w:val="en-AU"/>
              </w:rPr>
            </w:pPr>
          </w:p>
        </w:tc>
      </w:tr>
    </w:tbl>
    <w:p w14:paraId="4E06440F" w14:textId="5F5288F9" w:rsidR="00A4529D" w:rsidRPr="0031419F" w:rsidRDefault="00A4529D" w:rsidP="00B52D08">
      <w:pPr>
        <w:pStyle w:val="TableFigureFooter"/>
        <w:keepNext/>
        <w:rPr>
          <w:lang w:val="en-AU"/>
        </w:rPr>
      </w:pPr>
      <w:r w:rsidRPr="0031419F">
        <w:rPr>
          <w:lang w:val="en-AU"/>
        </w:rPr>
        <w:t>bid</w:t>
      </w:r>
      <w:r w:rsidRPr="0031419F">
        <w:rPr>
          <w:b/>
          <w:lang w:val="en-AU"/>
        </w:rPr>
        <w:t xml:space="preserve">: </w:t>
      </w:r>
      <w:r w:rsidRPr="0031419F">
        <w:rPr>
          <w:lang w:val="en-AU"/>
        </w:rPr>
        <w:t>twice daily; CfB: change from baseline; CI: confidence interval; PD: pharmacodynamics; SE: standard error.</w:t>
      </w:r>
    </w:p>
    <w:p w14:paraId="616DC9C4" w14:textId="77777777" w:rsidR="00A4529D" w:rsidRPr="0031419F" w:rsidRDefault="00A4529D" w:rsidP="00B52D08">
      <w:pPr>
        <w:pStyle w:val="TableFigureFooter"/>
        <w:keepNext/>
        <w:rPr>
          <w:lang w:val="en-AU"/>
        </w:rPr>
      </w:pPr>
      <w:r w:rsidRPr="0031419F">
        <w:rPr>
          <w:vertAlign w:val="superscript"/>
          <w:lang w:val="en-AU"/>
        </w:rPr>
        <w:t xml:space="preserve">a </w:t>
      </w:r>
      <w:r w:rsidRPr="0031419F">
        <w:rPr>
          <w:lang w:val="en-AU"/>
        </w:rPr>
        <w:t>Data were analysed using an ANCOVA model with treatment as a fixed effect and baseline characteristics as a covariate. The use of glucocorticoids and concomitant immune replacement therapy at baseline were both included as categorical (Yes/No) covariates. Baseline was defined as the arithmetic mean of the baseline and Day 1 values when both were available, and if either baseline or the Day 1 value were missing, the existing value was used.</w:t>
      </w:r>
    </w:p>
    <w:p w14:paraId="4BE247A2" w14:textId="76BBF2CE" w:rsidR="00A4529D" w:rsidRPr="0031419F" w:rsidRDefault="00A4529D" w:rsidP="00B52D08">
      <w:pPr>
        <w:pStyle w:val="TableFigureFooter"/>
        <w:keepNext/>
        <w:rPr>
          <w:lang w:val="en-AU"/>
        </w:rPr>
      </w:pPr>
      <w:r w:rsidRPr="0031419F">
        <w:rPr>
          <w:vertAlign w:val="superscript"/>
          <w:lang w:val="en-AU"/>
        </w:rPr>
        <w:t xml:space="preserve">b </w:t>
      </w:r>
      <w:r w:rsidRPr="0031419F">
        <w:rPr>
          <w:lang w:val="en-AU"/>
        </w:rPr>
        <w:t xml:space="preserve">Only included </w:t>
      </w:r>
      <w:r w:rsidR="00030325" w:rsidRPr="0031419F">
        <w:rPr>
          <w:lang w:val="en-AU"/>
        </w:rPr>
        <w:t xml:space="preserve">patients </w:t>
      </w:r>
      <w:r w:rsidRPr="0031419F">
        <w:rPr>
          <w:lang w:val="en-AU"/>
        </w:rPr>
        <w:t xml:space="preserve">in the PD analysis set with fewer than 48% naïve B cells out of total B cells at baseline. Comparatively, a total of 31 patients (21 randomised to leniolisib and 10 randomised to placebo) were enrolled in Study 2201 Part II. </w:t>
      </w:r>
    </w:p>
    <w:p w14:paraId="42E2ED1D" w14:textId="77777777" w:rsidR="00A4529D" w:rsidRPr="0031419F" w:rsidRDefault="00A4529D" w:rsidP="00B52D08">
      <w:pPr>
        <w:pStyle w:val="TableFigureFooter"/>
        <w:keepNext/>
        <w:rPr>
          <w:lang w:val="en-AU"/>
        </w:rPr>
      </w:pPr>
      <w:r w:rsidRPr="0031419F">
        <w:rPr>
          <w:vertAlign w:val="superscript"/>
          <w:lang w:val="en-AU"/>
        </w:rPr>
        <w:t xml:space="preserve">c </w:t>
      </w:r>
      <w:r w:rsidRPr="0031419F">
        <w:rPr>
          <w:lang w:val="en-AU"/>
        </w:rPr>
        <w:t xml:space="preserve">Included all participants in the PD analysis set apart from six participants, for the following reasons: one participant did not have a baseline measurement of total B cells; one had no naïve B cells at baseline and did not have post-baseline naïve B cell assessments; and four had naïve B cell percentages of less than 48% at baseline but no assessment was performed at Day 85. </w:t>
      </w:r>
    </w:p>
    <w:p w14:paraId="16AF5485" w14:textId="77777777" w:rsidR="00A4529D" w:rsidRPr="0031419F" w:rsidRDefault="00A4529D" w:rsidP="00B52D08">
      <w:pPr>
        <w:pStyle w:val="TableFigureFooter"/>
        <w:keepNext/>
        <w:rPr>
          <w:lang w:val="en-AU"/>
        </w:rPr>
      </w:pPr>
      <w:r w:rsidRPr="0031419F">
        <w:rPr>
          <w:lang w:val="en-AU"/>
        </w:rPr>
        <w:t>Source: Table 2.19, p109 of the submission.</w:t>
      </w:r>
    </w:p>
    <w:p w14:paraId="5F4A23C4" w14:textId="48AF9A55" w:rsidR="00A4529D" w:rsidRPr="0031419F" w:rsidRDefault="00A4529D" w:rsidP="00A4529D">
      <w:pPr>
        <w:pStyle w:val="3-BodyText"/>
        <w:spacing w:before="0" w:after="120"/>
      </w:pPr>
      <w:r w:rsidRPr="0031419F">
        <w:t>Post hoc analysis A reported that by Week 12 (Day 85) of Study 2201 Part II, all participants in the B-PD analysis set treated with leniolisib (12/12) (versus 0% with placebo [0/5]) achieved a ≥20% increase in the percentage of naïve B cells out of total B cells (</w:t>
      </w:r>
      <w:r w:rsidRPr="0031419F">
        <w:fldChar w:fldCharType="begin" w:fldLock="1"/>
      </w:r>
      <w:r w:rsidRPr="0031419F">
        <w:instrText xml:space="preserve"> REF _Ref195994186 \h </w:instrText>
      </w:r>
      <w:r w:rsidR="0031419F" w:rsidRPr="0031419F">
        <w:instrText xml:space="preserve"> \* MERGEFORMAT </w:instrText>
      </w:r>
      <w:r w:rsidRPr="0031419F">
        <w:fldChar w:fldCharType="separate"/>
      </w:r>
      <w:r w:rsidR="00C34379" w:rsidRPr="0031419F">
        <w:t xml:space="preserve">Table </w:t>
      </w:r>
      <w:r w:rsidR="00C34379">
        <w:rPr>
          <w:noProof/>
        </w:rPr>
        <w:t>5</w:t>
      </w:r>
      <w:r w:rsidRPr="0031419F">
        <w:fldChar w:fldCharType="end"/>
      </w:r>
      <w:r w:rsidRPr="0031419F">
        <w:t xml:space="preserve">). The responder analysis was based on the results of the Delphi panel, that estimated that after three months of treatment, an increase </w:t>
      </w:r>
      <w:r w:rsidRPr="0031419F" w:rsidDel="00BB7484">
        <w:t xml:space="preserve">of </w:t>
      </w:r>
      <w:r w:rsidRPr="0031419F">
        <w:t>≥20% from baseline in percentage of naïve B cells out of total B cells in adults with APDS</w:t>
      </w:r>
      <w:r w:rsidRPr="0031419F" w:rsidDel="004C4B54">
        <w:t xml:space="preserve"> </w:t>
      </w:r>
      <w:r w:rsidRPr="0031419F">
        <w:t>would be considered clinically meaningful.</w:t>
      </w:r>
    </w:p>
    <w:p w14:paraId="3A4B11E9" w14:textId="402B58CF" w:rsidR="00A4529D" w:rsidRPr="0031419F" w:rsidRDefault="00A4529D" w:rsidP="00A4529D">
      <w:pPr>
        <w:pStyle w:val="Caption"/>
      </w:pPr>
      <w:bookmarkStart w:id="21" w:name="_Ref195994186"/>
      <w:r w:rsidRPr="0031419F">
        <w:t xml:space="preserve">Table </w:t>
      </w:r>
      <w:r w:rsidR="00C34379">
        <w:fldChar w:fldCharType="begin" w:fldLock="1"/>
      </w:r>
      <w:r w:rsidR="00C34379">
        <w:instrText xml:space="preserve"> SEQ Table \* ARABIC </w:instrText>
      </w:r>
      <w:r w:rsidR="00C34379">
        <w:fldChar w:fldCharType="separate"/>
      </w:r>
      <w:r w:rsidR="00C34379">
        <w:rPr>
          <w:noProof/>
        </w:rPr>
        <w:t>5</w:t>
      </w:r>
      <w:r w:rsidR="00C34379">
        <w:rPr>
          <w:noProof/>
        </w:rPr>
        <w:fldChar w:fldCharType="end"/>
      </w:r>
      <w:bookmarkEnd w:id="21"/>
      <w:r w:rsidRPr="0031419F">
        <w:t xml:space="preserve">: Post hoc analysis A: Post hoc responder analysis of participants with ≥20% increase from baseline to </w:t>
      </w:r>
      <w:r w:rsidR="00E46248">
        <w:t>D</w:t>
      </w:r>
      <w:r w:rsidR="00E46248" w:rsidRPr="0031419F">
        <w:t xml:space="preserve">ay </w:t>
      </w:r>
      <w:r w:rsidRPr="0031419F">
        <w:t>85 in the percentage of naive to total B cells (Study 2201 Part II; PD analysis set)</w:t>
      </w:r>
    </w:p>
    <w:tbl>
      <w:tblPr>
        <w:tblStyle w:val="DossierTable1"/>
        <w:tblW w:w="5000" w:type="pct"/>
        <w:tblCellMar>
          <w:left w:w="28" w:type="dxa"/>
          <w:right w:w="28" w:type="dxa"/>
        </w:tblCellMar>
        <w:tblLook w:val="04A0" w:firstRow="1" w:lastRow="0" w:firstColumn="1" w:lastColumn="0" w:noHBand="0" w:noVBand="1"/>
        <w:tblCaption w:val="Table 5: Post hoc analysis A: Post hoc responder analysis of participants with ≥20% increase from baseline to Day 85 in the percentage of naive to total B cells (Study 2201 Part II; PD analysis set)"/>
      </w:tblPr>
      <w:tblGrid>
        <w:gridCol w:w="4930"/>
        <w:gridCol w:w="2146"/>
        <w:gridCol w:w="1822"/>
      </w:tblGrid>
      <w:tr w:rsidR="00A4529D" w:rsidRPr="0031419F" w14:paraId="7C1A6939" w14:textId="77777777" w:rsidTr="00C84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0" w:type="pct"/>
          </w:tcPr>
          <w:p w14:paraId="6CFAED36" w14:textId="77777777" w:rsidR="00A4529D" w:rsidRPr="0031419F" w:rsidRDefault="00A4529D" w:rsidP="000B4467">
            <w:pPr>
              <w:pStyle w:val="TableText0"/>
              <w:keepNext/>
              <w:keepLines/>
              <w:rPr>
                <w:sz w:val="20"/>
                <w:szCs w:val="20"/>
                <w:lang w:val="en-AU"/>
              </w:rPr>
            </w:pPr>
          </w:p>
        </w:tc>
        <w:tc>
          <w:tcPr>
            <w:tcW w:w="1206" w:type="pct"/>
          </w:tcPr>
          <w:p w14:paraId="716B1B16"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p>
          <w:p w14:paraId="34FB1F8B"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(n=21)</w:t>
            </w:r>
          </w:p>
        </w:tc>
        <w:tc>
          <w:tcPr>
            <w:tcW w:w="1024" w:type="pct"/>
          </w:tcPr>
          <w:p w14:paraId="20F5D76A"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Placebo</w:t>
            </w:r>
          </w:p>
          <w:p w14:paraId="1255AEAA"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(n=10)</w:t>
            </w:r>
          </w:p>
        </w:tc>
      </w:tr>
      <w:tr w:rsidR="00A4529D" w:rsidRPr="0031419F" w14:paraId="6D94DA62" w14:textId="77777777" w:rsidTr="00C844EC">
        <w:tc>
          <w:tcPr>
            <w:cnfStyle w:val="001000000000" w:firstRow="0" w:lastRow="0" w:firstColumn="1" w:lastColumn="0" w:oddVBand="0" w:evenVBand="0" w:oddHBand="0" w:evenHBand="0" w:firstRowFirstColumn="0" w:firstRowLastColumn="0" w:lastRowFirstColumn="0" w:lastRowLastColumn="0"/>
            <w:tcW w:w="5000" w:type="pct"/>
            <w:gridSpan w:val="3"/>
          </w:tcPr>
          <w:p w14:paraId="1C43BC20" w14:textId="77777777" w:rsidR="00A4529D" w:rsidRPr="0031419F" w:rsidRDefault="00A4529D" w:rsidP="000B4467">
            <w:pPr>
              <w:pStyle w:val="In-tableHeading"/>
              <w:jc w:val="left"/>
              <w:rPr>
                <w:lang w:val="en-AU"/>
              </w:rPr>
            </w:pPr>
            <w:r w:rsidRPr="0031419F">
              <w:rPr>
                <w:lang w:val="en-AU"/>
              </w:rPr>
              <w:t>Patients with &lt;48% naive to total B cells at baseline</w:t>
            </w:r>
          </w:p>
        </w:tc>
      </w:tr>
      <w:tr w:rsidR="00A4529D" w:rsidRPr="0031419F" w14:paraId="241C9823" w14:textId="77777777" w:rsidTr="00C844EC">
        <w:tc>
          <w:tcPr>
            <w:cnfStyle w:val="001000000000" w:firstRow="0" w:lastRow="0" w:firstColumn="1" w:lastColumn="0" w:oddVBand="0" w:evenVBand="0" w:oddHBand="0" w:evenHBand="0" w:firstRowFirstColumn="0" w:firstRowLastColumn="0" w:lastRowFirstColumn="0" w:lastRowLastColumn="0"/>
            <w:tcW w:w="5000" w:type="pct"/>
            <w:gridSpan w:val="3"/>
          </w:tcPr>
          <w:p w14:paraId="028ADBBD" w14:textId="77777777" w:rsidR="00A4529D" w:rsidRPr="0031419F" w:rsidRDefault="00A4529D" w:rsidP="000B4467">
            <w:pPr>
              <w:pStyle w:val="Tabletext"/>
              <w:keepNext/>
              <w:keepLines/>
              <w:rPr>
                <w:szCs w:val="20"/>
                <w:lang w:val="en-AU"/>
              </w:rPr>
            </w:pPr>
            <w:r w:rsidRPr="0031419F">
              <w:rPr>
                <w:szCs w:val="20"/>
                <w:lang w:val="en-AU"/>
              </w:rPr>
              <w:t>Responder analysis of participants with ≥20% increase from baseline to day 85 in the percentage of naive to total B cells</w:t>
            </w:r>
          </w:p>
        </w:tc>
      </w:tr>
      <w:tr w:rsidR="00A4529D" w:rsidRPr="0031419F" w14:paraId="611DC88A"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78052C37" w14:textId="5FA3890C" w:rsidR="00A4529D" w:rsidRPr="0031419F" w:rsidRDefault="00A4529D" w:rsidP="000B4467">
            <w:pPr>
              <w:pStyle w:val="Tabletext"/>
              <w:keepNext/>
              <w:keepLines/>
              <w:rPr>
                <w:szCs w:val="20"/>
                <w:lang w:val="en-AU"/>
              </w:rPr>
            </w:pPr>
            <w:r w:rsidRPr="0031419F">
              <w:rPr>
                <w:szCs w:val="20"/>
                <w:lang w:val="en-AU"/>
              </w:rPr>
              <w:t>Number of patients contributing to the analysis</w:t>
            </w:r>
            <w:r w:rsidRPr="0031419F">
              <w:rPr>
                <w:szCs w:val="20"/>
                <w:vertAlign w:val="superscript"/>
                <w:lang w:val="en-AU"/>
              </w:rPr>
              <w:t>a</w:t>
            </w:r>
          </w:p>
        </w:tc>
        <w:tc>
          <w:tcPr>
            <w:tcW w:w="1206" w:type="pct"/>
          </w:tcPr>
          <w:p w14:paraId="797E1EFB"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12</w:t>
            </w:r>
          </w:p>
        </w:tc>
        <w:tc>
          <w:tcPr>
            <w:tcW w:w="1024" w:type="pct"/>
          </w:tcPr>
          <w:p w14:paraId="76777DB0"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5</w:t>
            </w:r>
          </w:p>
        </w:tc>
      </w:tr>
      <w:tr w:rsidR="00A4529D" w:rsidRPr="0031419F" w14:paraId="4A589657"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4EA33CDC" w14:textId="77777777" w:rsidR="00A4529D" w:rsidRPr="0031419F" w:rsidRDefault="00A4529D" w:rsidP="000B4467">
            <w:pPr>
              <w:pStyle w:val="Tabletext"/>
              <w:keepNext/>
              <w:keepLines/>
              <w:rPr>
                <w:szCs w:val="20"/>
                <w:lang w:val="en-AU"/>
              </w:rPr>
            </w:pPr>
            <w:r w:rsidRPr="0031419F">
              <w:rPr>
                <w:szCs w:val="20"/>
                <w:lang w:val="en-AU"/>
              </w:rPr>
              <w:t>Number of responders (%)</w:t>
            </w:r>
          </w:p>
        </w:tc>
        <w:tc>
          <w:tcPr>
            <w:tcW w:w="1206" w:type="pct"/>
          </w:tcPr>
          <w:p w14:paraId="67629EE2"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12 (100%)</w:t>
            </w:r>
          </w:p>
        </w:tc>
        <w:tc>
          <w:tcPr>
            <w:tcW w:w="1024" w:type="pct"/>
          </w:tcPr>
          <w:p w14:paraId="4D763192"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0 (0%)</w:t>
            </w:r>
          </w:p>
        </w:tc>
      </w:tr>
      <w:tr w:rsidR="00A4529D" w:rsidRPr="0031419F" w14:paraId="7B0B2220"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438C5B73" w14:textId="77777777" w:rsidR="00A4529D" w:rsidRPr="0031419F" w:rsidRDefault="00A4529D" w:rsidP="000B4467">
            <w:pPr>
              <w:pStyle w:val="Tabletext"/>
              <w:keepNext/>
              <w:keepLines/>
              <w:rPr>
                <w:szCs w:val="20"/>
                <w:lang w:val="en-AU"/>
              </w:rPr>
            </w:pPr>
            <w:r w:rsidRPr="0031419F">
              <w:rPr>
                <w:szCs w:val="20"/>
                <w:lang w:val="en-AU"/>
              </w:rPr>
              <w:t>RD (95% CI)</w:t>
            </w:r>
          </w:p>
        </w:tc>
        <w:tc>
          <w:tcPr>
            <w:tcW w:w="2230" w:type="pct"/>
            <w:gridSpan w:val="2"/>
          </w:tcPr>
          <w:p w14:paraId="7A9D2E6E"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1.00 (0.48, 1.00)</w:t>
            </w:r>
          </w:p>
        </w:tc>
      </w:tr>
      <w:tr w:rsidR="00A4529D" w:rsidRPr="0031419F" w14:paraId="79B244DD"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752922AD" w14:textId="550E32CD" w:rsidR="00A4529D" w:rsidRPr="0031419F" w:rsidRDefault="00A4529D" w:rsidP="000B4467">
            <w:pPr>
              <w:pStyle w:val="Tabletext"/>
              <w:keepNext/>
              <w:keepLines/>
              <w:rPr>
                <w:szCs w:val="20"/>
                <w:lang w:val="en-AU"/>
              </w:rPr>
            </w:pPr>
            <w:r w:rsidRPr="0031419F">
              <w:rPr>
                <w:szCs w:val="20"/>
                <w:lang w:val="en-AU"/>
              </w:rPr>
              <w:t>P value</w:t>
            </w:r>
            <w:r w:rsidRPr="0031419F">
              <w:rPr>
                <w:szCs w:val="20"/>
                <w:vertAlign w:val="superscript"/>
                <w:lang w:val="en-AU"/>
              </w:rPr>
              <w:t>b</w:t>
            </w:r>
          </w:p>
        </w:tc>
        <w:tc>
          <w:tcPr>
            <w:tcW w:w="2230" w:type="pct"/>
            <w:gridSpan w:val="2"/>
          </w:tcPr>
          <w:p w14:paraId="46244D32"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p&lt;0.001</w:t>
            </w:r>
          </w:p>
        </w:tc>
      </w:tr>
      <w:tr w:rsidR="00A4529D" w:rsidRPr="0031419F" w14:paraId="34D3E15F" w14:textId="77777777" w:rsidTr="00C844EC">
        <w:tc>
          <w:tcPr>
            <w:cnfStyle w:val="001000000000" w:firstRow="0" w:lastRow="0" w:firstColumn="1" w:lastColumn="0" w:oddVBand="0" w:evenVBand="0" w:oddHBand="0" w:evenHBand="0" w:firstRowFirstColumn="0" w:firstRowLastColumn="0" w:lastRowFirstColumn="0" w:lastRowLastColumn="0"/>
            <w:tcW w:w="5000" w:type="pct"/>
            <w:gridSpan w:val="3"/>
          </w:tcPr>
          <w:p w14:paraId="4708B9FC" w14:textId="77777777" w:rsidR="00A4529D" w:rsidRPr="0031419F" w:rsidRDefault="00A4529D" w:rsidP="000B4467">
            <w:pPr>
              <w:pStyle w:val="In-tableHeading"/>
              <w:jc w:val="left"/>
              <w:rPr>
                <w:lang w:val="en-AU"/>
              </w:rPr>
            </w:pPr>
            <w:r w:rsidRPr="0031419F">
              <w:rPr>
                <w:lang w:val="en-AU"/>
              </w:rPr>
              <w:t>All patients</w:t>
            </w:r>
          </w:p>
        </w:tc>
      </w:tr>
      <w:tr w:rsidR="00A4529D" w:rsidRPr="0031419F" w14:paraId="40578DBD" w14:textId="77777777" w:rsidTr="00C844EC">
        <w:tc>
          <w:tcPr>
            <w:cnfStyle w:val="001000000000" w:firstRow="0" w:lastRow="0" w:firstColumn="1" w:lastColumn="0" w:oddVBand="0" w:evenVBand="0" w:oddHBand="0" w:evenHBand="0" w:firstRowFirstColumn="0" w:firstRowLastColumn="0" w:lastRowFirstColumn="0" w:lastRowLastColumn="0"/>
            <w:tcW w:w="5000" w:type="pct"/>
            <w:gridSpan w:val="3"/>
          </w:tcPr>
          <w:p w14:paraId="3F79D7C6" w14:textId="77777777" w:rsidR="00A4529D" w:rsidRPr="0031419F" w:rsidRDefault="00A4529D" w:rsidP="000B4467">
            <w:pPr>
              <w:pStyle w:val="Tabletext"/>
              <w:keepNext/>
              <w:keepLines/>
              <w:rPr>
                <w:szCs w:val="20"/>
                <w:lang w:val="en-AU"/>
              </w:rPr>
            </w:pPr>
            <w:r w:rsidRPr="0031419F">
              <w:rPr>
                <w:szCs w:val="20"/>
                <w:lang w:val="en-AU"/>
              </w:rPr>
              <w:t>Responder analysis of participants with ≥20% increase from baseline to day 85 in the percentage of naive to total B cells</w:t>
            </w:r>
          </w:p>
        </w:tc>
      </w:tr>
      <w:tr w:rsidR="00A4529D" w:rsidRPr="0031419F" w14:paraId="491B02C0"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79E55815" w14:textId="0A6D9241" w:rsidR="00A4529D" w:rsidRPr="0031419F" w:rsidRDefault="00A4529D" w:rsidP="000B4467">
            <w:pPr>
              <w:pStyle w:val="Tabletext"/>
              <w:keepNext/>
              <w:keepLines/>
              <w:rPr>
                <w:szCs w:val="20"/>
                <w:lang w:val="en-AU"/>
              </w:rPr>
            </w:pPr>
            <w:r w:rsidRPr="0031419F">
              <w:rPr>
                <w:szCs w:val="20"/>
                <w:lang w:val="en-AU"/>
              </w:rPr>
              <w:t>Number of patients contributing to the analysis</w:t>
            </w:r>
            <w:r w:rsidRPr="0031419F">
              <w:rPr>
                <w:szCs w:val="20"/>
                <w:vertAlign w:val="superscript"/>
                <w:lang w:val="en-AU"/>
              </w:rPr>
              <w:t>c</w:t>
            </w:r>
          </w:p>
        </w:tc>
        <w:tc>
          <w:tcPr>
            <w:tcW w:w="1206" w:type="pct"/>
          </w:tcPr>
          <w:p w14:paraId="6E712852"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17</w:t>
            </w:r>
          </w:p>
        </w:tc>
        <w:tc>
          <w:tcPr>
            <w:tcW w:w="1024" w:type="pct"/>
          </w:tcPr>
          <w:p w14:paraId="0624B406"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8</w:t>
            </w:r>
          </w:p>
        </w:tc>
      </w:tr>
      <w:tr w:rsidR="00A4529D" w:rsidRPr="0031419F" w14:paraId="372531F2"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2C455EE9" w14:textId="77777777" w:rsidR="00A4529D" w:rsidRPr="0031419F" w:rsidRDefault="00A4529D" w:rsidP="000B4467">
            <w:pPr>
              <w:pStyle w:val="Tabletext"/>
              <w:keepNext/>
              <w:keepLines/>
              <w:rPr>
                <w:szCs w:val="20"/>
                <w:lang w:val="en-AU"/>
              </w:rPr>
            </w:pPr>
            <w:r w:rsidRPr="0031419F">
              <w:rPr>
                <w:szCs w:val="20"/>
                <w:lang w:val="en-AU"/>
              </w:rPr>
              <w:t>Number of responders (%)</w:t>
            </w:r>
          </w:p>
        </w:tc>
        <w:tc>
          <w:tcPr>
            <w:tcW w:w="1206" w:type="pct"/>
          </w:tcPr>
          <w:p w14:paraId="7C56DE58"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16 (94%)</w:t>
            </w:r>
          </w:p>
        </w:tc>
        <w:tc>
          <w:tcPr>
            <w:tcW w:w="1024" w:type="pct"/>
          </w:tcPr>
          <w:p w14:paraId="2B9CBDAC"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1 (13%)</w:t>
            </w:r>
          </w:p>
        </w:tc>
      </w:tr>
      <w:tr w:rsidR="00A4529D" w:rsidRPr="0031419F" w14:paraId="5997C2F5"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28F9EF2D" w14:textId="77777777" w:rsidR="00A4529D" w:rsidRPr="0031419F" w:rsidRDefault="00A4529D" w:rsidP="000B4467">
            <w:pPr>
              <w:pStyle w:val="Tabletext"/>
              <w:keepNext/>
              <w:keepLines/>
              <w:rPr>
                <w:szCs w:val="20"/>
                <w:lang w:val="en-AU"/>
              </w:rPr>
            </w:pPr>
            <w:r w:rsidRPr="0031419F">
              <w:rPr>
                <w:szCs w:val="20"/>
                <w:lang w:val="en-AU"/>
              </w:rPr>
              <w:t>RD (95% CI)</w:t>
            </w:r>
          </w:p>
        </w:tc>
        <w:tc>
          <w:tcPr>
            <w:tcW w:w="2230" w:type="pct"/>
            <w:gridSpan w:val="2"/>
          </w:tcPr>
          <w:p w14:paraId="17595828"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0.82 (0.42, 0.97)</w:t>
            </w:r>
          </w:p>
        </w:tc>
      </w:tr>
      <w:tr w:rsidR="00A4529D" w:rsidRPr="0031419F" w14:paraId="14DF712A" w14:textId="77777777" w:rsidTr="00C844EC">
        <w:tc>
          <w:tcPr>
            <w:cnfStyle w:val="001000000000" w:firstRow="0" w:lastRow="0" w:firstColumn="1" w:lastColumn="0" w:oddVBand="0" w:evenVBand="0" w:oddHBand="0" w:evenHBand="0" w:firstRowFirstColumn="0" w:firstRowLastColumn="0" w:lastRowFirstColumn="0" w:lastRowLastColumn="0"/>
            <w:tcW w:w="2770" w:type="pct"/>
          </w:tcPr>
          <w:p w14:paraId="2E1F1556" w14:textId="17DC276D" w:rsidR="00A4529D" w:rsidRPr="0031419F" w:rsidRDefault="00A4529D" w:rsidP="000B4467">
            <w:pPr>
              <w:pStyle w:val="Tabletext"/>
              <w:keepNext/>
              <w:keepLines/>
              <w:rPr>
                <w:szCs w:val="20"/>
                <w:lang w:val="en-AU"/>
              </w:rPr>
            </w:pPr>
            <w:r w:rsidRPr="0031419F">
              <w:rPr>
                <w:szCs w:val="20"/>
                <w:lang w:val="en-AU"/>
              </w:rPr>
              <w:t>P value</w:t>
            </w:r>
            <w:r w:rsidRPr="0031419F">
              <w:rPr>
                <w:szCs w:val="20"/>
                <w:vertAlign w:val="superscript"/>
                <w:lang w:val="en-AU"/>
              </w:rPr>
              <w:t>b</w:t>
            </w:r>
          </w:p>
        </w:tc>
        <w:tc>
          <w:tcPr>
            <w:tcW w:w="2230" w:type="pct"/>
            <w:gridSpan w:val="2"/>
          </w:tcPr>
          <w:p w14:paraId="79824008"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r w:rsidRPr="0031419F">
              <w:rPr>
                <w:szCs w:val="20"/>
                <w:lang w:val="en-AU"/>
              </w:rPr>
              <w:t>p&lt;0.001</w:t>
            </w:r>
          </w:p>
        </w:tc>
      </w:tr>
    </w:tbl>
    <w:p w14:paraId="5B050E48" w14:textId="77777777" w:rsidR="00A4529D" w:rsidRPr="0031419F" w:rsidRDefault="00A4529D" w:rsidP="00A4529D">
      <w:pPr>
        <w:pStyle w:val="TableFigureFooter"/>
        <w:rPr>
          <w:lang w:val="en-AU"/>
        </w:rPr>
      </w:pPr>
      <w:r w:rsidRPr="0031419F">
        <w:rPr>
          <w:lang w:val="en-AU"/>
        </w:rPr>
        <w:t>CI = confidence interval; RD = risk difference.</w:t>
      </w:r>
    </w:p>
    <w:p w14:paraId="6C01B892" w14:textId="77777777" w:rsidR="00A4529D" w:rsidRPr="0031419F" w:rsidRDefault="00A4529D" w:rsidP="00A4529D">
      <w:pPr>
        <w:pStyle w:val="TableFigureFooter"/>
        <w:rPr>
          <w:lang w:val="en-AU"/>
        </w:rPr>
      </w:pPr>
      <w:r w:rsidRPr="0031419F">
        <w:rPr>
          <w:vertAlign w:val="superscript"/>
          <w:lang w:val="en-AU"/>
        </w:rPr>
        <w:t xml:space="preserve">a </w:t>
      </w:r>
      <w:r w:rsidRPr="0031419F">
        <w:rPr>
          <w:lang w:val="en-AU"/>
        </w:rPr>
        <w:t>For patients without data at Day 85, the closest visit day prior to day 85 was used. Consequently, for the leniolisib arm, day 85 data was used for 8 patients and day 57 data was used for 4 patients. Day 85 data was available for all placebo patients.</w:t>
      </w:r>
    </w:p>
    <w:p w14:paraId="19129FC5" w14:textId="77777777" w:rsidR="00A4529D" w:rsidRPr="0031419F" w:rsidRDefault="00A4529D" w:rsidP="00A4529D">
      <w:pPr>
        <w:pStyle w:val="TableFigureFooter"/>
        <w:rPr>
          <w:lang w:val="en-AU"/>
        </w:rPr>
      </w:pPr>
      <w:r w:rsidRPr="0031419F">
        <w:rPr>
          <w:vertAlign w:val="superscript"/>
          <w:lang w:val="en-AU"/>
        </w:rPr>
        <w:t xml:space="preserve">b </w:t>
      </w:r>
      <w:r w:rsidRPr="0031419F">
        <w:rPr>
          <w:lang w:val="en-AU"/>
        </w:rPr>
        <w:t xml:space="preserve">Data were analysed using the Fisher’s Exact Test. </w:t>
      </w:r>
    </w:p>
    <w:p w14:paraId="7A87FD3D" w14:textId="77777777" w:rsidR="00A4529D" w:rsidRPr="0031419F" w:rsidRDefault="00A4529D" w:rsidP="00A4529D">
      <w:pPr>
        <w:pStyle w:val="TableFigureFooter"/>
        <w:rPr>
          <w:lang w:val="en-AU"/>
        </w:rPr>
      </w:pPr>
      <w:r w:rsidRPr="0031419F">
        <w:rPr>
          <w:szCs w:val="20"/>
          <w:vertAlign w:val="superscript"/>
          <w:lang w:val="en-AU"/>
        </w:rPr>
        <w:t xml:space="preserve">c </w:t>
      </w:r>
      <w:r w:rsidRPr="0031419F">
        <w:rPr>
          <w:lang w:val="en-AU"/>
        </w:rPr>
        <w:t>For patients without data at Day 85, the closest visit day prior to day 85 was used. Consequently, for the leniolisib arm, day 85 data was used for 13 patients and day 57 data was used for 4 patients. Day 85 data was available for all placebo patients.</w:t>
      </w:r>
    </w:p>
    <w:p w14:paraId="4E0B0199" w14:textId="25914E54" w:rsidR="00A4529D" w:rsidRPr="0031419F" w:rsidRDefault="00A4529D" w:rsidP="00A4529D">
      <w:pPr>
        <w:pStyle w:val="TableFigureFooter"/>
        <w:rPr>
          <w:lang w:val="en-AU"/>
        </w:rPr>
      </w:pPr>
      <w:r w:rsidRPr="0031419F">
        <w:rPr>
          <w:lang w:val="en-AU"/>
        </w:rPr>
        <w:t>Source: Table 2.2</w:t>
      </w:r>
      <w:r w:rsidR="00577177" w:rsidRPr="0031419F">
        <w:rPr>
          <w:lang w:val="en-AU"/>
        </w:rPr>
        <w:t>0</w:t>
      </w:r>
      <w:r w:rsidRPr="0031419F">
        <w:rPr>
          <w:lang w:val="en-AU"/>
        </w:rPr>
        <w:t xml:space="preserve">, p111 of the submission. </w:t>
      </w:r>
    </w:p>
    <w:p w14:paraId="17492EEA" w14:textId="59CB8705" w:rsidR="00A4529D" w:rsidRPr="0031419F" w:rsidRDefault="00A4529D" w:rsidP="00A4529D">
      <w:pPr>
        <w:pStyle w:val="3-BodyText"/>
        <w:spacing w:before="0" w:after="120"/>
      </w:pPr>
      <w:r w:rsidRPr="0031419F">
        <w:t xml:space="preserve">The responder analysis for increase in percentage of naïve B cells </w:t>
      </w:r>
      <w:r w:rsidR="00796482" w:rsidRPr="0031419F">
        <w:t xml:space="preserve">(where patients with ≥20% increase from baseline in percentage of naïve to total B cells at week 12 were classified as responders) </w:t>
      </w:r>
      <w:r w:rsidRPr="0031419F">
        <w:t xml:space="preserve">included only 17 patients in the leniolisib arm (out of 21 enrolled) and eight patients in the placebo arm (out of 10 enrolled). It was unclear why this analysis did not include all randomised </w:t>
      </w:r>
      <w:r w:rsidR="00171A58" w:rsidRPr="0031419F">
        <w:t>patients,</w:t>
      </w:r>
      <w:r w:rsidRPr="0031419F">
        <w:t xml:space="preserve"> and no details were provided with the submission to explain their exclusion. The </w:t>
      </w:r>
      <w:r w:rsidR="00206719" w:rsidRPr="0031419F">
        <w:t xml:space="preserve">responder </w:t>
      </w:r>
      <w:r w:rsidRPr="0031419F">
        <w:t xml:space="preserve">analysis for participants with &lt;48% naive to total B cells at baseline was also associated with a higher degree of uncertainty due to smaller patient numbers. Nonetheless, the number of patients </w:t>
      </w:r>
      <w:r w:rsidR="00206719" w:rsidRPr="0031419F">
        <w:t xml:space="preserve">classified as responders was </w:t>
      </w:r>
      <w:r w:rsidRPr="0031419F">
        <w:t>substantially greater in patients treated with leniolisib compared to placebo regardless of which patient population was considered, though the analyses were likely associated with high uncertainty due to small patient numbers and short follow-up.</w:t>
      </w:r>
    </w:p>
    <w:p w14:paraId="6D9982CC" w14:textId="776AFAA6" w:rsidR="00A4529D" w:rsidRPr="0031419F" w:rsidRDefault="00A4529D" w:rsidP="004F6C25">
      <w:pPr>
        <w:pStyle w:val="3-BodyText"/>
        <w:spacing w:before="0" w:after="120"/>
      </w:pPr>
      <w:r w:rsidRPr="0031419F">
        <w:t>Improvement in naïve B cells with longer-term treatment beyond Week 12 was informed by Study 2201E1. In Study 2201E1, at baseline, the mean percentage (SD)</w:t>
      </w:r>
      <w:r w:rsidR="00462E71" w:rsidRPr="0031419F">
        <w:t xml:space="preserve"> of</w:t>
      </w:r>
      <w:r w:rsidRPr="0031419F">
        <w:t xml:space="preserve"> naïve B cell</w:t>
      </w:r>
      <w:r w:rsidR="00462E71" w:rsidRPr="0031419F">
        <w:t>s</w:t>
      </w:r>
      <w:r w:rsidRPr="0031419F">
        <w:t xml:space="preserve"> was 58.16% (20.922; n=5). The percentage of naïve B cells increased at each timepoint throughout the extension study </w:t>
      </w:r>
      <w:r w:rsidR="00C5649E" w:rsidRPr="0031419F">
        <w:t xml:space="preserve">with a mean </w:t>
      </w:r>
      <w:r w:rsidR="00151210" w:rsidRPr="0031419F">
        <w:t xml:space="preserve">(SD) </w:t>
      </w:r>
      <w:r w:rsidR="00C5649E" w:rsidRPr="0031419F">
        <w:t xml:space="preserve">change from baseline of </w:t>
      </w:r>
      <w:r w:rsidRPr="0031419F">
        <w:t>23.58% (16.177) at Extension Day 84 (n=5) and 32.42% (25.293) at Extension Day 252 (n=5). However, given the small sample size, the lack of a comparator arm and still relatively limited duration (252 days of extension plus 85 days of Study 2201 resulted in less than one year of follow-up)</w:t>
      </w:r>
      <w:r w:rsidR="00AF272C" w:rsidRPr="0031419F">
        <w:t>,</w:t>
      </w:r>
      <w:r w:rsidRPr="0031419F">
        <w:t xml:space="preserve"> the sustainability of immunophenotype normalisation using the mean percentage of naïve B cell to total B cells as a surrogate remains uncertain.</w:t>
      </w:r>
      <w:r w:rsidR="001C3734" w:rsidRPr="0031419F">
        <w:t xml:space="preserve"> It was unclear why data </w:t>
      </w:r>
      <w:r w:rsidR="00305497" w:rsidRPr="0031419F">
        <w:t>w</w:t>
      </w:r>
      <w:r w:rsidR="00305497">
        <w:t>ere</w:t>
      </w:r>
      <w:r w:rsidR="00305497" w:rsidRPr="0031419F">
        <w:t xml:space="preserve"> </w:t>
      </w:r>
      <w:r w:rsidR="001C3734" w:rsidRPr="0031419F">
        <w:t>only available for five out of the 37 patients enrolled in Study 2201E.</w:t>
      </w:r>
    </w:p>
    <w:p w14:paraId="353BCA5D" w14:textId="5D0B0861" w:rsidR="00A4529D" w:rsidRPr="0031419F" w:rsidRDefault="006C3F32" w:rsidP="00A4529D">
      <w:pPr>
        <w:pStyle w:val="3-BodyText"/>
        <w:spacing w:before="0" w:after="120"/>
      </w:pPr>
      <w:r w:rsidRPr="006C3F32">
        <w:t>Tutein Nolthenius</w:t>
      </w:r>
      <w:r w:rsidR="00A4529D" w:rsidRPr="0031419F">
        <w:t xml:space="preserve"> 2025 (unpublished manuscript) presented a post hoc study that included investigation of pairwise associations between six disease activity surrogate endpoints (serum </w:t>
      </w:r>
      <w:r w:rsidR="00736A31" w:rsidRPr="0031419F">
        <w:t>immunoglobulin M (</w:t>
      </w:r>
      <w:r w:rsidR="00A4529D" w:rsidRPr="0031419F">
        <w:t>IgM</w:t>
      </w:r>
      <w:r w:rsidR="00736A31" w:rsidRPr="0031419F">
        <w:t>)</w:t>
      </w:r>
      <w:r w:rsidR="00A4529D" w:rsidRPr="0031419F">
        <w:t xml:space="preserve"> levels, naïve B cells as a percentage of total B cells, transitional B cells as a percentage of total B cells, senescent CD8+ T cells as a percentage of total CD8+ T cells, index lymph node size and spleen volume) and four clinical outcomes (patient global assessment (PtGA), Short Form 36 (SF-36): Physical component summary (PCS), SF-36: Mental component summary (MCS) and infection rate). There were no significant effects found between the surrogate</w:t>
      </w:r>
      <w:r w:rsidR="009E4123">
        <w:t xml:space="preserve"> end points</w:t>
      </w:r>
      <w:r w:rsidR="00A4529D" w:rsidRPr="0031419F">
        <w:t xml:space="preserve"> (including naïve B cells) and infection rates when assessing short term change in the surrogate (change from baseline to day 85</w:t>
      </w:r>
      <w:r w:rsidR="004F2690">
        <w:t>)</w:t>
      </w:r>
      <w:r w:rsidR="00A4529D" w:rsidRPr="0031419F">
        <w:t xml:space="preserve"> with </w:t>
      </w:r>
      <w:r w:rsidR="005F175C">
        <w:t>one</w:t>
      </w:r>
      <w:r w:rsidR="005F175C" w:rsidRPr="0031419F">
        <w:t xml:space="preserve"> </w:t>
      </w:r>
      <w:r w:rsidR="00A4529D" w:rsidRPr="0031419F">
        <w:t xml:space="preserve">year of follow-up. However, a statistically significant association between an increase in proportion of naïve B cells out of total B cells and a lower annualised infection rate (p&lt;0.001, negative binomial modelling) was identified when change from baseline to day 506 visit was considered; with an increase of 1 percentage point in the proportion of naïve B cells associated with a 2.3% reduction in yearly infection rates. </w:t>
      </w:r>
    </w:p>
    <w:p w14:paraId="51CF2E2C" w14:textId="17A9213B" w:rsidR="00A4529D" w:rsidRPr="0031419F" w:rsidRDefault="00631F9C" w:rsidP="00A4529D">
      <w:pPr>
        <w:pStyle w:val="3-BodyText"/>
        <w:spacing w:before="0" w:after="120"/>
      </w:pPr>
      <w:r w:rsidRPr="008B433C">
        <w:t>The Sub-Committees considered g</w:t>
      </w:r>
      <w:r w:rsidR="00A4529D" w:rsidRPr="008B433C">
        <w:t>iven</w:t>
      </w:r>
      <w:r w:rsidR="00A4529D" w:rsidRPr="0031419F">
        <w:t xml:space="preserve"> the lack of significance </w:t>
      </w:r>
      <w:r w:rsidR="00FB7955">
        <w:t>for</w:t>
      </w:r>
      <w:r w:rsidR="00FB7955" w:rsidRPr="0031419F">
        <w:t xml:space="preserve"> </w:t>
      </w:r>
      <w:r w:rsidR="00A4529D" w:rsidRPr="0031419F">
        <w:t>the change from baseline to day 85 result and the post hoc nature of this analysis, the results should be considered highly uncertain and subject to a very high risk of bias from repeated analyses without any statistical consideration in a pre-defined statistical analysis plan.</w:t>
      </w:r>
    </w:p>
    <w:p w14:paraId="142B2667" w14:textId="786E3D95" w:rsidR="00A4529D" w:rsidRPr="0031419F" w:rsidRDefault="00A4529D" w:rsidP="00A4529D">
      <w:pPr>
        <w:pStyle w:val="3-BodyText"/>
      </w:pPr>
      <w:r w:rsidRPr="0031419F">
        <w:t xml:space="preserve">The PBAC Guidelines </w:t>
      </w:r>
      <w:r w:rsidR="002623C0" w:rsidRPr="0031419F">
        <w:t xml:space="preserve">v5.0 </w:t>
      </w:r>
      <w:r w:rsidRPr="0031419F">
        <w:t xml:space="preserve">(Appendix 5) request biological reasoning concerning how the disease pathogenesis (for APDS) relates to the </w:t>
      </w:r>
      <w:r w:rsidR="00603F0E" w:rsidRPr="0031419F">
        <w:t xml:space="preserve">proposed surrogate measures and the target clinical </w:t>
      </w:r>
      <w:r w:rsidR="005E2BB7" w:rsidRPr="0031419F">
        <w:t>outcome,</w:t>
      </w:r>
      <w:r w:rsidRPr="0031419F">
        <w:t xml:space="preserve"> independent of medicine actions. Such a biological reasoning was not provided in the submission</w:t>
      </w:r>
      <w:r w:rsidR="00171A58">
        <w:t>.</w:t>
      </w:r>
      <w:r w:rsidRPr="0031419F">
        <w:t xml:space="preserve"> </w:t>
      </w:r>
      <w:r w:rsidR="00171A58">
        <w:t>H</w:t>
      </w:r>
      <w:r w:rsidRPr="0031419F">
        <w:t>owever</w:t>
      </w:r>
      <w:r w:rsidR="00171A58">
        <w:t>,</w:t>
      </w:r>
      <w:r w:rsidRPr="0031419F">
        <w:t xml:space="preserve"> the following was provided in the sponsor’s technical report accompanying the submission:</w:t>
      </w:r>
    </w:p>
    <w:p w14:paraId="566CFDC8" w14:textId="597A81E7" w:rsidR="00A4529D" w:rsidRPr="0031419F" w:rsidRDefault="00A4529D" w:rsidP="00A4529D">
      <w:pPr>
        <w:pStyle w:val="3-BodyText"/>
        <w:numPr>
          <w:ilvl w:val="0"/>
          <w:numId w:val="0"/>
        </w:numPr>
        <w:ind w:left="993"/>
      </w:pPr>
      <w:r w:rsidRPr="0031419F">
        <w:t xml:space="preserve">“A hyperactive PI3K pathway prevents normal B and T cell development, resulting in the clinical phenotype [observed for APDS]; the biological plausibility of this relationship has already been described, providing “Level 3” evidence of a relationship between the surrogate markers and </w:t>
      </w:r>
      <w:r w:rsidR="00B037EC" w:rsidRPr="0031419F">
        <w:t xml:space="preserve">[patient-centred outcomes] </w:t>
      </w:r>
      <w:r w:rsidRPr="0031419F">
        <w:t>PCOs under the [European Network for Health Technology Assessment] EUnetHTA Surrogate Endpoints guidance. However, the possibility of generating “Level 2” evidence quantifying the strength of association between surrogate and PCO endpoints has not been explored.”</w:t>
      </w:r>
    </w:p>
    <w:p w14:paraId="1770E221" w14:textId="2820CD18" w:rsidR="00177417" w:rsidRPr="00B30187" w:rsidRDefault="00A4529D" w:rsidP="00177417">
      <w:pPr>
        <w:pStyle w:val="3-BodyText"/>
        <w:rPr>
          <w:bCs/>
        </w:rPr>
      </w:pPr>
      <w:r w:rsidRPr="0031419F">
        <w:t>Overall</w:t>
      </w:r>
      <w:r w:rsidRPr="0067128E">
        <w:t xml:space="preserve">, </w:t>
      </w:r>
      <w:r w:rsidR="00E272C0" w:rsidRPr="0067128E">
        <w:t xml:space="preserve">the Sub-Committees considered that </w:t>
      </w:r>
      <w:r w:rsidR="00177417" w:rsidRPr="0067128E">
        <w:t>the surrogate outcomes, such as immune cell changes, provide a representation of the underlying disease activity for APDS, making them valid and meaningful outcomes. However</w:t>
      </w:r>
      <w:r w:rsidR="00171A58">
        <w:t>,</w:t>
      </w:r>
      <w:r w:rsidR="00177417" w:rsidRPr="0067128E">
        <w:t xml:space="preserve"> the Sub-Committees considered that the measured outcomes do not necessarily correlate well with clinical manifestation of the disease, and the submission and the PSCR did not provide strong quantitative evidence linking surrogate outcomes to final outcomes.</w:t>
      </w:r>
    </w:p>
    <w:p w14:paraId="6A60E6DE" w14:textId="3533E8AD" w:rsidR="00A4529D" w:rsidRPr="0031419F" w:rsidRDefault="00A4529D" w:rsidP="00A4529D">
      <w:pPr>
        <w:pStyle w:val="3-BodyText"/>
        <w:spacing w:before="0" w:after="120"/>
      </w:pPr>
      <w:r w:rsidRPr="0031419F">
        <w:t>In Study 2201 Part II, the co-primary efficacy endpoint related to lymphoproliferation was met, with leniolisib treatment resulting in a statistically significant decrease in lymphadenopathy, as measured by the change from baseline at Week 12 (Day 85) in the log10 transformed sum of product diameters (SPD) of up to six index lesions (nodal) in the PD analysis set, indicating reduced lymphoproliferation (</w:t>
      </w:r>
      <w:r w:rsidRPr="0031419F">
        <w:fldChar w:fldCharType="begin" w:fldLock="1"/>
      </w:r>
      <w:r w:rsidRPr="0031419F">
        <w:instrText xml:space="preserve"> REF _Ref195995907 \h </w:instrText>
      </w:r>
      <w:r w:rsidR="0031419F" w:rsidRPr="0031419F">
        <w:instrText xml:space="preserve"> \* MERGEFORMAT </w:instrText>
      </w:r>
      <w:r w:rsidRPr="0031419F">
        <w:fldChar w:fldCharType="separate"/>
      </w:r>
      <w:r w:rsidR="00C34379" w:rsidRPr="0031419F">
        <w:t xml:space="preserve">Table </w:t>
      </w:r>
      <w:r w:rsidR="00C34379">
        <w:rPr>
          <w:noProof/>
        </w:rPr>
        <w:t>6</w:t>
      </w:r>
      <w:r w:rsidRPr="0031419F">
        <w:fldChar w:fldCharType="end"/>
      </w:r>
      <w:r w:rsidRPr="0031419F">
        <w:t xml:space="preserve">). The effect in the primary analysis was consistent with the supportive analysis which used the sum of the square root of the products of diameters of index lesions to measure index lesion size. </w:t>
      </w:r>
    </w:p>
    <w:p w14:paraId="2285BAF3" w14:textId="111113A0" w:rsidR="00A4529D" w:rsidRPr="0031419F" w:rsidRDefault="00A4529D" w:rsidP="000C6015">
      <w:pPr>
        <w:pStyle w:val="Caption"/>
      </w:pPr>
      <w:bookmarkStart w:id="22" w:name="_Ref195995907"/>
      <w:r w:rsidRPr="0031419F">
        <w:t xml:space="preserve">Table </w:t>
      </w:r>
      <w:r w:rsidR="00C34379">
        <w:fldChar w:fldCharType="begin" w:fldLock="1"/>
      </w:r>
      <w:r w:rsidR="00C34379">
        <w:instrText xml:space="preserve"> SEQ Table \* ARABIC </w:instrText>
      </w:r>
      <w:r w:rsidR="00C34379">
        <w:fldChar w:fldCharType="separate"/>
      </w:r>
      <w:r w:rsidR="00C34379">
        <w:rPr>
          <w:noProof/>
        </w:rPr>
        <w:t>6</w:t>
      </w:r>
      <w:r w:rsidR="00C34379">
        <w:rPr>
          <w:noProof/>
        </w:rPr>
        <w:fldChar w:fldCharType="end"/>
      </w:r>
      <w:bookmarkEnd w:id="22"/>
      <w:r w:rsidRPr="0031419F">
        <w:t>: Index lesion size, change from baseline at Day 85 in log10 transformed SPD of index lesions (Study 2201 Part II; PD analysis set)</w:t>
      </w:r>
    </w:p>
    <w:tbl>
      <w:tblPr>
        <w:tblStyle w:val="DossierTable1"/>
        <w:tblW w:w="5000" w:type="pct"/>
        <w:tblCellMar>
          <w:left w:w="28" w:type="dxa"/>
          <w:right w:w="28" w:type="dxa"/>
        </w:tblCellMar>
        <w:tblLook w:val="04A0" w:firstRow="1" w:lastRow="0" w:firstColumn="1" w:lastColumn="0" w:noHBand="0" w:noVBand="1"/>
        <w:tblCaption w:val="Table 6: Index lesion size, change from baseline at Day 85 in log10 transformed SPD of index lesions (Study 2201 Part II; PD analysis set)"/>
      </w:tblPr>
      <w:tblGrid>
        <w:gridCol w:w="2930"/>
        <w:gridCol w:w="1673"/>
        <w:gridCol w:w="858"/>
        <w:gridCol w:w="836"/>
        <w:gridCol w:w="1151"/>
        <w:gridCol w:w="1450"/>
      </w:tblGrid>
      <w:tr w:rsidR="00A4529D" w:rsidRPr="0031419F" w14:paraId="6963B599" w14:textId="77777777" w:rsidTr="00C844E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8" w:type="pct"/>
            <w:vMerge w:val="restart"/>
          </w:tcPr>
          <w:p w14:paraId="7F61D01E" w14:textId="77777777" w:rsidR="00A4529D" w:rsidRPr="0031419F" w:rsidRDefault="00A4529D" w:rsidP="000C6015">
            <w:pPr>
              <w:pStyle w:val="In-tableHeading"/>
              <w:rPr>
                <w:sz w:val="20"/>
                <w:lang w:val="en-AU"/>
              </w:rPr>
            </w:pPr>
          </w:p>
        </w:tc>
        <w:tc>
          <w:tcPr>
            <w:tcW w:w="941" w:type="pct"/>
            <w:vMerge w:val="restart"/>
          </w:tcPr>
          <w:p w14:paraId="667A18EA" w14:textId="77777777" w:rsidR="00A4529D" w:rsidRPr="0031419F" w:rsidRDefault="00A4529D" w:rsidP="000C6015">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Mean change (SE)</w:t>
            </w:r>
          </w:p>
        </w:tc>
        <w:tc>
          <w:tcPr>
            <w:tcW w:w="1595" w:type="pct"/>
            <w:gridSpan w:val="3"/>
          </w:tcPr>
          <w:p w14:paraId="751AB953" w14:textId="77777777" w:rsidR="00A4529D" w:rsidRPr="0031419F" w:rsidRDefault="00A4529D" w:rsidP="000C6015">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Comparison of adjusted means</w:t>
            </w:r>
          </w:p>
        </w:tc>
        <w:tc>
          <w:tcPr>
            <w:tcW w:w="815" w:type="pct"/>
          </w:tcPr>
          <w:p w14:paraId="1D4489B5" w14:textId="77777777" w:rsidR="00A4529D" w:rsidRPr="0031419F" w:rsidRDefault="00A4529D" w:rsidP="000C6015">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Test versus reference</w:t>
            </w:r>
          </w:p>
        </w:tc>
      </w:tr>
      <w:tr w:rsidR="00A4529D" w:rsidRPr="0031419F" w14:paraId="29DD12FF"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1648" w:type="pct"/>
            <w:vMerge/>
          </w:tcPr>
          <w:p w14:paraId="313AAE69" w14:textId="77777777" w:rsidR="00A4529D" w:rsidRPr="0031419F" w:rsidRDefault="00A4529D" w:rsidP="000C6015">
            <w:pPr>
              <w:pStyle w:val="In-tableHeading"/>
              <w:rPr>
                <w:sz w:val="20"/>
                <w:lang w:val="en-AU"/>
              </w:rPr>
            </w:pPr>
          </w:p>
        </w:tc>
        <w:tc>
          <w:tcPr>
            <w:tcW w:w="941" w:type="pct"/>
            <w:vMerge/>
          </w:tcPr>
          <w:p w14:paraId="3341C757" w14:textId="77777777" w:rsidR="00A4529D" w:rsidRPr="0031419F" w:rsidRDefault="00A4529D" w:rsidP="000C6015">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p>
        </w:tc>
        <w:tc>
          <w:tcPr>
            <w:tcW w:w="476" w:type="pct"/>
          </w:tcPr>
          <w:p w14:paraId="7D891C3C" w14:textId="77777777" w:rsidR="00A4529D" w:rsidRPr="0031419F" w:rsidRDefault="00A4529D" w:rsidP="000C6015">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Difference</w:t>
            </w:r>
          </w:p>
        </w:tc>
        <w:tc>
          <w:tcPr>
            <w:tcW w:w="471" w:type="pct"/>
          </w:tcPr>
          <w:p w14:paraId="100D1C84" w14:textId="77777777" w:rsidR="00A4529D" w:rsidRPr="0031419F" w:rsidRDefault="00A4529D" w:rsidP="000C6015">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SE</w:t>
            </w:r>
          </w:p>
        </w:tc>
        <w:tc>
          <w:tcPr>
            <w:tcW w:w="648" w:type="pct"/>
          </w:tcPr>
          <w:p w14:paraId="620BAB06" w14:textId="77777777" w:rsidR="00A4529D" w:rsidRPr="0031419F" w:rsidRDefault="00A4529D" w:rsidP="000C6015">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95% CI</w:t>
            </w:r>
          </w:p>
        </w:tc>
        <w:tc>
          <w:tcPr>
            <w:tcW w:w="815" w:type="pct"/>
          </w:tcPr>
          <w:p w14:paraId="74ACF26C" w14:textId="77777777" w:rsidR="00A4529D" w:rsidRPr="0031419F" w:rsidRDefault="00A4529D" w:rsidP="000C6015">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2-sided p-value</w:t>
            </w:r>
          </w:p>
        </w:tc>
      </w:tr>
      <w:tr w:rsidR="00A4529D" w:rsidRPr="0031419F" w14:paraId="0F208317"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tcPr>
          <w:p w14:paraId="212E7A8F" w14:textId="77777777" w:rsidR="00A4529D" w:rsidRPr="0031419F" w:rsidRDefault="00A4529D" w:rsidP="000C6015">
            <w:pPr>
              <w:pStyle w:val="Tabletext"/>
              <w:keepNext/>
              <w:keepLines/>
              <w:rPr>
                <w:b/>
                <w:bCs/>
                <w:szCs w:val="20"/>
                <w:lang w:val="en-AU"/>
              </w:rPr>
            </w:pPr>
            <w:r w:rsidRPr="0031419F">
              <w:rPr>
                <w:b/>
                <w:bCs/>
                <w:szCs w:val="20"/>
                <w:lang w:val="en-AU"/>
              </w:rPr>
              <w:t>Primary efficacy analysis (log10 transformed SPD)</w:t>
            </w:r>
            <w:r w:rsidRPr="0031419F">
              <w:rPr>
                <w:b/>
                <w:bCs/>
                <w:szCs w:val="20"/>
                <w:vertAlign w:val="superscript"/>
                <w:lang w:val="en-AU"/>
              </w:rPr>
              <w:t xml:space="preserve">a </w:t>
            </w:r>
            <w:r w:rsidRPr="0031419F">
              <w:rPr>
                <w:b/>
                <w:bCs/>
                <w:szCs w:val="20"/>
                <w:lang w:val="en-AU"/>
              </w:rPr>
              <w:t>PD analysis set</w:t>
            </w:r>
          </w:p>
        </w:tc>
      </w:tr>
      <w:tr w:rsidR="00A4529D" w:rsidRPr="0031419F" w14:paraId="0D58DE1C"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6D51B33D" w14:textId="77777777" w:rsidR="00A4529D" w:rsidRPr="0031419F" w:rsidRDefault="00A4529D" w:rsidP="000C6015">
            <w:pPr>
              <w:pStyle w:val="Tabletext"/>
              <w:keepNext/>
              <w:keepLines/>
              <w:rPr>
                <w:szCs w:val="20"/>
                <w:lang w:val="en-AU"/>
              </w:rPr>
            </w:pPr>
            <w:r w:rsidRPr="0031419F">
              <w:rPr>
                <w:szCs w:val="20"/>
                <w:lang w:val="en-AU"/>
              </w:rPr>
              <w:t>Leniolisib 70 mg bid (n=18)</w:t>
            </w:r>
          </w:p>
        </w:tc>
        <w:tc>
          <w:tcPr>
            <w:tcW w:w="941" w:type="pct"/>
            <w:vAlign w:val="center"/>
          </w:tcPr>
          <w:p w14:paraId="7256199A"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−0.27 (0.04)</w:t>
            </w:r>
          </w:p>
        </w:tc>
        <w:tc>
          <w:tcPr>
            <w:tcW w:w="476" w:type="pct"/>
            <w:vMerge w:val="restart"/>
            <w:vAlign w:val="center"/>
          </w:tcPr>
          <w:p w14:paraId="6C211F41"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−0.25</w:t>
            </w:r>
          </w:p>
        </w:tc>
        <w:tc>
          <w:tcPr>
            <w:tcW w:w="471" w:type="pct"/>
            <w:vMerge w:val="restart"/>
            <w:vAlign w:val="center"/>
          </w:tcPr>
          <w:p w14:paraId="4DB8F99F"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0.06</w:t>
            </w:r>
          </w:p>
        </w:tc>
        <w:tc>
          <w:tcPr>
            <w:tcW w:w="648" w:type="pct"/>
            <w:vMerge w:val="restart"/>
            <w:vAlign w:val="center"/>
          </w:tcPr>
          <w:p w14:paraId="4C4D3016"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−0.38, −0.12</w:t>
            </w:r>
          </w:p>
        </w:tc>
        <w:tc>
          <w:tcPr>
            <w:tcW w:w="815" w:type="pct"/>
            <w:vMerge w:val="restart"/>
            <w:vAlign w:val="center"/>
          </w:tcPr>
          <w:p w14:paraId="483AA857"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0.0006</w:t>
            </w:r>
          </w:p>
        </w:tc>
      </w:tr>
      <w:tr w:rsidR="00A4529D" w:rsidRPr="0031419F" w14:paraId="2CFD6F72" w14:textId="77777777" w:rsidTr="00C844EC">
        <w:trPr>
          <w:trHeight w:val="232"/>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254D9D1C" w14:textId="77777777" w:rsidR="00A4529D" w:rsidRPr="0031419F" w:rsidRDefault="00A4529D" w:rsidP="000C6015">
            <w:pPr>
              <w:pStyle w:val="Tabletext"/>
              <w:keepNext/>
              <w:keepLines/>
              <w:rPr>
                <w:szCs w:val="20"/>
                <w:lang w:val="en-AU"/>
              </w:rPr>
            </w:pPr>
            <w:r w:rsidRPr="0031419F">
              <w:rPr>
                <w:szCs w:val="20"/>
                <w:lang w:val="en-AU"/>
              </w:rPr>
              <w:t>Placebo (n=8)</w:t>
            </w:r>
          </w:p>
        </w:tc>
        <w:tc>
          <w:tcPr>
            <w:tcW w:w="941" w:type="pct"/>
            <w:vAlign w:val="center"/>
          </w:tcPr>
          <w:p w14:paraId="2D90F2D8"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−0.02 (0.06)</w:t>
            </w:r>
          </w:p>
        </w:tc>
        <w:tc>
          <w:tcPr>
            <w:tcW w:w="476" w:type="pct"/>
            <w:vMerge/>
            <w:vAlign w:val="center"/>
          </w:tcPr>
          <w:p w14:paraId="2CC120BC"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471" w:type="pct"/>
            <w:vMerge/>
            <w:vAlign w:val="center"/>
          </w:tcPr>
          <w:p w14:paraId="0811A517"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648" w:type="pct"/>
            <w:vMerge/>
            <w:vAlign w:val="center"/>
          </w:tcPr>
          <w:p w14:paraId="27F72033"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815" w:type="pct"/>
            <w:vMerge/>
            <w:vAlign w:val="center"/>
          </w:tcPr>
          <w:p w14:paraId="4E9B0AE2"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r>
      <w:tr w:rsidR="00A4529D" w:rsidRPr="0031419F" w14:paraId="24E6CEB8"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1A93F1C" w14:textId="77777777" w:rsidR="00A4529D" w:rsidRPr="0031419F" w:rsidRDefault="00A4529D" w:rsidP="000C6015">
            <w:pPr>
              <w:pStyle w:val="Tabletext"/>
              <w:keepNext/>
              <w:keepLines/>
              <w:rPr>
                <w:szCs w:val="20"/>
                <w:lang w:val="en-AU"/>
              </w:rPr>
            </w:pPr>
            <w:r w:rsidRPr="0031419F">
              <w:rPr>
                <w:szCs w:val="20"/>
                <w:lang w:val="en-AU"/>
              </w:rPr>
              <w:t>Supportive analysis (sum of square root of the product of diameters)</w:t>
            </w:r>
            <w:r w:rsidRPr="0031419F">
              <w:rPr>
                <w:szCs w:val="20"/>
                <w:vertAlign w:val="superscript"/>
                <w:lang w:val="en-AU"/>
              </w:rPr>
              <w:t>b</w:t>
            </w:r>
          </w:p>
        </w:tc>
      </w:tr>
      <w:tr w:rsidR="00A4529D" w:rsidRPr="0031419F" w14:paraId="41BF93F2"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45952F80" w14:textId="77777777" w:rsidR="00A4529D" w:rsidRPr="0031419F" w:rsidRDefault="00A4529D" w:rsidP="000C6015">
            <w:pPr>
              <w:pStyle w:val="Tabletext"/>
              <w:keepNext/>
              <w:keepLines/>
              <w:rPr>
                <w:szCs w:val="20"/>
                <w:lang w:val="en-AU"/>
              </w:rPr>
            </w:pPr>
            <w:r w:rsidRPr="0031419F">
              <w:rPr>
                <w:szCs w:val="20"/>
                <w:lang w:val="en-AU"/>
              </w:rPr>
              <w:t>Leniolisib 70 mg bid (n=19)</w:t>
            </w:r>
          </w:p>
        </w:tc>
        <w:tc>
          <w:tcPr>
            <w:tcW w:w="941" w:type="pct"/>
            <w:vAlign w:val="center"/>
          </w:tcPr>
          <w:p w14:paraId="074C265B"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−23.68 (4.17)</w:t>
            </w:r>
          </w:p>
        </w:tc>
        <w:tc>
          <w:tcPr>
            <w:tcW w:w="476" w:type="pct"/>
            <w:vMerge w:val="restart"/>
            <w:vAlign w:val="center"/>
          </w:tcPr>
          <w:p w14:paraId="0F683745"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−21.91</w:t>
            </w:r>
          </w:p>
        </w:tc>
        <w:tc>
          <w:tcPr>
            <w:tcW w:w="471" w:type="pct"/>
            <w:vMerge w:val="restart"/>
            <w:vAlign w:val="center"/>
          </w:tcPr>
          <w:p w14:paraId="2C1D0D1D"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6.86</w:t>
            </w:r>
          </w:p>
        </w:tc>
        <w:tc>
          <w:tcPr>
            <w:tcW w:w="648" w:type="pct"/>
            <w:vMerge w:val="restart"/>
            <w:vAlign w:val="center"/>
          </w:tcPr>
          <w:p w14:paraId="718CCA1A"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−36.12, −7.69</w:t>
            </w:r>
          </w:p>
        </w:tc>
        <w:tc>
          <w:tcPr>
            <w:tcW w:w="815" w:type="pct"/>
            <w:vMerge w:val="restart"/>
            <w:vAlign w:val="center"/>
          </w:tcPr>
          <w:p w14:paraId="41324CF8"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0.0042</w:t>
            </w:r>
          </w:p>
        </w:tc>
      </w:tr>
      <w:tr w:rsidR="00A4529D" w:rsidRPr="0031419F" w14:paraId="246D19F5" w14:textId="77777777" w:rsidTr="00C844EC">
        <w:trPr>
          <w:trHeight w:val="20"/>
        </w:trPr>
        <w:tc>
          <w:tcPr>
            <w:cnfStyle w:val="001000000000" w:firstRow="0" w:lastRow="0" w:firstColumn="1" w:lastColumn="0" w:oddVBand="0" w:evenVBand="0" w:oddHBand="0" w:evenHBand="0" w:firstRowFirstColumn="0" w:firstRowLastColumn="0" w:lastRowFirstColumn="0" w:lastRowLastColumn="0"/>
            <w:tcW w:w="1648" w:type="pct"/>
          </w:tcPr>
          <w:p w14:paraId="6D9B7A30" w14:textId="77777777" w:rsidR="00A4529D" w:rsidRPr="0031419F" w:rsidRDefault="00A4529D" w:rsidP="000C6015">
            <w:pPr>
              <w:pStyle w:val="Tabletext"/>
              <w:keepNext/>
              <w:keepLines/>
              <w:rPr>
                <w:szCs w:val="20"/>
                <w:lang w:val="en-AU"/>
              </w:rPr>
            </w:pPr>
            <w:r w:rsidRPr="0031419F">
              <w:rPr>
                <w:szCs w:val="20"/>
                <w:lang w:val="en-AU"/>
              </w:rPr>
              <w:t>Placebo (n=8)</w:t>
            </w:r>
          </w:p>
        </w:tc>
        <w:tc>
          <w:tcPr>
            <w:tcW w:w="941" w:type="pct"/>
            <w:vAlign w:val="center"/>
          </w:tcPr>
          <w:p w14:paraId="00AB6406" w14:textId="77777777" w:rsidR="00A4529D" w:rsidRPr="0031419F" w:rsidRDefault="00A4529D" w:rsidP="000C6015">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−1.78 (6.11)</w:t>
            </w:r>
          </w:p>
        </w:tc>
        <w:tc>
          <w:tcPr>
            <w:tcW w:w="476" w:type="pct"/>
            <w:vMerge/>
          </w:tcPr>
          <w:p w14:paraId="4A28F2E6"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471" w:type="pct"/>
            <w:vMerge/>
          </w:tcPr>
          <w:p w14:paraId="1FFB4EA7"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648" w:type="pct"/>
            <w:vMerge/>
          </w:tcPr>
          <w:p w14:paraId="07052D98"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c>
          <w:tcPr>
            <w:tcW w:w="815" w:type="pct"/>
            <w:vMerge/>
          </w:tcPr>
          <w:p w14:paraId="6CB2DA49" w14:textId="77777777" w:rsidR="00A4529D" w:rsidRPr="0031419F" w:rsidRDefault="00A4529D" w:rsidP="000C6015">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tc>
      </w:tr>
    </w:tbl>
    <w:p w14:paraId="0889942A" w14:textId="77777777" w:rsidR="00A4529D" w:rsidRPr="0031419F" w:rsidRDefault="00A4529D" w:rsidP="000C6015">
      <w:pPr>
        <w:pStyle w:val="TableFigureFooter"/>
        <w:keepNext/>
        <w:rPr>
          <w:lang w:val="en-AU"/>
        </w:rPr>
      </w:pPr>
      <w:r w:rsidRPr="0031419F">
        <w:rPr>
          <w:lang w:val="en-AU"/>
        </w:rPr>
        <w:t>bid = twice daily; CI = confidence interval; PD = pharmacodynamics;</w:t>
      </w:r>
      <w:r w:rsidRPr="0031419F">
        <w:rPr>
          <w:shd w:val="clear" w:color="auto" w:fill="FFFFFF"/>
          <w:lang w:val="en-AU"/>
        </w:rPr>
        <w:t xml:space="preserve"> SE = </w:t>
      </w:r>
      <w:r w:rsidRPr="0031419F">
        <w:rPr>
          <w:lang w:val="en-AU"/>
        </w:rPr>
        <w:t>standard error of the mean;</w:t>
      </w:r>
      <w:r w:rsidRPr="0031419F">
        <w:rPr>
          <w:shd w:val="clear" w:color="auto" w:fill="FFFFFF"/>
          <w:lang w:val="en-AU"/>
        </w:rPr>
        <w:t xml:space="preserve"> </w:t>
      </w:r>
      <w:r w:rsidRPr="0031419F">
        <w:rPr>
          <w:lang w:val="en-AU"/>
        </w:rPr>
        <w:t>SPD = sum of product diameters.</w:t>
      </w:r>
    </w:p>
    <w:p w14:paraId="10D3EB3E" w14:textId="77777777" w:rsidR="00F71E2A" w:rsidRPr="0031419F" w:rsidRDefault="00A4529D" w:rsidP="000C6015">
      <w:pPr>
        <w:pStyle w:val="TableFigureFooter"/>
        <w:keepNext/>
        <w:rPr>
          <w:lang w:val="en-AU"/>
        </w:rPr>
      </w:pPr>
      <w:r w:rsidRPr="0031419F">
        <w:rPr>
          <w:vertAlign w:val="superscript"/>
          <w:lang w:val="en-AU"/>
        </w:rPr>
        <w:t>a</w:t>
      </w:r>
      <w:r w:rsidR="00F71E2A" w:rsidRPr="0031419F">
        <w:rPr>
          <w:vertAlign w:val="superscript"/>
          <w:lang w:val="en-AU"/>
        </w:rPr>
        <w:t xml:space="preserve"> </w:t>
      </w:r>
      <w:r w:rsidRPr="0031419F">
        <w:rPr>
          <w:lang w:val="en-AU"/>
        </w:rPr>
        <w:t xml:space="preserve">One participant receiving leniolisib was excluded from the PD analysis set because the baseline index node fully resolved by Day 85, and therefore the “log10 transformed SPD of index lesions” could not be derived. </w:t>
      </w:r>
    </w:p>
    <w:p w14:paraId="2105BFAA" w14:textId="2CF45E33" w:rsidR="00A4529D" w:rsidRPr="0031419F" w:rsidRDefault="00A4529D" w:rsidP="000C6015">
      <w:pPr>
        <w:pStyle w:val="TableFigureFooter"/>
        <w:keepNext/>
        <w:rPr>
          <w:lang w:val="en-AU"/>
        </w:rPr>
      </w:pPr>
      <w:r w:rsidRPr="0031419F">
        <w:rPr>
          <w:vertAlign w:val="superscript"/>
          <w:lang w:val="en-AU"/>
        </w:rPr>
        <w:t>b</w:t>
      </w:r>
      <w:r w:rsidR="00F71E2A" w:rsidRPr="0031419F">
        <w:rPr>
          <w:vertAlign w:val="superscript"/>
          <w:lang w:val="en-AU"/>
        </w:rPr>
        <w:t xml:space="preserve"> </w:t>
      </w:r>
      <w:r w:rsidRPr="0031419F">
        <w:rPr>
          <w:lang w:val="en-AU"/>
        </w:rPr>
        <w:t xml:space="preserve">Included all participants from the PD analysis set regardless of the number of lesions at baseline. </w:t>
      </w:r>
    </w:p>
    <w:p w14:paraId="74969D45" w14:textId="77777777" w:rsidR="00A4529D" w:rsidRPr="0031419F" w:rsidRDefault="00A4529D" w:rsidP="00A4529D">
      <w:pPr>
        <w:pStyle w:val="TableFigureFooter"/>
        <w:rPr>
          <w:lang w:val="en-AU"/>
        </w:rPr>
      </w:pPr>
      <w:r w:rsidRPr="0031419F">
        <w:rPr>
          <w:lang w:val="en-AU"/>
        </w:rPr>
        <w:t>Source: Table 2.21, p117 of the submission.</w:t>
      </w:r>
    </w:p>
    <w:p w14:paraId="511C48F7" w14:textId="0B4D611C" w:rsidR="00A4529D" w:rsidRPr="0031419F" w:rsidRDefault="00A4529D" w:rsidP="00A4529D">
      <w:pPr>
        <w:pStyle w:val="3-BodyText"/>
        <w:spacing w:before="0" w:after="120"/>
      </w:pPr>
      <w:r w:rsidRPr="0031419F">
        <w:t xml:space="preserve">In Study 2201E1, effects of leniolisib treatment on index lesion size were sustained to Day 168 and Day 252. </w:t>
      </w:r>
      <w:r w:rsidR="00F237B9" w:rsidRPr="00F237B9">
        <w:t>Tutein Nolthenius</w:t>
      </w:r>
      <w:r w:rsidRPr="0031419F">
        <w:t xml:space="preserve"> 2025 (unpublished manuscript) reported that a single timepoint analysis found a weak correlation between index lymph node size and PtGA at day 85 (r=-0.36; p=0.034</w:t>
      </w:r>
      <w:r w:rsidRPr="0045772B">
        <w:rPr>
          <w:i/>
          <w:iCs/>
        </w:rPr>
        <w:t xml:space="preserve">). </w:t>
      </w:r>
      <w:r w:rsidR="00707293" w:rsidRPr="008B433C">
        <w:t>The</w:t>
      </w:r>
      <w:r w:rsidR="0045772B" w:rsidRPr="008B433C">
        <w:t xml:space="preserve"> PSCR stated that</w:t>
      </w:r>
      <w:r w:rsidR="00707293" w:rsidRPr="008B433C">
        <w:t xml:space="preserve"> </w:t>
      </w:r>
      <w:r w:rsidR="0045772B" w:rsidRPr="008B433C">
        <w:rPr>
          <w:color w:val="000000"/>
        </w:rPr>
        <w:t>lymphadenopathy measures provide direct clinical utility, as pulmonary or gastrointestinal lymphoproliferation can lead to serious local complications</w:t>
      </w:r>
      <w:r w:rsidR="0045772B" w:rsidRPr="008B433C">
        <w:t xml:space="preserve">. The </w:t>
      </w:r>
      <w:r w:rsidR="00707293" w:rsidRPr="008B433C">
        <w:t xml:space="preserve">Sub-Committees considered it was </w:t>
      </w:r>
      <w:r w:rsidR="007F03B3" w:rsidRPr="008B433C">
        <w:t xml:space="preserve">plausible that a reduction in lymph node size </w:t>
      </w:r>
      <w:r w:rsidR="00A62B53" w:rsidRPr="008B433C">
        <w:t>would have an impact on QoL</w:t>
      </w:r>
      <w:r w:rsidR="002F5164" w:rsidRPr="008B433C">
        <w:t xml:space="preserve"> based on these complications</w:t>
      </w:r>
      <w:r w:rsidR="00A62B53" w:rsidRPr="008B433C">
        <w:t>.</w:t>
      </w:r>
      <w:r w:rsidR="00A62B53">
        <w:t xml:space="preserve"> </w:t>
      </w:r>
    </w:p>
    <w:p w14:paraId="452810F5" w14:textId="0E719BFF" w:rsidR="00A4529D" w:rsidRPr="0031419F" w:rsidRDefault="00A4529D" w:rsidP="00A4529D">
      <w:pPr>
        <w:pStyle w:val="3-BodyText"/>
        <w:spacing w:before="0" w:after="120"/>
      </w:pPr>
      <w:r w:rsidRPr="0031419F">
        <w:t>Post hoc analysis A investigated responders for change in index lesion size results for Study 2201 Part II (</w:t>
      </w:r>
      <w:r w:rsidRPr="0031419F">
        <w:fldChar w:fldCharType="begin" w:fldLock="1"/>
      </w:r>
      <w:r w:rsidRPr="0031419F">
        <w:instrText xml:space="preserve"> REF _Ref195997234 \h </w:instrText>
      </w:r>
      <w:r w:rsidR="0031419F" w:rsidRPr="0031419F">
        <w:instrText xml:space="preserve"> \* MERGEFORMAT </w:instrText>
      </w:r>
      <w:r w:rsidRPr="0031419F">
        <w:fldChar w:fldCharType="separate"/>
      </w:r>
      <w:r w:rsidR="00C34379" w:rsidRPr="0031419F">
        <w:t xml:space="preserve">Table </w:t>
      </w:r>
      <w:r w:rsidR="00C34379">
        <w:rPr>
          <w:noProof/>
        </w:rPr>
        <w:t>7</w:t>
      </w:r>
      <w:r w:rsidRPr="0031419F">
        <w:fldChar w:fldCharType="end"/>
      </w:r>
      <w:r w:rsidRPr="0031419F">
        <w:t>). The submission reported that the Delphi panel found a median reduction in lymph node size of ≥20% in adults and ≥25% in adolescents with APDS after three months of treatment would be considered clinically meaningful, therefore a responder was defined as any patient who achieved a reduction in lymph node of ≥20% (if adult) or ≥25% (if adolescent) at day 85 (week 12).</w:t>
      </w:r>
    </w:p>
    <w:p w14:paraId="2D1F700E" w14:textId="1BCDCFFE" w:rsidR="00A4529D" w:rsidRPr="0031419F" w:rsidRDefault="00A4529D" w:rsidP="00C85494">
      <w:pPr>
        <w:pStyle w:val="Caption"/>
      </w:pPr>
      <w:bookmarkStart w:id="23" w:name="_Ref195997234"/>
      <w:r w:rsidRPr="0031419F">
        <w:t xml:space="preserve">Table </w:t>
      </w:r>
      <w:r w:rsidR="00C34379">
        <w:fldChar w:fldCharType="begin" w:fldLock="1"/>
      </w:r>
      <w:r w:rsidR="00C34379">
        <w:instrText xml:space="preserve"> SEQ Table \* ARABIC </w:instrText>
      </w:r>
      <w:r w:rsidR="00C34379">
        <w:fldChar w:fldCharType="separate"/>
      </w:r>
      <w:r w:rsidR="00C34379">
        <w:rPr>
          <w:noProof/>
        </w:rPr>
        <w:t>7</w:t>
      </w:r>
      <w:r w:rsidR="00C34379">
        <w:rPr>
          <w:noProof/>
        </w:rPr>
        <w:fldChar w:fldCharType="end"/>
      </w:r>
      <w:bookmarkEnd w:id="23"/>
      <w:r w:rsidRPr="0031419F">
        <w:t xml:space="preserve">: Post hoc analysis A: Responder analysis of all participants with an enlarged lymph node at baseline with ≥20 (adults) or </w:t>
      </w:r>
      <w:r w:rsidR="00333A49" w:rsidRPr="0031419F">
        <w:t>≥</w:t>
      </w:r>
      <w:r w:rsidRPr="0031419F">
        <w:t>25% (adolescents) reduction from Baseline at Day 85 in index lesion SPD (Study 2201 Part II; PD analysis set)</w:t>
      </w:r>
    </w:p>
    <w:tbl>
      <w:tblPr>
        <w:tblStyle w:val="DossierTable1"/>
        <w:tblW w:w="5003" w:type="pct"/>
        <w:tblCellMar>
          <w:left w:w="28" w:type="dxa"/>
          <w:right w:w="28" w:type="dxa"/>
        </w:tblCellMar>
        <w:tblLook w:val="04A0" w:firstRow="1" w:lastRow="0" w:firstColumn="1" w:lastColumn="0" w:noHBand="0" w:noVBand="1"/>
        <w:tblCaption w:val="Table 7: Post hoc analysis A: Responder analysis of all participants with an enlarged lymph node at baseline with ≥20 (adults) or ≥25% (adolescents) reduction from Baseline at Day 85 in index lesion SPD (Study 2201 Part II; PD analysis set)"/>
      </w:tblPr>
      <w:tblGrid>
        <w:gridCol w:w="4935"/>
        <w:gridCol w:w="2146"/>
        <w:gridCol w:w="1822"/>
      </w:tblGrid>
      <w:tr w:rsidR="00A4529D" w:rsidRPr="0031419F" w14:paraId="1C3F5CB2" w14:textId="77777777" w:rsidTr="00C84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pct"/>
          </w:tcPr>
          <w:p w14:paraId="2A1A95E4" w14:textId="77777777" w:rsidR="00A4529D" w:rsidRPr="0031419F" w:rsidRDefault="00A4529D" w:rsidP="00C85494">
            <w:pPr>
              <w:pStyle w:val="Tabletext"/>
              <w:keepNext/>
              <w:keepLines/>
              <w:rPr>
                <w:lang w:val="en-AU"/>
              </w:rPr>
            </w:pPr>
          </w:p>
        </w:tc>
        <w:tc>
          <w:tcPr>
            <w:tcW w:w="1205" w:type="pct"/>
          </w:tcPr>
          <w:p w14:paraId="58F50645" w14:textId="77777777" w:rsidR="00A4529D" w:rsidRPr="0031419F" w:rsidRDefault="00A4529D" w:rsidP="00C8549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p>
          <w:p w14:paraId="4AFE78FB" w14:textId="77777777" w:rsidR="00A4529D" w:rsidRPr="0031419F" w:rsidRDefault="00A4529D" w:rsidP="00C8549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(n=21)</w:t>
            </w:r>
          </w:p>
        </w:tc>
        <w:tc>
          <w:tcPr>
            <w:tcW w:w="1023" w:type="pct"/>
          </w:tcPr>
          <w:p w14:paraId="1F740EF3" w14:textId="77777777" w:rsidR="00A4529D" w:rsidRPr="0031419F" w:rsidRDefault="00A4529D" w:rsidP="00C8549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Placebo</w:t>
            </w:r>
          </w:p>
          <w:p w14:paraId="426E4AFB" w14:textId="77777777" w:rsidR="00A4529D" w:rsidRPr="0031419F" w:rsidRDefault="00A4529D" w:rsidP="00C8549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(n=10)</w:t>
            </w:r>
          </w:p>
        </w:tc>
      </w:tr>
      <w:tr w:rsidR="00A4529D" w:rsidRPr="0031419F" w14:paraId="25669FC1" w14:textId="77777777" w:rsidTr="00C844EC">
        <w:tc>
          <w:tcPr>
            <w:cnfStyle w:val="001000000000" w:firstRow="0" w:lastRow="0" w:firstColumn="1" w:lastColumn="0" w:oddVBand="0" w:evenVBand="0" w:oddHBand="0" w:evenHBand="0" w:firstRowFirstColumn="0" w:firstRowLastColumn="0" w:lastRowFirstColumn="0" w:lastRowLastColumn="0"/>
            <w:tcW w:w="2772" w:type="pct"/>
          </w:tcPr>
          <w:p w14:paraId="45D3E684" w14:textId="3C279EEA" w:rsidR="00A4529D" w:rsidRPr="0031419F" w:rsidRDefault="00A4529D" w:rsidP="00C85494">
            <w:pPr>
              <w:pStyle w:val="Tabletext"/>
              <w:keepNext/>
              <w:keepLines/>
              <w:rPr>
                <w:lang w:val="en-AU"/>
              </w:rPr>
            </w:pPr>
            <w:r w:rsidRPr="0031419F">
              <w:rPr>
                <w:lang w:val="en-AU"/>
              </w:rPr>
              <w:t>Number of patients contributing to the analysis</w:t>
            </w:r>
            <w:r w:rsidRPr="0031419F">
              <w:rPr>
                <w:vertAlign w:val="superscript"/>
                <w:lang w:val="en-AU"/>
              </w:rPr>
              <w:t>a</w:t>
            </w:r>
          </w:p>
        </w:tc>
        <w:tc>
          <w:tcPr>
            <w:tcW w:w="1205" w:type="pct"/>
          </w:tcPr>
          <w:p w14:paraId="6D3F253A" w14:textId="77777777" w:rsidR="00A4529D" w:rsidRPr="0031419F" w:rsidRDefault="00A4529D" w:rsidP="00C8549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19</w:t>
            </w:r>
          </w:p>
        </w:tc>
        <w:tc>
          <w:tcPr>
            <w:tcW w:w="1023" w:type="pct"/>
          </w:tcPr>
          <w:p w14:paraId="2A8402A8" w14:textId="77777777" w:rsidR="00A4529D" w:rsidRPr="0031419F" w:rsidRDefault="00A4529D" w:rsidP="00C8549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8</w:t>
            </w:r>
          </w:p>
        </w:tc>
      </w:tr>
      <w:tr w:rsidR="00A4529D" w:rsidRPr="0031419F" w14:paraId="0280849C" w14:textId="77777777" w:rsidTr="00C844EC">
        <w:tc>
          <w:tcPr>
            <w:cnfStyle w:val="001000000000" w:firstRow="0" w:lastRow="0" w:firstColumn="1" w:lastColumn="0" w:oddVBand="0" w:evenVBand="0" w:oddHBand="0" w:evenHBand="0" w:firstRowFirstColumn="0" w:firstRowLastColumn="0" w:lastRowFirstColumn="0" w:lastRowLastColumn="0"/>
            <w:tcW w:w="2772" w:type="pct"/>
          </w:tcPr>
          <w:p w14:paraId="6D0B75D8" w14:textId="77777777" w:rsidR="00A4529D" w:rsidRPr="0031419F" w:rsidRDefault="00A4529D" w:rsidP="00C85494">
            <w:pPr>
              <w:pStyle w:val="Tabletext"/>
              <w:keepNext/>
              <w:keepLines/>
              <w:rPr>
                <w:lang w:val="en-AU"/>
              </w:rPr>
            </w:pPr>
            <w:r w:rsidRPr="0031419F">
              <w:rPr>
                <w:lang w:val="en-AU"/>
              </w:rPr>
              <w:t>Number of responders (%)</w:t>
            </w:r>
          </w:p>
        </w:tc>
        <w:tc>
          <w:tcPr>
            <w:tcW w:w="1205" w:type="pct"/>
          </w:tcPr>
          <w:p w14:paraId="6BB4CB4A" w14:textId="77777777" w:rsidR="00A4529D" w:rsidRPr="0031419F" w:rsidRDefault="00A4529D" w:rsidP="00C8549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17 (89%)</w:t>
            </w:r>
          </w:p>
        </w:tc>
        <w:tc>
          <w:tcPr>
            <w:tcW w:w="1023" w:type="pct"/>
          </w:tcPr>
          <w:p w14:paraId="11E7BE69" w14:textId="77777777" w:rsidR="00A4529D" w:rsidRPr="0031419F" w:rsidRDefault="00A4529D" w:rsidP="00C8549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 (25%)</w:t>
            </w:r>
          </w:p>
        </w:tc>
      </w:tr>
      <w:tr w:rsidR="00A4529D" w:rsidRPr="0031419F" w14:paraId="383F7F43" w14:textId="77777777" w:rsidTr="00C844EC">
        <w:tc>
          <w:tcPr>
            <w:cnfStyle w:val="001000000000" w:firstRow="0" w:lastRow="0" w:firstColumn="1" w:lastColumn="0" w:oddVBand="0" w:evenVBand="0" w:oddHBand="0" w:evenHBand="0" w:firstRowFirstColumn="0" w:firstRowLastColumn="0" w:lastRowFirstColumn="0" w:lastRowLastColumn="0"/>
            <w:tcW w:w="2772" w:type="pct"/>
          </w:tcPr>
          <w:p w14:paraId="176C0C92" w14:textId="77777777" w:rsidR="00A4529D" w:rsidRPr="0031419F" w:rsidRDefault="00A4529D" w:rsidP="00C85494">
            <w:pPr>
              <w:pStyle w:val="Tabletext"/>
              <w:keepNext/>
              <w:keepLines/>
              <w:rPr>
                <w:lang w:val="en-AU"/>
              </w:rPr>
            </w:pPr>
            <w:r w:rsidRPr="0031419F">
              <w:rPr>
                <w:lang w:val="en-AU"/>
              </w:rPr>
              <w:t>RD (95% CI)</w:t>
            </w:r>
          </w:p>
        </w:tc>
        <w:tc>
          <w:tcPr>
            <w:tcW w:w="2228" w:type="pct"/>
            <w:gridSpan w:val="2"/>
          </w:tcPr>
          <w:p w14:paraId="272B03DA" w14:textId="77777777" w:rsidR="00A4529D" w:rsidRPr="0031419F" w:rsidRDefault="00A4529D" w:rsidP="00C8549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0.64 (0.16, 0.89)</w:t>
            </w:r>
          </w:p>
        </w:tc>
      </w:tr>
      <w:tr w:rsidR="00A4529D" w:rsidRPr="0031419F" w14:paraId="364501FD" w14:textId="77777777" w:rsidTr="00C844EC">
        <w:tc>
          <w:tcPr>
            <w:cnfStyle w:val="001000000000" w:firstRow="0" w:lastRow="0" w:firstColumn="1" w:lastColumn="0" w:oddVBand="0" w:evenVBand="0" w:oddHBand="0" w:evenHBand="0" w:firstRowFirstColumn="0" w:firstRowLastColumn="0" w:lastRowFirstColumn="0" w:lastRowLastColumn="0"/>
            <w:tcW w:w="2772" w:type="pct"/>
          </w:tcPr>
          <w:p w14:paraId="77020899" w14:textId="4B8585EF" w:rsidR="00A4529D" w:rsidRPr="0031419F" w:rsidRDefault="00A4529D" w:rsidP="00C85494">
            <w:pPr>
              <w:pStyle w:val="Tabletext"/>
              <w:keepNext/>
              <w:keepLines/>
              <w:rPr>
                <w:lang w:val="en-AU"/>
              </w:rPr>
            </w:pPr>
            <w:r w:rsidRPr="0031419F">
              <w:rPr>
                <w:lang w:val="en-AU"/>
              </w:rPr>
              <w:t>P value</w:t>
            </w:r>
            <w:r w:rsidRPr="0031419F">
              <w:rPr>
                <w:vertAlign w:val="superscript"/>
                <w:lang w:val="en-AU"/>
              </w:rPr>
              <w:t>b</w:t>
            </w:r>
          </w:p>
        </w:tc>
        <w:tc>
          <w:tcPr>
            <w:tcW w:w="2228" w:type="pct"/>
            <w:gridSpan w:val="2"/>
          </w:tcPr>
          <w:p w14:paraId="2410DEED" w14:textId="77777777" w:rsidR="00A4529D" w:rsidRPr="0031419F" w:rsidRDefault="00A4529D" w:rsidP="00C8549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p=0.002</w:t>
            </w:r>
          </w:p>
        </w:tc>
      </w:tr>
    </w:tbl>
    <w:p w14:paraId="106A233A" w14:textId="77777777" w:rsidR="00A4529D" w:rsidRPr="0031419F" w:rsidRDefault="00A4529D" w:rsidP="00C85494">
      <w:pPr>
        <w:pStyle w:val="TableFigureFooter"/>
        <w:keepNext/>
        <w:rPr>
          <w:lang w:val="en-AU"/>
        </w:rPr>
      </w:pPr>
      <w:r w:rsidRPr="0031419F">
        <w:rPr>
          <w:vertAlign w:val="superscript"/>
          <w:lang w:val="en-AU"/>
        </w:rPr>
        <w:t xml:space="preserve">a </w:t>
      </w:r>
      <w:r w:rsidRPr="0031419F">
        <w:rPr>
          <w:lang w:val="en-AU"/>
        </w:rPr>
        <w:t>All patients had data at Day 85.</w:t>
      </w:r>
    </w:p>
    <w:p w14:paraId="52D61327" w14:textId="00B4F646" w:rsidR="00A4529D" w:rsidRPr="0031419F" w:rsidRDefault="00A4529D" w:rsidP="00C85494">
      <w:pPr>
        <w:pStyle w:val="TableFigureFooter"/>
        <w:keepNext/>
        <w:rPr>
          <w:lang w:val="en-AU"/>
        </w:rPr>
      </w:pPr>
      <w:r w:rsidRPr="0031419F">
        <w:rPr>
          <w:vertAlign w:val="superscript"/>
          <w:lang w:val="en-AU"/>
        </w:rPr>
        <w:t>b</w:t>
      </w:r>
      <w:r w:rsidR="00C85494" w:rsidRPr="0031419F">
        <w:rPr>
          <w:vertAlign w:val="superscript"/>
          <w:lang w:val="en-AU"/>
        </w:rPr>
        <w:t xml:space="preserve"> </w:t>
      </w:r>
      <w:r w:rsidRPr="0031419F">
        <w:rPr>
          <w:lang w:val="en-AU"/>
        </w:rPr>
        <w:t xml:space="preserve">Data were analysed using the Fisher’s Exact Test. </w:t>
      </w:r>
    </w:p>
    <w:p w14:paraId="79A9AA03" w14:textId="77777777" w:rsidR="00A4529D" w:rsidRPr="0031419F" w:rsidRDefault="00A4529D" w:rsidP="00C85494">
      <w:pPr>
        <w:pStyle w:val="TableFigureFooter"/>
        <w:keepNext/>
        <w:rPr>
          <w:lang w:val="en-AU"/>
        </w:rPr>
      </w:pPr>
      <w:r w:rsidRPr="0031419F">
        <w:rPr>
          <w:lang w:val="en-AU"/>
        </w:rPr>
        <w:t>Abbreviations: CI: confidence interval; RD: risk difference; SPD: sum of product diameters.</w:t>
      </w:r>
    </w:p>
    <w:p w14:paraId="7CEC360A" w14:textId="77777777" w:rsidR="00A4529D" w:rsidRPr="0031419F" w:rsidRDefault="00A4529D" w:rsidP="00C85494">
      <w:pPr>
        <w:pStyle w:val="TableFigureFooter"/>
        <w:keepNext/>
        <w:rPr>
          <w:lang w:val="en-AU"/>
        </w:rPr>
      </w:pPr>
      <w:r w:rsidRPr="0031419F">
        <w:rPr>
          <w:lang w:val="en-AU"/>
        </w:rPr>
        <w:t xml:space="preserve">Source: Table 2.22, p119 of the submission. </w:t>
      </w:r>
    </w:p>
    <w:p w14:paraId="0CE20EB4" w14:textId="78582704" w:rsidR="00A4529D" w:rsidRPr="0031419F" w:rsidRDefault="00A4529D" w:rsidP="00A4529D">
      <w:pPr>
        <w:pStyle w:val="3-BodyText"/>
        <w:spacing w:before="0" w:after="120"/>
      </w:pPr>
      <w:r w:rsidRPr="0031419F">
        <w:t xml:space="preserve">The submission reported that the Delphi panel also estimated that a reduction of ≥30% in index lesion SPD in adults and ≥45% adolescents with APDS, after six months (26 weeks) of leniolisib treatment, would be considered clinically meaningful. In Study 2201E, at Day 252 or Day 168, 24 out of 30 patients (80%) reached these responder thresholds. (For patients without data at Day 252, data from Day 168 </w:t>
      </w:r>
      <w:r w:rsidR="00520939">
        <w:t>were</w:t>
      </w:r>
      <w:r w:rsidRPr="0031419F">
        <w:t xml:space="preserve"> used</w:t>
      </w:r>
      <w:r w:rsidR="0077736C">
        <w:t>;</w:t>
      </w:r>
      <w:r w:rsidRPr="0031419F">
        <w:t xml:space="preserve"> Day 168 data w</w:t>
      </w:r>
      <w:r w:rsidR="0077736C">
        <w:t>ere</w:t>
      </w:r>
      <w:r w:rsidRPr="0031419F">
        <w:t xml:space="preserve"> used for 18 patients and Day 252 data w</w:t>
      </w:r>
      <w:r w:rsidR="0077736C">
        <w:t>ere</w:t>
      </w:r>
      <w:r w:rsidRPr="0031419F">
        <w:t xml:space="preserve"> used for 12 patients.) The proportion of responders at Day 252/168 of Study 2201E1 (80%) was lower than the proportion of responders observed at Day 85 of Study 2201 Part II (89%), indicating that fewer patients may be continuing to respond over time. As observed for the change in percentage of naïve B cells, the responder analysis for change in lymph node size included fewer patients than the total enrolled in Study 2201 Part II. </w:t>
      </w:r>
      <w:r w:rsidR="005E2BB7" w:rsidRPr="0031419F">
        <w:t>Consequently,</w:t>
      </w:r>
      <w:r w:rsidRPr="0031419F">
        <w:t xml:space="preserve"> the analyses were potentially associated with a higher </w:t>
      </w:r>
      <w:r w:rsidR="00C17B9A" w:rsidRPr="0031419F">
        <w:t xml:space="preserve">level of </w:t>
      </w:r>
      <w:r w:rsidRPr="0031419F">
        <w:t>uncertainty regarding the incremental benefit for leniolisib. This issue was consistently present in all of the responder analyses presented in the submission, which are therefore all likely to be associated with a high risk of bias, and p-values from post hoc analyses should be interpreted with caution.</w:t>
      </w:r>
    </w:p>
    <w:p w14:paraId="575AC69D" w14:textId="50028BD1" w:rsidR="00A4529D" w:rsidRPr="0031419F" w:rsidRDefault="00A4529D" w:rsidP="00A4529D">
      <w:pPr>
        <w:pStyle w:val="3-BodyText"/>
        <w:spacing w:before="0" w:after="120"/>
      </w:pPr>
      <w:r w:rsidRPr="0031419F">
        <w:t xml:space="preserve">In Study 2201 Part II, change in the 3D volume and bi-dimensional size of the spleen, was assessed as a secondary endpoint. Reductions in splenomegaly were reported with leniolisib treatment at Week 12, as shown in </w:t>
      </w:r>
      <w:r w:rsidRPr="0031419F">
        <w:fldChar w:fldCharType="begin" w:fldLock="1"/>
      </w:r>
      <w:r w:rsidRPr="0031419F">
        <w:instrText xml:space="preserve"> REF _Ref195998084 \h  \* MERGEFORMAT </w:instrText>
      </w:r>
      <w:r w:rsidRPr="0031419F">
        <w:fldChar w:fldCharType="separate"/>
      </w:r>
      <w:r w:rsidR="00C34379" w:rsidRPr="0031419F">
        <w:t xml:space="preserve">Table </w:t>
      </w:r>
      <w:r w:rsidR="00C34379">
        <w:rPr>
          <w:noProof/>
        </w:rPr>
        <w:t>8</w:t>
      </w:r>
      <w:r w:rsidRPr="0031419F">
        <w:fldChar w:fldCharType="end"/>
      </w:r>
      <w:r w:rsidRPr="0031419F">
        <w:t>.</w:t>
      </w:r>
    </w:p>
    <w:p w14:paraId="508249DA" w14:textId="6C34899C" w:rsidR="00A4529D" w:rsidRPr="0031419F" w:rsidRDefault="00A4529D" w:rsidP="00A4529D">
      <w:pPr>
        <w:pStyle w:val="Caption"/>
      </w:pPr>
      <w:bookmarkStart w:id="24" w:name="_Ref195998084"/>
      <w:r w:rsidRPr="0031419F">
        <w:t xml:space="preserve">Table </w:t>
      </w:r>
      <w:r w:rsidR="00C34379">
        <w:fldChar w:fldCharType="begin" w:fldLock="1"/>
      </w:r>
      <w:r w:rsidR="00C34379">
        <w:instrText xml:space="preserve"> SEQ Table \* ARABIC </w:instrText>
      </w:r>
      <w:r w:rsidR="00C34379">
        <w:fldChar w:fldCharType="separate"/>
      </w:r>
      <w:r w:rsidR="00C34379">
        <w:rPr>
          <w:noProof/>
        </w:rPr>
        <w:t>8</w:t>
      </w:r>
      <w:r w:rsidR="00C34379">
        <w:rPr>
          <w:noProof/>
        </w:rPr>
        <w:fldChar w:fldCharType="end"/>
      </w:r>
      <w:bookmarkEnd w:id="24"/>
      <w:r w:rsidRPr="0031419F">
        <w:t>: Spleen volume and size changes at Week 12 (Study 2201 Part II; PD analysis set)</w:t>
      </w:r>
    </w:p>
    <w:tbl>
      <w:tblPr>
        <w:tblStyle w:val="DossierTable1"/>
        <w:tblW w:w="5000" w:type="pct"/>
        <w:tblCellMar>
          <w:left w:w="28" w:type="dxa"/>
          <w:right w:w="28" w:type="dxa"/>
        </w:tblCellMar>
        <w:tblLook w:val="04A0" w:firstRow="1" w:lastRow="0" w:firstColumn="1" w:lastColumn="0" w:noHBand="0" w:noVBand="1"/>
        <w:tblCaption w:val="Table 8: Spleen volume and size changes at Week 12 (Study 2201 Part II; PD analysis set)"/>
      </w:tblPr>
      <w:tblGrid>
        <w:gridCol w:w="2933"/>
        <w:gridCol w:w="2860"/>
        <w:gridCol w:w="3105"/>
      </w:tblGrid>
      <w:tr w:rsidR="00A4529D" w:rsidRPr="0031419F" w14:paraId="2C9471C6" w14:textId="77777777" w:rsidTr="00C84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pct"/>
          </w:tcPr>
          <w:p w14:paraId="315821B7" w14:textId="77777777" w:rsidR="00A4529D" w:rsidRPr="0031419F" w:rsidRDefault="00A4529D" w:rsidP="000B4467">
            <w:pPr>
              <w:pStyle w:val="In-tableHeading"/>
              <w:rPr>
                <w:sz w:val="20"/>
                <w:lang w:val="en-AU"/>
              </w:rPr>
            </w:pPr>
            <w:r w:rsidRPr="0031419F">
              <w:rPr>
                <w:sz w:val="20"/>
                <w:lang w:val="en-AU"/>
              </w:rPr>
              <w:t>Parameter</w:t>
            </w:r>
          </w:p>
        </w:tc>
        <w:tc>
          <w:tcPr>
            <w:tcW w:w="1607" w:type="pct"/>
          </w:tcPr>
          <w:p w14:paraId="1D122414"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Mean % CfB at D85 in leniolisib 70 mg bid group (SD)</w:t>
            </w:r>
          </w:p>
          <w:p w14:paraId="5BFEC863"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n=19</w:t>
            </w:r>
          </w:p>
        </w:tc>
        <w:tc>
          <w:tcPr>
            <w:tcW w:w="1745" w:type="pct"/>
          </w:tcPr>
          <w:p w14:paraId="585A75D9"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Mean % CfB at D85 in placebo group (SD)</w:t>
            </w:r>
          </w:p>
          <w:p w14:paraId="2167F7A6"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n=8</w:t>
            </w:r>
          </w:p>
        </w:tc>
      </w:tr>
      <w:tr w:rsidR="00A4529D" w:rsidRPr="0031419F" w14:paraId="4583F94D" w14:textId="77777777" w:rsidTr="00C844EC">
        <w:tc>
          <w:tcPr>
            <w:cnfStyle w:val="001000000000" w:firstRow="0" w:lastRow="0" w:firstColumn="1" w:lastColumn="0" w:oddVBand="0" w:evenVBand="0" w:oddHBand="0" w:evenHBand="0" w:firstRowFirstColumn="0" w:firstRowLastColumn="0" w:lastRowFirstColumn="0" w:lastRowLastColumn="0"/>
            <w:tcW w:w="1648" w:type="pct"/>
          </w:tcPr>
          <w:p w14:paraId="55DD83EF" w14:textId="2AAE7D72" w:rsidR="00A4529D" w:rsidRPr="0031419F" w:rsidRDefault="00A4529D" w:rsidP="000B4467">
            <w:pPr>
              <w:pStyle w:val="Tabletext"/>
              <w:rPr>
                <w:lang w:val="en-AU"/>
              </w:rPr>
            </w:pPr>
            <w:r w:rsidRPr="0031419F">
              <w:rPr>
                <w:lang w:val="en-AU"/>
              </w:rPr>
              <w:t>Spleen organ volume (mm</w:t>
            </w:r>
            <w:r w:rsidRPr="0031419F">
              <w:rPr>
                <w:vertAlign w:val="superscript"/>
                <w:lang w:val="en-AU"/>
              </w:rPr>
              <w:t>3</w:t>
            </w:r>
            <w:r w:rsidRPr="0031419F">
              <w:rPr>
                <w:lang w:val="en-AU"/>
              </w:rPr>
              <w:t>)</w:t>
            </w:r>
            <w:r w:rsidRPr="0031419F">
              <w:rPr>
                <w:vertAlign w:val="superscript"/>
                <w:lang w:val="en-AU"/>
              </w:rPr>
              <w:t>a</w:t>
            </w:r>
          </w:p>
        </w:tc>
        <w:tc>
          <w:tcPr>
            <w:tcW w:w="1607" w:type="pct"/>
          </w:tcPr>
          <w:p w14:paraId="2E1B3AD9"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−26.68 (12.14)</w:t>
            </w:r>
          </w:p>
        </w:tc>
        <w:tc>
          <w:tcPr>
            <w:tcW w:w="1745" w:type="pct"/>
          </w:tcPr>
          <w:p w14:paraId="65AD5432"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−1.37 (24.24)</w:t>
            </w:r>
          </w:p>
        </w:tc>
      </w:tr>
      <w:tr w:rsidR="00A4529D" w:rsidRPr="0031419F" w14:paraId="26C843CB" w14:textId="77777777" w:rsidTr="00C844EC">
        <w:tc>
          <w:tcPr>
            <w:cnfStyle w:val="001000000000" w:firstRow="0" w:lastRow="0" w:firstColumn="1" w:lastColumn="0" w:oddVBand="0" w:evenVBand="0" w:oddHBand="0" w:evenHBand="0" w:firstRowFirstColumn="0" w:firstRowLastColumn="0" w:lastRowFirstColumn="0" w:lastRowLastColumn="0"/>
            <w:tcW w:w="1648" w:type="pct"/>
          </w:tcPr>
          <w:p w14:paraId="72FFD177" w14:textId="4EA48E9A" w:rsidR="00A4529D" w:rsidRPr="0031419F" w:rsidRDefault="00A4529D" w:rsidP="000B4467">
            <w:pPr>
              <w:pStyle w:val="Tabletext"/>
              <w:rPr>
                <w:lang w:val="en-AU"/>
              </w:rPr>
            </w:pPr>
            <w:r w:rsidRPr="0031419F">
              <w:rPr>
                <w:lang w:val="en-AU"/>
              </w:rPr>
              <w:t>Spleen bi-dimensional size (mm</w:t>
            </w:r>
            <w:r w:rsidRPr="0031419F">
              <w:rPr>
                <w:vertAlign w:val="superscript"/>
                <w:lang w:val="en-AU"/>
              </w:rPr>
              <w:t>2</w:t>
            </w:r>
            <w:r w:rsidRPr="0031419F">
              <w:rPr>
                <w:lang w:val="en-AU"/>
              </w:rPr>
              <w:t>)</w:t>
            </w:r>
            <w:r w:rsidRPr="0031419F">
              <w:rPr>
                <w:vertAlign w:val="superscript"/>
                <w:lang w:val="en-AU"/>
              </w:rPr>
              <w:t>a</w:t>
            </w:r>
          </w:p>
        </w:tc>
        <w:tc>
          <w:tcPr>
            <w:tcW w:w="1607" w:type="pct"/>
          </w:tcPr>
          <w:p w14:paraId="5B13C1E8"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−12.05 (12.75)</w:t>
            </w:r>
          </w:p>
        </w:tc>
        <w:tc>
          <w:tcPr>
            <w:tcW w:w="1745" w:type="pct"/>
          </w:tcPr>
          <w:p w14:paraId="2002CEE7"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+6.22 (21.98)</w:t>
            </w:r>
          </w:p>
        </w:tc>
      </w:tr>
    </w:tbl>
    <w:p w14:paraId="6BDD8E59" w14:textId="77777777" w:rsidR="00A4529D" w:rsidRPr="0031419F" w:rsidRDefault="00A4529D" w:rsidP="00A4529D">
      <w:pPr>
        <w:pStyle w:val="TableFigureFooter"/>
        <w:rPr>
          <w:lang w:val="en-AU"/>
        </w:rPr>
      </w:pPr>
      <w:r w:rsidRPr="0031419F">
        <w:rPr>
          <w:lang w:val="en-AU"/>
        </w:rPr>
        <w:t>Bid = twice daily; CfB = change from baseline; PD = pharmacodynamics; SD = standard deviation.</w:t>
      </w:r>
    </w:p>
    <w:p w14:paraId="2DAAD0BD" w14:textId="77777777" w:rsidR="00A4529D" w:rsidRPr="0031419F" w:rsidRDefault="00A4529D" w:rsidP="00A4529D">
      <w:pPr>
        <w:pStyle w:val="TableFigureFooter"/>
        <w:rPr>
          <w:lang w:val="en-AU"/>
        </w:rPr>
      </w:pPr>
      <w:r w:rsidRPr="0031419F">
        <w:rPr>
          <w:vertAlign w:val="superscript"/>
          <w:lang w:val="en-AU"/>
        </w:rPr>
        <w:t xml:space="preserve">a </w:t>
      </w:r>
      <w:r w:rsidRPr="0031419F">
        <w:rPr>
          <w:lang w:val="en-AU"/>
        </w:rPr>
        <w:t>Supplementary analyses of Study 2201 Part II demonstrated a statistically significant reduction compared with placebo in spleen organ volume (p=0.0009) and spleen bi-dimensional size (p=0.0079).</w:t>
      </w:r>
    </w:p>
    <w:p w14:paraId="0D16A56D" w14:textId="77777777" w:rsidR="00A4529D" w:rsidRPr="0031419F" w:rsidRDefault="00A4529D" w:rsidP="00A4529D">
      <w:pPr>
        <w:pStyle w:val="TableFigureFooter"/>
        <w:rPr>
          <w:lang w:val="en-AU"/>
        </w:rPr>
      </w:pPr>
      <w:r w:rsidRPr="0031419F">
        <w:rPr>
          <w:lang w:val="en-AU"/>
        </w:rPr>
        <w:t xml:space="preserve">Source: Table 2.22, p120 of the submission. </w:t>
      </w:r>
    </w:p>
    <w:p w14:paraId="38D4F401" w14:textId="76F17233" w:rsidR="00A4529D" w:rsidRPr="0031419F" w:rsidRDefault="00A4529D" w:rsidP="00A4529D">
      <w:pPr>
        <w:pStyle w:val="3-BodyText"/>
        <w:spacing w:before="0" w:after="120"/>
      </w:pPr>
      <w:r w:rsidRPr="0031419F">
        <w:t xml:space="preserve">The submission reported that the Delphi panel estimated that for spleen 3D volume, </w:t>
      </w:r>
      <w:r w:rsidRPr="0031419F" w:rsidDel="00366B77">
        <w:t>a</w:t>
      </w:r>
      <w:r w:rsidRPr="0031419F">
        <w:t xml:space="preserve"> reduction of ≥25%</w:t>
      </w:r>
      <w:r w:rsidRPr="0031419F" w:rsidDel="00366B77">
        <w:t xml:space="preserve"> </w:t>
      </w:r>
      <w:r w:rsidRPr="0031419F">
        <w:t>in adults and ≥27.5% in adolescents with APDS after three months of treatment, would be considered clinically meaningful. Post hoc analysis A reported that a significantly larger proportion of participants in the leniolisib arm achieved the nominated responder threshold compared to the placebo arm (</w:t>
      </w:r>
      <w:r w:rsidRPr="0031419F">
        <w:fldChar w:fldCharType="begin" w:fldLock="1"/>
      </w:r>
      <w:r w:rsidRPr="0031419F">
        <w:instrText xml:space="preserve"> REF _Ref195998377 \h </w:instrText>
      </w:r>
      <w:r w:rsidR="0031419F" w:rsidRPr="0031419F">
        <w:instrText xml:space="preserve"> \* MERGEFORMAT </w:instrText>
      </w:r>
      <w:r w:rsidRPr="0031419F">
        <w:fldChar w:fldCharType="separate"/>
      </w:r>
      <w:r w:rsidR="00C34379" w:rsidRPr="0031419F">
        <w:t xml:space="preserve">Table </w:t>
      </w:r>
      <w:r w:rsidR="00C34379">
        <w:rPr>
          <w:noProof/>
        </w:rPr>
        <w:t>9</w:t>
      </w:r>
      <w:r w:rsidRPr="0031419F">
        <w:fldChar w:fldCharType="end"/>
      </w:r>
      <w:r w:rsidRPr="0031419F">
        <w:t xml:space="preserve">). </w:t>
      </w:r>
    </w:p>
    <w:p w14:paraId="5CA1A70C" w14:textId="24E7C553" w:rsidR="00A4529D" w:rsidRPr="0031419F" w:rsidRDefault="00A4529D" w:rsidP="00213574">
      <w:pPr>
        <w:pStyle w:val="Caption"/>
      </w:pPr>
      <w:bookmarkStart w:id="25" w:name="_Ref195998377"/>
      <w:r w:rsidRPr="0031419F">
        <w:t xml:space="preserve">Table </w:t>
      </w:r>
      <w:r w:rsidR="00C34379">
        <w:fldChar w:fldCharType="begin" w:fldLock="1"/>
      </w:r>
      <w:r w:rsidR="00C34379">
        <w:instrText xml:space="preserve"> SEQ Table \* ARABIC </w:instrText>
      </w:r>
      <w:r w:rsidR="00C34379">
        <w:fldChar w:fldCharType="separate"/>
      </w:r>
      <w:r w:rsidR="00C34379">
        <w:rPr>
          <w:noProof/>
        </w:rPr>
        <w:t>9</w:t>
      </w:r>
      <w:r w:rsidR="00C34379">
        <w:rPr>
          <w:noProof/>
        </w:rPr>
        <w:fldChar w:fldCharType="end"/>
      </w:r>
      <w:bookmarkEnd w:id="25"/>
      <w:r w:rsidRPr="0031419F">
        <w:t>: Post hoc analysis A: Responder analysis of participants with a ≥25% (adults) and ≥27.5% (adolescents) reduction from baseline at Day 85 in spleen 3D volume in participants with an enlarged spleen at baseline</w:t>
      </w:r>
      <w:r w:rsidRPr="0031419F" w:rsidDel="009C3361">
        <w:t xml:space="preserve"> </w:t>
      </w:r>
      <w:r w:rsidRPr="0031419F">
        <w:t>(Study 2201 Part II; PD analysis set)</w:t>
      </w:r>
      <w:r w:rsidRPr="0031419F">
        <w:rPr>
          <w:vertAlign w:val="superscript"/>
        </w:rPr>
        <w:t>a</w:t>
      </w:r>
    </w:p>
    <w:tbl>
      <w:tblPr>
        <w:tblStyle w:val="DossierTable1"/>
        <w:tblW w:w="5000" w:type="pct"/>
        <w:tblCellMar>
          <w:left w:w="28" w:type="dxa"/>
          <w:right w:w="28" w:type="dxa"/>
        </w:tblCellMar>
        <w:tblLook w:val="04A0" w:firstRow="1" w:lastRow="0" w:firstColumn="1" w:lastColumn="0" w:noHBand="0" w:noVBand="1"/>
        <w:tblCaption w:val="Table 9: Post hoc analysis A: Responder analysis of participants with a ≥25% (adults) and ≥27.5% (adolescents) reduction from baseline at Day 85 in spleen 3D volume in participants with an enlarged spleen at baseline (Study 2201 Part II; PD analysis set)"/>
      </w:tblPr>
      <w:tblGrid>
        <w:gridCol w:w="4934"/>
        <w:gridCol w:w="2143"/>
        <w:gridCol w:w="1821"/>
      </w:tblGrid>
      <w:tr w:rsidR="00A4529D" w:rsidRPr="0031419F" w14:paraId="111ED732" w14:textId="77777777" w:rsidTr="00C844EC">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773" w:type="pct"/>
          </w:tcPr>
          <w:p w14:paraId="40926BA6" w14:textId="77777777" w:rsidR="00A4529D" w:rsidRPr="0031419F" w:rsidRDefault="00A4529D" w:rsidP="00213574">
            <w:pPr>
              <w:pStyle w:val="In-tableHeading"/>
              <w:rPr>
                <w:sz w:val="20"/>
                <w:lang w:val="en-AU"/>
              </w:rPr>
            </w:pPr>
          </w:p>
        </w:tc>
        <w:tc>
          <w:tcPr>
            <w:tcW w:w="1204" w:type="pct"/>
          </w:tcPr>
          <w:p w14:paraId="4C38958C" w14:textId="77777777" w:rsidR="00A4529D" w:rsidRPr="0031419F" w:rsidRDefault="00A4529D" w:rsidP="0021357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p>
          <w:p w14:paraId="31CDF852" w14:textId="77777777" w:rsidR="00A4529D" w:rsidRPr="0031419F" w:rsidRDefault="00A4529D" w:rsidP="0021357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(n=21)</w:t>
            </w:r>
          </w:p>
        </w:tc>
        <w:tc>
          <w:tcPr>
            <w:tcW w:w="1023" w:type="pct"/>
          </w:tcPr>
          <w:p w14:paraId="45BC412C" w14:textId="77777777" w:rsidR="00A4529D" w:rsidRPr="0031419F" w:rsidRDefault="00A4529D" w:rsidP="0021357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Placebo</w:t>
            </w:r>
          </w:p>
          <w:p w14:paraId="621D1797" w14:textId="77777777" w:rsidR="00A4529D" w:rsidRPr="0031419F" w:rsidRDefault="00A4529D" w:rsidP="00213574">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(n=10)</w:t>
            </w:r>
          </w:p>
        </w:tc>
      </w:tr>
      <w:tr w:rsidR="00A4529D" w:rsidRPr="0031419F" w14:paraId="464C3666"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67325CBF" w14:textId="77777777" w:rsidR="00A4529D" w:rsidRPr="0031419F" w:rsidRDefault="00A4529D" w:rsidP="00213574">
            <w:pPr>
              <w:pStyle w:val="Tabletext"/>
              <w:keepNext/>
              <w:keepLines/>
              <w:rPr>
                <w:lang w:val="en-AU"/>
              </w:rPr>
            </w:pPr>
            <w:r w:rsidRPr="0031419F">
              <w:rPr>
                <w:lang w:val="en-AU"/>
              </w:rPr>
              <w:t>Number of patients contributing to the analysis</w:t>
            </w:r>
          </w:p>
        </w:tc>
        <w:tc>
          <w:tcPr>
            <w:tcW w:w="1204" w:type="pct"/>
          </w:tcPr>
          <w:p w14:paraId="121D0573" w14:textId="77777777" w:rsidR="00A4529D" w:rsidRPr="0031419F" w:rsidRDefault="00A4529D" w:rsidP="0021357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15</w:t>
            </w:r>
          </w:p>
        </w:tc>
        <w:tc>
          <w:tcPr>
            <w:tcW w:w="1023" w:type="pct"/>
          </w:tcPr>
          <w:p w14:paraId="7E66BC21" w14:textId="77777777" w:rsidR="00A4529D" w:rsidRPr="0031419F" w:rsidRDefault="00A4529D" w:rsidP="0021357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4</w:t>
            </w:r>
          </w:p>
        </w:tc>
      </w:tr>
      <w:tr w:rsidR="00A4529D" w:rsidRPr="0031419F" w14:paraId="7A335D44"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74CFBCFF" w14:textId="77777777" w:rsidR="00A4529D" w:rsidRPr="0031419F" w:rsidRDefault="00A4529D" w:rsidP="00213574">
            <w:pPr>
              <w:pStyle w:val="Tabletext"/>
              <w:keepNext/>
              <w:keepLines/>
              <w:rPr>
                <w:lang w:val="en-AU"/>
              </w:rPr>
            </w:pPr>
            <w:r w:rsidRPr="0031419F">
              <w:rPr>
                <w:lang w:val="en-AU"/>
              </w:rPr>
              <w:t>Number of responders (%)</w:t>
            </w:r>
            <w:r w:rsidRPr="0031419F">
              <w:rPr>
                <w:vertAlign w:val="superscript"/>
                <w:lang w:val="en-AU"/>
              </w:rPr>
              <w:t>b</w:t>
            </w:r>
          </w:p>
        </w:tc>
        <w:tc>
          <w:tcPr>
            <w:tcW w:w="1204" w:type="pct"/>
          </w:tcPr>
          <w:p w14:paraId="60926996" w14:textId="77777777" w:rsidR="00A4529D" w:rsidRPr="0031419F" w:rsidRDefault="00A4529D" w:rsidP="0021357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11 (73%)</w:t>
            </w:r>
          </w:p>
        </w:tc>
        <w:tc>
          <w:tcPr>
            <w:tcW w:w="1023" w:type="pct"/>
          </w:tcPr>
          <w:p w14:paraId="6BE98F82" w14:textId="77777777" w:rsidR="00A4529D" w:rsidRPr="0031419F" w:rsidRDefault="00A4529D" w:rsidP="0021357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 (0%)</w:t>
            </w:r>
          </w:p>
        </w:tc>
      </w:tr>
      <w:tr w:rsidR="00A4529D" w:rsidRPr="0031419F" w14:paraId="7D6A48F7"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1F8E0167" w14:textId="77777777" w:rsidR="00A4529D" w:rsidRPr="0031419F" w:rsidRDefault="00A4529D" w:rsidP="00213574">
            <w:pPr>
              <w:pStyle w:val="Tabletext"/>
              <w:keepNext/>
              <w:keepLines/>
              <w:rPr>
                <w:lang w:val="en-AU"/>
              </w:rPr>
            </w:pPr>
            <w:r w:rsidRPr="0031419F">
              <w:rPr>
                <w:lang w:val="en-AU"/>
              </w:rPr>
              <w:t>RD (95% CI)</w:t>
            </w:r>
          </w:p>
        </w:tc>
        <w:tc>
          <w:tcPr>
            <w:tcW w:w="2227" w:type="pct"/>
            <w:gridSpan w:val="2"/>
          </w:tcPr>
          <w:p w14:paraId="25D87E19" w14:textId="77777777" w:rsidR="00A4529D" w:rsidRPr="0031419F" w:rsidRDefault="00A4529D" w:rsidP="0021357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0.73 (0.04, 0.93)</w:t>
            </w:r>
          </w:p>
        </w:tc>
      </w:tr>
      <w:tr w:rsidR="00A4529D" w:rsidRPr="0031419F" w14:paraId="69988ABE"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717E1B4C" w14:textId="4C637A84" w:rsidR="00A4529D" w:rsidRPr="0031419F" w:rsidRDefault="00A4529D" w:rsidP="00213574">
            <w:pPr>
              <w:pStyle w:val="Tabletext"/>
              <w:keepNext/>
              <w:keepLines/>
              <w:rPr>
                <w:vertAlign w:val="superscript"/>
                <w:lang w:val="en-AU"/>
              </w:rPr>
            </w:pPr>
            <w:r w:rsidRPr="0031419F">
              <w:rPr>
                <w:lang w:val="en-AU"/>
              </w:rPr>
              <w:t>P value</w:t>
            </w:r>
            <w:r w:rsidRPr="0031419F">
              <w:rPr>
                <w:vertAlign w:val="superscript"/>
                <w:lang w:val="en-AU"/>
              </w:rPr>
              <w:t>c</w:t>
            </w:r>
          </w:p>
        </w:tc>
        <w:tc>
          <w:tcPr>
            <w:tcW w:w="2227" w:type="pct"/>
            <w:gridSpan w:val="2"/>
          </w:tcPr>
          <w:p w14:paraId="0DEA1E49" w14:textId="77777777" w:rsidR="00A4529D" w:rsidRPr="0031419F" w:rsidRDefault="00A4529D" w:rsidP="00213574">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p=0.018</w:t>
            </w:r>
          </w:p>
        </w:tc>
      </w:tr>
    </w:tbl>
    <w:p w14:paraId="1C0F8C05" w14:textId="77777777" w:rsidR="00A4529D" w:rsidRPr="0031419F" w:rsidRDefault="00A4529D" w:rsidP="00213574">
      <w:pPr>
        <w:pStyle w:val="TableFigureFooter"/>
        <w:keepNext/>
        <w:rPr>
          <w:lang w:val="en-AU"/>
        </w:rPr>
      </w:pPr>
      <w:r w:rsidRPr="0031419F">
        <w:rPr>
          <w:vertAlign w:val="superscript"/>
          <w:lang w:val="en-AU"/>
        </w:rPr>
        <w:t xml:space="preserve">a </w:t>
      </w:r>
      <w:r w:rsidRPr="0031419F">
        <w:rPr>
          <w:lang w:val="en-AU"/>
        </w:rPr>
        <w:t>This analysis would be associated with a high risk of bias due to the decreased number of patients included in the responder analysis.</w:t>
      </w:r>
    </w:p>
    <w:p w14:paraId="1B7B4BFF" w14:textId="77777777" w:rsidR="00A4529D" w:rsidRPr="0031419F" w:rsidRDefault="00A4529D" w:rsidP="00213574">
      <w:pPr>
        <w:pStyle w:val="TableFigureFooter"/>
        <w:keepNext/>
        <w:rPr>
          <w:lang w:val="en-AU"/>
        </w:rPr>
      </w:pPr>
      <w:r w:rsidRPr="0031419F">
        <w:rPr>
          <w:vertAlign w:val="superscript"/>
          <w:lang w:val="en-AU"/>
        </w:rPr>
        <w:t xml:space="preserve">b </w:t>
      </w:r>
      <w:r w:rsidRPr="0031419F">
        <w:rPr>
          <w:lang w:val="en-AU"/>
        </w:rPr>
        <w:t>All patients had data at Day 85.</w:t>
      </w:r>
    </w:p>
    <w:p w14:paraId="641F479B" w14:textId="77777777" w:rsidR="00A4529D" w:rsidRPr="0031419F" w:rsidRDefault="00A4529D" w:rsidP="00213574">
      <w:pPr>
        <w:pStyle w:val="TableFigureFooter"/>
        <w:keepNext/>
        <w:rPr>
          <w:lang w:val="en-AU"/>
        </w:rPr>
      </w:pPr>
      <w:r w:rsidRPr="0031419F">
        <w:rPr>
          <w:vertAlign w:val="superscript"/>
          <w:lang w:val="en-AU"/>
        </w:rPr>
        <w:t xml:space="preserve">c </w:t>
      </w:r>
      <w:r w:rsidRPr="0031419F">
        <w:rPr>
          <w:lang w:val="en-AU"/>
        </w:rPr>
        <w:t xml:space="preserve">Data were analysed using the Fisher’s Exact Test. </w:t>
      </w:r>
    </w:p>
    <w:p w14:paraId="1F0AFA93" w14:textId="77777777" w:rsidR="00A4529D" w:rsidRPr="0031419F" w:rsidRDefault="00A4529D" w:rsidP="00213574">
      <w:pPr>
        <w:pStyle w:val="TableFigureFooter"/>
        <w:keepNext/>
        <w:rPr>
          <w:lang w:val="en-AU"/>
        </w:rPr>
      </w:pPr>
      <w:r w:rsidRPr="0031419F">
        <w:rPr>
          <w:lang w:val="en-AU"/>
        </w:rPr>
        <w:t>CI = confidence interval; RD = risk difference.</w:t>
      </w:r>
    </w:p>
    <w:p w14:paraId="033B9726" w14:textId="77777777" w:rsidR="00A4529D" w:rsidRPr="0031419F" w:rsidRDefault="00A4529D" w:rsidP="00213574">
      <w:pPr>
        <w:pStyle w:val="TableFigureFooter"/>
        <w:keepNext/>
        <w:rPr>
          <w:lang w:val="en-AU"/>
        </w:rPr>
      </w:pPr>
      <w:r w:rsidRPr="0031419F">
        <w:rPr>
          <w:lang w:val="en-AU"/>
        </w:rPr>
        <w:t>Source: Table 2.25, p121 of the submission.</w:t>
      </w:r>
    </w:p>
    <w:p w14:paraId="202233B2" w14:textId="663EB903" w:rsidR="00A4529D" w:rsidRPr="0031419F" w:rsidRDefault="00A4529D" w:rsidP="00A4529D">
      <w:pPr>
        <w:pStyle w:val="3-BodyText"/>
        <w:spacing w:before="0" w:after="120"/>
      </w:pPr>
      <w:r w:rsidRPr="0031419F">
        <w:t>Post hoc analysis B reported that of the 19/31 patients from Study 2201 Part II who were analysed, all patients with enlarged lymph nodes and enlarged spleen at baseline randomised to leniolisib (15/15) were classified as responders, compared to no patients (0/4) randomised to placebo (</w:t>
      </w:r>
      <w:r w:rsidRPr="0031419F">
        <w:fldChar w:fldCharType="begin" w:fldLock="1"/>
      </w:r>
      <w:r w:rsidRPr="0031419F">
        <w:instrText xml:space="preserve"> REF _Ref195998809 \h </w:instrText>
      </w:r>
      <w:r w:rsidR="0031419F" w:rsidRPr="0031419F">
        <w:instrText xml:space="preserve"> \* MERGEFORMAT </w:instrText>
      </w:r>
      <w:r w:rsidRPr="0031419F">
        <w:fldChar w:fldCharType="separate"/>
      </w:r>
      <w:r w:rsidR="00C34379" w:rsidRPr="0031419F">
        <w:t xml:space="preserve">Table </w:t>
      </w:r>
      <w:r w:rsidR="00C34379">
        <w:rPr>
          <w:noProof/>
        </w:rPr>
        <w:t>10</w:t>
      </w:r>
      <w:r w:rsidRPr="0031419F">
        <w:fldChar w:fldCharType="end"/>
      </w:r>
      <w:r w:rsidRPr="0031419F">
        <w:t xml:space="preserve">). However, it was unclear if patients were required to achieve one or both responses (i.e. reduction in either lymph nodes and/or spleen) to be considered a responder. At Day 168 or Day 252 Study 2201E1, 23/24 (96%) of </w:t>
      </w:r>
      <w:r w:rsidR="0067313B" w:rsidRPr="0031419F">
        <w:t xml:space="preserve">patients </w:t>
      </w:r>
      <w:r w:rsidR="00246943" w:rsidRPr="0031419F">
        <w:t xml:space="preserve">with enlarged lymph nodes and spleen at baseline </w:t>
      </w:r>
      <w:r w:rsidRPr="0031419F">
        <w:t xml:space="preserve">were considered to have responded to leniolisib. (Day 168 data </w:t>
      </w:r>
      <w:r w:rsidR="00E4387E" w:rsidRPr="0031419F">
        <w:t>w</w:t>
      </w:r>
      <w:r w:rsidR="00E4387E">
        <w:t>ere</w:t>
      </w:r>
      <w:r w:rsidR="00E4387E" w:rsidRPr="0031419F">
        <w:t xml:space="preserve"> </w:t>
      </w:r>
      <w:r w:rsidR="00B567B4">
        <w:t>available</w:t>
      </w:r>
      <w:r w:rsidR="00B567B4" w:rsidRPr="0031419F">
        <w:t xml:space="preserve"> </w:t>
      </w:r>
      <w:r w:rsidRPr="0031419F">
        <w:t xml:space="preserve">for 15 patients and Day 252 data </w:t>
      </w:r>
      <w:r w:rsidR="00E4387E" w:rsidRPr="0031419F">
        <w:t>w</w:t>
      </w:r>
      <w:r w:rsidR="00E4387E">
        <w:t>ere</w:t>
      </w:r>
      <w:r w:rsidR="00E4387E" w:rsidRPr="0031419F">
        <w:t xml:space="preserve"> </w:t>
      </w:r>
      <w:r w:rsidR="00B567B4">
        <w:t>available</w:t>
      </w:r>
      <w:r w:rsidR="00B567B4" w:rsidRPr="0031419F">
        <w:t xml:space="preserve"> </w:t>
      </w:r>
      <w:r w:rsidRPr="0031419F">
        <w:t xml:space="preserve">for 9 patients.) </w:t>
      </w:r>
    </w:p>
    <w:p w14:paraId="5B25F18E" w14:textId="1C70619E" w:rsidR="00A4529D" w:rsidRPr="0031419F" w:rsidRDefault="00A4529D" w:rsidP="00A4529D">
      <w:pPr>
        <w:pStyle w:val="Caption"/>
      </w:pPr>
      <w:bookmarkStart w:id="26" w:name="_Ref195998809"/>
      <w:r w:rsidRPr="0031419F">
        <w:t xml:space="preserve">Table </w:t>
      </w:r>
      <w:r w:rsidR="00C34379">
        <w:fldChar w:fldCharType="begin" w:fldLock="1"/>
      </w:r>
      <w:r w:rsidR="00C34379">
        <w:instrText xml:space="preserve"> SEQ Table \* ARABIC </w:instrText>
      </w:r>
      <w:r w:rsidR="00C34379">
        <w:fldChar w:fldCharType="separate"/>
      </w:r>
      <w:r w:rsidR="00C34379">
        <w:rPr>
          <w:noProof/>
        </w:rPr>
        <w:t>10</w:t>
      </w:r>
      <w:r w:rsidR="00C34379">
        <w:rPr>
          <w:noProof/>
        </w:rPr>
        <w:fldChar w:fldCharType="end"/>
      </w:r>
      <w:bookmarkEnd w:id="26"/>
      <w:r w:rsidRPr="0031419F">
        <w:t>: Post hoc analysis B: Combined responder analysis of participants with reductions from baseline at Day 85 for index lesion SPD and spleen organ volume (Study 2201E1; PD analysis set)</w:t>
      </w:r>
      <w:r w:rsidRPr="0031419F">
        <w:rPr>
          <w:vertAlign w:val="superscript"/>
        </w:rPr>
        <w:t>a</w:t>
      </w:r>
    </w:p>
    <w:tbl>
      <w:tblPr>
        <w:tblStyle w:val="DossierTable1"/>
        <w:tblW w:w="5000" w:type="pct"/>
        <w:tblCellMar>
          <w:left w:w="28" w:type="dxa"/>
          <w:right w:w="28" w:type="dxa"/>
        </w:tblCellMar>
        <w:tblLook w:val="04A0" w:firstRow="1" w:lastRow="0" w:firstColumn="1" w:lastColumn="0" w:noHBand="0" w:noVBand="1"/>
        <w:tblCaption w:val="Table 10: Post hoc analysis B: Combined responder analysis of participants with reductions from baseline at Day 85 for index lesion SPD and spleen organ volume (Study 2201E1; PD analysis set)"/>
      </w:tblPr>
      <w:tblGrid>
        <w:gridCol w:w="4934"/>
        <w:gridCol w:w="2143"/>
        <w:gridCol w:w="1821"/>
      </w:tblGrid>
      <w:tr w:rsidR="00A4529D" w:rsidRPr="0031419F" w14:paraId="277E2029" w14:textId="77777777" w:rsidTr="00C844EC">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773" w:type="pct"/>
          </w:tcPr>
          <w:p w14:paraId="59B0C6C7" w14:textId="77777777" w:rsidR="00A4529D" w:rsidRPr="0031419F" w:rsidRDefault="00A4529D" w:rsidP="000B4467">
            <w:pPr>
              <w:pStyle w:val="In-tableHeading"/>
              <w:rPr>
                <w:sz w:val="20"/>
                <w:lang w:val="en-AU"/>
              </w:rPr>
            </w:pPr>
          </w:p>
        </w:tc>
        <w:tc>
          <w:tcPr>
            <w:tcW w:w="1204" w:type="pct"/>
          </w:tcPr>
          <w:p w14:paraId="6DC6933C"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p>
          <w:p w14:paraId="760B67EB"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(n=21)</w:t>
            </w:r>
          </w:p>
        </w:tc>
        <w:tc>
          <w:tcPr>
            <w:tcW w:w="1023" w:type="pct"/>
          </w:tcPr>
          <w:p w14:paraId="2E9E9DC8"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Placebo</w:t>
            </w:r>
          </w:p>
          <w:p w14:paraId="1617BB6E"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(n=10)</w:t>
            </w:r>
          </w:p>
        </w:tc>
      </w:tr>
      <w:tr w:rsidR="00A4529D" w:rsidRPr="0031419F" w14:paraId="3AFD919F"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2CA49D63" w14:textId="77777777" w:rsidR="00A4529D" w:rsidRPr="0031419F" w:rsidRDefault="00A4529D" w:rsidP="000B4467">
            <w:pPr>
              <w:pStyle w:val="Tabletext"/>
              <w:rPr>
                <w:lang w:val="en-AU"/>
              </w:rPr>
            </w:pPr>
            <w:r w:rsidRPr="0031419F">
              <w:rPr>
                <w:lang w:val="en-AU"/>
              </w:rPr>
              <w:t>Number of participants contributing to the analysis</w:t>
            </w:r>
          </w:p>
        </w:tc>
        <w:tc>
          <w:tcPr>
            <w:tcW w:w="1204" w:type="pct"/>
          </w:tcPr>
          <w:p w14:paraId="4236A64C"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15</w:t>
            </w:r>
          </w:p>
        </w:tc>
        <w:tc>
          <w:tcPr>
            <w:tcW w:w="1023" w:type="pct"/>
          </w:tcPr>
          <w:p w14:paraId="45968874"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4</w:t>
            </w:r>
          </w:p>
        </w:tc>
      </w:tr>
      <w:tr w:rsidR="00A4529D" w:rsidRPr="0031419F" w14:paraId="03530E37"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2CC8658B" w14:textId="77777777" w:rsidR="00A4529D" w:rsidRPr="0031419F" w:rsidRDefault="00A4529D" w:rsidP="000B4467">
            <w:pPr>
              <w:pStyle w:val="Tabletext"/>
              <w:rPr>
                <w:lang w:val="en-AU"/>
              </w:rPr>
            </w:pPr>
            <w:r w:rsidRPr="0031419F">
              <w:rPr>
                <w:lang w:val="en-AU"/>
              </w:rPr>
              <w:t>Number of responders (%)</w:t>
            </w:r>
          </w:p>
        </w:tc>
        <w:tc>
          <w:tcPr>
            <w:tcW w:w="1204" w:type="pct"/>
          </w:tcPr>
          <w:p w14:paraId="1EEC44BD"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15 (100%)</w:t>
            </w:r>
          </w:p>
        </w:tc>
        <w:tc>
          <w:tcPr>
            <w:tcW w:w="1023" w:type="pct"/>
          </w:tcPr>
          <w:p w14:paraId="6915C5D3"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 (0%)</w:t>
            </w:r>
          </w:p>
        </w:tc>
      </w:tr>
      <w:tr w:rsidR="00A4529D" w:rsidRPr="0031419F" w14:paraId="50D8AED6"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2773" w:type="pct"/>
          </w:tcPr>
          <w:p w14:paraId="2455104D" w14:textId="77777777" w:rsidR="00A4529D" w:rsidRPr="0031419F" w:rsidRDefault="00A4529D" w:rsidP="000B4467">
            <w:pPr>
              <w:pStyle w:val="Tabletext"/>
              <w:rPr>
                <w:lang w:val="en-AU"/>
              </w:rPr>
            </w:pPr>
            <w:r w:rsidRPr="0031419F">
              <w:rPr>
                <w:lang w:val="en-AU"/>
              </w:rPr>
              <w:t>RD (95% CI)</w:t>
            </w:r>
          </w:p>
        </w:tc>
        <w:tc>
          <w:tcPr>
            <w:tcW w:w="2227" w:type="pct"/>
            <w:gridSpan w:val="2"/>
          </w:tcPr>
          <w:p w14:paraId="6E5F15EA"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1.00 (0.40, 1.00)</w:t>
            </w:r>
          </w:p>
        </w:tc>
      </w:tr>
    </w:tbl>
    <w:p w14:paraId="23B83943" w14:textId="77777777" w:rsidR="00A4529D" w:rsidRPr="0031419F" w:rsidRDefault="00A4529D" w:rsidP="00A4529D">
      <w:pPr>
        <w:pStyle w:val="TableFigureFooter"/>
        <w:rPr>
          <w:lang w:val="en-AU"/>
        </w:rPr>
      </w:pPr>
      <w:r w:rsidRPr="0031419F">
        <w:rPr>
          <w:lang w:val="en-AU"/>
        </w:rPr>
        <w:t>CI = confidence interval; RD = risk difference.</w:t>
      </w:r>
    </w:p>
    <w:p w14:paraId="6D7979EE" w14:textId="77777777" w:rsidR="00A4529D" w:rsidRPr="0031419F" w:rsidRDefault="00A4529D" w:rsidP="00A4529D">
      <w:pPr>
        <w:pStyle w:val="TableFigureFooter"/>
        <w:rPr>
          <w:lang w:val="en-AU"/>
        </w:rPr>
      </w:pPr>
      <w:r w:rsidRPr="0031419F">
        <w:rPr>
          <w:lang w:val="en-AU"/>
        </w:rPr>
        <w:t xml:space="preserve">Footnotes: Participants excluded include those from the PD analysis set without enlarged lymph nodes or enlarged spleen at baseline. For participants without data at Day 85, the closest visit day prior to Day 85 is used. </w:t>
      </w:r>
    </w:p>
    <w:p w14:paraId="6847A14F" w14:textId="77777777" w:rsidR="00A4529D" w:rsidRPr="0031419F" w:rsidRDefault="00A4529D" w:rsidP="00A4529D">
      <w:pPr>
        <w:pStyle w:val="TableFigureFooter"/>
        <w:rPr>
          <w:lang w:val="en-AU"/>
        </w:rPr>
      </w:pPr>
      <w:r w:rsidRPr="0031419F">
        <w:rPr>
          <w:vertAlign w:val="superscript"/>
          <w:lang w:val="en-AU"/>
        </w:rPr>
        <w:t>a</w:t>
      </w:r>
      <w:r w:rsidRPr="0031419F">
        <w:rPr>
          <w:lang w:val="en-AU"/>
        </w:rPr>
        <w:t xml:space="preserve"> This analysis would be associated with a high risk of bias due to the decreased number of patients included in the responder analysis.</w:t>
      </w:r>
    </w:p>
    <w:p w14:paraId="02D764D2" w14:textId="77777777" w:rsidR="00A4529D" w:rsidRPr="0031419F" w:rsidRDefault="00A4529D" w:rsidP="00A4529D">
      <w:pPr>
        <w:pStyle w:val="TableFigureFooter"/>
        <w:rPr>
          <w:lang w:val="en-AU"/>
        </w:rPr>
      </w:pPr>
      <w:r w:rsidRPr="0031419F">
        <w:rPr>
          <w:lang w:val="en-AU"/>
        </w:rPr>
        <w:t>Source: Table 2.27, p122 of the submission.</w:t>
      </w:r>
    </w:p>
    <w:p w14:paraId="1C437846" w14:textId="01D2A4DA" w:rsidR="00A4529D" w:rsidRPr="0031419F" w:rsidRDefault="00A4529D" w:rsidP="00A4529D">
      <w:pPr>
        <w:pStyle w:val="3-BodyText"/>
        <w:spacing w:before="0" w:after="120"/>
      </w:pPr>
      <w:r w:rsidRPr="0031419F">
        <w:t xml:space="preserve">In Study 2201 Part II, 82% of cytopenias (which included eight reports of anaemia at baseline) improved in the leniolisib arm, whereas 60% of cytopenias improved in patients in the placebo arm (where four patients were reported to have anaemia at baseline). Furthermore, all four cases of thrombocytopenia </w:t>
      </w:r>
      <w:r w:rsidR="00D05D2F" w:rsidRPr="0031419F">
        <w:t xml:space="preserve">reported at baseline </w:t>
      </w:r>
      <w:r w:rsidRPr="0031419F">
        <w:t xml:space="preserve">in patients receiving leniolisib treatment were resolved at Day 85, whereas a patient in the placebo group continued to be affected with thrombocytopenia at Day 85. </w:t>
      </w:r>
    </w:p>
    <w:p w14:paraId="6369E0CF" w14:textId="2FAC90BA" w:rsidR="00A4529D" w:rsidRPr="0031419F" w:rsidRDefault="00A4529D" w:rsidP="00A4529D">
      <w:pPr>
        <w:pStyle w:val="3-BodyText"/>
        <w:spacing w:before="0" w:after="120"/>
      </w:pPr>
      <w:r w:rsidRPr="0031419F">
        <w:t>The submission reported that the Delphi panel reached agreement that a median increase of ≥20% in haemoglobin levels, as well as platelet and lymphocyte counts, after three months of treatment, would be considered clinically meaningful. At Day 85, 83% of patients achieved a response when receiving leniolisib, compared to 50% in the placebo group although this difference was not statistically significant (</w:t>
      </w:r>
      <w:r w:rsidRPr="0031419F">
        <w:fldChar w:fldCharType="begin" w:fldLock="1"/>
      </w:r>
      <w:r w:rsidRPr="0031419F">
        <w:instrText xml:space="preserve"> REF _Ref195999474 \h </w:instrText>
      </w:r>
      <w:r w:rsidR="0031419F" w:rsidRPr="0031419F">
        <w:instrText xml:space="preserve"> \* MERGEFORMAT </w:instrText>
      </w:r>
      <w:r w:rsidRPr="0031419F">
        <w:fldChar w:fldCharType="separate"/>
      </w:r>
      <w:r w:rsidR="00C34379" w:rsidRPr="0031419F">
        <w:t xml:space="preserve">Table </w:t>
      </w:r>
      <w:r w:rsidR="00C34379">
        <w:rPr>
          <w:noProof/>
        </w:rPr>
        <w:t>11</w:t>
      </w:r>
      <w:r w:rsidRPr="0031419F">
        <w:fldChar w:fldCharType="end"/>
      </w:r>
      <w:r w:rsidRPr="0031419F">
        <w:t>).</w:t>
      </w:r>
    </w:p>
    <w:p w14:paraId="6FE24BB3" w14:textId="7B93C43E" w:rsidR="00A4529D" w:rsidRPr="0031419F" w:rsidRDefault="00A4529D" w:rsidP="00A4529D">
      <w:pPr>
        <w:pStyle w:val="Caption"/>
      </w:pPr>
      <w:bookmarkStart w:id="27" w:name="_Ref195999474"/>
      <w:r w:rsidRPr="0031419F">
        <w:t xml:space="preserve">Table </w:t>
      </w:r>
      <w:r w:rsidR="00C34379">
        <w:fldChar w:fldCharType="begin" w:fldLock="1"/>
      </w:r>
      <w:r w:rsidR="00C34379">
        <w:instrText xml:space="preserve"> SEQ Table \* ARABIC </w:instrText>
      </w:r>
      <w:r w:rsidR="00C34379">
        <w:fldChar w:fldCharType="separate"/>
      </w:r>
      <w:r w:rsidR="00C34379">
        <w:rPr>
          <w:noProof/>
        </w:rPr>
        <w:t>11</w:t>
      </w:r>
      <w:r w:rsidR="00C34379">
        <w:rPr>
          <w:noProof/>
        </w:rPr>
        <w:fldChar w:fldCharType="end"/>
      </w:r>
      <w:bookmarkEnd w:id="27"/>
      <w:r w:rsidRPr="0031419F">
        <w:t>: Post hoc analysis B: Combined responder analysis of patients with reductions from baseline at Day 85 for haemoglobin, platelets and lymphocytes (Study 2201 Part II; PD analysis set)</w:t>
      </w:r>
      <w:r w:rsidRPr="0031419F">
        <w:rPr>
          <w:vertAlign w:val="superscript"/>
        </w:rPr>
        <w:t>a</w:t>
      </w:r>
    </w:p>
    <w:tbl>
      <w:tblPr>
        <w:tblStyle w:val="DossierTable1"/>
        <w:tblW w:w="0" w:type="auto"/>
        <w:tblCellMar>
          <w:left w:w="28" w:type="dxa"/>
          <w:right w:w="28" w:type="dxa"/>
        </w:tblCellMar>
        <w:tblLook w:val="04A0" w:firstRow="1" w:lastRow="0" w:firstColumn="1" w:lastColumn="0" w:noHBand="0" w:noVBand="1"/>
        <w:tblCaption w:val="Table 11: Post hoc analysis B: Combined responder analysis of patients with reductions from baseline at Day 85 for haemoglobin, platelets and lymphocytes (Study 2201 Part II; PD analysis set)"/>
      </w:tblPr>
      <w:tblGrid>
        <w:gridCol w:w="4583"/>
        <w:gridCol w:w="2123"/>
        <w:gridCol w:w="2192"/>
      </w:tblGrid>
      <w:tr w:rsidR="00A4529D" w:rsidRPr="0031419F" w14:paraId="6BA901B1" w14:textId="77777777" w:rsidTr="00C844EC">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4650" w:type="dxa"/>
          </w:tcPr>
          <w:p w14:paraId="577EFE73" w14:textId="77777777" w:rsidR="00A4529D" w:rsidRPr="0031419F" w:rsidRDefault="00A4529D" w:rsidP="000B4467">
            <w:pPr>
              <w:pStyle w:val="In-tableHeading"/>
              <w:rPr>
                <w:sz w:val="20"/>
                <w:lang w:val="en-AU"/>
              </w:rPr>
            </w:pPr>
          </w:p>
        </w:tc>
        <w:tc>
          <w:tcPr>
            <w:tcW w:w="2147" w:type="dxa"/>
          </w:tcPr>
          <w:p w14:paraId="3DF45553"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p>
          <w:p w14:paraId="617A18EF"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 = 21)</w:t>
            </w:r>
          </w:p>
        </w:tc>
        <w:tc>
          <w:tcPr>
            <w:tcW w:w="2220" w:type="dxa"/>
          </w:tcPr>
          <w:p w14:paraId="241B631D"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Placebo</w:t>
            </w:r>
          </w:p>
          <w:p w14:paraId="49B624A7"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(N = 10)</w:t>
            </w:r>
          </w:p>
        </w:tc>
      </w:tr>
      <w:tr w:rsidR="00A4529D" w:rsidRPr="0031419F" w14:paraId="6C051F8E"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4650" w:type="dxa"/>
          </w:tcPr>
          <w:p w14:paraId="4DB2DA23" w14:textId="77777777" w:rsidR="00A4529D" w:rsidRPr="0031419F" w:rsidRDefault="00A4529D" w:rsidP="000B4467">
            <w:pPr>
              <w:pStyle w:val="Tabletext"/>
              <w:rPr>
                <w:lang w:val="en-AU"/>
              </w:rPr>
            </w:pPr>
            <w:r w:rsidRPr="0031419F">
              <w:rPr>
                <w:lang w:val="en-AU"/>
              </w:rPr>
              <w:t>Number of patients contributing to the analysis</w:t>
            </w:r>
          </w:p>
        </w:tc>
        <w:tc>
          <w:tcPr>
            <w:tcW w:w="2147" w:type="dxa"/>
          </w:tcPr>
          <w:p w14:paraId="61674DD9"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12</w:t>
            </w:r>
          </w:p>
        </w:tc>
        <w:tc>
          <w:tcPr>
            <w:tcW w:w="2220" w:type="dxa"/>
          </w:tcPr>
          <w:p w14:paraId="53227591"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4</w:t>
            </w:r>
          </w:p>
        </w:tc>
      </w:tr>
      <w:tr w:rsidR="00A4529D" w:rsidRPr="0031419F" w14:paraId="26D3B6E9"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4650" w:type="dxa"/>
          </w:tcPr>
          <w:p w14:paraId="1B98694C" w14:textId="77777777" w:rsidR="00A4529D" w:rsidRPr="0031419F" w:rsidRDefault="00A4529D" w:rsidP="000B4467">
            <w:pPr>
              <w:pStyle w:val="Tabletext"/>
              <w:rPr>
                <w:lang w:val="en-AU"/>
              </w:rPr>
            </w:pPr>
            <w:r w:rsidRPr="0031419F">
              <w:rPr>
                <w:lang w:val="en-AU"/>
              </w:rPr>
              <w:t>Number of responders (%)</w:t>
            </w:r>
          </w:p>
        </w:tc>
        <w:tc>
          <w:tcPr>
            <w:tcW w:w="2147" w:type="dxa"/>
          </w:tcPr>
          <w:p w14:paraId="410C52DD"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10 (83%)</w:t>
            </w:r>
          </w:p>
        </w:tc>
        <w:tc>
          <w:tcPr>
            <w:tcW w:w="2220" w:type="dxa"/>
          </w:tcPr>
          <w:p w14:paraId="10D3C25A"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2 (50%)</w:t>
            </w:r>
          </w:p>
        </w:tc>
      </w:tr>
      <w:tr w:rsidR="00A4529D" w:rsidRPr="0031419F" w14:paraId="783330ED"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4650" w:type="dxa"/>
          </w:tcPr>
          <w:p w14:paraId="231CD5AC" w14:textId="77777777" w:rsidR="00A4529D" w:rsidRPr="0031419F" w:rsidRDefault="00A4529D" w:rsidP="000B4467">
            <w:pPr>
              <w:pStyle w:val="Tabletext"/>
              <w:rPr>
                <w:lang w:val="en-AU"/>
              </w:rPr>
            </w:pPr>
            <w:r w:rsidRPr="0031419F">
              <w:rPr>
                <w:lang w:val="en-AU"/>
              </w:rPr>
              <w:t>RD (95% CI)</w:t>
            </w:r>
          </w:p>
        </w:tc>
        <w:tc>
          <w:tcPr>
            <w:tcW w:w="4367" w:type="dxa"/>
            <w:gridSpan w:val="2"/>
          </w:tcPr>
          <w:p w14:paraId="243DF6D6"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0.33 (-0.19, 0.81)</w:t>
            </w:r>
          </w:p>
        </w:tc>
      </w:tr>
      <w:tr w:rsidR="00A4529D" w:rsidRPr="0031419F" w14:paraId="2568E0AC" w14:textId="77777777" w:rsidTr="00C844EC">
        <w:trPr>
          <w:trHeight w:val="218"/>
        </w:trPr>
        <w:tc>
          <w:tcPr>
            <w:cnfStyle w:val="001000000000" w:firstRow="0" w:lastRow="0" w:firstColumn="1" w:lastColumn="0" w:oddVBand="0" w:evenVBand="0" w:oddHBand="0" w:evenHBand="0" w:firstRowFirstColumn="0" w:firstRowLastColumn="0" w:lastRowFirstColumn="0" w:lastRowLastColumn="0"/>
            <w:tcW w:w="4650" w:type="dxa"/>
          </w:tcPr>
          <w:p w14:paraId="5EE8F559" w14:textId="606497A2" w:rsidR="00A4529D" w:rsidRPr="0031419F" w:rsidRDefault="00A4529D" w:rsidP="000B4467">
            <w:pPr>
              <w:pStyle w:val="Tabletext"/>
              <w:rPr>
                <w:vertAlign w:val="superscript"/>
                <w:lang w:val="en-AU"/>
              </w:rPr>
            </w:pPr>
            <w:r w:rsidRPr="0031419F">
              <w:rPr>
                <w:lang w:val="en-AU"/>
              </w:rPr>
              <w:t>P value</w:t>
            </w:r>
            <w:r w:rsidRPr="0031419F">
              <w:rPr>
                <w:vertAlign w:val="superscript"/>
                <w:lang w:val="en-AU"/>
              </w:rPr>
              <w:t>b</w:t>
            </w:r>
          </w:p>
        </w:tc>
        <w:tc>
          <w:tcPr>
            <w:tcW w:w="4367" w:type="dxa"/>
            <w:gridSpan w:val="2"/>
          </w:tcPr>
          <w:p w14:paraId="2A193DE9" w14:textId="77777777" w:rsidR="00A4529D" w:rsidRPr="0031419F" w:rsidRDefault="00A4529D" w:rsidP="000B4467">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31419F">
              <w:rPr>
                <w:lang w:val="en-AU"/>
              </w:rPr>
              <w:t>p=0.245</w:t>
            </w:r>
          </w:p>
        </w:tc>
      </w:tr>
    </w:tbl>
    <w:p w14:paraId="437FF5D5" w14:textId="77777777" w:rsidR="00A4529D" w:rsidRPr="0031419F" w:rsidRDefault="00A4529D" w:rsidP="00A4529D">
      <w:pPr>
        <w:pStyle w:val="TableFigureFooter"/>
        <w:rPr>
          <w:lang w:val="en-AU"/>
        </w:rPr>
      </w:pPr>
      <w:r w:rsidRPr="0031419F">
        <w:rPr>
          <w:lang w:val="en-AU"/>
        </w:rPr>
        <w:t xml:space="preserve">Footnote: Patients without a defined baseline value have been excluded. For participants without data at Day 85, the closest visit day prior to Day 85 is used. </w:t>
      </w:r>
    </w:p>
    <w:p w14:paraId="1F06D3EF" w14:textId="77777777" w:rsidR="00A4529D" w:rsidRPr="0031419F" w:rsidRDefault="00A4529D" w:rsidP="00A4529D">
      <w:pPr>
        <w:pStyle w:val="TableFigureFooter"/>
        <w:rPr>
          <w:lang w:val="en-AU"/>
        </w:rPr>
      </w:pPr>
      <w:r w:rsidRPr="0031419F">
        <w:rPr>
          <w:vertAlign w:val="superscript"/>
          <w:lang w:val="en-AU"/>
        </w:rPr>
        <w:t xml:space="preserve">a </w:t>
      </w:r>
      <w:r w:rsidRPr="0031419F">
        <w:rPr>
          <w:lang w:val="en-AU"/>
        </w:rPr>
        <w:t>This analysis would be associated with a high risk of bias due to the decreased number of patients included in the responder analysis.</w:t>
      </w:r>
    </w:p>
    <w:p w14:paraId="63FD2C59" w14:textId="77777777" w:rsidR="00A4529D" w:rsidRPr="0031419F" w:rsidRDefault="00A4529D" w:rsidP="00A4529D">
      <w:pPr>
        <w:pStyle w:val="TableFigureFooter"/>
        <w:rPr>
          <w:lang w:val="en-AU"/>
        </w:rPr>
      </w:pPr>
      <w:r w:rsidRPr="0031419F">
        <w:rPr>
          <w:vertAlign w:val="superscript"/>
          <w:lang w:val="en-AU"/>
        </w:rPr>
        <w:t>b</w:t>
      </w:r>
      <w:r w:rsidRPr="0031419F">
        <w:rPr>
          <w:lang w:val="en-AU"/>
        </w:rPr>
        <w:t xml:space="preserve"> Data were analysed using the Fisher’s Exact Test. </w:t>
      </w:r>
    </w:p>
    <w:p w14:paraId="029B38D7" w14:textId="77777777" w:rsidR="00A4529D" w:rsidRPr="0031419F" w:rsidRDefault="00A4529D" w:rsidP="00A4529D">
      <w:pPr>
        <w:pStyle w:val="TableFigureFooter"/>
        <w:rPr>
          <w:lang w:val="en-AU"/>
        </w:rPr>
      </w:pPr>
      <w:r w:rsidRPr="0031419F">
        <w:rPr>
          <w:lang w:val="en-AU"/>
        </w:rPr>
        <w:t>Source: Table 2.29, p125 of the submission.</w:t>
      </w:r>
    </w:p>
    <w:p w14:paraId="17E02FCE" w14:textId="2A8B546C" w:rsidR="00A4529D" w:rsidRPr="0031419F" w:rsidRDefault="00A4529D" w:rsidP="00A4529D">
      <w:pPr>
        <w:pStyle w:val="3-BodyText"/>
        <w:spacing w:before="0" w:after="120"/>
      </w:pPr>
      <w:r w:rsidRPr="0031419F">
        <w:t xml:space="preserve">In Study 2201 Part II, annualised infection rates were lower in patients treated with leniolisib compared to the placebo group (2.690 versus 3.476 infections per year; </w:t>
      </w:r>
      <w:r w:rsidRPr="0031419F">
        <w:fldChar w:fldCharType="begin" w:fldLock="1"/>
      </w:r>
      <w:r w:rsidRPr="0031419F">
        <w:instrText xml:space="preserve"> REF _Ref196160886 \h </w:instrText>
      </w:r>
      <w:r w:rsidR="0031419F" w:rsidRPr="0031419F">
        <w:instrText xml:space="preserve"> \* MERGEFORMAT </w:instrText>
      </w:r>
      <w:r w:rsidRPr="0031419F">
        <w:fldChar w:fldCharType="separate"/>
      </w:r>
      <w:r w:rsidR="00C34379" w:rsidRPr="0031419F">
        <w:t xml:space="preserve">Figure </w:t>
      </w:r>
      <w:r w:rsidR="00C34379">
        <w:rPr>
          <w:noProof/>
        </w:rPr>
        <w:t>4</w:t>
      </w:r>
      <w:r w:rsidRPr="0031419F">
        <w:fldChar w:fldCharType="end"/>
      </w:r>
      <w:r w:rsidRPr="0031419F">
        <w:t xml:space="preserve">). For Study 2201E1, the submission claimed that a nominally significant decrease in annualised infection rate of 25% was reported with each additional year of leniolisib treatment </w:t>
      </w:r>
      <w:r w:rsidR="00725F8D">
        <w:t>(</w:t>
      </w:r>
      <w:r w:rsidRPr="0031419F">
        <w:t>one-sided p=0.0256</w:t>
      </w:r>
      <w:r w:rsidR="00725F8D">
        <w:t xml:space="preserve">, </w:t>
      </w:r>
      <w:r w:rsidRPr="0031419F">
        <w:t xml:space="preserve">data unverified). </w:t>
      </w:r>
      <w:r w:rsidR="0064355F" w:rsidRPr="0031419F">
        <w:t>The submission claimed that these results demonstrate that long-term treatment with leniolisib leads to a sustained reduction in infections. It was unclear whether a claim based on an open label single arm extension study with no comparator arm, with an arbitrary reduction rate (25% annually) that was conducted post hoc was well supported.</w:t>
      </w:r>
      <w:r w:rsidR="000867A8" w:rsidRPr="0031419F">
        <w:t xml:space="preserve"> </w:t>
      </w:r>
    </w:p>
    <w:p w14:paraId="0E969EF3" w14:textId="5038391E" w:rsidR="00A4529D" w:rsidRPr="0031419F" w:rsidRDefault="00A4529D" w:rsidP="00A4529D">
      <w:pPr>
        <w:pStyle w:val="Caption"/>
      </w:pPr>
      <w:bookmarkStart w:id="28" w:name="_Ref196160886"/>
      <w:bookmarkStart w:id="29" w:name="_Ref195999924"/>
      <w:r w:rsidRPr="0031419F">
        <w:t xml:space="preserve">Figure </w:t>
      </w:r>
      <w:r w:rsidR="00C34379">
        <w:fldChar w:fldCharType="begin" w:fldLock="1"/>
      </w:r>
      <w:r w:rsidR="00C34379">
        <w:instrText xml:space="preserve"> SEQ Figure \* ARABIC </w:instrText>
      </w:r>
      <w:r w:rsidR="00C34379">
        <w:fldChar w:fldCharType="separate"/>
      </w:r>
      <w:r w:rsidR="00C34379">
        <w:rPr>
          <w:noProof/>
        </w:rPr>
        <w:t>4</w:t>
      </w:r>
      <w:r w:rsidR="00C34379">
        <w:rPr>
          <w:noProof/>
        </w:rPr>
        <w:fldChar w:fldCharType="end"/>
      </w:r>
      <w:bookmarkEnd w:id="28"/>
      <w:r w:rsidRPr="0031419F">
        <w:t>: Bar chart of annualised infection rates observed in Study 2201 Parts I and II, and Study 2201E1 (safety analysis set)</w:t>
      </w:r>
      <w:bookmarkEnd w:id="29"/>
    </w:p>
    <w:p w14:paraId="435C81BB" w14:textId="77777777" w:rsidR="00A4529D" w:rsidRPr="0031419F" w:rsidRDefault="00A4529D" w:rsidP="00A4529D">
      <w:r w:rsidRPr="0031419F">
        <w:rPr>
          <w:noProof/>
        </w:rPr>
        <w:drawing>
          <wp:inline distT="0" distB="0" distL="0" distR="0" wp14:anchorId="71421B4E" wp14:editId="7CA5FD75">
            <wp:extent cx="6037119" cy="1475740"/>
            <wp:effectExtent l="0" t="0" r="0" b="0"/>
            <wp:docPr id="1563561262" name="Picture 7" descr="Figure 4: Bar chart of annualised infection rates observed in Study 2201 Parts I and II, and Study 2201E1 (safety analysis set)">
              <a:extLst xmlns:a="http://schemas.openxmlformats.org/drawingml/2006/main">
                <a:ext uri="{FF2B5EF4-FFF2-40B4-BE49-F238E27FC236}">
                  <a16:creationId xmlns:a16="http://schemas.microsoft.com/office/drawing/2014/main" id="{39BBD54F-4F7C-4BC5-F5AC-D41C38847B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61262" name="Picture 7" descr="Figure 4: Bar chart of annualised infection rates observed in Study 2201 Parts I and II, and Study 2201E1 (safety analysis set)">
                      <a:extLst>
                        <a:ext uri="{FF2B5EF4-FFF2-40B4-BE49-F238E27FC236}">
                          <a16:creationId xmlns:a16="http://schemas.microsoft.com/office/drawing/2014/main" id="{39BBD54F-4F7C-4BC5-F5AC-D41C38847BE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7119" cy="1475740"/>
                    </a:xfrm>
                    <a:prstGeom prst="rect">
                      <a:avLst/>
                    </a:prstGeom>
                  </pic:spPr>
                </pic:pic>
              </a:graphicData>
            </a:graphic>
          </wp:inline>
        </w:drawing>
      </w:r>
    </w:p>
    <w:p w14:paraId="4EE9B847" w14:textId="345EEA8D" w:rsidR="00A4529D" w:rsidRPr="0031419F" w:rsidRDefault="00A4529D" w:rsidP="00A4529D">
      <w:pPr>
        <w:pStyle w:val="TableFigureFooter"/>
        <w:rPr>
          <w:lang w:val="en-AU"/>
        </w:rPr>
      </w:pPr>
      <w:r w:rsidRPr="0031419F">
        <w:rPr>
          <w:lang w:val="en-AU"/>
        </w:rPr>
        <w:t xml:space="preserve">Bid = twice daily; OLE = open label extension. </w:t>
      </w:r>
    </w:p>
    <w:p w14:paraId="774F515C" w14:textId="77777777" w:rsidR="00A4529D" w:rsidRPr="0031419F" w:rsidRDefault="00A4529D" w:rsidP="00A4529D">
      <w:pPr>
        <w:pStyle w:val="TableFigureFooter"/>
        <w:rPr>
          <w:lang w:val="en-AU"/>
        </w:rPr>
      </w:pPr>
      <w:r w:rsidRPr="0031419F">
        <w:rPr>
          <w:lang w:val="en-AU"/>
        </w:rPr>
        <w:t xml:space="preserve">Footnotes: Annualised rate for Study 2201 Part I and Part II is defined as =((number of infections)/84)*365 per patient. Only on treatment infections were counted up to study Day 84. Other infections that occurred after this day in Part I and Part II were not included in the derivation. Patients have completed the full time period if they were included in the analysis. For example, a patient with 360 days follow-up in Study 2201E1 does not contribute data to the ‘Year 1’ column. A patient with 380 days follow-up in Study 2201E1 contributes to ‘Year 1’ but not ‘Year 2’. </w:t>
      </w:r>
    </w:p>
    <w:p w14:paraId="38F120E5" w14:textId="77777777" w:rsidR="00A4529D" w:rsidRPr="0031419F" w:rsidRDefault="00A4529D" w:rsidP="00A4529D">
      <w:pPr>
        <w:pStyle w:val="TableFigureFooter"/>
        <w:rPr>
          <w:lang w:val="en-AU"/>
        </w:rPr>
      </w:pPr>
      <w:r w:rsidRPr="0031419F">
        <w:rPr>
          <w:lang w:val="en-AU"/>
        </w:rPr>
        <w:t xml:space="preserve">Source: Figure 2.12, p126 of the submission. </w:t>
      </w:r>
    </w:p>
    <w:p w14:paraId="1587CF61" w14:textId="77777777" w:rsidR="00A4529D" w:rsidRPr="0031419F" w:rsidRDefault="00A4529D" w:rsidP="00A4529D">
      <w:pPr>
        <w:pStyle w:val="3-BodyText"/>
        <w:spacing w:before="0" w:after="120"/>
        <w:rPr>
          <w:lang w:eastAsia="ja-JP"/>
        </w:rPr>
      </w:pPr>
      <w:r w:rsidRPr="0031419F">
        <w:rPr>
          <w:lang w:eastAsia="ja-JP"/>
        </w:rPr>
        <w:t xml:space="preserve">While numerical increases were shown in all SF-36 scales in the leniolisib arm of Study 2201 Parts I and II, the change from baseline in Study 2201 Part II at Week 12 did not show a statistically significant difference between the leniolisib and placebo groups, on the </w:t>
      </w:r>
      <w:r w:rsidRPr="0031419F">
        <w:t xml:space="preserve">PCS </w:t>
      </w:r>
      <w:r w:rsidRPr="0031419F">
        <w:rPr>
          <w:lang w:eastAsia="ja-JP"/>
        </w:rPr>
        <w:t xml:space="preserve">(2-sided p=0.8567) or on the </w:t>
      </w:r>
      <w:r w:rsidRPr="0031419F">
        <w:t xml:space="preserve">MCS </w:t>
      </w:r>
      <w:r w:rsidRPr="0031419F">
        <w:rPr>
          <w:lang w:eastAsia="ja-JP"/>
        </w:rPr>
        <w:t>(2-sided p=0.7279).</w:t>
      </w:r>
    </w:p>
    <w:p w14:paraId="162B7C14" w14:textId="77777777" w:rsidR="00A4529D" w:rsidRPr="006562D8" w:rsidRDefault="00A4529D" w:rsidP="00A4529D">
      <w:pPr>
        <w:pStyle w:val="3-BodyText"/>
        <w:spacing w:before="0" w:after="120"/>
        <w:rPr>
          <w:lang w:eastAsia="ja-JP"/>
        </w:rPr>
      </w:pPr>
      <w:r w:rsidRPr="0031419F">
        <w:rPr>
          <w:lang w:eastAsia="ja-JP"/>
        </w:rPr>
        <w:t>In Study 2201E1, mean SF-36 scores generally showed</w:t>
      </w:r>
      <w:r w:rsidRPr="006562D8">
        <w:rPr>
          <w:lang w:eastAsia="ja-JP"/>
        </w:rPr>
        <w:t xml:space="preserve"> an improvement (increase) from baseline for all scales, however, the submission reported that the mean scores were generally still slightly below the average range for the general population. </w:t>
      </w:r>
    </w:p>
    <w:p w14:paraId="1D43DBD1" w14:textId="77777777" w:rsidR="00A4529D" w:rsidRPr="006562D8" w:rsidRDefault="00A4529D" w:rsidP="00A4529D">
      <w:pPr>
        <w:pStyle w:val="4-SubsectionHeading"/>
      </w:pPr>
      <w:bookmarkStart w:id="30" w:name="_Toc198725888"/>
      <w:r w:rsidRPr="006562D8">
        <w:t>Comparative harms</w:t>
      </w:r>
      <w:bookmarkEnd w:id="30"/>
    </w:p>
    <w:p w14:paraId="4F549E84" w14:textId="3858F08D" w:rsidR="00A4529D" w:rsidRPr="0031419F" w:rsidRDefault="00A4529D" w:rsidP="00A4529D">
      <w:pPr>
        <w:pStyle w:val="3-BodyText"/>
        <w:spacing w:before="0" w:after="120"/>
      </w:pPr>
      <w:r w:rsidRPr="006562D8">
        <w:t xml:space="preserve">There were </w:t>
      </w:r>
      <w:r w:rsidRPr="0031419F">
        <w:t xml:space="preserve">relatively </w:t>
      </w:r>
      <w:r w:rsidR="00863462">
        <w:t>few</w:t>
      </w:r>
      <w:r w:rsidRPr="0031419F">
        <w:t xml:space="preserve"> patients available for safety analysis due to the extreme rarity of APDS and as such, it was unclear if any report of no difference in adverse event (AE) rates reported was a reflection of actual lack of difference or a reflection of the small sample size. The majority of patients have received leniolisib for between 84-156 weeks in Study 2201E1, however there was only 12 weeks of controlled exposure providing comparative adverse event rates to placebo. </w:t>
      </w:r>
      <w:r w:rsidRPr="0031419F">
        <w:fldChar w:fldCharType="begin" w:fldLock="1"/>
      </w:r>
      <w:r w:rsidRPr="0031419F">
        <w:instrText xml:space="preserve"> REF _Ref196001980 \h </w:instrText>
      </w:r>
      <w:r w:rsidR="0031419F" w:rsidRPr="0031419F">
        <w:instrText xml:space="preserve"> \* MERGEFORMAT </w:instrText>
      </w:r>
      <w:r w:rsidRPr="0031419F">
        <w:fldChar w:fldCharType="separate"/>
      </w:r>
      <w:r w:rsidR="00C34379" w:rsidRPr="0031419F">
        <w:t xml:space="preserve">Table </w:t>
      </w:r>
      <w:r w:rsidR="00C34379">
        <w:rPr>
          <w:noProof/>
        </w:rPr>
        <w:t>12</w:t>
      </w:r>
      <w:r w:rsidRPr="0031419F">
        <w:fldChar w:fldCharType="end"/>
      </w:r>
      <w:r w:rsidRPr="0031419F">
        <w:t xml:space="preserve"> presents an overview of the AE data from all three Study 2201 studies/trials.</w:t>
      </w:r>
    </w:p>
    <w:p w14:paraId="7C5213A1" w14:textId="1181F4F8" w:rsidR="00A4529D" w:rsidRPr="0031419F" w:rsidRDefault="00A4529D" w:rsidP="00A4529D">
      <w:pPr>
        <w:pStyle w:val="Caption"/>
      </w:pPr>
      <w:bookmarkStart w:id="31" w:name="_Ref196001980"/>
      <w:r w:rsidRPr="0031419F">
        <w:t xml:space="preserve">Table </w:t>
      </w:r>
      <w:r w:rsidR="00C34379">
        <w:fldChar w:fldCharType="begin" w:fldLock="1"/>
      </w:r>
      <w:r w:rsidR="00C34379">
        <w:instrText xml:space="preserve"> SEQ Table \* ARABIC </w:instrText>
      </w:r>
      <w:r w:rsidR="00C34379">
        <w:fldChar w:fldCharType="separate"/>
      </w:r>
      <w:r w:rsidR="00C34379">
        <w:rPr>
          <w:noProof/>
        </w:rPr>
        <w:t>12</w:t>
      </w:r>
      <w:r w:rsidR="00C34379">
        <w:rPr>
          <w:noProof/>
        </w:rPr>
        <w:fldChar w:fldCharType="end"/>
      </w:r>
      <w:bookmarkEnd w:id="31"/>
      <w:r w:rsidRPr="0031419F">
        <w:rPr>
          <w:szCs w:val="28"/>
        </w:rPr>
        <w:t xml:space="preserve">: </w:t>
      </w:r>
      <w:r w:rsidRPr="0031419F">
        <w:t>Overall incidence for AEs across Study 2201 Parts I and II, and Study 2201E1 (safety analysis set)</w:t>
      </w:r>
    </w:p>
    <w:tbl>
      <w:tblPr>
        <w:tblStyle w:val="DossierTable1"/>
        <w:tblW w:w="5000" w:type="pct"/>
        <w:tblInd w:w="-5" w:type="dxa"/>
        <w:tblLayout w:type="fixed"/>
        <w:tblCellMar>
          <w:left w:w="28" w:type="dxa"/>
          <w:right w:w="28" w:type="dxa"/>
        </w:tblCellMar>
        <w:tblLook w:val="04A0" w:firstRow="1" w:lastRow="0" w:firstColumn="1" w:lastColumn="0" w:noHBand="0" w:noVBand="1"/>
        <w:tblCaption w:val="Table 12: Overall incidence for AEs across Study 2201 Parts I and II, and Study 2201E1 (safety analysis set)"/>
      </w:tblPr>
      <w:tblGrid>
        <w:gridCol w:w="1100"/>
        <w:gridCol w:w="925"/>
        <w:gridCol w:w="941"/>
        <w:gridCol w:w="947"/>
        <w:gridCol w:w="1073"/>
        <w:gridCol w:w="892"/>
        <w:gridCol w:w="1110"/>
        <w:gridCol w:w="945"/>
        <w:gridCol w:w="965"/>
      </w:tblGrid>
      <w:tr w:rsidR="00402558" w:rsidRPr="0031419F" w14:paraId="40BCA3AD" w14:textId="77777777" w:rsidTr="00AB2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pct"/>
            <w:vMerge w:val="restart"/>
            <w:vAlign w:val="center"/>
          </w:tcPr>
          <w:p w14:paraId="73C7F3FB" w14:textId="77777777" w:rsidR="00A4529D" w:rsidRPr="0031419F" w:rsidRDefault="00A4529D" w:rsidP="000B4467">
            <w:pPr>
              <w:pStyle w:val="Tabletext"/>
              <w:keepNext/>
              <w:keepLines/>
              <w:rPr>
                <w:szCs w:val="20"/>
                <w:lang w:val="en-AU"/>
              </w:rPr>
            </w:pPr>
          </w:p>
        </w:tc>
        <w:tc>
          <w:tcPr>
            <w:tcW w:w="1581" w:type="pct"/>
            <w:gridSpan w:val="3"/>
            <w:vAlign w:val="center"/>
          </w:tcPr>
          <w:p w14:paraId="58E7E4FC"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Study 2201 Part I</w:t>
            </w:r>
          </w:p>
        </w:tc>
        <w:tc>
          <w:tcPr>
            <w:tcW w:w="1727" w:type="pct"/>
            <w:gridSpan w:val="3"/>
            <w:vAlign w:val="center"/>
          </w:tcPr>
          <w:p w14:paraId="53487AAD"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Study 2201 Part II</w:t>
            </w:r>
          </w:p>
        </w:tc>
        <w:tc>
          <w:tcPr>
            <w:tcW w:w="531" w:type="pct"/>
            <w:vMerge w:val="restart"/>
            <w:vAlign w:val="center"/>
          </w:tcPr>
          <w:p w14:paraId="1E97249A" w14:textId="77777777" w:rsidR="00A4529D" w:rsidRPr="0031419F" w:rsidRDefault="00A4529D" w:rsidP="000B4467">
            <w:pPr>
              <w:pStyle w:val="In-tableHeading"/>
              <w:cnfStyle w:val="100000000000" w:firstRow="1" w:lastRow="0" w:firstColumn="0" w:lastColumn="0" w:oddVBand="0" w:evenVBand="0" w:oddHBand="0" w:evenHBand="0" w:firstRowFirstColumn="0" w:firstRowLastColumn="0" w:lastRowFirstColumn="0" w:lastRowLastColumn="0"/>
              <w:rPr>
                <w:sz w:val="20"/>
                <w:lang w:val="en-AU"/>
              </w:rPr>
            </w:pPr>
            <w:r w:rsidRPr="0031419F">
              <w:rPr>
                <w:sz w:val="20"/>
                <w:lang w:val="en-AU"/>
              </w:rPr>
              <w:t>Study 2201E1</w:t>
            </w:r>
            <w:r w:rsidRPr="0031419F">
              <w:rPr>
                <w:sz w:val="20"/>
                <w:lang w:val="en-AU"/>
              </w:rPr>
              <w:br/>
              <w:t>N=37</w:t>
            </w:r>
            <w:r w:rsidRPr="0031419F">
              <w:rPr>
                <w:sz w:val="20"/>
                <w:lang w:val="en-AU"/>
              </w:rPr>
              <w:br/>
              <w:t>nE, nS (%)</w:t>
            </w:r>
          </w:p>
        </w:tc>
        <w:tc>
          <w:tcPr>
            <w:tcW w:w="543" w:type="pct"/>
            <w:vMerge w:val="restart"/>
            <w:vAlign w:val="center"/>
          </w:tcPr>
          <w:p w14:paraId="2763F50C" w14:textId="77777777" w:rsidR="00A4529D" w:rsidRPr="0031419F" w:rsidRDefault="00A4529D" w:rsidP="000B4467">
            <w:pPr>
              <w:pStyle w:val="Tabletext"/>
              <w:keepNext/>
              <w:keepLines/>
              <w:jc w:val="center"/>
              <w:cnfStyle w:val="100000000000" w:firstRow="1" w:lastRow="0" w:firstColumn="0" w:lastColumn="0" w:oddVBand="0" w:evenVBand="0" w:oddHBand="0" w:evenHBand="0" w:firstRowFirstColumn="0" w:firstRowLastColumn="0" w:lastRowFirstColumn="0" w:lastRowLastColumn="0"/>
              <w:rPr>
                <w:b/>
                <w:bCs/>
                <w:szCs w:val="20"/>
                <w:lang w:val="en-AU"/>
              </w:rPr>
            </w:pPr>
            <w:r w:rsidRPr="0031419F">
              <w:rPr>
                <w:b/>
                <w:bCs/>
                <w:szCs w:val="20"/>
                <w:lang w:val="en-AU"/>
              </w:rPr>
              <w:t>Total leniolisib</w:t>
            </w:r>
            <w:r w:rsidRPr="0031419F">
              <w:rPr>
                <w:b/>
                <w:bCs/>
                <w:szCs w:val="20"/>
                <w:lang w:val="en-AU"/>
              </w:rPr>
              <w:br/>
              <w:t>N=38</w:t>
            </w:r>
            <w:r w:rsidRPr="0031419F">
              <w:rPr>
                <w:b/>
                <w:bCs/>
                <w:szCs w:val="20"/>
                <w:lang w:val="en-AU"/>
              </w:rPr>
              <w:br/>
              <w:t>nE, nS (%)</w:t>
            </w:r>
          </w:p>
        </w:tc>
      </w:tr>
      <w:tr w:rsidR="00A4529D" w:rsidRPr="0031419F" w14:paraId="00A8B0A0" w14:textId="77777777" w:rsidTr="00AB25DD">
        <w:tc>
          <w:tcPr>
            <w:cnfStyle w:val="001000000000" w:firstRow="0" w:lastRow="0" w:firstColumn="1" w:lastColumn="0" w:oddVBand="0" w:evenVBand="0" w:oddHBand="0" w:evenHBand="0" w:firstRowFirstColumn="0" w:firstRowLastColumn="0" w:lastRowFirstColumn="0" w:lastRowLastColumn="0"/>
            <w:tcW w:w="618" w:type="pct"/>
            <w:vMerge/>
            <w:vAlign w:val="center"/>
          </w:tcPr>
          <w:p w14:paraId="1FE00748" w14:textId="77777777" w:rsidR="00A4529D" w:rsidRPr="0031419F" w:rsidRDefault="00A4529D" w:rsidP="000B4467">
            <w:pPr>
              <w:pStyle w:val="Tabletext"/>
              <w:keepNext/>
              <w:keepLines/>
              <w:rPr>
                <w:szCs w:val="20"/>
                <w:lang w:val="en-AU"/>
              </w:rPr>
            </w:pPr>
          </w:p>
        </w:tc>
        <w:tc>
          <w:tcPr>
            <w:tcW w:w="520" w:type="pct"/>
            <w:vAlign w:val="center"/>
          </w:tcPr>
          <w:p w14:paraId="70840A0E" w14:textId="77777777"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r w:rsidRPr="0031419F">
              <w:rPr>
                <w:sz w:val="20"/>
                <w:lang w:val="en-AU"/>
              </w:rPr>
              <w:br/>
              <w:t>10 mg bid</w:t>
            </w:r>
            <w:r w:rsidRPr="0031419F">
              <w:rPr>
                <w:sz w:val="20"/>
                <w:lang w:val="en-AU"/>
              </w:rPr>
              <w:br/>
              <w:t>N=6</w:t>
            </w:r>
            <w:r w:rsidRPr="0031419F">
              <w:rPr>
                <w:sz w:val="20"/>
                <w:lang w:val="en-AU"/>
              </w:rPr>
              <w:br/>
              <w:t>nE, nS (%)</w:t>
            </w:r>
          </w:p>
        </w:tc>
        <w:tc>
          <w:tcPr>
            <w:tcW w:w="529" w:type="pct"/>
            <w:vAlign w:val="center"/>
          </w:tcPr>
          <w:p w14:paraId="14829E12" w14:textId="77777777"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r w:rsidRPr="0031419F">
              <w:rPr>
                <w:sz w:val="20"/>
                <w:lang w:val="en-AU"/>
              </w:rPr>
              <w:br/>
              <w:t>30 mg bid</w:t>
            </w:r>
            <w:r w:rsidRPr="0031419F">
              <w:rPr>
                <w:sz w:val="20"/>
                <w:lang w:val="en-AU"/>
              </w:rPr>
              <w:br/>
              <w:t>N=6</w:t>
            </w:r>
            <w:r w:rsidRPr="0031419F">
              <w:rPr>
                <w:sz w:val="20"/>
                <w:lang w:val="en-AU"/>
              </w:rPr>
              <w:br/>
              <w:t>nE, nS (%)</w:t>
            </w:r>
          </w:p>
        </w:tc>
        <w:tc>
          <w:tcPr>
            <w:tcW w:w="532" w:type="pct"/>
            <w:vAlign w:val="center"/>
          </w:tcPr>
          <w:p w14:paraId="71F6CA10" w14:textId="77777777"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r w:rsidRPr="0031419F">
              <w:rPr>
                <w:sz w:val="20"/>
                <w:lang w:val="en-AU"/>
              </w:rPr>
              <w:br/>
              <w:t>70 mg bid</w:t>
            </w:r>
            <w:r w:rsidRPr="0031419F">
              <w:rPr>
                <w:sz w:val="20"/>
                <w:lang w:val="en-AU"/>
              </w:rPr>
              <w:br/>
              <w:t>N=6</w:t>
            </w:r>
            <w:r w:rsidRPr="0031419F">
              <w:rPr>
                <w:sz w:val="20"/>
                <w:lang w:val="en-AU"/>
              </w:rPr>
              <w:br/>
              <w:t>nE, nS (%)</w:t>
            </w:r>
          </w:p>
        </w:tc>
        <w:tc>
          <w:tcPr>
            <w:tcW w:w="603" w:type="pct"/>
            <w:vAlign w:val="center"/>
          </w:tcPr>
          <w:p w14:paraId="23B2CA7D" w14:textId="77777777"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leniolisib</w:t>
            </w:r>
            <w:r w:rsidRPr="0031419F">
              <w:rPr>
                <w:sz w:val="20"/>
                <w:lang w:val="en-AU"/>
              </w:rPr>
              <w:br/>
              <w:t>70 mg bid</w:t>
            </w:r>
            <w:r w:rsidRPr="0031419F">
              <w:rPr>
                <w:sz w:val="20"/>
                <w:lang w:val="en-AU"/>
              </w:rPr>
              <w:br/>
              <w:t>n=21</w:t>
            </w:r>
            <w:r w:rsidRPr="0031419F">
              <w:rPr>
                <w:sz w:val="20"/>
                <w:lang w:val="en-AU"/>
              </w:rPr>
              <w:br/>
              <w:t>nE, nS (%)</w:t>
            </w:r>
          </w:p>
        </w:tc>
        <w:tc>
          <w:tcPr>
            <w:tcW w:w="501" w:type="pct"/>
            <w:vAlign w:val="center"/>
          </w:tcPr>
          <w:p w14:paraId="1D0EEEDC" w14:textId="77777777"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Placebo</w:t>
            </w:r>
            <w:r w:rsidRPr="0031419F">
              <w:rPr>
                <w:sz w:val="20"/>
                <w:lang w:val="en-AU"/>
              </w:rPr>
              <w:br/>
              <w:t>bid</w:t>
            </w:r>
            <w:r w:rsidRPr="0031419F">
              <w:rPr>
                <w:sz w:val="20"/>
                <w:lang w:val="en-AU"/>
              </w:rPr>
              <w:br/>
              <w:t>n=10</w:t>
            </w:r>
            <w:r w:rsidRPr="0031419F">
              <w:rPr>
                <w:sz w:val="20"/>
                <w:lang w:val="en-AU"/>
              </w:rPr>
              <w:br/>
              <w:t>nE, nS (%)</w:t>
            </w:r>
          </w:p>
        </w:tc>
        <w:tc>
          <w:tcPr>
            <w:tcW w:w="624" w:type="pct"/>
            <w:vAlign w:val="center"/>
          </w:tcPr>
          <w:p w14:paraId="60EE3268" w14:textId="72511B39"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r w:rsidRPr="0031419F">
              <w:rPr>
                <w:sz w:val="20"/>
                <w:lang w:val="en-AU"/>
              </w:rPr>
              <w:t>RR</w:t>
            </w:r>
            <w:r w:rsidRPr="0031419F">
              <w:rPr>
                <w:sz w:val="20"/>
                <w:lang w:val="en-AU"/>
              </w:rPr>
              <w:br/>
              <w:t>(95% CI)</w:t>
            </w:r>
            <w:r w:rsidRPr="0031419F">
              <w:rPr>
                <w:sz w:val="20"/>
                <w:vertAlign w:val="superscript"/>
                <w:lang w:val="en-AU"/>
              </w:rPr>
              <w:t>d</w:t>
            </w:r>
          </w:p>
        </w:tc>
        <w:tc>
          <w:tcPr>
            <w:tcW w:w="531" w:type="pct"/>
            <w:vMerge/>
            <w:vAlign w:val="center"/>
          </w:tcPr>
          <w:p w14:paraId="2D109A5F" w14:textId="77777777" w:rsidR="00A4529D" w:rsidRPr="0031419F" w:rsidRDefault="00A4529D" w:rsidP="000B4467">
            <w:pPr>
              <w:pStyle w:val="In-tableHeading"/>
              <w:cnfStyle w:val="000000000000" w:firstRow="0" w:lastRow="0" w:firstColumn="0" w:lastColumn="0" w:oddVBand="0" w:evenVBand="0" w:oddHBand="0" w:evenHBand="0" w:firstRowFirstColumn="0" w:firstRowLastColumn="0" w:lastRowFirstColumn="0" w:lastRowLastColumn="0"/>
              <w:rPr>
                <w:sz w:val="20"/>
                <w:lang w:val="en-AU"/>
              </w:rPr>
            </w:pPr>
          </w:p>
        </w:tc>
        <w:tc>
          <w:tcPr>
            <w:tcW w:w="543" w:type="pct"/>
            <w:vMerge/>
            <w:vAlign w:val="center"/>
          </w:tcPr>
          <w:p w14:paraId="70FEF923" w14:textId="77777777" w:rsidR="00A4529D" w:rsidRPr="0031419F" w:rsidRDefault="00A4529D" w:rsidP="000B4467">
            <w:pPr>
              <w:pStyle w:val="Tabletext"/>
              <w:keepNext/>
              <w:keepLines/>
              <w:jc w:val="center"/>
              <w:cnfStyle w:val="000000000000" w:firstRow="0" w:lastRow="0" w:firstColumn="0" w:lastColumn="0" w:oddVBand="0" w:evenVBand="0" w:oddHBand="0" w:evenHBand="0" w:firstRowFirstColumn="0" w:firstRowLastColumn="0" w:lastRowFirstColumn="0" w:lastRowLastColumn="0"/>
              <w:rPr>
                <w:szCs w:val="20"/>
                <w:lang w:val="en-AU"/>
              </w:rPr>
            </w:pPr>
          </w:p>
        </w:tc>
      </w:tr>
      <w:tr w:rsidR="00A4529D" w:rsidRPr="0031419F" w14:paraId="588C00A9"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628C95CE" w14:textId="77777777" w:rsidR="00A4529D" w:rsidRPr="0031419F" w:rsidRDefault="00A4529D" w:rsidP="000B4467">
            <w:pPr>
              <w:pStyle w:val="TableText0"/>
              <w:keepNext/>
              <w:keepLines/>
              <w:rPr>
                <w:sz w:val="20"/>
                <w:szCs w:val="20"/>
                <w:lang w:val="en-AU" w:eastAsia="en-AU"/>
              </w:rPr>
            </w:pPr>
            <w:r w:rsidRPr="0031419F">
              <w:rPr>
                <w:sz w:val="20"/>
                <w:szCs w:val="20"/>
                <w:lang w:val="en-AU" w:eastAsia="en-AU"/>
              </w:rPr>
              <w:t>Patients with AEs</w:t>
            </w:r>
          </w:p>
        </w:tc>
        <w:tc>
          <w:tcPr>
            <w:tcW w:w="520" w:type="pct"/>
            <w:vAlign w:val="center"/>
          </w:tcPr>
          <w:p w14:paraId="465BFC1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4, 2 (33.3)</w:t>
            </w:r>
          </w:p>
        </w:tc>
        <w:tc>
          <w:tcPr>
            <w:tcW w:w="529" w:type="pct"/>
            <w:vAlign w:val="center"/>
          </w:tcPr>
          <w:p w14:paraId="51E2039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3, 2 (33.3)</w:t>
            </w:r>
          </w:p>
        </w:tc>
        <w:tc>
          <w:tcPr>
            <w:tcW w:w="532" w:type="pct"/>
            <w:vAlign w:val="center"/>
          </w:tcPr>
          <w:p w14:paraId="66B1D6B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11, 4 (66.7)</w:t>
            </w:r>
          </w:p>
        </w:tc>
        <w:tc>
          <w:tcPr>
            <w:tcW w:w="603" w:type="pct"/>
            <w:vAlign w:val="center"/>
          </w:tcPr>
          <w:p w14:paraId="4F87BA5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92, 18 (85.7)</w:t>
            </w:r>
          </w:p>
        </w:tc>
        <w:tc>
          <w:tcPr>
            <w:tcW w:w="501" w:type="pct"/>
            <w:vAlign w:val="center"/>
          </w:tcPr>
          <w:p w14:paraId="2503B55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46, 9 (90.0)</w:t>
            </w:r>
          </w:p>
        </w:tc>
        <w:tc>
          <w:tcPr>
            <w:tcW w:w="624" w:type="pct"/>
            <w:vAlign w:val="center"/>
          </w:tcPr>
          <w:p w14:paraId="1A5033A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0.95 (0.73,1.25)</w:t>
            </w:r>
          </w:p>
        </w:tc>
        <w:tc>
          <w:tcPr>
            <w:tcW w:w="531" w:type="pct"/>
            <w:vAlign w:val="center"/>
          </w:tcPr>
          <w:p w14:paraId="11DB5DB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418, 34 (91.9)</w:t>
            </w:r>
          </w:p>
        </w:tc>
        <w:tc>
          <w:tcPr>
            <w:tcW w:w="543" w:type="pct"/>
            <w:vAlign w:val="center"/>
          </w:tcPr>
          <w:p w14:paraId="27A74EE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528, 36 (94.7)</w:t>
            </w:r>
          </w:p>
        </w:tc>
      </w:tr>
      <w:tr w:rsidR="00A4529D" w:rsidRPr="0031419F" w14:paraId="46073178"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0E024B6F" w14:textId="0920B140" w:rsidR="00A4529D" w:rsidRPr="0031419F" w:rsidRDefault="00A4529D" w:rsidP="000B4467">
            <w:pPr>
              <w:pStyle w:val="TableText0"/>
              <w:keepNext/>
              <w:keepLines/>
              <w:rPr>
                <w:sz w:val="20"/>
                <w:szCs w:val="20"/>
                <w:lang w:val="en-AU" w:eastAsia="en-AU"/>
              </w:rPr>
            </w:pPr>
            <w:r w:rsidRPr="0031419F">
              <w:rPr>
                <w:sz w:val="20"/>
                <w:szCs w:val="20"/>
                <w:lang w:val="en-AU" w:eastAsia="en-AU"/>
              </w:rPr>
              <w:t>Rates per participant-year</w:t>
            </w:r>
            <w:r w:rsidRPr="0031419F">
              <w:rPr>
                <w:sz w:val="20"/>
                <w:szCs w:val="20"/>
                <w:vertAlign w:val="superscript"/>
                <w:lang w:val="en-AU" w:eastAsia="en-AU"/>
              </w:rPr>
              <w:t>a</w:t>
            </w:r>
            <w:r w:rsidRPr="0031419F">
              <w:rPr>
                <w:sz w:val="20"/>
                <w:szCs w:val="20"/>
                <w:lang w:val="en-AU" w:eastAsia="en-AU"/>
              </w:rPr>
              <w:t>: AEs</w:t>
            </w:r>
          </w:p>
        </w:tc>
        <w:tc>
          <w:tcPr>
            <w:tcW w:w="520" w:type="pct"/>
            <w:vAlign w:val="center"/>
          </w:tcPr>
          <w:p w14:paraId="0914945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8.9</w:t>
            </w:r>
          </w:p>
        </w:tc>
        <w:tc>
          <w:tcPr>
            <w:tcW w:w="529" w:type="pct"/>
            <w:vAlign w:val="center"/>
          </w:tcPr>
          <w:p w14:paraId="758C0EE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6.5</w:t>
            </w:r>
          </w:p>
        </w:tc>
        <w:tc>
          <w:tcPr>
            <w:tcW w:w="532" w:type="pct"/>
            <w:vAlign w:val="center"/>
          </w:tcPr>
          <w:p w14:paraId="19253F7D"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22.1</w:t>
            </w:r>
          </w:p>
        </w:tc>
        <w:tc>
          <w:tcPr>
            <w:tcW w:w="603" w:type="pct"/>
            <w:vAlign w:val="center"/>
          </w:tcPr>
          <w:p w14:paraId="45016A76"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18.0</w:t>
            </w:r>
          </w:p>
        </w:tc>
        <w:tc>
          <w:tcPr>
            <w:tcW w:w="501" w:type="pct"/>
            <w:vAlign w:val="center"/>
          </w:tcPr>
          <w:p w14:paraId="625E18B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17.9</w:t>
            </w:r>
          </w:p>
        </w:tc>
        <w:tc>
          <w:tcPr>
            <w:tcW w:w="624" w:type="pct"/>
            <w:vAlign w:val="center"/>
          </w:tcPr>
          <w:p w14:paraId="4EE71B3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NC</w:t>
            </w:r>
          </w:p>
        </w:tc>
        <w:tc>
          <w:tcPr>
            <w:tcW w:w="531" w:type="pct"/>
            <w:vAlign w:val="center"/>
          </w:tcPr>
          <w:p w14:paraId="130CEF8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3.6</w:t>
            </w:r>
          </w:p>
        </w:tc>
        <w:tc>
          <w:tcPr>
            <w:tcW w:w="543" w:type="pct"/>
            <w:vAlign w:val="center"/>
          </w:tcPr>
          <w:p w14:paraId="724E6F0D"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4.2</w:t>
            </w:r>
          </w:p>
        </w:tc>
      </w:tr>
      <w:tr w:rsidR="00A4529D" w:rsidRPr="0031419F" w14:paraId="0A8EC035"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1D01AA3A" w14:textId="77777777" w:rsidR="00A4529D" w:rsidRPr="0031419F" w:rsidRDefault="00A4529D" w:rsidP="000B4467">
            <w:pPr>
              <w:pStyle w:val="TableText0"/>
              <w:keepNext/>
              <w:keepLines/>
              <w:rPr>
                <w:sz w:val="20"/>
                <w:szCs w:val="20"/>
                <w:lang w:val="en-AU" w:eastAsia="en-AU"/>
              </w:rPr>
            </w:pPr>
            <w:r w:rsidRPr="0031419F">
              <w:rPr>
                <w:sz w:val="20"/>
                <w:szCs w:val="20"/>
                <w:lang w:val="en-AU" w:eastAsia="en-AU"/>
              </w:rPr>
              <w:t>Study drug-related AEs</w:t>
            </w:r>
          </w:p>
        </w:tc>
        <w:tc>
          <w:tcPr>
            <w:tcW w:w="520" w:type="pct"/>
            <w:vAlign w:val="center"/>
          </w:tcPr>
          <w:p w14:paraId="63EC408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79750DA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1A99B4DC"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15BC12B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6, 5 (23.8)</w:t>
            </w:r>
          </w:p>
        </w:tc>
        <w:tc>
          <w:tcPr>
            <w:tcW w:w="501" w:type="pct"/>
            <w:vAlign w:val="center"/>
          </w:tcPr>
          <w:p w14:paraId="6B26080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8, 3 (30.0)</w:t>
            </w:r>
          </w:p>
        </w:tc>
        <w:tc>
          <w:tcPr>
            <w:tcW w:w="624" w:type="pct"/>
            <w:vAlign w:val="center"/>
          </w:tcPr>
          <w:p w14:paraId="2D0F252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 xml:space="preserve">0.79 </w:t>
            </w:r>
          </w:p>
          <w:p w14:paraId="3911019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(0.23,2.68)</w:t>
            </w:r>
          </w:p>
        </w:tc>
        <w:tc>
          <w:tcPr>
            <w:tcW w:w="531" w:type="pct"/>
            <w:vAlign w:val="center"/>
          </w:tcPr>
          <w:p w14:paraId="5C76CF1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7, 5 (13.5)</w:t>
            </w:r>
          </w:p>
        </w:tc>
        <w:tc>
          <w:tcPr>
            <w:tcW w:w="543" w:type="pct"/>
            <w:vAlign w:val="center"/>
          </w:tcPr>
          <w:p w14:paraId="54F3083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13, 9 (23.7)</w:t>
            </w:r>
          </w:p>
        </w:tc>
      </w:tr>
      <w:tr w:rsidR="00A4529D" w:rsidRPr="0031419F" w14:paraId="7DB06B27"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21707AC3" w14:textId="70DEB04B" w:rsidR="00A4529D" w:rsidRPr="0031419F" w:rsidRDefault="00A4529D" w:rsidP="000B4467">
            <w:pPr>
              <w:pStyle w:val="TableText0"/>
              <w:keepNext/>
              <w:keepLines/>
              <w:rPr>
                <w:sz w:val="20"/>
                <w:szCs w:val="20"/>
                <w:lang w:val="en-AU" w:eastAsia="en-AU"/>
              </w:rPr>
            </w:pPr>
            <w:r w:rsidRPr="0031419F">
              <w:rPr>
                <w:sz w:val="20"/>
                <w:szCs w:val="20"/>
                <w:lang w:val="en-AU" w:eastAsia="en-AU"/>
              </w:rPr>
              <w:t>Serious AEs</w:t>
            </w:r>
            <w:r w:rsidRPr="0031419F">
              <w:rPr>
                <w:sz w:val="20"/>
                <w:szCs w:val="20"/>
                <w:vertAlign w:val="superscript"/>
                <w:lang w:val="en-AU" w:eastAsia="en-AU"/>
              </w:rPr>
              <w:t>b</w:t>
            </w:r>
          </w:p>
        </w:tc>
        <w:tc>
          <w:tcPr>
            <w:tcW w:w="520" w:type="pct"/>
            <w:vAlign w:val="center"/>
          </w:tcPr>
          <w:p w14:paraId="7322459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04D44E8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5FD666F0"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3F37FEB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5, 3 (14.3)</w:t>
            </w:r>
          </w:p>
        </w:tc>
        <w:tc>
          <w:tcPr>
            <w:tcW w:w="501" w:type="pct"/>
            <w:vAlign w:val="center"/>
          </w:tcPr>
          <w:p w14:paraId="6233CA8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6, 2 (20.0)</w:t>
            </w:r>
          </w:p>
        </w:tc>
        <w:tc>
          <w:tcPr>
            <w:tcW w:w="624" w:type="pct"/>
            <w:vAlign w:val="center"/>
          </w:tcPr>
          <w:p w14:paraId="77ECCC1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 xml:space="preserve">0.71 </w:t>
            </w:r>
          </w:p>
          <w:p w14:paraId="525F948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(0.14,3.62)</w:t>
            </w:r>
          </w:p>
        </w:tc>
        <w:tc>
          <w:tcPr>
            <w:tcW w:w="531" w:type="pct"/>
            <w:vAlign w:val="center"/>
          </w:tcPr>
          <w:p w14:paraId="37D1119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36, 8 (21.6)</w:t>
            </w:r>
          </w:p>
        </w:tc>
        <w:tc>
          <w:tcPr>
            <w:tcW w:w="543" w:type="pct"/>
            <w:vAlign w:val="center"/>
          </w:tcPr>
          <w:p w14:paraId="6A9BFFC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41, 9 (23.7)</w:t>
            </w:r>
          </w:p>
        </w:tc>
      </w:tr>
      <w:tr w:rsidR="00A4529D" w:rsidRPr="0031419F" w14:paraId="13056A2F"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740BACA7" w14:textId="6A69A6BF" w:rsidR="00A4529D" w:rsidRPr="0031419F" w:rsidRDefault="00A4529D" w:rsidP="000B4467">
            <w:pPr>
              <w:pStyle w:val="TableText0"/>
              <w:keepNext/>
              <w:keepLines/>
              <w:rPr>
                <w:sz w:val="20"/>
                <w:szCs w:val="20"/>
                <w:lang w:val="en-AU" w:eastAsia="en-AU"/>
              </w:rPr>
            </w:pPr>
            <w:r w:rsidRPr="0031419F">
              <w:rPr>
                <w:sz w:val="20"/>
                <w:szCs w:val="20"/>
                <w:lang w:val="en-AU" w:eastAsia="en-AU"/>
              </w:rPr>
              <w:t>Deaths</w:t>
            </w:r>
            <w:r w:rsidRPr="0031419F">
              <w:rPr>
                <w:sz w:val="20"/>
                <w:szCs w:val="20"/>
                <w:vertAlign w:val="superscript"/>
                <w:lang w:val="en-AU" w:eastAsia="en-AU"/>
              </w:rPr>
              <w:t>c</w:t>
            </w:r>
          </w:p>
        </w:tc>
        <w:tc>
          <w:tcPr>
            <w:tcW w:w="520" w:type="pct"/>
            <w:vAlign w:val="center"/>
          </w:tcPr>
          <w:p w14:paraId="7EEB7BAC"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2AF4832D"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01591B6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527D3840"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01" w:type="pct"/>
            <w:vAlign w:val="center"/>
          </w:tcPr>
          <w:p w14:paraId="28E3D66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24" w:type="pct"/>
            <w:vAlign w:val="center"/>
          </w:tcPr>
          <w:p w14:paraId="47A5FD7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NC</w:t>
            </w:r>
          </w:p>
        </w:tc>
        <w:tc>
          <w:tcPr>
            <w:tcW w:w="531" w:type="pct"/>
            <w:vAlign w:val="center"/>
          </w:tcPr>
          <w:p w14:paraId="45F9D7A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1, 1 (2.7)</w:t>
            </w:r>
          </w:p>
        </w:tc>
        <w:tc>
          <w:tcPr>
            <w:tcW w:w="543" w:type="pct"/>
            <w:vAlign w:val="center"/>
          </w:tcPr>
          <w:p w14:paraId="1CD42E6A"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1, 1 (2.6)</w:t>
            </w:r>
          </w:p>
        </w:tc>
      </w:tr>
      <w:tr w:rsidR="00A4529D" w:rsidRPr="0031419F" w14:paraId="3FCFACA2"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51C7401A" w14:textId="77777777" w:rsidR="00A4529D" w:rsidRPr="0031419F" w:rsidRDefault="00A4529D" w:rsidP="000B4467">
            <w:pPr>
              <w:pStyle w:val="TableText0"/>
              <w:keepNext/>
              <w:keepLines/>
              <w:rPr>
                <w:sz w:val="20"/>
                <w:szCs w:val="20"/>
                <w:lang w:val="en-AU" w:eastAsia="en-AU"/>
              </w:rPr>
            </w:pPr>
            <w:r w:rsidRPr="0031419F">
              <w:rPr>
                <w:sz w:val="20"/>
                <w:szCs w:val="20"/>
                <w:lang w:val="en-AU" w:eastAsia="en-AU"/>
              </w:rPr>
              <w:t>AEs leading to discontinuation of study treatment</w:t>
            </w:r>
          </w:p>
        </w:tc>
        <w:tc>
          <w:tcPr>
            <w:tcW w:w="520" w:type="pct"/>
            <w:vAlign w:val="center"/>
          </w:tcPr>
          <w:p w14:paraId="63F2F3A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7A7AD93C"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55ECC52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7753B0B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01" w:type="pct"/>
            <w:vAlign w:val="center"/>
          </w:tcPr>
          <w:p w14:paraId="60B071D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24" w:type="pct"/>
            <w:vAlign w:val="center"/>
          </w:tcPr>
          <w:p w14:paraId="6C0C390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NC</w:t>
            </w:r>
          </w:p>
        </w:tc>
        <w:tc>
          <w:tcPr>
            <w:tcW w:w="531" w:type="pct"/>
            <w:vAlign w:val="center"/>
          </w:tcPr>
          <w:p w14:paraId="2BF44E9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2, 2 (5.4)</w:t>
            </w:r>
          </w:p>
        </w:tc>
        <w:tc>
          <w:tcPr>
            <w:tcW w:w="543" w:type="pct"/>
            <w:vAlign w:val="center"/>
          </w:tcPr>
          <w:p w14:paraId="567774F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2, 2 (5.3)</w:t>
            </w:r>
          </w:p>
        </w:tc>
      </w:tr>
      <w:tr w:rsidR="00A4529D" w:rsidRPr="0031419F" w14:paraId="6AA346BD"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1D1E8876" w14:textId="77777777" w:rsidR="00A4529D" w:rsidRPr="0031419F" w:rsidRDefault="00A4529D" w:rsidP="000B4467">
            <w:pPr>
              <w:pStyle w:val="TableText0"/>
              <w:keepNext/>
              <w:keepLines/>
              <w:rPr>
                <w:sz w:val="20"/>
                <w:szCs w:val="20"/>
                <w:lang w:val="en-AU"/>
              </w:rPr>
            </w:pPr>
            <w:r w:rsidRPr="0031419F">
              <w:rPr>
                <w:sz w:val="20"/>
                <w:szCs w:val="20"/>
                <w:lang w:val="en-AU" w:eastAsia="en-AU"/>
              </w:rPr>
              <w:t>Grade 1 AEs</w:t>
            </w:r>
          </w:p>
        </w:tc>
        <w:tc>
          <w:tcPr>
            <w:tcW w:w="520" w:type="pct"/>
            <w:vAlign w:val="center"/>
          </w:tcPr>
          <w:p w14:paraId="3765E6E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(16.7)</w:t>
            </w:r>
          </w:p>
        </w:tc>
        <w:tc>
          <w:tcPr>
            <w:tcW w:w="529" w:type="pct"/>
            <w:vAlign w:val="center"/>
          </w:tcPr>
          <w:p w14:paraId="5B57925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 1 (16.7)</w:t>
            </w:r>
          </w:p>
        </w:tc>
        <w:tc>
          <w:tcPr>
            <w:tcW w:w="532" w:type="pct"/>
            <w:vAlign w:val="center"/>
          </w:tcPr>
          <w:p w14:paraId="4996FC4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9, 3 (50.0)</w:t>
            </w:r>
          </w:p>
        </w:tc>
        <w:tc>
          <w:tcPr>
            <w:tcW w:w="603" w:type="pct"/>
            <w:vAlign w:val="center"/>
          </w:tcPr>
          <w:p w14:paraId="405A4C9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65, 15 (71.4)</w:t>
            </w:r>
          </w:p>
        </w:tc>
        <w:tc>
          <w:tcPr>
            <w:tcW w:w="501" w:type="pct"/>
            <w:vAlign w:val="center"/>
          </w:tcPr>
          <w:p w14:paraId="6338702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27, 8 (80.0)</w:t>
            </w:r>
          </w:p>
        </w:tc>
        <w:tc>
          <w:tcPr>
            <w:tcW w:w="624" w:type="pct"/>
            <w:vAlign w:val="center"/>
          </w:tcPr>
          <w:p w14:paraId="07327BD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0.89 (0.59,1.35)</w:t>
            </w:r>
          </w:p>
        </w:tc>
        <w:tc>
          <w:tcPr>
            <w:tcW w:w="531" w:type="pct"/>
            <w:vAlign w:val="center"/>
          </w:tcPr>
          <w:p w14:paraId="36C545B0"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228, 32 (86.5)</w:t>
            </w:r>
          </w:p>
        </w:tc>
        <w:tc>
          <w:tcPr>
            <w:tcW w:w="543" w:type="pct"/>
            <w:vAlign w:val="center"/>
          </w:tcPr>
          <w:p w14:paraId="490F4A5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305, 33 (86.8)</w:t>
            </w:r>
          </w:p>
        </w:tc>
      </w:tr>
      <w:tr w:rsidR="00A4529D" w:rsidRPr="0031419F" w14:paraId="57BD8F35"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14DDB2C7" w14:textId="6ADC8165" w:rsidR="00A4529D" w:rsidRPr="0031419F" w:rsidRDefault="00A4529D" w:rsidP="000B4467">
            <w:pPr>
              <w:pStyle w:val="TableText0"/>
              <w:keepNext/>
              <w:keepLines/>
              <w:rPr>
                <w:sz w:val="20"/>
                <w:szCs w:val="20"/>
                <w:lang w:val="en-AU"/>
              </w:rPr>
            </w:pPr>
            <w:r w:rsidRPr="0031419F">
              <w:rPr>
                <w:sz w:val="20"/>
                <w:szCs w:val="20"/>
                <w:lang w:val="en-AU"/>
              </w:rPr>
              <w:t>Grade 1 AEs, rate per patient year</w:t>
            </w:r>
            <w:r w:rsidRPr="0031419F">
              <w:rPr>
                <w:sz w:val="20"/>
                <w:szCs w:val="20"/>
                <w:vertAlign w:val="superscript"/>
                <w:lang w:val="en-AU" w:eastAsia="en-AU"/>
              </w:rPr>
              <w:t>a</w:t>
            </w:r>
          </w:p>
        </w:tc>
        <w:tc>
          <w:tcPr>
            <w:tcW w:w="520" w:type="pct"/>
            <w:vAlign w:val="center"/>
          </w:tcPr>
          <w:p w14:paraId="18204846"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2.214</w:t>
            </w:r>
          </w:p>
        </w:tc>
        <w:tc>
          <w:tcPr>
            <w:tcW w:w="529" w:type="pct"/>
            <w:vAlign w:val="center"/>
          </w:tcPr>
          <w:p w14:paraId="29815FF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4.322</w:t>
            </w:r>
          </w:p>
        </w:tc>
        <w:tc>
          <w:tcPr>
            <w:tcW w:w="532" w:type="pct"/>
            <w:vAlign w:val="center"/>
          </w:tcPr>
          <w:p w14:paraId="634AC1C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18.062</w:t>
            </w:r>
          </w:p>
        </w:tc>
        <w:tc>
          <w:tcPr>
            <w:tcW w:w="603" w:type="pct"/>
            <w:vAlign w:val="center"/>
          </w:tcPr>
          <w:p w14:paraId="45F984C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12.723</w:t>
            </w:r>
          </w:p>
        </w:tc>
        <w:tc>
          <w:tcPr>
            <w:tcW w:w="501" w:type="pct"/>
            <w:vAlign w:val="center"/>
          </w:tcPr>
          <w:p w14:paraId="1066AB3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10.514</w:t>
            </w:r>
          </w:p>
        </w:tc>
        <w:tc>
          <w:tcPr>
            <w:tcW w:w="624" w:type="pct"/>
            <w:vAlign w:val="center"/>
          </w:tcPr>
          <w:p w14:paraId="4DC250CA"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NC</w:t>
            </w:r>
          </w:p>
        </w:tc>
        <w:tc>
          <w:tcPr>
            <w:tcW w:w="531" w:type="pct"/>
            <w:vAlign w:val="center"/>
          </w:tcPr>
          <w:p w14:paraId="32A234F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1.975</w:t>
            </w:r>
          </w:p>
        </w:tc>
        <w:tc>
          <w:tcPr>
            <w:tcW w:w="543" w:type="pct"/>
            <w:vAlign w:val="center"/>
          </w:tcPr>
          <w:p w14:paraId="13D7C56C"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2.436</w:t>
            </w:r>
          </w:p>
        </w:tc>
      </w:tr>
      <w:tr w:rsidR="00A4529D" w:rsidRPr="0031419F" w14:paraId="2EDA1BBE"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1E2BCF54" w14:textId="77777777" w:rsidR="00A4529D" w:rsidRPr="0031419F" w:rsidRDefault="00A4529D" w:rsidP="000B4467">
            <w:pPr>
              <w:pStyle w:val="TableText0"/>
              <w:keepNext/>
              <w:keepLines/>
              <w:rPr>
                <w:sz w:val="20"/>
                <w:szCs w:val="20"/>
                <w:lang w:val="en-AU"/>
              </w:rPr>
            </w:pPr>
            <w:r w:rsidRPr="0031419F">
              <w:rPr>
                <w:sz w:val="20"/>
                <w:szCs w:val="20"/>
                <w:lang w:val="en-AU" w:eastAsia="en-AU"/>
              </w:rPr>
              <w:t>Grade 2 AEs</w:t>
            </w:r>
          </w:p>
        </w:tc>
        <w:tc>
          <w:tcPr>
            <w:tcW w:w="520" w:type="pct"/>
            <w:vAlign w:val="center"/>
          </w:tcPr>
          <w:p w14:paraId="11BD92A6"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 0 (0.0)</w:t>
            </w:r>
          </w:p>
        </w:tc>
        <w:tc>
          <w:tcPr>
            <w:tcW w:w="529" w:type="pct"/>
            <w:vAlign w:val="center"/>
          </w:tcPr>
          <w:p w14:paraId="30AFA89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(16.7)</w:t>
            </w:r>
          </w:p>
        </w:tc>
        <w:tc>
          <w:tcPr>
            <w:tcW w:w="532" w:type="pct"/>
            <w:vAlign w:val="center"/>
          </w:tcPr>
          <w:p w14:paraId="5DE2C0B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2, 1 (16.7)</w:t>
            </w:r>
          </w:p>
        </w:tc>
        <w:tc>
          <w:tcPr>
            <w:tcW w:w="603" w:type="pct"/>
            <w:vAlign w:val="center"/>
          </w:tcPr>
          <w:p w14:paraId="5F07A72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19, 9 (42.9)</w:t>
            </w:r>
          </w:p>
        </w:tc>
        <w:tc>
          <w:tcPr>
            <w:tcW w:w="501" w:type="pct"/>
            <w:vAlign w:val="center"/>
          </w:tcPr>
          <w:p w14:paraId="43A4ADB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13, 5 (50.0)</w:t>
            </w:r>
          </w:p>
        </w:tc>
        <w:tc>
          <w:tcPr>
            <w:tcW w:w="624" w:type="pct"/>
            <w:vAlign w:val="center"/>
          </w:tcPr>
          <w:p w14:paraId="1FA8BC1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0.86 (0.39,1.89)</w:t>
            </w:r>
          </w:p>
        </w:tc>
        <w:tc>
          <w:tcPr>
            <w:tcW w:w="531" w:type="pct"/>
            <w:vAlign w:val="center"/>
          </w:tcPr>
          <w:p w14:paraId="274589B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104, 24 (64.9)</w:t>
            </w:r>
          </w:p>
        </w:tc>
        <w:tc>
          <w:tcPr>
            <w:tcW w:w="543" w:type="pct"/>
            <w:vAlign w:val="center"/>
          </w:tcPr>
          <w:p w14:paraId="31C0070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128, 28 (73.7)</w:t>
            </w:r>
          </w:p>
        </w:tc>
      </w:tr>
      <w:tr w:rsidR="00A4529D" w:rsidRPr="0031419F" w14:paraId="4CD0988F"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00670219" w14:textId="77777777" w:rsidR="00A4529D" w:rsidRPr="0031419F" w:rsidRDefault="00A4529D" w:rsidP="000B4467">
            <w:pPr>
              <w:pStyle w:val="TableText0"/>
              <w:keepNext/>
              <w:keepLines/>
              <w:rPr>
                <w:sz w:val="20"/>
                <w:szCs w:val="20"/>
                <w:lang w:val="en-AU"/>
              </w:rPr>
            </w:pPr>
            <w:r w:rsidRPr="0031419F">
              <w:rPr>
                <w:sz w:val="20"/>
                <w:szCs w:val="20"/>
                <w:lang w:val="en-AU" w:eastAsia="en-AU"/>
              </w:rPr>
              <w:t>Grade 3 AEs</w:t>
            </w:r>
          </w:p>
        </w:tc>
        <w:tc>
          <w:tcPr>
            <w:tcW w:w="520" w:type="pct"/>
            <w:vAlign w:val="center"/>
          </w:tcPr>
          <w:p w14:paraId="0AC823C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(16.7)</w:t>
            </w:r>
          </w:p>
        </w:tc>
        <w:tc>
          <w:tcPr>
            <w:tcW w:w="529" w:type="pct"/>
            <w:vAlign w:val="center"/>
          </w:tcPr>
          <w:p w14:paraId="3B11EAC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532" w:type="pct"/>
            <w:vAlign w:val="center"/>
          </w:tcPr>
          <w:p w14:paraId="3967C55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603" w:type="pct"/>
            <w:vAlign w:val="center"/>
          </w:tcPr>
          <w:p w14:paraId="5D09B5D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3, 2 (9.5)</w:t>
            </w:r>
          </w:p>
        </w:tc>
        <w:tc>
          <w:tcPr>
            <w:tcW w:w="501" w:type="pct"/>
            <w:vAlign w:val="center"/>
          </w:tcPr>
          <w:p w14:paraId="5891541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4, 3 (30.0)</w:t>
            </w:r>
          </w:p>
        </w:tc>
        <w:tc>
          <w:tcPr>
            <w:tcW w:w="624" w:type="pct"/>
            <w:vAlign w:val="center"/>
          </w:tcPr>
          <w:p w14:paraId="5A53DA8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0.32 (0.06,1.61)</w:t>
            </w:r>
          </w:p>
        </w:tc>
        <w:tc>
          <w:tcPr>
            <w:tcW w:w="531" w:type="pct"/>
            <w:vAlign w:val="center"/>
          </w:tcPr>
          <w:p w14:paraId="5DF38DFD"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45, 10 (27.0)</w:t>
            </w:r>
          </w:p>
        </w:tc>
        <w:tc>
          <w:tcPr>
            <w:tcW w:w="543" w:type="pct"/>
            <w:vAlign w:val="center"/>
          </w:tcPr>
          <w:p w14:paraId="639B030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49, 11 (28.9)</w:t>
            </w:r>
          </w:p>
        </w:tc>
      </w:tr>
      <w:tr w:rsidR="00A4529D" w:rsidRPr="0031419F" w14:paraId="7CD7CF90"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79797E70" w14:textId="77777777" w:rsidR="00A4529D" w:rsidRPr="0031419F" w:rsidRDefault="00A4529D" w:rsidP="000B4467">
            <w:pPr>
              <w:pStyle w:val="TableText0"/>
              <w:keepNext/>
              <w:keepLines/>
              <w:rPr>
                <w:sz w:val="20"/>
                <w:szCs w:val="20"/>
                <w:lang w:val="en-AU"/>
              </w:rPr>
            </w:pPr>
            <w:r w:rsidRPr="0031419F">
              <w:rPr>
                <w:sz w:val="20"/>
                <w:szCs w:val="20"/>
                <w:lang w:val="en-AU" w:eastAsia="en-AU"/>
              </w:rPr>
              <w:t>Grade 4 AEs</w:t>
            </w:r>
          </w:p>
        </w:tc>
        <w:tc>
          <w:tcPr>
            <w:tcW w:w="520" w:type="pct"/>
            <w:vAlign w:val="center"/>
          </w:tcPr>
          <w:p w14:paraId="44F47C6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529" w:type="pct"/>
            <w:vAlign w:val="center"/>
          </w:tcPr>
          <w:p w14:paraId="7254927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532" w:type="pct"/>
            <w:vAlign w:val="center"/>
          </w:tcPr>
          <w:p w14:paraId="3182E6E6"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603" w:type="pct"/>
            <w:vAlign w:val="center"/>
          </w:tcPr>
          <w:p w14:paraId="05E0C420"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3, 2 (9.5)</w:t>
            </w:r>
          </w:p>
        </w:tc>
        <w:tc>
          <w:tcPr>
            <w:tcW w:w="501" w:type="pct"/>
            <w:vAlign w:val="center"/>
          </w:tcPr>
          <w:p w14:paraId="1AD0A67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(10.0)</w:t>
            </w:r>
          </w:p>
        </w:tc>
        <w:tc>
          <w:tcPr>
            <w:tcW w:w="624" w:type="pct"/>
            <w:vAlign w:val="center"/>
          </w:tcPr>
          <w:p w14:paraId="518DF3F9"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0.95 (0.10,9.30)</w:t>
            </w:r>
          </w:p>
        </w:tc>
        <w:tc>
          <w:tcPr>
            <w:tcW w:w="531" w:type="pct"/>
            <w:vAlign w:val="center"/>
          </w:tcPr>
          <w:p w14:paraId="4DD576C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(2.7)</w:t>
            </w:r>
          </w:p>
        </w:tc>
        <w:tc>
          <w:tcPr>
            <w:tcW w:w="543" w:type="pct"/>
            <w:vAlign w:val="center"/>
          </w:tcPr>
          <w:p w14:paraId="113A18D8"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4, 3 (7.9)</w:t>
            </w:r>
          </w:p>
        </w:tc>
      </w:tr>
      <w:tr w:rsidR="00A4529D" w:rsidRPr="0031419F" w14:paraId="2AFD7B5A"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7E42B0E2" w14:textId="77777777" w:rsidR="00A4529D" w:rsidRPr="0031419F" w:rsidRDefault="00A4529D" w:rsidP="000B4467">
            <w:pPr>
              <w:pStyle w:val="TableText0"/>
              <w:keepNext/>
              <w:keepLines/>
              <w:rPr>
                <w:sz w:val="20"/>
                <w:szCs w:val="20"/>
                <w:lang w:val="en-AU"/>
              </w:rPr>
            </w:pPr>
            <w:r w:rsidRPr="0031419F">
              <w:rPr>
                <w:sz w:val="20"/>
                <w:szCs w:val="20"/>
                <w:lang w:val="en-AU" w:eastAsia="en-AU"/>
              </w:rPr>
              <w:t>Grade 5 AEs</w:t>
            </w:r>
          </w:p>
        </w:tc>
        <w:tc>
          <w:tcPr>
            <w:tcW w:w="520" w:type="pct"/>
            <w:vAlign w:val="center"/>
          </w:tcPr>
          <w:p w14:paraId="5F88CBC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529" w:type="pct"/>
            <w:vAlign w:val="center"/>
          </w:tcPr>
          <w:p w14:paraId="1DFD9C7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532" w:type="pct"/>
            <w:vAlign w:val="center"/>
          </w:tcPr>
          <w:p w14:paraId="2568EDB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603" w:type="pct"/>
            <w:vAlign w:val="center"/>
          </w:tcPr>
          <w:p w14:paraId="4573F61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0, 0 (0.0)</w:t>
            </w:r>
          </w:p>
        </w:tc>
        <w:tc>
          <w:tcPr>
            <w:tcW w:w="501" w:type="pct"/>
            <w:vAlign w:val="center"/>
          </w:tcPr>
          <w:p w14:paraId="0CB5D40A"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(10.0)</w:t>
            </w:r>
          </w:p>
        </w:tc>
        <w:tc>
          <w:tcPr>
            <w:tcW w:w="624" w:type="pct"/>
            <w:vAlign w:val="center"/>
          </w:tcPr>
          <w:p w14:paraId="36942FC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NC</w:t>
            </w:r>
          </w:p>
        </w:tc>
        <w:tc>
          <w:tcPr>
            <w:tcW w:w="531" w:type="pct"/>
            <w:vAlign w:val="center"/>
          </w:tcPr>
          <w:p w14:paraId="6DF94B8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(2.7)</w:t>
            </w:r>
          </w:p>
        </w:tc>
        <w:tc>
          <w:tcPr>
            <w:tcW w:w="543" w:type="pct"/>
            <w:vAlign w:val="center"/>
          </w:tcPr>
          <w:p w14:paraId="0FD2F49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31419F">
              <w:rPr>
                <w:sz w:val="20"/>
                <w:szCs w:val="20"/>
                <w:lang w:val="en-AU"/>
              </w:rPr>
              <w:t>1, 1 (2.6)</w:t>
            </w:r>
          </w:p>
        </w:tc>
      </w:tr>
      <w:tr w:rsidR="00A4529D" w:rsidRPr="0031419F" w14:paraId="5C71C653"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5971FE44" w14:textId="77777777" w:rsidR="00A4529D" w:rsidRPr="0031419F" w:rsidRDefault="00A4529D" w:rsidP="000B4467">
            <w:pPr>
              <w:pStyle w:val="TableText0"/>
              <w:keepNext/>
              <w:keepLines/>
              <w:rPr>
                <w:sz w:val="20"/>
                <w:szCs w:val="20"/>
                <w:lang w:val="en-AU" w:eastAsia="en-AU"/>
              </w:rPr>
            </w:pPr>
            <w:r w:rsidRPr="0031419F">
              <w:rPr>
                <w:sz w:val="20"/>
                <w:szCs w:val="20"/>
                <w:lang w:val="en-AU" w:eastAsia="en-AU"/>
              </w:rPr>
              <w:t>Study drug-related AEs leading to discontinuation of study treatment</w:t>
            </w:r>
          </w:p>
        </w:tc>
        <w:tc>
          <w:tcPr>
            <w:tcW w:w="520" w:type="pct"/>
            <w:vAlign w:val="center"/>
          </w:tcPr>
          <w:p w14:paraId="053456FD"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43F9EB0C"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65BAFB9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515357C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01" w:type="pct"/>
            <w:vAlign w:val="center"/>
          </w:tcPr>
          <w:p w14:paraId="055A56EA"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24" w:type="pct"/>
            <w:vAlign w:val="center"/>
          </w:tcPr>
          <w:p w14:paraId="75C513A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NC</w:t>
            </w:r>
          </w:p>
        </w:tc>
        <w:tc>
          <w:tcPr>
            <w:tcW w:w="531" w:type="pct"/>
            <w:vAlign w:val="center"/>
          </w:tcPr>
          <w:p w14:paraId="248F631B"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43" w:type="pct"/>
            <w:vAlign w:val="center"/>
          </w:tcPr>
          <w:p w14:paraId="2BD9C546"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r>
      <w:tr w:rsidR="00A4529D" w:rsidRPr="0031419F" w14:paraId="55BD142B"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13D24B53" w14:textId="77777777" w:rsidR="00A4529D" w:rsidRPr="0031419F" w:rsidRDefault="00A4529D" w:rsidP="000B4467">
            <w:pPr>
              <w:pStyle w:val="TableText0"/>
              <w:keepNext/>
              <w:keepLines/>
              <w:rPr>
                <w:sz w:val="20"/>
                <w:szCs w:val="20"/>
                <w:lang w:val="en-AU" w:eastAsia="en-AU"/>
              </w:rPr>
            </w:pPr>
            <w:r w:rsidRPr="0031419F">
              <w:rPr>
                <w:sz w:val="20"/>
                <w:szCs w:val="20"/>
                <w:lang w:val="en-AU" w:eastAsia="en-AU"/>
              </w:rPr>
              <w:t>AEs leading to study withdrawal</w:t>
            </w:r>
          </w:p>
        </w:tc>
        <w:tc>
          <w:tcPr>
            <w:tcW w:w="520" w:type="pct"/>
            <w:vAlign w:val="center"/>
          </w:tcPr>
          <w:p w14:paraId="05A07B95"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78B1C117"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564997E0"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6054446A"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01" w:type="pct"/>
            <w:vAlign w:val="center"/>
          </w:tcPr>
          <w:p w14:paraId="1BD180C2"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24" w:type="pct"/>
            <w:vAlign w:val="center"/>
          </w:tcPr>
          <w:p w14:paraId="4F455BA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NC</w:t>
            </w:r>
          </w:p>
        </w:tc>
        <w:tc>
          <w:tcPr>
            <w:tcW w:w="531" w:type="pct"/>
            <w:vAlign w:val="center"/>
          </w:tcPr>
          <w:p w14:paraId="32DB0DC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2, 2 (5.4)</w:t>
            </w:r>
          </w:p>
        </w:tc>
        <w:tc>
          <w:tcPr>
            <w:tcW w:w="543" w:type="pct"/>
            <w:vAlign w:val="center"/>
          </w:tcPr>
          <w:p w14:paraId="18AD91B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2, 2 (5.3)</w:t>
            </w:r>
          </w:p>
        </w:tc>
      </w:tr>
      <w:tr w:rsidR="00A4529D" w:rsidRPr="0031419F" w14:paraId="41E385E8" w14:textId="77777777" w:rsidTr="00AB25DD">
        <w:tc>
          <w:tcPr>
            <w:cnfStyle w:val="001000000000" w:firstRow="0" w:lastRow="0" w:firstColumn="1" w:lastColumn="0" w:oddVBand="0" w:evenVBand="0" w:oddHBand="0" w:evenHBand="0" w:firstRowFirstColumn="0" w:firstRowLastColumn="0" w:lastRowFirstColumn="0" w:lastRowLastColumn="0"/>
            <w:tcW w:w="618" w:type="pct"/>
            <w:vAlign w:val="center"/>
          </w:tcPr>
          <w:p w14:paraId="51BB8FE9" w14:textId="77777777" w:rsidR="00A4529D" w:rsidRPr="0031419F" w:rsidRDefault="00A4529D" w:rsidP="000B4467">
            <w:pPr>
              <w:pStyle w:val="TableText0"/>
              <w:keepNext/>
              <w:keepLines/>
              <w:rPr>
                <w:sz w:val="20"/>
                <w:szCs w:val="20"/>
                <w:lang w:val="en-AU" w:eastAsia="en-AU"/>
              </w:rPr>
            </w:pPr>
            <w:r w:rsidRPr="0031419F">
              <w:rPr>
                <w:sz w:val="20"/>
                <w:szCs w:val="20"/>
                <w:lang w:val="en-AU" w:eastAsia="en-AU"/>
              </w:rPr>
              <w:t>Study drug-related AEs leading to study withdrawal</w:t>
            </w:r>
          </w:p>
        </w:tc>
        <w:tc>
          <w:tcPr>
            <w:tcW w:w="520" w:type="pct"/>
            <w:vAlign w:val="center"/>
          </w:tcPr>
          <w:p w14:paraId="238CB2C4"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29" w:type="pct"/>
            <w:vAlign w:val="center"/>
          </w:tcPr>
          <w:p w14:paraId="67B2C9DD"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32" w:type="pct"/>
            <w:vAlign w:val="center"/>
          </w:tcPr>
          <w:p w14:paraId="50F71A1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03" w:type="pct"/>
            <w:vAlign w:val="center"/>
          </w:tcPr>
          <w:p w14:paraId="32B1F440"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01" w:type="pct"/>
            <w:vAlign w:val="center"/>
          </w:tcPr>
          <w:p w14:paraId="6FF3FEAF"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624" w:type="pct"/>
            <w:vAlign w:val="center"/>
          </w:tcPr>
          <w:p w14:paraId="7E7E6BB1"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rPr>
              <w:t>NC</w:t>
            </w:r>
          </w:p>
        </w:tc>
        <w:tc>
          <w:tcPr>
            <w:tcW w:w="531" w:type="pct"/>
            <w:vAlign w:val="center"/>
          </w:tcPr>
          <w:p w14:paraId="52F669B3"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c>
          <w:tcPr>
            <w:tcW w:w="543" w:type="pct"/>
            <w:vAlign w:val="center"/>
          </w:tcPr>
          <w:p w14:paraId="5241D05E" w14:textId="77777777" w:rsidR="00A4529D" w:rsidRPr="0031419F" w:rsidRDefault="00A4529D" w:rsidP="000B4467">
            <w:pPr>
              <w:pStyle w:val="TableText0"/>
              <w:keepNext/>
              <w:keepLines/>
              <w:jc w:val="center"/>
              <w:cnfStyle w:val="000000000000" w:firstRow="0" w:lastRow="0" w:firstColumn="0" w:lastColumn="0" w:oddVBand="0" w:evenVBand="0" w:oddHBand="0" w:evenHBand="0" w:firstRowFirstColumn="0" w:firstRowLastColumn="0" w:lastRowFirstColumn="0" w:lastRowLastColumn="0"/>
              <w:rPr>
                <w:sz w:val="20"/>
                <w:szCs w:val="20"/>
                <w:lang w:val="en-AU" w:eastAsia="en-AU"/>
              </w:rPr>
            </w:pPr>
            <w:r w:rsidRPr="0031419F">
              <w:rPr>
                <w:sz w:val="20"/>
                <w:szCs w:val="20"/>
                <w:lang w:val="en-AU" w:eastAsia="en-AU"/>
              </w:rPr>
              <w:t>0, 0 (0.0)</w:t>
            </w:r>
          </w:p>
        </w:tc>
      </w:tr>
    </w:tbl>
    <w:p w14:paraId="5094F45D" w14:textId="77777777" w:rsidR="00A4529D" w:rsidRPr="0031419F" w:rsidRDefault="00A4529D" w:rsidP="00A4529D">
      <w:pPr>
        <w:pStyle w:val="TableFigureFooter"/>
        <w:rPr>
          <w:lang w:val="en-AU"/>
        </w:rPr>
      </w:pPr>
      <w:r w:rsidRPr="0031419F">
        <w:rPr>
          <w:lang w:val="en-AU"/>
        </w:rPr>
        <w:t>AE = adverse event; bid = Bis In Die (twice daily); N = number of participants studied; NC = not calculable;</w:t>
      </w:r>
      <w:r w:rsidRPr="0031419F" w:rsidDel="00003AB1">
        <w:rPr>
          <w:lang w:val="en-AU"/>
        </w:rPr>
        <w:t xml:space="preserve"> </w:t>
      </w:r>
      <w:r w:rsidRPr="0031419F">
        <w:rPr>
          <w:lang w:val="en-AU"/>
        </w:rPr>
        <w:t>nE = number of AE events in the category; nS = number of participants with at least one AE in the category; RR = relative risk; SAE = serious adverse event; TEAE = treatment-emergent adverse event.</w:t>
      </w:r>
    </w:p>
    <w:p w14:paraId="7D6F80E1" w14:textId="77777777" w:rsidR="00A4529D" w:rsidRPr="0031419F" w:rsidRDefault="00A4529D" w:rsidP="00A4529D">
      <w:pPr>
        <w:pStyle w:val="TableFigureFooter"/>
        <w:rPr>
          <w:lang w:val="en-AU"/>
        </w:rPr>
      </w:pPr>
      <w:r w:rsidRPr="0031419F">
        <w:rPr>
          <w:lang w:val="en-AU"/>
        </w:rPr>
        <w:t xml:space="preserve">Footnotes: AEs or TEAEs have been classified according to the respective clinical study reports. </w:t>
      </w:r>
    </w:p>
    <w:p w14:paraId="39B02390" w14:textId="77777777" w:rsidR="00A4529D" w:rsidRPr="0031419F" w:rsidRDefault="00A4529D" w:rsidP="00A4529D">
      <w:pPr>
        <w:pStyle w:val="TableFigureFooter"/>
        <w:rPr>
          <w:lang w:val="en-AU"/>
        </w:rPr>
      </w:pPr>
      <w:r w:rsidRPr="0031419F">
        <w:rPr>
          <w:vertAlign w:val="superscript"/>
          <w:lang w:val="en-AU"/>
        </w:rPr>
        <w:t>a</w:t>
      </w:r>
      <w:r w:rsidRPr="0031419F">
        <w:rPr>
          <w:lang w:val="en-AU"/>
        </w:rPr>
        <w:t xml:space="preserve"> AE rate participant year = Total_AEs / Total_pt_follow-up_yrs (AE rate in units of events per participant-year). </w:t>
      </w:r>
    </w:p>
    <w:p w14:paraId="35510D7A" w14:textId="77777777" w:rsidR="00A4529D" w:rsidRPr="0031419F" w:rsidRDefault="00A4529D" w:rsidP="00A4529D">
      <w:pPr>
        <w:pStyle w:val="TableFigureFooter"/>
        <w:rPr>
          <w:lang w:val="en-AU"/>
        </w:rPr>
      </w:pPr>
      <w:r w:rsidRPr="0031419F">
        <w:rPr>
          <w:vertAlign w:val="superscript"/>
          <w:lang w:val="en-AU"/>
        </w:rPr>
        <w:t>b</w:t>
      </w:r>
      <w:r w:rsidRPr="0031419F">
        <w:rPr>
          <w:lang w:val="en-AU"/>
        </w:rPr>
        <w:t xml:space="preserve"> SAEs were defined as AEs which met any of the following criteria: fatal or life-threatening; resulted in persistent or significant disability/incapacity; constituted a congenital anomaly/birth defect; required inpatient hospitalisation or prolongation of existing hospitalisation (unless hospitalisation was for routine treatment or monitoring of the studied indication, not associated with any deterioration in condition, elective or pre-planned treatment for a pre-existing condition that was unrelated to the indication under study and had not worsened since the start of study drug, treatment on an emergency outpatient basis for an event not fulfilling any of the definitions of an SAE given above and not resulting in hospital admission, social reasons and respite care in the absence of any deterioration in the participant’s general condition) or medically significant, defined as an event that jeopardised the participant or required medical or surgical intervention.</w:t>
      </w:r>
    </w:p>
    <w:p w14:paraId="017EC3B6" w14:textId="77777777" w:rsidR="00A4529D" w:rsidRPr="0031419F" w:rsidRDefault="00A4529D" w:rsidP="00A4529D">
      <w:pPr>
        <w:pStyle w:val="TableFigureFooter"/>
        <w:rPr>
          <w:lang w:val="en-AU"/>
        </w:rPr>
      </w:pPr>
      <w:r w:rsidRPr="0031419F">
        <w:rPr>
          <w:vertAlign w:val="superscript"/>
          <w:lang w:val="en-AU"/>
        </w:rPr>
        <w:t>c</w:t>
      </w:r>
      <w:r w:rsidRPr="0031419F">
        <w:rPr>
          <w:lang w:val="en-AU"/>
        </w:rPr>
        <w:t xml:space="preserve"> Rao et al., 2023 reports no deaths in Study 2201 Part II as the publication only reported AEs that occurred within 30 days after the study had ended.</w:t>
      </w:r>
    </w:p>
    <w:p w14:paraId="7726CE0B" w14:textId="77777777" w:rsidR="00A4529D" w:rsidRPr="0031419F" w:rsidRDefault="00A4529D" w:rsidP="00A4529D">
      <w:pPr>
        <w:pStyle w:val="TableFigureFooter"/>
        <w:rPr>
          <w:lang w:val="en-AU"/>
        </w:rPr>
      </w:pPr>
      <w:r w:rsidRPr="0031419F">
        <w:rPr>
          <w:vertAlign w:val="superscript"/>
          <w:lang w:val="en-AU"/>
        </w:rPr>
        <w:t>d</w:t>
      </w:r>
      <w:r w:rsidRPr="0031419F">
        <w:rPr>
          <w:lang w:val="en-AU"/>
        </w:rPr>
        <w:t xml:space="preserve"> RR calculated based on the risk experiencing the AE per patient, based on the number of participants with at least one AE in the category. Data indicates that each patient could experience the AE multiple more than once.</w:t>
      </w:r>
    </w:p>
    <w:p w14:paraId="26BB6D4A" w14:textId="77777777" w:rsidR="00A4529D" w:rsidRPr="0031419F" w:rsidRDefault="00A4529D" w:rsidP="00A4529D">
      <w:pPr>
        <w:pStyle w:val="TableFigureFooter"/>
        <w:rPr>
          <w:lang w:val="en-AU"/>
        </w:rPr>
      </w:pPr>
      <w:r w:rsidRPr="0031419F">
        <w:rPr>
          <w:lang w:val="en-AU"/>
        </w:rPr>
        <w:t>Data in italics calculated during the evaluation.</w:t>
      </w:r>
    </w:p>
    <w:p w14:paraId="7F5C8778" w14:textId="77777777" w:rsidR="00A4529D" w:rsidRPr="0031419F" w:rsidRDefault="00A4529D" w:rsidP="00A4529D">
      <w:pPr>
        <w:pStyle w:val="TableFigureFooter"/>
        <w:rPr>
          <w:lang w:val="en-AU"/>
        </w:rPr>
      </w:pPr>
      <w:r w:rsidRPr="0031419F">
        <w:rPr>
          <w:lang w:val="en-AU"/>
        </w:rPr>
        <w:t>Source: Tables 2.39 and 2.40, p143 and 147 of the submission</w:t>
      </w:r>
    </w:p>
    <w:p w14:paraId="1BC613C3" w14:textId="329329EB" w:rsidR="00A4529D" w:rsidRPr="0031419F" w:rsidRDefault="00A4529D" w:rsidP="00A4529D">
      <w:pPr>
        <w:pStyle w:val="3-BodyText"/>
        <w:spacing w:before="0" w:after="120"/>
      </w:pPr>
      <w:r w:rsidRPr="0031419F">
        <w:t xml:space="preserve">During Study 2201 Part I, there was one </w:t>
      </w:r>
      <w:r w:rsidR="008A443A" w:rsidRPr="0031419F">
        <w:t xml:space="preserve">instance </w:t>
      </w:r>
      <w:r w:rsidRPr="0031419F">
        <w:t xml:space="preserve">of </w:t>
      </w:r>
      <w:r w:rsidR="00B36627" w:rsidRPr="0031419F">
        <w:t xml:space="preserve">hearing loss </w:t>
      </w:r>
      <w:r w:rsidRPr="0031419F">
        <w:t xml:space="preserve">reported (considered not study drug-related). There were no new incidences of </w:t>
      </w:r>
      <w:r w:rsidR="00B36627" w:rsidRPr="0031419F">
        <w:t xml:space="preserve">hearing loss </w:t>
      </w:r>
      <w:r w:rsidRPr="0031419F">
        <w:t>reported during Study 2201 Part II (across both leniolisib and placebo groups) or Study 2201E1.</w:t>
      </w:r>
      <w:r w:rsidR="0001080F" w:rsidRPr="0031419F">
        <w:t xml:space="preserve"> The submission reported that </w:t>
      </w:r>
      <w:r w:rsidR="00CD3EA0" w:rsidRPr="0031419F">
        <w:t xml:space="preserve">all five clinicians surveyed in the sponsor-commissioned </w:t>
      </w:r>
      <w:r w:rsidR="0001080F" w:rsidRPr="0031419F">
        <w:t xml:space="preserve">UK </w:t>
      </w:r>
      <w:r w:rsidR="00CD3EA0" w:rsidRPr="0031419F">
        <w:t>E</w:t>
      </w:r>
      <w:r w:rsidR="0001080F" w:rsidRPr="0031419F">
        <w:t>xpert</w:t>
      </w:r>
      <w:r w:rsidR="00CD3EA0" w:rsidRPr="0031419F">
        <w:t xml:space="preserve"> Consultancy report either </w:t>
      </w:r>
      <w:r w:rsidR="007B5A04" w:rsidRPr="0031419F">
        <w:t xml:space="preserve">‘agreed’ or ‘somewhat agreed’ </w:t>
      </w:r>
      <w:r w:rsidR="00064ECC" w:rsidRPr="0031419F">
        <w:t>that a reduction in otitis infections would lead to a reduction in incident cases of hearing loss in individuals with APDS</w:t>
      </w:r>
      <w:r w:rsidR="00CD3EA0" w:rsidRPr="0031419F">
        <w:t>.</w:t>
      </w:r>
      <w:r w:rsidRPr="0031419F">
        <w:t xml:space="preserve"> Hearing loss is an outcome considered in the economic evaluation (see </w:t>
      </w:r>
      <w:r w:rsidR="006E677C" w:rsidRPr="0031419F">
        <w:t>paragraph</w:t>
      </w:r>
      <w:r w:rsidR="00501E59" w:rsidRPr="0031419F">
        <w:t xml:space="preserve"> </w:t>
      </w:r>
      <w:r w:rsidR="00501E59" w:rsidRPr="0031419F">
        <w:fldChar w:fldCharType="begin" w:fldLock="1"/>
      </w:r>
      <w:r w:rsidR="00501E59" w:rsidRPr="0031419F">
        <w:instrText xml:space="preserve"> REF _Ref196176601 \r \h </w:instrText>
      </w:r>
      <w:r w:rsidR="0031419F" w:rsidRPr="0031419F">
        <w:instrText xml:space="preserve"> \* MERGEFORMAT </w:instrText>
      </w:r>
      <w:r w:rsidR="00501E59" w:rsidRPr="0031419F">
        <w:fldChar w:fldCharType="separate"/>
      </w:r>
      <w:r w:rsidR="006E12E4">
        <w:t>6.56</w:t>
      </w:r>
      <w:r w:rsidR="00501E59" w:rsidRPr="0031419F">
        <w:fldChar w:fldCharType="end"/>
      </w:r>
      <w:r w:rsidRPr="0031419F">
        <w:t>)</w:t>
      </w:r>
      <w:r w:rsidR="00FB02DB" w:rsidRPr="0031419F">
        <w:t>.</w:t>
      </w:r>
    </w:p>
    <w:p w14:paraId="18F0DB69" w14:textId="741015D3" w:rsidR="00A4529D" w:rsidRPr="0031419F" w:rsidRDefault="00A4529D" w:rsidP="00A4529D">
      <w:pPr>
        <w:pStyle w:val="3-BodyText"/>
        <w:spacing w:before="0" w:after="120"/>
      </w:pPr>
      <w:r w:rsidRPr="0031419F">
        <w:t xml:space="preserve">Two cases of malignancy have been reported in Study 2201. One was a case of classical Hodgkin’s lymphoma which led to treatment discontinuation. The other case was a suspected </w:t>
      </w:r>
      <w:r w:rsidR="00F71E2A" w:rsidRPr="0031419F">
        <w:t>urothelial</w:t>
      </w:r>
      <w:r w:rsidRPr="0031419F">
        <w:t xml:space="preserve"> carcinoma reported at Day 1329, for which treatment was temporarily interrupted. The case was reported recovered/resolved after five months and the patient resumed leniolisib. Neither event was considered to be related to leniolisib, by the investigator. The rate of malignancy in Study 2201 was relied upon by the submission in the economic evaluation (see</w:t>
      </w:r>
      <w:r w:rsidR="00736554" w:rsidRPr="0031419F">
        <w:t xml:space="preserve"> </w:t>
      </w:r>
      <w:r w:rsidR="00736554" w:rsidRPr="0031419F">
        <w:fldChar w:fldCharType="begin" w:fldLock="1"/>
      </w:r>
      <w:r w:rsidR="00736554" w:rsidRPr="0031419F">
        <w:instrText xml:space="preserve"> REF _Ref196153891 \h  \* MERGEFORMAT </w:instrText>
      </w:r>
      <w:r w:rsidR="00736554" w:rsidRPr="0031419F">
        <w:fldChar w:fldCharType="separate"/>
      </w:r>
      <w:r w:rsidR="00C34379" w:rsidRPr="0031419F">
        <w:t xml:space="preserve">Table </w:t>
      </w:r>
      <w:r w:rsidR="00C34379">
        <w:rPr>
          <w:noProof/>
        </w:rPr>
        <w:t>15</w:t>
      </w:r>
      <w:r w:rsidR="00736554" w:rsidRPr="0031419F">
        <w:fldChar w:fldCharType="end"/>
      </w:r>
      <w:r w:rsidR="006E677C" w:rsidRPr="0031419F">
        <w:t xml:space="preserve"> and </w:t>
      </w:r>
      <w:r w:rsidR="006E677C" w:rsidRPr="0031419F">
        <w:fldChar w:fldCharType="begin" w:fldLock="1"/>
      </w:r>
      <w:r w:rsidR="006E677C" w:rsidRPr="0031419F">
        <w:instrText xml:space="preserve"> REF _Ref196154666 \h  \* MERGEFORMAT </w:instrText>
      </w:r>
      <w:r w:rsidR="006E677C" w:rsidRPr="0031419F">
        <w:fldChar w:fldCharType="separate"/>
      </w:r>
      <w:r w:rsidR="00C34379" w:rsidRPr="0031419F">
        <w:t xml:space="preserve">Table </w:t>
      </w:r>
      <w:r w:rsidR="00C34379">
        <w:rPr>
          <w:noProof/>
        </w:rPr>
        <w:t>16</w:t>
      </w:r>
      <w:r w:rsidR="006E677C" w:rsidRPr="0031419F">
        <w:fldChar w:fldCharType="end"/>
      </w:r>
      <w:r w:rsidRPr="0031419F">
        <w:t>).</w:t>
      </w:r>
    </w:p>
    <w:p w14:paraId="6B1E0E21" w14:textId="5603326E" w:rsidR="00A4529D" w:rsidRPr="0031419F" w:rsidRDefault="00A4529D" w:rsidP="00A4529D">
      <w:pPr>
        <w:pStyle w:val="3-BodyText"/>
        <w:spacing w:before="0" w:after="120"/>
      </w:pPr>
      <w:r w:rsidRPr="0031419F">
        <w:t>No deaths or discontinuation of leniolisib w</w:t>
      </w:r>
      <w:r w:rsidR="00C56CC0" w:rsidRPr="0031419F">
        <w:t>ere</w:t>
      </w:r>
      <w:r w:rsidRPr="0031419F">
        <w:t xml:space="preserve"> reported across Study 2201 Parts I/II. In Study 2201E1 one patient (previous placebo) discontinued leniolisib treatment in Week 118 (Extension Day 826), due to a diagnosis of Hodgkin’s disease (SAE), which was considered unrelated to the study drug. One death in a </w:t>
      </w:r>
      <w:r w:rsidR="00116E16" w:rsidRPr="0031419F">
        <w:t>22-year-old</w:t>
      </w:r>
      <w:r w:rsidRPr="0031419F">
        <w:t xml:space="preserve"> male due to cardiac arrest (Week 125) was reported in Study 2201E1, which was considered unrelated to the study drug. Another death was reported in a 44-year-old female who had completed treatment with placebo in Study 2201 Part II and died of pulmonary hypertension approximately 4.5 months after the last dose of study medication. Deaths from Study 2201 was relied upon by the submission in the economic evaluation (see</w:t>
      </w:r>
      <w:r w:rsidR="00736554" w:rsidRPr="0031419F">
        <w:t xml:space="preserve"> paragraph </w:t>
      </w:r>
      <w:r w:rsidR="00736554" w:rsidRPr="0031419F">
        <w:fldChar w:fldCharType="begin" w:fldLock="1"/>
      </w:r>
      <w:r w:rsidR="00736554" w:rsidRPr="0031419F">
        <w:instrText xml:space="preserve"> REF _Ref196176175 \r \h </w:instrText>
      </w:r>
      <w:r w:rsidR="0031419F" w:rsidRPr="0031419F">
        <w:instrText xml:space="preserve"> \* MERGEFORMAT </w:instrText>
      </w:r>
      <w:r w:rsidR="00736554" w:rsidRPr="0031419F">
        <w:fldChar w:fldCharType="separate"/>
      </w:r>
      <w:r w:rsidR="006E12E4">
        <w:t>6.60</w:t>
      </w:r>
      <w:r w:rsidR="00736554" w:rsidRPr="0031419F">
        <w:fldChar w:fldCharType="end"/>
      </w:r>
      <w:r w:rsidRPr="0031419F">
        <w:t>)</w:t>
      </w:r>
      <w:r w:rsidR="00800B09" w:rsidRPr="0031419F">
        <w:t>.</w:t>
      </w:r>
    </w:p>
    <w:p w14:paraId="7B10F0A9" w14:textId="52BBDF6E" w:rsidR="00A4529D" w:rsidRPr="0031419F" w:rsidRDefault="00A4529D" w:rsidP="00A4529D">
      <w:pPr>
        <w:pStyle w:val="3-BodyText"/>
        <w:spacing w:before="0" w:after="120"/>
      </w:pPr>
      <w:r w:rsidRPr="0031419F">
        <w:t>The TGA Delegate (TGA Delegate’s overview, 6 December 2024) found that there was very little on which to base an analysis of the safety of leniolisib. The Delegate consider</w:t>
      </w:r>
      <w:r w:rsidR="006E12E4">
        <w:t>ed</w:t>
      </w:r>
      <w:r w:rsidRPr="0031419F">
        <w:t xml:space="preserve"> it likely that long term treatment will lead to the emergence of rarer adverse events associated with PI3Kδ inhibition in some patients. However, the rate of these events will be difficult to quantify given the low number of patients who will ever be exposed to leniolisib for APDS treatment and may only be known if leniolisib acquires a more common indication in the future. The Delegate, however, considered the safety of leniolisib to be acceptable in the context of APDS being an incurable, debilitating and life-threatening condition and noted that the alternative standard of care for APDS also has significant potential adverse treatment effects.</w:t>
      </w:r>
    </w:p>
    <w:p w14:paraId="53ED7A28" w14:textId="5E011340" w:rsidR="00A4529D" w:rsidRPr="0031419F" w:rsidRDefault="00A4529D" w:rsidP="00A4529D">
      <w:pPr>
        <w:pStyle w:val="3-BodyText"/>
        <w:spacing w:before="0" w:after="120"/>
      </w:pPr>
      <w:r w:rsidRPr="0031419F">
        <w:t>As leniolisib is to be added to SoC, it was reasonable to expect that more AEs would be experienced by patients receiving leniolisib. However, there could also be reduction in SoC related AEs if the usage of SoC decreases with leniolisib treatment. Moreover, as noted by the TGA, there was a lack of long</w:t>
      </w:r>
      <w:r w:rsidR="004E29B7" w:rsidRPr="0031419F">
        <w:t>-</w:t>
      </w:r>
      <w:r w:rsidRPr="0031419F">
        <w:t>term safety data. Overall, the claim that leniolisib plus SoC was non-inferior to SoC should be considered uncertain. However, based on available evidence as presented in the submission, the incremental impact to safety for patients receiving leniolisib appears to be manageable.</w:t>
      </w:r>
    </w:p>
    <w:p w14:paraId="5874269F" w14:textId="77777777" w:rsidR="00A4529D" w:rsidRPr="006562D8" w:rsidRDefault="00A4529D" w:rsidP="00A4529D">
      <w:pPr>
        <w:pStyle w:val="4-SubsectionHeading"/>
      </w:pPr>
      <w:bookmarkStart w:id="32" w:name="_Toc198725889"/>
      <w:r w:rsidRPr="006562D8">
        <w:t>Benefits/harms</w:t>
      </w:r>
      <w:bookmarkEnd w:id="32"/>
    </w:p>
    <w:p w14:paraId="7AFA96A6" w14:textId="005D0F4C" w:rsidR="00A4529D" w:rsidRPr="0031419F" w:rsidRDefault="00A4529D" w:rsidP="00D97656">
      <w:pPr>
        <w:pStyle w:val="3-BodyText"/>
        <w:rPr>
          <w:rStyle w:val="CommentReference"/>
        </w:rPr>
      </w:pPr>
      <w:r w:rsidRPr="006562D8">
        <w:t xml:space="preserve">A </w:t>
      </w:r>
      <w:r w:rsidRPr="0031419F">
        <w:t>summary of the comparative benefits and harms for leniolisib versus SoC over the 12</w:t>
      </w:r>
      <w:r w:rsidR="004E29B7" w:rsidRPr="0031419F">
        <w:t>-</w:t>
      </w:r>
      <w:r w:rsidRPr="0031419F">
        <w:t xml:space="preserve">week duration of Study 2201 Part II is presented in </w:t>
      </w:r>
      <w:r w:rsidR="008A6B4C" w:rsidRPr="0031419F">
        <w:fldChar w:fldCharType="begin" w:fldLock="1"/>
      </w:r>
      <w:r w:rsidR="008A6B4C" w:rsidRPr="0031419F">
        <w:instrText xml:space="preserve"> REF _Ref196166075 \h </w:instrText>
      </w:r>
      <w:r w:rsidR="0031419F" w:rsidRPr="0031419F">
        <w:instrText xml:space="preserve"> \* MERGEFORMAT </w:instrText>
      </w:r>
      <w:r w:rsidR="008A6B4C" w:rsidRPr="0031419F">
        <w:fldChar w:fldCharType="separate"/>
      </w:r>
      <w:r w:rsidR="00C34379" w:rsidRPr="0031419F">
        <w:t xml:space="preserve">Table </w:t>
      </w:r>
      <w:r w:rsidR="00C34379">
        <w:rPr>
          <w:noProof/>
        </w:rPr>
        <w:t>13</w:t>
      </w:r>
      <w:r w:rsidR="008A6B4C" w:rsidRPr="0031419F">
        <w:fldChar w:fldCharType="end"/>
      </w:r>
      <w:r w:rsidRPr="0031419F">
        <w:t xml:space="preserve">. The benefit and harms should be interpreted with caution due to the relatively short treatment duration (12-weeks) and small patient numbers. </w:t>
      </w:r>
    </w:p>
    <w:p w14:paraId="7A7245ED" w14:textId="2B281EBC" w:rsidR="00A4529D" w:rsidRPr="0031419F" w:rsidRDefault="00A4529D" w:rsidP="00A4529D">
      <w:pPr>
        <w:pStyle w:val="Caption"/>
        <w:rPr>
          <w:rStyle w:val="CommentReference"/>
          <w:b/>
          <w:szCs w:val="24"/>
        </w:rPr>
      </w:pPr>
      <w:bookmarkStart w:id="33" w:name="_Ref196166075"/>
      <w:r w:rsidRPr="0031419F">
        <w:t xml:space="preserve">Table </w:t>
      </w:r>
      <w:r w:rsidR="00C34379">
        <w:fldChar w:fldCharType="begin" w:fldLock="1"/>
      </w:r>
      <w:r w:rsidR="00C34379">
        <w:instrText xml:space="preserve"> SEQ Table \* ARABIC </w:instrText>
      </w:r>
      <w:r w:rsidR="00C34379">
        <w:fldChar w:fldCharType="separate"/>
      </w:r>
      <w:r w:rsidR="00C34379">
        <w:rPr>
          <w:noProof/>
        </w:rPr>
        <w:t>13</w:t>
      </w:r>
      <w:r w:rsidR="00C34379">
        <w:rPr>
          <w:noProof/>
        </w:rPr>
        <w:fldChar w:fldCharType="end"/>
      </w:r>
      <w:bookmarkEnd w:id="33"/>
      <w:r w:rsidRPr="0031419F">
        <w:t xml:space="preserve">: </w:t>
      </w:r>
      <w:r w:rsidRPr="0031419F">
        <w:rPr>
          <w:rStyle w:val="CommentReference"/>
          <w:b/>
          <w:szCs w:val="24"/>
        </w:rPr>
        <w:t xml:space="preserve">Summary of comparative benefits and harms for leniolisib and SoC, </w:t>
      </w:r>
      <w:r w:rsidRPr="0031419F">
        <w:t>Study 2201 Part II</w:t>
      </w:r>
    </w:p>
    <w:tbl>
      <w:tblPr>
        <w:tblW w:w="5000" w:type="pct"/>
        <w:tblLayout w:type="fixed"/>
        <w:tblCellMar>
          <w:left w:w="28" w:type="dxa"/>
          <w:right w:w="28" w:type="dxa"/>
        </w:tblCellMar>
        <w:tblLook w:val="04A0" w:firstRow="1" w:lastRow="0" w:firstColumn="1" w:lastColumn="0" w:noHBand="0" w:noVBand="1"/>
        <w:tblCaption w:val="Table 13: Summary of comparative benefits and harms for leniolisib and SoC, Study 2201 Part II"/>
      </w:tblPr>
      <w:tblGrid>
        <w:gridCol w:w="1126"/>
        <w:gridCol w:w="21"/>
        <w:gridCol w:w="9"/>
        <w:gridCol w:w="1114"/>
        <w:gridCol w:w="7"/>
        <w:gridCol w:w="1264"/>
        <w:gridCol w:w="1534"/>
        <w:gridCol w:w="1207"/>
        <w:gridCol w:w="9"/>
        <w:gridCol w:w="1103"/>
        <w:gridCol w:w="18"/>
        <w:gridCol w:w="1486"/>
      </w:tblGrid>
      <w:tr w:rsidR="00A4529D" w:rsidRPr="0031419F" w14:paraId="5AAEF78E" w14:textId="77777777" w:rsidTr="009F0AAF">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vAlign w:val="center"/>
          </w:tcPr>
          <w:p w14:paraId="0CF19D65" w14:textId="77777777" w:rsidR="00A4529D" w:rsidRPr="0031419F" w:rsidRDefault="00A4529D" w:rsidP="000B4467">
            <w:pPr>
              <w:pStyle w:val="In-tableHeading"/>
              <w:rPr>
                <w:lang w:val="en-AU"/>
              </w:rPr>
            </w:pPr>
            <w:r w:rsidRPr="0031419F">
              <w:rPr>
                <w:lang w:val="en-AU"/>
              </w:rPr>
              <w:t>Outcome</w:t>
            </w:r>
          </w:p>
        </w:tc>
        <w:tc>
          <w:tcPr>
            <w:tcW w:w="643" w:type="pct"/>
            <w:gridSpan w:val="3"/>
            <w:vMerge w:val="restart"/>
            <w:tcBorders>
              <w:top w:val="single" w:sz="4" w:space="0" w:color="auto"/>
              <w:left w:val="single" w:sz="4" w:space="0" w:color="auto"/>
              <w:bottom w:val="single" w:sz="4" w:space="0" w:color="auto"/>
              <w:right w:val="single" w:sz="4" w:space="0" w:color="auto"/>
            </w:tcBorders>
            <w:vAlign w:val="center"/>
          </w:tcPr>
          <w:p w14:paraId="2C2FEEC1" w14:textId="77777777" w:rsidR="00A4529D" w:rsidRPr="0031419F" w:rsidRDefault="00A4529D" w:rsidP="000B4467">
            <w:pPr>
              <w:pStyle w:val="In-tableHeading"/>
              <w:rPr>
                <w:lang w:val="en-AU"/>
              </w:rPr>
            </w:pPr>
            <w:r w:rsidRPr="0031419F">
              <w:rPr>
                <w:lang w:val="en-AU"/>
              </w:rPr>
              <w:t>Leniolisib</w:t>
            </w:r>
          </w:p>
          <w:p w14:paraId="45E72B65" w14:textId="77777777" w:rsidR="00A4529D" w:rsidRPr="0031419F" w:rsidRDefault="00A4529D" w:rsidP="000B4467">
            <w:pPr>
              <w:pStyle w:val="In-tableHeading"/>
              <w:rPr>
                <w:lang w:val="en-AU"/>
              </w:rPr>
            </w:pPr>
            <w:r w:rsidRPr="0031419F">
              <w:rPr>
                <w:lang w:val="en-AU"/>
              </w:rPr>
              <w:t>n/N</w:t>
            </w:r>
          </w:p>
        </w:tc>
        <w:tc>
          <w:tcPr>
            <w:tcW w:w="714" w:type="pct"/>
            <w:gridSpan w:val="2"/>
            <w:vMerge w:val="restart"/>
            <w:tcBorders>
              <w:top w:val="single" w:sz="4" w:space="0" w:color="auto"/>
              <w:left w:val="single" w:sz="4" w:space="0" w:color="auto"/>
              <w:bottom w:val="single" w:sz="4" w:space="0" w:color="auto"/>
              <w:right w:val="single" w:sz="4" w:space="0" w:color="auto"/>
            </w:tcBorders>
            <w:vAlign w:val="center"/>
          </w:tcPr>
          <w:p w14:paraId="50788DE5" w14:textId="77777777" w:rsidR="00A4529D" w:rsidRPr="0031419F" w:rsidRDefault="00A4529D" w:rsidP="000B4467">
            <w:pPr>
              <w:pStyle w:val="In-tableHeading"/>
              <w:rPr>
                <w:lang w:val="en-AU"/>
              </w:rPr>
            </w:pPr>
            <w:r w:rsidRPr="0031419F">
              <w:rPr>
                <w:lang w:val="en-AU"/>
              </w:rPr>
              <w:t>SoC</w:t>
            </w:r>
          </w:p>
          <w:p w14:paraId="3BE8599E" w14:textId="77777777" w:rsidR="00A4529D" w:rsidRPr="0031419F" w:rsidRDefault="00A4529D" w:rsidP="000B4467">
            <w:pPr>
              <w:pStyle w:val="In-tableHeading"/>
              <w:rPr>
                <w:lang w:val="en-AU"/>
              </w:rPr>
            </w:pPr>
            <w:r w:rsidRPr="0031419F">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5BC2CA8E" w14:textId="77777777" w:rsidR="00A4529D" w:rsidRPr="0031419F" w:rsidRDefault="00A4529D" w:rsidP="000B4467">
            <w:pPr>
              <w:pStyle w:val="In-tableHeading"/>
              <w:rPr>
                <w:lang w:val="en-AU"/>
              </w:rPr>
            </w:pPr>
            <w:r w:rsidRPr="0031419F">
              <w:rPr>
                <w:lang w:val="en-AU"/>
              </w:rPr>
              <w:t>RR</w:t>
            </w:r>
          </w:p>
          <w:p w14:paraId="5AE1805A" w14:textId="77777777" w:rsidR="00A4529D" w:rsidRPr="0031419F" w:rsidRDefault="00A4529D" w:rsidP="000B4467">
            <w:pPr>
              <w:pStyle w:val="In-tableHeading"/>
              <w:rPr>
                <w:lang w:val="en-AU"/>
              </w:rPr>
            </w:pPr>
            <w:r w:rsidRPr="0031419F">
              <w:rPr>
                <w:lang w:val="en-AU"/>
              </w:rPr>
              <w:t>(95% CI)</w:t>
            </w:r>
          </w:p>
        </w:tc>
        <w:tc>
          <w:tcPr>
            <w:tcW w:w="1303" w:type="pct"/>
            <w:gridSpan w:val="3"/>
            <w:tcBorders>
              <w:top w:val="single" w:sz="4" w:space="0" w:color="auto"/>
              <w:left w:val="single" w:sz="4" w:space="0" w:color="auto"/>
              <w:bottom w:val="single" w:sz="4" w:space="0" w:color="auto"/>
              <w:right w:val="single" w:sz="4" w:space="0" w:color="auto"/>
            </w:tcBorders>
            <w:vAlign w:val="center"/>
          </w:tcPr>
          <w:p w14:paraId="1805E393" w14:textId="2EBB4D0C" w:rsidR="00A4529D" w:rsidRPr="0031419F" w:rsidRDefault="00A4529D" w:rsidP="000B4467">
            <w:pPr>
              <w:pStyle w:val="In-tableHeading"/>
              <w:rPr>
                <w:lang w:val="en-AU"/>
              </w:rPr>
            </w:pPr>
            <w:r w:rsidRPr="0031419F">
              <w:rPr>
                <w:lang w:val="en-AU"/>
              </w:rPr>
              <w:t>Event rate/100 patients</w:t>
            </w:r>
            <w:r w:rsidRPr="0031419F">
              <w:rPr>
                <w:vertAlign w:val="superscript"/>
                <w:lang w:val="en-AU"/>
              </w:rPr>
              <w:t>a</w:t>
            </w:r>
          </w:p>
        </w:tc>
        <w:tc>
          <w:tcPr>
            <w:tcW w:w="846" w:type="pct"/>
            <w:gridSpan w:val="2"/>
            <w:vMerge w:val="restart"/>
            <w:tcBorders>
              <w:top w:val="single" w:sz="4" w:space="0" w:color="auto"/>
              <w:left w:val="single" w:sz="4" w:space="0" w:color="auto"/>
              <w:bottom w:val="single" w:sz="4" w:space="0" w:color="auto"/>
              <w:right w:val="single" w:sz="4" w:space="0" w:color="auto"/>
            </w:tcBorders>
            <w:vAlign w:val="center"/>
          </w:tcPr>
          <w:p w14:paraId="34F840F1" w14:textId="77777777" w:rsidR="00A4529D" w:rsidRPr="0031419F" w:rsidRDefault="00A4529D" w:rsidP="000B4467">
            <w:pPr>
              <w:pStyle w:val="In-tableHeading"/>
              <w:rPr>
                <w:lang w:val="en-AU"/>
              </w:rPr>
            </w:pPr>
            <w:r w:rsidRPr="0031419F">
              <w:rPr>
                <w:lang w:val="en-AU"/>
              </w:rPr>
              <w:t>RD</w:t>
            </w:r>
          </w:p>
          <w:p w14:paraId="32E01C6B" w14:textId="77777777" w:rsidR="00A4529D" w:rsidRPr="0031419F" w:rsidRDefault="00A4529D" w:rsidP="000B4467">
            <w:pPr>
              <w:pStyle w:val="In-tableHeading"/>
              <w:rPr>
                <w:lang w:val="en-AU"/>
              </w:rPr>
            </w:pPr>
            <w:r w:rsidRPr="0031419F">
              <w:rPr>
                <w:lang w:val="en-AU"/>
              </w:rPr>
              <w:t>(95% CI)</w:t>
            </w:r>
          </w:p>
        </w:tc>
      </w:tr>
      <w:tr w:rsidR="00A4529D" w:rsidRPr="0031419F" w14:paraId="69B1355B" w14:textId="77777777" w:rsidTr="009F0AAF">
        <w:trPr>
          <w:cantSplit/>
          <w:trHeight w:val="315"/>
        </w:trPr>
        <w:tc>
          <w:tcPr>
            <w:tcW w:w="633" w:type="pct"/>
            <w:vMerge/>
            <w:tcBorders>
              <w:top w:val="single" w:sz="4" w:space="0" w:color="auto"/>
              <w:left w:val="single" w:sz="4" w:space="0" w:color="auto"/>
              <w:bottom w:val="single" w:sz="4" w:space="0" w:color="auto"/>
              <w:right w:val="single" w:sz="4" w:space="0" w:color="auto"/>
            </w:tcBorders>
            <w:vAlign w:val="center"/>
          </w:tcPr>
          <w:p w14:paraId="055BF5C1" w14:textId="77777777" w:rsidR="00A4529D" w:rsidRPr="0031419F" w:rsidRDefault="00A4529D" w:rsidP="000B4467">
            <w:pPr>
              <w:pStyle w:val="In-tableHeading"/>
              <w:rPr>
                <w:lang w:val="en-AU"/>
              </w:rPr>
            </w:pPr>
          </w:p>
        </w:tc>
        <w:tc>
          <w:tcPr>
            <w:tcW w:w="643" w:type="pct"/>
            <w:gridSpan w:val="3"/>
            <w:vMerge/>
            <w:tcBorders>
              <w:top w:val="single" w:sz="4" w:space="0" w:color="auto"/>
              <w:left w:val="single" w:sz="4" w:space="0" w:color="auto"/>
              <w:bottom w:val="single" w:sz="4" w:space="0" w:color="auto"/>
              <w:right w:val="single" w:sz="4" w:space="0" w:color="auto"/>
            </w:tcBorders>
            <w:vAlign w:val="center"/>
          </w:tcPr>
          <w:p w14:paraId="33EFA78F" w14:textId="77777777" w:rsidR="00A4529D" w:rsidRPr="0031419F" w:rsidRDefault="00A4529D" w:rsidP="000B4467">
            <w:pPr>
              <w:pStyle w:val="In-tableHeading"/>
              <w:rPr>
                <w:lang w:val="en-AU"/>
              </w:rPr>
            </w:pPr>
          </w:p>
        </w:tc>
        <w:tc>
          <w:tcPr>
            <w:tcW w:w="714" w:type="pct"/>
            <w:gridSpan w:val="2"/>
            <w:vMerge/>
            <w:tcBorders>
              <w:top w:val="single" w:sz="4" w:space="0" w:color="auto"/>
              <w:left w:val="single" w:sz="4" w:space="0" w:color="auto"/>
              <w:bottom w:val="single" w:sz="4" w:space="0" w:color="auto"/>
              <w:right w:val="single" w:sz="4" w:space="0" w:color="auto"/>
            </w:tcBorders>
            <w:vAlign w:val="center"/>
          </w:tcPr>
          <w:p w14:paraId="0BFBE681" w14:textId="77777777" w:rsidR="00A4529D" w:rsidRPr="0031419F" w:rsidRDefault="00A4529D" w:rsidP="000B4467">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59C69643" w14:textId="77777777" w:rsidR="00A4529D" w:rsidRPr="0031419F" w:rsidRDefault="00A4529D" w:rsidP="000B4467">
            <w:pPr>
              <w:pStyle w:val="In-tableHeading"/>
              <w:rPr>
                <w:lang w:val="en-AU"/>
              </w:rPr>
            </w:pPr>
          </w:p>
        </w:tc>
        <w:tc>
          <w:tcPr>
            <w:tcW w:w="678" w:type="pct"/>
            <w:tcBorders>
              <w:top w:val="single" w:sz="4" w:space="0" w:color="auto"/>
              <w:left w:val="single" w:sz="4" w:space="0" w:color="auto"/>
              <w:bottom w:val="single" w:sz="4" w:space="0" w:color="auto"/>
              <w:right w:val="single" w:sz="4" w:space="0" w:color="auto"/>
            </w:tcBorders>
            <w:vAlign w:val="center"/>
          </w:tcPr>
          <w:p w14:paraId="327F7968" w14:textId="77777777" w:rsidR="00A4529D" w:rsidRPr="0031419F" w:rsidRDefault="00A4529D" w:rsidP="000B4467">
            <w:pPr>
              <w:pStyle w:val="In-tableHeading"/>
              <w:rPr>
                <w:lang w:val="en-AU"/>
              </w:rPr>
            </w:pPr>
            <w:r w:rsidRPr="0031419F">
              <w:rPr>
                <w:lang w:val="en-AU"/>
              </w:rPr>
              <w:t>Leniolisib</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5F61684A" w14:textId="77777777" w:rsidR="00A4529D" w:rsidRPr="0031419F" w:rsidRDefault="00A4529D" w:rsidP="000B4467">
            <w:pPr>
              <w:pStyle w:val="In-tableHeading"/>
              <w:rPr>
                <w:lang w:val="en-AU"/>
              </w:rPr>
            </w:pPr>
            <w:r w:rsidRPr="0031419F">
              <w:rPr>
                <w:lang w:val="en-AU"/>
              </w:rPr>
              <w:t>SoC</w:t>
            </w:r>
          </w:p>
        </w:tc>
        <w:tc>
          <w:tcPr>
            <w:tcW w:w="846" w:type="pct"/>
            <w:gridSpan w:val="2"/>
            <w:vMerge/>
            <w:tcBorders>
              <w:top w:val="single" w:sz="4" w:space="0" w:color="auto"/>
              <w:left w:val="single" w:sz="4" w:space="0" w:color="auto"/>
              <w:bottom w:val="single" w:sz="4" w:space="0" w:color="auto"/>
              <w:right w:val="single" w:sz="4" w:space="0" w:color="auto"/>
            </w:tcBorders>
            <w:vAlign w:val="center"/>
          </w:tcPr>
          <w:p w14:paraId="36EAD319" w14:textId="77777777" w:rsidR="00A4529D" w:rsidRPr="0031419F" w:rsidRDefault="00A4529D" w:rsidP="000B4467">
            <w:pPr>
              <w:pStyle w:val="In-tableHeading"/>
              <w:rPr>
                <w:lang w:val="en-AU"/>
              </w:rPr>
            </w:pPr>
          </w:p>
        </w:tc>
      </w:tr>
      <w:tr w:rsidR="00A4529D" w:rsidRPr="0031419F" w14:paraId="3E7CA696" w14:textId="77777777" w:rsidTr="000B4467">
        <w:trPr>
          <w:cantSplit/>
        </w:trPr>
        <w:tc>
          <w:tcPr>
            <w:tcW w:w="5000" w:type="pct"/>
            <w:gridSpan w:val="12"/>
            <w:tcBorders>
              <w:top w:val="single" w:sz="4" w:space="0" w:color="auto"/>
              <w:left w:val="single" w:sz="4" w:space="0" w:color="auto"/>
              <w:bottom w:val="double" w:sz="4" w:space="0" w:color="auto"/>
              <w:right w:val="single" w:sz="4" w:space="0" w:color="auto"/>
            </w:tcBorders>
            <w:vAlign w:val="center"/>
          </w:tcPr>
          <w:p w14:paraId="4E58C4A4" w14:textId="77777777" w:rsidR="00A4529D" w:rsidRPr="0031419F" w:rsidRDefault="00A4529D" w:rsidP="000B4467">
            <w:pPr>
              <w:pStyle w:val="In-tableHeading"/>
              <w:rPr>
                <w:lang w:val="en-AU"/>
              </w:rPr>
            </w:pPr>
            <w:r w:rsidRPr="0031419F">
              <w:rPr>
                <w:lang w:val="en-AU"/>
              </w:rPr>
              <w:t>Benefits</w:t>
            </w:r>
          </w:p>
        </w:tc>
      </w:tr>
      <w:tr w:rsidR="00A4529D" w:rsidRPr="0031419F" w14:paraId="36F9E584" w14:textId="77777777" w:rsidTr="009F0AAF">
        <w:trPr>
          <w:cantSplit/>
        </w:trPr>
        <w:tc>
          <w:tcPr>
            <w:tcW w:w="633" w:type="pct"/>
            <w:tcBorders>
              <w:top w:val="single" w:sz="4" w:space="0" w:color="auto"/>
              <w:left w:val="single" w:sz="4" w:space="0" w:color="auto"/>
              <w:bottom w:val="single" w:sz="4" w:space="0" w:color="auto"/>
              <w:right w:val="single" w:sz="4" w:space="0" w:color="auto"/>
            </w:tcBorders>
            <w:vAlign w:val="center"/>
          </w:tcPr>
          <w:p w14:paraId="4F0FAE9E" w14:textId="637D17A9" w:rsidR="00A4529D" w:rsidRPr="0031419F" w:rsidRDefault="00A4529D" w:rsidP="000B4467">
            <w:pPr>
              <w:pStyle w:val="TableText0"/>
              <w:keepNext/>
              <w:keepLines/>
              <w:rPr>
                <w:lang w:val="en-AU"/>
              </w:rPr>
            </w:pPr>
            <w:r w:rsidRPr="0031419F">
              <w:rPr>
                <w:lang w:val="en-AU"/>
              </w:rPr>
              <w:t>Responders, naïve B cells</w:t>
            </w:r>
            <w:r w:rsidRPr="0031419F">
              <w:rPr>
                <w:vertAlign w:val="superscript"/>
                <w:lang w:val="en-AU"/>
              </w:rPr>
              <w:t>b</w:t>
            </w:r>
          </w:p>
        </w:tc>
        <w:tc>
          <w:tcPr>
            <w:tcW w:w="643" w:type="pct"/>
            <w:gridSpan w:val="3"/>
            <w:tcBorders>
              <w:top w:val="single" w:sz="4" w:space="0" w:color="auto"/>
              <w:left w:val="single" w:sz="4" w:space="0" w:color="auto"/>
              <w:bottom w:val="single" w:sz="4" w:space="0" w:color="auto"/>
              <w:right w:val="single" w:sz="4" w:space="0" w:color="auto"/>
            </w:tcBorders>
            <w:vAlign w:val="center"/>
          </w:tcPr>
          <w:p w14:paraId="27AAD358" w14:textId="77777777" w:rsidR="00A4529D" w:rsidRPr="0031419F" w:rsidRDefault="00A4529D" w:rsidP="000B4467">
            <w:pPr>
              <w:pStyle w:val="TableText0"/>
              <w:keepNext/>
              <w:keepLines/>
              <w:jc w:val="center"/>
              <w:rPr>
                <w:lang w:val="en-AU"/>
              </w:rPr>
            </w:pPr>
            <w:r w:rsidRPr="0031419F">
              <w:rPr>
                <w:lang w:val="en-AU"/>
              </w:rPr>
              <w:t>12/12</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5F7A98AE" w14:textId="77777777" w:rsidR="00A4529D" w:rsidRPr="0031419F" w:rsidRDefault="00A4529D" w:rsidP="000B4467">
            <w:pPr>
              <w:pStyle w:val="TableText0"/>
              <w:keepNext/>
              <w:keepLines/>
              <w:jc w:val="center"/>
              <w:rPr>
                <w:lang w:val="en-AU"/>
              </w:rPr>
            </w:pPr>
            <w:r w:rsidRPr="0031419F">
              <w:rPr>
                <w:lang w:val="en-AU"/>
              </w:rPr>
              <w:t>0/5</w:t>
            </w:r>
          </w:p>
        </w:tc>
        <w:tc>
          <w:tcPr>
            <w:tcW w:w="862" w:type="pct"/>
            <w:tcBorders>
              <w:top w:val="single" w:sz="4" w:space="0" w:color="auto"/>
              <w:left w:val="single" w:sz="4" w:space="0" w:color="auto"/>
              <w:bottom w:val="single" w:sz="4" w:space="0" w:color="auto"/>
              <w:right w:val="single" w:sz="4" w:space="0" w:color="auto"/>
            </w:tcBorders>
            <w:vAlign w:val="center"/>
          </w:tcPr>
          <w:p w14:paraId="7D403083" w14:textId="77777777" w:rsidR="00A4529D" w:rsidRPr="0031419F" w:rsidRDefault="00A4529D" w:rsidP="000B4467">
            <w:pPr>
              <w:pStyle w:val="TableText0"/>
              <w:keepNext/>
              <w:keepLines/>
              <w:jc w:val="center"/>
              <w:rPr>
                <w:lang w:val="en-AU"/>
              </w:rPr>
            </w:pPr>
            <w:r w:rsidRPr="0031419F">
              <w:rPr>
                <w:lang w:val="en-AU"/>
              </w:rPr>
              <w:t>1.00</w:t>
            </w:r>
          </w:p>
          <w:p w14:paraId="2292019C" w14:textId="77777777" w:rsidR="00A4529D" w:rsidRPr="0031419F" w:rsidRDefault="00A4529D" w:rsidP="000B4467">
            <w:pPr>
              <w:pStyle w:val="TableText0"/>
              <w:keepNext/>
              <w:keepLines/>
              <w:jc w:val="center"/>
              <w:rPr>
                <w:lang w:val="en-AU"/>
              </w:rPr>
            </w:pPr>
            <w:r w:rsidRPr="0031419F">
              <w:rPr>
                <w:lang w:val="en-AU"/>
              </w:rPr>
              <w:t>(1.00, 1.00)</w:t>
            </w:r>
          </w:p>
        </w:tc>
        <w:tc>
          <w:tcPr>
            <w:tcW w:w="678" w:type="pct"/>
            <w:tcBorders>
              <w:top w:val="single" w:sz="4" w:space="0" w:color="auto"/>
              <w:left w:val="single" w:sz="4" w:space="0" w:color="auto"/>
              <w:bottom w:val="single" w:sz="4" w:space="0" w:color="auto"/>
              <w:right w:val="single" w:sz="4" w:space="0" w:color="auto"/>
            </w:tcBorders>
            <w:vAlign w:val="center"/>
          </w:tcPr>
          <w:p w14:paraId="5654866D" w14:textId="77777777" w:rsidR="00A4529D" w:rsidRPr="0031419F" w:rsidRDefault="00A4529D" w:rsidP="000B4467">
            <w:pPr>
              <w:pStyle w:val="TableText0"/>
              <w:keepNext/>
              <w:keepLines/>
              <w:jc w:val="center"/>
              <w:rPr>
                <w:lang w:val="en-AU"/>
              </w:rPr>
            </w:pPr>
            <w:r w:rsidRPr="0031419F">
              <w:rPr>
                <w:lang w:val="en-AU"/>
              </w:rPr>
              <w:t>100</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03B5EBC1" w14:textId="77777777" w:rsidR="00A4529D" w:rsidRPr="0031419F" w:rsidRDefault="00A4529D" w:rsidP="000B4467">
            <w:pPr>
              <w:pStyle w:val="TableText0"/>
              <w:keepNext/>
              <w:keepLines/>
              <w:jc w:val="center"/>
              <w:rPr>
                <w:lang w:val="en-AU"/>
              </w:rPr>
            </w:pPr>
            <w:r w:rsidRPr="0031419F">
              <w:rPr>
                <w:lang w:val="en-AU"/>
              </w:rPr>
              <w:t>0</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7521EAA8" w14:textId="77777777" w:rsidR="00A4529D" w:rsidRPr="0031419F" w:rsidRDefault="00A4529D" w:rsidP="000B4467">
            <w:pPr>
              <w:pStyle w:val="TableText0"/>
              <w:keepNext/>
              <w:keepLines/>
              <w:jc w:val="center"/>
              <w:rPr>
                <w:lang w:val="en-AU"/>
              </w:rPr>
            </w:pPr>
            <w:r w:rsidRPr="0031419F">
              <w:rPr>
                <w:lang w:val="en-AU"/>
              </w:rPr>
              <w:t>1.00</w:t>
            </w:r>
          </w:p>
          <w:p w14:paraId="31341AEE" w14:textId="77777777" w:rsidR="00A4529D" w:rsidRPr="0031419F" w:rsidRDefault="00A4529D" w:rsidP="000B4467">
            <w:pPr>
              <w:pStyle w:val="TableText0"/>
              <w:keepNext/>
              <w:keepLines/>
              <w:jc w:val="center"/>
              <w:rPr>
                <w:lang w:val="en-AU"/>
              </w:rPr>
            </w:pPr>
            <w:r w:rsidRPr="0031419F">
              <w:rPr>
                <w:lang w:val="en-AU"/>
              </w:rPr>
              <w:t>(0.48,1.00)</w:t>
            </w:r>
          </w:p>
        </w:tc>
      </w:tr>
      <w:tr w:rsidR="00A4529D" w:rsidRPr="0031419F" w14:paraId="7C11F098" w14:textId="77777777" w:rsidTr="009F0AAF">
        <w:trPr>
          <w:cantSplit/>
        </w:trPr>
        <w:tc>
          <w:tcPr>
            <w:tcW w:w="633" w:type="pct"/>
            <w:tcBorders>
              <w:top w:val="single" w:sz="4" w:space="0" w:color="auto"/>
              <w:left w:val="single" w:sz="4" w:space="0" w:color="auto"/>
              <w:bottom w:val="double" w:sz="4" w:space="0" w:color="auto"/>
              <w:right w:val="single" w:sz="4" w:space="0" w:color="auto"/>
            </w:tcBorders>
            <w:vAlign w:val="center"/>
          </w:tcPr>
          <w:p w14:paraId="2BE6D69D" w14:textId="5101A2AF" w:rsidR="00A4529D" w:rsidRPr="0031419F" w:rsidRDefault="00A4529D" w:rsidP="000B4467">
            <w:pPr>
              <w:pStyle w:val="TableText0"/>
              <w:keepNext/>
              <w:keepLines/>
              <w:rPr>
                <w:lang w:val="en-AU"/>
              </w:rPr>
            </w:pPr>
            <w:r w:rsidRPr="0031419F">
              <w:rPr>
                <w:lang w:val="en-AU"/>
              </w:rPr>
              <w:t>Responders, reduction in lymph node</w:t>
            </w:r>
            <w:r w:rsidRPr="0031419F">
              <w:rPr>
                <w:vertAlign w:val="superscript"/>
                <w:lang w:val="en-AU"/>
              </w:rPr>
              <w:t>c</w:t>
            </w:r>
          </w:p>
        </w:tc>
        <w:tc>
          <w:tcPr>
            <w:tcW w:w="643" w:type="pct"/>
            <w:gridSpan w:val="3"/>
            <w:tcBorders>
              <w:top w:val="single" w:sz="4" w:space="0" w:color="auto"/>
              <w:left w:val="single" w:sz="4" w:space="0" w:color="auto"/>
              <w:bottom w:val="double" w:sz="4" w:space="0" w:color="auto"/>
              <w:right w:val="single" w:sz="4" w:space="0" w:color="auto"/>
            </w:tcBorders>
            <w:vAlign w:val="center"/>
          </w:tcPr>
          <w:p w14:paraId="51C420D2" w14:textId="77777777" w:rsidR="00A4529D" w:rsidRPr="0031419F" w:rsidRDefault="00A4529D" w:rsidP="000B4467">
            <w:pPr>
              <w:pStyle w:val="TableText0"/>
              <w:keepNext/>
              <w:keepLines/>
              <w:jc w:val="center"/>
              <w:rPr>
                <w:lang w:val="en-AU"/>
              </w:rPr>
            </w:pPr>
            <w:r w:rsidRPr="0031419F">
              <w:rPr>
                <w:lang w:val="en-AU"/>
              </w:rPr>
              <w:t>17/19</w:t>
            </w:r>
          </w:p>
        </w:tc>
        <w:tc>
          <w:tcPr>
            <w:tcW w:w="714" w:type="pct"/>
            <w:gridSpan w:val="2"/>
            <w:tcBorders>
              <w:top w:val="single" w:sz="4" w:space="0" w:color="auto"/>
              <w:left w:val="single" w:sz="4" w:space="0" w:color="auto"/>
              <w:bottom w:val="double" w:sz="4" w:space="0" w:color="auto"/>
              <w:right w:val="single" w:sz="4" w:space="0" w:color="auto"/>
            </w:tcBorders>
            <w:vAlign w:val="center"/>
          </w:tcPr>
          <w:p w14:paraId="6C2C05AF" w14:textId="77777777" w:rsidR="00A4529D" w:rsidRPr="0031419F" w:rsidRDefault="00A4529D" w:rsidP="000B4467">
            <w:pPr>
              <w:pStyle w:val="TableText0"/>
              <w:keepNext/>
              <w:keepLines/>
              <w:jc w:val="center"/>
              <w:rPr>
                <w:lang w:val="en-AU"/>
              </w:rPr>
            </w:pPr>
            <w:r w:rsidRPr="0031419F">
              <w:rPr>
                <w:lang w:val="en-AU"/>
              </w:rPr>
              <w:t>2/8</w:t>
            </w:r>
          </w:p>
        </w:tc>
        <w:tc>
          <w:tcPr>
            <w:tcW w:w="862" w:type="pct"/>
            <w:tcBorders>
              <w:top w:val="single" w:sz="4" w:space="0" w:color="auto"/>
              <w:left w:val="single" w:sz="4" w:space="0" w:color="auto"/>
              <w:bottom w:val="double" w:sz="4" w:space="0" w:color="auto"/>
              <w:right w:val="single" w:sz="4" w:space="0" w:color="auto"/>
            </w:tcBorders>
            <w:vAlign w:val="center"/>
          </w:tcPr>
          <w:p w14:paraId="6FE2EBE7" w14:textId="77777777" w:rsidR="00A4529D" w:rsidRPr="0031419F" w:rsidRDefault="00A4529D" w:rsidP="000B4467">
            <w:pPr>
              <w:pStyle w:val="TableText0"/>
              <w:keepNext/>
              <w:keepLines/>
              <w:jc w:val="center"/>
              <w:rPr>
                <w:lang w:val="en-AU"/>
              </w:rPr>
            </w:pPr>
            <w:r w:rsidRPr="0031419F">
              <w:rPr>
                <w:lang w:val="en-AU"/>
              </w:rPr>
              <w:t>3.58</w:t>
            </w:r>
          </w:p>
          <w:p w14:paraId="6F80FB52" w14:textId="77777777" w:rsidR="00A4529D" w:rsidRPr="0031419F" w:rsidRDefault="00A4529D" w:rsidP="000B4467">
            <w:pPr>
              <w:pStyle w:val="TableText0"/>
              <w:keepNext/>
              <w:keepLines/>
              <w:jc w:val="center"/>
              <w:rPr>
                <w:lang w:val="en-AU"/>
              </w:rPr>
            </w:pPr>
            <w:r w:rsidRPr="0031419F">
              <w:rPr>
                <w:lang w:val="en-AU"/>
              </w:rPr>
              <w:t>(1.07, 12.00)</w:t>
            </w:r>
          </w:p>
        </w:tc>
        <w:tc>
          <w:tcPr>
            <w:tcW w:w="678" w:type="pct"/>
            <w:tcBorders>
              <w:top w:val="single" w:sz="4" w:space="0" w:color="auto"/>
              <w:left w:val="single" w:sz="4" w:space="0" w:color="auto"/>
              <w:bottom w:val="double" w:sz="4" w:space="0" w:color="auto"/>
              <w:right w:val="single" w:sz="4" w:space="0" w:color="auto"/>
            </w:tcBorders>
            <w:vAlign w:val="center"/>
          </w:tcPr>
          <w:p w14:paraId="4236631D" w14:textId="77777777" w:rsidR="00A4529D" w:rsidRPr="0031419F" w:rsidRDefault="00A4529D" w:rsidP="000B4467">
            <w:pPr>
              <w:pStyle w:val="TableText0"/>
              <w:keepNext/>
              <w:keepLines/>
              <w:jc w:val="center"/>
              <w:rPr>
                <w:lang w:val="en-AU"/>
              </w:rPr>
            </w:pPr>
            <w:r w:rsidRPr="0031419F">
              <w:rPr>
                <w:lang w:val="en-AU"/>
              </w:rPr>
              <w:t>89</w:t>
            </w:r>
          </w:p>
        </w:tc>
        <w:tc>
          <w:tcPr>
            <w:tcW w:w="625" w:type="pct"/>
            <w:gridSpan w:val="2"/>
            <w:tcBorders>
              <w:top w:val="single" w:sz="4" w:space="0" w:color="auto"/>
              <w:left w:val="single" w:sz="4" w:space="0" w:color="auto"/>
              <w:bottom w:val="double" w:sz="4" w:space="0" w:color="auto"/>
              <w:right w:val="single" w:sz="4" w:space="0" w:color="auto"/>
            </w:tcBorders>
            <w:vAlign w:val="center"/>
          </w:tcPr>
          <w:p w14:paraId="3B851FC9" w14:textId="77777777" w:rsidR="00A4529D" w:rsidRPr="0031419F" w:rsidRDefault="00A4529D" w:rsidP="000B4467">
            <w:pPr>
              <w:pStyle w:val="TableText0"/>
              <w:keepNext/>
              <w:keepLines/>
              <w:jc w:val="center"/>
              <w:rPr>
                <w:lang w:val="en-AU"/>
              </w:rPr>
            </w:pPr>
            <w:r w:rsidRPr="0031419F">
              <w:rPr>
                <w:lang w:val="en-AU"/>
              </w:rPr>
              <w:t>25</w:t>
            </w:r>
          </w:p>
        </w:tc>
        <w:tc>
          <w:tcPr>
            <w:tcW w:w="846" w:type="pct"/>
            <w:gridSpan w:val="2"/>
            <w:tcBorders>
              <w:top w:val="single" w:sz="4" w:space="0" w:color="auto"/>
              <w:left w:val="single" w:sz="4" w:space="0" w:color="auto"/>
              <w:bottom w:val="double" w:sz="4" w:space="0" w:color="auto"/>
              <w:right w:val="single" w:sz="4" w:space="0" w:color="auto"/>
            </w:tcBorders>
            <w:vAlign w:val="center"/>
          </w:tcPr>
          <w:p w14:paraId="7D212A19" w14:textId="77777777" w:rsidR="00A4529D" w:rsidRPr="0031419F" w:rsidRDefault="00A4529D" w:rsidP="000B4467">
            <w:pPr>
              <w:pStyle w:val="TableText0"/>
              <w:keepNext/>
              <w:keepLines/>
              <w:jc w:val="center"/>
              <w:rPr>
                <w:lang w:val="en-AU"/>
              </w:rPr>
            </w:pPr>
            <w:r w:rsidRPr="0031419F">
              <w:rPr>
                <w:lang w:val="en-AU"/>
              </w:rPr>
              <w:t>0.64</w:t>
            </w:r>
          </w:p>
          <w:p w14:paraId="7C58F73E" w14:textId="77777777" w:rsidR="00A4529D" w:rsidRPr="0031419F" w:rsidRDefault="00A4529D" w:rsidP="000B4467">
            <w:pPr>
              <w:pStyle w:val="TableText0"/>
              <w:keepNext/>
              <w:keepLines/>
              <w:jc w:val="center"/>
              <w:rPr>
                <w:lang w:val="en-AU"/>
              </w:rPr>
            </w:pPr>
            <w:r w:rsidRPr="0031419F">
              <w:rPr>
                <w:lang w:val="en-AU"/>
              </w:rPr>
              <w:t>(0.16, 0.89)</w:t>
            </w:r>
          </w:p>
        </w:tc>
      </w:tr>
      <w:tr w:rsidR="00A4529D" w:rsidRPr="0031419F" w14:paraId="7C6D98B0" w14:textId="77777777" w:rsidTr="000B4467">
        <w:tc>
          <w:tcPr>
            <w:tcW w:w="5000" w:type="pct"/>
            <w:gridSpan w:val="12"/>
            <w:tcBorders>
              <w:top w:val="double" w:sz="4" w:space="0" w:color="auto"/>
              <w:left w:val="single" w:sz="4" w:space="0" w:color="auto"/>
              <w:bottom w:val="single" w:sz="4" w:space="0" w:color="auto"/>
              <w:right w:val="single" w:sz="4" w:space="0" w:color="auto"/>
            </w:tcBorders>
            <w:vAlign w:val="center"/>
          </w:tcPr>
          <w:p w14:paraId="5747E6C9" w14:textId="3604A063" w:rsidR="00A4529D" w:rsidRPr="0031419F" w:rsidRDefault="00A4529D" w:rsidP="000B4467">
            <w:pPr>
              <w:pStyle w:val="In-tableHeading"/>
              <w:rPr>
                <w:lang w:val="en-AU"/>
              </w:rPr>
            </w:pPr>
            <w:r w:rsidRPr="0031419F">
              <w:rPr>
                <w:lang w:val="en-AU"/>
              </w:rPr>
              <w:t>Harms</w:t>
            </w:r>
            <w:r w:rsidRPr="0031419F">
              <w:rPr>
                <w:vertAlign w:val="superscript"/>
                <w:lang w:val="en-AU"/>
              </w:rPr>
              <w:t>d</w:t>
            </w:r>
          </w:p>
        </w:tc>
      </w:tr>
      <w:tr w:rsidR="00A4529D" w:rsidRPr="0031419F" w14:paraId="06D8FEA9" w14:textId="77777777" w:rsidTr="009F0AAF">
        <w:trPr>
          <w:trHeight w:val="70"/>
        </w:trPr>
        <w:tc>
          <w:tcPr>
            <w:tcW w:w="645" w:type="pct"/>
            <w:gridSpan w:val="2"/>
            <w:vMerge w:val="restart"/>
            <w:tcBorders>
              <w:top w:val="single" w:sz="4" w:space="0" w:color="auto"/>
              <w:left w:val="single" w:sz="4" w:space="0" w:color="auto"/>
              <w:bottom w:val="single" w:sz="4" w:space="0" w:color="auto"/>
              <w:right w:val="single" w:sz="4" w:space="0" w:color="auto"/>
            </w:tcBorders>
            <w:vAlign w:val="center"/>
          </w:tcPr>
          <w:p w14:paraId="138798D1" w14:textId="77777777" w:rsidR="00A4529D" w:rsidRPr="0031419F" w:rsidRDefault="00A4529D" w:rsidP="000B4467">
            <w:pPr>
              <w:pStyle w:val="In-tableHeading"/>
              <w:rPr>
                <w:lang w:val="en-AU"/>
              </w:rPr>
            </w:pPr>
          </w:p>
        </w:tc>
        <w:tc>
          <w:tcPr>
            <w:tcW w:w="631" w:type="pct"/>
            <w:gridSpan w:val="2"/>
            <w:vMerge w:val="restart"/>
            <w:tcBorders>
              <w:top w:val="single" w:sz="4" w:space="0" w:color="auto"/>
              <w:left w:val="single" w:sz="4" w:space="0" w:color="auto"/>
              <w:bottom w:val="single" w:sz="4" w:space="0" w:color="auto"/>
              <w:right w:val="single" w:sz="4" w:space="0" w:color="auto"/>
            </w:tcBorders>
            <w:vAlign w:val="center"/>
          </w:tcPr>
          <w:p w14:paraId="53FE4D96" w14:textId="77777777" w:rsidR="00A4529D" w:rsidRPr="0031419F" w:rsidRDefault="00A4529D" w:rsidP="000B4467">
            <w:pPr>
              <w:pStyle w:val="In-tableHeading"/>
              <w:rPr>
                <w:lang w:val="en-AU"/>
              </w:rPr>
            </w:pPr>
            <w:r w:rsidRPr="0031419F">
              <w:rPr>
                <w:lang w:val="en-AU"/>
              </w:rPr>
              <w:t>Leniolisib</w:t>
            </w:r>
          </w:p>
          <w:p w14:paraId="5DF34E27" w14:textId="77777777" w:rsidR="00A4529D" w:rsidRPr="0031419F" w:rsidRDefault="00A4529D" w:rsidP="000B4467">
            <w:pPr>
              <w:pStyle w:val="In-tableHeading"/>
              <w:rPr>
                <w:lang w:val="en-AU"/>
              </w:rPr>
            </w:pPr>
            <w:r w:rsidRPr="0031419F">
              <w:rPr>
                <w:lang w:val="en-AU"/>
              </w:rPr>
              <w:t>n/N</w:t>
            </w:r>
          </w:p>
        </w:tc>
        <w:tc>
          <w:tcPr>
            <w:tcW w:w="714" w:type="pct"/>
            <w:gridSpan w:val="2"/>
            <w:vMerge w:val="restart"/>
            <w:tcBorders>
              <w:top w:val="single" w:sz="4" w:space="0" w:color="auto"/>
              <w:left w:val="single" w:sz="4" w:space="0" w:color="auto"/>
              <w:bottom w:val="single" w:sz="4" w:space="0" w:color="auto"/>
              <w:right w:val="single" w:sz="4" w:space="0" w:color="auto"/>
            </w:tcBorders>
            <w:vAlign w:val="center"/>
          </w:tcPr>
          <w:p w14:paraId="5A0A2620" w14:textId="77777777" w:rsidR="00A4529D" w:rsidRPr="0031419F" w:rsidRDefault="00A4529D" w:rsidP="000B4467">
            <w:pPr>
              <w:pStyle w:val="In-tableHeading"/>
              <w:rPr>
                <w:lang w:val="en-AU"/>
              </w:rPr>
            </w:pPr>
            <w:r w:rsidRPr="0031419F">
              <w:rPr>
                <w:lang w:val="en-AU"/>
              </w:rPr>
              <w:t>SoC</w:t>
            </w:r>
          </w:p>
          <w:p w14:paraId="52659269" w14:textId="77777777" w:rsidR="00A4529D" w:rsidRPr="0031419F" w:rsidRDefault="00A4529D" w:rsidP="000B4467">
            <w:pPr>
              <w:pStyle w:val="In-tableHeading"/>
              <w:rPr>
                <w:lang w:val="en-AU"/>
              </w:rPr>
            </w:pPr>
            <w:r w:rsidRPr="0031419F">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1DAE987E" w14:textId="77777777" w:rsidR="00A4529D" w:rsidRPr="0031419F" w:rsidRDefault="00A4529D" w:rsidP="000B4467">
            <w:pPr>
              <w:pStyle w:val="In-tableHeading"/>
              <w:rPr>
                <w:lang w:val="en-AU"/>
              </w:rPr>
            </w:pPr>
            <w:r w:rsidRPr="0031419F">
              <w:rPr>
                <w:lang w:val="en-AU"/>
              </w:rPr>
              <w:t>RR</w:t>
            </w:r>
          </w:p>
          <w:p w14:paraId="4E1CE527" w14:textId="77777777" w:rsidR="00A4529D" w:rsidRPr="0031419F" w:rsidRDefault="00A4529D" w:rsidP="000B4467">
            <w:pPr>
              <w:pStyle w:val="In-tableHeading"/>
              <w:rPr>
                <w:lang w:val="en-AU"/>
              </w:rPr>
            </w:pPr>
            <w:r w:rsidRPr="0031419F">
              <w:rPr>
                <w:lang w:val="en-AU"/>
              </w:rPr>
              <w:t>(95% CI)</w:t>
            </w:r>
          </w:p>
        </w:tc>
        <w:tc>
          <w:tcPr>
            <w:tcW w:w="1313" w:type="pct"/>
            <w:gridSpan w:val="4"/>
            <w:tcBorders>
              <w:top w:val="single" w:sz="4" w:space="0" w:color="auto"/>
              <w:left w:val="single" w:sz="4" w:space="0" w:color="auto"/>
              <w:bottom w:val="single" w:sz="4" w:space="0" w:color="auto"/>
              <w:right w:val="single" w:sz="4" w:space="0" w:color="auto"/>
            </w:tcBorders>
            <w:vAlign w:val="center"/>
          </w:tcPr>
          <w:p w14:paraId="458FD8AB" w14:textId="1FE1239C" w:rsidR="00A4529D" w:rsidRPr="0031419F" w:rsidRDefault="00A4529D" w:rsidP="000B4467">
            <w:pPr>
              <w:pStyle w:val="In-tableHeading"/>
              <w:rPr>
                <w:lang w:val="en-AU"/>
              </w:rPr>
            </w:pPr>
            <w:r w:rsidRPr="0031419F">
              <w:rPr>
                <w:lang w:val="en-AU"/>
              </w:rPr>
              <w:t>Event rate/100 patients</w:t>
            </w:r>
            <w:r w:rsidRPr="0031419F">
              <w:rPr>
                <w:vertAlign w:val="superscript"/>
                <w:lang w:val="en-AU"/>
              </w:rPr>
              <w:t>a</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3A77E73F" w14:textId="77777777" w:rsidR="00A4529D" w:rsidRPr="0031419F" w:rsidRDefault="00A4529D" w:rsidP="000B4467">
            <w:pPr>
              <w:pStyle w:val="In-tableHeading"/>
              <w:rPr>
                <w:lang w:val="en-AU"/>
              </w:rPr>
            </w:pPr>
            <w:r w:rsidRPr="0031419F">
              <w:rPr>
                <w:lang w:val="en-AU"/>
              </w:rPr>
              <w:t>RD</w:t>
            </w:r>
          </w:p>
          <w:p w14:paraId="24EF2E89" w14:textId="77777777" w:rsidR="00A4529D" w:rsidRPr="0031419F" w:rsidRDefault="00A4529D" w:rsidP="000B4467">
            <w:pPr>
              <w:pStyle w:val="In-tableHeading"/>
              <w:rPr>
                <w:lang w:val="en-AU"/>
              </w:rPr>
            </w:pPr>
            <w:r w:rsidRPr="0031419F">
              <w:rPr>
                <w:lang w:val="en-AU"/>
              </w:rPr>
              <w:t>(95% CI)</w:t>
            </w:r>
          </w:p>
        </w:tc>
      </w:tr>
      <w:tr w:rsidR="00A4529D" w:rsidRPr="0031419F" w14:paraId="50E352DB" w14:textId="77777777" w:rsidTr="009F0AAF">
        <w:trPr>
          <w:trHeight w:val="390"/>
        </w:trPr>
        <w:tc>
          <w:tcPr>
            <w:tcW w:w="645" w:type="pct"/>
            <w:gridSpan w:val="2"/>
            <w:vMerge/>
            <w:tcBorders>
              <w:top w:val="single" w:sz="4" w:space="0" w:color="auto"/>
              <w:left w:val="single" w:sz="4" w:space="0" w:color="auto"/>
              <w:bottom w:val="single" w:sz="4" w:space="0" w:color="auto"/>
              <w:right w:val="single" w:sz="4" w:space="0" w:color="auto"/>
            </w:tcBorders>
            <w:vAlign w:val="center"/>
          </w:tcPr>
          <w:p w14:paraId="4DAE5869" w14:textId="77777777" w:rsidR="00A4529D" w:rsidRPr="0031419F" w:rsidRDefault="00A4529D" w:rsidP="000B4467">
            <w:pPr>
              <w:pStyle w:val="In-tableHeading"/>
              <w:rPr>
                <w:lang w:val="en-AU"/>
              </w:rPr>
            </w:pPr>
          </w:p>
        </w:tc>
        <w:tc>
          <w:tcPr>
            <w:tcW w:w="631" w:type="pct"/>
            <w:gridSpan w:val="2"/>
            <w:vMerge/>
            <w:tcBorders>
              <w:top w:val="single" w:sz="4" w:space="0" w:color="auto"/>
              <w:left w:val="single" w:sz="4" w:space="0" w:color="auto"/>
              <w:bottom w:val="single" w:sz="4" w:space="0" w:color="auto"/>
              <w:right w:val="single" w:sz="4" w:space="0" w:color="auto"/>
            </w:tcBorders>
            <w:vAlign w:val="center"/>
          </w:tcPr>
          <w:p w14:paraId="348284C5" w14:textId="77777777" w:rsidR="00A4529D" w:rsidRPr="0031419F" w:rsidRDefault="00A4529D" w:rsidP="000B4467">
            <w:pPr>
              <w:pStyle w:val="In-tableHeading"/>
              <w:rPr>
                <w:lang w:val="en-AU"/>
              </w:rPr>
            </w:pPr>
          </w:p>
        </w:tc>
        <w:tc>
          <w:tcPr>
            <w:tcW w:w="714" w:type="pct"/>
            <w:gridSpan w:val="2"/>
            <w:vMerge/>
            <w:tcBorders>
              <w:top w:val="single" w:sz="4" w:space="0" w:color="auto"/>
              <w:left w:val="single" w:sz="4" w:space="0" w:color="auto"/>
              <w:bottom w:val="single" w:sz="4" w:space="0" w:color="auto"/>
              <w:right w:val="single" w:sz="4" w:space="0" w:color="auto"/>
            </w:tcBorders>
            <w:vAlign w:val="center"/>
          </w:tcPr>
          <w:p w14:paraId="0E2C3E21" w14:textId="77777777" w:rsidR="00A4529D" w:rsidRPr="0031419F" w:rsidRDefault="00A4529D" w:rsidP="000B4467">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5258332E" w14:textId="77777777" w:rsidR="00A4529D" w:rsidRPr="0031419F" w:rsidRDefault="00A4529D" w:rsidP="000B4467">
            <w:pPr>
              <w:pStyle w:val="In-tableHeading"/>
              <w:rPr>
                <w:lang w:val="en-AU"/>
              </w:rPr>
            </w:pP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1CB05896" w14:textId="77777777" w:rsidR="00A4529D" w:rsidRPr="0031419F" w:rsidRDefault="00A4529D" w:rsidP="000B4467">
            <w:pPr>
              <w:pStyle w:val="In-tableHeading"/>
              <w:rPr>
                <w:lang w:val="en-AU"/>
              </w:rPr>
            </w:pPr>
            <w:r w:rsidRPr="0031419F">
              <w:rPr>
                <w:lang w:val="en-AU"/>
              </w:rPr>
              <w:t>Leniolisib</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3443230C" w14:textId="77777777" w:rsidR="00A4529D" w:rsidRPr="0031419F" w:rsidRDefault="00A4529D" w:rsidP="000B4467">
            <w:pPr>
              <w:pStyle w:val="In-tableHeading"/>
              <w:rPr>
                <w:lang w:val="en-AU"/>
              </w:rPr>
            </w:pPr>
            <w:r w:rsidRPr="0031419F">
              <w:rPr>
                <w:lang w:val="en-AU"/>
              </w:rPr>
              <w:t>SoC</w:t>
            </w:r>
          </w:p>
        </w:tc>
        <w:tc>
          <w:tcPr>
            <w:tcW w:w="836" w:type="pct"/>
            <w:vMerge/>
            <w:tcBorders>
              <w:top w:val="single" w:sz="4" w:space="0" w:color="auto"/>
              <w:left w:val="single" w:sz="4" w:space="0" w:color="auto"/>
              <w:bottom w:val="single" w:sz="4" w:space="0" w:color="auto"/>
              <w:right w:val="single" w:sz="4" w:space="0" w:color="auto"/>
            </w:tcBorders>
            <w:vAlign w:val="center"/>
          </w:tcPr>
          <w:p w14:paraId="0EA451D0" w14:textId="77777777" w:rsidR="00A4529D" w:rsidRPr="0031419F" w:rsidRDefault="00A4529D" w:rsidP="000B4467">
            <w:pPr>
              <w:pStyle w:val="In-tableHeading"/>
              <w:rPr>
                <w:lang w:val="en-AU"/>
              </w:rPr>
            </w:pPr>
          </w:p>
        </w:tc>
      </w:tr>
      <w:tr w:rsidR="00A4529D" w:rsidRPr="0031419F" w14:paraId="0CDF53BD" w14:textId="77777777" w:rsidTr="009F0AAF">
        <w:tc>
          <w:tcPr>
            <w:tcW w:w="650" w:type="pct"/>
            <w:gridSpan w:val="3"/>
            <w:tcBorders>
              <w:top w:val="single" w:sz="4" w:space="0" w:color="auto"/>
              <w:left w:val="single" w:sz="4" w:space="0" w:color="auto"/>
              <w:bottom w:val="single" w:sz="4" w:space="0" w:color="auto"/>
              <w:right w:val="single" w:sz="4" w:space="0" w:color="auto"/>
            </w:tcBorders>
            <w:vAlign w:val="center"/>
          </w:tcPr>
          <w:p w14:paraId="3BEE8189" w14:textId="77777777" w:rsidR="00A4529D" w:rsidRPr="0031419F" w:rsidRDefault="00A4529D" w:rsidP="000B4467">
            <w:pPr>
              <w:pStyle w:val="TableText0"/>
              <w:keepNext/>
              <w:keepLines/>
              <w:rPr>
                <w:lang w:val="en-AU"/>
              </w:rPr>
            </w:pPr>
            <w:r w:rsidRPr="0031419F">
              <w:rPr>
                <w:lang w:val="en-AU"/>
              </w:rPr>
              <w:t>Any adverse event</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47EC46C7" w14:textId="77777777" w:rsidR="00A4529D" w:rsidRPr="0031419F" w:rsidRDefault="00A4529D" w:rsidP="000B4467">
            <w:pPr>
              <w:pStyle w:val="TableText0"/>
              <w:keepNext/>
              <w:keepLines/>
              <w:jc w:val="center"/>
              <w:rPr>
                <w:lang w:val="en-AU"/>
              </w:rPr>
            </w:pPr>
            <w:r w:rsidRPr="0031419F">
              <w:rPr>
                <w:lang w:val="en-AU"/>
              </w:rPr>
              <w:t>18/21</w:t>
            </w:r>
          </w:p>
        </w:tc>
        <w:tc>
          <w:tcPr>
            <w:tcW w:w="710" w:type="pct"/>
            <w:tcBorders>
              <w:top w:val="single" w:sz="4" w:space="0" w:color="auto"/>
              <w:left w:val="single" w:sz="4" w:space="0" w:color="auto"/>
              <w:bottom w:val="single" w:sz="4" w:space="0" w:color="auto"/>
              <w:right w:val="single" w:sz="4" w:space="0" w:color="auto"/>
            </w:tcBorders>
            <w:vAlign w:val="center"/>
          </w:tcPr>
          <w:p w14:paraId="4E640A3F" w14:textId="77777777" w:rsidR="00A4529D" w:rsidRPr="0031419F" w:rsidRDefault="00A4529D" w:rsidP="000B4467">
            <w:pPr>
              <w:pStyle w:val="TableText0"/>
              <w:keepNext/>
              <w:keepLines/>
              <w:jc w:val="center"/>
              <w:rPr>
                <w:lang w:val="en-AU"/>
              </w:rPr>
            </w:pPr>
            <w:r w:rsidRPr="0031419F">
              <w:rPr>
                <w:lang w:val="en-AU"/>
              </w:rPr>
              <w:t>9/10</w:t>
            </w:r>
          </w:p>
        </w:tc>
        <w:tc>
          <w:tcPr>
            <w:tcW w:w="862" w:type="pct"/>
            <w:tcBorders>
              <w:top w:val="single" w:sz="4" w:space="0" w:color="auto"/>
              <w:left w:val="single" w:sz="4" w:space="0" w:color="auto"/>
              <w:bottom w:val="single" w:sz="4" w:space="0" w:color="auto"/>
              <w:right w:val="single" w:sz="4" w:space="0" w:color="auto"/>
            </w:tcBorders>
            <w:vAlign w:val="center"/>
          </w:tcPr>
          <w:p w14:paraId="6EE9F770" w14:textId="77777777" w:rsidR="00A4529D" w:rsidRPr="0031419F" w:rsidRDefault="00A4529D" w:rsidP="000B4467">
            <w:pPr>
              <w:pStyle w:val="TableText0"/>
              <w:keepNext/>
              <w:keepLines/>
              <w:jc w:val="center"/>
              <w:rPr>
                <w:lang w:val="en-AU"/>
              </w:rPr>
            </w:pPr>
            <w:r w:rsidRPr="0031419F">
              <w:rPr>
                <w:lang w:val="en-AU"/>
              </w:rPr>
              <w:t>0.95</w:t>
            </w:r>
          </w:p>
          <w:p w14:paraId="20C67AC0" w14:textId="77777777" w:rsidR="00A4529D" w:rsidRPr="0031419F" w:rsidRDefault="00A4529D" w:rsidP="000B4467">
            <w:pPr>
              <w:pStyle w:val="TableText0"/>
              <w:keepNext/>
              <w:keepLines/>
              <w:jc w:val="center"/>
              <w:rPr>
                <w:lang w:val="en-AU"/>
              </w:rPr>
            </w:pPr>
            <w:r w:rsidRPr="0031419F">
              <w:rPr>
                <w:lang w:val="en-AU"/>
              </w:rPr>
              <w:t>(0.73, 1.25)</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795FE359" w14:textId="77777777" w:rsidR="00A4529D" w:rsidRPr="0031419F" w:rsidRDefault="00A4529D" w:rsidP="000B4467">
            <w:pPr>
              <w:pStyle w:val="TableText0"/>
              <w:keepNext/>
              <w:keepLines/>
              <w:jc w:val="center"/>
              <w:rPr>
                <w:lang w:val="en-AU"/>
              </w:rPr>
            </w:pPr>
            <w:r w:rsidRPr="0031419F">
              <w:rPr>
                <w:lang w:val="en-AU"/>
              </w:rPr>
              <w:t>86</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6EA1D819" w14:textId="77777777" w:rsidR="00A4529D" w:rsidRPr="0031419F" w:rsidRDefault="00A4529D" w:rsidP="000B4467">
            <w:pPr>
              <w:pStyle w:val="TableText0"/>
              <w:keepNext/>
              <w:keepLines/>
              <w:jc w:val="center"/>
              <w:rPr>
                <w:lang w:val="en-AU"/>
              </w:rPr>
            </w:pPr>
            <w:r w:rsidRPr="0031419F">
              <w:rPr>
                <w:lang w:val="en-AU"/>
              </w:rPr>
              <w:t>90</w:t>
            </w:r>
          </w:p>
        </w:tc>
        <w:tc>
          <w:tcPr>
            <w:tcW w:w="836" w:type="pct"/>
            <w:tcBorders>
              <w:top w:val="single" w:sz="4" w:space="0" w:color="auto"/>
              <w:left w:val="single" w:sz="4" w:space="0" w:color="auto"/>
              <w:bottom w:val="single" w:sz="4" w:space="0" w:color="auto"/>
              <w:right w:val="single" w:sz="4" w:space="0" w:color="auto"/>
            </w:tcBorders>
            <w:vAlign w:val="center"/>
          </w:tcPr>
          <w:p w14:paraId="51EC2035" w14:textId="17091E57" w:rsidR="00A4529D" w:rsidRPr="0031419F" w:rsidRDefault="00A4529D" w:rsidP="000B4467">
            <w:pPr>
              <w:pStyle w:val="TableText0"/>
              <w:keepNext/>
              <w:keepLines/>
              <w:jc w:val="center"/>
              <w:rPr>
                <w:lang w:val="en-AU"/>
              </w:rPr>
            </w:pPr>
            <w:r w:rsidRPr="0031419F">
              <w:rPr>
                <w:lang w:val="en-AU"/>
              </w:rPr>
              <w:t>-</w:t>
            </w:r>
            <w:r w:rsidR="007446FC" w:rsidRPr="0031419F">
              <w:rPr>
                <w:lang w:val="en-AU"/>
              </w:rPr>
              <w:t>0.04</w:t>
            </w:r>
          </w:p>
          <w:p w14:paraId="6A9C6519" w14:textId="79C619CA" w:rsidR="00A4529D" w:rsidRPr="0031419F" w:rsidRDefault="009D170E" w:rsidP="000B4467">
            <w:pPr>
              <w:pStyle w:val="TableText0"/>
              <w:keepNext/>
              <w:keepLines/>
              <w:jc w:val="center"/>
              <w:rPr>
                <w:lang w:val="en-AU"/>
              </w:rPr>
            </w:pPr>
            <w:r w:rsidRPr="0031419F">
              <w:rPr>
                <w:lang w:val="en-AU"/>
              </w:rPr>
              <w:t>(</w:t>
            </w:r>
            <w:r w:rsidR="00A4529D" w:rsidRPr="0031419F">
              <w:rPr>
                <w:lang w:val="en-AU"/>
              </w:rPr>
              <w:t>-</w:t>
            </w:r>
            <w:r w:rsidR="00232500" w:rsidRPr="0031419F">
              <w:rPr>
                <w:lang w:val="en-AU"/>
              </w:rPr>
              <w:t>0.28</w:t>
            </w:r>
            <w:r w:rsidR="00A4529D" w:rsidRPr="0031419F">
              <w:rPr>
                <w:lang w:val="en-AU"/>
              </w:rPr>
              <w:t>, 1</w:t>
            </w:r>
            <w:r w:rsidR="00232500" w:rsidRPr="0031419F">
              <w:rPr>
                <w:lang w:val="en-AU"/>
              </w:rPr>
              <w:t>.</w:t>
            </w:r>
            <w:r w:rsidR="00A4529D" w:rsidRPr="0031419F">
              <w:rPr>
                <w:lang w:val="en-AU"/>
              </w:rPr>
              <w:t>96)</w:t>
            </w:r>
          </w:p>
        </w:tc>
      </w:tr>
      <w:tr w:rsidR="00A4529D" w:rsidRPr="0031419F" w14:paraId="3D2B3CCC" w14:textId="77777777" w:rsidTr="009F0AAF">
        <w:tc>
          <w:tcPr>
            <w:tcW w:w="650" w:type="pct"/>
            <w:gridSpan w:val="3"/>
            <w:tcBorders>
              <w:top w:val="single" w:sz="4" w:space="0" w:color="auto"/>
              <w:left w:val="single" w:sz="4" w:space="0" w:color="auto"/>
              <w:bottom w:val="single" w:sz="4" w:space="0" w:color="auto"/>
              <w:right w:val="single" w:sz="4" w:space="0" w:color="auto"/>
            </w:tcBorders>
            <w:vAlign w:val="center"/>
          </w:tcPr>
          <w:p w14:paraId="6E9C4376" w14:textId="77777777" w:rsidR="00A4529D" w:rsidRPr="0031419F" w:rsidRDefault="00A4529D" w:rsidP="000B4467">
            <w:pPr>
              <w:pStyle w:val="TableText0"/>
              <w:keepNext/>
              <w:keepLines/>
              <w:rPr>
                <w:lang w:val="en-AU"/>
              </w:rPr>
            </w:pPr>
            <w:r w:rsidRPr="0031419F">
              <w:rPr>
                <w:lang w:val="en-AU"/>
              </w:rPr>
              <w:t>Serious adverse event</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BD502D8" w14:textId="77777777" w:rsidR="00A4529D" w:rsidRPr="0031419F" w:rsidRDefault="00A4529D" w:rsidP="000B4467">
            <w:pPr>
              <w:pStyle w:val="TableText0"/>
              <w:keepNext/>
              <w:keepLines/>
              <w:jc w:val="center"/>
              <w:rPr>
                <w:lang w:val="en-AU"/>
              </w:rPr>
            </w:pPr>
            <w:r w:rsidRPr="0031419F">
              <w:rPr>
                <w:lang w:val="en-AU"/>
              </w:rPr>
              <w:t>3/21</w:t>
            </w:r>
          </w:p>
        </w:tc>
        <w:tc>
          <w:tcPr>
            <w:tcW w:w="710" w:type="pct"/>
            <w:tcBorders>
              <w:top w:val="single" w:sz="4" w:space="0" w:color="auto"/>
              <w:left w:val="single" w:sz="4" w:space="0" w:color="auto"/>
              <w:bottom w:val="single" w:sz="4" w:space="0" w:color="auto"/>
              <w:right w:val="single" w:sz="4" w:space="0" w:color="auto"/>
            </w:tcBorders>
            <w:vAlign w:val="center"/>
          </w:tcPr>
          <w:p w14:paraId="35DB17C6" w14:textId="77777777" w:rsidR="00A4529D" w:rsidRPr="0031419F" w:rsidRDefault="00A4529D" w:rsidP="000B4467">
            <w:pPr>
              <w:pStyle w:val="TableText0"/>
              <w:keepNext/>
              <w:keepLines/>
              <w:jc w:val="center"/>
              <w:rPr>
                <w:lang w:val="en-AU"/>
              </w:rPr>
            </w:pPr>
            <w:r w:rsidRPr="0031419F">
              <w:rPr>
                <w:lang w:val="en-AU"/>
              </w:rPr>
              <w:t>2/10</w:t>
            </w:r>
          </w:p>
        </w:tc>
        <w:tc>
          <w:tcPr>
            <w:tcW w:w="862" w:type="pct"/>
            <w:tcBorders>
              <w:top w:val="single" w:sz="4" w:space="0" w:color="auto"/>
              <w:left w:val="single" w:sz="4" w:space="0" w:color="auto"/>
              <w:bottom w:val="single" w:sz="4" w:space="0" w:color="auto"/>
              <w:right w:val="single" w:sz="4" w:space="0" w:color="auto"/>
            </w:tcBorders>
            <w:vAlign w:val="center"/>
          </w:tcPr>
          <w:p w14:paraId="312BD1C9" w14:textId="77777777" w:rsidR="00A4529D" w:rsidRPr="0031419F" w:rsidRDefault="00A4529D" w:rsidP="000B4467">
            <w:pPr>
              <w:pStyle w:val="TableText0"/>
              <w:keepNext/>
              <w:keepLines/>
              <w:jc w:val="center"/>
              <w:rPr>
                <w:lang w:val="en-AU"/>
              </w:rPr>
            </w:pPr>
            <w:r w:rsidRPr="0031419F">
              <w:rPr>
                <w:lang w:val="en-AU"/>
              </w:rPr>
              <w:t>0.71</w:t>
            </w:r>
          </w:p>
          <w:p w14:paraId="791BD11A" w14:textId="77777777" w:rsidR="00A4529D" w:rsidRPr="0031419F" w:rsidRDefault="00A4529D" w:rsidP="000B4467">
            <w:pPr>
              <w:pStyle w:val="TableText0"/>
              <w:keepNext/>
              <w:keepLines/>
              <w:jc w:val="center"/>
              <w:rPr>
                <w:lang w:val="en-AU"/>
              </w:rPr>
            </w:pPr>
            <w:r w:rsidRPr="0031419F">
              <w:rPr>
                <w:lang w:val="en-AU"/>
              </w:rPr>
              <w:t>(0.14, 3.62)</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3B31BE6B" w14:textId="3FD861EE" w:rsidR="00A4529D" w:rsidRPr="0031419F" w:rsidRDefault="00E0610C" w:rsidP="000B4467">
            <w:pPr>
              <w:pStyle w:val="TableText0"/>
              <w:keepNext/>
              <w:keepLines/>
              <w:jc w:val="center"/>
              <w:rPr>
                <w:lang w:val="en-AU"/>
              </w:rPr>
            </w:pPr>
            <w:r w:rsidRPr="0031419F">
              <w:rPr>
                <w:lang w:val="en-AU"/>
              </w:rPr>
              <w:t>1</w:t>
            </w:r>
            <w:r w:rsidR="00A4529D" w:rsidRPr="0031419F">
              <w:rPr>
                <w:lang w:val="en-AU"/>
              </w:rPr>
              <w:t>4</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7E62DEF7" w14:textId="77777777" w:rsidR="00A4529D" w:rsidRPr="0031419F" w:rsidRDefault="00A4529D" w:rsidP="000B4467">
            <w:pPr>
              <w:pStyle w:val="TableText0"/>
              <w:keepNext/>
              <w:keepLines/>
              <w:jc w:val="center"/>
              <w:rPr>
                <w:lang w:val="en-AU"/>
              </w:rPr>
            </w:pPr>
            <w:r w:rsidRPr="0031419F">
              <w:rPr>
                <w:lang w:val="en-AU"/>
              </w:rPr>
              <w:t>20</w:t>
            </w:r>
          </w:p>
        </w:tc>
        <w:tc>
          <w:tcPr>
            <w:tcW w:w="836" w:type="pct"/>
            <w:tcBorders>
              <w:top w:val="single" w:sz="4" w:space="0" w:color="auto"/>
              <w:left w:val="single" w:sz="4" w:space="0" w:color="auto"/>
              <w:bottom w:val="single" w:sz="4" w:space="0" w:color="auto"/>
              <w:right w:val="single" w:sz="4" w:space="0" w:color="auto"/>
            </w:tcBorders>
            <w:vAlign w:val="center"/>
          </w:tcPr>
          <w:p w14:paraId="3210B09A" w14:textId="77777777" w:rsidR="00A4529D" w:rsidRPr="0031419F" w:rsidRDefault="00A4529D" w:rsidP="000B4467">
            <w:pPr>
              <w:pStyle w:val="TableText0"/>
              <w:keepNext/>
              <w:keepLines/>
              <w:jc w:val="center"/>
              <w:rPr>
                <w:lang w:val="en-AU"/>
              </w:rPr>
            </w:pPr>
            <w:r w:rsidRPr="0031419F">
              <w:rPr>
                <w:lang w:val="en-AU"/>
              </w:rPr>
              <w:t>-0.06</w:t>
            </w:r>
          </w:p>
          <w:p w14:paraId="4553DBFC" w14:textId="77777777" w:rsidR="00A4529D" w:rsidRPr="0031419F" w:rsidRDefault="00A4529D" w:rsidP="000B4467">
            <w:pPr>
              <w:pStyle w:val="TableText0"/>
              <w:keepNext/>
              <w:keepLines/>
              <w:jc w:val="center"/>
              <w:rPr>
                <w:lang w:val="en-AU"/>
              </w:rPr>
            </w:pPr>
            <w:r w:rsidRPr="0031419F">
              <w:rPr>
                <w:lang w:val="en-AU"/>
              </w:rPr>
              <w:t>(-0.35, 0.23)</w:t>
            </w:r>
          </w:p>
        </w:tc>
      </w:tr>
    </w:tbl>
    <w:p w14:paraId="3EC82751" w14:textId="77777777" w:rsidR="00A4529D" w:rsidRPr="0031419F" w:rsidRDefault="00A4529D" w:rsidP="00A4529D">
      <w:pPr>
        <w:pStyle w:val="TableFigureFooter"/>
        <w:keepNext/>
        <w:rPr>
          <w:lang w:val="en-AU"/>
        </w:rPr>
      </w:pPr>
      <w:r w:rsidRPr="0031419F">
        <w:rPr>
          <w:lang w:val="en-AU"/>
        </w:rPr>
        <w:t>HR = hazard ratio; PBO = placebo; RD = risk difference; RR = risk ratio; SoC = standard of care</w:t>
      </w:r>
    </w:p>
    <w:p w14:paraId="1F9913A9" w14:textId="77777777" w:rsidR="00A4529D" w:rsidRPr="0031419F" w:rsidRDefault="00A4529D" w:rsidP="00A4529D">
      <w:pPr>
        <w:pStyle w:val="TableFigureFooter"/>
        <w:keepNext/>
        <w:rPr>
          <w:lang w:val="en-AU"/>
        </w:rPr>
      </w:pPr>
      <w:r w:rsidRPr="0031419F">
        <w:rPr>
          <w:vertAlign w:val="superscript"/>
          <w:lang w:val="en-AU"/>
        </w:rPr>
        <w:t>a</w:t>
      </w:r>
      <w:r w:rsidRPr="0031419F">
        <w:rPr>
          <w:lang w:val="en-AU"/>
        </w:rPr>
        <w:t xml:space="preserve"> Treatment duration = 12 weeks. </w:t>
      </w:r>
    </w:p>
    <w:p w14:paraId="4E940DF0" w14:textId="77777777" w:rsidR="00A4529D" w:rsidRPr="0031419F" w:rsidRDefault="00A4529D" w:rsidP="00A4529D">
      <w:pPr>
        <w:pStyle w:val="TableFigureFooter"/>
        <w:keepNext/>
        <w:rPr>
          <w:lang w:val="en-AU"/>
        </w:rPr>
      </w:pPr>
      <w:r w:rsidRPr="0031419F">
        <w:rPr>
          <w:vertAlign w:val="superscript"/>
          <w:lang w:val="en-AU"/>
        </w:rPr>
        <w:t>b</w:t>
      </w:r>
      <w:r w:rsidRPr="0031419F">
        <w:rPr>
          <w:lang w:val="en-AU"/>
        </w:rPr>
        <w:t xml:space="preserve"> A patient was considered a responder if they experienced a ≥20% increase in the percentage of naive to total B cells (co-primary endpoint of Study 2201 Part II).</w:t>
      </w:r>
    </w:p>
    <w:p w14:paraId="20E79E56" w14:textId="77777777" w:rsidR="00A4529D" w:rsidRPr="0031419F" w:rsidRDefault="00A4529D" w:rsidP="00A4529D">
      <w:pPr>
        <w:pStyle w:val="TableFigureFooter"/>
        <w:keepNext/>
        <w:rPr>
          <w:lang w:val="en-AU"/>
        </w:rPr>
      </w:pPr>
      <w:r w:rsidRPr="0031419F">
        <w:rPr>
          <w:vertAlign w:val="superscript"/>
          <w:lang w:val="en-AU"/>
        </w:rPr>
        <w:t>c</w:t>
      </w:r>
      <w:r w:rsidRPr="0031419F">
        <w:rPr>
          <w:lang w:val="en-AU"/>
        </w:rPr>
        <w:t xml:space="preserve"> A patient was considered a responder if they experienced a with ≥20 (adults) or 25% (adolescents) reduction in index lesion sum product of diameters (co-primary endpoint of Study 2201 Part II).</w:t>
      </w:r>
    </w:p>
    <w:p w14:paraId="70B1FD2A" w14:textId="77777777" w:rsidR="00A4529D" w:rsidRPr="0031419F" w:rsidRDefault="00A4529D" w:rsidP="00A4529D">
      <w:pPr>
        <w:pStyle w:val="TableFigureFooter"/>
        <w:keepNext/>
        <w:rPr>
          <w:lang w:val="en-AU"/>
        </w:rPr>
      </w:pPr>
      <w:r w:rsidRPr="0031419F">
        <w:rPr>
          <w:vertAlign w:val="superscript"/>
          <w:lang w:val="en-AU"/>
        </w:rPr>
        <w:t>d</w:t>
      </w:r>
      <w:r w:rsidRPr="0031419F">
        <w:rPr>
          <w:lang w:val="en-AU"/>
        </w:rPr>
        <w:t xml:space="preserve"> Due to very low patient numbers resulting in low counts for AEs, comparisons for individual AEs were not provided.</w:t>
      </w:r>
    </w:p>
    <w:p w14:paraId="774A2FBD" w14:textId="77777777" w:rsidR="00A4529D" w:rsidRPr="0031419F" w:rsidRDefault="00A4529D" w:rsidP="00A4529D">
      <w:pPr>
        <w:pStyle w:val="TableFigureFooter"/>
        <w:keepNext/>
        <w:rPr>
          <w:lang w:val="en-AU"/>
        </w:rPr>
      </w:pPr>
      <w:r w:rsidRPr="0031419F">
        <w:rPr>
          <w:lang w:val="en-AU"/>
        </w:rPr>
        <w:t>Source: Tables 2.20, 2.22, 2.39, pp 74,119, 143 of the submission.</w:t>
      </w:r>
    </w:p>
    <w:p w14:paraId="74164CAF" w14:textId="77777777" w:rsidR="00A4529D" w:rsidRPr="0031419F" w:rsidRDefault="00A4529D" w:rsidP="00A4529D">
      <w:pPr>
        <w:pStyle w:val="3-BodyText"/>
      </w:pPr>
      <w:r w:rsidRPr="0031419F">
        <w:t>On the basis of direct evidence presented by the submission, for every 100 patients treated with leniolisib in comparison with SoC, over 12 weeks of treatment:</w:t>
      </w:r>
    </w:p>
    <w:p w14:paraId="1688CC7D" w14:textId="10468678" w:rsidR="00A4529D" w:rsidRPr="0031419F" w:rsidRDefault="00A4529D" w:rsidP="00A4529D">
      <w:pPr>
        <w:pStyle w:val="ListParagraph"/>
        <w:ind w:left="1134"/>
      </w:pPr>
      <w:r w:rsidRPr="0031419F">
        <w:t xml:space="preserve">Approximately 100 additional patients </w:t>
      </w:r>
      <w:r w:rsidR="00F92865" w:rsidRPr="0031419F">
        <w:t xml:space="preserve">would be </w:t>
      </w:r>
      <w:r w:rsidRPr="0031419F">
        <w:t>considered responders for the proportion of naïve B cells as a percentage of total B cells;</w:t>
      </w:r>
    </w:p>
    <w:p w14:paraId="19199514" w14:textId="67041689" w:rsidR="00A4529D" w:rsidRPr="0031419F" w:rsidRDefault="00A4529D" w:rsidP="00A4529D">
      <w:pPr>
        <w:pStyle w:val="ListParagraph"/>
        <w:ind w:left="1134"/>
      </w:pPr>
      <w:r w:rsidRPr="0031419F">
        <w:t>Approximately 64 additional patients w</w:t>
      </w:r>
      <w:r w:rsidR="00F92865" w:rsidRPr="0031419F">
        <w:t>ould be</w:t>
      </w:r>
      <w:r w:rsidRPr="0031419F">
        <w:t xml:space="preserve"> considered responders for reduction in size of lymph node;</w:t>
      </w:r>
    </w:p>
    <w:p w14:paraId="0578E68D" w14:textId="77777777" w:rsidR="00A4529D" w:rsidRPr="0031419F" w:rsidRDefault="00A4529D" w:rsidP="00A4529D">
      <w:pPr>
        <w:pStyle w:val="ListParagraph"/>
        <w:ind w:left="1134"/>
      </w:pPr>
      <w:r w:rsidRPr="0031419F">
        <w:t>Approximately 4 fewer patients would experience an adverse event; and</w:t>
      </w:r>
    </w:p>
    <w:p w14:paraId="0A31713D" w14:textId="4243E503" w:rsidR="00A4529D" w:rsidRPr="006562D8" w:rsidRDefault="00A4529D" w:rsidP="00A4529D">
      <w:pPr>
        <w:pStyle w:val="ListParagraph"/>
        <w:ind w:left="1134"/>
      </w:pPr>
      <w:r w:rsidRPr="0031419F">
        <w:t xml:space="preserve">Approximately </w:t>
      </w:r>
      <w:r w:rsidR="00DB3208" w:rsidRPr="0031419F">
        <w:t>6</w:t>
      </w:r>
      <w:r w:rsidRPr="0031419F">
        <w:t xml:space="preserve"> </w:t>
      </w:r>
      <w:r w:rsidRPr="006562D8">
        <w:t>fewer patients would experience a serious adverse event.</w:t>
      </w:r>
    </w:p>
    <w:p w14:paraId="25D1E59D" w14:textId="77777777" w:rsidR="00A4529D" w:rsidRPr="006562D8" w:rsidRDefault="00A4529D" w:rsidP="00A4529D">
      <w:pPr>
        <w:pStyle w:val="4-SubsectionHeading"/>
      </w:pPr>
      <w:bookmarkStart w:id="34" w:name="_Toc198725890"/>
      <w:r w:rsidRPr="006562D8">
        <w:t>Clinical claim</w:t>
      </w:r>
      <w:bookmarkEnd w:id="34"/>
    </w:p>
    <w:p w14:paraId="00627136" w14:textId="77777777" w:rsidR="00A4529D" w:rsidRPr="0031419F" w:rsidRDefault="00A4529D" w:rsidP="00A4529D">
      <w:pPr>
        <w:pStyle w:val="3-BodyText"/>
      </w:pPr>
      <w:r w:rsidRPr="006562D8">
        <w:t>The submission described leniolisib as superior in terms of effectiveness compared with SoC and non</w:t>
      </w:r>
      <w:r w:rsidRPr="0031419F">
        <w:t xml:space="preserve">-inferior in terms of safety compared to SoC. </w:t>
      </w:r>
    </w:p>
    <w:p w14:paraId="5B9DC86E" w14:textId="4D37F8BE" w:rsidR="00A4529D" w:rsidRPr="0031419F" w:rsidRDefault="00A4529D" w:rsidP="00A4529D">
      <w:pPr>
        <w:pStyle w:val="3-BodyText"/>
      </w:pPr>
      <w:r w:rsidRPr="00E11C4C">
        <w:t xml:space="preserve">The </w:t>
      </w:r>
      <w:r w:rsidR="00D432BD" w:rsidRPr="00E11C4C">
        <w:t>Sub-Committees agreed with the Commentary that</w:t>
      </w:r>
      <w:r w:rsidR="00D432BD" w:rsidRPr="00D432BD">
        <w:rPr>
          <w:i/>
          <w:iCs/>
        </w:rPr>
        <w:t xml:space="preserve"> </w:t>
      </w:r>
      <w:r w:rsidR="00D432BD" w:rsidRPr="00742246">
        <w:t>the</w:t>
      </w:r>
      <w:r w:rsidR="00D432BD">
        <w:t xml:space="preserve"> </w:t>
      </w:r>
      <w:r w:rsidRPr="0031419F">
        <w:t>therapeutic conclusion presented in the submission was partially supported by the evidence presented in the submission because:</w:t>
      </w:r>
    </w:p>
    <w:p w14:paraId="4F1F1D6C" w14:textId="77777777" w:rsidR="00A4529D" w:rsidRPr="0031419F" w:rsidRDefault="00A4529D" w:rsidP="002F61DF">
      <w:pPr>
        <w:pStyle w:val="ListParagraph"/>
        <w:numPr>
          <w:ilvl w:val="0"/>
          <w:numId w:val="21"/>
        </w:numPr>
        <w:rPr>
          <w:rFonts w:eastAsiaTheme="minorHAnsi" w:cstheme="minorBidi"/>
          <w:snapToGrid/>
          <w:szCs w:val="22"/>
        </w:rPr>
      </w:pPr>
      <w:r w:rsidRPr="0031419F">
        <w:rPr>
          <w:rFonts w:eastAsiaTheme="minorHAnsi" w:cstheme="minorBidi"/>
          <w:snapToGrid/>
          <w:szCs w:val="22"/>
        </w:rPr>
        <w:t xml:space="preserve">Study 2201 Part II demonstrated that leniolisib improves a range of immunity markers compared to placebo over 12 weeks: </w:t>
      </w:r>
    </w:p>
    <w:p w14:paraId="08A2F942" w14:textId="4FCE3A8F" w:rsidR="00A4529D" w:rsidRPr="0031419F" w:rsidRDefault="00A4529D" w:rsidP="002F61DF">
      <w:pPr>
        <w:pStyle w:val="ListParagraph"/>
        <w:numPr>
          <w:ilvl w:val="1"/>
          <w:numId w:val="21"/>
        </w:numPr>
        <w:ind w:left="1560"/>
        <w:jc w:val="both"/>
      </w:pPr>
      <w:r w:rsidRPr="0031419F">
        <w:t xml:space="preserve">Leniolisib met </w:t>
      </w:r>
      <w:r w:rsidR="00ED3568" w:rsidRPr="0031419F">
        <w:t xml:space="preserve">both </w:t>
      </w:r>
      <w:r w:rsidRPr="0031419F">
        <w:t>co-primary endpoint</w:t>
      </w:r>
      <w:r w:rsidR="00ED3568" w:rsidRPr="0031419F">
        <w:t>s</w:t>
      </w:r>
      <w:r w:rsidRPr="0031419F">
        <w:t xml:space="preserve"> of Study 2201 Part II, with a statistically significant (p=0.0002) increase from baseline in naïve B cells as a percentage of total B cells</w:t>
      </w:r>
      <w:r w:rsidR="00ED3568" w:rsidRPr="0031419F">
        <w:t xml:space="preserve"> and a statistically significant difference in lymphadenopathy (</w:t>
      </w:r>
      <w:r w:rsidR="00D8319D" w:rsidRPr="0031419F">
        <w:t>change from baseline [</w:t>
      </w:r>
      <w:r w:rsidR="00ED3568" w:rsidRPr="0031419F">
        <w:t>CfB</w:t>
      </w:r>
      <w:r w:rsidR="00D8319D" w:rsidRPr="0031419F">
        <w:t xml:space="preserve">] </w:t>
      </w:r>
      <w:r w:rsidR="00ED3568" w:rsidRPr="0031419F">
        <w:t xml:space="preserve">in the log10 transformed SPD of the index lesions; </w:t>
      </w:r>
      <w:r w:rsidR="00D8319D" w:rsidRPr="0031419F">
        <w:t xml:space="preserve">leniolisib arm -47.8% vs placebo arm -4.5%; </w:t>
      </w:r>
      <w:r w:rsidR="00ED3568" w:rsidRPr="0031419F">
        <w:t>p=0.0006)</w:t>
      </w:r>
      <w:r w:rsidR="00711506" w:rsidRPr="0031419F">
        <w:t xml:space="preserve">. </w:t>
      </w:r>
      <w:r w:rsidRPr="0031419F">
        <w:t>However, for both the co-primary endpoints the analyses were underpowered due to the inclusion of fewer patients than anticipated. Consequently, these results should be interpreted with caution</w:t>
      </w:r>
      <w:r w:rsidR="00116E16">
        <w:t>.</w:t>
      </w:r>
    </w:p>
    <w:p w14:paraId="6F410AA7" w14:textId="7CEBEBA6" w:rsidR="00A4529D" w:rsidRDefault="00A4529D" w:rsidP="002F61DF">
      <w:pPr>
        <w:pStyle w:val="ListParagraph"/>
        <w:numPr>
          <w:ilvl w:val="1"/>
          <w:numId w:val="21"/>
        </w:numPr>
        <w:ind w:left="1560"/>
        <w:jc w:val="both"/>
      </w:pPr>
      <w:r w:rsidRPr="0031419F">
        <w:t xml:space="preserve">The submission presented a series of post hoc responder analyses </w:t>
      </w:r>
      <w:r w:rsidR="000A11F2" w:rsidRPr="0031419F">
        <w:t>which</w:t>
      </w:r>
      <w:r w:rsidRPr="0031419F">
        <w:t xml:space="preserve"> found that in the B-PD population, all patients treated with leniolisib (12/12) had a clinically meaningful response in naive B cells, versus no patients receiving placebo (0/5) (p&lt;0.001). The responder analysis for reduction in lymph node size reported that 89% (17/19) of patients randomised to leniolisib versus 25% (2/8) randomised to placebo had a clinically meaningful response (p&lt;0.002). However, all of the responder analyses </w:t>
      </w:r>
      <w:r w:rsidR="00F906C0" w:rsidRPr="0031419F">
        <w:t xml:space="preserve">were </w:t>
      </w:r>
      <w:r w:rsidRPr="0031419F">
        <w:t>associated with a high risk of bias because these analyses were post hoc and did not include all randomised patients</w:t>
      </w:r>
      <w:r w:rsidR="00CB0F9C">
        <w:t>,</w:t>
      </w:r>
      <w:r w:rsidRPr="0031419F">
        <w:t xml:space="preserve"> which was not explained in the submission.</w:t>
      </w:r>
    </w:p>
    <w:p w14:paraId="1D398B1D" w14:textId="53B2783C" w:rsidR="001302E6" w:rsidRPr="00643A66" w:rsidRDefault="00150315" w:rsidP="002F61DF">
      <w:pPr>
        <w:pStyle w:val="ListParagraph"/>
        <w:numPr>
          <w:ilvl w:val="0"/>
          <w:numId w:val="21"/>
        </w:numPr>
        <w:jc w:val="both"/>
      </w:pPr>
      <w:r w:rsidRPr="009A1148">
        <w:rPr>
          <w:rFonts w:eastAsiaTheme="minorHAnsi" w:cstheme="minorBidi"/>
          <w:snapToGrid/>
          <w:szCs w:val="22"/>
        </w:rPr>
        <w:t>While</w:t>
      </w:r>
      <w:r w:rsidRPr="0031419F">
        <w:rPr>
          <w:rFonts w:eastAsiaTheme="minorHAnsi" w:cstheme="minorBidi"/>
          <w:snapToGrid/>
          <w:szCs w:val="22"/>
        </w:rPr>
        <w:t xml:space="preserve"> the </w:t>
      </w:r>
      <w:r w:rsidR="00A4529D" w:rsidRPr="0031419F">
        <w:rPr>
          <w:rFonts w:eastAsiaTheme="minorHAnsi" w:cstheme="minorBidi"/>
          <w:snapToGrid/>
          <w:szCs w:val="22"/>
        </w:rPr>
        <w:t>primary endpoints and most other endpoints measured in the studies represent surrogate markers</w:t>
      </w:r>
      <w:r w:rsidRPr="0031419F">
        <w:rPr>
          <w:rFonts w:eastAsiaTheme="minorHAnsi" w:cstheme="minorBidi"/>
          <w:snapToGrid/>
          <w:szCs w:val="22"/>
        </w:rPr>
        <w:t>,</w:t>
      </w:r>
      <w:r w:rsidR="00A4529D" w:rsidRPr="0031419F">
        <w:rPr>
          <w:rFonts w:eastAsiaTheme="minorHAnsi" w:cstheme="minorBidi"/>
          <w:snapToGrid/>
          <w:szCs w:val="22"/>
        </w:rPr>
        <w:t xml:space="preserve"> </w:t>
      </w:r>
      <w:r w:rsidR="00CB0F9C">
        <w:rPr>
          <w:rFonts w:eastAsiaTheme="minorHAnsi" w:cstheme="minorBidi"/>
          <w:snapToGrid/>
          <w:szCs w:val="22"/>
        </w:rPr>
        <w:t>there w</w:t>
      </w:r>
      <w:r w:rsidR="009D12D4">
        <w:rPr>
          <w:rFonts w:eastAsiaTheme="minorHAnsi" w:cstheme="minorBidi"/>
          <w:snapToGrid/>
          <w:szCs w:val="22"/>
        </w:rPr>
        <w:t>ere</w:t>
      </w:r>
      <w:r w:rsidR="00385DA0">
        <w:rPr>
          <w:rFonts w:eastAsiaTheme="minorHAnsi" w:cstheme="minorBidi"/>
          <w:snapToGrid/>
          <w:szCs w:val="22"/>
        </w:rPr>
        <w:t xml:space="preserve"> very limited data to support the </w:t>
      </w:r>
      <w:r w:rsidR="00A4529D" w:rsidRPr="009D12D4">
        <w:rPr>
          <w:rFonts w:eastAsiaTheme="minorHAnsi" w:cstheme="minorBidi"/>
          <w:snapToGrid/>
          <w:szCs w:val="22"/>
        </w:rPr>
        <w:t>association between an increase in percentage of naïve B cells out of total B cells with a lower annualised infection rate (p&lt;0.001, negative binomial modelling)</w:t>
      </w:r>
      <w:r w:rsidR="00954B5D" w:rsidRPr="009D12D4">
        <w:rPr>
          <w:rFonts w:eastAsiaTheme="minorHAnsi" w:cstheme="minorBidi"/>
          <w:snapToGrid/>
          <w:szCs w:val="22"/>
        </w:rPr>
        <w:t>.</w:t>
      </w:r>
      <w:r w:rsidR="00A4529D" w:rsidRPr="009D12D4">
        <w:rPr>
          <w:rFonts w:eastAsiaTheme="minorHAnsi" w:cstheme="minorBidi"/>
          <w:snapToGrid/>
          <w:szCs w:val="22"/>
        </w:rPr>
        <w:t xml:space="preserve"> </w:t>
      </w:r>
      <w:r w:rsidR="001302E6" w:rsidRPr="008B433C">
        <w:rPr>
          <w:rFonts w:eastAsiaTheme="minorHAnsi" w:cstheme="minorBidi"/>
          <w:snapToGrid/>
          <w:szCs w:val="22"/>
        </w:rPr>
        <w:t>The Sub-</w:t>
      </w:r>
      <w:r w:rsidR="001302E6" w:rsidRPr="008B433C">
        <w:t>Committees considered the surrogate outcomes, such as immune cell changes, provide a representation of the underlying disease activity for APDS, making them valid and meaningful outcomes. However</w:t>
      </w:r>
      <w:r w:rsidR="00116E16">
        <w:t>,</w:t>
      </w:r>
      <w:r w:rsidR="001302E6" w:rsidRPr="008B433C">
        <w:t xml:space="preserve"> the Sub-Committees considered that the measured outcomes do not necessarily correlate well with clinical manifestation of the disease, and the submission and the PSCR did not provide strong quantitative evidence linking surrogate outcomes to final outcomes.</w:t>
      </w:r>
      <w:r w:rsidR="009D12D4" w:rsidRPr="008B433C">
        <w:t xml:space="preserve"> The Sub-Committees also noted that </w:t>
      </w:r>
      <w:r w:rsidR="007348DF">
        <w:t>t</w:t>
      </w:r>
      <w:r w:rsidR="009D12D4" w:rsidRPr="008B433C">
        <w:t xml:space="preserve">he PSCR stated that </w:t>
      </w:r>
      <w:r w:rsidR="009D12D4" w:rsidRPr="008B433C">
        <w:rPr>
          <w:color w:val="000000"/>
        </w:rPr>
        <w:t>lymphadenopathy measures provide direct clinical utility, as pulmonary or gastrointestinal lymphoproliferation can lead to serious local complications</w:t>
      </w:r>
      <w:r w:rsidR="009D12D4" w:rsidRPr="008B433C">
        <w:t xml:space="preserve">. The Sub-Committees considered it was plausible that a reduction in lymph node size would have an impact on QoL based on these complications. </w:t>
      </w:r>
    </w:p>
    <w:p w14:paraId="0816762D" w14:textId="77777777" w:rsidR="00A4529D" w:rsidRDefault="00A4529D" w:rsidP="00E1466B">
      <w:pPr>
        <w:pStyle w:val="3-BodyText"/>
      </w:pPr>
      <w:r w:rsidRPr="008B433C">
        <w:t xml:space="preserve">The </w:t>
      </w:r>
      <w:r w:rsidR="00742246" w:rsidRPr="008B433C">
        <w:t>Sub-Committees agreed with the Commentary that</w:t>
      </w:r>
      <w:r w:rsidR="00742246">
        <w:t xml:space="preserve"> the </w:t>
      </w:r>
      <w:r w:rsidR="00803CC5" w:rsidRPr="00E1466B">
        <w:t xml:space="preserve">submission’s </w:t>
      </w:r>
      <w:r w:rsidRPr="00E1466B">
        <w:t xml:space="preserve">claim of non-inferior safety may be uncertain </w:t>
      </w:r>
      <w:r w:rsidR="00803CC5" w:rsidRPr="00E1466B">
        <w:t>due to the</w:t>
      </w:r>
      <w:r w:rsidRPr="00E1466B">
        <w:t xml:space="preserve"> limited comparative </w:t>
      </w:r>
      <w:r w:rsidR="00803CC5" w:rsidRPr="00E1466B">
        <w:t xml:space="preserve">safety </w:t>
      </w:r>
      <w:r w:rsidRPr="00E1466B">
        <w:t xml:space="preserve">data available </w:t>
      </w:r>
      <w:r w:rsidR="00803CC5" w:rsidRPr="00E1466B">
        <w:t xml:space="preserve">for </w:t>
      </w:r>
      <w:r w:rsidRPr="00E1466B">
        <w:t>leniolisib</w:t>
      </w:r>
      <w:r w:rsidR="003C24A1" w:rsidRPr="00E1466B">
        <w:t>.</w:t>
      </w:r>
      <w:r w:rsidR="00803CC5" w:rsidRPr="00E1466B">
        <w:t xml:space="preserve"> </w:t>
      </w:r>
      <w:r w:rsidRPr="00E1466B">
        <w:t>As</w:t>
      </w:r>
      <w:r w:rsidRPr="0031419F">
        <w:t xml:space="preserve"> leniolisib is to be added on to SoC, it was reasonable to expect that more AEs would be experienced by patients receiving leniolisib. However, there could also be reduction in SoC related AEs if the usage of SoC decreases with leniolisib treatment. Overall, the claim that leniolisib plus SoC was non-inferior to SoC should be considered uncertain. However, based on available evidence as presented in the submission, the incremental impact to safety for patients receiving leniolisib appears to be manageable.</w:t>
      </w:r>
    </w:p>
    <w:p w14:paraId="3D0E0EE7" w14:textId="37C33750" w:rsidR="00652CF1" w:rsidRPr="00713382" w:rsidRDefault="00652CF1" w:rsidP="00652CF1">
      <w:pPr>
        <w:pStyle w:val="3-BodyText"/>
        <w:rPr>
          <w:snapToGrid w:val="0"/>
        </w:rPr>
      </w:pPr>
      <w:bookmarkStart w:id="35" w:name="_Hlk76376200"/>
      <w:r w:rsidRPr="00713382">
        <w:rPr>
          <w:iCs/>
          <w:snapToGrid w:val="0"/>
        </w:rPr>
        <w:t>The</w:t>
      </w:r>
      <w:r w:rsidRPr="00713382">
        <w:rPr>
          <w:snapToGrid w:val="0"/>
        </w:rPr>
        <w:t xml:space="preserve"> PBAC considered that the claim of superior comparative effectiveness over SoC was reasonable based on the available </w:t>
      </w:r>
      <w:r w:rsidR="00EA7286">
        <w:rPr>
          <w:snapToGrid w:val="0"/>
        </w:rPr>
        <w:t xml:space="preserve">comparative </w:t>
      </w:r>
      <w:r w:rsidRPr="00713382">
        <w:rPr>
          <w:snapToGrid w:val="0"/>
        </w:rPr>
        <w:t xml:space="preserve">data for </w:t>
      </w:r>
      <w:r w:rsidRPr="00713382">
        <w:t>Study 2201</w:t>
      </w:r>
      <w:r>
        <w:t xml:space="preserve"> Part II</w:t>
      </w:r>
      <w:r w:rsidRPr="00713382">
        <w:rPr>
          <w:snapToGrid w:val="0"/>
        </w:rPr>
        <w:t>.</w:t>
      </w:r>
      <w:r>
        <w:rPr>
          <w:snapToGrid w:val="0"/>
        </w:rPr>
        <w:t xml:space="preserve"> The PBAC </w:t>
      </w:r>
      <w:r w:rsidRPr="00045500">
        <w:t xml:space="preserve">considered the </w:t>
      </w:r>
      <w:r w:rsidR="00A35669">
        <w:t xml:space="preserve">demonstrated improvements in </w:t>
      </w:r>
      <w:r w:rsidRPr="00045500">
        <w:t xml:space="preserve">surrogate outcomes, such as immune cell changes, provide a representation of the underlying disease activity for APDS, </w:t>
      </w:r>
      <w:r w:rsidR="000B5C76">
        <w:t xml:space="preserve">and </w:t>
      </w:r>
      <w:r w:rsidR="00A35669">
        <w:t>are</w:t>
      </w:r>
      <w:r w:rsidR="000B5C76">
        <w:t xml:space="preserve"> therefore</w:t>
      </w:r>
      <w:r w:rsidR="00A35669">
        <w:t xml:space="preserve"> likely to result in</w:t>
      </w:r>
      <w:r w:rsidR="000B5C76">
        <w:t xml:space="preserve"> improvements</w:t>
      </w:r>
      <w:r w:rsidRPr="00045500">
        <w:t xml:space="preserve"> </w:t>
      </w:r>
      <w:r w:rsidRPr="002C1723">
        <w:rPr>
          <w:rFonts w:eastAsia="Times New Roman" w:cs="Arial"/>
          <w:snapToGrid w:val="0"/>
          <w:szCs w:val="24"/>
          <w:lang w:val="en-GB"/>
        </w:rPr>
        <w:t>in patient-relevant outcomes such as infections, lung disease, lymphadenopathy and risk of lymphoma</w:t>
      </w:r>
      <w:r w:rsidRPr="00045500">
        <w:t>.</w:t>
      </w:r>
    </w:p>
    <w:p w14:paraId="7B67203E" w14:textId="6545503D" w:rsidR="00652CF1" w:rsidRPr="00652CF1" w:rsidRDefault="00652CF1" w:rsidP="00652CF1">
      <w:pPr>
        <w:pStyle w:val="3-BodyText"/>
        <w:rPr>
          <w:snapToGrid w:val="0"/>
        </w:rPr>
      </w:pPr>
      <w:r w:rsidRPr="007764B0">
        <w:rPr>
          <w:snapToGrid w:val="0"/>
        </w:rPr>
        <w:t xml:space="preserve">The PBAC agreed with the Sub-Committees and considered that the claim of non-inferior comparative safety over SoC was uncertain </w:t>
      </w:r>
      <w:r w:rsidRPr="007764B0">
        <w:rPr>
          <w:bCs/>
        </w:rPr>
        <w:t xml:space="preserve">as there are limited comparative data available. The PBAC noted the TGA Delegate considered it likely that long term treatment with leniolisib will lead to the emergence of rarer adverse events associated with PI3Kδ inhibition in some patients. </w:t>
      </w:r>
      <w:r w:rsidRPr="007764B0">
        <w:rPr>
          <w:snapToGrid w:val="0"/>
        </w:rPr>
        <w:t xml:space="preserve">However, </w:t>
      </w:r>
      <w:bookmarkEnd w:id="35"/>
      <w:r w:rsidRPr="0031419F">
        <w:t>based on available evidence as presented in the submission, the incremental impact to safety for patients receiving leniolisib appears to be manageable.</w:t>
      </w:r>
    </w:p>
    <w:p w14:paraId="329F1D4C" w14:textId="77777777" w:rsidR="003D1923" w:rsidRPr="006562D8" w:rsidRDefault="003D1923" w:rsidP="003D1923">
      <w:pPr>
        <w:pStyle w:val="4-SubsectionHeading"/>
      </w:pPr>
      <w:bookmarkStart w:id="36" w:name="_Toc198725891"/>
      <w:r w:rsidRPr="006562D8">
        <w:t>Economic analysis</w:t>
      </w:r>
      <w:bookmarkEnd w:id="36"/>
      <w:r w:rsidRPr="006562D8">
        <w:t xml:space="preserve"> </w:t>
      </w:r>
    </w:p>
    <w:p w14:paraId="31D2402C" w14:textId="697B0410" w:rsidR="005421A9" w:rsidRPr="0031419F" w:rsidRDefault="00205F2D" w:rsidP="008D5198">
      <w:pPr>
        <w:pStyle w:val="3-BodyText"/>
        <w:spacing w:before="0" w:after="120"/>
      </w:pPr>
      <w:bookmarkStart w:id="37" w:name="_Ref198111025"/>
      <w:r w:rsidRPr="006562D8">
        <w:t xml:space="preserve">The submission </w:t>
      </w:r>
      <w:r w:rsidRPr="0031419F">
        <w:t xml:space="preserve">presented a cost-utility analysis (CUA) that compared leniolisib + SoC with SoC alone based on one direct randomised trial (Study 2201 Part II), with additional clinical data from Study 2201E, the leniolisib </w:t>
      </w:r>
      <w:r w:rsidR="00023CF5" w:rsidRPr="0031419F">
        <w:t>early access program (</w:t>
      </w:r>
      <w:r w:rsidRPr="0031419F">
        <w:t>EAP</w:t>
      </w:r>
      <w:r w:rsidR="00023CF5" w:rsidRPr="0031419F">
        <w:t>)</w:t>
      </w:r>
      <w:r w:rsidRPr="0031419F">
        <w:t xml:space="preserve"> and the ESID-APDS registry. </w:t>
      </w:r>
      <w:r w:rsidR="00E07132" w:rsidRPr="0031419F">
        <w:t>The ESID registry is a prospective, observational, international registry of patients with IEIs</w:t>
      </w:r>
      <w:r w:rsidR="005421A9" w:rsidRPr="0031419F">
        <w:t xml:space="preserve"> that</w:t>
      </w:r>
      <w:r w:rsidR="00E07132" w:rsidRPr="0031419F">
        <w:t xml:space="preserve"> includes a cohort of patients with a genetic confirmation of APDS (</w:t>
      </w:r>
      <w:r w:rsidR="00772AAD" w:rsidRPr="0031419F">
        <w:t>the ESID-APDS registry</w:t>
      </w:r>
      <w:r w:rsidR="00E07132" w:rsidRPr="0031419F">
        <w:t xml:space="preserve">). </w:t>
      </w:r>
      <w:r w:rsidR="003A3CE2" w:rsidRPr="0031419F">
        <w:t xml:space="preserve">Out of the 150 patients enrolled on the ESID registry, </w:t>
      </w:r>
      <w:bookmarkStart w:id="38" w:name="_Hlk198204841"/>
      <w:r w:rsidR="003A3CE2" w:rsidRPr="0031419F">
        <w:t>t</w:t>
      </w:r>
      <w:r w:rsidR="00E07132" w:rsidRPr="0031419F">
        <w:t xml:space="preserve">here </w:t>
      </w:r>
      <w:r w:rsidR="003047D4" w:rsidRPr="0031419F">
        <w:t xml:space="preserve">were 140 patients </w:t>
      </w:r>
      <w:r w:rsidR="005421A9" w:rsidRPr="0031419F">
        <w:t xml:space="preserve">enrolled on the ESID-APDS registry </w:t>
      </w:r>
      <w:r w:rsidR="003047D4" w:rsidRPr="0031419F">
        <w:t>(</w:t>
      </w:r>
      <w:r w:rsidR="00F96CCA" w:rsidRPr="0031419F">
        <w:t xml:space="preserve">mean patient age at last visit 19.1 years; mean follow up 2.6 years; </w:t>
      </w:r>
      <w:r w:rsidR="003047D4" w:rsidRPr="0031419F">
        <w:t>6 November 2023 data cut)</w:t>
      </w:r>
      <w:r w:rsidR="00E07132" w:rsidRPr="0031419F">
        <w:t xml:space="preserve">, </w:t>
      </w:r>
      <w:bookmarkEnd w:id="38"/>
      <w:r w:rsidR="00E07132" w:rsidRPr="0031419F">
        <w:t>with enrolment ongoing</w:t>
      </w:r>
      <w:r w:rsidR="00772AAD" w:rsidRPr="0031419F">
        <w:t>.</w:t>
      </w:r>
      <w:r w:rsidR="00F50073" w:rsidRPr="0031419F">
        <w:t xml:space="preserve"> </w:t>
      </w:r>
      <w:r w:rsidR="00DA74AD" w:rsidRPr="0031419F">
        <w:t xml:space="preserve">The longitudinal nature of the ESID-APDS registry allows the collection of data for APDS manifestations, treatment utilisation and mortality </w:t>
      </w:r>
      <w:r w:rsidR="00EF31D4" w:rsidRPr="0031419F">
        <w:t>over time.</w:t>
      </w:r>
      <w:bookmarkEnd w:id="37"/>
    </w:p>
    <w:p w14:paraId="62B08538" w14:textId="62AF772F" w:rsidR="003D1923" w:rsidRPr="0031419F" w:rsidRDefault="00205F2D" w:rsidP="008D5198">
      <w:pPr>
        <w:pStyle w:val="3-BodyText"/>
        <w:spacing w:before="0" w:after="120"/>
      </w:pPr>
      <w:r w:rsidRPr="0031419F">
        <w:t>The key components of the economic model are presented in</w:t>
      </w:r>
      <w:r w:rsidR="00736554" w:rsidRPr="0031419F">
        <w:t xml:space="preserve"> </w:t>
      </w:r>
      <w:r w:rsidR="00736554" w:rsidRPr="0031419F">
        <w:fldChar w:fldCharType="begin" w:fldLock="1"/>
      </w:r>
      <w:r w:rsidR="00736554" w:rsidRPr="0031419F">
        <w:instrText xml:space="preserve"> REF _Ref196172630 \h </w:instrText>
      </w:r>
      <w:r w:rsidR="0031419F" w:rsidRPr="0031419F">
        <w:instrText xml:space="preserve"> \* MERGEFORMAT </w:instrText>
      </w:r>
      <w:r w:rsidR="00736554" w:rsidRPr="0031419F">
        <w:fldChar w:fldCharType="separate"/>
      </w:r>
      <w:r w:rsidR="00C34379" w:rsidRPr="0031419F">
        <w:t xml:space="preserve">Table </w:t>
      </w:r>
      <w:r w:rsidR="00C34379">
        <w:rPr>
          <w:noProof/>
        </w:rPr>
        <w:t>14</w:t>
      </w:r>
      <w:r w:rsidR="00736554" w:rsidRPr="0031419F">
        <w:fldChar w:fldCharType="end"/>
      </w:r>
      <w:r w:rsidR="00736554" w:rsidRPr="0031419F">
        <w:t>.</w:t>
      </w:r>
    </w:p>
    <w:p w14:paraId="28F3A97C" w14:textId="596DE934" w:rsidR="003D1923" w:rsidRPr="0031419F" w:rsidRDefault="003D1923" w:rsidP="003D1923">
      <w:pPr>
        <w:pStyle w:val="Caption"/>
        <w:jc w:val="left"/>
        <w:rPr>
          <w:rStyle w:val="CommentReference"/>
          <w:b/>
          <w:szCs w:val="24"/>
        </w:rPr>
      </w:pPr>
      <w:bookmarkStart w:id="39" w:name="_Ref196172630"/>
      <w:bookmarkStart w:id="40" w:name="_Ref196152670"/>
      <w:r w:rsidRPr="0031419F">
        <w:t xml:space="preserve">Table </w:t>
      </w:r>
      <w:r w:rsidR="00C34379">
        <w:fldChar w:fldCharType="begin" w:fldLock="1"/>
      </w:r>
      <w:r w:rsidR="00C34379">
        <w:instrText xml:space="preserve"> SEQ Table \* ARABIC </w:instrText>
      </w:r>
      <w:r w:rsidR="00C34379">
        <w:fldChar w:fldCharType="separate"/>
      </w:r>
      <w:r w:rsidR="00C34379">
        <w:rPr>
          <w:noProof/>
        </w:rPr>
        <w:t>14</w:t>
      </w:r>
      <w:r w:rsidR="00C34379">
        <w:rPr>
          <w:noProof/>
        </w:rPr>
        <w:fldChar w:fldCharType="end"/>
      </w:r>
      <w:bookmarkEnd w:id="39"/>
      <w:r w:rsidRPr="0031419F">
        <w:t>:</w:t>
      </w:r>
      <w:r w:rsidRPr="0031419F">
        <w:rPr>
          <w:rStyle w:val="CommentReference"/>
          <w:b/>
          <w:szCs w:val="24"/>
        </w:rPr>
        <w:t xml:space="preserve"> Summary of model structure, key inputs and rationale</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4: Summary of model structure, key inputs and rationale"/>
      </w:tblPr>
      <w:tblGrid>
        <w:gridCol w:w="1395"/>
        <w:gridCol w:w="3750"/>
        <w:gridCol w:w="3753"/>
      </w:tblGrid>
      <w:tr w:rsidR="00205F2D" w:rsidRPr="0031419F" w14:paraId="732DDABC" w14:textId="77777777" w:rsidTr="000B4467">
        <w:tc>
          <w:tcPr>
            <w:tcW w:w="784" w:type="pct"/>
            <w:vAlign w:val="center"/>
          </w:tcPr>
          <w:p w14:paraId="1E022FC4" w14:textId="77777777" w:rsidR="00205F2D" w:rsidRPr="0031419F" w:rsidRDefault="00205F2D" w:rsidP="000B4467">
            <w:pPr>
              <w:pStyle w:val="In-tableHeading"/>
              <w:jc w:val="left"/>
              <w:rPr>
                <w:lang w:val="en-AU"/>
              </w:rPr>
            </w:pPr>
            <w:r w:rsidRPr="0031419F">
              <w:rPr>
                <w:lang w:val="en-AU"/>
              </w:rPr>
              <w:t>Component</w:t>
            </w:r>
          </w:p>
        </w:tc>
        <w:tc>
          <w:tcPr>
            <w:tcW w:w="2107" w:type="pct"/>
          </w:tcPr>
          <w:p w14:paraId="54EF3E2E" w14:textId="77777777" w:rsidR="00205F2D" w:rsidRPr="0031419F" w:rsidRDefault="00205F2D" w:rsidP="000B4467">
            <w:pPr>
              <w:pStyle w:val="In-tableHeading"/>
              <w:rPr>
                <w:lang w:val="en-AU"/>
              </w:rPr>
            </w:pPr>
            <w:r w:rsidRPr="0031419F">
              <w:rPr>
                <w:lang w:val="en-AU"/>
              </w:rPr>
              <w:t>Description</w:t>
            </w:r>
          </w:p>
        </w:tc>
        <w:tc>
          <w:tcPr>
            <w:tcW w:w="2109" w:type="pct"/>
            <w:vAlign w:val="center"/>
          </w:tcPr>
          <w:p w14:paraId="79314B97" w14:textId="77777777" w:rsidR="00205F2D" w:rsidRPr="0031419F" w:rsidRDefault="00205F2D" w:rsidP="000B4467">
            <w:pPr>
              <w:pStyle w:val="In-tableHeading"/>
              <w:jc w:val="left"/>
              <w:rPr>
                <w:lang w:val="en-AU"/>
              </w:rPr>
            </w:pPr>
            <w:r w:rsidRPr="0031419F">
              <w:rPr>
                <w:lang w:val="en-AU"/>
              </w:rPr>
              <w:t>Justification/comments</w:t>
            </w:r>
          </w:p>
        </w:tc>
      </w:tr>
      <w:tr w:rsidR="00205F2D" w:rsidRPr="0031419F" w14:paraId="378128BD" w14:textId="77777777" w:rsidTr="000B4467">
        <w:tc>
          <w:tcPr>
            <w:tcW w:w="784" w:type="pct"/>
            <w:vAlign w:val="center"/>
          </w:tcPr>
          <w:p w14:paraId="412D5A4E" w14:textId="77777777" w:rsidR="00205F2D" w:rsidRPr="0031419F" w:rsidRDefault="00205F2D" w:rsidP="000B4467">
            <w:pPr>
              <w:pStyle w:val="TableText0"/>
              <w:rPr>
                <w:lang w:val="en-AU"/>
              </w:rPr>
            </w:pPr>
            <w:r w:rsidRPr="0031419F">
              <w:rPr>
                <w:lang w:val="en-AU"/>
              </w:rPr>
              <w:t>Comparison</w:t>
            </w:r>
          </w:p>
        </w:tc>
        <w:tc>
          <w:tcPr>
            <w:tcW w:w="2107" w:type="pct"/>
            <w:vAlign w:val="center"/>
          </w:tcPr>
          <w:p w14:paraId="03EE2D7E" w14:textId="77777777" w:rsidR="00205F2D" w:rsidRPr="0031419F" w:rsidRDefault="00205F2D" w:rsidP="000B4467">
            <w:pPr>
              <w:pStyle w:val="TableText0"/>
              <w:rPr>
                <w:lang w:val="en-AU"/>
              </w:rPr>
            </w:pPr>
            <w:r w:rsidRPr="0031419F">
              <w:rPr>
                <w:lang w:val="en-AU"/>
              </w:rPr>
              <w:t>Leniolisib with SoC, compared to SoC alone</w:t>
            </w:r>
          </w:p>
          <w:p w14:paraId="6353F55E" w14:textId="15C892D6" w:rsidR="00205F2D" w:rsidRPr="0031419F" w:rsidRDefault="00205F2D" w:rsidP="000B4467">
            <w:pPr>
              <w:pStyle w:val="TableText0"/>
              <w:rPr>
                <w:lang w:val="en-AU"/>
              </w:rPr>
            </w:pPr>
            <w:r w:rsidRPr="0031419F">
              <w:rPr>
                <w:lang w:val="en-AU"/>
              </w:rPr>
              <w:t>(SoC therapies include a range of therapies which are patient specific, dependent on particular manifestations</w:t>
            </w:r>
            <w:r w:rsidR="00D57A3C" w:rsidRPr="0031419F">
              <w:rPr>
                <w:lang w:val="en-AU"/>
              </w:rPr>
              <w:t xml:space="preserve"> and included immunosuppressive drugs including sirolimus and rituximab</w:t>
            </w:r>
            <w:r w:rsidRPr="0031419F">
              <w:rPr>
                <w:lang w:val="en-AU"/>
              </w:rPr>
              <w:t>)</w:t>
            </w:r>
          </w:p>
        </w:tc>
        <w:tc>
          <w:tcPr>
            <w:tcW w:w="2109" w:type="pct"/>
            <w:vAlign w:val="center"/>
          </w:tcPr>
          <w:p w14:paraId="26F8F2A3" w14:textId="572DCEE7" w:rsidR="00205F2D" w:rsidRPr="0031419F" w:rsidRDefault="0061234D" w:rsidP="000B4467">
            <w:pPr>
              <w:pStyle w:val="TableText0"/>
              <w:rPr>
                <w:lang w:val="en-AU"/>
              </w:rPr>
            </w:pPr>
            <w:r>
              <w:rPr>
                <w:lang w:val="en-AU"/>
              </w:rPr>
              <w:t>The Commentary considered this was g</w:t>
            </w:r>
            <w:r w:rsidR="00D57A3C" w:rsidRPr="0031419F">
              <w:rPr>
                <w:lang w:val="en-AU"/>
              </w:rPr>
              <w:t>enerally r</w:t>
            </w:r>
            <w:r w:rsidR="00205F2D" w:rsidRPr="0031419F">
              <w:rPr>
                <w:lang w:val="en-AU"/>
              </w:rPr>
              <w:t>easonable</w:t>
            </w:r>
            <w:r w:rsidR="000E7038">
              <w:rPr>
                <w:lang w:val="en-AU"/>
              </w:rPr>
              <w:t>.</w:t>
            </w:r>
          </w:p>
        </w:tc>
      </w:tr>
      <w:tr w:rsidR="00205F2D" w:rsidRPr="0031419F" w14:paraId="04925AEA" w14:textId="77777777" w:rsidTr="000B4467">
        <w:tc>
          <w:tcPr>
            <w:tcW w:w="784" w:type="pct"/>
            <w:vAlign w:val="center"/>
          </w:tcPr>
          <w:p w14:paraId="7104A61C" w14:textId="77777777" w:rsidR="00205F2D" w:rsidRPr="0031419F" w:rsidRDefault="00205F2D" w:rsidP="000B4467">
            <w:pPr>
              <w:pStyle w:val="TableText0"/>
              <w:rPr>
                <w:lang w:val="en-AU"/>
              </w:rPr>
            </w:pPr>
            <w:r w:rsidRPr="0031419F">
              <w:rPr>
                <w:lang w:val="en-AU"/>
              </w:rPr>
              <w:t>Type of analysis</w:t>
            </w:r>
          </w:p>
        </w:tc>
        <w:tc>
          <w:tcPr>
            <w:tcW w:w="2107" w:type="pct"/>
            <w:vAlign w:val="center"/>
          </w:tcPr>
          <w:p w14:paraId="5A657D00" w14:textId="77777777" w:rsidR="00205F2D" w:rsidRPr="0031419F" w:rsidRDefault="00205F2D" w:rsidP="000B4467">
            <w:pPr>
              <w:pStyle w:val="TableText0"/>
              <w:rPr>
                <w:lang w:val="en-AU"/>
              </w:rPr>
            </w:pPr>
            <w:r w:rsidRPr="0031419F">
              <w:rPr>
                <w:lang w:val="en-AU"/>
              </w:rPr>
              <w:t>Cost-utility analysis (CUA)</w:t>
            </w:r>
          </w:p>
        </w:tc>
        <w:tc>
          <w:tcPr>
            <w:tcW w:w="2109" w:type="pct"/>
            <w:vAlign w:val="center"/>
          </w:tcPr>
          <w:p w14:paraId="02795A85" w14:textId="77777777" w:rsidR="00205F2D" w:rsidRPr="0031419F" w:rsidRDefault="00205F2D" w:rsidP="000B4467">
            <w:pPr>
              <w:pStyle w:val="TableText0"/>
              <w:rPr>
                <w:lang w:val="en-AU"/>
              </w:rPr>
            </w:pPr>
            <w:r w:rsidRPr="0031419F">
              <w:rPr>
                <w:lang w:val="en-AU"/>
              </w:rPr>
              <w:t>Reasonable</w:t>
            </w:r>
          </w:p>
        </w:tc>
      </w:tr>
      <w:tr w:rsidR="00205F2D" w:rsidRPr="0031419F" w14:paraId="2700E6F4" w14:textId="77777777" w:rsidTr="000B4467">
        <w:tc>
          <w:tcPr>
            <w:tcW w:w="784" w:type="pct"/>
            <w:vAlign w:val="center"/>
          </w:tcPr>
          <w:p w14:paraId="7DB67822" w14:textId="77777777" w:rsidR="00205F2D" w:rsidRPr="0031419F" w:rsidRDefault="00205F2D" w:rsidP="000B4467">
            <w:pPr>
              <w:pStyle w:val="TableText0"/>
              <w:rPr>
                <w:lang w:val="en-AU"/>
              </w:rPr>
            </w:pPr>
            <w:r w:rsidRPr="0031419F">
              <w:rPr>
                <w:lang w:val="en-AU"/>
              </w:rPr>
              <w:t>Outcomes</w:t>
            </w:r>
          </w:p>
        </w:tc>
        <w:tc>
          <w:tcPr>
            <w:tcW w:w="2107" w:type="pct"/>
            <w:vAlign w:val="center"/>
          </w:tcPr>
          <w:p w14:paraId="5C2B98DE" w14:textId="77777777" w:rsidR="00205F2D" w:rsidRPr="0031419F" w:rsidRDefault="00205F2D" w:rsidP="0022639C">
            <w:pPr>
              <w:pStyle w:val="TableText0"/>
              <w:numPr>
                <w:ilvl w:val="0"/>
                <w:numId w:val="17"/>
              </w:numPr>
              <w:ind w:left="274" w:hanging="274"/>
              <w:rPr>
                <w:lang w:val="en-AU"/>
              </w:rPr>
            </w:pPr>
            <w:r w:rsidRPr="0031419F">
              <w:rPr>
                <w:lang w:val="en-AU"/>
              </w:rPr>
              <w:t>Mortality</w:t>
            </w:r>
          </w:p>
          <w:p w14:paraId="0F945631" w14:textId="77777777" w:rsidR="00205F2D" w:rsidRPr="0031419F" w:rsidRDefault="00205F2D" w:rsidP="0022639C">
            <w:pPr>
              <w:pStyle w:val="TableText0"/>
              <w:numPr>
                <w:ilvl w:val="0"/>
                <w:numId w:val="17"/>
              </w:numPr>
              <w:ind w:left="274" w:hanging="274"/>
              <w:rPr>
                <w:lang w:val="en-AU"/>
              </w:rPr>
            </w:pPr>
            <w:r w:rsidRPr="0031419F">
              <w:rPr>
                <w:lang w:val="en-AU"/>
              </w:rPr>
              <w:t>Lymphoma and other malignancies</w:t>
            </w:r>
          </w:p>
          <w:p w14:paraId="48BB4B99" w14:textId="77777777" w:rsidR="00205F2D" w:rsidRPr="0031419F" w:rsidRDefault="00205F2D" w:rsidP="0022639C">
            <w:pPr>
              <w:pStyle w:val="TableText0"/>
              <w:numPr>
                <w:ilvl w:val="0"/>
                <w:numId w:val="17"/>
              </w:numPr>
              <w:ind w:left="274" w:hanging="274"/>
              <w:rPr>
                <w:lang w:val="en-AU"/>
              </w:rPr>
            </w:pPr>
            <w:r w:rsidRPr="0031419F">
              <w:rPr>
                <w:lang w:val="en-AU"/>
              </w:rPr>
              <w:t>(Advanced) lung disease, decline in lung function and recurrent pneumonia leading to bronchiectasis-associated airway disease</w:t>
            </w:r>
          </w:p>
          <w:p w14:paraId="54501674" w14:textId="77777777" w:rsidR="00205F2D" w:rsidRPr="0031419F" w:rsidRDefault="00205F2D" w:rsidP="0022639C">
            <w:pPr>
              <w:pStyle w:val="TableText0"/>
              <w:numPr>
                <w:ilvl w:val="0"/>
                <w:numId w:val="17"/>
              </w:numPr>
              <w:ind w:left="274" w:hanging="274"/>
              <w:rPr>
                <w:lang w:val="en-AU"/>
              </w:rPr>
            </w:pPr>
            <w:r w:rsidRPr="0031419F">
              <w:rPr>
                <w:lang w:val="en-AU"/>
              </w:rPr>
              <w:t>Infections</w:t>
            </w:r>
          </w:p>
          <w:p w14:paraId="1F7A533C" w14:textId="77777777" w:rsidR="00205F2D" w:rsidRPr="0031419F" w:rsidRDefault="00205F2D" w:rsidP="0022639C">
            <w:pPr>
              <w:pStyle w:val="TableText0"/>
              <w:numPr>
                <w:ilvl w:val="0"/>
                <w:numId w:val="17"/>
              </w:numPr>
              <w:ind w:left="274" w:hanging="274"/>
              <w:rPr>
                <w:lang w:val="en-AU"/>
              </w:rPr>
            </w:pPr>
            <w:r w:rsidRPr="0031419F">
              <w:rPr>
                <w:lang w:val="en-AU"/>
              </w:rPr>
              <w:t>Gastrointestinal symptoms (resembling IBD)</w:t>
            </w:r>
          </w:p>
          <w:p w14:paraId="32D7D846" w14:textId="77777777" w:rsidR="00205F2D" w:rsidRPr="0031419F" w:rsidRDefault="00205F2D" w:rsidP="0022639C">
            <w:pPr>
              <w:pStyle w:val="TableText0"/>
              <w:numPr>
                <w:ilvl w:val="0"/>
                <w:numId w:val="17"/>
              </w:numPr>
              <w:ind w:left="274" w:hanging="274"/>
              <w:rPr>
                <w:lang w:val="en-AU"/>
              </w:rPr>
            </w:pPr>
            <w:r w:rsidRPr="0031419F">
              <w:rPr>
                <w:lang w:val="en-AU"/>
              </w:rPr>
              <w:t>Hearing loss</w:t>
            </w:r>
          </w:p>
          <w:p w14:paraId="1D90C71B" w14:textId="77777777" w:rsidR="00205F2D" w:rsidRPr="0031419F" w:rsidRDefault="00205F2D" w:rsidP="0022639C">
            <w:pPr>
              <w:pStyle w:val="TableText0"/>
              <w:numPr>
                <w:ilvl w:val="0"/>
                <w:numId w:val="17"/>
              </w:numPr>
              <w:ind w:left="274" w:hanging="274"/>
              <w:rPr>
                <w:lang w:val="en-AU"/>
              </w:rPr>
            </w:pPr>
            <w:r w:rsidRPr="0031419F">
              <w:rPr>
                <w:lang w:val="en-AU"/>
              </w:rPr>
              <w:t>Immune system function</w:t>
            </w:r>
          </w:p>
          <w:p w14:paraId="563309D5" w14:textId="77777777" w:rsidR="00205F2D" w:rsidRPr="0031419F" w:rsidRDefault="00205F2D" w:rsidP="0022639C">
            <w:pPr>
              <w:pStyle w:val="TableText0"/>
              <w:numPr>
                <w:ilvl w:val="1"/>
                <w:numId w:val="17"/>
              </w:numPr>
              <w:ind w:left="558" w:hanging="218"/>
              <w:rPr>
                <w:lang w:val="en-AU"/>
              </w:rPr>
            </w:pPr>
            <w:r w:rsidRPr="0031419F">
              <w:rPr>
                <w:lang w:val="en-AU"/>
              </w:rPr>
              <w:t>Immunophenotype measures (lymphocyte counts, cytopenia, immunoglobulin levels, cytokine and chemokine levels, use of IRT and antibiotics)</w:t>
            </w:r>
          </w:p>
          <w:p w14:paraId="7F0D24F7" w14:textId="77777777" w:rsidR="00205F2D" w:rsidRPr="0031419F" w:rsidRDefault="00205F2D" w:rsidP="0022639C">
            <w:pPr>
              <w:pStyle w:val="TableText0"/>
              <w:numPr>
                <w:ilvl w:val="1"/>
                <w:numId w:val="17"/>
              </w:numPr>
              <w:ind w:left="558" w:hanging="218"/>
              <w:rPr>
                <w:lang w:val="en-AU"/>
              </w:rPr>
            </w:pPr>
            <w:r w:rsidRPr="0031419F">
              <w:rPr>
                <w:lang w:val="en-AU"/>
              </w:rPr>
              <w:t>Lymph node size, spleen and liver volume size</w:t>
            </w:r>
          </w:p>
          <w:p w14:paraId="365009D9" w14:textId="77777777" w:rsidR="00205F2D" w:rsidRPr="0031419F" w:rsidRDefault="00205F2D" w:rsidP="0022639C">
            <w:pPr>
              <w:pStyle w:val="TableText0"/>
              <w:numPr>
                <w:ilvl w:val="0"/>
                <w:numId w:val="17"/>
              </w:numPr>
              <w:ind w:left="274" w:hanging="274"/>
              <w:rPr>
                <w:lang w:val="en-AU"/>
              </w:rPr>
            </w:pPr>
            <w:r w:rsidRPr="0031419F">
              <w:rPr>
                <w:lang w:val="en-AU"/>
              </w:rPr>
              <w:t>Health-related quality of life (QALY)</w:t>
            </w:r>
          </w:p>
        </w:tc>
        <w:tc>
          <w:tcPr>
            <w:tcW w:w="2109" w:type="pct"/>
            <w:vAlign w:val="center"/>
          </w:tcPr>
          <w:p w14:paraId="379695E3" w14:textId="062A132B" w:rsidR="00205F2D" w:rsidRPr="0031419F" w:rsidRDefault="00205F2D" w:rsidP="000B4467">
            <w:pPr>
              <w:pStyle w:val="TableText0"/>
              <w:rPr>
                <w:lang w:val="en-AU"/>
              </w:rPr>
            </w:pPr>
            <w:r w:rsidRPr="0031419F">
              <w:rPr>
                <w:lang w:val="en-AU"/>
              </w:rPr>
              <w:t xml:space="preserve">As patients with APDS experience a wide range of manifestations, </w:t>
            </w:r>
            <w:r w:rsidR="00E43B6B">
              <w:rPr>
                <w:lang w:val="en-AU"/>
              </w:rPr>
              <w:t xml:space="preserve">the Commentary considered </w:t>
            </w:r>
            <w:r w:rsidRPr="0031419F">
              <w:rPr>
                <w:lang w:val="en-AU"/>
              </w:rPr>
              <w:t xml:space="preserve">this list of outcomes appears reasonable. </w:t>
            </w:r>
          </w:p>
        </w:tc>
      </w:tr>
      <w:tr w:rsidR="00205F2D" w:rsidRPr="0031419F" w14:paraId="556BB474" w14:textId="77777777" w:rsidTr="000B4467">
        <w:tc>
          <w:tcPr>
            <w:tcW w:w="784" w:type="pct"/>
            <w:vAlign w:val="center"/>
          </w:tcPr>
          <w:p w14:paraId="68A8EF09" w14:textId="77777777" w:rsidR="00205F2D" w:rsidRPr="0031419F" w:rsidRDefault="00205F2D" w:rsidP="000B4467">
            <w:pPr>
              <w:pStyle w:val="TableText0"/>
              <w:rPr>
                <w:lang w:val="en-AU"/>
              </w:rPr>
            </w:pPr>
            <w:r w:rsidRPr="0031419F">
              <w:rPr>
                <w:lang w:val="en-AU"/>
              </w:rPr>
              <w:t>Time horizon</w:t>
            </w:r>
          </w:p>
        </w:tc>
        <w:tc>
          <w:tcPr>
            <w:tcW w:w="2107" w:type="pct"/>
            <w:vAlign w:val="center"/>
          </w:tcPr>
          <w:p w14:paraId="33E728A7" w14:textId="77777777" w:rsidR="00205F2D" w:rsidRPr="0031419F" w:rsidRDefault="00205F2D" w:rsidP="000B4467">
            <w:pPr>
              <w:pStyle w:val="TableText0"/>
              <w:rPr>
                <w:lang w:val="en-AU"/>
              </w:rPr>
            </w:pPr>
            <w:r w:rsidRPr="0031419F">
              <w:rPr>
                <w:lang w:val="en-AU"/>
              </w:rPr>
              <w:t>Lifetime</w:t>
            </w:r>
          </w:p>
        </w:tc>
        <w:tc>
          <w:tcPr>
            <w:tcW w:w="2109" w:type="pct"/>
            <w:vAlign w:val="center"/>
          </w:tcPr>
          <w:p w14:paraId="460F5639" w14:textId="35A9618B" w:rsidR="006E4896" w:rsidRPr="006931A3" w:rsidRDefault="00205F2D" w:rsidP="001D7BAB">
            <w:pPr>
              <w:pStyle w:val="Tabletext"/>
              <w:rPr>
                <w:i/>
                <w:iCs/>
              </w:rPr>
            </w:pPr>
            <w:r w:rsidRPr="0031419F">
              <w:t>The model used a lifetime time horizon of 85 years (or until patients are 100 years old). However</w:t>
            </w:r>
            <w:r w:rsidR="00116E16">
              <w:t>,</w:t>
            </w:r>
            <w:r w:rsidRPr="0031419F">
              <w:t xml:space="preserve"> Study 2201 Part II provided only 12 weeks of comparative data</w:t>
            </w:r>
            <w:r w:rsidR="00E43B6B">
              <w:t>,</w:t>
            </w:r>
            <w:r w:rsidRPr="0031419F">
              <w:t xml:space="preserve"> therefore the robustness of using this data for the nominated time horizon was uncertain.</w:t>
            </w:r>
            <w:r w:rsidR="006E4896" w:rsidRPr="0031419F">
              <w:t xml:space="preserve"> Additionally, as data from the ESID-APDS registry reported that patients had a median survival age of 44 years</w:t>
            </w:r>
            <w:r w:rsidR="00A43C25" w:rsidRPr="0031419F">
              <w:t>,</w:t>
            </w:r>
            <w:r w:rsidR="006E4896" w:rsidRPr="0031419F">
              <w:t xml:space="preserve"> an 85</w:t>
            </w:r>
            <w:r w:rsidR="004005E5" w:rsidRPr="0031419F">
              <w:t>-</w:t>
            </w:r>
            <w:r w:rsidR="006E4896" w:rsidRPr="0031419F">
              <w:t xml:space="preserve">year time horizon may not be </w:t>
            </w:r>
            <w:r w:rsidR="00EF3E14">
              <w:t>reasonable</w:t>
            </w:r>
            <w:r w:rsidR="00EF3E14" w:rsidRPr="0031419F">
              <w:t xml:space="preserve"> </w:t>
            </w:r>
            <w:r w:rsidR="006E4896" w:rsidRPr="0031419F">
              <w:t>(Maccari, unpublished manuscript, November 2024 data set).</w:t>
            </w:r>
            <w:r w:rsidR="006931A3">
              <w:t xml:space="preserve"> </w:t>
            </w:r>
            <w:r w:rsidR="006931A3" w:rsidRPr="008B433C">
              <w:t xml:space="preserve">The Sub-Committees considered the </w:t>
            </w:r>
            <w:r w:rsidR="00BA458A" w:rsidRPr="008B433C">
              <w:t xml:space="preserve">85-year time horizon was not reasonable based on the </w:t>
            </w:r>
            <w:r w:rsidR="004515FB" w:rsidRPr="008B433C">
              <w:t xml:space="preserve">short trial follow-up and </w:t>
            </w:r>
            <w:r w:rsidR="00164696" w:rsidRPr="008B433C">
              <w:t>life-expectancy of the population</w:t>
            </w:r>
            <w:r w:rsidR="00BA458A" w:rsidRPr="008B433C">
              <w:t>.</w:t>
            </w:r>
          </w:p>
        </w:tc>
      </w:tr>
      <w:tr w:rsidR="00205F2D" w:rsidRPr="0031419F" w14:paraId="13436830" w14:textId="77777777" w:rsidTr="000B4467">
        <w:tc>
          <w:tcPr>
            <w:tcW w:w="784" w:type="pct"/>
            <w:vAlign w:val="center"/>
          </w:tcPr>
          <w:p w14:paraId="1FF6A7A0" w14:textId="77777777" w:rsidR="00205F2D" w:rsidRPr="0031419F" w:rsidRDefault="00205F2D" w:rsidP="000B4467">
            <w:pPr>
              <w:pStyle w:val="TableText0"/>
              <w:rPr>
                <w:lang w:val="en-AU"/>
              </w:rPr>
            </w:pPr>
            <w:r w:rsidRPr="0031419F">
              <w:rPr>
                <w:lang w:val="en-AU"/>
              </w:rPr>
              <w:t>Methods used to generate results</w:t>
            </w:r>
          </w:p>
        </w:tc>
        <w:tc>
          <w:tcPr>
            <w:tcW w:w="2107" w:type="pct"/>
            <w:vAlign w:val="center"/>
          </w:tcPr>
          <w:p w14:paraId="548964AA" w14:textId="77777777" w:rsidR="00205F2D" w:rsidRPr="0031419F" w:rsidRDefault="00205F2D" w:rsidP="000B4467">
            <w:pPr>
              <w:pStyle w:val="TableText0"/>
              <w:rPr>
                <w:lang w:val="en-AU"/>
              </w:rPr>
            </w:pPr>
            <w:r w:rsidRPr="0031419F">
              <w:rPr>
                <w:lang w:val="en-AU"/>
              </w:rPr>
              <w:t>Markov Cohort state transition model; partitioned manifestations</w:t>
            </w:r>
          </w:p>
        </w:tc>
        <w:tc>
          <w:tcPr>
            <w:tcW w:w="2109" w:type="pct"/>
            <w:vAlign w:val="center"/>
          </w:tcPr>
          <w:p w14:paraId="35E7A8CC" w14:textId="77777777" w:rsidR="00205F2D" w:rsidRPr="0031419F" w:rsidRDefault="00205F2D" w:rsidP="000B4467">
            <w:pPr>
              <w:pStyle w:val="TableText0"/>
              <w:rPr>
                <w:lang w:val="en-AU"/>
              </w:rPr>
            </w:pPr>
            <w:r w:rsidRPr="0031419F">
              <w:rPr>
                <w:lang w:val="en-AU"/>
              </w:rPr>
              <w:t>Reasonable</w:t>
            </w:r>
          </w:p>
        </w:tc>
      </w:tr>
      <w:tr w:rsidR="00205F2D" w:rsidRPr="0031419F" w14:paraId="2D48A827" w14:textId="77777777" w:rsidTr="000B4467">
        <w:tc>
          <w:tcPr>
            <w:tcW w:w="784" w:type="pct"/>
            <w:vAlign w:val="center"/>
          </w:tcPr>
          <w:p w14:paraId="1C00B742" w14:textId="77777777" w:rsidR="00205F2D" w:rsidRPr="0031419F" w:rsidRDefault="00205F2D" w:rsidP="000B4467">
            <w:pPr>
              <w:pStyle w:val="TableText0"/>
              <w:rPr>
                <w:lang w:val="en-AU"/>
              </w:rPr>
            </w:pPr>
            <w:r w:rsidRPr="0031419F">
              <w:rPr>
                <w:lang w:val="en-AU"/>
              </w:rPr>
              <w:t>Health states</w:t>
            </w:r>
          </w:p>
        </w:tc>
        <w:tc>
          <w:tcPr>
            <w:tcW w:w="2107" w:type="pct"/>
            <w:vAlign w:val="center"/>
          </w:tcPr>
          <w:p w14:paraId="62830CD5" w14:textId="77777777" w:rsidR="00205F2D" w:rsidRPr="0031419F" w:rsidRDefault="00205F2D" w:rsidP="000B4467">
            <w:pPr>
              <w:pStyle w:val="TableText0"/>
              <w:rPr>
                <w:lang w:val="en-AU"/>
              </w:rPr>
            </w:pPr>
            <w:r w:rsidRPr="0031419F">
              <w:rPr>
                <w:lang w:val="en-AU"/>
              </w:rPr>
              <w:t>Three treatment-based health states: Alive on leniolisib; Alive and not on leniolisib; and Dead. Additionally, patients in the alive states experience APDS-related manifestations which the submission considered to be tunnel health states</w:t>
            </w:r>
          </w:p>
        </w:tc>
        <w:tc>
          <w:tcPr>
            <w:tcW w:w="2109" w:type="pct"/>
            <w:vAlign w:val="center"/>
          </w:tcPr>
          <w:p w14:paraId="58902783" w14:textId="453FBD73" w:rsidR="00205F2D" w:rsidRPr="0031419F" w:rsidRDefault="00205F2D" w:rsidP="000B4467">
            <w:pPr>
              <w:pStyle w:val="TableText0"/>
              <w:rPr>
                <w:lang w:val="en-AU"/>
              </w:rPr>
            </w:pPr>
            <w:r w:rsidRPr="0031419F">
              <w:rPr>
                <w:lang w:val="en-AU"/>
              </w:rPr>
              <w:t>In the treatment-based health states, the effectiveness of leniolisib was captured in a reduction in incidence, resolution, or reduction in severity of manifestations which subsequently improved HRQoL and reduced costs</w:t>
            </w:r>
            <w:r w:rsidRPr="00E033DE">
              <w:rPr>
                <w:i/>
                <w:iCs/>
                <w:lang w:val="en-AU"/>
              </w:rPr>
              <w:t xml:space="preserve">. </w:t>
            </w:r>
            <w:r w:rsidR="00E033DE" w:rsidRPr="008B433C">
              <w:rPr>
                <w:lang w:val="en-AU"/>
              </w:rPr>
              <w:t>The Sub-Committees noted that this structure was unusual and created some complexities.</w:t>
            </w:r>
          </w:p>
        </w:tc>
      </w:tr>
      <w:tr w:rsidR="00205F2D" w:rsidRPr="0031419F" w14:paraId="40CDC9FD" w14:textId="77777777" w:rsidTr="000B4467">
        <w:tc>
          <w:tcPr>
            <w:tcW w:w="784" w:type="pct"/>
            <w:vAlign w:val="center"/>
          </w:tcPr>
          <w:p w14:paraId="5767B8A8" w14:textId="77777777" w:rsidR="00205F2D" w:rsidRPr="0031419F" w:rsidRDefault="00205F2D" w:rsidP="000B4467">
            <w:pPr>
              <w:pStyle w:val="TableText0"/>
              <w:rPr>
                <w:lang w:val="en-AU"/>
              </w:rPr>
            </w:pPr>
            <w:r w:rsidRPr="0031419F">
              <w:rPr>
                <w:lang w:val="en-AU"/>
              </w:rPr>
              <w:t>Cycle length</w:t>
            </w:r>
          </w:p>
        </w:tc>
        <w:tc>
          <w:tcPr>
            <w:tcW w:w="2107" w:type="pct"/>
            <w:vAlign w:val="center"/>
          </w:tcPr>
          <w:p w14:paraId="4123F2BA" w14:textId="77777777" w:rsidR="00205F2D" w:rsidRPr="0031419F" w:rsidRDefault="00205F2D" w:rsidP="000B4467">
            <w:pPr>
              <w:pStyle w:val="TableText0"/>
              <w:rPr>
                <w:lang w:val="en-AU"/>
              </w:rPr>
            </w:pPr>
            <w:r w:rsidRPr="0031419F">
              <w:rPr>
                <w:lang w:val="en-AU"/>
              </w:rPr>
              <w:t>Yearly</w:t>
            </w:r>
          </w:p>
        </w:tc>
        <w:tc>
          <w:tcPr>
            <w:tcW w:w="2109" w:type="pct"/>
            <w:vAlign w:val="center"/>
          </w:tcPr>
          <w:p w14:paraId="1B23A06A" w14:textId="3CDF4164" w:rsidR="00205F2D" w:rsidRPr="0031419F" w:rsidRDefault="00205F2D" w:rsidP="000B4467">
            <w:pPr>
              <w:pStyle w:val="TableText0"/>
              <w:rPr>
                <w:lang w:val="en-AU"/>
              </w:rPr>
            </w:pPr>
            <w:r w:rsidRPr="0031419F">
              <w:rPr>
                <w:lang w:val="en-AU"/>
              </w:rPr>
              <w:t xml:space="preserve">As only 12 weeks of comparative evidence was available for leniolisib, </w:t>
            </w:r>
            <w:r w:rsidR="00880A67" w:rsidRPr="0031419F">
              <w:rPr>
                <w:lang w:val="en-AU"/>
              </w:rPr>
              <w:t>there were</w:t>
            </w:r>
            <w:r w:rsidRPr="0031419F">
              <w:rPr>
                <w:lang w:val="en-AU"/>
              </w:rPr>
              <w:t xml:space="preserve"> not sufficient data to reliably inform a full model cycle.</w:t>
            </w:r>
          </w:p>
        </w:tc>
      </w:tr>
      <w:tr w:rsidR="00205F2D" w:rsidRPr="0031419F" w14:paraId="3CB62A97" w14:textId="77777777" w:rsidTr="00D0391A">
        <w:tc>
          <w:tcPr>
            <w:tcW w:w="784" w:type="pct"/>
            <w:vAlign w:val="center"/>
          </w:tcPr>
          <w:p w14:paraId="31CAD3B1" w14:textId="77777777" w:rsidR="00205F2D" w:rsidRPr="0031419F" w:rsidRDefault="00205F2D" w:rsidP="000B4467">
            <w:pPr>
              <w:pStyle w:val="TableText0"/>
              <w:rPr>
                <w:lang w:val="en-AU"/>
              </w:rPr>
            </w:pPr>
            <w:r w:rsidRPr="0031419F">
              <w:rPr>
                <w:lang w:val="en-AU"/>
              </w:rPr>
              <w:t>Transition probabilities</w:t>
            </w:r>
          </w:p>
        </w:tc>
        <w:tc>
          <w:tcPr>
            <w:tcW w:w="2107" w:type="pct"/>
            <w:vAlign w:val="center"/>
          </w:tcPr>
          <w:p w14:paraId="4D27EC8A" w14:textId="0E77F27F" w:rsidR="00205F2D" w:rsidRPr="00EC3C72" w:rsidRDefault="00205F2D" w:rsidP="000B4467">
            <w:pPr>
              <w:pStyle w:val="TableText0"/>
              <w:rPr>
                <w:i/>
                <w:iCs/>
                <w:lang w:val="en-AU"/>
              </w:rPr>
            </w:pPr>
            <w:r w:rsidRPr="0031419F">
              <w:rPr>
                <w:lang w:val="en-AU"/>
              </w:rPr>
              <w:t xml:space="preserve">Transition from Alive on leniolisib to Alive and not on leniolisib based on a fixed assumed annual discontinuation rate informed by Study 2201E1 (May 2024 data cut). </w:t>
            </w:r>
            <w:r w:rsidR="00A45EF5" w:rsidRPr="0031419F">
              <w:rPr>
                <w:lang w:val="en-AU"/>
              </w:rPr>
              <w:t>Patients who discontinue leniolisib revert to age-specific SoC level manifestation rates applicable at age of leniolisib initiation.</w:t>
            </w:r>
          </w:p>
          <w:p w14:paraId="0FAA4FAA" w14:textId="77777777" w:rsidR="00205F2D" w:rsidRPr="0031419F" w:rsidRDefault="00205F2D" w:rsidP="000B4467">
            <w:pPr>
              <w:pStyle w:val="TableText0"/>
              <w:rPr>
                <w:lang w:val="en-AU"/>
              </w:rPr>
            </w:pPr>
          </w:p>
          <w:p w14:paraId="13BEE4F5" w14:textId="77777777" w:rsidR="00205F2D" w:rsidRPr="0031419F" w:rsidRDefault="00205F2D" w:rsidP="000B4467">
            <w:pPr>
              <w:pStyle w:val="TableText0"/>
              <w:rPr>
                <w:lang w:val="en-AU"/>
              </w:rPr>
            </w:pPr>
            <w:r w:rsidRPr="0031419F">
              <w:rPr>
                <w:lang w:val="en-AU"/>
              </w:rPr>
              <w:t>Mortality is a function of:</w:t>
            </w:r>
          </w:p>
          <w:p w14:paraId="1D624753" w14:textId="77777777" w:rsidR="00205F2D" w:rsidRPr="0031419F" w:rsidRDefault="00205F2D" w:rsidP="0022639C">
            <w:pPr>
              <w:pStyle w:val="TableText0"/>
              <w:numPr>
                <w:ilvl w:val="0"/>
                <w:numId w:val="17"/>
              </w:numPr>
              <w:ind w:left="274" w:hanging="274"/>
              <w:rPr>
                <w:lang w:val="en-AU"/>
              </w:rPr>
            </w:pPr>
            <w:r w:rsidRPr="0031419F">
              <w:rPr>
                <w:lang w:val="en-AU"/>
              </w:rPr>
              <w:t>For the SoC arm: ESID-APDS registry-based (in the base case) age-specific rates of APDS mortality, with associated KM-curve fitting and extrapolation; and</w:t>
            </w:r>
          </w:p>
          <w:p w14:paraId="5E56F718" w14:textId="3CF0C6C3" w:rsidR="00205F2D" w:rsidRPr="0031419F" w:rsidRDefault="00205F2D" w:rsidP="0022639C">
            <w:pPr>
              <w:pStyle w:val="TableText0"/>
              <w:numPr>
                <w:ilvl w:val="0"/>
                <w:numId w:val="17"/>
              </w:numPr>
              <w:ind w:left="274" w:hanging="274"/>
              <w:rPr>
                <w:lang w:val="en-AU"/>
              </w:rPr>
            </w:pPr>
            <w:r w:rsidRPr="0031419F">
              <w:rPr>
                <w:lang w:val="en-AU"/>
              </w:rPr>
              <w:t xml:space="preserve">For the </w:t>
            </w:r>
            <w:r w:rsidR="004233DF" w:rsidRPr="0031419F">
              <w:rPr>
                <w:lang w:val="en-AU"/>
              </w:rPr>
              <w:t xml:space="preserve">leniolisib </w:t>
            </w:r>
            <w:r w:rsidRPr="0031419F">
              <w:rPr>
                <w:lang w:val="en-AU"/>
              </w:rPr>
              <w:t>arm: application of relative risks (RRs) to the general population mortality risk; RRs derived from observed mortality rates in Study 2201 and the EAP, compared with age-matched general population risks.</w:t>
            </w:r>
          </w:p>
          <w:p w14:paraId="6FD307FD" w14:textId="77777777" w:rsidR="00C921FE" w:rsidRPr="0031419F" w:rsidRDefault="00C921FE" w:rsidP="000B4467">
            <w:pPr>
              <w:pStyle w:val="TableText0"/>
              <w:rPr>
                <w:lang w:val="en-AU"/>
              </w:rPr>
            </w:pPr>
          </w:p>
          <w:p w14:paraId="47B013A8" w14:textId="1D8EFF97" w:rsidR="00205F2D" w:rsidRPr="0031419F" w:rsidRDefault="00205F2D" w:rsidP="000B4467">
            <w:pPr>
              <w:pStyle w:val="TableText0"/>
              <w:rPr>
                <w:lang w:val="en-AU"/>
              </w:rPr>
            </w:pPr>
            <w:r w:rsidRPr="0031419F">
              <w:rPr>
                <w:lang w:val="en-AU"/>
              </w:rPr>
              <w:t xml:space="preserve">Manifestation rates are </w:t>
            </w:r>
            <w:r w:rsidR="00F71E2A" w:rsidRPr="0031419F">
              <w:rPr>
                <w:lang w:val="en-AU"/>
              </w:rPr>
              <w:t>calculated</w:t>
            </w:r>
            <w:r w:rsidR="00C921FE" w:rsidRPr="0031419F">
              <w:rPr>
                <w:lang w:val="en-AU"/>
              </w:rPr>
              <w:t xml:space="preserve"> using</w:t>
            </w:r>
            <w:r w:rsidRPr="0031419F">
              <w:rPr>
                <w:lang w:val="en-AU"/>
              </w:rPr>
              <w:t>:</w:t>
            </w:r>
          </w:p>
          <w:p w14:paraId="48EEF7E9" w14:textId="77777777" w:rsidR="00205F2D" w:rsidRPr="0031419F" w:rsidRDefault="00205F2D" w:rsidP="0022639C">
            <w:pPr>
              <w:pStyle w:val="TableText0"/>
              <w:numPr>
                <w:ilvl w:val="0"/>
                <w:numId w:val="17"/>
              </w:numPr>
              <w:ind w:left="274" w:hanging="274"/>
              <w:rPr>
                <w:lang w:val="en-AU"/>
              </w:rPr>
            </w:pPr>
            <w:r w:rsidRPr="0031419F">
              <w:rPr>
                <w:lang w:val="en-AU"/>
              </w:rPr>
              <w:t>For the SoC arm: ESID-APDS registry-based age-specific rates of APDS manifestations (base case), as well as subsequent extrapolation; and</w:t>
            </w:r>
          </w:p>
          <w:p w14:paraId="0C476151" w14:textId="4EA50C46" w:rsidR="00205F2D" w:rsidRPr="00A45EF5" w:rsidRDefault="00205F2D" w:rsidP="000B4467">
            <w:pPr>
              <w:pStyle w:val="TableText0"/>
              <w:numPr>
                <w:ilvl w:val="0"/>
                <w:numId w:val="17"/>
              </w:numPr>
              <w:ind w:left="274" w:hanging="274"/>
              <w:rPr>
                <w:lang w:val="en-AU"/>
              </w:rPr>
            </w:pPr>
            <w:r w:rsidRPr="0031419F">
              <w:rPr>
                <w:lang w:val="en-AU"/>
              </w:rPr>
              <w:t xml:space="preserve">For the </w:t>
            </w:r>
            <w:r w:rsidR="004233DF" w:rsidRPr="0031419F">
              <w:rPr>
                <w:lang w:val="en-AU"/>
              </w:rPr>
              <w:t>leniolisib</w:t>
            </w:r>
            <w:r w:rsidRPr="0031419F">
              <w:rPr>
                <w:lang w:val="en-AU"/>
              </w:rPr>
              <w:t xml:space="preserve"> arm: results of Study 2201 Parts I and II, Study 2201E and the leniolisib EAP, </w:t>
            </w:r>
            <w:r w:rsidR="00C01751" w:rsidRPr="0031419F">
              <w:rPr>
                <w:lang w:val="en-AU"/>
              </w:rPr>
              <w:t>used to generate</w:t>
            </w:r>
            <w:r w:rsidRPr="0031419F">
              <w:rPr>
                <w:lang w:val="en-AU"/>
              </w:rPr>
              <w:t xml:space="preserve"> hazard ratios </w:t>
            </w:r>
            <w:r w:rsidR="00C01751" w:rsidRPr="0031419F">
              <w:rPr>
                <w:lang w:val="en-AU"/>
              </w:rPr>
              <w:t xml:space="preserve">which are applied </w:t>
            </w:r>
            <w:r w:rsidRPr="0031419F">
              <w:rPr>
                <w:lang w:val="en-AU"/>
              </w:rPr>
              <w:t>to SoC manifestation rates.</w:t>
            </w:r>
          </w:p>
        </w:tc>
        <w:tc>
          <w:tcPr>
            <w:tcW w:w="2109" w:type="pct"/>
          </w:tcPr>
          <w:p w14:paraId="4386DE2F" w14:textId="2B9B15C6" w:rsidR="003B60B7" w:rsidRPr="008B433C" w:rsidRDefault="003B60B7" w:rsidP="00D0391A">
            <w:pPr>
              <w:pStyle w:val="TableText0"/>
              <w:rPr>
                <w:lang w:val="en-AU"/>
              </w:rPr>
            </w:pPr>
            <w:r w:rsidRPr="008B433C">
              <w:rPr>
                <w:lang w:val="en-AU"/>
              </w:rPr>
              <w:t>The Sub-Committees considered treatment continuation was difficult to extrapolate given the limited data available</w:t>
            </w:r>
            <w:r w:rsidR="00EA3FC5" w:rsidRPr="008B433C">
              <w:rPr>
                <w:lang w:val="en-AU"/>
              </w:rPr>
              <w:t xml:space="preserve"> but using a fixed </w:t>
            </w:r>
            <w:r w:rsidR="00915321" w:rsidRPr="008B433C">
              <w:rPr>
                <w:lang w:val="en-AU"/>
              </w:rPr>
              <w:t>discontinuation rate may not be reasonable.</w:t>
            </w:r>
          </w:p>
          <w:p w14:paraId="66239099" w14:textId="77777777" w:rsidR="003B60B7" w:rsidRDefault="003B60B7" w:rsidP="00D0391A">
            <w:pPr>
              <w:pStyle w:val="TableText0"/>
              <w:rPr>
                <w:i/>
                <w:iCs/>
                <w:lang w:val="en-AU"/>
              </w:rPr>
            </w:pPr>
          </w:p>
          <w:p w14:paraId="296D1421" w14:textId="48F47B1B" w:rsidR="00205F2D" w:rsidRPr="0031419F" w:rsidRDefault="00205F2D" w:rsidP="00D0391A">
            <w:pPr>
              <w:pStyle w:val="TableText0"/>
              <w:rPr>
                <w:lang w:val="en-AU"/>
              </w:rPr>
            </w:pPr>
            <w:r w:rsidRPr="0031419F">
              <w:rPr>
                <w:lang w:val="en-AU"/>
              </w:rPr>
              <w:t>The manifestation rates for leniolisib appear to be optimistic. For example, the hazard ratio for each of lymphoproliferation, gastrointestinal manifestations and cytopenia for leniolisib versus SoC was assumed to be 0</w:t>
            </w:r>
            <w:r w:rsidR="00431ECE" w:rsidRPr="0031419F">
              <w:rPr>
                <w:lang w:val="en-AU"/>
              </w:rPr>
              <w:t xml:space="preserve"> which w</w:t>
            </w:r>
            <w:r w:rsidR="00574813" w:rsidRPr="0031419F">
              <w:rPr>
                <w:lang w:val="en-AU"/>
              </w:rPr>
              <w:t>ere</w:t>
            </w:r>
            <w:r w:rsidR="00431ECE" w:rsidRPr="0031419F">
              <w:rPr>
                <w:lang w:val="en-AU"/>
              </w:rPr>
              <w:t xml:space="preserve"> not based on direct</w:t>
            </w:r>
            <w:r w:rsidR="00574813" w:rsidRPr="0031419F">
              <w:rPr>
                <w:lang w:val="en-AU"/>
              </w:rPr>
              <w:t xml:space="preserve"> comparative</w:t>
            </w:r>
            <w:r w:rsidR="00431ECE" w:rsidRPr="0031419F">
              <w:rPr>
                <w:lang w:val="en-AU"/>
              </w:rPr>
              <w:t xml:space="preserve"> clinical evidence</w:t>
            </w:r>
            <w:r w:rsidRPr="0031419F">
              <w:rPr>
                <w:lang w:val="en-AU"/>
              </w:rPr>
              <w:t xml:space="preserve">. </w:t>
            </w:r>
          </w:p>
          <w:p w14:paraId="58A9F633" w14:textId="77777777" w:rsidR="00205F2D" w:rsidRPr="0031419F" w:rsidRDefault="00205F2D" w:rsidP="00D0391A">
            <w:pPr>
              <w:pStyle w:val="TableText0"/>
              <w:rPr>
                <w:lang w:val="en-AU"/>
              </w:rPr>
            </w:pPr>
          </w:p>
          <w:p w14:paraId="222507B9" w14:textId="4307D171" w:rsidR="00205F2D" w:rsidRPr="0031419F" w:rsidRDefault="00205F2D" w:rsidP="00D0391A">
            <w:pPr>
              <w:pStyle w:val="TableText0"/>
              <w:rPr>
                <w:lang w:val="en-AU"/>
              </w:rPr>
            </w:pPr>
            <w:r w:rsidRPr="0031419F">
              <w:rPr>
                <w:lang w:val="en-AU"/>
              </w:rPr>
              <w:t xml:space="preserve">Mortality was not linked to manifestations, which may not be reasonable given the seriousness of many of the manifestations seen in patients with APDS. </w:t>
            </w:r>
          </w:p>
          <w:p w14:paraId="5929CE94" w14:textId="33DE7A08" w:rsidR="00205F2D" w:rsidRDefault="00205F2D" w:rsidP="00D0391A">
            <w:pPr>
              <w:pStyle w:val="TableText0"/>
              <w:rPr>
                <w:lang w:val="en-AU"/>
              </w:rPr>
            </w:pPr>
            <w:r w:rsidRPr="0031419F">
              <w:rPr>
                <w:lang w:val="en-AU"/>
              </w:rPr>
              <w:t>No ESID-APDS Kaplan-Meier (KM) mortality data was used in the model and all the extrapolations were overestimated compared to the observed KM period.</w:t>
            </w:r>
          </w:p>
          <w:p w14:paraId="71DA7971" w14:textId="77777777" w:rsidR="00A45EF5" w:rsidRPr="008B433C" w:rsidRDefault="00A45EF5" w:rsidP="00D0391A">
            <w:pPr>
              <w:pStyle w:val="TableText0"/>
              <w:rPr>
                <w:lang w:val="en-AU"/>
              </w:rPr>
            </w:pPr>
          </w:p>
          <w:p w14:paraId="33E6EA45" w14:textId="332F116D" w:rsidR="00205F2D" w:rsidRPr="0031419F" w:rsidRDefault="00A45EF5" w:rsidP="00D0391A">
            <w:pPr>
              <w:pStyle w:val="TableText0"/>
              <w:rPr>
                <w:lang w:val="en-AU"/>
              </w:rPr>
            </w:pPr>
            <w:r w:rsidRPr="008B433C">
              <w:rPr>
                <w:lang w:val="en-AU"/>
              </w:rPr>
              <w:t>The Sub-Committees considered the use of different sources of mortality data for the treatment arms was problematic and introduced substantial uncertainty.</w:t>
            </w:r>
          </w:p>
        </w:tc>
      </w:tr>
      <w:tr w:rsidR="00205F2D" w:rsidRPr="0031419F" w14:paraId="30D1D426" w14:textId="77777777" w:rsidTr="000B4467">
        <w:tc>
          <w:tcPr>
            <w:tcW w:w="784" w:type="pct"/>
            <w:vAlign w:val="center"/>
          </w:tcPr>
          <w:p w14:paraId="338CAE4F" w14:textId="77777777" w:rsidR="00205F2D" w:rsidRPr="00F1222B" w:rsidRDefault="00205F2D" w:rsidP="000B4467">
            <w:pPr>
              <w:pStyle w:val="TableText0"/>
              <w:rPr>
                <w:lang w:val="en-AU"/>
              </w:rPr>
            </w:pPr>
            <w:r w:rsidRPr="00F1222B">
              <w:rPr>
                <w:lang w:val="en-AU"/>
              </w:rPr>
              <w:t>Discounting</w:t>
            </w:r>
          </w:p>
        </w:tc>
        <w:tc>
          <w:tcPr>
            <w:tcW w:w="2107" w:type="pct"/>
            <w:vAlign w:val="center"/>
          </w:tcPr>
          <w:p w14:paraId="3707E32B" w14:textId="77777777" w:rsidR="00205F2D" w:rsidRPr="00F1222B" w:rsidRDefault="00205F2D" w:rsidP="000B4467">
            <w:pPr>
              <w:pStyle w:val="TableText0"/>
              <w:rPr>
                <w:lang w:val="en-AU"/>
              </w:rPr>
            </w:pPr>
            <w:r w:rsidRPr="00F1222B">
              <w:rPr>
                <w:lang w:val="en-AU"/>
              </w:rPr>
              <w:t>5% per annum</w:t>
            </w:r>
          </w:p>
        </w:tc>
        <w:tc>
          <w:tcPr>
            <w:tcW w:w="2109" w:type="pct"/>
            <w:vAlign w:val="center"/>
          </w:tcPr>
          <w:p w14:paraId="44A2B3A0" w14:textId="0DC1496E" w:rsidR="00205F2D" w:rsidRPr="0031419F" w:rsidRDefault="00A45EF5" w:rsidP="000B4467">
            <w:pPr>
              <w:pStyle w:val="TableText0"/>
              <w:rPr>
                <w:lang w:val="en-AU"/>
              </w:rPr>
            </w:pPr>
            <w:r w:rsidRPr="008B433C">
              <w:rPr>
                <w:lang w:val="en-AU"/>
              </w:rPr>
              <w:t>The Commentary identified errors in the application of discounting but noted</w:t>
            </w:r>
            <w:r w:rsidR="00421946" w:rsidRPr="008B433C">
              <w:rPr>
                <w:lang w:val="en-AU"/>
              </w:rPr>
              <w:t xml:space="preserve"> the</w:t>
            </w:r>
            <w:r w:rsidR="00421946" w:rsidRPr="0031419F">
              <w:rPr>
                <w:lang w:val="en-AU"/>
              </w:rPr>
              <w:t xml:space="preserve"> incremental results </w:t>
            </w:r>
            <w:r w:rsidR="001631A9" w:rsidRPr="0031419F">
              <w:rPr>
                <w:lang w:val="en-AU"/>
              </w:rPr>
              <w:t>remain</w:t>
            </w:r>
            <w:r w:rsidR="00421946" w:rsidRPr="0031419F">
              <w:rPr>
                <w:lang w:val="en-AU"/>
              </w:rPr>
              <w:t xml:space="preserve"> the same and therefore this </w:t>
            </w:r>
            <w:r w:rsidR="002A5CDD" w:rsidRPr="0031419F">
              <w:rPr>
                <w:lang w:val="en-AU"/>
              </w:rPr>
              <w:t>did not change the ICER.</w:t>
            </w:r>
          </w:p>
        </w:tc>
      </w:tr>
      <w:tr w:rsidR="00205F2D" w:rsidRPr="0031419F" w14:paraId="11FAA484" w14:textId="77777777" w:rsidTr="000B4467">
        <w:tc>
          <w:tcPr>
            <w:tcW w:w="784" w:type="pct"/>
            <w:vAlign w:val="center"/>
          </w:tcPr>
          <w:p w14:paraId="7CC4732B" w14:textId="77777777" w:rsidR="00205F2D" w:rsidRPr="0031419F" w:rsidRDefault="00205F2D" w:rsidP="000B4467">
            <w:pPr>
              <w:pStyle w:val="TableText0"/>
              <w:rPr>
                <w:lang w:val="en-AU"/>
              </w:rPr>
            </w:pPr>
            <w:r w:rsidRPr="0031419F">
              <w:rPr>
                <w:lang w:val="en-AU"/>
              </w:rPr>
              <w:t>Perspective</w:t>
            </w:r>
          </w:p>
        </w:tc>
        <w:tc>
          <w:tcPr>
            <w:tcW w:w="2107" w:type="pct"/>
            <w:vAlign w:val="center"/>
          </w:tcPr>
          <w:p w14:paraId="17832FC3" w14:textId="77777777" w:rsidR="00205F2D" w:rsidRPr="0031419F" w:rsidRDefault="00205F2D" w:rsidP="000B4467">
            <w:pPr>
              <w:pStyle w:val="TableText0"/>
              <w:rPr>
                <w:lang w:val="en-AU"/>
              </w:rPr>
            </w:pPr>
            <w:r w:rsidRPr="0031419F">
              <w:rPr>
                <w:lang w:val="en-AU"/>
              </w:rPr>
              <w:t>Healthcare system perspective</w:t>
            </w:r>
          </w:p>
        </w:tc>
        <w:tc>
          <w:tcPr>
            <w:tcW w:w="2109" w:type="pct"/>
            <w:vAlign w:val="center"/>
          </w:tcPr>
          <w:p w14:paraId="1ECBF820" w14:textId="77777777" w:rsidR="00205F2D" w:rsidRPr="0031419F" w:rsidRDefault="00205F2D" w:rsidP="000B4467">
            <w:pPr>
              <w:pStyle w:val="TableText0"/>
              <w:rPr>
                <w:lang w:val="en-AU"/>
              </w:rPr>
            </w:pPr>
            <w:r w:rsidRPr="0031419F">
              <w:rPr>
                <w:lang w:val="en-AU"/>
              </w:rPr>
              <w:t>Appropriate</w:t>
            </w:r>
          </w:p>
        </w:tc>
      </w:tr>
      <w:tr w:rsidR="00205F2D" w:rsidRPr="0031419F" w14:paraId="236BB7FA" w14:textId="77777777" w:rsidTr="000B4467">
        <w:tc>
          <w:tcPr>
            <w:tcW w:w="784" w:type="pct"/>
            <w:vAlign w:val="center"/>
          </w:tcPr>
          <w:p w14:paraId="57861AF7" w14:textId="77777777" w:rsidR="00205F2D" w:rsidRPr="0031419F" w:rsidRDefault="00205F2D" w:rsidP="000B4467">
            <w:pPr>
              <w:pStyle w:val="TableText0"/>
              <w:rPr>
                <w:lang w:val="en-AU"/>
              </w:rPr>
            </w:pPr>
            <w:r w:rsidRPr="0031419F">
              <w:rPr>
                <w:lang w:val="en-AU"/>
              </w:rPr>
              <w:t>Software package</w:t>
            </w:r>
          </w:p>
        </w:tc>
        <w:tc>
          <w:tcPr>
            <w:tcW w:w="2107" w:type="pct"/>
            <w:vAlign w:val="center"/>
          </w:tcPr>
          <w:p w14:paraId="4EC56CB7" w14:textId="77777777" w:rsidR="00205F2D" w:rsidRPr="0031419F" w:rsidRDefault="00205F2D" w:rsidP="000B4467">
            <w:pPr>
              <w:pStyle w:val="TableText0"/>
              <w:rPr>
                <w:lang w:val="en-AU"/>
              </w:rPr>
            </w:pPr>
            <w:r w:rsidRPr="0031419F">
              <w:rPr>
                <w:lang w:val="en-AU"/>
              </w:rPr>
              <w:t>Excel</w:t>
            </w:r>
          </w:p>
        </w:tc>
        <w:tc>
          <w:tcPr>
            <w:tcW w:w="2109" w:type="pct"/>
            <w:vAlign w:val="center"/>
          </w:tcPr>
          <w:p w14:paraId="06E89368" w14:textId="77777777" w:rsidR="00205F2D" w:rsidRPr="0031419F" w:rsidRDefault="00205F2D" w:rsidP="000B4467">
            <w:pPr>
              <w:pStyle w:val="TableText0"/>
              <w:rPr>
                <w:lang w:val="en-AU"/>
              </w:rPr>
            </w:pPr>
            <w:r w:rsidRPr="0031419F">
              <w:rPr>
                <w:lang w:val="en-AU"/>
              </w:rPr>
              <w:t>Appropriate</w:t>
            </w:r>
          </w:p>
        </w:tc>
      </w:tr>
    </w:tbl>
    <w:p w14:paraId="38463810" w14:textId="77777777" w:rsidR="00205F2D" w:rsidRPr="0031419F" w:rsidRDefault="00205F2D" w:rsidP="00205F2D">
      <w:pPr>
        <w:pStyle w:val="TableFigureFooter"/>
        <w:rPr>
          <w:lang w:val="en-AU"/>
        </w:rPr>
      </w:pPr>
      <w:r w:rsidRPr="0031419F">
        <w:rPr>
          <w:lang w:val="en-AU"/>
        </w:rPr>
        <w:t>APDS = activated PI3Kδ syndrome; CUA = cost-utility analysis; EAG = external assessment group; EAP = early access program; ESID = European Society for Immunodeficiencies; IBD = Inflammatory bowel disease; IRT = immunoglobulin replacement therapy; KM = Kaplan Meier; NICE = National Institute for Health and Care Excellence; QALY = quality adjusted life year; RR = relative risk; SoC = standard of care</w:t>
      </w:r>
    </w:p>
    <w:p w14:paraId="4A4E8FE1" w14:textId="1933A40B" w:rsidR="00B227ED" w:rsidRPr="0031419F" w:rsidRDefault="00205F2D" w:rsidP="00B227ED">
      <w:pPr>
        <w:pStyle w:val="TableFigureFooter"/>
        <w:rPr>
          <w:lang w:val="en-AU"/>
        </w:rPr>
      </w:pPr>
      <w:r w:rsidRPr="0031419F">
        <w:rPr>
          <w:vertAlign w:val="superscript"/>
          <w:lang w:val="en-AU"/>
        </w:rPr>
        <w:t>a</w:t>
      </w:r>
      <w:r w:rsidRPr="0031419F">
        <w:rPr>
          <w:lang w:val="en-AU"/>
        </w:rPr>
        <w:t xml:space="preserve"> NICE. Final draft guidance – leniolisib for activated phosphoinositide 3-kinase delta syndrome in people 12 years and over [ID6130]. Issue date March 2025.</w:t>
      </w:r>
    </w:p>
    <w:p w14:paraId="7ECC12A2" w14:textId="77777777" w:rsidR="00205F2D" w:rsidRPr="0031419F" w:rsidRDefault="00205F2D" w:rsidP="00205F2D">
      <w:pPr>
        <w:pStyle w:val="TableFigureFooter"/>
        <w:rPr>
          <w:lang w:val="en-AU"/>
        </w:rPr>
      </w:pPr>
      <w:r w:rsidRPr="0031419F">
        <w:rPr>
          <w:lang w:val="en-AU"/>
        </w:rPr>
        <w:t>Source: Table 3.1, pp159-160 of the submission.</w:t>
      </w:r>
    </w:p>
    <w:p w14:paraId="0C916CD8" w14:textId="001E5A9F" w:rsidR="00023CF5" w:rsidRPr="0031419F" w:rsidRDefault="00023CF5" w:rsidP="004F6C25">
      <w:pPr>
        <w:pStyle w:val="3-BodyText"/>
        <w:spacing w:before="0" w:after="120"/>
      </w:pPr>
      <w:r w:rsidRPr="0031419F">
        <w:t xml:space="preserve">Patients </w:t>
      </w:r>
      <w:r w:rsidR="00F55D06" w:rsidRPr="0031419F">
        <w:t xml:space="preserve">in the leniolisib arm </w:t>
      </w:r>
      <w:r w:rsidRPr="0031419F">
        <w:t xml:space="preserve">enter the model on-treatment </w:t>
      </w:r>
      <w:r w:rsidR="00F55D06" w:rsidRPr="0031419F">
        <w:t xml:space="preserve">(‘alive on leniolisib’ health state) </w:t>
      </w:r>
      <w:r w:rsidRPr="0031419F">
        <w:t>and could either discontinue treatment (</w:t>
      </w:r>
      <w:r w:rsidR="00F55D06" w:rsidRPr="0031419F">
        <w:t>‘</w:t>
      </w:r>
      <w:r w:rsidRPr="0031419F">
        <w:t>alive and off</w:t>
      </w:r>
      <w:r w:rsidR="00F55D06" w:rsidRPr="0031419F">
        <w:t xml:space="preserve"> leniolisib’ health state</w:t>
      </w:r>
      <w:r w:rsidRPr="0031419F">
        <w:t>) or die (</w:t>
      </w:r>
      <w:r w:rsidR="00F55D06" w:rsidRPr="0031419F">
        <w:t xml:space="preserve">‘death’ as an </w:t>
      </w:r>
      <w:r w:rsidRPr="0031419F">
        <w:t xml:space="preserve">absorbing state). Within the ‘alive on leniolisib’ and ‘alive off leniolisib’ health states there were 20 tunnel states that modelled different manifestation incidences and survival rates post-discontinuation (i.e. patients assumed to have manifestations are assumed to never improve and will remain in the specific manifestation state </w:t>
      </w:r>
      <w:r w:rsidR="00E100B8">
        <w:t>un</w:t>
      </w:r>
      <w:r w:rsidRPr="0031419F">
        <w:t>til death due to the application of a cumulative probability of manifestation rather than a transition probability)</w:t>
      </w:r>
      <w:r w:rsidR="00867346" w:rsidRPr="0031419F">
        <w:t xml:space="preserve">. </w:t>
      </w:r>
      <w:r w:rsidR="0029505A" w:rsidRPr="008B433C">
        <w:t xml:space="preserve">The Sub-Committees </w:t>
      </w:r>
      <w:r w:rsidR="009B5558" w:rsidRPr="008B433C">
        <w:t xml:space="preserve">noted that the submission </w:t>
      </w:r>
      <w:r w:rsidR="0029505A" w:rsidRPr="008B433C">
        <w:t xml:space="preserve">argued that this unusual structure was justified on the basis that </w:t>
      </w:r>
      <w:r w:rsidR="00806C20" w:rsidRPr="008B433C">
        <w:t xml:space="preserve">a Markov cohort approach would need to capture the numerous potential combinations of manifestations, </w:t>
      </w:r>
      <w:r w:rsidR="001B525E" w:rsidRPr="008B433C">
        <w:t>which would be complex to implement and would rely on transition probabilities from a limited population base</w:t>
      </w:r>
      <w:r w:rsidR="009B5558" w:rsidRPr="008B433C">
        <w:t xml:space="preserve">. The Sub-Committees noted </w:t>
      </w:r>
      <w:r w:rsidR="0063159D" w:rsidRPr="008B433C">
        <w:t xml:space="preserve">these arguments but also considered that </w:t>
      </w:r>
      <w:r w:rsidR="002D307E" w:rsidRPr="008B433C">
        <w:t xml:space="preserve">several </w:t>
      </w:r>
      <w:r w:rsidR="0063159D" w:rsidRPr="008B433C">
        <w:t xml:space="preserve">assumptions </w:t>
      </w:r>
      <w:r w:rsidR="002D307E" w:rsidRPr="008B433C">
        <w:t xml:space="preserve">adopted in this approach (e.g. assumptions </w:t>
      </w:r>
      <w:r w:rsidR="0063159D" w:rsidRPr="008B433C">
        <w:t>underpinning transitions</w:t>
      </w:r>
      <w:r w:rsidR="002D307E" w:rsidRPr="008B433C">
        <w:t>)</w:t>
      </w:r>
      <w:r w:rsidR="0063159D" w:rsidRPr="008B433C">
        <w:t xml:space="preserve"> </w:t>
      </w:r>
      <w:r w:rsidR="00B179BD" w:rsidRPr="008B433C">
        <w:t>appeared optimistic. The Sub-Committe</w:t>
      </w:r>
      <w:r w:rsidR="00D00A79" w:rsidRPr="008B433C">
        <w:t>e</w:t>
      </w:r>
      <w:r w:rsidR="00B179BD" w:rsidRPr="008B433C">
        <w:t xml:space="preserve">s considered that the assumption that </w:t>
      </w:r>
      <w:r w:rsidR="00AD6C55" w:rsidRPr="008B433C">
        <w:t>manifestations never improved was reasonable for some (e.g. hearing loss) but was not</w:t>
      </w:r>
      <w:r w:rsidR="009B5558" w:rsidRPr="008B433C">
        <w:t xml:space="preserve"> reasonable </w:t>
      </w:r>
      <w:r w:rsidR="00AD6C55" w:rsidRPr="008B433C">
        <w:t xml:space="preserve">for others </w:t>
      </w:r>
      <w:r w:rsidR="009B5558" w:rsidRPr="008B433C">
        <w:t>(e.g</w:t>
      </w:r>
      <w:r w:rsidR="00E100B8">
        <w:t>.</w:t>
      </w:r>
      <w:r w:rsidR="009B5558" w:rsidRPr="008B433C">
        <w:t xml:space="preserve"> infections).</w:t>
      </w:r>
    </w:p>
    <w:p w14:paraId="7F6A8386" w14:textId="4101E0A6" w:rsidR="00023CF5" w:rsidRPr="0031419F" w:rsidRDefault="00023CF5" w:rsidP="00C01751">
      <w:pPr>
        <w:pStyle w:val="3-BodyText"/>
        <w:spacing w:before="0" w:after="120"/>
      </w:pPr>
      <w:bookmarkStart w:id="41" w:name="_Ref196177280"/>
      <w:r w:rsidRPr="0031419F">
        <w:t xml:space="preserve">The benefits of leniolisib were modelled by the resolution or reduced incidence and severity of manifestations and </w:t>
      </w:r>
      <w:r w:rsidR="00495373">
        <w:t xml:space="preserve">SoC </w:t>
      </w:r>
      <w:r w:rsidRPr="0031419F">
        <w:t xml:space="preserve">treatment use. However, patients who were initiated on leniolisib but discontinued are assumed to have the manifestation rate of a patient treated with SoC aged 15 years at the first cycle after discontinuation irrespective of the patient’s age when they discontinued treatment, and then accumulating higher manifestation risks progressively (i.e. two years after discontinuation, they will have the manifestation rate of a patient treated with SoC aged 16 years). </w:t>
      </w:r>
      <w:r w:rsidR="00133C14" w:rsidRPr="008B433C">
        <w:t xml:space="preserve">The Sub-Committees noted that this aspect of the model structure </w:t>
      </w:r>
      <w:r w:rsidR="002F2647" w:rsidRPr="008B433C">
        <w:t>was not well-justified and the assumption</w:t>
      </w:r>
      <w:r w:rsidR="00F305B9" w:rsidRPr="008B433C">
        <w:t xml:space="preserve"> that the risk of manifestations reverting to </w:t>
      </w:r>
      <w:r w:rsidR="00763D32" w:rsidRPr="008B433C">
        <w:t xml:space="preserve">the starting age </w:t>
      </w:r>
      <w:r w:rsidR="002F2647" w:rsidRPr="008B433C">
        <w:t>highly favoured leniolisib.</w:t>
      </w:r>
      <w:r w:rsidR="002F2647">
        <w:t xml:space="preserve"> </w:t>
      </w:r>
      <w:bookmarkEnd w:id="41"/>
    </w:p>
    <w:p w14:paraId="2BE42808" w14:textId="0C776E9C" w:rsidR="00D96923" w:rsidRPr="0031419F" w:rsidRDefault="00D96923" w:rsidP="00C01751">
      <w:pPr>
        <w:pStyle w:val="3-BodyText"/>
        <w:spacing w:before="0" w:after="120"/>
      </w:pPr>
      <w:r w:rsidRPr="0031419F">
        <w:t>The time horizon in the model base case is 85 years, corresponding to patients being 100 years old at the end of the model based on a starting age of 15 years. However, the pivotal RCT (Study 2201 Part II) provided only 12 weeks of comparative evidence between leniolisib and SoC. Consequently, the available comparative data do not inform even a full (annual) cycle of the model and the extrapolation of th</w:t>
      </w:r>
      <w:r w:rsidR="00792944">
        <w:t>ese</w:t>
      </w:r>
      <w:r w:rsidRPr="0031419F">
        <w:t xml:space="preserve"> data to 85 years was highly uncertain. </w:t>
      </w:r>
      <w:r w:rsidR="004707F6" w:rsidRPr="008B433C">
        <w:t xml:space="preserve">The Sub-Committees considered the time horizon used was optimistic, </w:t>
      </w:r>
      <w:r w:rsidR="003F4DCC" w:rsidRPr="008B433C">
        <w:t>particularly given</w:t>
      </w:r>
      <w:r w:rsidR="00CC57B4" w:rsidRPr="008B433C">
        <w:t xml:space="preserve"> </w:t>
      </w:r>
      <w:r w:rsidR="004707F6" w:rsidRPr="008B433C">
        <w:t xml:space="preserve">the </w:t>
      </w:r>
      <w:r w:rsidR="007F1151" w:rsidRPr="008B433C">
        <w:t xml:space="preserve">limited </w:t>
      </w:r>
      <w:r w:rsidR="006C0AAA" w:rsidRPr="008B433C">
        <w:t>duration of comparative data from the trial</w:t>
      </w:r>
      <w:r w:rsidR="007F1151" w:rsidRPr="008B433C">
        <w:t xml:space="preserve"> and the </w:t>
      </w:r>
      <w:r w:rsidR="006C0AAA" w:rsidRPr="008B433C">
        <w:t xml:space="preserve">reduced </w:t>
      </w:r>
      <w:r w:rsidR="004707F6" w:rsidRPr="008B433C">
        <w:t>life-e</w:t>
      </w:r>
      <w:r w:rsidR="007F1151" w:rsidRPr="008B433C">
        <w:t>xpec</w:t>
      </w:r>
      <w:r w:rsidR="009A1F9A" w:rsidRPr="008B433C">
        <w:t>t</w:t>
      </w:r>
      <w:r w:rsidR="007F1151" w:rsidRPr="008B433C">
        <w:t>ancy of patients with APDS</w:t>
      </w:r>
      <w:r w:rsidR="009A1F9A" w:rsidRPr="008B433C">
        <w:t xml:space="preserve">. </w:t>
      </w:r>
      <w:r w:rsidR="004707F6" w:rsidRPr="008B433C">
        <w:t xml:space="preserve">Although the PSCR referred to “life-expectancy impacts” for leniolisib, </w:t>
      </w:r>
      <w:r w:rsidR="009A1F9A" w:rsidRPr="008B433C">
        <w:t xml:space="preserve">the Sub-Committees noted that no impact on mortality was captured in the clinical trials and the </w:t>
      </w:r>
      <w:r w:rsidR="006617BD" w:rsidRPr="008B433C">
        <w:t>trial captured</w:t>
      </w:r>
      <w:r w:rsidR="009A1F9A" w:rsidRPr="008B433C">
        <w:t xml:space="preserve"> surrogate outcomes</w:t>
      </w:r>
      <w:r w:rsidR="006A644D" w:rsidRPr="008B433C">
        <w:t xml:space="preserve"> </w:t>
      </w:r>
      <w:r w:rsidR="00030A20" w:rsidRPr="008B433C">
        <w:t xml:space="preserve">only </w:t>
      </w:r>
      <w:r w:rsidR="006A644D" w:rsidRPr="008B433C">
        <w:t xml:space="preserve">without any established </w:t>
      </w:r>
      <w:r w:rsidR="00FC5326" w:rsidRPr="008B433C">
        <w:t>correlation with mortality</w:t>
      </w:r>
      <w:r w:rsidR="009A1F9A" w:rsidRPr="008B433C">
        <w:t xml:space="preserve">. </w:t>
      </w:r>
      <w:r w:rsidR="00B120FF" w:rsidRPr="008B433C">
        <w:t xml:space="preserve">Therefore, the Sub-Committees considered a shorter time horizon would be more </w:t>
      </w:r>
      <w:r w:rsidR="003F4DCC" w:rsidRPr="008B433C">
        <w:t>acceptable</w:t>
      </w:r>
      <w:r w:rsidR="00B120FF" w:rsidRPr="008B433C">
        <w:t>.</w:t>
      </w:r>
    </w:p>
    <w:p w14:paraId="5FE90380" w14:textId="3939E86F" w:rsidR="00D96923" w:rsidRPr="0031419F" w:rsidRDefault="00BC6C21" w:rsidP="00C01751">
      <w:pPr>
        <w:pStyle w:val="3-BodyText"/>
        <w:spacing w:before="0" w:after="120"/>
      </w:pPr>
      <w:r w:rsidRPr="0031419F">
        <w:t>Additionally, w</w:t>
      </w:r>
      <w:r w:rsidR="00D96923" w:rsidRPr="0031419F">
        <w:t>hile the proposed leniolisib restriction would allow use in patients aged 12 years and older, the submission claimed that 15 years reflects the average age of the international APDS patient ESID-APDS registry</w:t>
      </w:r>
      <w:r w:rsidR="00116E16">
        <w:t>. H</w:t>
      </w:r>
      <w:r w:rsidR="00D96923" w:rsidRPr="0031419F">
        <w:t>owever</w:t>
      </w:r>
      <w:r w:rsidR="00116E16">
        <w:t>,</w:t>
      </w:r>
      <w:r w:rsidR="00D96923" w:rsidRPr="0031419F">
        <w:t xml:space="preserve"> the Australian APDS Case Series Report, found the current median age of Australian patients to date is 25 years.</w:t>
      </w:r>
      <w:r w:rsidRPr="0031419F">
        <w:t xml:space="preserve"> The starting age had a moderate impact on the</w:t>
      </w:r>
      <w:r w:rsidR="00D86C7F" w:rsidRPr="00D86C7F">
        <w:rPr>
          <w:rFonts w:eastAsia="Times New Roman" w:cs="Arial"/>
          <w:iCs/>
          <w:snapToGrid w:val="0"/>
          <w:szCs w:val="24"/>
        </w:rPr>
        <w:t xml:space="preserve"> </w:t>
      </w:r>
      <w:r w:rsidR="00D86C7F" w:rsidRPr="00D86C7F">
        <w:rPr>
          <w:iCs/>
        </w:rPr>
        <w:t>incremental cost effectiveness ratio</w:t>
      </w:r>
      <w:r w:rsidRPr="0031419F">
        <w:t xml:space="preserve"> </w:t>
      </w:r>
      <w:r w:rsidR="00D86C7F">
        <w:t>(</w:t>
      </w:r>
      <w:r w:rsidRPr="0031419F">
        <w:t>ICER</w:t>
      </w:r>
      <w:r w:rsidR="00D86C7F">
        <w:t>)</w:t>
      </w:r>
      <w:r w:rsidRPr="0031419F">
        <w:t xml:space="preserve">; </w:t>
      </w:r>
      <w:r w:rsidR="003107E9" w:rsidRPr="0031419F">
        <w:t>c</w:t>
      </w:r>
      <w:r w:rsidRPr="0031419F">
        <w:t xml:space="preserve">hanging the start age to 12 years resulted in a </w:t>
      </w:r>
      <w:r w:rsidR="001F60D7" w:rsidRPr="00C740B8">
        <w:rPr>
          <w:color w:val="000000"/>
          <w:w w:val="15"/>
          <w:shd w:val="solid" w:color="000000" w:fill="000000"/>
          <w:fitText w:val="-20" w:id="-629967610"/>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10"/>
          <w14:textFill>
            <w14:solidFill>
              <w14:srgbClr w14:val="000000">
                <w14:alpha w14:val="100000"/>
              </w14:srgbClr>
            </w14:solidFill>
          </w14:textFill>
        </w:rPr>
        <w:t>|</w:t>
      </w:r>
      <w:r w:rsidRPr="0031419F">
        <w:t xml:space="preserve">% increase in the ICER, and changing the starting age to 25 years decreased the ICER By </w:t>
      </w:r>
      <w:r w:rsidR="001F60D7" w:rsidRPr="00C740B8">
        <w:rPr>
          <w:color w:val="000000"/>
          <w:w w:val="15"/>
          <w:shd w:val="solid" w:color="000000" w:fill="000000"/>
          <w:fitText w:val="-20" w:id="-629967609"/>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9"/>
          <w14:textFill>
            <w14:solidFill>
              <w14:srgbClr w14:val="000000">
                <w14:alpha w14:val="100000"/>
              </w14:srgbClr>
            </w14:solidFill>
          </w14:textFill>
        </w:rPr>
        <w:t>|</w:t>
      </w:r>
      <w:r w:rsidRPr="0031419F">
        <w:t>%.</w:t>
      </w:r>
    </w:p>
    <w:p w14:paraId="51843261" w14:textId="3AC072F1" w:rsidR="007F0F85" w:rsidRPr="0031419F" w:rsidRDefault="007F0F85" w:rsidP="00C01751">
      <w:pPr>
        <w:pStyle w:val="3-BodyText"/>
        <w:spacing w:before="0" w:after="120"/>
      </w:pPr>
      <w:r w:rsidRPr="0031419F">
        <w:fldChar w:fldCharType="begin" w:fldLock="1"/>
      </w:r>
      <w:r w:rsidRPr="0031419F">
        <w:instrText xml:space="preserve"> REF _Ref196153891 \h </w:instrText>
      </w:r>
      <w:r w:rsidR="0031419F" w:rsidRPr="0031419F">
        <w:instrText xml:space="preserve"> \* MERGEFORMAT </w:instrText>
      </w:r>
      <w:r w:rsidRPr="0031419F">
        <w:fldChar w:fldCharType="separate"/>
      </w:r>
      <w:r w:rsidR="00C34379" w:rsidRPr="0031419F">
        <w:t xml:space="preserve">Table </w:t>
      </w:r>
      <w:r w:rsidR="00C34379">
        <w:rPr>
          <w:noProof/>
        </w:rPr>
        <w:t>15</w:t>
      </w:r>
      <w:r w:rsidRPr="0031419F">
        <w:fldChar w:fldCharType="end"/>
      </w:r>
      <w:r w:rsidRPr="0031419F">
        <w:t xml:space="preserve"> summarises the key health state events and </w:t>
      </w:r>
      <w:r w:rsidR="0063634D" w:rsidRPr="0031419F">
        <w:t xml:space="preserve">sources of the </w:t>
      </w:r>
      <w:r w:rsidRPr="0031419F">
        <w:t>transition probabilities for both treatment arms.</w:t>
      </w:r>
    </w:p>
    <w:p w14:paraId="337F832F" w14:textId="34A80683" w:rsidR="007F0F85" w:rsidRPr="0031419F" w:rsidRDefault="007F0F85" w:rsidP="000C6015">
      <w:pPr>
        <w:pStyle w:val="Caption"/>
      </w:pPr>
      <w:bookmarkStart w:id="42" w:name="_Ref196153891"/>
      <w:r w:rsidRPr="0031419F">
        <w:t xml:space="preserve">Table </w:t>
      </w:r>
      <w:r w:rsidR="00C34379">
        <w:fldChar w:fldCharType="begin" w:fldLock="1"/>
      </w:r>
      <w:r w:rsidR="00C34379">
        <w:instrText xml:space="preserve"> SEQ Table \* ARABIC </w:instrText>
      </w:r>
      <w:r w:rsidR="00C34379">
        <w:fldChar w:fldCharType="separate"/>
      </w:r>
      <w:r w:rsidR="00C34379">
        <w:rPr>
          <w:noProof/>
        </w:rPr>
        <w:t>15</w:t>
      </w:r>
      <w:r w:rsidR="00C34379">
        <w:rPr>
          <w:noProof/>
        </w:rPr>
        <w:fldChar w:fldCharType="end"/>
      </w:r>
      <w:bookmarkEnd w:id="42"/>
      <w:r w:rsidRPr="0031419F">
        <w:t>: Key health state event rates and transition probabilities</w:t>
      </w:r>
    </w:p>
    <w:tbl>
      <w:tblPr>
        <w:tblStyle w:val="TableGrid"/>
        <w:tblW w:w="0" w:type="auto"/>
        <w:tblCellMar>
          <w:left w:w="28" w:type="dxa"/>
          <w:right w:w="28" w:type="dxa"/>
        </w:tblCellMar>
        <w:tblLook w:val="04A0" w:firstRow="1" w:lastRow="0" w:firstColumn="1" w:lastColumn="0" w:noHBand="0" w:noVBand="1"/>
        <w:tblCaption w:val="Table 15: Key health state event rates and transition probabilities"/>
      </w:tblPr>
      <w:tblGrid>
        <w:gridCol w:w="1784"/>
        <w:gridCol w:w="7114"/>
      </w:tblGrid>
      <w:tr w:rsidR="007F0F85" w:rsidRPr="0031419F" w14:paraId="5015A423" w14:textId="77777777" w:rsidTr="001A24F2">
        <w:trPr>
          <w:tblHeader/>
        </w:trPr>
        <w:tc>
          <w:tcPr>
            <w:tcW w:w="1795" w:type="dxa"/>
            <w:vAlign w:val="center"/>
          </w:tcPr>
          <w:p w14:paraId="3DD8685B" w14:textId="77777777" w:rsidR="007F0F85" w:rsidRPr="0031419F" w:rsidRDefault="007F0F85" w:rsidP="000C6015">
            <w:pPr>
              <w:pStyle w:val="In-tableHeading"/>
              <w:rPr>
                <w:lang w:val="en-AU"/>
              </w:rPr>
            </w:pPr>
            <w:r w:rsidRPr="0031419F">
              <w:rPr>
                <w:lang w:val="en-AU"/>
              </w:rPr>
              <w:t>Event rate/transition probability</w:t>
            </w:r>
          </w:p>
        </w:tc>
        <w:tc>
          <w:tcPr>
            <w:tcW w:w="7215" w:type="dxa"/>
            <w:vAlign w:val="center"/>
          </w:tcPr>
          <w:p w14:paraId="3228536F" w14:textId="77777777" w:rsidR="007F0F85" w:rsidRPr="0031419F" w:rsidRDefault="007F0F85" w:rsidP="000C6015">
            <w:pPr>
              <w:pStyle w:val="In-tableHeading"/>
              <w:rPr>
                <w:lang w:val="en-AU"/>
              </w:rPr>
            </w:pPr>
            <w:r w:rsidRPr="0031419F">
              <w:rPr>
                <w:lang w:val="en-AU"/>
              </w:rPr>
              <w:t>Description</w:t>
            </w:r>
          </w:p>
        </w:tc>
      </w:tr>
      <w:tr w:rsidR="007F0F85" w:rsidRPr="0031419F" w14:paraId="58310B6E" w14:textId="77777777" w:rsidTr="000B4467">
        <w:tc>
          <w:tcPr>
            <w:tcW w:w="9010" w:type="dxa"/>
            <w:gridSpan w:val="2"/>
            <w:vAlign w:val="center"/>
          </w:tcPr>
          <w:p w14:paraId="6946B23F" w14:textId="77777777" w:rsidR="007F0F85" w:rsidRPr="0031419F" w:rsidRDefault="007F0F85" w:rsidP="000C6015">
            <w:pPr>
              <w:pStyle w:val="TableText0"/>
              <w:keepNext/>
              <w:rPr>
                <w:b/>
                <w:bCs w:val="0"/>
                <w:lang w:val="en-AU"/>
              </w:rPr>
            </w:pPr>
            <w:r w:rsidRPr="0031419F">
              <w:rPr>
                <w:b/>
                <w:bCs w:val="0"/>
                <w:lang w:val="en-AU"/>
              </w:rPr>
              <w:t>SoC arm</w:t>
            </w:r>
          </w:p>
        </w:tc>
      </w:tr>
      <w:tr w:rsidR="007F0F85" w:rsidRPr="0031419F" w14:paraId="22F440AC" w14:textId="77777777" w:rsidTr="001A24F2">
        <w:tc>
          <w:tcPr>
            <w:tcW w:w="1795" w:type="dxa"/>
            <w:vAlign w:val="center"/>
          </w:tcPr>
          <w:p w14:paraId="6C904E0E" w14:textId="77777777" w:rsidR="007F0F85" w:rsidRPr="0031419F" w:rsidRDefault="007F0F85" w:rsidP="000C6015">
            <w:pPr>
              <w:pStyle w:val="TableText0"/>
              <w:keepNext/>
              <w:rPr>
                <w:lang w:val="en-AU"/>
              </w:rPr>
            </w:pPr>
            <w:r w:rsidRPr="0031419F">
              <w:rPr>
                <w:lang w:val="en-AU"/>
              </w:rPr>
              <w:t>Manifestation rates</w:t>
            </w:r>
          </w:p>
        </w:tc>
        <w:tc>
          <w:tcPr>
            <w:tcW w:w="7215" w:type="dxa"/>
            <w:vAlign w:val="center"/>
          </w:tcPr>
          <w:p w14:paraId="770F59C8" w14:textId="21434C51" w:rsidR="007F0F85" w:rsidRPr="0031419F" w:rsidRDefault="007F0F85" w:rsidP="000C6015">
            <w:pPr>
              <w:pStyle w:val="TableText0"/>
              <w:keepNext/>
              <w:rPr>
                <w:lang w:val="en-AU"/>
              </w:rPr>
            </w:pPr>
            <w:r w:rsidRPr="0031419F">
              <w:rPr>
                <w:lang w:val="en-AU"/>
              </w:rPr>
              <w:t xml:space="preserve">Patients experience age-specific rates of manifestations (lymphoproliferation, </w:t>
            </w:r>
            <w:r w:rsidRPr="0031419F">
              <w:rPr>
                <w:rFonts w:cs="Times New Roman"/>
                <w:lang w:val="en-AU"/>
              </w:rPr>
              <w:t>GI</w:t>
            </w:r>
            <w:r w:rsidRPr="0031419F">
              <w:rPr>
                <w:lang w:val="en-AU"/>
              </w:rPr>
              <w:t xml:space="preserve"> manifestations, cytopenias, malignancies, bronchiectasis and advanced lung disease) based on cumulative incidence reported in ESID-APDS registry data. Age-specific rates of hearing loss based on medical history data set of patients enrolled in Study 2201. Infection rate based on patients randomised to placebo in Study 2201 Part II</w:t>
            </w:r>
            <w:r w:rsidR="00755DBE" w:rsidRPr="0031419F">
              <w:rPr>
                <w:lang w:val="en-AU"/>
              </w:rPr>
              <w:t>.</w:t>
            </w:r>
          </w:p>
        </w:tc>
      </w:tr>
      <w:tr w:rsidR="007F0F85" w:rsidRPr="0031419F" w14:paraId="07E9E71B" w14:textId="77777777" w:rsidTr="001A24F2">
        <w:tc>
          <w:tcPr>
            <w:tcW w:w="1795" w:type="dxa"/>
            <w:vAlign w:val="center"/>
          </w:tcPr>
          <w:p w14:paraId="0F61D96F" w14:textId="77777777" w:rsidR="007F0F85" w:rsidRPr="0031419F" w:rsidRDefault="007F0F85" w:rsidP="000C6015">
            <w:pPr>
              <w:pStyle w:val="TableText0"/>
              <w:keepNext/>
              <w:rPr>
                <w:lang w:val="en-AU"/>
              </w:rPr>
            </w:pPr>
            <w:r w:rsidRPr="0031419F">
              <w:rPr>
                <w:lang w:val="en-AU"/>
              </w:rPr>
              <w:t>Additional treatment rates</w:t>
            </w:r>
          </w:p>
        </w:tc>
        <w:tc>
          <w:tcPr>
            <w:tcW w:w="7215" w:type="dxa"/>
            <w:vAlign w:val="center"/>
          </w:tcPr>
          <w:p w14:paraId="37DF2DB9" w14:textId="77777777" w:rsidR="007F0F85" w:rsidRPr="0031419F" w:rsidRDefault="007F0F85" w:rsidP="000C6015">
            <w:pPr>
              <w:pStyle w:val="TableText0"/>
              <w:keepNext/>
              <w:rPr>
                <w:lang w:val="en-AU"/>
              </w:rPr>
            </w:pPr>
            <w:r w:rsidRPr="0031419F">
              <w:rPr>
                <w:lang w:val="en-AU"/>
              </w:rPr>
              <w:t xml:space="preserve">Patients were assumed to receive additional treatment with steroids, immunosuppressants, IRT, or undergo tonsillectomy (as a proxy for immune-related surgeries which may be carried out in APDS patients) or HSCT based on an age specific rate. These rates were informed by ESID-APDS registry data. </w:t>
            </w:r>
          </w:p>
        </w:tc>
      </w:tr>
      <w:tr w:rsidR="007F0F85" w:rsidRPr="0031419F" w14:paraId="025F8A75" w14:textId="77777777" w:rsidTr="001A24F2">
        <w:tc>
          <w:tcPr>
            <w:tcW w:w="1795" w:type="dxa"/>
            <w:vAlign w:val="center"/>
          </w:tcPr>
          <w:p w14:paraId="3353A291" w14:textId="77777777" w:rsidR="007F0F85" w:rsidRPr="0031419F" w:rsidRDefault="007F0F85" w:rsidP="000C6015">
            <w:pPr>
              <w:pStyle w:val="TableText0"/>
              <w:keepNext/>
              <w:rPr>
                <w:lang w:val="en-AU"/>
              </w:rPr>
            </w:pPr>
            <w:r w:rsidRPr="0031419F">
              <w:rPr>
                <w:lang w:val="en-AU"/>
              </w:rPr>
              <w:t>Mortality</w:t>
            </w:r>
          </w:p>
        </w:tc>
        <w:tc>
          <w:tcPr>
            <w:tcW w:w="7215" w:type="dxa"/>
            <w:vAlign w:val="center"/>
          </w:tcPr>
          <w:p w14:paraId="2A907183" w14:textId="77777777" w:rsidR="007F0F85" w:rsidRPr="0031419F" w:rsidRDefault="007F0F85" w:rsidP="000C6015">
            <w:pPr>
              <w:pStyle w:val="TableText0"/>
              <w:keepNext/>
              <w:rPr>
                <w:lang w:val="en-AU"/>
              </w:rPr>
            </w:pPr>
            <w:r w:rsidRPr="0031419F">
              <w:rPr>
                <w:lang w:val="en-AU"/>
              </w:rPr>
              <w:t xml:space="preserve">Patients progress to death based on ESID-APDS registry. </w:t>
            </w:r>
          </w:p>
        </w:tc>
      </w:tr>
      <w:tr w:rsidR="007F0F85" w:rsidRPr="0031419F" w14:paraId="4C0F0C4A" w14:textId="77777777" w:rsidTr="000B4467">
        <w:tc>
          <w:tcPr>
            <w:tcW w:w="9010" w:type="dxa"/>
            <w:gridSpan w:val="2"/>
            <w:vAlign w:val="center"/>
          </w:tcPr>
          <w:p w14:paraId="264F5225" w14:textId="77777777" w:rsidR="007F0F85" w:rsidRPr="0031419F" w:rsidRDefault="007F0F85" w:rsidP="000C6015">
            <w:pPr>
              <w:pStyle w:val="TableText0"/>
              <w:keepNext/>
              <w:rPr>
                <w:b/>
                <w:bCs w:val="0"/>
                <w:lang w:val="en-AU"/>
              </w:rPr>
            </w:pPr>
            <w:r w:rsidRPr="0031419F">
              <w:rPr>
                <w:b/>
                <w:bCs w:val="0"/>
                <w:lang w:val="en-AU"/>
              </w:rPr>
              <w:t>Leniolisib arm</w:t>
            </w:r>
          </w:p>
        </w:tc>
      </w:tr>
      <w:tr w:rsidR="007F0F85" w:rsidRPr="0031419F" w14:paraId="41FC15D3" w14:textId="77777777" w:rsidTr="001A24F2">
        <w:tc>
          <w:tcPr>
            <w:tcW w:w="1795" w:type="dxa"/>
            <w:vAlign w:val="center"/>
          </w:tcPr>
          <w:p w14:paraId="78576239" w14:textId="77777777" w:rsidR="007F0F85" w:rsidRPr="0031419F" w:rsidRDefault="007F0F85" w:rsidP="000C6015">
            <w:pPr>
              <w:pStyle w:val="TableText0"/>
              <w:keepNext/>
              <w:rPr>
                <w:lang w:val="en-AU"/>
              </w:rPr>
            </w:pPr>
            <w:r w:rsidRPr="0031419F">
              <w:rPr>
                <w:lang w:val="en-AU"/>
              </w:rPr>
              <w:t xml:space="preserve">Manifestation rates on leniolisib </w:t>
            </w:r>
          </w:p>
        </w:tc>
        <w:tc>
          <w:tcPr>
            <w:tcW w:w="7215" w:type="dxa"/>
            <w:vAlign w:val="center"/>
          </w:tcPr>
          <w:p w14:paraId="4B6021C3" w14:textId="7CB3AC46" w:rsidR="007F0F85" w:rsidRPr="0031419F" w:rsidRDefault="007F0F85" w:rsidP="000C6015">
            <w:pPr>
              <w:pStyle w:val="TableText0"/>
              <w:keepNext/>
              <w:rPr>
                <w:lang w:val="en-AU"/>
              </w:rPr>
            </w:pPr>
            <w:r w:rsidRPr="0031419F">
              <w:rPr>
                <w:lang w:val="en-AU"/>
              </w:rPr>
              <w:t>Patients in the ‘Alive on leniolisib’ health state can experience manifestations but at reduced rates relative to SoC based on HR informed by Study 2201 part II, Study 2201E1 and assumptions. A proportion of patients were also assumed to experience manifestations of reduced severity when treated with leniolisib.</w:t>
            </w:r>
          </w:p>
        </w:tc>
      </w:tr>
      <w:tr w:rsidR="007F0F85" w:rsidRPr="0031419F" w:rsidDel="008E4E5E" w14:paraId="2F352AB4" w14:textId="77777777" w:rsidTr="001A24F2">
        <w:tc>
          <w:tcPr>
            <w:tcW w:w="1795" w:type="dxa"/>
            <w:vAlign w:val="center"/>
          </w:tcPr>
          <w:p w14:paraId="7EDE0D46" w14:textId="77777777" w:rsidR="007F0F85" w:rsidRPr="0031419F" w:rsidDel="008E4E5E" w:rsidRDefault="007F0F85" w:rsidP="000C6015">
            <w:pPr>
              <w:pStyle w:val="TableText0"/>
              <w:keepNext/>
              <w:rPr>
                <w:lang w:val="en-AU"/>
              </w:rPr>
            </w:pPr>
            <w:r w:rsidRPr="0031419F">
              <w:rPr>
                <w:lang w:val="en-AU"/>
              </w:rPr>
              <w:t>Additional treatment on leniolisib</w:t>
            </w:r>
          </w:p>
        </w:tc>
        <w:tc>
          <w:tcPr>
            <w:tcW w:w="7215" w:type="dxa"/>
            <w:vAlign w:val="center"/>
          </w:tcPr>
          <w:p w14:paraId="27B03D87" w14:textId="03000E4E" w:rsidR="007F0F85" w:rsidRPr="0031419F" w:rsidDel="008E4E5E" w:rsidRDefault="007F0F85" w:rsidP="000C6015">
            <w:pPr>
              <w:pStyle w:val="TableText0"/>
              <w:keepNext/>
              <w:rPr>
                <w:lang w:val="en-AU"/>
              </w:rPr>
            </w:pPr>
            <w:r w:rsidRPr="0031419F">
              <w:rPr>
                <w:lang w:val="en-AU"/>
              </w:rPr>
              <w:t>Patients in the ‘Alive on leniolisib’ health state are assumed to use some additional treatments with corticosteroids (reduced rate with HR of 0.26, based on assumption only) and IRT (reduced rate compared to SoC, based on Study 2201 Part II and 2201E1) and assumed to have some tonsillectomy (38% reduction from SoC based on UK clinicians). Patients on leniolisib are assumed to have no use of immunosuppressants (appears to have been based on UK clinician opinion) or HSCT (assumption only)</w:t>
            </w:r>
            <w:r w:rsidR="00592B55" w:rsidRPr="0031419F">
              <w:rPr>
                <w:lang w:val="en-AU"/>
              </w:rPr>
              <w:t>.</w:t>
            </w:r>
          </w:p>
        </w:tc>
      </w:tr>
      <w:tr w:rsidR="007F0F85" w:rsidRPr="0031419F" w14:paraId="2785CD1C" w14:textId="77777777" w:rsidTr="001A24F2">
        <w:tc>
          <w:tcPr>
            <w:tcW w:w="1795" w:type="dxa"/>
            <w:vAlign w:val="center"/>
          </w:tcPr>
          <w:p w14:paraId="25B3F9E2" w14:textId="77777777" w:rsidR="007F0F85" w:rsidRPr="0031419F" w:rsidRDefault="007F0F85" w:rsidP="000C6015">
            <w:pPr>
              <w:pStyle w:val="TableText0"/>
              <w:keepNext/>
              <w:rPr>
                <w:lang w:val="en-AU"/>
              </w:rPr>
            </w:pPr>
            <w:r w:rsidRPr="0031419F">
              <w:rPr>
                <w:lang w:val="en-AU"/>
              </w:rPr>
              <w:t>Mortality on leniolisib</w:t>
            </w:r>
          </w:p>
        </w:tc>
        <w:tc>
          <w:tcPr>
            <w:tcW w:w="7215" w:type="dxa"/>
            <w:vAlign w:val="center"/>
          </w:tcPr>
          <w:p w14:paraId="04861950" w14:textId="77777777" w:rsidR="007F0F85" w:rsidRPr="0031419F" w:rsidRDefault="007F0F85" w:rsidP="000C6015">
            <w:pPr>
              <w:pStyle w:val="TableText0"/>
              <w:keepNext/>
              <w:rPr>
                <w:lang w:val="en-AU"/>
              </w:rPr>
            </w:pPr>
            <w:r w:rsidRPr="0031419F">
              <w:rPr>
                <w:lang w:val="en-AU"/>
              </w:rPr>
              <w:t>Calculated as an RR applied to the age-specific risk mortality of the general population.</w:t>
            </w:r>
          </w:p>
        </w:tc>
      </w:tr>
      <w:tr w:rsidR="007F0F85" w:rsidRPr="0031419F" w14:paraId="33F78BC7" w14:textId="77777777" w:rsidTr="001A24F2">
        <w:tc>
          <w:tcPr>
            <w:tcW w:w="1795" w:type="dxa"/>
            <w:vAlign w:val="center"/>
          </w:tcPr>
          <w:p w14:paraId="531A63BE" w14:textId="77777777" w:rsidR="007F0F85" w:rsidRPr="0031419F" w:rsidRDefault="007F0F85" w:rsidP="000C6015">
            <w:pPr>
              <w:pStyle w:val="TableText0"/>
              <w:keepNext/>
              <w:rPr>
                <w:lang w:val="en-AU"/>
              </w:rPr>
            </w:pPr>
            <w:r w:rsidRPr="0031419F">
              <w:rPr>
                <w:lang w:val="en-AU"/>
              </w:rPr>
              <w:t>Discontinuation</w:t>
            </w:r>
          </w:p>
        </w:tc>
        <w:tc>
          <w:tcPr>
            <w:tcW w:w="7215" w:type="dxa"/>
            <w:vAlign w:val="center"/>
          </w:tcPr>
          <w:p w14:paraId="36714F2F" w14:textId="1437DA16" w:rsidR="007F0F85" w:rsidRPr="0031419F" w:rsidRDefault="007F0F85" w:rsidP="000C6015">
            <w:pPr>
              <w:pStyle w:val="TableText0"/>
              <w:keepNext/>
              <w:rPr>
                <w:lang w:val="en-AU"/>
              </w:rPr>
            </w:pPr>
            <w:r w:rsidRPr="0031419F">
              <w:rPr>
                <w:lang w:val="en-AU"/>
              </w:rPr>
              <w:t>Patient</w:t>
            </w:r>
            <w:r w:rsidR="007E65E9">
              <w:rPr>
                <w:lang w:val="en-AU"/>
              </w:rPr>
              <w:t>s</w:t>
            </w:r>
            <w:r w:rsidRPr="0031419F">
              <w:rPr>
                <w:lang w:val="en-AU"/>
              </w:rPr>
              <w:t xml:space="preserve"> </w:t>
            </w:r>
            <w:r w:rsidR="007E65E9" w:rsidRPr="0031419F">
              <w:rPr>
                <w:lang w:val="en-AU"/>
              </w:rPr>
              <w:t>discontinu</w:t>
            </w:r>
            <w:r w:rsidR="007E65E9">
              <w:rPr>
                <w:lang w:val="en-AU"/>
              </w:rPr>
              <w:t>e</w:t>
            </w:r>
            <w:r w:rsidR="007B275D">
              <w:rPr>
                <w:lang w:val="en-AU"/>
              </w:rPr>
              <w:t xml:space="preserve"> </w:t>
            </w:r>
            <w:r w:rsidRPr="0031419F">
              <w:rPr>
                <w:lang w:val="en-AU"/>
              </w:rPr>
              <w:t>leniolisib due to unplanned events (e.g. non-response, tolerability, patient choice) and revert to SoC only at a specified annual transition rate based on Study 2201E1 discontinuation data.</w:t>
            </w:r>
          </w:p>
        </w:tc>
      </w:tr>
      <w:tr w:rsidR="007F0F85" w:rsidRPr="0031419F" w14:paraId="60454252" w14:textId="77777777" w:rsidTr="001A24F2">
        <w:tc>
          <w:tcPr>
            <w:tcW w:w="1795" w:type="dxa"/>
            <w:vAlign w:val="center"/>
          </w:tcPr>
          <w:p w14:paraId="3ABA12A2" w14:textId="77777777" w:rsidR="007F0F85" w:rsidRPr="0031419F" w:rsidRDefault="007F0F85" w:rsidP="000C6015">
            <w:pPr>
              <w:pStyle w:val="TableText0"/>
              <w:keepNext/>
              <w:rPr>
                <w:lang w:val="en-AU"/>
              </w:rPr>
            </w:pPr>
            <w:r w:rsidRPr="0031419F">
              <w:rPr>
                <w:lang w:val="en-AU"/>
              </w:rPr>
              <w:t>Post-discontinuation manifestation rates</w:t>
            </w:r>
          </w:p>
        </w:tc>
        <w:tc>
          <w:tcPr>
            <w:tcW w:w="7215" w:type="dxa"/>
            <w:vAlign w:val="center"/>
          </w:tcPr>
          <w:p w14:paraId="0F699351" w14:textId="3DB63C1C" w:rsidR="007F0F85" w:rsidRPr="0031419F" w:rsidRDefault="007F0F85" w:rsidP="000C6015">
            <w:pPr>
              <w:pStyle w:val="TableText0"/>
              <w:keepNext/>
              <w:rPr>
                <w:lang w:val="en-AU"/>
              </w:rPr>
            </w:pPr>
            <w:r w:rsidRPr="0031419F">
              <w:rPr>
                <w:lang w:val="en-AU"/>
              </w:rPr>
              <w:t xml:space="preserve">In the first cycle post leniolisib discontinuation, leniolisib patients revert to SoC arm rates of manifestation incidence at baseline age of the model (i.e. 15 years of age in the base case), and each progressive year, will have the manifestation rate of the next year of age (i.e. two years/cycles after discontinuation, will have manifestation rate of SoC at age 16 years). </w:t>
            </w:r>
          </w:p>
        </w:tc>
      </w:tr>
      <w:tr w:rsidR="007F0F85" w:rsidRPr="0031419F" w14:paraId="6BDF6513" w14:textId="77777777" w:rsidTr="001A24F2">
        <w:tc>
          <w:tcPr>
            <w:tcW w:w="1795" w:type="dxa"/>
            <w:vAlign w:val="center"/>
          </w:tcPr>
          <w:p w14:paraId="5C0E30F5" w14:textId="77777777" w:rsidR="007F0F85" w:rsidRPr="0031419F" w:rsidRDefault="007F0F85" w:rsidP="000C6015">
            <w:pPr>
              <w:pStyle w:val="TableText0"/>
              <w:keepNext/>
              <w:rPr>
                <w:lang w:val="en-AU"/>
              </w:rPr>
            </w:pPr>
            <w:r w:rsidRPr="0031419F">
              <w:rPr>
                <w:lang w:val="en-AU"/>
              </w:rPr>
              <w:t xml:space="preserve">Post-discontinuation additional treatment </w:t>
            </w:r>
          </w:p>
        </w:tc>
        <w:tc>
          <w:tcPr>
            <w:tcW w:w="7215" w:type="dxa"/>
            <w:vAlign w:val="center"/>
          </w:tcPr>
          <w:p w14:paraId="277919CC" w14:textId="2B9F8E6E" w:rsidR="007F0F85" w:rsidRPr="0031419F" w:rsidRDefault="007F0F85" w:rsidP="000C6015">
            <w:pPr>
              <w:pStyle w:val="TableText0"/>
              <w:keepNext/>
              <w:rPr>
                <w:lang w:val="en-AU"/>
              </w:rPr>
            </w:pPr>
            <w:r w:rsidRPr="0031419F">
              <w:rPr>
                <w:lang w:val="en-AU"/>
              </w:rPr>
              <w:t>As for post discontinuation manifestation rates, post leniolisib discontinuation, leniolisib patients revert to SoC arm rates of additional treatment at the</w:t>
            </w:r>
            <w:r w:rsidR="00706697" w:rsidRPr="0031419F">
              <w:rPr>
                <w:lang w:val="en-AU"/>
              </w:rPr>
              <w:t xml:space="preserve"> </w:t>
            </w:r>
            <w:r w:rsidRPr="0031419F">
              <w:rPr>
                <w:lang w:val="en-AU"/>
              </w:rPr>
              <w:t>baseline age of the model (i.e. 15 years of age in the base case), and each progressive year, will have the additional treatment rate of the next year of age. It was unclear what this assumption was based on, as experts did not appear to have been asked on post-discontinuation treatment patterns.</w:t>
            </w:r>
          </w:p>
        </w:tc>
      </w:tr>
      <w:tr w:rsidR="007F0F85" w:rsidRPr="0031419F" w14:paraId="6FB2CCBB" w14:textId="77777777" w:rsidTr="001A24F2">
        <w:tc>
          <w:tcPr>
            <w:tcW w:w="1795" w:type="dxa"/>
            <w:vAlign w:val="center"/>
          </w:tcPr>
          <w:p w14:paraId="74356C0E" w14:textId="77777777" w:rsidR="007F0F85" w:rsidRPr="0031419F" w:rsidRDefault="007F0F85" w:rsidP="000C6015">
            <w:pPr>
              <w:pStyle w:val="TableText0"/>
              <w:keepNext/>
              <w:rPr>
                <w:lang w:val="en-AU"/>
              </w:rPr>
            </w:pPr>
            <w:r w:rsidRPr="0031419F">
              <w:rPr>
                <w:lang w:val="en-AU"/>
              </w:rPr>
              <w:t>Post-discontinuation mortality</w:t>
            </w:r>
          </w:p>
        </w:tc>
        <w:tc>
          <w:tcPr>
            <w:tcW w:w="7215" w:type="dxa"/>
            <w:vAlign w:val="center"/>
          </w:tcPr>
          <w:p w14:paraId="407F537E" w14:textId="77777777" w:rsidR="007F0F85" w:rsidRPr="0031419F" w:rsidRDefault="007F0F85" w:rsidP="000C6015">
            <w:pPr>
              <w:pStyle w:val="TableText0"/>
              <w:keepNext/>
              <w:rPr>
                <w:lang w:val="en-AU"/>
              </w:rPr>
            </w:pPr>
            <w:r w:rsidRPr="0031419F">
              <w:rPr>
                <w:lang w:val="en-AU"/>
              </w:rPr>
              <w:t xml:space="preserve">Post leniolisib discontinuation, leniolisib patients revert to SoC arm rates of </w:t>
            </w:r>
            <w:r w:rsidRPr="0031419F" w:rsidDel="1305A607">
              <w:rPr>
                <w:lang w:val="en-AU"/>
              </w:rPr>
              <w:t>mortality</w:t>
            </w:r>
            <w:r w:rsidRPr="0031419F">
              <w:rPr>
                <w:lang w:val="en-AU"/>
              </w:rPr>
              <w:t xml:space="preserve"> which was based on ESID-APDS registry. </w:t>
            </w:r>
          </w:p>
        </w:tc>
      </w:tr>
    </w:tbl>
    <w:p w14:paraId="39651879" w14:textId="77777777" w:rsidR="007F0F85" w:rsidRPr="0031419F" w:rsidRDefault="007F0F85" w:rsidP="000C6015">
      <w:pPr>
        <w:pStyle w:val="TableFigureFooter"/>
        <w:keepNext/>
        <w:rPr>
          <w:lang w:val="en-AU"/>
        </w:rPr>
      </w:pPr>
      <w:r w:rsidRPr="0031419F">
        <w:rPr>
          <w:lang w:val="en-AU"/>
        </w:rPr>
        <w:t>APDS = activated PI3K delta syndrome, ESID = European Society for Immunodeficiencies; HR = hazard ratio; HSCT = Hematopoietic stem cell transplantation; IRT = immunoglobulin replacement therapy; RR = relative risk; SoC = standard of care</w:t>
      </w:r>
    </w:p>
    <w:p w14:paraId="76689B37" w14:textId="77777777" w:rsidR="007F0F85" w:rsidRPr="0031419F" w:rsidRDefault="007F0F85" w:rsidP="007F0F85">
      <w:pPr>
        <w:pStyle w:val="TableFigureFooter"/>
        <w:rPr>
          <w:lang w:val="en-AU"/>
        </w:rPr>
      </w:pPr>
      <w:r w:rsidRPr="0031419F">
        <w:rPr>
          <w:lang w:val="en-AU"/>
        </w:rPr>
        <w:t>Source: Table 3.11, p209 of the submission.</w:t>
      </w:r>
    </w:p>
    <w:p w14:paraId="0EBB6CCF" w14:textId="5E984A9C" w:rsidR="00500384" w:rsidRPr="0031419F" w:rsidRDefault="00500384" w:rsidP="00706697">
      <w:pPr>
        <w:pStyle w:val="3-BodyText"/>
        <w:spacing w:before="0" w:after="120"/>
      </w:pPr>
      <w:r w:rsidRPr="0031419F">
        <w:t xml:space="preserve">The manifestation rates for the leniolisib treatment arm were calculated as a function of the manifestation rates for the SoC arm. A hazard ratio (HR) was applied to each manifestation to reflect a reduction in the incidence of manifestations due to treatment with leniolisib. The submission assumed that for some manifestations, a proportion of patients </w:t>
      </w:r>
      <w:r w:rsidR="00C05B65" w:rsidRPr="0031419F">
        <w:t xml:space="preserve">in the leniolisib arm </w:t>
      </w:r>
      <w:r w:rsidRPr="0031419F">
        <w:t>will resolve their manifestation at age 15</w:t>
      </w:r>
      <w:r w:rsidR="00C05B65" w:rsidRPr="0031419F">
        <w:t xml:space="preserve"> </w:t>
      </w:r>
      <w:r w:rsidR="00C4776F" w:rsidRPr="0031419F">
        <w:t>at</w:t>
      </w:r>
      <w:r w:rsidR="00C05B65" w:rsidRPr="0031419F">
        <w:t xml:space="preserve"> the initiation of leniolisib.</w:t>
      </w:r>
      <w:r w:rsidRPr="0031419F">
        <w:t xml:space="preserve"> </w:t>
      </w:r>
      <w:r w:rsidR="00F61899" w:rsidRPr="0031419F">
        <w:t xml:space="preserve">This </w:t>
      </w:r>
      <w:r w:rsidRPr="0031419F">
        <w:t xml:space="preserve">led to an immediate </w:t>
      </w:r>
      <w:r w:rsidR="004C738D" w:rsidRPr="0031419F">
        <w:t xml:space="preserve">decrease </w:t>
      </w:r>
      <w:r w:rsidRPr="0031419F">
        <w:t xml:space="preserve">in manifestation </w:t>
      </w:r>
      <w:r w:rsidR="00736554" w:rsidRPr="0031419F">
        <w:t>rate</w:t>
      </w:r>
      <w:r w:rsidRPr="0031419F">
        <w:t xml:space="preserve"> at the start of the model for patients in the leniolisib arm compared to the SoC arm</w:t>
      </w:r>
      <w:r w:rsidR="00F61899" w:rsidRPr="0031419F">
        <w:t>; for example, the cumulative proportion of patients with lymphoproliferation in the leniolisib arm was 71.36% at age 14 but dropped to 2.93% at age 15 and remained at 2.93% for the duration of the model</w:t>
      </w:r>
      <w:r w:rsidRPr="0031419F">
        <w:t>.</w:t>
      </w:r>
      <w:r w:rsidR="00F61899" w:rsidRPr="0031419F">
        <w:t xml:space="preserve"> In comparison, the cumulative proportion of patients with lymphoproliferation in the SoC arm was 71.36% at age 14, 73.15% at age 15 and continued to increase to a maximum of 93.95% at age 38 after which time it remained steady.</w:t>
      </w:r>
      <w:r w:rsidR="00736554" w:rsidRPr="0031419F">
        <w:t xml:space="preserve"> Additionally</w:t>
      </w:r>
      <w:r w:rsidR="00116E16">
        <w:t>,</w:t>
      </w:r>
      <w:r w:rsidR="00736554" w:rsidRPr="0031419F">
        <w:t xml:space="preserve"> it was assumed that a proportion of patients </w:t>
      </w:r>
      <w:r w:rsidR="002C3A7A" w:rsidRPr="0031419F">
        <w:t xml:space="preserve">in the leniolisib arm </w:t>
      </w:r>
      <w:r w:rsidR="00736554" w:rsidRPr="0031419F">
        <w:t>would have a reduction in symptom severity even if they have manifestations.</w:t>
      </w:r>
      <w:r w:rsidR="00736554" w:rsidRPr="008B433C">
        <w:t xml:space="preserve"> </w:t>
      </w:r>
      <w:r w:rsidR="00A8350E" w:rsidRPr="008B433C">
        <w:t>The PSCR stated th</w:t>
      </w:r>
      <w:r w:rsidR="00F20CE8" w:rsidRPr="008B433C">
        <w:t>at</w:t>
      </w:r>
      <w:r w:rsidR="00157799" w:rsidRPr="008B433C">
        <w:t xml:space="preserve"> </w:t>
      </w:r>
      <w:r w:rsidR="00A8350E" w:rsidRPr="008B433C">
        <w:t>NICE reported that for manifestation rates post leniolisib discontinuation, UK clinical experts found it was most clinically plausible for all manifestation incidence rates to return to pre-leniolisib treatment levels.</w:t>
      </w:r>
      <w:r w:rsidR="00157799" w:rsidRPr="008B433C">
        <w:t xml:space="preserve"> However, the Sub-Committees </w:t>
      </w:r>
      <w:r w:rsidR="00730549" w:rsidRPr="008B433C">
        <w:t xml:space="preserve">considered it was </w:t>
      </w:r>
      <w:r w:rsidR="00157799" w:rsidRPr="008B433C">
        <w:t xml:space="preserve">uncertain if </w:t>
      </w:r>
      <w:r w:rsidR="00761713" w:rsidRPr="008B433C">
        <w:t xml:space="preserve">this assumption of </w:t>
      </w:r>
      <w:r w:rsidR="006810DD" w:rsidRPr="008B433C">
        <w:t xml:space="preserve">ongoing </w:t>
      </w:r>
      <w:r w:rsidR="00531B1A" w:rsidRPr="008B433C">
        <w:t xml:space="preserve">benefit was justified </w:t>
      </w:r>
      <w:r w:rsidR="00A554DF" w:rsidRPr="008B433C">
        <w:t>given manifestations experienced by patients with APDS vary with age and patients</w:t>
      </w:r>
      <w:r w:rsidR="0001046F" w:rsidRPr="008B433C">
        <w:t xml:space="preserve"> initiating treatment</w:t>
      </w:r>
      <w:r w:rsidR="00A554DF" w:rsidRPr="008B433C">
        <w:t xml:space="preserve"> are</w:t>
      </w:r>
      <w:r w:rsidR="00FC52BB" w:rsidRPr="008B433C">
        <w:t xml:space="preserve"> generally</w:t>
      </w:r>
      <w:r w:rsidR="00A554DF" w:rsidRPr="008B433C">
        <w:t xml:space="preserve"> older</w:t>
      </w:r>
      <w:r w:rsidR="00F54230" w:rsidRPr="008B433C">
        <w:t xml:space="preserve"> than </w:t>
      </w:r>
      <w:r w:rsidR="00756788" w:rsidRPr="008B433C">
        <w:t xml:space="preserve">that </w:t>
      </w:r>
      <w:r w:rsidR="00761713" w:rsidRPr="008B433C">
        <w:t xml:space="preserve">was assumed in </w:t>
      </w:r>
      <w:r w:rsidR="00F54230" w:rsidRPr="008B433C">
        <w:t>the model</w:t>
      </w:r>
      <w:r w:rsidR="00A554DF" w:rsidRPr="008B433C">
        <w:t>.</w:t>
      </w:r>
      <w:r w:rsidR="00157799" w:rsidRPr="008B433C">
        <w:t xml:space="preserve"> </w:t>
      </w:r>
      <w:r w:rsidR="00F54230" w:rsidRPr="008B433C">
        <w:t xml:space="preserve">The Sub-Committees noted </w:t>
      </w:r>
      <w:r w:rsidR="00FB42FB" w:rsidRPr="008B433C">
        <w:t xml:space="preserve">the </w:t>
      </w:r>
      <w:r w:rsidR="00F54230" w:rsidRPr="008B433C">
        <w:t>i</w:t>
      </w:r>
      <w:r w:rsidR="00B6565D" w:rsidRPr="008B433C">
        <w:t xml:space="preserve">mplication </w:t>
      </w:r>
      <w:r w:rsidR="001E0E0B" w:rsidRPr="008B433C">
        <w:t xml:space="preserve">of this assumption </w:t>
      </w:r>
      <w:r w:rsidR="003F2117" w:rsidRPr="008B433C">
        <w:t>wa</w:t>
      </w:r>
      <w:r w:rsidR="00B6565D" w:rsidRPr="008B433C">
        <w:t xml:space="preserve">s that </w:t>
      </w:r>
      <w:r w:rsidR="003F2117" w:rsidRPr="008B433C">
        <w:t>the first</w:t>
      </w:r>
      <w:r w:rsidR="00B6565D" w:rsidRPr="008B433C">
        <w:t xml:space="preserve"> yea</w:t>
      </w:r>
      <w:r w:rsidR="00761713" w:rsidRPr="008B433C">
        <w:t>r of</w:t>
      </w:r>
      <w:r w:rsidR="00B6565D" w:rsidRPr="008B433C">
        <w:t xml:space="preserve"> therapy is </w:t>
      </w:r>
      <w:r w:rsidR="003F2117" w:rsidRPr="008B433C">
        <w:t xml:space="preserve">more </w:t>
      </w:r>
      <w:r w:rsidR="00B6565D" w:rsidRPr="008B433C">
        <w:t xml:space="preserve">cost-effective relative to </w:t>
      </w:r>
      <w:r w:rsidR="001E0E0B" w:rsidRPr="008B433C">
        <w:t xml:space="preserve">the </w:t>
      </w:r>
      <w:r w:rsidR="00B6565D" w:rsidRPr="008B433C">
        <w:t>later years</w:t>
      </w:r>
      <w:r w:rsidR="00223B46" w:rsidRPr="008B433C">
        <w:t xml:space="preserve">. The </w:t>
      </w:r>
      <w:r w:rsidR="00DF7913" w:rsidRPr="008B433C">
        <w:t>Sub-Committees</w:t>
      </w:r>
      <w:r w:rsidR="000A5C91" w:rsidRPr="008B433C">
        <w:t xml:space="preserve"> considered this was optimistic and</w:t>
      </w:r>
      <w:r w:rsidR="00DF7913" w:rsidRPr="008B433C">
        <w:t xml:space="preserve"> </w:t>
      </w:r>
      <w:r w:rsidR="003F2117" w:rsidRPr="008B433C">
        <w:t xml:space="preserve">unlikely to reflect </w:t>
      </w:r>
      <w:r w:rsidR="00C40C5A" w:rsidRPr="008B433C">
        <w:t>outcomes for a chronic condition, requiring ongoing treatment</w:t>
      </w:r>
      <w:r w:rsidR="00DF7913" w:rsidRPr="008B433C">
        <w:t>.</w:t>
      </w:r>
    </w:p>
    <w:bookmarkStart w:id="43" w:name="_Ref196176601"/>
    <w:p w14:paraId="057B736A" w14:textId="48842417" w:rsidR="00023CF5" w:rsidRPr="0031419F" w:rsidRDefault="00500384" w:rsidP="00DA5F45">
      <w:pPr>
        <w:pStyle w:val="3-BodyText"/>
        <w:spacing w:before="0" w:after="120"/>
      </w:pPr>
      <w:r w:rsidRPr="0031419F">
        <w:fldChar w:fldCharType="begin" w:fldLock="1"/>
      </w:r>
      <w:r w:rsidRPr="0031419F">
        <w:instrText xml:space="preserve"> REF _Ref196154666 \h </w:instrText>
      </w:r>
      <w:r w:rsidR="0031419F" w:rsidRPr="0031419F">
        <w:instrText xml:space="preserve"> \* MERGEFORMAT </w:instrText>
      </w:r>
      <w:r w:rsidRPr="0031419F">
        <w:fldChar w:fldCharType="separate"/>
      </w:r>
      <w:r w:rsidR="00C34379" w:rsidRPr="0031419F">
        <w:t xml:space="preserve">Table </w:t>
      </w:r>
      <w:r w:rsidR="00C34379">
        <w:rPr>
          <w:noProof/>
        </w:rPr>
        <w:t>16</w:t>
      </w:r>
      <w:r w:rsidRPr="0031419F">
        <w:fldChar w:fldCharType="end"/>
      </w:r>
      <w:r w:rsidRPr="0031419F">
        <w:t xml:space="preserve"> provides details of the HR</w:t>
      </w:r>
      <w:r w:rsidR="00EC2E7C" w:rsidRPr="0031419F">
        <w:t>s</w:t>
      </w:r>
      <w:r w:rsidRPr="0031419F">
        <w:t xml:space="preserve"> of manifestation rates as well as percentage resolution and severity reduction associated with leniolisib treatment applied in the model.</w:t>
      </w:r>
      <w:r w:rsidR="00736554" w:rsidRPr="0031419F">
        <w:t xml:space="preserve"> The HR</w:t>
      </w:r>
      <w:r w:rsidR="00223B46">
        <w:t>s</w:t>
      </w:r>
      <w:r w:rsidR="00736554" w:rsidRPr="0031419F">
        <w:t xml:space="preserve">, proportion with resolution of manifestation and severity reduction were primarily informed by the 2201E1 extension study or data from the EAP. However, </w:t>
      </w:r>
      <w:r w:rsidR="00850C2C" w:rsidRPr="00B937D9">
        <w:t>the Sub-Committees noted</w:t>
      </w:r>
      <w:r w:rsidR="00850C2C">
        <w:rPr>
          <w:i/>
          <w:iCs/>
        </w:rPr>
        <w:t xml:space="preserve"> </w:t>
      </w:r>
      <w:r w:rsidR="00214F93" w:rsidRPr="0031419F">
        <w:t xml:space="preserve">the specific data sources and/or calculation of the HRs was often unclear and </w:t>
      </w:r>
      <w:r w:rsidR="00736554" w:rsidRPr="0031419F">
        <w:t xml:space="preserve">not all these values could be verified during the evaluation, and </w:t>
      </w:r>
      <w:r w:rsidR="007506B5" w:rsidRPr="0031419F">
        <w:t xml:space="preserve">the reliability of some of these calculations </w:t>
      </w:r>
      <w:r w:rsidR="00214F93" w:rsidRPr="0031419F">
        <w:t xml:space="preserve">appeared </w:t>
      </w:r>
      <w:r w:rsidR="00A0738D" w:rsidRPr="0031419F">
        <w:t>uncertain and based on some strong assumptions</w:t>
      </w:r>
      <w:r w:rsidR="006A1A25" w:rsidRPr="0031419F">
        <w:t>.</w:t>
      </w:r>
      <w:r w:rsidR="00736554" w:rsidRPr="0031419F">
        <w:t xml:space="preserve"> </w:t>
      </w:r>
      <w:r w:rsidR="007506B5" w:rsidRPr="0031419F">
        <w:t>F</w:t>
      </w:r>
      <w:r w:rsidR="00736554" w:rsidRPr="0031419F">
        <w:t>or example, the HR for hearing loss of 0.33 was based on one reported AE of hearing loss in Study 2201 part I, which the submission then conver</w:t>
      </w:r>
      <w:r w:rsidR="006E677C" w:rsidRPr="0031419F">
        <w:t xml:space="preserve">ted to an annualised rate of 0.0067 using </w:t>
      </w:r>
      <w:r w:rsidR="00F202AB" w:rsidRPr="0031419F">
        <w:t xml:space="preserve">all patients enrolled in </w:t>
      </w:r>
      <w:r w:rsidR="006E677C" w:rsidRPr="0031419F">
        <w:t>Study 2201 (i.e. including part II and 2201E1)</w:t>
      </w:r>
      <w:r w:rsidR="00F202AB" w:rsidRPr="0031419F">
        <w:t xml:space="preserve"> expressed as patient years</w:t>
      </w:r>
      <w:r w:rsidR="00A33121" w:rsidRPr="0031419F">
        <w:t>,</w:t>
      </w:r>
      <w:r w:rsidR="006E677C" w:rsidRPr="0031419F">
        <w:t xml:space="preserve"> </w:t>
      </w:r>
      <w:r w:rsidR="00736554" w:rsidRPr="0031419F">
        <w:t xml:space="preserve">divided </w:t>
      </w:r>
      <w:r w:rsidR="006E677C" w:rsidRPr="0031419F">
        <w:t>by an annual rate of 0.020 which was derived from a parametric fit to the medical history of patients in Study 2201.</w:t>
      </w:r>
      <w:bookmarkEnd w:id="43"/>
      <w:r w:rsidR="006E677C" w:rsidRPr="0031419F">
        <w:t xml:space="preserve"> </w:t>
      </w:r>
      <w:r w:rsidR="006D0018" w:rsidRPr="008B433C">
        <w:t xml:space="preserve">The Sub-Committees </w:t>
      </w:r>
      <w:r w:rsidR="00223B46" w:rsidRPr="008B433C">
        <w:t>considered</w:t>
      </w:r>
      <w:r w:rsidR="006D0018" w:rsidRPr="008B433C">
        <w:t xml:space="preserve"> that the </w:t>
      </w:r>
      <w:r w:rsidR="006D0018" w:rsidRPr="008B433C">
        <w:rPr>
          <w:lang w:val="en-US"/>
        </w:rPr>
        <w:t>HRs applied to manifestations were highly uncertain due to small numbers</w:t>
      </w:r>
      <w:r w:rsidR="00C572E9" w:rsidRPr="008B433C">
        <w:rPr>
          <w:lang w:val="en-US"/>
        </w:rPr>
        <w:t xml:space="preserve"> of patients informing </w:t>
      </w:r>
      <w:r w:rsidR="00A10148" w:rsidRPr="008B433C">
        <w:rPr>
          <w:lang w:val="en-US"/>
        </w:rPr>
        <w:t>them</w:t>
      </w:r>
      <w:r w:rsidR="00813B2D" w:rsidRPr="008B433C">
        <w:rPr>
          <w:lang w:val="en-US"/>
        </w:rPr>
        <w:t xml:space="preserve"> and</w:t>
      </w:r>
      <w:r w:rsidR="00A10148" w:rsidRPr="008B433C">
        <w:rPr>
          <w:lang w:val="en-US"/>
        </w:rPr>
        <w:t xml:space="preserve"> the </w:t>
      </w:r>
      <w:r w:rsidR="006D0018" w:rsidRPr="008B433C">
        <w:rPr>
          <w:lang w:val="en-US"/>
        </w:rPr>
        <w:t>limited documentation</w:t>
      </w:r>
      <w:r w:rsidR="00C572E9" w:rsidRPr="008B433C">
        <w:rPr>
          <w:lang w:val="en-US"/>
        </w:rPr>
        <w:t xml:space="preserve"> of sources</w:t>
      </w:r>
      <w:r w:rsidR="00813B2D" w:rsidRPr="008B433C">
        <w:rPr>
          <w:lang w:val="en-US"/>
        </w:rPr>
        <w:t>. The Sub-Committee also</w:t>
      </w:r>
      <w:r w:rsidR="000F70C2" w:rsidRPr="008B433C">
        <w:rPr>
          <w:lang w:val="en-US"/>
        </w:rPr>
        <w:t xml:space="preserve"> </w:t>
      </w:r>
      <w:r w:rsidR="000C644F" w:rsidRPr="008B433C">
        <w:rPr>
          <w:lang w:val="en-US"/>
        </w:rPr>
        <w:t xml:space="preserve">noted </w:t>
      </w:r>
      <w:r w:rsidR="00F60C15" w:rsidRPr="008B433C">
        <w:rPr>
          <w:lang w:val="en-US"/>
        </w:rPr>
        <w:t>l</w:t>
      </w:r>
      <w:r w:rsidR="000C644F" w:rsidRPr="008B433C">
        <w:rPr>
          <w:lang w:val="en-US"/>
        </w:rPr>
        <w:t>arge effect sizes both for immediate resolution and for ongoing HRs.</w:t>
      </w:r>
      <w:r w:rsidR="00970969" w:rsidRPr="008B433C">
        <w:rPr>
          <w:lang w:val="en-US"/>
        </w:rPr>
        <w:t xml:space="preserve"> </w:t>
      </w:r>
      <w:r w:rsidR="00790656" w:rsidRPr="008B433C">
        <w:rPr>
          <w:lang w:val="en-US"/>
        </w:rPr>
        <w:t xml:space="preserve">Although the </w:t>
      </w:r>
      <w:r w:rsidR="00970969" w:rsidRPr="008B433C">
        <w:rPr>
          <w:lang w:val="en-US"/>
        </w:rPr>
        <w:t>Sub-Committees consi</w:t>
      </w:r>
      <w:r w:rsidR="00790656" w:rsidRPr="008B433C">
        <w:rPr>
          <w:lang w:val="en-US"/>
        </w:rPr>
        <w:t>d</w:t>
      </w:r>
      <w:r w:rsidR="00970969" w:rsidRPr="008B433C">
        <w:rPr>
          <w:lang w:val="en-US"/>
        </w:rPr>
        <w:t xml:space="preserve">ered </w:t>
      </w:r>
      <w:r w:rsidR="00813B2D" w:rsidRPr="008B433C">
        <w:rPr>
          <w:lang w:val="en-US"/>
        </w:rPr>
        <w:t xml:space="preserve">assumptions of </w:t>
      </w:r>
      <w:r w:rsidR="006C1359" w:rsidRPr="008B433C">
        <w:rPr>
          <w:lang w:val="en-US"/>
        </w:rPr>
        <w:t>manifestation rates were</w:t>
      </w:r>
      <w:r w:rsidR="00970969" w:rsidRPr="008B433C">
        <w:rPr>
          <w:lang w:val="en-US"/>
        </w:rPr>
        <w:t xml:space="preserve"> </w:t>
      </w:r>
      <w:r w:rsidR="00790656" w:rsidRPr="008B433C">
        <w:rPr>
          <w:lang w:val="en-US"/>
        </w:rPr>
        <w:t xml:space="preserve">structurally unavoidable, </w:t>
      </w:r>
      <w:r w:rsidR="0078707E" w:rsidRPr="008B433C">
        <w:rPr>
          <w:lang w:val="en-US"/>
        </w:rPr>
        <w:t xml:space="preserve">these assumptions </w:t>
      </w:r>
      <w:r w:rsidR="006C1359" w:rsidRPr="008B433C">
        <w:rPr>
          <w:lang w:val="en-US"/>
        </w:rPr>
        <w:t xml:space="preserve">introduced substantial uncertainty in the modelled </w:t>
      </w:r>
      <w:r w:rsidR="00701AA4" w:rsidRPr="008B433C">
        <w:rPr>
          <w:lang w:val="en-US"/>
        </w:rPr>
        <w:t xml:space="preserve">costs and </w:t>
      </w:r>
      <w:r w:rsidR="006C1359" w:rsidRPr="008B433C">
        <w:rPr>
          <w:lang w:val="en-US"/>
        </w:rPr>
        <w:t>outcomes</w:t>
      </w:r>
      <w:r w:rsidR="0078707E" w:rsidRPr="008B433C">
        <w:rPr>
          <w:lang w:val="en-US"/>
        </w:rPr>
        <w:t>.</w:t>
      </w:r>
    </w:p>
    <w:p w14:paraId="0B127AED" w14:textId="39AF419C" w:rsidR="00500384" w:rsidRPr="0031419F" w:rsidRDefault="00500384" w:rsidP="006E677C">
      <w:pPr>
        <w:pStyle w:val="Caption"/>
      </w:pPr>
      <w:bookmarkStart w:id="44" w:name="_Ref196154666"/>
      <w:r w:rsidRPr="0031419F">
        <w:t xml:space="preserve">Table </w:t>
      </w:r>
      <w:r w:rsidR="00C34379">
        <w:fldChar w:fldCharType="begin" w:fldLock="1"/>
      </w:r>
      <w:r w:rsidR="00C34379">
        <w:instrText xml:space="preserve"> SEQ Table \* ARABIC </w:instrText>
      </w:r>
      <w:r w:rsidR="00C34379">
        <w:fldChar w:fldCharType="separate"/>
      </w:r>
      <w:r w:rsidR="00C34379">
        <w:rPr>
          <w:noProof/>
        </w:rPr>
        <w:t>16</w:t>
      </w:r>
      <w:r w:rsidR="00C34379">
        <w:rPr>
          <w:noProof/>
        </w:rPr>
        <w:fldChar w:fldCharType="end"/>
      </w:r>
      <w:bookmarkEnd w:id="44"/>
      <w:r w:rsidRPr="0031419F">
        <w:t>: Incidences, resolutions, and severity reductions for each manifestation given treatment with leniolisib</w:t>
      </w:r>
    </w:p>
    <w:tbl>
      <w:tblPr>
        <w:tblStyle w:val="TableGrid"/>
        <w:tblW w:w="0" w:type="auto"/>
        <w:tblLook w:val="04A0" w:firstRow="1" w:lastRow="0" w:firstColumn="1" w:lastColumn="0" w:noHBand="0" w:noVBand="1"/>
        <w:tblCaption w:val="Table 16: Incidences, resolutions, and severity reductions for each manifestation given treatment with leniolisib"/>
      </w:tblPr>
      <w:tblGrid>
        <w:gridCol w:w="2551"/>
        <w:gridCol w:w="2064"/>
        <w:gridCol w:w="2516"/>
        <w:gridCol w:w="1767"/>
      </w:tblGrid>
      <w:tr w:rsidR="00500384" w:rsidRPr="0031419F" w14:paraId="4A2DBD15" w14:textId="77777777" w:rsidTr="000B4467">
        <w:tc>
          <w:tcPr>
            <w:tcW w:w="2577" w:type="dxa"/>
          </w:tcPr>
          <w:p w14:paraId="5F028A79" w14:textId="77777777" w:rsidR="00500384" w:rsidRPr="0031419F" w:rsidRDefault="00500384" w:rsidP="006E677C">
            <w:pPr>
              <w:pStyle w:val="In-tableHeading"/>
              <w:rPr>
                <w:lang w:val="en-AU"/>
              </w:rPr>
            </w:pPr>
            <w:r w:rsidRPr="0031419F">
              <w:rPr>
                <w:lang w:val="en-AU"/>
              </w:rPr>
              <w:t>Manifestation</w:t>
            </w:r>
          </w:p>
        </w:tc>
        <w:tc>
          <w:tcPr>
            <w:tcW w:w="2096" w:type="dxa"/>
          </w:tcPr>
          <w:p w14:paraId="7F871C85" w14:textId="77777777" w:rsidR="00500384" w:rsidRPr="0031419F" w:rsidRDefault="00500384" w:rsidP="006E677C">
            <w:pPr>
              <w:pStyle w:val="In-tableHeading"/>
              <w:rPr>
                <w:lang w:val="en-AU"/>
              </w:rPr>
            </w:pPr>
            <w:r w:rsidRPr="0031419F">
              <w:rPr>
                <w:lang w:val="en-AU"/>
              </w:rPr>
              <w:t>HR for incidence per year</w:t>
            </w:r>
          </w:p>
        </w:tc>
        <w:tc>
          <w:tcPr>
            <w:tcW w:w="2552" w:type="dxa"/>
          </w:tcPr>
          <w:p w14:paraId="7D5E0EFA" w14:textId="77777777" w:rsidR="00500384" w:rsidRPr="0031419F" w:rsidRDefault="00500384" w:rsidP="006E677C">
            <w:pPr>
              <w:pStyle w:val="In-tableHeading"/>
              <w:rPr>
                <w:lang w:val="en-AU"/>
              </w:rPr>
            </w:pPr>
            <w:r w:rsidRPr="0031419F">
              <w:rPr>
                <w:lang w:val="en-AU"/>
              </w:rPr>
              <w:t>% resolution of manifestation in the first year</w:t>
            </w:r>
          </w:p>
        </w:tc>
        <w:tc>
          <w:tcPr>
            <w:tcW w:w="1791" w:type="dxa"/>
          </w:tcPr>
          <w:p w14:paraId="1C7185FB" w14:textId="77777777" w:rsidR="00500384" w:rsidRPr="0031419F" w:rsidRDefault="00500384" w:rsidP="006E677C">
            <w:pPr>
              <w:pStyle w:val="In-tableHeading"/>
              <w:rPr>
                <w:lang w:val="en-AU"/>
              </w:rPr>
            </w:pPr>
            <w:r w:rsidRPr="0031419F">
              <w:rPr>
                <w:lang w:val="en-AU"/>
              </w:rPr>
              <w:t>% severity reduction</w:t>
            </w:r>
          </w:p>
        </w:tc>
      </w:tr>
      <w:tr w:rsidR="00500384" w:rsidRPr="0031419F" w14:paraId="58646238" w14:textId="77777777" w:rsidTr="000B4467">
        <w:tc>
          <w:tcPr>
            <w:tcW w:w="2577" w:type="dxa"/>
          </w:tcPr>
          <w:p w14:paraId="57BBB2BB" w14:textId="77777777" w:rsidR="00500384" w:rsidRPr="0031419F" w:rsidRDefault="00500384" w:rsidP="006E677C">
            <w:pPr>
              <w:pStyle w:val="Tabletext"/>
              <w:keepNext/>
              <w:keepLines/>
            </w:pPr>
            <w:r w:rsidRPr="0031419F">
              <w:t>Lymphoproliferation</w:t>
            </w:r>
          </w:p>
        </w:tc>
        <w:tc>
          <w:tcPr>
            <w:tcW w:w="2096" w:type="dxa"/>
            <w:vAlign w:val="center"/>
          </w:tcPr>
          <w:p w14:paraId="56C4A38C" w14:textId="67A96719" w:rsidR="00500384" w:rsidRPr="0031419F" w:rsidRDefault="00500384" w:rsidP="006E677C">
            <w:pPr>
              <w:pStyle w:val="Tabletext"/>
              <w:keepNext/>
              <w:keepLines/>
              <w:jc w:val="center"/>
            </w:pPr>
            <w:r w:rsidRPr="0031419F">
              <w:t>0.00</w:t>
            </w:r>
            <w:r w:rsidR="008F22F7" w:rsidRPr="0031419F">
              <w:rPr>
                <w:vertAlign w:val="superscript"/>
              </w:rPr>
              <w:t>a</w:t>
            </w:r>
          </w:p>
        </w:tc>
        <w:tc>
          <w:tcPr>
            <w:tcW w:w="2552" w:type="dxa"/>
            <w:vAlign w:val="center"/>
          </w:tcPr>
          <w:p w14:paraId="50C3161D" w14:textId="77777777" w:rsidR="00500384" w:rsidRPr="0031419F" w:rsidRDefault="00500384" w:rsidP="006E677C">
            <w:pPr>
              <w:pStyle w:val="Tabletext"/>
              <w:keepNext/>
              <w:keepLines/>
              <w:jc w:val="center"/>
            </w:pPr>
            <w:r w:rsidRPr="0031419F">
              <w:t>96%</w:t>
            </w:r>
          </w:p>
        </w:tc>
        <w:tc>
          <w:tcPr>
            <w:tcW w:w="1791" w:type="dxa"/>
            <w:vAlign w:val="center"/>
          </w:tcPr>
          <w:p w14:paraId="673431B9" w14:textId="77777777" w:rsidR="00500384" w:rsidRPr="0031419F" w:rsidRDefault="00500384" w:rsidP="006E677C">
            <w:pPr>
              <w:pStyle w:val="Tabletext"/>
              <w:keepNext/>
              <w:keepLines/>
              <w:jc w:val="center"/>
            </w:pPr>
            <w:r w:rsidRPr="0031419F">
              <w:t>NA</w:t>
            </w:r>
          </w:p>
        </w:tc>
      </w:tr>
      <w:tr w:rsidR="00500384" w:rsidRPr="0031419F" w14:paraId="708F4466" w14:textId="77777777" w:rsidTr="000B4467">
        <w:tc>
          <w:tcPr>
            <w:tcW w:w="2577" w:type="dxa"/>
          </w:tcPr>
          <w:p w14:paraId="1E18DA48" w14:textId="77777777" w:rsidR="00500384" w:rsidRPr="0031419F" w:rsidRDefault="00500384" w:rsidP="006E677C">
            <w:pPr>
              <w:pStyle w:val="Tabletext"/>
              <w:keepNext/>
              <w:keepLines/>
            </w:pPr>
            <w:r w:rsidRPr="0031419F">
              <w:t>Gastrointestinal manifestations</w:t>
            </w:r>
          </w:p>
        </w:tc>
        <w:tc>
          <w:tcPr>
            <w:tcW w:w="2096" w:type="dxa"/>
            <w:vAlign w:val="center"/>
          </w:tcPr>
          <w:p w14:paraId="3A7AD120" w14:textId="76B3BBB0" w:rsidR="00500384" w:rsidRPr="0031419F" w:rsidRDefault="00500384" w:rsidP="006E677C">
            <w:pPr>
              <w:pStyle w:val="Tabletext"/>
              <w:keepNext/>
              <w:keepLines/>
              <w:jc w:val="center"/>
            </w:pPr>
            <w:r w:rsidRPr="0031419F">
              <w:t>0.00</w:t>
            </w:r>
            <w:r w:rsidR="008F22F7" w:rsidRPr="0031419F">
              <w:rPr>
                <w:vertAlign w:val="superscript"/>
              </w:rPr>
              <w:t>a</w:t>
            </w:r>
          </w:p>
        </w:tc>
        <w:tc>
          <w:tcPr>
            <w:tcW w:w="2552" w:type="dxa"/>
            <w:vAlign w:val="center"/>
          </w:tcPr>
          <w:p w14:paraId="14B591B8" w14:textId="77777777" w:rsidR="00500384" w:rsidRPr="0031419F" w:rsidRDefault="00500384" w:rsidP="006E677C">
            <w:pPr>
              <w:pStyle w:val="Tabletext"/>
              <w:keepNext/>
              <w:keepLines/>
              <w:jc w:val="center"/>
            </w:pPr>
            <w:r w:rsidRPr="0031419F">
              <w:t>36%</w:t>
            </w:r>
          </w:p>
        </w:tc>
        <w:tc>
          <w:tcPr>
            <w:tcW w:w="1791" w:type="dxa"/>
            <w:vAlign w:val="center"/>
          </w:tcPr>
          <w:p w14:paraId="14A3F233" w14:textId="77777777" w:rsidR="00500384" w:rsidRPr="0031419F" w:rsidRDefault="00500384" w:rsidP="006E677C">
            <w:pPr>
              <w:pStyle w:val="Tabletext"/>
              <w:keepNext/>
              <w:keepLines/>
              <w:jc w:val="center"/>
            </w:pPr>
            <w:r w:rsidRPr="0031419F">
              <w:t>78%</w:t>
            </w:r>
          </w:p>
        </w:tc>
      </w:tr>
      <w:tr w:rsidR="00500384" w:rsidRPr="0031419F" w14:paraId="7783C957" w14:textId="77777777" w:rsidTr="000B4467">
        <w:tc>
          <w:tcPr>
            <w:tcW w:w="2577" w:type="dxa"/>
          </w:tcPr>
          <w:p w14:paraId="433FEDE6" w14:textId="77777777" w:rsidR="00500384" w:rsidRPr="0031419F" w:rsidRDefault="00500384" w:rsidP="006E677C">
            <w:pPr>
              <w:pStyle w:val="Tabletext"/>
              <w:keepNext/>
              <w:keepLines/>
            </w:pPr>
            <w:r w:rsidRPr="0031419F">
              <w:t>Cytopenia</w:t>
            </w:r>
          </w:p>
        </w:tc>
        <w:tc>
          <w:tcPr>
            <w:tcW w:w="2096" w:type="dxa"/>
            <w:vAlign w:val="center"/>
          </w:tcPr>
          <w:p w14:paraId="06965950" w14:textId="2A5D43D1" w:rsidR="00500384" w:rsidRPr="0031419F" w:rsidRDefault="00500384" w:rsidP="006E677C">
            <w:pPr>
              <w:pStyle w:val="Tabletext"/>
              <w:keepNext/>
              <w:keepLines/>
              <w:jc w:val="center"/>
            </w:pPr>
            <w:r w:rsidRPr="0031419F">
              <w:t>0.00</w:t>
            </w:r>
            <w:r w:rsidR="008F22F7" w:rsidRPr="0031419F">
              <w:rPr>
                <w:vertAlign w:val="superscript"/>
              </w:rPr>
              <w:t>a</w:t>
            </w:r>
          </w:p>
        </w:tc>
        <w:tc>
          <w:tcPr>
            <w:tcW w:w="2552" w:type="dxa"/>
            <w:vAlign w:val="center"/>
          </w:tcPr>
          <w:p w14:paraId="50ED13D9" w14:textId="77777777" w:rsidR="00500384" w:rsidRPr="0031419F" w:rsidRDefault="00500384" w:rsidP="006E677C">
            <w:pPr>
              <w:pStyle w:val="Tabletext"/>
              <w:keepNext/>
              <w:keepLines/>
              <w:jc w:val="center"/>
            </w:pPr>
            <w:r w:rsidRPr="0031419F">
              <w:t>78%</w:t>
            </w:r>
          </w:p>
        </w:tc>
        <w:tc>
          <w:tcPr>
            <w:tcW w:w="1791" w:type="dxa"/>
            <w:vAlign w:val="center"/>
          </w:tcPr>
          <w:p w14:paraId="321F581B" w14:textId="77777777" w:rsidR="00500384" w:rsidRPr="0031419F" w:rsidRDefault="00500384" w:rsidP="006E677C">
            <w:pPr>
              <w:pStyle w:val="Tabletext"/>
              <w:keepNext/>
              <w:keepLines/>
              <w:jc w:val="center"/>
            </w:pPr>
            <w:r w:rsidRPr="0031419F">
              <w:t>NA</w:t>
            </w:r>
          </w:p>
        </w:tc>
      </w:tr>
      <w:tr w:rsidR="00500384" w:rsidRPr="0031419F" w14:paraId="05158C3F" w14:textId="77777777" w:rsidTr="000B4467">
        <w:tc>
          <w:tcPr>
            <w:tcW w:w="2577" w:type="dxa"/>
          </w:tcPr>
          <w:p w14:paraId="15CFFE07" w14:textId="77777777" w:rsidR="00500384" w:rsidRPr="0031419F" w:rsidRDefault="00500384" w:rsidP="006E677C">
            <w:pPr>
              <w:pStyle w:val="Tabletext"/>
              <w:keepNext/>
              <w:keepLines/>
            </w:pPr>
            <w:r w:rsidRPr="0031419F">
              <w:t>Infections</w:t>
            </w:r>
          </w:p>
        </w:tc>
        <w:tc>
          <w:tcPr>
            <w:tcW w:w="2096" w:type="dxa"/>
            <w:vAlign w:val="center"/>
          </w:tcPr>
          <w:p w14:paraId="675109EA" w14:textId="77777777" w:rsidR="00500384" w:rsidRPr="0031419F" w:rsidRDefault="00500384" w:rsidP="006E677C">
            <w:pPr>
              <w:pStyle w:val="Tabletext"/>
              <w:keepNext/>
              <w:keepLines/>
              <w:jc w:val="center"/>
            </w:pPr>
            <w:r w:rsidRPr="0031419F">
              <w:t>1.00</w:t>
            </w:r>
          </w:p>
        </w:tc>
        <w:tc>
          <w:tcPr>
            <w:tcW w:w="2552" w:type="dxa"/>
            <w:vAlign w:val="center"/>
          </w:tcPr>
          <w:p w14:paraId="2AF638C4" w14:textId="77777777" w:rsidR="00500384" w:rsidRPr="0031419F" w:rsidRDefault="00500384" w:rsidP="006E677C">
            <w:pPr>
              <w:pStyle w:val="Tabletext"/>
              <w:keepNext/>
              <w:keepLines/>
              <w:jc w:val="center"/>
            </w:pPr>
            <w:r w:rsidRPr="0031419F">
              <w:t>0%</w:t>
            </w:r>
          </w:p>
        </w:tc>
        <w:tc>
          <w:tcPr>
            <w:tcW w:w="1791" w:type="dxa"/>
            <w:vAlign w:val="center"/>
          </w:tcPr>
          <w:p w14:paraId="42EC7A1D" w14:textId="77777777" w:rsidR="00500384" w:rsidRPr="0031419F" w:rsidRDefault="00500384" w:rsidP="006E677C">
            <w:pPr>
              <w:pStyle w:val="Tabletext"/>
              <w:keepNext/>
              <w:keepLines/>
              <w:jc w:val="center"/>
            </w:pPr>
            <w:r w:rsidRPr="0031419F">
              <w:t>NA</w:t>
            </w:r>
          </w:p>
        </w:tc>
      </w:tr>
      <w:tr w:rsidR="00500384" w:rsidRPr="0031419F" w14:paraId="6AAF730E" w14:textId="77777777" w:rsidTr="000B4467">
        <w:tc>
          <w:tcPr>
            <w:tcW w:w="2577" w:type="dxa"/>
          </w:tcPr>
          <w:p w14:paraId="26B1FAF8" w14:textId="77777777" w:rsidR="00500384" w:rsidRPr="0031419F" w:rsidRDefault="00500384" w:rsidP="006E677C">
            <w:pPr>
              <w:pStyle w:val="Tabletext"/>
              <w:keepNext/>
              <w:keepLines/>
            </w:pPr>
            <w:r w:rsidRPr="0031419F">
              <w:t>Malignancies</w:t>
            </w:r>
          </w:p>
        </w:tc>
        <w:tc>
          <w:tcPr>
            <w:tcW w:w="2096" w:type="dxa"/>
            <w:vAlign w:val="center"/>
          </w:tcPr>
          <w:p w14:paraId="14F5CAC5" w14:textId="77777777" w:rsidR="00500384" w:rsidRPr="0031419F" w:rsidRDefault="00500384" w:rsidP="006E677C">
            <w:pPr>
              <w:pStyle w:val="Tabletext"/>
              <w:keepNext/>
              <w:keepLines/>
              <w:jc w:val="center"/>
            </w:pPr>
            <w:r w:rsidRPr="0031419F">
              <w:t>0.41</w:t>
            </w:r>
          </w:p>
        </w:tc>
        <w:tc>
          <w:tcPr>
            <w:tcW w:w="2552" w:type="dxa"/>
            <w:vAlign w:val="center"/>
          </w:tcPr>
          <w:p w14:paraId="3470B6C4" w14:textId="77777777" w:rsidR="00500384" w:rsidRPr="0031419F" w:rsidRDefault="00500384" w:rsidP="006E677C">
            <w:pPr>
              <w:pStyle w:val="Tabletext"/>
              <w:keepNext/>
              <w:keepLines/>
              <w:jc w:val="center"/>
            </w:pPr>
            <w:r w:rsidRPr="0031419F">
              <w:t>0%</w:t>
            </w:r>
          </w:p>
        </w:tc>
        <w:tc>
          <w:tcPr>
            <w:tcW w:w="1791" w:type="dxa"/>
            <w:vAlign w:val="center"/>
          </w:tcPr>
          <w:p w14:paraId="632056D1" w14:textId="77777777" w:rsidR="00500384" w:rsidRPr="0031419F" w:rsidRDefault="00500384" w:rsidP="006E677C">
            <w:pPr>
              <w:pStyle w:val="Tabletext"/>
              <w:keepNext/>
              <w:keepLines/>
              <w:jc w:val="center"/>
            </w:pPr>
            <w:r w:rsidRPr="0031419F">
              <w:t>NA</w:t>
            </w:r>
          </w:p>
        </w:tc>
      </w:tr>
      <w:tr w:rsidR="00500384" w:rsidRPr="0031419F" w14:paraId="2C2D37EF" w14:textId="77777777" w:rsidTr="000B4467">
        <w:tc>
          <w:tcPr>
            <w:tcW w:w="2577" w:type="dxa"/>
          </w:tcPr>
          <w:p w14:paraId="67DDC5D6" w14:textId="69DCBB91" w:rsidR="00500384" w:rsidRPr="0031419F" w:rsidRDefault="00500384" w:rsidP="006E677C">
            <w:pPr>
              <w:pStyle w:val="Tabletext"/>
              <w:keepNext/>
              <w:keepLines/>
            </w:pPr>
            <w:r w:rsidRPr="0031419F">
              <w:t>Bronchiectasis-associated airway disease</w:t>
            </w:r>
            <w:r w:rsidR="001F29C4" w:rsidRPr="0031419F">
              <w:t xml:space="preserve"> (excluding advanced lung disease)</w:t>
            </w:r>
          </w:p>
        </w:tc>
        <w:tc>
          <w:tcPr>
            <w:tcW w:w="2096" w:type="dxa"/>
            <w:vAlign w:val="center"/>
          </w:tcPr>
          <w:p w14:paraId="41FB9635" w14:textId="77777777" w:rsidR="00500384" w:rsidRPr="0031419F" w:rsidRDefault="00500384" w:rsidP="006E677C">
            <w:pPr>
              <w:pStyle w:val="Tabletext"/>
              <w:keepNext/>
              <w:keepLines/>
              <w:jc w:val="center"/>
            </w:pPr>
            <w:r w:rsidRPr="0031419F">
              <w:t>0.28</w:t>
            </w:r>
          </w:p>
        </w:tc>
        <w:tc>
          <w:tcPr>
            <w:tcW w:w="2552" w:type="dxa"/>
            <w:vAlign w:val="center"/>
          </w:tcPr>
          <w:p w14:paraId="6BBE4592" w14:textId="77777777" w:rsidR="00500384" w:rsidRPr="0031419F" w:rsidRDefault="00500384" w:rsidP="006E677C">
            <w:pPr>
              <w:pStyle w:val="Tabletext"/>
              <w:keepNext/>
              <w:keepLines/>
              <w:jc w:val="center"/>
            </w:pPr>
            <w:r w:rsidRPr="0031419F">
              <w:t>10%</w:t>
            </w:r>
          </w:p>
        </w:tc>
        <w:tc>
          <w:tcPr>
            <w:tcW w:w="1791" w:type="dxa"/>
            <w:vAlign w:val="center"/>
          </w:tcPr>
          <w:p w14:paraId="7D7FD577" w14:textId="77777777" w:rsidR="00500384" w:rsidRPr="0031419F" w:rsidRDefault="00500384" w:rsidP="006E677C">
            <w:pPr>
              <w:pStyle w:val="Tabletext"/>
              <w:keepNext/>
              <w:keepLines/>
              <w:jc w:val="center"/>
            </w:pPr>
            <w:r w:rsidRPr="0031419F">
              <w:t>33%</w:t>
            </w:r>
          </w:p>
        </w:tc>
      </w:tr>
      <w:tr w:rsidR="00500384" w:rsidRPr="0031419F" w14:paraId="5440EF43" w14:textId="77777777" w:rsidTr="000B4467">
        <w:tc>
          <w:tcPr>
            <w:tcW w:w="2577" w:type="dxa"/>
          </w:tcPr>
          <w:p w14:paraId="5DC78F7C" w14:textId="77777777" w:rsidR="00500384" w:rsidRPr="0031419F" w:rsidRDefault="00500384" w:rsidP="006E677C">
            <w:pPr>
              <w:pStyle w:val="Tabletext"/>
              <w:keepNext/>
              <w:keepLines/>
            </w:pPr>
            <w:r w:rsidRPr="0031419F">
              <w:t>Advanced lung disease</w:t>
            </w:r>
          </w:p>
        </w:tc>
        <w:tc>
          <w:tcPr>
            <w:tcW w:w="2096" w:type="dxa"/>
            <w:vAlign w:val="center"/>
          </w:tcPr>
          <w:p w14:paraId="4BD862B6" w14:textId="77777777" w:rsidR="00500384" w:rsidRPr="0031419F" w:rsidRDefault="00500384" w:rsidP="006E677C">
            <w:pPr>
              <w:pStyle w:val="Tabletext"/>
              <w:keepNext/>
              <w:keepLines/>
              <w:jc w:val="center"/>
            </w:pPr>
            <w:r w:rsidRPr="0031419F">
              <w:t>0.00</w:t>
            </w:r>
          </w:p>
        </w:tc>
        <w:tc>
          <w:tcPr>
            <w:tcW w:w="2552" w:type="dxa"/>
            <w:vAlign w:val="center"/>
          </w:tcPr>
          <w:p w14:paraId="474FB1B7" w14:textId="77777777" w:rsidR="00500384" w:rsidRPr="0031419F" w:rsidRDefault="00500384" w:rsidP="006E677C">
            <w:pPr>
              <w:pStyle w:val="Tabletext"/>
              <w:keepNext/>
              <w:keepLines/>
              <w:jc w:val="center"/>
            </w:pPr>
            <w:r w:rsidRPr="0031419F">
              <w:t>0%</w:t>
            </w:r>
          </w:p>
        </w:tc>
        <w:tc>
          <w:tcPr>
            <w:tcW w:w="1791" w:type="dxa"/>
            <w:vAlign w:val="center"/>
          </w:tcPr>
          <w:p w14:paraId="57618BE7" w14:textId="77777777" w:rsidR="00500384" w:rsidRPr="0031419F" w:rsidRDefault="00500384" w:rsidP="006E677C">
            <w:pPr>
              <w:pStyle w:val="Tabletext"/>
              <w:keepNext/>
              <w:keepLines/>
              <w:jc w:val="center"/>
            </w:pPr>
            <w:r w:rsidRPr="0031419F">
              <w:t>100%</w:t>
            </w:r>
          </w:p>
        </w:tc>
      </w:tr>
      <w:tr w:rsidR="00500384" w:rsidRPr="0031419F" w14:paraId="44A0BC09" w14:textId="77777777" w:rsidTr="000B4467">
        <w:tc>
          <w:tcPr>
            <w:tcW w:w="2577" w:type="dxa"/>
          </w:tcPr>
          <w:p w14:paraId="5A27CF14" w14:textId="77777777" w:rsidR="00500384" w:rsidRPr="0031419F" w:rsidRDefault="00500384" w:rsidP="006E677C">
            <w:pPr>
              <w:pStyle w:val="Tabletext"/>
              <w:keepNext/>
              <w:keepLines/>
            </w:pPr>
            <w:r w:rsidRPr="0031419F">
              <w:t>Hearing loss</w:t>
            </w:r>
          </w:p>
        </w:tc>
        <w:tc>
          <w:tcPr>
            <w:tcW w:w="2096" w:type="dxa"/>
            <w:vAlign w:val="center"/>
          </w:tcPr>
          <w:p w14:paraId="44402821" w14:textId="77777777" w:rsidR="00500384" w:rsidRPr="0031419F" w:rsidRDefault="00500384" w:rsidP="006E677C">
            <w:pPr>
              <w:pStyle w:val="Tabletext"/>
              <w:keepNext/>
              <w:keepLines/>
              <w:jc w:val="center"/>
            </w:pPr>
            <w:r w:rsidRPr="0031419F">
              <w:t>0.33</w:t>
            </w:r>
          </w:p>
        </w:tc>
        <w:tc>
          <w:tcPr>
            <w:tcW w:w="2552" w:type="dxa"/>
            <w:vAlign w:val="center"/>
          </w:tcPr>
          <w:p w14:paraId="6C50491C" w14:textId="77777777" w:rsidR="00500384" w:rsidRPr="0031419F" w:rsidRDefault="00500384" w:rsidP="006E677C">
            <w:pPr>
              <w:pStyle w:val="Tabletext"/>
              <w:keepNext/>
              <w:keepLines/>
              <w:jc w:val="center"/>
            </w:pPr>
            <w:r w:rsidRPr="0031419F">
              <w:t>0%</w:t>
            </w:r>
          </w:p>
        </w:tc>
        <w:tc>
          <w:tcPr>
            <w:tcW w:w="1791" w:type="dxa"/>
            <w:vAlign w:val="center"/>
          </w:tcPr>
          <w:p w14:paraId="5F11B02E" w14:textId="77777777" w:rsidR="00500384" w:rsidRPr="0031419F" w:rsidRDefault="00500384" w:rsidP="006E677C">
            <w:pPr>
              <w:pStyle w:val="Tabletext"/>
              <w:keepNext/>
              <w:keepLines/>
              <w:jc w:val="center"/>
            </w:pPr>
            <w:r w:rsidRPr="0031419F">
              <w:t>NA</w:t>
            </w:r>
          </w:p>
        </w:tc>
      </w:tr>
    </w:tbl>
    <w:p w14:paraId="655A919D" w14:textId="77777777" w:rsidR="00500384" w:rsidRPr="0031419F" w:rsidRDefault="00500384" w:rsidP="006E677C">
      <w:pPr>
        <w:pStyle w:val="TableFigureFooter"/>
        <w:keepNext/>
        <w:rPr>
          <w:lang w:val="en-AU"/>
        </w:rPr>
      </w:pPr>
      <w:r w:rsidRPr="0031419F">
        <w:rPr>
          <w:lang w:val="en-AU"/>
        </w:rPr>
        <w:t>HR = hazard ratio</w:t>
      </w:r>
    </w:p>
    <w:p w14:paraId="3C011866" w14:textId="52A4FC1F" w:rsidR="008F22F7" w:rsidRPr="0031419F" w:rsidRDefault="008F22F7" w:rsidP="006E677C">
      <w:pPr>
        <w:pStyle w:val="TableFigureFooter"/>
        <w:keepNext/>
        <w:rPr>
          <w:lang w:val="en-AU"/>
        </w:rPr>
      </w:pPr>
      <w:r w:rsidRPr="0031419F">
        <w:rPr>
          <w:vertAlign w:val="superscript"/>
          <w:lang w:val="en-AU"/>
        </w:rPr>
        <w:t>a</w:t>
      </w:r>
      <w:r w:rsidRPr="0031419F">
        <w:rPr>
          <w:lang w:val="en-AU"/>
        </w:rPr>
        <w:t xml:space="preserve"> The incidence rates for lymphoproliferation, GI manifestations, cytopenia and advanced lung disease were assumed to be 0. i.e., the incidence of these manifestations was reduced by 100% </w:t>
      </w:r>
      <w:r w:rsidR="00F74DC1" w:rsidRPr="0031419F">
        <w:rPr>
          <w:lang w:val="en-AU"/>
        </w:rPr>
        <w:t xml:space="preserve">compared to the SoC arm </w:t>
      </w:r>
      <w:r w:rsidRPr="0031419F">
        <w:rPr>
          <w:lang w:val="en-AU"/>
        </w:rPr>
        <w:t>when patients received treatment with leniolisib.</w:t>
      </w:r>
    </w:p>
    <w:p w14:paraId="5E9126E6" w14:textId="1EB25F5C" w:rsidR="00500384" w:rsidRPr="0031419F" w:rsidRDefault="00500384" w:rsidP="006E677C">
      <w:pPr>
        <w:pStyle w:val="TableFigureFooter"/>
        <w:keepNext/>
        <w:rPr>
          <w:lang w:val="en-AU"/>
        </w:rPr>
      </w:pPr>
      <w:r w:rsidRPr="0031419F">
        <w:rPr>
          <w:lang w:val="en-AU"/>
        </w:rPr>
        <w:t>Source: Manifestations sheet, PHG LENIOLISIB CUA MODEL FINAL.xlsm</w:t>
      </w:r>
    </w:p>
    <w:p w14:paraId="6A138E34" w14:textId="5CB2E920" w:rsidR="006E677C" w:rsidRPr="0031419F" w:rsidRDefault="006E677C" w:rsidP="006E677C">
      <w:pPr>
        <w:pStyle w:val="3-BodyText"/>
        <w:spacing w:before="0" w:after="120"/>
        <w:rPr>
          <w:rFonts w:cs="Times New Roman"/>
        </w:rPr>
      </w:pPr>
      <w:r w:rsidRPr="0031419F">
        <w:rPr>
          <w:rFonts w:cs="Times New Roman"/>
        </w:rPr>
        <w:t xml:space="preserve">Among the modelled reductions in manifestation rates, </w:t>
      </w:r>
      <w:r w:rsidR="00701AA4">
        <w:rPr>
          <w:rFonts w:cs="Times New Roman"/>
        </w:rPr>
        <w:t>those with the highest impact</w:t>
      </w:r>
      <w:r w:rsidRPr="0031419F">
        <w:rPr>
          <w:rFonts w:cs="Times New Roman"/>
        </w:rPr>
        <w:t xml:space="preserve"> on the ICER were:</w:t>
      </w:r>
    </w:p>
    <w:p w14:paraId="0B435961" w14:textId="724F93CD" w:rsidR="006E677C" w:rsidRPr="0031419F" w:rsidRDefault="006E677C" w:rsidP="0022639C">
      <w:pPr>
        <w:pStyle w:val="ListParagraph"/>
        <w:numPr>
          <w:ilvl w:val="0"/>
          <w:numId w:val="18"/>
        </w:numPr>
        <w:ind w:left="1276" w:hanging="425"/>
        <w:jc w:val="both"/>
      </w:pPr>
      <w:r w:rsidRPr="0031419F">
        <w:t>Lymphoproliferation (</w:t>
      </w:r>
      <w:r w:rsidR="00313654" w:rsidRPr="0031419F">
        <w:t xml:space="preserve">assumed HR = 1 and 0% resolution </w:t>
      </w:r>
      <w:r w:rsidRPr="0031419F">
        <w:rPr>
          <w:rFonts w:ascii="Calibri" w:hAnsi="Calibri"/>
          <w:snapToGrid/>
        </w:rPr>
        <w:t>increased the ICER</w:t>
      </w:r>
      <w:r w:rsidRPr="0031419F">
        <w:t xml:space="preserve"> by </w:t>
      </w:r>
      <w:r w:rsidR="001F60D7" w:rsidRPr="00C740B8">
        <w:rPr>
          <w:color w:val="000000"/>
          <w:w w:val="15"/>
          <w:shd w:val="solid" w:color="000000" w:fill="000000"/>
          <w:fitText w:val="-20" w:id="-629967608"/>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8"/>
          <w14:textFill>
            <w14:solidFill>
              <w14:srgbClr w14:val="000000">
                <w14:alpha w14:val="100000"/>
              </w14:srgbClr>
            </w14:solidFill>
          </w14:textFill>
        </w:rPr>
        <w:t>|</w:t>
      </w:r>
      <w:r w:rsidRPr="0031419F">
        <w:t xml:space="preserve">%). The HR of 0 was based on there being no reports of persistent lymphoproliferation in Study 2201 Parts I and II, and Study 2201E1 (data cut-off May 2024) or the EAP survey. </w:t>
      </w:r>
      <w:r w:rsidR="00116E16" w:rsidRPr="0031419F">
        <w:t>However,</w:t>
      </w:r>
      <w:r w:rsidRPr="0031419F">
        <w:t xml:space="preserve"> three incidences of non-persistent lymphadenopathy were reported in Study 2201, and it may therefore have been reasonable to assume that some patients receiving leniolisib would experience lymphoproliferation;</w:t>
      </w:r>
      <w:r w:rsidR="00D5183A" w:rsidRPr="0031419F">
        <w:t xml:space="preserve"> and</w:t>
      </w:r>
    </w:p>
    <w:p w14:paraId="31C894B6" w14:textId="46FB6AEA" w:rsidR="006E677C" w:rsidRPr="0031419F" w:rsidRDefault="006E677C" w:rsidP="0022639C">
      <w:pPr>
        <w:pStyle w:val="ListParagraph"/>
        <w:numPr>
          <w:ilvl w:val="0"/>
          <w:numId w:val="18"/>
        </w:numPr>
        <w:ind w:left="1276" w:hanging="425"/>
        <w:jc w:val="both"/>
      </w:pPr>
      <w:r w:rsidRPr="0031419F">
        <w:t>Gastrointestinal (GI) manifestations (</w:t>
      </w:r>
      <w:r w:rsidR="00313654" w:rsidRPr="0031419F">
        <w:t xml:space="preserve">assumed HR = 1 and 0% resolution </w:t>
      </w:r>
      <w:r w:rsidR="00313654" w:rsidRPr="0031419F">
        <w:rPr>
          <w:rFonts w:ascii="Calibri" w:hAnsi="Calibri"/>
          <w:snapToGrid/>
        </w:rPr>
        <w:t>increased the ICER</w:t>
      </w:r>
      <w:r w:rsidR="00313654" w:rsidRPr="0031419F">
        <w:t xml:space="preserve"> by </w:t>
      </w:r>
      <w:r w:rsidR="001F60D7" w:rsidRPr="00C740B8">
        <w:rPr>
          <w:color w:val="000000"/>
          <w:w w:val="15"/>
          <w:shd w:val="solid" w:color="000000" w:fill="000000"/>
          <w:fitText w:val="-20" w:id="-629967607"/>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7"/>
          <w14:textFill>
            <w14:solidFill>
              <w14:srgbClr w14:val="000000">
                <w14:alpha w14:val="100000"/>
              </w14:srgbClr>
            </w14:solidFill>
          </w14:textFill>
        </w:rPr>
        <w:t>|</w:t>
      </w:r>
      <w:r w:rsidR="00313654" w:rsidRPr="0031419F">
        <w:t>%</w:t>
      </w:r>
      <w:r w:rsidRPr="0031419F">
        <w:t>). GI manifestation</w:t>
      </w:r>
      <w:r w:rsidR="00ED26C9" w:rsidRPr="0031419F">
        <w:t xml:space="preserve"> </w:t>
      </w:r>
      <w:r w:rsidRPr="0031419F">
        <w:t xml:space="preserve">was not measured in Study 2201 and instead, </w:t>
      </w:r>
      <w:r w:rsidR="00ED26C9" w:rsidRPr="0031419F">
        <w:t xml:space="preserve">non-comparative </w:t>
      </w:r>
      <w:r w:rsidRPr="0031419F">
        <w:t>data from the EAP was used. It was unclear how a HR of 0 was derived as amongst all patients in the EAP survey with responses to GI questions (n=28), one patient with colitis at baseline experienced a new colitis event during treatment of leniolisib (&gt;2 years)</w:t>
      </w:r>
      <w:r w:rsidR="00ED26C9" w:rsidRPr="0031419F">
        <w:t xml:space="preserve">. </w:t>
      </w:r>
    </w:p>
    <w:p w14:paraId="76FDE5FA" w14:textId="56A64FB5" w:rsidR="006E677C" w:rsidRPr="0031419F" w:rsidRDefault="006E677C" w:rsidP="00313654">
      <w:pPr>
        <w:pStyle w:val="3-BodyText"/>
        <w:spacing w:before="0" w:after="120"/>
      </w:pPr>
      <w:r w:rsidRPr="0031419F">
        <w:rPr>
          <w:rFonts w:cs="Times New Roman"/>
        </w:rPr>
        <w:t>Notably</w:t>
      </w:r>
      <w:r w:rsidRPr="0031419F">
        <w:t xml:space="preserve">, </w:t>
      </w:r>
      <w:r w:rsidR="001F29C4" w:rsidRPr="0031419F">
        <w:t>the submission’s model estimate</w:t>
      </w:r>
      <w:r w:rsidR="00570849">
        <w:t>d</w:t>
      </w:r>
      <w:r w:rsidR="001F29C4" w:rsidRPr="0031419F">
        <w:t xml:space="preserve"> the proportion with bronchiectasis-associated airways disease excluding advanced lung disease by subtracting the total proportion of advanced lung disease from the total proportion of bronchiectasis-associated airways disease at each cycle. However,</w:t>
      </w:r>
      <w:r w:rsidR="00A661B1" w:rsidRPr="0031419F">
        <w:t xml:space="preserve"> the proportion of patients with bronchiectasis-associated airway disease excluding advanced lung disease was higher in the leniolisib arm than in the SoC arm due to the method of calculation</w:t>
      </w:r>
      <w:r w:rsidR="004C738D" w:rsidRPr="0031419F">
        <w:t xml:space="preserve"> as it was assumed that the proportion of patients with advanced lung disease was substantially lower in the leniolisib arm than in the SoC arm</w:t>
      </w:r>
      <w:r w:rsidR="00A661B1" w:rsidRPr="0031419F">
        <w:t>. It was unclear if this was plausible given the assumptions made by the submission that leniolisib treatment would result in lower rates of patients with bronchiectasis-associated airway disease.</w:t>
      </w:r>
      <w:r w:rsidR="001F29C4" w:rsidRPr="0031419F">
        <w:t xml:space="preserve"> </w:t>
      </w:r>
    </w:p>
    <w:p w14:paraId="05E51AF9" w14:textId="2B92B8F8" w:rsidR="00EC2E7C" w:rsidRPr="0031419F" w:rsidRDefault="00EC2E7C" w:rsidP="001F29C4">
      <w:pPr>
        <w:pStyle w:val="3-BodyText"/>
        <w:spacing w:before="0" w:after="120"/>
      </w:pPr>
      <w:bookmarkStart w:id="45" w:name="_Ref198137286"/>
      <w:r w:rsidRPr="0031419F">
        <w:t>Leniolisib patients were assumed to discontinue treatment and transition to SoC over time in the economic model. A fixed rate of 2.55% was applied for the leniolisib discontinuation rate in the model. This was based on continued follow-up in Study 2201E (May 2024 data cut) and the leniolisib EAP (February 2025). During 313.7 patient-years of treatment, there have been eight discontinuations, giving an annual rate of 2.55%. However</w:t>
      </w:r>
      <w:r w:rsidRPr="0016211B">
        <w:t>,</w:t>
      </w:r>
      <w:r w:rsidR="000311ED" w:rsidRPr="0016211B">
        <w:t xml:space="preserve"> as reiterated in the PSCR,</w:t>
      </w:r>
      <w:r w:rsidRPr="0031419F">
        <w:t xml:space="preserve"> this differed </w:t>
      </w:r>
      <w:r w:rsidR="0047217A" w:rsidRPr="0031419F">
        <w:t xml:space="preserve">compared </w:t>
      </w:r>
      <w:r w:rsidR="00E654E0" w:rsidRPr="0031419F">
        <w:t xml:space="preserve">to the discontinuation rate </w:t>
      </w:r>
      <w:r w:rsidR="00D73385" w:rsidRPr="0031419F">
        <w:t xml:space="preserve">of 2.7% </w:t>
      </w:r>
      <w:r w:rsidR="00E654E0" w:rsidRPr="0031419F">
        <w:t>that</w:t>
      </w:r>
      <w:r w:rsidRPr="0031419F">
        <w:t xml:space="preserve"> </w:t>
      </w:r>
      <w:r w:rsidR="0047217A" w:rsidRPr="0031419F">
        <w:t xml:space="preserve">the </w:t>
      </w:r>
      <w:r w:rsidRPr="0031419F">
        <w:t xml:space="preserve">NICE </w:t>
      </w:r>
      <w:r w:rsidR="00E654E0" w:rsidRPr="0031419F">
        <w:t>found was appropriate</w:t>
      </w:r>
      <w:r w:rsidRPr="0031419F">
        <w:t xml:space="preserve">. </w:t>
      </w:r>
      <w:r w:rsidR="001F29C4" w:rsidRPr="0031419F">
        <w:t xml:space="preserve">Using a higher discontinuation rate results in a lower ICER (e.g. increasing the discontinuation rate to 5% per year decreases the ICER by </w:t>
      </w:r>
      <w:r w:rsidR="001F60D7" w:rsidRPr="00C740B8">
        <w:rPr>
          <w:color w:val="000000"/>
          <w:w w:val="15"/>
          <w:shd w:val="solid" w:color="000000" w:fill="000000"/>
          <w:fitText w:val="-20" w:id="-629967606"/>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6"/>
          <w14:textFill>
            <w14:solidFill>
              <w14:srgbClr w14:val="000000">
                <w14:alpha w14:val="100000"/>
              </w14:srgbClr>
            </w14:solidFill>
          </w14:textFill>
        </w:rPr>
        <w:t>|</w:t>
      </w:r>
      <w:r w:rsidR="001F29C4" w:rsidRPr="0031419F">
        <w:t xml:space="preserve">%). This was likely due to the assumption that patients who discontinue leniolisib will have a manifestation </w:t>
      </w:r>
      <w:r w:rsidR="002C34F0" w:rsidRPr="0031419F">
        <w:t xml:space="preserve">rate equal to the rate </w:t>
      </w:r>
      <w:r w:rsidR="001F29C4" w:rsidRPr="0031419F">
        <w:t>at the first post discontinuation cycl</w:t>
      </w:r>
      <w:r w:rsidR="00F71E2A" w:rsidRPr="0031419F">
        <w:t>e</w:t>
      </w:r>
      <w:r w:rsidR="001F29C4" w:rsidRPr="0031419F">
        <w:t xml:space="preserve"> (i.e. </w:t>
      </w:r>
      <w:r w:rsidR="002C34F0" w:rsidRPr="0031419F">
        <w:t xml:space="preserve">the rate when patients are </w:t>
      </w:r>
      <w:r w:rsidR="001F29C4" w:rsidRPr="0031419F">
        <w:t xml:space="preserve">15 years old, see paragraph </w:t>
      </w:r>
      <w:r w:rsidR="001F29C4" w:rsidRPr="0031419F">
        <w:fldChar w:fldCharType="begin" w:fldLock="1"/>
      </w:r>
      <w:r w:rsidR="001F29C4" w:rsidRPr="0031419F">
        <w:instrText xml:space="preserve"> REF _Ref196177280 \r \h </w:instrText>
      </w:r>
      <w:r w:rsidR="0031419F" w:rsidRPr="0031419F">
        <w:instrText xml:space="preserve"> \* MERGEFORMAT </w:instrText>
      </w:r>
      <w:r w:rsidR="001F29C4" w:rsidRPr="0031419F">
        <w:fldChar w:fldCharType="separate"/>
      </w:r>
      <w:r w:rsidR="0016211B">
        <w:t>6.51</w:t>
      </w:r>
      <w:r w:rsidR="001F29C4" w:rsidRPr="0031419F">
        <w:fldChar w:fldCharType="end"/>
      </w:r>
      <w:r w:rsidR="001F29C4" w:rsidRPr="0031419F">
        <w:t>), and illustrates that the model was likely biased in favour of leniolisib.</w:t>
      </w:r>
      <w:bookmarkEnd w:id="45"/>
      <w:r w:rsidR="00A37789">
        <w:t xml:space="preserve"> </w:t>
      </w:r>
      <w:r w:rsidR="00B046E8" w:rsidRPr="008B433C">
        <w:t xml:space="preserve">The Sub-Committees </w:t>
      </w:r>
      <w:r w:rsidR="00B1510C" w:rsidRPr="008B433C">
        <w:t xml:space="preserve">considered </w:t>
      </w:r>
      <w:r w:rsidR="00F45B95" w:rsidRPr="008B433C">
        <w:t>u</w:t>
      </w:r>
      <w:r w:rsidR="00B046E8" w:rsidRPr="008B433C">
        <w:t>sing a fixed discontinuation rate may not be reasonable</w:t>
      </w:r>
      <w:r w:rsidR="00B46B19" w:rsidRPr="008B433C">
        <w:t xml:space="preserve"> given APDS is a chronic disease and requires ongoing treatment</w:t>
      </w:r>
      <w:r w:rsidR="00F45B95" w:rsidRPr="008B433C">
        <w:t xml:space="preserve">. However, the Sub-Committees </w:t>
      </w:r>
      <w:r w:rsidR="00F54274" w:rsidRPr="008B433C">
        <w:t xml:space="preserve">acknowledged there may </w:t>
      </w:r>
      <w:r w:rsidR="00C03DAA" w:rsidRPr="008B433C">
        <w:t xml:space="preserve">not </w:t>
      </w:r>
      <w:r w:rsidR="00F54274" w:rsidRPr="008B433C">
        <w:t xml:space="preserve">be further </w:t>
      </w:r>
      <w:r w:rsidR="00B046E8" w:rsidRPr="008B433C">
        <w:t>data to support</w:t>
      </w:r>
      <w:r w:rsidR="00E96099" w:rsidRPr="008B433C">
        <w:t xml:space="preserve"> an</w:t>
      </w:r>
      <w:r w:rsidR="00B046E8" w:rsidRPr="008B433C">
        <w:t xml:space="preserve"> alternative</w:t>
      </w:r>
      <w:r w:rsidR="00E96099" w:rsidRPr="008B433C">
        <w:t xml:space="preserve"> approach</w:t>
      </w:r>
      <w:r w:rsidR="00F54274" w:rsidRPr="008B433C">
        <w:t>.</w:t>
      </w:r>
    </w:p>
    <w:p w14:paraId="1889B27C" w14:textId="79BCBB8F" w:rsidR="00EC2E7C" w:rsidRPr="0031419F" w:rsidRDefault="008432C4" w:rsidP="001F29C4">
      <w:pPr>
        <w:pStyle w:val="3-BodyText"/>
        <w:spacing w:before="0" w:after="120"/>
      </w:pPr>
      <w:bookmarkStart w:id="46" w:name="_Ref196176175"/>
      <w:r w:rsidRPr="0031419F">
        <w:t xml:space="preserve">Survival data for leniolisib was </w:t>
      </w:r>
      <w:r w:rsidR="006A055D" w:rsidRPr="0031419F">
        <w:t xml:space="preserve">based on </w:t>
      </w:r>
      <w:r w:rsidR="00264888" w:rsidRPr="0031419F">
        <w:t>combin</w:t>
      </w:r>
      <w:r w:rsidR="00FB5E83" w:rsidRPr="0031419F">
        <w:t xml:space="preserve">ed data from </w:t>
      </w:r>
      <w:r w:rsidR="00264888" w:rsidRPr="0031419F">
        <w:t xml:space="preserve">both </w:t>
      </w:r>
      <w:r w:rsidRPr="0031419F">
        <w:t>Study 2201E and the EAP</w:t>
      </w:r>
      <w:r w:rsidR="00264888" w:rsidRPr="0031419F">
        <w:t>, and</w:t>
      </w:r>
      <w:r w:rsidRPr="0031419F">
        <w:t xml:space="preserve"> was based on 142/146 patients over 1.7 years of follow up. The submission stated that 2/142 patients died over a median of 1.7 years of follow up (98.</w:t>
      </w:r>
      <w:r w:rsidR="001F29C4" w:rsidRPr="0031419F">
        <w:t>7</w:t>
      </w:r>
      <w:r w:rsidRPr="0031419F">
        <w:t xml:space="preserve">% survival). The </w:t>
      </w:r>
      <w:r w:rsidR="001F29C4" w:rsidRPr="0031419F">
        <w:t>relative risk (</w:t>
      </w:r>
      <w:r w:rsidRPr="0031419F">
        <w:t>RR</w:t>
      </w:r>
      <w:r w:rsidR="001F29C4" w:rsidRPr="0031419F">
        <w:t>) of death</w:t>
      </w:r>
      <w:r w:rsidRPr="0031419F">
        <w:t xml:space="preserve"> was estimated by comparing survival </w:t>
      </w:r>
      <w:r w:rsidR="00F71C15" w:rsidRPr="0031419F">
        <w:t xml:space="preserve">for patients treated with leniolisib </w:t>
      </w:r>
      <w:r w:rsidRPr="0031419F">
        <w:t>with the age- and follow-up-matched general population survival in Australia. Across the entire age- and follow-up-matched population in Study 2201 and the EAP, the expected survival was 99.9% for the general population versus 98.</w:t>
      </w:r>
      <w:r w:rsidR="001F29C4" w:rsidRPr="0031419F">
        <w:t>7</w:t>
      </w:r>
      <w:r w:rsidRPr="0031419F">
        <w:t>% survival observed in people treated with leniolisib. Based on these calculations, the survival of patients treated with leniolisib was assumed to be 98.7% of the general population survival rates which was based on Australian life tables.</w:t>
      </w:r>
      <w:bookmarkEnd w:id="46"/>
      <w:r w:rsidR="001F29C4" w:rsidRPr="0031419F">
        <w:t xml:space="preserve"> Comparatively, mortality on SoC was extrapolated from the ESID-APDS data. </w:t>
      </w:r>
      <w:r w:rsidR="00FB5E83" w:rsidRPr="0031419F">
        <w:t xml:space="preserve">The </w:t>
      </w:r>
      <w:r w:rsidR="007D548F" w:rsidRPr="002D4548">
        <w:t xml:space="preserve">Sub-Committees </w:t>
      </w:r>
      <w:r w:rsidR="00C03DAA" w:rsidRPr="002D4548">
        <w:t>agreed with the Commentary that</w:t>
      </w:r>
      <w:r w:rsidR="007D548F" w:rsidRPr="002D4548">
        <w:t xml:space="preserve"> the</w:t>
      </w:r>
      <w:r w:rsidR="007D548F">
        <w:rPr>
          <w:i/>
          <w:iCs/>
        </w:rPr>
        <w:t xml:space="preserve"> </w:t>
      </w:r>
      <w:r w:rsidR="00FB5E83" w:rsidRPr="0031419F">
        <w:t xml:space="preserve">application of a HR based on the deaths of two patients over 1.7 years </w:t>
      </w:r>
      <w:r w:rsidR="00C03DAA" w:rsidRPr="002D4548">
        <w:t>does not</w:t>
      </w:r>
      <w:r w:rsidR="00FB5E83" w:rsidRPr="0031419F">
        <w:t xml:space="preserve"> provide a robust approach to estimating </w:t>
      </w:r>
      <w:r w:rsidR="00A46487" w:rsidRPr="0031419F">
        <w:t xml:space="preserve">the </w:t>
      </w:r>
      <w:r w:rsidR="00FB5E83" w:rsidRPr="0031419F">
        <w:t>mortality</w:t>
      </w:r>
      <w:r w:rsidR="00A30AD1" w:rsidRPr="0031419F">
        <w:t xml:space="preserve"> of patients with APDS</w:t>
      </w:r>
      <w:r w:rsidR="00FB5E83" w:rsidRPr="0031419F">
        <w:t>, particularly as th</w:t>
      </w:r>
      <w:r w:rsidR="006A055D" w:rsidRPr="0031419F">
        <w:t xml:space="preserve">is method assumes that </w:t>
      </w:r>
      <w:r w:rsidR="00A30AD1" w:rsidRPr="0031419F">
        <w:t xml:space="preserve">patients </w:t>
      </w:r>
      <w:r w:rsidR="006A055D" w:rsidRPr="0031419F">
        <w:t xml:space="preserve">are returned to </w:t>
      </w:r>
      <w:r w:rsidR="008D0154" w:rsidRPr="0031419F">
        <w:t xml:space="preserve">near </w:t>
      </w:r>
      <w:r w:rsidR="006A055D" w:rsidRPr="0031419F">
        <w:t>normalised immune function</w:t>
      </w:r>
      <w:r w:rsidR="00A30AD1" w:rsidRPr="0031419F">
        <w:t xml:space="preserve"> following treatment with leniolisib</w:t>
      </w:r>
      <w:r w:rsidR="00A46487" w:rsidRPr="0031419F">
        <w:t>, which may not be reasonable</w:t>
      </w:r>
      <w:r w:rsidR="00A30AD1" w:rsidRPr="0031419F">
        <w:t>.</w:t>
      </w:r>
    </w:p>
    <w:p w14:paraId="5269D608" w14:textId="5AB814D9" w:rsidR="00D47E96" w:rsidRPr="0031419F" w:rsidRDefault="008432C4" w:rsidP="005759AF">
      <w:pPr>
        <w:pStyle w:val="3-BodyText"/>
      </w:pPr>
      <w:r w:rsidRPr="0031419F">
        <w:t xml:space="preserve">The modelled overall survival for leniolisib, SoC and the KM data from the ESID-APDS registry which was used to inform survival in the SoC arm is presented in </w:t>
      </w:r>
      <w:r w:rsidR="0091709C" w:rsidRPr="0031419F">
        <w:fldChar w:fldCharType="begin" w:fldLock="1"/>
      </w:r>
      <w:r w:rsidR="0091709C" w:rsidRPr="0031419F">
        <w:instrText xml:space="preserve"> REF _Ref196155171 \h </w:instrText>
      </w:r>
      <w:r w:rsidR="00D47E96" w:rsidRPr="0031419F">
        <w:instrText xml:space="preserve"> \* MERGEFORMAT </w:instrText>
      </w:r>
      <w:r w:rsidR="0091709C" w:rsidRPr="0031419F">
        <w:fldChar w:fldCharType="separate"/>
      </w:r>
      <w:r w:rsidR="00C34379" w:rsidRPr="0031419F">
        <w:t xml:space="preserve">Figure </w:t>
      </w:r>
      <w:r w:rsidR="00C34379">
        <w:t>5</w:t>
      </w:r>
      <w:r w:rsidR="0091709C" w:rsidRPr="0031419F">
        <w:fldChar w:fldCharType="end"/>
      </w:r>
      <w:r w:rsidRPr="0031419F">
        <w:t>.</w:t>
      </w:r>
      <w:r w:rsidR="00525268" w:rsidRPr="0031419F">
        <w:t xml:space="preserve"> The submission stated that mortality in the “alive off leniolisib” health state</w:t>
      </w:r>
      <w:r w:rsidR="0018006F" w:rsidRPr="0031419F">
        <w:t xml:space="preserve"> (i.e. patients in the SoC arm, includin</w:t>
      </w:r>
      <w:r w:rsidR="00D218F4" w:rsidRPr="0031419F">
        <w:t>g patients who discontinued leniolisib)</w:t>
      </w:r>
      <w:r w:rsidR="00525268" w:rsidRPr="0031419F">
        <w:t xml:space="preserve"> w</w:t>
      </w:r>
      <w:r w:rsidR="0078318C" w:rsidRPr="0031419F">
        <w:t>as</w:t>
      </w:r>
      <w:r w:rsidR="00525268" w:rsidRPr="0031419F">
        <w:t xml:space="preserve"> based on ESID-APDS registry (data cut-off 26th of November 2024; N=158). Patients in the SoC arm are subject to the probability of all-cause mortality as reported directly from the ESID-APDS registry. The SoC survival curve was extrapolated using a log logistic parametric curve in the base case which was chosen based on visual and statistical fit</w:t>
      </w:r>
      <w:r w:rsidR="00525268" w:rsidRPr="0031419F">
        <w:rPr>
          <w:rFonts w:cs="Times New Roman"/>
        </w:rPr>
        <w:t xml:space="preserve">. It may not be reasonable to use mortality data from </w:t>
      </w:r>
      <w:r w:rsidR="00837197" w:rsidRPr="0031419F">
        <w:rPr>
          <w:rFonts w:cs="Times New Roman"/>
        </w:rPr>
        <w:t xml:space="preserve">these </w:t>
      </w:r>
      <w:r w:rsidR="00525268" w:rsidRPr="0031419F">
        <w:rPr>
          <w:rFonts w:cs="Times New Roman"/>
        </w:rPr>
        <w:t>different data sources to compare leniolisib versus SoC</w:t>
      </w:r>
      <w:r w:rsidR="004E7415" w:rsidRPr="0031419F">
        <w:rPr>
          <w:rFonts w:cs="Times New Roman"/>
        </w:rPr>
        <w:t xml:space="preserve"> and </w:t>
      </w:r>
      <w:r w:rsidR="00B5796E" w:rsidRPr="0031419F">
        <w:rPr>
          <w:rFonts w:cs="Times New Roman"/>
        </w:rPr>
        <w:t xml:space="preserve">it </w:t>
      </w:r>
      <w:r w:rsidR="00E94EC5" w:rsidRPr="0031419F">
        <w:rPr>
          <w:rFonts w:cs="Times New Roman"/>
        </w:rPr>
        <w:t xml:space="preserve">may have been more reasonable to </w:t>
      </w:r>
      <w:r w:rsidR="004E7415" w:rsidRPr="0031419F">
        <w:rPr>
          <w:rFonts w:cs="Times New Roman"/>
        </w:rPr>
        <w:t xml:space="preserve">instead </w:t>
      </w:r>
      <w:r w:rsidR="00E94EC5" w:rsidRPr="0031419F">
        <w:rPr>
          <w:rFonts w:cs="Times New Roman"/>
        </w:rPr>
        <w:t>apply a HR to the ESID-APDS survival data to account for improved survival anticipated for patients treated with leniolisib.</w:t>
      </w:r>
      <w:r w:rsidR="00A37704" w:rsidRPr="0031419F">
        <w:rPr>
          <w:rFonts w:cs="Times New Roman"/>
        </w:rPr>
        <w:t xml:space="preserve"> </w:t>
      </w:r>
      <w:r w:rsidR="00D47E96" w:rsidRPr="0031419F">
        <w:rPr>
          <w:rFonts w:cs="Times New Roman"/>
        </w:rPr>
        <w:t xml:space="preserve">The model estimated a substantial survival gain from leniolisib compared to SoC over the lifetime time horizon (3.17 LY gained). This was highly uncertain given follow up in Study 22201E was only 1.7 years and there was no comparative survival data between leniolisib and SoC to inform a survival benefit. Assuming a lower RR of 0.90 </w:t>
      </w:r>
      <w:r w:rsidR="00D47E96" w:rsidRPr="0031419F">
        <w:t xml:space="preserve">increased the ICER by </w:t>
      </w:r>
      <w:r w:rsidR="001F60D7" w:rsidRPr="00C740B8">
        <w:rPr>
          <w:color w:val="000000"/>
          <w:w w:val="15"/>
          <w:shd w:val="solid" w:color="000000" w:fill="000000"/>
          <w:fitText w:val="-20" w:id="-629967605"/>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5"/>
          <w14:textFill>
            <w14:solidFill>
              <w14:srgbClr w14:val="000000">
                <w14:alpha w14:val="100000"/>
              </w14:srgbClr>
            </w14:solidFill>
          </w14:textFill>
        </w:rPr>
        <w:t>|</w:t>
      </w:r>
      <w:r w:rsidR="00D47E96" w:rsidRPr="0031419F">
        <w:rPr>
          <w:rFonts w:cs="Times New Roman"/>
        </w:rPr>
        <w:t>%, and a RR of 0.</w:t>
      </w:r>
      <w:r w:rsidR="00D47E96" w:rsidRPr="0031419F">
        <w:t xml:space="preserve">8 increased the ICER by </w:t>
      </w:r>
      <w:r w:rsidR="001F60D7" w:rsidRPr="00C740B8">
        <w:rPr>
          <w:color w:val="000000"/>
          <w:w w:val="15"/>
          <w:shd w:val="solid" w:color="000000" w:fill="000000"/>
          <w:fitText w:val="-20" w:id="-629967604"/>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4"/>
          <w14:textFill>
            <w14:solidFill>
              <w14:srgbClr w14:val="000000">
                <w14:alpha w14:val="100000"/>
              </w14:srgbClr>
            </w14:solidFill>
          </w14:textFill>
        </w:rPr>
        <w:t>|</w:t>
      </w:r>
      <w:r w:rsidR="00D47E96" w:rsidRPr="0031419F">
        <w:t>%.</w:t>
      </w:r>
      <w:r w:rsidR="00674E53" w:rsidRPr="00674E53">
        <w:rPr>
          <w:i/>
          <w:iCs/>
        </w:rPr>
        <w:t xml:space="preserve"> </w:t>
      </w:r>
      <w:r w:rsidR="00674E53" w:rsidRPr="008B433C">
        <w:t>The Sub-Committees considered th</w:t>
      </w:r>
      <w:r w:rsidR="00E85618" w:rsidRPr="008B433C">
        <w:t>e submission’s</w:t>
      </w:r>
      <w:r w:rsidR="00674E53" w:rsidRPr="008B433C">
        <w:t xml:space="preserve"> approach</w:t>
      </w:r>
      <w:r w:rsidR="00E85618" w:rsidRPr="008B433C">
        <w:t xml:space="preserve"> of using two different sources for mortality</w:t>
      </w:r>
      <w:r w:rsidR="00674E53" w:rsidRPr="008B433C">
        <w:t xml:space="preserve"> was problematic and was likely to be highly optimistic</w:t>
      </w:r>
      <w:r w:rsidR="009745DA" w:rsidRPr="008B433C">
        <w:t>. The Sub-Committees noted that the</w:t>
      </w:r>
      <w:r w:rsidR="00BA2670" w:rsidRPr="008B433C">
        <w:t xml:space="preserve"> mortality gain </w:t>
      </w:r>
      <w:r w:rsidR="00CC546B" w:rsidRPr="008B433C">
        <w:t xml:space="preserve">modelled was not supported by </w:t>
      </w:r>
      <w:r w:rsidR="009745DA" w:rsidRPr="008B433C">
        <w:t xml:space="preserve">the </w:t>
      </w:r>
      <w:r w:rsidR="00CC546B" w:rsidRPr="008B433C">
        <w:t>clinical data</w:t>
      </w:r>
      <w:r w:rsidR="00674E53" w:rsidRPr="008B433C">
        <w:t>.</w:t>
      </w:r>
    </w:p>
    <w:p w14:paraId="64A2D49E" w14:textId="0B14B860" w:rsidR="008432C4" w:rsidRPr="0031419F" w:rsidRDefault="008432C4" w:rsidP="008432C4">
      <w:pPr>
        <w:pStyle w:val="Caption"/>
        <w:ind w:firstLine="720"/>
      </w:pPr>
      <w:bookmarkStart w:id="47" w:name="_Ref196155171"/>
      <w:r w:rsidRPr="0031419F">
        <w:t xml:space="preserve">Figure </w:t>
      </w:r>
      <w:r w:rsidR="00C34379">
        <w:fldChar w:fldCharType="begin" w:fldLock="1"/>
      </w:r>
      <w:r w:rsidR="00C34379">
        <w:instrText xml:space="preserve"> SEQ Figure \* ARABIC </w:instrText>
      </w:r>
      <w:r w:rsidR="00C34379">
        <w:fldChar w:fldCharType="separate"/>
      </w:r>
      <w:r w:rsidR="00C34379">
        <w:rPr>
          <w:noProof/>
        </w:rPr>
        <w:t>5</w:t>
      </w:r>
      <w:r w:rsidR="00C34379">
        <w:rPr>
          <w:noProof/>
        </w:rPr>
        <w:fldChar w:fldCharType="end"/>
      </w:r>
      <w:bookmarkEnd w:id="47"/>
      <w:r w:rsidRPr="0031419F">
        <w:t xml:space="preserve"> : Survival curves in leniolisib vs </w:t>
      </w:r>
      <w:r w:rsidR="00EA2814" w:rsidRPr="0031419F">
        <w:t>SoC</w:t>
      </w:r>
    </w:p>
    <w:p w14:paraId="0FC85BE0" w14:textId="77777777" w:rsidR="008432C4" w:rsidRPr="0031419F" w:rsidRDefault="008432C4" w:rsidP="00636C6B">
      <w:pPr>
        <w:ind w:left="709"/>
      </w:pPr>
      <w:r w:rsidRPr="0031419F">
        <w:rPr>
          <w:noProof/>
        </w:rPr>
        <w:drawing>
          <wp:inline distT="0" distB="0" distL="0" distR="0" wp14:anchorId="1086A1DC" wp14:editId="642D3FF9">
            <wp:extent cx="4635795" cy="3231783"/>
            <wp:effectExtent l="0" t="0" r="0" b="6985"/>
            <wp:docPr id="1913197546" name="Picture 1" descr="Figure 5 : Survival curves in leniolisib vs 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97546" name="Picture 1" descr="Figure 5 : Survival curves in leniolisib vs So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3697" cy="3244263"/>
                    </a:xfrm>
                    <a:prstGeom prst="rect">
                      <a:avLst/>
                    </a:prstGeom>
                    <a:noFill/>
                  </pic:spPr>
                </pic:pic>
              </a:graphicData>
            </a:graphic>
          </wp:inline>
        </w:drawing>
      </w:r>
    </w:p>
    <w:p w14:paraId="1479678F" w14:textId="77777777" w:rsidR="008432C4" w:rsidRPr="0031419F" w:rsidRDefault="008432C4" w:rsidP="008432C4">
      <w:pPr>
        <w:pStyle w:val="FooterTableFigure"/>
        <w:ind w:left="709"/>
      </w:pPr>
      <w:r w:rsidRPr="0031419F">
        <w:t>Source: “Survival” worksheet, PHG LENIOLISIB CUA MODEL FINAL.xlsm</w:t>
      </w:r>
    </w:p>
    <w:p w14:paraId="47CC0F2A" w14:textId="51C518CB" w:rsidR="00960B7F" w:rsidRPr="00E47FA9" w:rsidRDefault="008E3FB3" w:rsidP="00E47FA9">
      <w:pPr>
        <w:pStyle w:val="3-BodyText"/>
        <w:spacing w:before="0" w:after="120"/>
        <w:rPr>
          <w:i/>
          <w:iCs/>
        </w:rPr>
      </w:pPr>
      <w:r w:rsidRPr="0031419F">
        <w:t xml:space="preserve">SF-36 HRQoL data was collected in Study 2201. </w:t>
      </w:r>
      <w:r w:rsidR="001F29C4" w:rsidRPr="0031419F">
        <w:t>However t</w:t>
      </w:r>
      <w:r w:rsidRPr="0031419F">
        <w:t>he submission claimed that SF-36 data from the leniolisib clinical studies could not be used to inform HRQoL in the base case of the economic model because SF-36 did not appropriately capture QoL benefits of treatment in APDS; baseline values in the trials were biased because patients had some manifestations at baseline (e.g., lymphoproliferation); and SF-36 could not be stratified by manifestation.</w:t>
      </w:r>
      <w:r w:rsidR="00960890">
        <w:t xml:space="preserve"> </w:t>
      </w:r>
      <w:r w:rsidR="00960890" w:rsidRPr="008B433C">
        <w:t xml:space="preserve">The Sub-Committees considered the claim that </w:t>
      </w:r>
      <w:r w:rsidR="00B01C70" w:rsidRPr="008B433C">
        <w:t xml:space="preserve">trial-based utility values could not be used was not well-supported, and </w:t>
      </w:r>
      <w:r w:rsidR="00DE72FF" w:rsidRPr="008B433C">
        <w:t xml:space="preserve">use of these values could have been explored. </w:t>
      </w:r>
      <w:r w:rsidRPr="0031419F">
        <w:t xml:space="preserve"> Instead, the model used an age-adjusted baseline utility and then applied utility decrements and disutility multipliers to account for manifestations as they are experienced. Baseline utility was based on general population and disutilities were based on the literature.</w:t>
      </w:r>
      <w:r w:rsidR="001F29C4" w:rsidRPr="0031419F">
        <w:t xml:space="preserve"> However, two different sources were used for adolescents (Le 2021) and adults (Redwood 2024) which led to some potential applicability concerns. </w:t>
      </w:r>
    </w:p>
    <w:p w14:paraId="7E7C7348" w14:textId="249C0F27" w:rsidR="00960B7F" w:rsidRPr="0031419F" w:rsidRDefault="008E3FB3" w:rsidP="001F29C4">
      <w:pPr>
        <w:pStyle w:val="3-BodyText"/>
        <w:spacing w:before="0" w:after="120"/>
      </w:pPr>
      <w:r w:rsidRPr="0031419F">
        <w:t xml:space="preserve">The impact of leniolisib was modelled via reductions in the incidence and/or prevalence of these manifestations and treatment use, with subsequent changes to HRQoL. </w:t>
      </w:r>
      <w:r w:rsidR="007537CC" w:rsidRPr="0031419F">
        <w:t xml:space="preserve">Patients potentially incur multiple manifestations (and their associated disutilities) in a given year and over time. </w:t>
      </w:r>
      <w:r w:rsidRPr="0031419F">
        <w:t xml:space="preserve">As individuals experience various manifestations and receive associated treatments, manifestation-specific utility impacts are applied to the age-adjusted baseline utility values </w:t>
      </w:r>
      <w:r w:rsidR="005069BB" w:rsidRPr="0031419F">
        <w:t>for each treatment arm</w:t>
      </w:r>
      <w:r w:rsidR="00B160EB" w:rsidRPr="0031419F">
        <w:t xml:space="preserve"> as follows</w:t>
      </w:r>
      <w:r w:rsidRPr="0031419F">
        <w:t>:</w:t>
      </w:r>
    </w:p>
    <w:p w14:paraId="4FFFCA3A" w14:textId="222D8522" w:rsidR="008E3FB3" w:rsidRPr="0031419F" w:rsidRDefault="005A42A1" w:rsidP="00A06FB7">
      <w:pPr>
        <w:pStyle w:val="ListParagraph"/>
        <w:ind w:left="1134"/>
        <w:jc w:val="both"/>
      </w:pPr>
      <w:r w:rsidRPr="0031419F">
        <w:t xml:space="preserve">The disutility </w:t>
      </w:r>
      <w:r w:rsidR="001473D1" w:rsidRPr="0031419F">
        <w:t xml:space="preserve">decrement </w:t>
      </w:r>
      <w:r w:rsidR="008E3FB3" w:rsidRPr="0031419F">
        <w:t>for transient manifestations (e.g. acute infections) and short-term treatments</w:t>
      </w:r>
      <w:r w:rsidRPr="0031419F">
        <w:t xml:space="preserve"> was</w:t>
      </w:r>
      <w:r w:rsidR="008E3FB3" w:rsidRPr="0031419F">
        <w:t xml:space="preserve"> calculated </w:t>
      </w:r>
      <w:r w:rsidR="001473D1" w:rsidRPr="0031419F">
        <w:t>as the difference between the</w:t>
      </w:r>
      <w:r w:rsidRPr="0031419F">
        <w:t xml:space="preserve"> </w:t>
      </w:r>
      <w:r w:rsidR="008E3FB3" w:rsidRPr="0031419F">
        <w:t xml:space="preserve">utility </w:t>
      </w:r>
      <w:r w:rsidRPr="0031419F">
        <w:t xml:space="preserve">for patients </w:t>
      </w:r>
      <w:r w:rsidR="008E3FB3" w:rsidRPr="0031419F">
        <w:t xml:space="preserve">with </w:t>
      </w:r>
      <w:r w:rsidRPr="0031419F">
        <w:t xml:space="preserve">the </w:t>
      </w:r>
      <w:r w:rsidR="00077FA9" w:rsidRPr="0031419F">
        <w:t xml:space="preserve">specific </w:t>
      </w:r>
      <w:r w:rsidR="008E3FB3" w:rsidRPr="0031419F">
        <w:t xml:space="preserve">manifestation or treatment </w:t>
      </w:r>
      <w:r w:rsidR="001473D1" w:rsidRPr="0031419F">
        <w:t>and</w:t>
      </w:r>
      <w:r w:rsidRPr="0031419F">
        <w:t xml:space="preserve"> the </w:t>
      </w:r>
      <w:r w:rsidR="008E3FB3" w:rsidRPr="0031419F">
        <w:t>age-adjusted general population utility</w:t>
      </w:r>
      <w:r w:rsidRPr="0031419F">
        <w:t xml:space="preserve">, </w:t>
      </w:r>
      <w:r w:rsidR="001473D1" w:rsidRPr="0031419F">
        <w:t>t</w:t>
      </w:r>
      <w:r w:rsidRPr="0031419F">
        <w:t xml:space="preserve">hen </w:t>
      </w:r>
      <w:r w:rsidR="001473D1" w:rsidRPr="0031419F">
        <w:t xml:space="preserve">adjusted for </w:t>
      </w:r>
      <w:r w:rsidR="003B2AF5" w:rsidRPr="0031419F">
        <w:t xml:space="preserve">the </w:t>
      </w:r>
      <w:r w:rsidR="008E3FB3" w:rsidRPr="0031419F">
        <w:t xml:space="preserve">duration of </w:t>
      </w:r>
      <w:r w:rsidRPr="0031419F">
        <w:t xml:space="preserve">the </w:t>
      </w:r>
      <w:r w:rsidR="008E3FB3" w:rsidRPr="0031419F">
        <w:t>manifestation or treatment; and</w:t>
      </w:r>
    </w:p>
    <w:p w14:paraId="27626C73" w14:textId="77777777" w:rsidR="00DA6925" w:rsidRDefault="00DB7749" w:rsidP="00A06FB7">
      <w:pPr>
        <w:pStyle w:val="ListParagraph"/>
        <w:ind w:left="1134"/>
        <w:jc w:val="both"/>
      </w:pPr>
      <w:r w:rsidRPr="0031419F">
        <w:t xml:space="preserve">The disutility </w:t>
      </w:r>
      <w:r w:rsidR="008E3FB3" w:rsidRPr="0031419F">
        <w:t>from long-term manifestations (e.g., malignancy) or continuous treatment</w:t>
      </w:r>
      <w:r w:rsidRPr="0031419F">
        <w:t xml:space="preserve"> was</w:t>
      </w:r>
      <w:r w:rsidR="008E3FB3" w:rsidRPr="0031419F">
        <w:t xml:space="preserve"> calculated </w:t>
      </w:r>
      <w:r w:rsidR="006451C1" w:rsidRPr="0031419F">
        <w:t>as</w:t>
      </w:r>
      <w:r w:rsidR="008E3FB3" w:rsidRPr="0031419F">
        <w:t xml:space="preserve"> a utility multiplier</w:t>
      </w:r>
      <w:r w:rsidR="00B160EB" w:rsidRPr="0031419F">
        <w:t>. The utility mul</w:t>
      </w:r>
      <w:r w:rsidR="00F161B0" w:rsidRPr="0031419F">
        <w:t>ti</w:t>
      </w:r>
      <w:r w:rsidR="00B160EB" w:rsidRPr="0031419F">
        <w:t>p</w:t>
      </w:r>
      <w:r w:rsidR="00F161B0" w:rsidRPr="0031419F">
        <w:t>l</w:t>
      </w:r>
      <w:r w:rsidR="00B160EB" w:rsidRPr="0031419F">
        <w:t>ier</w:t>
      </w:r>
      <w:r w:rsidRPr="0031419F">
        <w:t xml:space="preserve"> was calculated using the </w:t>
      </w:r>
      <w:r w:rsidR="008E3FB3" w:rsidRPr="0031419F">
        <w:t xml:space="preserve">utility </w:t>
      </w:r>
      <w:r w:rsidRPr="0031419F">
        <w:t xml:space="preserve">for patients </w:t>
      </w:r>
      <w:r w:rsidR="008E3FB3" w:rsidRPr="0031419F">
        <w:t xml:space="preserve">with </w:t>
      </w:r>
      <w:r w:rsidRPr="0031419F">
        <w:t xml:space="preserve">the </w:t>
      </w:r>
      <w:r w:rsidR="00077FA9" w:rsidRPr="0031419F">
        <w:t xml:space="preserve">specific </w:t>
      </w:r>
      <w:r w:rsidR="008E3FB3" w:rsidRPr="0031419F">
        <w:t xml:space="preserve">manifestation or treatment </w:t>
      </w:r>
      <w:r w:rsidR="00B160EB" w:rsidRPr="0031419F">
        <w:t xml:space="preserve">divided by the </w:t>
      </w:r>
      <w:r w:rsidR="008E3FB3" w:rsidRPr="0031419F">
        <w:t xml:space="preserve">age-adjusted general population utility. For example, a patient with GI manifestations (with no change in severity e.g. in the SoC arm) was assumed to have just 47% (utility multiplier of 0.47) of the utility of a patient with no GI manifestation (or with improved severity), all else being equal. These decrements came from a large list of </w:t>
      </w:r>
      <w:r w:rsidR="00EE3930">
        <w:t xml:space="preserve">different </w:t>
      </w:r>
      <w:r w:rsidR="008E3FB3" w:rsidRPr="0031419F">
        <w:t xml:space="preserve">sources. The submission did not adequately explain any of these calculations or reasons for using particular data sources. </w:t>
      </w:r>
    </w:p>
    <w:p w14:paraId="22FDEF89" w14:textId="10925244" w:rsidR="008E3FB3" w:rsidRPr="003C1A80" w:rsidRDefault="00A06FB7" w:rsidP="003C1A80">
      <w:pPr>
        <w:pStyle w:val="3-BodyText"/>
        <w:spacing w:after="120"/>
        <w:rPr>
          <w:i/>
          <w:iCs/>
        </w:rPr>
      </w:pPr>
      <w:r w:rsidRPr="008E38EC">
        <w:t>Th</w:t>
      </w:r>
      <w:r w:rsidR="00DA6925" w:rsidRPr="008E38EC">
        <w:t>e utility inputs, and sources are</w:t>
      </w:r>
      <w:r w:rsidRPr="008E38EC">
        <w:t xml:space="preserve"> further described in </w:t>
      </w:r>
      <w:r w:rsidRPr="008E38EC">
        <w:fldChar w:fldCharType="begin" w:fldLock="1"/>
      </w:r>
      <w:r w:rsidRPr="008E38EC">
        <w:instrText xml:space="preserve"> REF _Ref196178536 \h  \* MERGEFORMAT </w:instrText>
      </w:r>
      <w:r w:rsidRPr="008E38EC">
        <w:fldChar w:fldCharType="separate"/>
      </w:r>
      <w:r w:rsidR="00C34379" w:rsidRPr="0031419F">
        <w:t xml:space="preserve">Table </w:t>
      </w:r>
      <w:r w:rsidR="00C34379">
        <w:t>17</w:t>
      </w:r>
      <w:r w:rsidRPr="008E38EC">
        <w:fldChar w:fldCharType="end"/>
      </w:r>
      <w:r w:rsidRPr="003C1A80">
        <w:rPr>
          <w:i/>
          <w:iCs/>
        </w:rPr>
        <w:t>.</w:t>
      </w:r>
    </w:p>
    <w:p w14:paraId="48E4D2E3" w14:textId="5892D1DD" w:rsidR="00A06FB7" w:rsidRPr="0031419F" w:rsidRDefault="00A06FB7" w:rsidP="00A06FB7">
      <w:pPr>
        <w:pStyle w:val="Caption"/>
      </w:pPr>
      <w:bookmarkStart w:id="48" w:name="_Ref196178536"/>
      <w:r w:rsidRPr="0031419F">
        <w:t xml:space="preserve">Table </w:t>
      </w:r>
      <w:r w:rsidR="00C34379">
        <w:fldChar w:fldCharType="begin" w:fldLock="1"/>
      </w:r>
      <w:r w:rsidR="00C34379">
        <w:instrText xml:space="preserve"> SEQ Table \* ARABIC </w:instrText>
      </w:r>
      <w:r w:rsidR="00C34379">
        <w:fldChar w:fldCharType="separate"/>
      </w:r>
      <w:r w:rsidR="00C34379">
        <w:rPr>
          <w:noProof/>
        </w:rPr>
        <w:t>17</w:t>
      </w:r>
      <w:r w:rsidR="00C34379">
        <w:rPr>
          <w:noProof/>
        </w:rPr>
        <w:fldChar w:fldCharType="end"/>
      </w:r>
      <w:bookmarkEnd w:id="48"/>
      <w:r w:rsidRPr="0031419F">
        <w:t>: Utility multiplier or decrements applied in economic model</w:t>
      </w:r>
    </w:p>
    <w:tbl>
      <w:tblPr>
        <w:tblStyle w:val="TableGrid"/>
        <w:tblW w:w="5000" w:type="pct"/>
        <w:jc w:val="center"/>
        <w:tblCellMar>
          <w:left w:w="28" w:type="dxa"/>
          <w:right w:w="28" w:type="dxa"/>
        </w:tblCellMar>
        <w:tblLook w:val="04A0" w:firstRow="1" w:lastRow="0" w:firstColumn="1" w:lastColumn="0" w:noHBand="0" w:noVBand="1"/>
        <w:tblCaption w:val="Table 17: Utility multiplier or decrements applied in economic model"/>
      </w:tblPr>
      <w:tblGrid>
        <w:gridCol w:w="1963"/>
        <w:gridCol w:w="1405"/>
        <w:gridCol w:w="5530"/>
      </w:tblGrid>
      <w:tr w:rsidR="00A06FB7" w:rsidRPr="0031419F" w14:paraId="062750FB" w14:textId="77777777" w:rsidTr="000B4467">
        <w:trPr>
          <w:cantSplit/>
          <w:trHeight w:val="20"/>
          <w:tblHeader/>
          <w:jc w:val="center"/>
        </w:trPr>
        <w:tc>
          <w:tcPr>
            <w:tcW w:w="1980" w:type="dxa"/>
            <w:vAlign w:val="center"/>
          </w:tcPr>
          <w:p w14:paraId="30A46677" w14:textId="77777777" w:rsidR="00A06FB7" w:rsidRPr="0031419F" w:rsidRDefault="00A06FB7" w:rsidP="000B4467">
            <w:pPr>
              <w:pStyle w:val="In-tableHeading"/>
              <w:rPr>
                <w:lang w:val="en-AU"/>
              </w:rPr>
            </w:pPr>
            <w:r w:rsidRPr="0031419F">
              <w:rPr>
                <w:lang w:val="en-AU"/>
              </w:rPr>
              <w:t>Input description</w:t>
            </w:r>
          </w:p>
        </w:tc>
        <w:tc>
          <w:tcPr>
            <w:tcW w:w="1417" w:type="dxa"/>
            <w:vAlign w:val="center"/>
          </w:tcPr>
          <w:p w14:paraId="2DFBC085" w14:textId="77777777" w:rsidR="00A06FB7" w:rsidRPr="0031419F" w:rsidRDefault="00A06FB7" w:rsidP="000B4467">
            <w:pPr>
              <w:pStyle w:val="In-tableHeading"/>
              <w:rPr>
                <w:lang w:val="en-AU"/>
              </w:rPr>
            </w:pPr>
            <w:r w:rsidRPr="0031419F">
              <w:rPr>
                <w:lang w:val="en-AU"/>
              </w:rPr>
              <w:t>Utility multiplier or decrement</w:t>
            </w:r>
          </w:p>
        </w:tc>
        <w:tc>
          <w:tcPr>
            <w:tcW w:w="5619" w:type="dxa"/>
            <w:vAlign w:val="center"/>
          </w:tcPr>
          <w:p w14:paraId="2E156743" w14:textId="77777777" w:rsidR="00A06FB7" w:rsidRPr="0031419F" w:rsidRDefault="00A06FB7" w:rsidP="000B4467">
            <w:pPr>
              <w:pStyle w:val="In-tableHeading"/>
              <w:rPr>
                <w:lang w:val="en-AU"/>
              </w:rPr>
            </w:pPr>
            <w:r w:rsidRPr="0031419F">
              <w:rPr>
                <w:lang w:val="en-AU"/>
              </w:rPr>
              <w:t>Source</w:t>
            </w:r>
          </w:p>
        </w:tc>
      </w:tr>
      <w:tr w:rsidR="00A06FB7" w:rsidRPr="0031419F" w14:paraId="631BA61C" w14:textId="77777777" w:rsidTr="000B4467">
        <w:trPr>
          <w:cantSplit/>
          <w:trHeight w:val="20"/>
          <w:jc w:val="center"/>
        </w:trPr>
        <w:tc>
          <w:tcPr>
            <w:tcW w:w="1980" w:type="dxa"/>
            <w:vAlign w:val="center"/>
          </w:tcPr>
          <w:p w14:paraId="2D5A6648" w14:textId="77777777" w:rsidR="00A06FB7" w:rsidRPr="0031419F" w:rsidRDefault="00A06FB7" w:rsidP="000B4467">
            <w:pPr>
              <w:pStyle w:val="TableText0"/>
              <w:rPr>
                <w:lang w:val="en-AU"/>
              </w:rPr>
            </w:pPr>
            <w:r w:rsidRPr="0031419F">
              <w:rPr>
                <w:lang w:val="en-AU"/>
              </w:rPr>
              <w:t>Gastrointestinal disorder utility multiplier</w:t>
            </w:r>
          </w:p>
        </w:tc>
        <w:tc>
          <w:tcPr>
            <w:tcW w:w="1417" w:type="dxa"/>
            <w:vAlign w:val="center"/>
          </w:tcPr>
          <w:p w14:paraId="00129B5F" w14:textId="2D48B4D2" w:rsidR="00A06FB7" w:rsidRPr="0031419F" w:rsidRDefault="000601E9" w:rsidP="000B4467">
            <w:pPr>
              <w:pStyle w:val="TableText0"/>
              <w:jc w:val="center"/>
              <w:rPr>
                <w:lang w:val="en-AU"/>
              </w:rPr>
            </w:pPr>
            <w:r w:rsidRPr="0031419F">
              <w:rPr>
                <w:lang w:val="en-AU"/>
              </w:rPr>
              <w:t xml:space="preserve">Disutility multiplier = </w:t>
            </w:r>
            <w:r w:rsidR="00A06FB7" w:rsidRPr="0031419F">
              <w:rPr>
                <w:lang w:val="en-AU"/>
              </w:rPr>
              <w:t>0.47</w:t>
            </w:r>
          </w:p>
        </w:tc>
        <w:tc>
          <w:tcPr>
            <w:tcW w:w="5619" w:type="dxa"/>
            <w:vAlign w:val="center"/>
          </w:tcPr>
          <w:p w14:paraId="2A9662EB" w14:textId="07FDEDB9" w:rsidR="00425CD2" w:rsidRDefault="00A06FB7" w:rsidP="000B4467">
            <w:pPr>
              <w:pStyle w:val="TableText0"/>
              <w:rPr>
                <w:vertAlign w:val="superscript"/>
                <w:lang w:val="en-AU"/>
              </w:rPr>
            </w:pPr>
            <w:r w:rsidRPr="0031419F">
              <w:rPr>
                <w:lang w:val="en-AU"/>
              </w:rPr>
              <w:t xml:space="preserve">The multiplier was claimed to be </w:t>
            </w:r>
            <w:r w:rsidR="00253EF9">
              <w:rPr>
                <w:lang w:val="en-AU"/>
              </w:rPr>
              <w:t xml:space="preserve">0.41 </w:t>
            </w:r>
            <w:r w:rsidRPr="0031419F">
              <w:rPr>
                <w:lang w:val="en-AU"/>
              </w:rPr>
              <w:t xml:space="preserve">from Wilson and Lucas 2018 (abstract/poster presentation) which presented a cost-effectiveness study in patients with moderate to severe Crohn’s disease who have previously failed tumour necrosis factor alpha inhibitors in the United Kingdom. </w:t>
            </w:r>
            <w:r w:rsidR="00425CD2" w:rsidRPr="00666E64">
              <w:rPr>
                <w:vertAlign w:val="superscript"/>
                <w:lang w:val="en-AU"/>
              </w:rPr>
              <w:t>1</w:t>
            </w:r>
          </w:p>
          <w:p w14:paraId="64DF3C5D" w14:textId="070E9757" w:rsidR="00A06FB7" w:rsidRPr="0031419F" w:rsidRDefault="00A06FB7" w:rsidP="000B4467">
            <w:pPr>
              <w:pStyle w:val="TableText0"/>
              <w:rPr>
                <w:lang w:val="en-AU"/>
              </w:rPr>
            </w:pPr>
            <w:r w:rsidRPr="0031419F">
              <w:rPr>
                <w:lang w:val="en-AU"/>
              </w:rPr>
              <w:t>It was unclear whether Crohn’s disease was a reasonabl</w:t>
            </w:r>
            <w:r w:rsidR="00CA645B" w:rsidRPr="0031419F">
              <w:rPr>
                <w:lang w:val="en-AU"/>
              </w:rPr>
              <w:t>e</w:t>
            </w:r>
            <w:r w:rsidRPr="0031419F">
              <w:rPr>
                <w:lang w:val="en-AU"/>
              </w:rPr>
              <w:t xml:space="preserve"> proxy for informing GI manifestation disutilities. </w:t>
            </w:r>
          </w:p>
        </w:tc>
      </w:tr>
      <w:tr w:rsidR="00A06FB7" w:rsidRPr="0031419F" w14:paraId="3186F068" w14:textId="77777777" w:rsidTr="000B4467">
        <w:trPr>
          <w:cantSplit/>
          <w:trHeight w:val="20"/>
          <w:jc w:val="center"/>
        </w:trPr>
        <w:tc>
          <w:tcPr>
            <w:tcW w:w="1980" w:type="dxa"/>
            <w:vAlign w:val="center"/>
          </w:tcPr>
          <w:p w14:paraId="36C05DFC" w14:textId="77777777" w:rsidR="00A06FB7" w:rsidRPr="0031419F" w:rsidRDefault="00A06FB7" w:rsidP="000B4467">
            <w:pPr>
              <w:pStyle w:val="TableText0"/>
              <w:rPr>
                <w:lang w:val="en-AU"/>
              </w:rPr>
            </w:pPr>
            <w:r w:rsidRPr="0031419F">
              <w:rPr>
                <w:lang w:val="en-AU"/>
              </w:rPr>
              <w:t>Cytopenia utility multiplier</w:t>
            </w:r>
          </w:p>
        </w:tc>
        <w:tc>
          <w:tcPr>
            <w:tcW w:w="1417" w:type="dxa"/>
            <w:vAlign w:val="center"/>
          </w:tcPr>
          <w:p w14:paraId="0CE24FE9" w14:textId="0F5F7DE4" w:rsidR="00A06FB7" w:rsidRPr="0031419F" w:rsidRDefault="000601E9" w:rsidP="000B4467">
            <w:pPr>
              <w:pStyle w:val="TableText0"/>
              <w:jc w:val="center"/>
              <w:rPr>
                <w:lang w:val="en-AU"/>
              </w:rPr>
            </w:pPr>
            <w:r w:rsidRPr="0031419F">
              <w:rPr>
                <w:lang w:val="en-AU"/>
              </w:rPr>
              <w:t xml:space="preserve">Disutility multiplier </w:t>
            </w:r>
            <w:r w:rsidR="001E0827" w:rsidRPr="0031419F">
              <w:rPr>
                <w:lang w:val="en-AU"/>
              </w:rPr>
              <w:t>= 0</w:t>
            </w:r>
            <w:r w:rsidR="00A06FB7" w:rsidRPr="0031419F">
              <w:rPr>
                <w:lang w:val="en-AU"/>
              </w:rPr>
              <w:t>.88</w:t>
            </w:r>
          </w:p>
        </w:tc>
        <w:tc>
          <w:tcPr>
            <w:tcW w:w="5619" w:type="dxa"/>
            <w:vAlign w:val="center"/>
          </w:tcPr>
          <w:p w14:paraId="61205C6F" w14:textId="77777777" w:rsidR="00A06FB7" w:rsidRPr="0031419F" w:rsidRDefault="00A06FB7" w:rsidP="000B4467">
            <w:pPr>
              <w:pStyle w:val="TableText0"/>
              <w:rPr>
                <w:lang w:val="en-AU"/>
              </w:rPr>
            </w:pPr>
            <w:r w:rsidRPr="0031419F">
              <w:rPr>
                <w:lang w:val="en-AU"/>
              </w:rPr>
              <w:t xml:space="preserve">The 0.75 was based on the mean adjusted EQ-5D score reported in immune thrombocytopenic purpura patients (n=1,002) from Snyder 2008 which was a cross-sectional, descriptive study comparing immune thrombocytopenic purpura patients’ HRQoL to age and gender matched controls in the US. (The EQ-5D score for controls was 0.83.) </w:t>
            </w:r>
          </w:p>
        </w:tc>
      </w:tr>
      <w:tr w:rsidR="00A06FB7" w:rsidRPr="0031419F" w14:paraId="2F9744CE" w14:textId="77777777" w:rsidTr="000B4467">
        <w:trPr>
          <w:cantSplit/>
          <w:trHeight w:val="20"/>
          <w:jc w:val="center"/>
        </w:trPr>
        <w:tc>
          <w:tcPr>
            <w:tcW w:w="1980" w:type="dxa"/>
            <w:tcBorders>
              <w:bottom w:val="single" w:sz="4" w:space="0" w:color="auto"/>
            </w:tcBorders>
            <w:vAlign w:val="center"/>
          </w:tcPr>
          <w:p w14:paraId="20C196B5" w14:textId="77777777" w:rsidR="00A06FB7" w:rsidRPr="0031419F" w:rsidRDefault="00A06FB7" w:rsidP="000B4467">
            <w:pPr>
              <w:pStyle w:val="TableText0"/>
              <w:rPr>
                <w:lang w:val="en-AU"/>
              </w:rPr>
            </w:pPr>
            <w:r w:rsidRPr="0031419F">
              <w:rPr>
                <w:lang w:val="en-AU"/>
              </w:rPr>
              <w:t>Lymphoma utility multiplier</w:t>
            </w:r>
          </w:p>
        </w:tc>
        <w:tc>
          <w:tcPr>
            <w:tcW w:w="1417" w:type="dxa"/>
            <w:tcBorders>
              <w:bottom w:val="single" w:sz="4" w:space="0" w:color="auto"/>
            </w:tcBorders>
            <w:vAlign w:val="center"/>
          </w:tcPr>
          <w:p w14:paraId="3DBF57D3" w14:textId="77777777" w:rsidR="00A06FB7" w:rsidRPr="0031419F" w:rsidRDefault="00A06FB7" w:rsidP="000B4467">
            <w:pPr>
              <w:pStyle w:val="TableText0"/>
              <w:jc w:val="center"/>
              <w:rPr>
                <w:lang w:val="en-AU"/>
              </w:rPr>
            </w:pPr>
            <w:r w:rsidRPr="0031419F">
              <w:rPr>
                <w:lang w:val="en-AU"/>
              </w:rPr>
              <w:t>Utility decrement in first year = - 0.592</w:t>
            </w:r>
          </w:p>
          <w:p w14:paraId="70990AB9" w14:textId="77777777" w:rsidR="00A06FB7" w:rsidRPr="0031419F" w:rsidRDefault="00A06FB7" w:rsidP="000B4467">
            <w:pPr>
              <w:pStyle w:val="TableText0"/>
              <w:jc w:val="center"/>
              <w:rPr>
                <w:lang w:val="en-AU"/>
              </w:rPr>
            </w:pPr>
          </w:p>
          <w:p w14:paraId="3A3D4994" w14:textId="77777777" w:rsidR="00A06FB7" w:rsidRPr="0031419F" w:rsidRDefault="00A06FB7" w:rsidP="000B4467">
            <w:pPr>
              <w:pStyle w:val="TableText0"/>
              <w:jc w:val="center"/>
              <w:rPr>
                <w:lang w:val="en-AU"/>
              </w:rPr>
            </w:pPr>
            <w:r w:rsidRPr="0031419F">
              <w:rPr>
                <w:lang w:val="en-AU"/>
              </w:rPr>
              <w:t>Disutility multiplier after first year = 0.80</w:t>
            </w:r>
          </w:p>
        </w:tc>
        <w:tc>
          <w:tcPr>
            <w:tcW w:w="5619" w:type="dxa"/>
            <w:tcBorders>
              <w:bottom w:val="single" w:sz="4" w:space="0" w:color="auto"/>
            </w:tcBorders>
            <w:vAlign w:val="center"/>
          </w:tcPr>
          <w:p w14:paraId="5C3C7BAB" w14:textId="1DD73F5B" w:rsidR="00A06FB7" w:rsidRPr="0031419F" w:rsidRDefault="00A06FB7" w:rsidP="000B4467">
            <w:pPr>
              <w:pStyle w:val="TableText0"/>
              <w:rPr>
                <w:lang w:val="en-AU"/>
              </w:rPr>
            </w:pPr>
            <w:r w:rsidRPr="0031419F">
              <w:rPr>
                <w:lang w:val="en-AU"/>
              </w:rPr>
              <w:t xml:space="preserve">Estimation of utility decrement in the first year = 0.278 – 0.87 (i.e., </w:t>
            </w:r>
            <w:r w:rsidR="00FA5C17" w:rsidRPr="0031419F">
              <w:rPr>
                <w:lang w:val="en-AU"/>
              </w:rPr>
              <w:t xml:space="preserve">first year </w:t>
            </w:r>
            <w:r w:rsidRPr="0031419F">
              <w:rPr>
                <w:lang w:val="en-AU"/>
              </w:rPr>
              <w:t>utility of 0.278 minus the general population utility</w:t>
            </w:r>
            <w:r w:rsidR="00B5153D" w:rsidRPr="0031419F">
              <w:rPr>
                <w:lang w:val="en-AU"/>
              </w:rPr>
              <w:t xml:space="preserve"> of 0.87</w:t>
            </w:r>
            <w:r w:rsidRPr="0031419F">
              <w:rPr>
                <w:lang w:val="en-AU"/>
              </w:rPr>
              <w:t xml:space="preserve"> at age 35 years)</w:t>
            </w:r>
            <w:r w:rsidR="00FA5C17" w:rsidRPr="0031419F">
              <w:rPr>
                <w:lang w:val="en-AU"/>
              </w:rPr>
              <w:t xml:space="preserve"> = -0.592</w:t>
            </w:r>
            <w:r w:rsidRPr="0031419F">
              <w:rPr>
                <w:lang w:val="en-AU"/>
              </w:rPr>
              <w:t>. 0.278 was the baseline utility for an APDS patient having malignancies from the submission’s EQ-5D study informed by clinical experts. It was unclear why two different disutilities were required and why a flat decrease was used in the first year rather than a multiplier</w:t>
            </w:r>
            <w:r w:rsidR="00FA5C17" w:rsidRPr="0031419F">
              <w:rPr>
                <w:lang w:val="en-AU"/>
              </w:rPr>
              <w:t>, as used for all subsequent years</w:t>
            </w:r>
            <w:r w:rsidRPr="0031419F">
              <w:rPr>
                <w:lang w:val="en-AU"/>
              </w:rPr>
              <w:t>. It was also unclear why the model used the general population age of 35 years for this calculation and then 61 years for subsequent years.</w:t>
            </w:r>
          </w:p>
          <w:p w14:paraId="17614536" w14:textId="77777777" w:rsidR="00A06FB7" w:rsidRPr="0031419F" w:rsidRDefault="00A06FB7" w:rsidP="000B4467">
            <w:pPr>
              <w:pStyle w:val="TableText0"/>
              <w:rPr>
                <w:lang w:val="en-AU"/>
              </w:rPr>
            </w:pPr>
          </w:p>
          <w:p w14:paraId="09A8E649" w14:textId="6778FD4E" w:rsidR="00A06FB7" w:rsidRPr="0031419F" w:rsidRDefault="00A06FB7" w:rsidP="000B4467">
            <w:pPr>
              <w:pStyle w:val="TableText0"/>
              <w:rPr>
                <w:lang w:val="en-AU"/>
              </w:rPr>
            </w:pPr>
            <w:r w:rsidRPr="0031419F">
              <w:rPr>
                <w:lang w:val="en-AU"/>
              </w:rPr>
              <w:t xml:space="preserve">The disutility </w:t>
            </w:r>
            <w:r w:rsidR="006D5BC9" w:rsidRPr="0031419F">
              <w:rPr>
                <w:lang w:val="en-AU"/>
              </w:rPr>
              <w:t xml:space="preserve">multiplier </w:t>
            </w:r>
            <w:r w:rsidRPr="0031419F">
              <w:rPr>
                <w:lang w:val="en-AU"/>
              </w:rPr>
              <w:t xml:space="preserve">after first year was based on the EQ-5D scores of all patients at baseline reported in Launonen 2021 (n=1,132), which was an open label RCT in previously untreated patients with diffuse large B-cell lymphoma (DLBCL). </w:t>
            </w:r>
          </w:p>
        </w:tc>
      </w:tr>
      <w:tr w:rsidR="00A06FB7" w:rsidRPr="0031419F" w14:paraId="3ABEE3A5" w14:textId="77777777" w:rsidTr="000B4467">
        <w:trPr>
          <w:cantSplit/>
          <w:trHeight w:val="20"/>
          <w:jc w:val="center"/>
        </w:trPr>
        <w:tc>
          <w:tcPr>
            <w:tcW w:w="9016" w:type="dxa"/>
            <w:gridSpan w:val="3"/>
            <w:tcBorders>
              <w:top w:val="single" w:sz="4" w:space="0" w:color="auto"/>
              <w:left w:val="single" w:sz="4" w:space="0" w:color="auto"/>
              <w:bottom w:val="single" w:sz="4" w:space="0" w:color="auto"/>
              <w:right w:val="single" w:sz="4" w:space="0" w:color="auto"/>
            </w:tcBorders>
            <w:vAlign w:val="center"/>
          </w:tcPr>
          <w:p w14:paraId="593754D9" w14:textId="77777777" w:rsidR="00A06FB7" w:rsidRPr="0031419F" w:rsidRDefault="00A06FB7" w:rsidP="000B4467">
            <w:pPr>
              <w:pStyle w:val="TableText0"/>
              <w:rPr>
                <w:lang w:val="en-AU"/>
              </w:rPr>
            </w:pPr>
            <w:r w:rsidRPr="0031419F">
              <w:rPr>
                <w:lang w:val="en-AU"/>
              </w:rPr>
              <w:t>Infections</w:t>
            </w:r>
          </w:p>
        </w:tc>
      </w:tr>
      <w:tr w:rsidR="00A06FB7" w:rsidRPr="0031419F" w14:paraId="050980FF" w14:textId="77777777" w:rsidTr="000B4467">
        <w:trPr>
          <w:cantSplit/>
          <w:trHeight w:val="20"/>
          <w:jc w:val="center"/>
        </w:trPr>
        <w:tc>
          <w:tcPr>
            <w:tcW w:w="1980" w:type="dxa"/>
            <w:tcBorders>
              <w:top w:val="single" w:sz="4" w:space="0" w:color="auto"/>
            </w:tcBorders>
            <w:vAlign w:val="center"/>
          </w:tcPr>
          <w:p w14:paraId="4830107A" w14:textId="77777777" w:rsidR="00A06FB7" w:rsidRPr="0031419F" w:rsidRDefault="00A06FB7" w:rsidP="000B4467">
            <w:pPr>
              <w:pStyle w:val="TableText0"/>
              <w:rPr>
                <w:lang w:val="en-AU"/>
              </w:rPr>
            </w:pPr>
            <w:r w:rsidRPr="0031419F">
              <w:rPr>
                <w:lang w:val="en-AU"/>
              </w:rPr>
              <w:t>Moderate lower respiratory infections disutility</w:t>
            </w:r>
          </w:p>
        </w:tc>
        <w:tc>
          <w:tcPr>
            <w:tcW w:w="1417" w:type="dxa"/>
            <w:tcBorders>
              <w:top w:val="single" w:sz="4" w:space="0" w:color="auto"/>
            </w:tcBorders>
            <w:vAlign w:val="center"/>
          </w:tcPr>
          <w:p w14:paraId="76F4E27F" w14:textId="77777777" w:rsidR="00A06FB7" w:rsidRPr="0031419F" w:rsidRDefault="00A06FB7" w:rsidP="000B4467">
            <w:pPr>
              <w:pStyle w:val="TableText0"/>
              <w:jc w:val="center"/>
              <w:rPr>
                <w:lang w:val="en-AU"/>
              </w:rPr>
            </w:pPr>
            <w:r w:rsidRPr="0031419F">
              <w:rPr>
                <w:lang w:val="en-AU"/>
              </w:rPr>
              <w:t>-0.003</w:t>
            </w:r>
          </w:p>
        </w:tc>
        <w:tc>
          <w:tcPr>
            <w:tcW w:w="5619" w:type="dxa"/>
            <w:tcBorders>
              <w:top w:val="single" w:sz="4" w:space="0" w:color="auto"/>
            </w:tcBorders>
            <w:vAlign w:val="center"/>
          </w:tcPr>
          <w:p w14:paraId="2BA21B99" w14:textId="2B12919B" w:rsidR="00A06FB7" w:rsidRPr="0031419F" w:rsidRDefault="00A06FB7" w:rsidP="000B4467">
            <w:pPr>
              <w:pStyle w:val="TableText0"/>
              <w:rPr>
                <w:lang w:val="en-AU"/>
              </w:rPr>
            </w:pPr>
            <w:r w:rsidRPr="0031419F">
              <w:rPr>
                <w:lang w:val="en-AU"/>
              </w:rPr>
              <w:t xml:space="preserve">Disutility value based on Global Burden of Disease Study 2019 for all infections. Assumed to occur in 26% of patients </w:t>
            </w:r>
            <w:r w:rsidR="003115A5" w:rsidRPr="0031419F">
              <w:rPr>
                <w:lang w:val="en-AU"/>
              </w:rPr>
              <w:t xml:space="preserve">(leniolisib and SoC arms) </w:t>
            </w:r>
            <w:r w:rsidRPr="0031419F">
              <w:rPr>
                <w:lang w:val="en-AU"/>
              </w:rPr>
              <w:t xml:space="preserve">and claimed to be sourced from Coulter 2017. </w:t>
            </w:r>
            <w:r w:rsidR="00564E86" w:rsidRPr="00666E64">
              <w:rPr>
                <w:vertAlign w:val="superscript"/>
                <w:lang w:val="en-AU"/>
              </w:rPr>
              <w:t>1</w:t>
            </w:r>
          </w:p>
        </w:tc>
      </w:tr>
      <w:tr w:rsidR="00A06FB7" w:rsidRPr="0031419F" w14:paraId="547CF557" w14:textId="77777777" w:rsidTr="000B4467">
        <w:trPr>
          <w:cantSplit/>
          <w:trHeight w:val="20"/>
          <w:jc w:val="center"/>
        </w:trPr>
        <w:tc>
          <w:tcPr>
            <w:tcW w:w="1980" w:type="dxa"/>
            <w:vAlign w:val="center"/>
          </w:tcPr>
          <w:p w14:paraId="58A663E4" w14:textId="77777777" w:rsidR="00A06FB7" w:rsidRPr="0031419F" w:rsidRDefault="00A06FB7" w:rsidP="000B4467">
            <w:pPr>
              <w:pStyle w:val="TableText0"/>
              <w:rPr>
                <w:lang w:val="en-AU"/>
              </w:rPr>
            </w:pPr>
            <w:r w:rsidRPr="0031419F">
              <w:rPr>
                <w:lang w:val="en-AU"/>
              </w:rPr>
              <w:t>Severe lower respiratory infections disutility</w:t>
            </w:r>
          </w:p>
        </w:tc>
        <w:tc>
          <w:tcPr>
            <w:tcW w:w="1417" w:type="dxa"/>
            <w:vAlign w:val="center"/>
          </w:tcPr>
          <w:p w14:paraId="025316F2" w14:textId="77777777" w:rsidR="00A06FB7" w:rsidRPr="0031419F" w:rsidRDefault="00A06FB7" w:rsidP="000B4467">
            <w:pPr>
              <w:pStyle w:val="TableText0"/>
              <w:jc w:val="center"/>
              <w:rPr>
                <w:lang w:val="en-AU"/>
              </w:rPr>
            </w:pPr>
            <w:r w:rsidRPr="0031419F">
              <w:rPr>
                <w:lang w:val="en-AU"/>
              </w:rPr>
              <w:t>-0.009</w:t>
            </w:r>
          </w:p>
        </w:tc>
        <w:tc>
          <w:tcPr>
            <w:tcW w:w="5619" w:type="dxa"/>
            <w:vAlign w:val="center"/>
          </w:tcPr>
          <w:p w14:paraId="48A3F1B8" w14:textId="08697893" w:rsidR="00A06FB7" w:rsidRPr="0031419F" w:rsidRDefault="00A06FB7" w:rsidP="000B4467">
            <w:pPr>
              <w:pStyle w:val="TableText0"/>
              <w:rPr>
                <w:lang w:val="en-AU"/>
              </w:rPr>
            </w:pPr>
            <w:r w:rsidRPr="0031419F">
              <w:rPr>
                <w:lang w:val="en-AU"/>
              </w:rPr>
              <w:t>Assumed to occur in 21% of patients and claimed to be sourced from Coulter 2017.</w:t>
            </w:r>
          </w:p>
        </w:tc>
      </w:tr>
      <w:tr w:rsidR="00A06FB7" w:rsidRPr="0031419F" w14:paraId="00E6C29B" w14:textId="77777777" w:rsidTr="000B4467">
        <w:trPr>
          <w:cantSplit/>
          <w:trHeight w:val="20"/>
          <w:jc w:val="center"/>
        </w:trPr>
        <w:tc>
          <w:tcPr>
            <w:tcW w:w="1980" w:type="dxa"/>
            <w:vAlign w:val="center"/>
          </w:tcPr>
          <w:p w14:paraId="0C14BDBA" w14:textId="77777777" w:rsidR="00A06FB7" w:rsidRPr="0031419F" w:rsidRDefault="00A06FB7" w:rsidP="000B4467">
            <w:pPr>
              <w:pStyle w:val="TableText0"/>
              <w:rPr>
                <w:lang w:val="en-AU"/>
              </w:rPr>
            </w:pPr>
            <w:r w:rsidRPr="0031419F">
              <w:rPr>
                <w:lang w:val="en-AU"/>
              </w:rPr>
              <w:t>Moderate upper respiratory infections disutility</w:t>
            </w:r>
          </w:p>
        </w:tc>
        <w:tc>
          <w:tcPr>
            <w:tcW w:w="1417" w:type="dxa"/>
            <w:vAlign w:val="center"/>
          </w:tcPr>
          <w:p w14:paraId="12BF4DA8" w14:textId="77777777" w:rsidR="00A06FB7" w:rsidRPr="0031419F" w:rsidRDefault="00A06FB7" w:rsidP="000B4467">
            <w:pPr>
              <w:pStyle w:val="TableText0"/>
              <w:jc w:val="center"/>
              <w:rPr>
                <w:lang w:val="en-AU"/>
              </w:rPr>
            </w:pPr>
            <w:r w:rsidRPr="0031419F">
              <w:rPr>
                <w:lang w:val="en-AU"/>
              </w:rPr>
              <w:t>-0.003</w:t>
            </w:r>
          </w:p>
        </w:tc>
        <w:tc>
          <w:tcPr>
            <w:tcW w:w="5619" w:type="dxa"/>
            <w:vAlign w:val="center"/>
          </w:tcPr>
          <w:p w14:paraId="5012EBA4" w14:textId="1A4CED69" w:rsidR="00A06FB7" w:rsidRPr="0031419F" w:rsidRDefault="00A06FB7" w:rsidP="000B4467">
            <w:pPr>
              <w:pStyle w:val="TableText0"/>
              <w:rPr>
                <w:lang w:val="en-AU"/>
              </w:rPr>
            </w:pPr>
            <w:r w:rsidRPr="0031419F">
              <w:rPr>
                <w:lang w:val="en-AU"/>
              </w:rPr>
              <w:t>Assumed to occur in 41% of patients and claimed to be sourced from Coulter 2017.</w:t>
            </w:r>
          </w:p>
        </w:tc>
      </w:tr>
      <w:tr w:rsidR="00A06FB7" w:rsidRPr="0031419F" w14:paraId="214B45DE" w14:textId="77777777" w:rsidTr="000B4467">
        <w:trPr>
          <w:cantSplit/>
          <w:trHeight w:val="20"/>
          <w:jc w:val="center"/>
        </w:trPr>
        <w:tc>
          <w:tcPr>
            <w:tcW w:w="1980" w:type="dxa"/>
            <w:vAlign w:val="center"/>
          </w:tcPr>
          <w:p w14:paraId="2FC4677C" w14:textId="77777777" w:rsidR="00A06FB7" w:rsidRPr="0031419F" w:rsidRDefault="00A06FB7" w:rsidP="000B4467">
            <w:pPr>
              <w:pStyle w:val="TableText0"/>
              <w:rPr>
                <w:lang w:val="en-AU"/>
              </w:rPr>
            </w:pPr>
            <w:r w:rsidRPr="0031419F">
              <w:rPr>
                <w:lang w:val="en-AU"/>
              </w:rPr>
              <w:t>Herpes zoster disutility</w:t>
            </w:r>
          </w:p>
        </w:tc>
        <w:tc>
          <w:tcPr>
            <w:tcW w:w="1417" w:type="dxa"/>
            <w:vAlign w:val="center"/>
          </w:tcPr>
          <w:p w14:paraId="1CC2DC36" w14:textId="77777777" w:rsidR="00A06FB7" w:rsidRPr="0031419F" w:rsidRDefault="00A06FB7" w:rsidP="000B4467">
            <w:pPr>
              <w:pStyle w:val="TableText0"/>
              <w:jc w:val="center"/>
              <w:rPr>
                <w:lang w:val="en-AU"/>
              </w:rPr>
            </w:pPr>
            <w:r w:rsidRPr="0031419F">
              <w:rPr>
                <w:lang w:val="en-AU"/>
              </w:rPr>
              <w:t>-0.004</w:t>
            </w:r>
          </w:p>
        </w:tc>
        <w:tc>
          <w:tcPr>
            <w:tcW w:w="5619" w:type="dxa"/>
            <w:vAlign w:val="center"/>
          </w:tcPr>
          <w:p w14:paraId="7A86D2A0" w14:textId="13D47D26" w:rsidR="00A06FB7" w:rsidRPr="0031419F" w:rsidRDefault="00A06FB7" w:rsidP="000B4467">
            <w:pPr>
              <w:pStyle w:val="TableText0"/>
              <w:rPr>
                <w:lang w:val="en-AU"/>
              </w:rPr>
            </w:pPr>
            <w:r w:rsidRPr="0031419F">
              <w:rPr>
                <w:lang w:val="en-AU"/>
              </w:rPr>
              <w:t>Assumed a occur in 12% of patients and claimed to be sourced from Coulter 2017.</w:t>
            </w:r>
          </w:p>
        </w:tc>
      </w:tr>
      <w:tr w:rsidR="00A06FB7" w:rsidRPr="0031419F" w14:paraId="754C4A84" w14:textId="77777777" w:rsidTr="000B4467">
        <w:trPr>
          <w:cantSplit/>
          <w:trHeight w:val="20"/>
          <w:jc w:val="center"/>
        </w:trPr>
        <w:tc>
          <w:tcPr>
            <w:tcW w:w="1980" w:type="dxa"/>
            <w:vAlign w:val="center"/>
          </w:tcPr>
          <w:p w14:paraId="5FC40992" w14:textId="77777777" w:rsidR="00A06FB7" w:rsidRPr="0031419F" w:rsidRDefault="00A06FB7" w:rsidP="000B4467">
            <w:pPr>
              <w:pStyle w:val="TableText0"/>
              <w:rPr>
                <w:lang w:val="en-AU"/>
              </w:rPr>
            </w:pPr>
            <w:r w:rsidRPr="0031419F">
              <w:rPr>
                <w:lang w:val="en-AU"/>
              </w:rPr>
              <w:t>Infections: weighted average disutility</w:t>
            </w:r>
          </w:p>
        </w:tc>
        <w:tc>
          <w:tcPr>
            <w:tcW w:w="1417" w:type="dxa"/>
            <w:vAlign w:val="center"/>
          </w:tcPr>
          <w:p w14:paraId="7EB02184" w14:textId="77777777" w:rsidR="00A06FB7" w:rsidRPr="0031419F" w:rsidRDefault="00A06FB7" w:rsidP="000B4467">
            <w:pPr>
              <w:pStyle w:val="TableText0"/>
              <w:jc w:val="center"/>
              <w:rPr>
                <w:lang w:val="en-AU"/>
              </w:rPr>
            </w:pPr>
            <w:r w:rsidRPr="0031419F">
              <w:rPr>
                <w:lang w:val="en-AU"/>
              </w:rPr>
              <w:t>-0.004</w:t>
            </w:r>
          </w:p>
        </w:tc>
        <w:tc>
          <w:tcPr>
            <w:tcW w:w="5619" w:type="dxa"/>
            <w:vAlign w:val="center"/>
          </w:tcPr>
          <w:p w14:paraId="4602D258" w14:textId="77777777" w:rsidR="00A06FB7" w:rsidRPr="0031419F" w:rsidRDefault="00A06FB7" w:rsidP="000B4467">
            <w:pPr>
              <w:pStyle w:val="TableText0"/>
              <w:rPr>
                <w:lang w:val="en-AU"/>
              </w:rPr>
            </w:pPr>
            <w:r w:rsidRPr="0031419F">
              <w:rPr>
                <w:lang w:val="en-AU"/>
              </w:rPr>
              <w:t>Disutility was based on a weighted average using a proportion of patients from Coulter 2017.</w:t>
            </w:r>
          </w:p>
        </w:tc>
      </w:tr>
      <w:tr w:rsidR="00A06FB7" w:rsidRPr="0031419F" w14:paraId="096185E0" w14:textId="77777777" w:rsidTr="000B4467">
        <w:trPr>
          <w:cantSplit/>
          <w:trHeight w:val="20"/>
          <w:jc w:val="center"/>
        </w:trPr>
        <w:tc>
          <w:tcPr>
            <w:tcW w:w="1980" w:type="dxa"/>
            <w:vAlign w:val="center"/>
          </w:tcPr>
          <w:p w14:paraId="0AD38DE9" w14:textId="77777777" w:rsidR="00A06FB7" w:rsidRPr="0031419F" w:rsidRDefault="00A06FB7" w:rsidP="000B4467">
            <w:pPr>
              <w:pStyle w:val="TableText0"/>
              <w:rPr>
                <w:lang w:val="en-AU"/>
              </w:rPr>
            </w:pPr>
            <w:r w:rsidRPr="0031419F">
              <w:rPr>
                <w:lang w:val="en-AU"/>
              </w:rPr>
              <w:t>Bronchiectasis utility multiplier</w:t>
            </w:r>
          </w:p>
        </w:tc>
        <w:tc>
          <w:tcPr>
            <w:tcW w:w="1417" w:type="dxa"/>
            <w:vAlign w:val="center"/>
          </w:tcPr>
          <w:p w14:paraId="70F7E31B" w14:textId="77777777" w:rsidR="00A06FB7" w:rsidRPr="0031419F" w:rsidRDefault="00A06FB7" w:rsidP="000B4467">
            <w:pPr>
              <w:pStyle w:val="TableText0"/>
              <w:jc w:val="center"/>
              <w:rPr>
                <w:lang w:val="en-AU"/>
              </w:rPr>
            </w:pPr>
            <w:r w:rsidRPr="0031419F">
              <w:rPr>
                <w:lang w:val="en-AU"/>
              </w:rPr>
              <w:t>0.81</w:t>
            </w:r>
          </w:p>
        </w:tc>
        <w:tc>
          <w:tcPr>
            <w:tcW w:w="5619" w:type="dxa"/>
            <w:vAlign w:val="center"/>
          </w:tcPr>
          <w:p w14:paraId="70D07D3D" w14:textId="77777777" w:rsidR="00A06FB7" w:rsidRPr="0031419F" w:rsidRDefault="00A06FB7" w:rsidP="000B4467">
            <w:pPr>
              <w:pStyle w:val="TableText0"/>
              <w:rPr>
                <w:lang w:val="en-AU"/>
              </w:rPr>
            </w:pPr>
            <w:r w:rsidRPr="0031419F">
              <w:rPr>
                <w:lang w:val="en-AU"/>
              </w:rPr>
              <w:t xml:space="preserve">Based on EQ-5D baseline scores in the control group (n=103) reported in Brockwell 2020 which was a RCT conducted in patients with bronchiectasis. </w:t>
            </w:r>
          </w:p>
        </w:tc>
      </w:tr>
      <w:tr w:rsidR="00A06FB7" w:rsidRPr="0031419F" w14:paraId="077711BF" w14:textId="77777777" w:rsidTr="000B4467">
        <w:trPr>
          <w:cantSplit/>
          <w:trHeight w:val="20"/>
          <w:jc w:val="center"/>
        </w:trPr>
        <w:tc>
          <w:tcPr>
            <w:tcW w:w="1980" w:type="dxa"/>
            <w:vAlign w:val="center"/>
          </w:tcPr>
          <w:p w14:paraId="7D598776" w14:textId="77777777" w:rsidR="00A06FB7" w:rsidRPr="0031419F" w:rsidRDefault="00A06FB7" w:rsidP="000B4467">
            <w:pPr>
              <w:pStyle w:val="TableText0"/>
              <w:rPr>
                <w:lang w:val="en-AU"/>
              </w:rPr>
            </w:pPr>
            <w:r w:rsidRPr="0031419F">
              <w:rPr>
                <w:lang w:val="en-AU"/>
              </w:rPr>
              <w:t>Advanced lung disease utility multiplier</w:t>
            </w:r>
          </w:p>
        </w:tc>
        <w:tc>
          <w:tcPr>
            <w:tcW w:w="1417" w:type="dxa"/>
            <w:vAlign w:val="center"/>
          </w:tcPr>
          <w:p w14:paraId="6EAEB6B2" w14:textId="77777777" w:rsidR="00A06FB7" w:rsidRPr="0031419F" w:rsidRDefault="00A06FB7" w:rsidP="000B4467">
            <w:pPr>
              <w:pStyle w:val="TableText0"/>
              <w:jc w:val="center"/>
              <w:rPr>
                <w:lang w:val="en-AU"/>
              </w:rPr>
            </w:pPr>
            <w:r w:rsidRPr="0031419F">
              <w:rPr>
                <w:lang w:val="en-AU"/>
              </w:rPr>
              <w:t>0.71</w:t>
            </w:r>
          </w:p>
        </w:tc>
        <w:tc>
          <w:tcPr>
            <w:tcW w:w="5619" w:type="dxa"/>
            <w:vAlign w:val="center"/>
          </w:tcPr>
          <w:p w14:paraId="3FA3BC2E" w14:textId="77777777" w:rsidR="00A06FB7" w:rsidRPr="0031419F" w:rsidRDefault="00A06FB7" w:rsidP="000B4467">
            <w:pPr>
              <w:pStyle w:val="TableText0"/>
              <w:rPr>
                <w:lang w:val="en-AU"/>
              </w:rPr>
            </w:pPr>
            <w:r w:rsidRPr="0031419F">
              <w:rPr>
                <w:lang w:val="en-AU"/>
              </w:rPr>
              <w:t xml:space="preserve">Based on EQ-5D baseline scores in adolescents (16 years or older) with cystic fibrosis and chronic P. aeruginosa infection reported in Bradley 2013, which was a study that investigated the HRQoL and healthcare resource use in cystic fibrosis patients (N=94). This was informed by the sample of patients with severe pulmonary exacerbations (n=19) (no exacerbations = 0.85, n=60; and mild exacerbations = 0.79, n=15). </w:t>
            </w:r>
          </w:p>
        </w:tc>
      </w:tr>
      <w:tr w:rsidR="00A06FB7" w:rsidRPr="0031419F" w14:paraId="6A364A1A" w14:textId="77777777" w:rsidTr="000B4467">
        <w:trPr>
          <w:cantSplit/>
          <w:trHeight w:val="20"/>
          <w:jc w:val="center"/>
        </w:trPr>
        <w:tc>
          <w:tcPr>
            <w:tcW w:w="1980" w:type="dxa"/>
            <w:vAlign w:val="center"/>
          </w:tcPr>
          <w:p w14:paraId="7DF0887A" w14:textId="77777777" w:rsidR="00A06FB7" w:rsidRPr="0031419F" w:rsidRDefault="00A06FB7" w:rsidP="000B4467">
            <w:pPr>
              <w:pStyle w:val="TableText0"/>
              <w:rPr>
                <w:lang w:val="en-AU"/>
              </w:rPr>
            </w:pPr>
            <w:r w:rsidRPr="0031419F">
              <w:rPr>
                <w:lang w:val="en-AU"/>
              </w:rPr>
              <w:t>Hearing loss disutility</w:t>
            </w:r>
          </w:p>
        </w:tc>
        <w:tc>
          <w:tcPr>
            <w:tcW w:w="1417" w:type="dxa"/>
            <w:vAlign w:val="center"/>
          </w:tcPr>
          <w:p w14:paraId="0FB0A416" w14:textId="77777777" w:rsidR="00A06FB7" w:rsidRPr="0031419F" w:rsidRDefault="00A06FB7" w:rsidP="000B4467">
            <w:pPr>
              <w:pStyle w:val="TableText0"/>
              <w:jc w:val="center"/>
              <w:rPr>
                <w:lang w:val="en-AU"/>
              </w:rPr>
            </w:pPr>
            <w:r w:rsidRPr="0031419F">
              <w:rPr>
                <w:lang w:val="en-AU"/>
              </w:rPr>
              <w:t>-0.03</w:t>
            </w:r>
          </w:p>
        </w:tc>
        <w:tc>
          <w:tcPr>
            <w:tcW w:w="5619" w:type="dxa"/>
            <w:vAlign w:val="center"/>
          </w:tcPr>
          <w:p w14:paraId="0693ABE6" w14:textId="0268A0B5" w:rsidR="00A06FB7" w:rsidRPr="0031419F" w:rsidRDefault="00A06FB7" w:rsidP="000B4467">
            <w:pPr>
              <w:pStyle w:val="TableText0"/>
              <w:rPr>
                <w:lang w:val="en-AU"/>
              </w:rPr>
            </w:pPr>
            <w:r w:rsidRPr="0031419F">
              <w:rPr>
                <w:lang w:val="en-AU"/>
              </w:rPr>
              <w:t xml:space="preserve">Disutility was based on the weighted average of disutility of mild hearing loss (0.01) and moderate hearing loss (-0.027) from Global Burden of Disease Study 2019, assuming a 50% split. </w:t>
            </w:r>
            <w:r w:rsidR="000965ED" w:rsidRPr="00666E64">
              <w:rPr>
                <w:vertAlign w:val="superscript"/>
                <w:lang w:val="en-AU"/>
              </w:rPr>
              <w:t>1</w:t>
            </w:r>
          </w:p>
        </w:tc>
      </w:tr>
      <w:tr w:rsidR="00A06FB7" w:rsidRPr="0031419F" w14:paraId="3A10CE99" w14:textId="77777777" w:rsidTr="000B4467">
        <w:trPr>
          <w:cantSplit/>
          <w:trHeight w:val="20"/>
          <w:jc w:val="center"/>
        </w:trPr>
        <w:tc>
          <w:tcPr>
            <w:tcW w:w="1980" w:type="dxa"/>
            <w:tcBorders>
              <w:bottom w:val="single" w:sz="4" w:space="0" w:color="auto"/>
            </w:tcBorders>
            <w:vAlign w:val="center"/>
          </w:tcPr>
          <w:p w14:paraId="3FC5C673" w14:textId="77777777" w:rsidR="00A06FB7" w:rsidRPr="0031419F" w:rsidRDefault="00A06FB7" w:rsidP="000B4467">
            <w:pPr>
              <w:pStyle w:val="TableText0"/>
              <w:rPr>
                <w:lang w:val="en-AU"/>
              </w:rPr>
            </w:pPr>
            <w:r w:rsidRPr="0031419F">
              <w:rPr>
                <w:lang w:val="en-AU"/>
              </w:rPr>
              <w:t>Splenomegaly utility multiplier</w:t>
            </w:r>
          </w:p>
        </w:tc>
        <w:tc>
          <w:tcPr>
            <w:tcW w:w="1417" w:type="dxa"/>
            <w:tcBorders>
              <w:bottom w:val="single" w:sz="4" w:space="0" w:color="auto"/>
            </w:tcBorders>
            <w:vAlign w:val="center"/>
          </w:tcPr>
          <w:p w14:paraId="215AFF0C" w14:textId="77777777" w:rsidR="00A06FB7" w:rsidRPr="0031419F" w:rsidRDefault="00A06FB7" w:rsidP="000B4467">
            <w:pPr>
              <w:pStyle w:val="TableText0"/>
              <w:jc w:val="center"/>
              <w:rPr>
                <w:lang w:val="en-AU"/>
              </w:rPr>
            </w:pPr>
            <w:r w:rsidRPr="0031419F">
              <w:rPr>
                <w:lang w:val="en-AU"/>
              </w:rPr>
              <w:t>0.81</w:t>
            </w:r>
          </w:p>
        </w:tc>
        <w:tc>
          <w:tcPr>
            <w:tcW w:w="5619" w:type="dxa"/>
            <w:tcBorders>
              <w:bottom w:val="single" w:sz="4" w:space="0" w:color="auto"/>
            </w:tcBorders>
            <w:vAlign w:val="center"/>
          </w:tcPr>
          <w:p w14:paraId="3AF73DF6" w14:textId="2D241397" w:rsidR="00A06FB7" w:rsidRPr="0031419F" w:rsidRDefault="00A06FB7" w:rsidP="000B4467">
            <w:pPr>
              <w:pStyle w:val="TableText0"/>
              <w:rPr>
                <w:lang w:val="en-AU"/>
              </w:rPr>
            </w:pPr>
            <w:r w:rsidRPr="0031419F">
              <w:rPr>
                <w:lang w:val="en-AU"/>
              </w:rPr>
              <w:t>Based on the EQ-5D baseline score in patients with myelofibrosis (N=187) reported in Mesa 2021, which was a</w:t>
            </w:r>
            <w:r w:rsidR="00F6459C">
              <w:rPr>
                <w:lang w:val="en-AU"/>
              </w:rPr>
              <w:t>n</w:t>
            </w:r>
            <w:r w:rsidRPr="0031419F">
              <w:rPr>
                <w:lang w:val="en-AU"/>
              </w:rPr>
              <w:t xml:space="preserve"> RCT in patients with myelofibrosis treated with fedratinib or placebo. It appeared that in the model it was assumed that myelofibrosis was representative of lymphoproliferation in APDS based on splenomegaly being a common symptom, however this was unclear in the submission. It was also unclear whether myelofibrosis provided a reasonable representation of lymphoproliferation.</w:t>
            </w:r>
          </w:p>
        </w:tc>
      </w:tr>
      <w:tr w:rsidR="00A06FB7" w:rsidRPr="0031419F" w14:paraId="7883832E" w14:textId="77777777" w:rsidTr="000B4467">
        <w:trPr>
          <w:cantSplit/>
          <w:trHeight w:val="20"/>
          <w:jc w:val="center"/>
        </w:trPr>
        <w:tc>
          <w:tcPr>
            <w:tcW w:w="9016" w:type="dxa"/>
            <w:gridSpan w:val="3"/>
            <w:tcBorders>
              <w:top w:val="single" w:sz="4" w:space="0" w:color="auto"/>
              <w:left w:val="single" w:sz="4" w:space="0" w:color="auto"/>
              <w:bottom w:val="single" w:sz="4" w:space="0" w:color="auto"/>
              <w:right w:val="single" w:sz="4" w:space="0" w:color="auto"/>
            </w:tcBorders>
            <w:vAlign w:val="center"/>
          </w:tcPr>
          <w:p w14:paraId="31D2A152" w14:textId="77777777" w:rsidR="00A06FB7" w:rsidRPr="0031419F" w:rsidRDefault="00A06FB7" w:rsidP="000B4467">
            <w:pPr>
              <w:pStyle w:val="TableText0"/>
              <w:rPr>
                <w:lang w:val="en-AU"/>
              </w:rPr>
            </w:pPr>
            <w:r w:rsidRPr="0031419F">
              <w:rPr>
                <w:lang w:val="en-AU"/>
              </w:rPr>
              <w:t>IRT</w:t>
            </w:r>
          </w:p>
        </w:tc>
      </w:tr>
      <w:tr w:rsidR="00A06FB7" w:rsidRPr="0031419F" w14:paraId="37670304" w14:textId="77777777" w:rsidTr="000B4467">
        <w:trPr>
          <w:cantSplit/>
          <w:trHeight w:val="20"/>
          <w:jc w:val="center"/>
        </w:trPr>
        <w:tc>
          <w:tcPr>
            <w:tcW w:w="1980" w:type="dxa"/>
            <w:tcBorders>
              <w:top w:val="single" w:sz="4" w:space="0" w:color="auto"/>
            </w:tcBorders>
            <w:vAlign w:val="center"/>
          </w:tcPr>
          <w:p w14:paraId="684C64FC" w14:textId="77777777" w:rsidR="00A06FB7" w:rsidRPr="0031419F" w:rsidRDefault="00A06FB7" w:rsidP="000B4467">
            <w:pPr>
              <w:pStyle w:val="TableText0"/>
              <w:rPr>
                <w:lang w:val="en-AU"/>
              </w:rPr>
            </w:pPr>
            <w:r w:rsidRPr="0031419F">
              <w:rPr>
                <w:lang w:val="en-AU"/>
              </w:rPr>
              <w:t>SCIG disutility</w:t>
            </w:r>
          </w:p>
        </w:tc>
        <w:tc>
          <w:tcPr>
            <w:tcW w:w="1417" w:type="dxa"/>
            <w:tcBorders>
              <w:top w:val="single" w:sz="4" w:space="0" w:color="auto"/>
            </w:tcBorders>
            <w:vAlign w:val="center"/>
          </w:tcPr>
          <w:p w14:paraId="55CAF954" w14:textId="77777777" w:rsidR="00A06FB7" w:rsidRPr="0031419F" w:rsidRDefault="00A06FB7" w:rsidP="000B4467">
            <w:pPr>
              <w:pStyle w:val="TableText0"/>
              <w:jc w:val="center"/>
              <w:rPr>
                <w:lang w:val="en-AU"/>
              </w:rPr>
            </w:pPr>
            <w:r w:rsidRPr="0031419F">
              <w:rPr>
                <w:lang w:val="en-AU"/>
              </w:rPr>
              <w:t>0.00</w:t>
            </w:r>
          </w:p>
        </w:tc>
        <w:tc>
          <w:tcPr>
            <w:tcW w:w="5619" w:type="dxa"/>
            <w:tcBorders>
              <w:top w:val="single" w:sz="4" w:space="0" w:color="auto"/>
            </w:tcBorders>
            <w:vAlign w:val="center"/>
          </w:tcPr>
          <w:p w14:paraId="66CBE6ED" w14:textId="77777777" w:rsidR="00A06FB7" w:rsidRPr="0031419F" w:rsidRDefault="00A06FB7" w:rsidP="000B4467">
            <w:pPr>
              <w:pStyle w:val="TableText0"/>
              <w:rPr>
                <w:lang w:val="en-AU"/>
              </w:rPr>
            </w:pPr>
            <w:r w:rsidRPr="0031419F">
              <w:rPr>
                <w:lang w:val="en-AU"/>
              </w:rPr>
              <w:t>Decrement of 0 (i.e. no change) was based on assumption. The model assumed that the proportion of patients of 64.76% (based on the complement of IVIG proportion).</w:t>
            </w:r>
          </w:p>
        </w:tc>
      </w:tr>
      <w:tr w:rsidR="00A06FB7" w:rsidRPr="0031419F" w14:paraId="33CB9B49" w14:textId="77777777" w:rsidTr="000B4467">
        <w:trPr>
          <w:cantSplit/>
          <w:trHeight w:val="20"/>
          <w:jc w:val="center"/>
        </w:trPr>
        <w:tc>
          <w:tcPr>
            <w:tcW w:w="1980" w:type="dxa"/>
            <w:vAlign w:val="center"/>
          </w:tcPr>
          <w:p w14:paraId="05EB8008" w14:textId="77777777" w:rsidR="00A06FB7" w:rsidRPr="0031419F" w:rsidRDefault="00A06FB7" w:rsidP="000B4467">
            <w:pPr>
              <w:pStyle w:val="TableText0"/>
              <w:rPr>
                <w:lang w:val="en-AU"/>
              </w:rPr>
            </w:pPr>
            <w:r w:rsidRPr="0031419F">
              <w:rPr>
                <w:lang w:val="en-AU"/>
              </w:rPr>
              <w:t>IVIG disutility</w:t>
            </w:r>
          </w:p>
        </w:tc>
        <w:tc>
          <w:tcPr>
            <w:tcW w:w="1417" w:type="dxa"/>
            <w:vAlign w:val="center"/>
          </w:tcPr>
          <w:p w14:paraId="369B62A3" w14:textId="505290EC" w:rsidR="00A06FB7" w:rsidRPr="0031419F" w:rsidRDefault="00A06FB7" w:rsidP="000B4467">
            <w:pPr>
              <w:pStyle w:val="TableText0"/>
              <w:jc w:val="center"/>
              <w:rPr>
                <w:lang w:val="en-AU"/>
              </w:rPr>
            </w:pPr>
            <w:r w:rsidRPr="0031419F">
              <w:rPr>
                <w:lang w:val="en-AU"/>
              </w:rPr>
              <w:t>-0.01</w:t>
            </w:r>
          </w:p>
        </w:tc>
        <w:tc>
          <w:tcPr>
            <w:tcW w:w="5619" w:type="dxa"/>
            <w:vAlign w:val="center"/>
          </w:tcPr>
          <w:p w14:paraId="0223D5BE" w14:textId="4CD74E94" w:rsidR="00A06FB7" w:rsidRPr="0031419F" w:rsidRDefault="00014D74" w:rsidP="000B4467">
            <w:pPr>
              <w:pStyle w:val="TableText0"/>
              <w:rPr>
                <w:lang w:val="en-AU"/>
              </w:rPr>
            </w:pPr>
            <w:r w:rsidRPr="0031419F">
              <w:rPr>
                <w:lang w:val="en-AU"/>
              </w:rPr>
              <w:t>T</w:t>
            </w:r>
            <w:r w:rsidR="00A06FB7" w:rsidRPr="0031419F">
              <w:rPr>
                <w:lang w:val="en-AU"/>
              </w:rPr>
              <w:t xml:space="preserve">he model assumed a proportion of patients </w:t>
            </w:r>
            <w:r w:rsidR="00C66C11" w:rsidRPr="0031419F">
              <w:rPr>
                <w:lang w:val="en-AU"/>
              </w:rPr>
              <w:t>(</w:t>
            </w:r>
            <w:r w:rsidR="00A06FB7" w:rsidRPr="0031419F">
              <w:rPr>
                <w:lang w:val="en-AU"/>
              </w:rPr>
              <w:t>35.24%</w:t>
            </w:r>
            <w:r w:rsidR="00C66C11" w:rsidRPr="0031419F">
              <w:rPr>
                <w:lang w:val="en-AU"/>
              </w:rPr>
              <w:t>)</w:t>
            </w:r>
            <w:r w:rsidR="00A06FB7" w:rsidRPr="0031419F">
              <w:rPr>
                <w:lang w:val="en-AU"/>
              </w:rPr>
              <w:t xml:space="preserve"> was affected by this. </w:t>
            </w:r>
            <w:r w:rsidR="00307EA7" w:rsidRPr="0031419F">
              <w:rPr>
                <w:lang w:val="en-AU"/>
              </w:rPr>
              <w:t>In the model, t</w:t>
            </w:r>
            <w:r w:rsidR="008C7976" w:rsidRPr="0031419F">
              <w:rPr>
                <w:lang w:val="en-AU"/>
              </w:rPr>
              <w:t xml:space="preserve">he IVIG disutility of – 0.01 was calculated as = - 0.0006*(52/3), however this calculation was not explained. </w:t>
            </w:r>
            <w:r w:rsidR="00184318" w:rsidRPr="00666E64">
              <w:rPr>
                <w:vertAlign w:val="superscript"/>
                <w:lang w:val="en-AU"/>
              </w:rPr>
              <w:t>1</w:t>
            </w:r>
          </w:p>
        </w:tc>
      </w:tr>
      <w:tr w:rsidR="00A06FB7" w:rsidRPr="0031419F" w14:paraId="417D1C87" w14:textId="77777777" w:rsidTr="000B4467">
        <w:trPr>
          <w:cantSplit/>
          <w:trHeight w:val="20"/>
          <w:jc w:val="center"/>
        </w:trPr>
        <w:tc>
          <w:tcPr>
            <w:tcW w:w="1980" w:type="dxa"/>
            <w:vAlign w:val="center"/>
          </w:tcPr>
          <w:p w14:paraId="25112161" w14:textId="77777777" w:rsidR="00A06FB7" w:rsidRPr="0031419F" w:rsidRDefault="00A06FB7" w:rsidP="000B4467">
            <w:pPr>
              <w:pStyle w:val="TableText0"/>
              <w:rPr>
                <w:lang w:val="en-AU"/>
              </w:rPr>
            </w:pPr>
            <w:r w:rsidRPr="0031419F">
              <w:rPr>
                <w:lang w:val="en-AU"/>
              </w:rPr>
              <w:t>Weighted average for SCIG and IVIG</w:t>
            </w:r>
          </w:p>
        </w:tc>
        <w:tc>
          <w:tcPr>
            <w:tcW w:w="1417" w:type="dxa"/>
            <w:vAlign w:val="center"/>
          </w:tcPr>
          <w:p w14:paraId="1D3A5943" w14:textId="2625B4C7" w:rsidR="00A06FB7" w:rsidRPr="0031419F" w:rsidRDefault="00A06FB7" w:rsidP="000B4467">
            <w:pPr>
              <w:pStyle w:val="TableText0"/>
              <w:jc w:val="center"/>
              <w:rPr>
                <w:lang w:val="en-AU"/>
              </w:rPr>
            </w:pPr>
            <w:r w:rsidRPr="0031419F">
              <w:rPr>
                <w:lang w:val="en-AU"/>
              </w:rPr>
              <w:t>-0.</w:t>
            </w:r>
            <w:r w:rsidR="00C5079E" w:rsidRPr="0031419F">
              <w:rPr>
                <w:lang w:val="en-AU"/>
              </w:rPr>
              <w:t>004</w:t>
            </w:r>
          </w:p>
        </w:tc>
        <w:tc>
          <w:tcPr>
            <w:tcW w:w="5619" w:type="dxa"/>
            <w:vAlign w:val="center"/>
          </w:tcPr>
          <w:p w14:paraId="627F1CB4" w14:textId="77777777" w:rsidR="00A06FB7" w:rsidRPr="0031419F" w:rsidRDefault="00A06FB7" w:rsidP="000B4467">
            <w:pPr>
              <w:pStyle w:val="TableText0"/>
              <w:rPr>
                <w:lang w:val="en-AU"/>
              </w:rPr>
            </w:pPr>
            <w:r w:rsidRPr="0031419F">
              <w:rPr>
                <w:lang w:val="en-AU"/>
              </w:rPr>
              <w:t>Weighted value of the decrements and proportions reported above.</w:t>
            </w:r>
          </w:p>
        </w:tc>
      </w:tr>
      <w:tr w:rsidR="00A06FB7" w:rsidRPr="0031419F" w14:paraId="3AC62124" w14:textId="77777777" w:rsidTr="000B4467">
        <w:trPr>
          <w:cantSplit/>
          <w:trHeight w:val="20"/>
          <w:jc w:val="center"/>
        </w:trPr>
        <w:tc>
          <w:tcPr>
            <w:tcW w:w="1980" w:type="dxa"/>
            <w:vAlign w:val="center"/>
          </w:tcPr>
          <w:p w14:paraId="77BC3989" w14:textId="77777777" w:rsidR="00A06FB7" w:rsidRPr="0031419F" w:rsidRDefault="00A06FB7" w:rsidP="000B4467">
            <w:pPr>
              <w:pStyle w:val="TableText0"/>
              <w:rPr>
                <w:lang w:val="en-AU"/>
              </w:rPr>
            </w:pPr>
            <w:r w:rsidRPr="0031419F">
              <w:rPr>
                <w:lang w:val="en-AU"/>
              </w:rPr>
              <w:t>HSCT disutility within the first 100 days</w:t>
            </w:r>
          </w:p>
        </w:tc>
        <w:tc>
          <w:tcPr>
            <w:tcW w:w="1417" w:type="dxa"/>
            <w:vAlign w:val="center"/>
          </w:tcPr>
          <w:p w14:paraId="0AF83C73" w14:textId="77777777" w:rsidR="00A06FB7" w:rsidRPr="0031419F" w:rsidRDefault="00A06FB7" w:rsidP="000B4467">
            <w:pPr>
              <w:pStyle w:val="TableText0"/>
              <w:jc w:val="center"/>
              <w:rPr>
                <w:lang w:val="en-AU"/>
              </w:rPr>
            </w:pPr>
            <w:r w:rsidRPr="0031419F">
              <w:rPr>
                <w:lang w:val="en-AU"/>
              </w:rPr>
              <w:t>-0.20</w:t>
            </w:r>
          </w:p>
        </w:tc>
        <w:tc>
          <w:tcPr>
            <w:tcW w:w="5619" w:type="dxa"/>
            <w:vAlign w:val="center"/>
          </w:tcPr>
          <w:p w14:paraId="7033CF08" w14:textId="67CF7FD5" w:rsidR="00A06FB7" w:rsidRPr="0031419F" w:rsidRDefault="00A06FB7" w:rsidP="000B4467">
            <w:pPr>
              <w:pStyle w:val="TableText0"/>
              <w:rPr>
                <w:lang w:val="en-AU"/>
              </w:rPr>
            </w:pPr>
            <w:r w:rsidRPr="0031419F">
              <w:rPr>
                <w:lang w:val="en-AU"/>
              </w:rPr>
              <w:t xml:space="preserve">The submission reported a decrement of -0.20 based on Hornberger 2008 however the model used a decrement of -0.57 based on Sung 2003. </w:t>
            </w:r>
            <w:r w:rsidR="00D22121" w:rsidRPr="00D22121">
              <w:rPr>
                <w:vertAlign w:val="superscript"/>
                <w:lang w:val="en-AU"/>
              </w:rPr>
              <w:t>1</w:t>
            </w:r>
          </w:p>
          <w:p w14:paraId="52CDC331" w14:textId="205A3AB1" w:rsidR="00A06FB7" w:rsidRPr="0031419F" w:rsidRDefault="00A06FB7" w:rsidP="000B4467">
            <w:pPr>
              <w:pStyle w:val="TableText0"/>
              <w:rPr>
                <w:lang w:val="en-AU"/>
              </w:rPr>
            </w:pPr>
            <w:r w:rsidRPr="0031419F">
              <w:rPr>
                <w:lang w:val="en-AU"/>
              </w:rPr>
              <w:t xml:space="preserve">Using a utility decrement of -0.20 instead of -0.57 increased the ICER &lt;1%. </w:t>
            </w:r>
          </w:p>
        </w:tc>
      </w:tr>
      <w:tr w:rsidR="00A06FB7" w:rsidRPr="0031419F" w14:paraId="34E492C5" w14:textId="77777777" w:rsidTr="000B4467">
        <w:trPr>
          <w:cantSplit/>
          <w:trHeight w:val="20"/>
          <w:jc w:val="center"/>
        </w:trPr>
        <w:tc>
          <w:tcPr>
            <w:tcW w:w="1980" w:type="dxa"/>
            <w:vAlign w:val="center"/>
          </w:tcPr>
          <w:p w14:paraId="5DF242F5" w14:textId="77777777" w:rsidR="00A06FB7" w:rsidRPr="0031419F" w:rsidRDefault="00A06FB7" w:rsidP="000B4467">
            <w:pPr>
              <w:pStyle w:val="TableText0"/>
              <w:rPr>
                <w:lang w:val="en-AU"/>
              </w:rPr>
            </w:pPr>
            <w:r w:rsidRPr="0031419F">
              <w:rPr>
                <w:lang w:val="en-AU"/>
              </w:rPr>
              <w:t>Tonsillectomy disutility</w:t>
            </w:r>
          </w:p>
        </w:tc>
        <w:tc>
          <w:tcPr>
            <w:tcW w:w="1417" w:type="dxa"/>
            <w:vAlign w:val="center"/>
          </w:tcPr>
          <w:p w14:paraId="31FFABE3" w14:textId="77777777" w:rsidR="00A06FB7" w:rsidRPr="0031419F" w:rsidRDefault="00A06FB7" w:rsidP="000B4467">
            <w:pPr>
              <w:pStyle w:val="TableText0"/>
              <w:jc w:val="center"/>
              <w:rPr>
                <w:lang w:val="en-AU"/>
              </w:rPr>
            </w:pPr>
            <w:r w:rsidRPr="0031419F">
              <w:rPr>
                <w:lang w:val="en-AU"/>
              </w:rPr>
              <w:t>-0.05</w:t>
            </w:r>
          </w:p>
        </w:tc>
        <w:tc>
          <w:tcPr>
            <w:tcW w:w="5619" w:type="dxa"/>
            <w:vAlign w:val="center"/>
          </w:tcPr>
          <w:p w14:paraId="3321DB3D" w14:textId="5B8586B4" w:rsidR="00A06FB7" w:rsidRPr="0031419F" w:rsidRDefault="00A06FB7" w:rsidP="000B4467">
            <w:pPr>
              <w:pStyle w:val="TableText0"/>
              <w:rPr>
                <w:lang w:val="en-AU"/>
              </w:rPr>
            </w:pPr>
            <w:r w:rsidRPr="0031419F">
              <w:rPr>
                <w:lang w:val="en-AU"/>
              </w:rPr>
              <w:t xml:space="preserve">Tonsillectomy disutility was based on the disutility associated with complications (mainly haemorrhage) reported from Bagwell 2018. </w:t>
            </w:r>
            <w:r w:rsidR="00666E64" w:rsidRPr="00666E64">
              <w:rPr>
                <w:vertAlign w:val="superscript"/>
                <w:lang w:val="en-AU"/>
              </w:rPr>
              <w:t>1</w:t>
            </w:r>
          </w:p>
        </w:tc>
      </w:tr>
    </w:tbl>
    <w:p w14:paraId="39699EA9" w14:textId="77777777" w:rsidR="00A06FB7" w:rsidRPr="0031419F" w:rsidRDefault="00A06FB7" w:rsidP="00A06FB7">
      <w:pPr>
        <w:pStyle w:val="TableFigureFooter"/>
        <w:jc w:val="both"/>
        <w:rPr>
          <w:lang w:val="en-AU"/>
        </w:rPr>
      </w:pPr>
      <w:r w:rsidRPr="0031419F">
        <w:rPr>
          <w:lang w:val="en-AU"/>
        </w:rPr>
        <w:t>DLBCL = diffuse large B-cell lymphoma; HRQoL = health-related quality of life; IRT = immunoglobulin replacement therapy; IVIg = intravenous immunoglobulin; RCT = randomised controlled trial; SCIG = subcutaneous immunoglobulin</w:t>
      </w:r>
    </w:p>
    <w:p w14:paraId="23F898B5" w14:textId="77777777" w:rsidR="00A06FB7" w:rsidRDefault="00A06FB7" w:rsidP="00F955B9">
      <w:pPr>
        <w:pStyle w:val="TableFigureFooter"/>
        <w:spacing w:after="0"/>
        <w:rPr>
          <w:lang w:val="en-AU"/>
        </w:rPr>
      </w:pPr>
      <w:r w:rsidRPr="0031419F">
        <w:rPr>
          <w:lang w:val="en-AU"/>
        </w:rPr>
        <w:t xml:space="preserve">Utility decrements are represented by negative values. Utility multipliers are all other values. </w:t>
      </w:r>
    </w:p>
    <w:p w14:paraId="4884C494" w14:textId="41BD4DA2" w:rsidR="00666E64" w:rsidRPr="00666E64" w:rsidRDefault="00F955B9" w:rsidP="00F955B9">
      <w:pPr>
        <w:pStyle w:val="FooterTableFigure"/>
        <w:spacing w:after="0"/>
      </w:pPr>
      <w:r w:rsidRPr="00F955B9">
        <w:rPr>
          <w:vertAlign w:val="superscript"/>
        </w:rPr>
        <w:t>1</w:t>
      </w:r>
      <w:r>
        <w:t xml:space="preserve"> Source not provided/</w:t>
      </w:r>
      <w:r w:rsidR="00D22121">
        <w:t>v</w:t>
      </w:r>
      <w:r w:rsidR="00666E64">
        <w:t>alue could not be verified</w:t>
      </w:r>
    </w:p>
    <w:p w14:paraId="13070D08" w14:textId="77777777" w:rsidR="00A06FB7" w:rsidRPr="0031419F" w:rsidRDefault="00A06FB7" w:rsidP="00A06FB7">
      <w:pPr>
        <w:pStyle w:val="TableFigureFooter"/>
        <w:rPr>
          <w:lang w:val="en-AU"/>
        </w:rPr>
      </w:pPr>
      <w:r w:rsidRPr="0031419F">
        <w:rPr>
          <w:lang w:val="en-AU"/>
        </w:rPr>
        <w:t>Source: Table 3.32 of the submission and PHG LENIOLISIB CUA MODEL FINAL.xlsm</w:t>
      </w:r>
    </w:p>
    <w:p w14:paraId="191D4E52" w14:textId="430D4961" w:rsidR="001E7CD5" w:rsidRPr="001E7CD5" w:rsidRDefault="00324E47" w:rsidP="00A06FB7">
      <w:pPr>
        <w:pStyle w:val="3-BodyText"/>
        <w:spacing w:before="0" w:after="120"/>
      </w:pPr>
      <w:r w:rsidRPr="008B433C">
        <w:t xml:space="preserve">The Sub-committees considered that the approach to calculating acute and long-term decrements to utility was methodologically reasonable, however the use of various sources that could not all be verified or justified resulted in a high level of uncertainty in the values applied. </w:t>
      </w:r>
      <w:r>
        <w:t>T</w:t>
      </w:r>
      <w:r w:rsidR="008E3FB3" w:rsidRPr="0031419F">
        <w:t xml:space="preserve">here was substantial heterogeneity across all the sources informing utility values (e.g., different diseases, patient characteristics, treatments etc.) and none of these patient groups </w:t>
      </w:r>
      <w:r w:rsidR="005D6FFC" w:rsidRPr="0031419F">
        <w:t xml:space="preserve">in these sources </w:t>
      </w:r>
      <w:r w:rsidR="008E3FB3" w:rsidRPr="0031419F">
        <w:t>were APDS (acknowledging it is a rare disease). It was highly uncertain whether the manifestation utility decrements/multipliers used in the base case were accurately reflective of the disutility that would be experienced in APDS patients in practice</w:t>
      </w:r>
      <w:r>
        <w:t xml:space="preserve"> </w:t>
      </w:r>
      <w:r w:rsidRPr="008B433C">
        <w:t>and the Sub-Committees noted that some multipliers appeared implausible.</w:t>
      </w:r>
      <w:r w:rsidR="00C727AC" w:rsidRPr="001E7CD5">
        <w:rPr>
          <w:i/>
          <w:iCs/>
        </w:rPr>
        <w:t xml:space="preserve"> </w:t>
      </w:r>
    </w:p>
    <w:p w14:paraId="6BBD604B" w14:textId="2C8D8F51" w:rsidR="008E3FB3" w:rsidRPr="008B433C" w:rsidRDefault="001E7CD5" w:rsidP="00A06FB7">
      <w:pPr>
        <w:pStyle w:val="3-BodyText"/>
        <w:spacing w:before="0" w:after="120"/>
      </w:pPr>
      <w:r w:rsidRPr="008B433C">
        <w:t>In addition, t</w:t>
      </w:r>
      <w:r w:rsidR="00777F5A" w:rsidRPr="008B433C">
        <w:rPr>
          <w:color w:val="000000"/>
        </w:rPr>
        <w:t>he model assumed that any severity reduction in manifestations associated with leniolisib treatment means the patient will not suffer any disutility from the manifestation. The Sub-</w:t>
      </w:r>
      <w:r w:rsidR="00F13B13">
        <w:rPr>
          <w:color w:val="000000"/>
        </w:rPr>
        <w:t>C</w:t>
      </w:r>
      <w:r w:rsidR="00777F5A" w:rsidRPr="008B433C">
        <w:rPr>
          <w:color w:val="000000"/>
        </w:rPr>
        <w:t xml:space="preserve">ommittees considered this was overly optimistic and the evidence to support this was not apparent. </w:t>
      </w:r>
    </w:p>
    <w:p w14:paraId="651065E4" w14:textId="3B175A13" w:rsidR="002579B1" w:rsidRPr="0031419F" w:rsidRDefault="002579B1" w:rsidP="001E7CD5">
      <w:pPr>
        <w:pStyle w:val="3-BodyText"/>
        <w:spacing w:before="0" w:after="120"/>
      </w:pPr>
      <w:r w:rsidRPr="0031419F">
        <w:t xml:space="preserve">The submission conducted two utility studies (the </w:t>
      </w:r>
      <w:r w:rsidR="00CA386A" w:rsidRPr="0031419F">
        <w:t xml:space="preserve">time trade off [TTO] </w:t>
      </w:r>
      <w:r w:rsidRPr="0031419F">
        <w:t xml:space="preserve">and EQ-5D study) that gave utility values for health states representing a patient having manifestations </w:t>
      </w:r>
      <w:r w:rsidR="00992AA1" w:rsidRPr="0031419F">
        <w:t>however</w:t>
      </w:r>
      <w:r w:rsidRPr="0031419F">
        <w:t xml:space="preserve"> these values were </w:t>
      </w:r>
      <w:r w:rsidR="00992AA1" w:rsidRPr="0031419F">
        <w:t xml:space="preserve">not </w:t>
      </w:r>
      <w:r w:rsidRPr="0031419F">
        <w:t xml:space="preserve">used in the model </w:t>
      </w:r>
      <w:r w:rsidR="00992AA1" w:rsidRPr="0031419F">
        <w:t>as</w:t>
      </w:r>
      <w:r w:rsidRPr="0031419F">
        <w:t xml:space="preserve"> the model structure adopted “treatment-based” health states rather than “manifestation-based” health states. For comparison, </w:t>
      </w:r>
      <w:r w:rsidR="00AE4102" w:rsidRPr="0031419F">
        <w:fldChar w:fldCharType="begin" w:fldLock="1"/>
      </w:r>
      <w:r w:rsidR="00AE4102" w:rsidRPr="0031419F">
        <w:instrText xml:space="preserve"> REF _Ref198045001 \h  \* MERGEFORMAT </w:instrText>
      </w:r>
      <w:r w:rsidR="00AE4102" w:rsidRPr="0031419F">
        <w:fldChar w:fldCharType="separate"/>
      </w:r>
      <w:r w:rsidR="00C34379" w:rsidRPr="0031419F">
        <w:t xml:space="preserve">Table </w:t>
      </w:r>
      <w:r w:rsidR="00C34379">
        <w:rPr>
          <w:noProof/>
        </w:rPr>
        <w:t>18</w:t>
      </w:r>
      <w:r w:rsidR="00AE4102" w:rsidRPr="0031419F">
        <w:fldChar w:fldCharType="end"/>
      </w:r>
      <w:r w:rsidR="00AE4102" w:rsidRPr="0031419F">
        <w:t xml:space="preserve"> </w:t>
      </w:r>
      <w:r w:rsidRPr="0031419F">
        <w:t xml:space="preserve">compares the health state utility values from the EQ-5D study </w:t>
      </w:r>
      <w:r w:rsidR="00992AA1" w:rsidRPr="0031419F">
        <w:t xml:space="preserve">for various manifestation combinations </w:t>
      </w:r>
      <w:r w:rsidRPr="0031419F">
        <w:t xml:space="preserve">with the baseline utility values in the leniolisib arm and SoC arm in the model given these manifestation combinations (at cycle 1/ age 15). </w:t>
      </w:r>
      <w:r w:rsidR="00960453" w:rsidRPr="0031419F">
        <w:t>Numerous</w:t>
      </w:r>
      <w:r w:rsidRPr="0031419F">
        <w:t xml:space="preserve"> differences were observed</w:t>
      </w:r>
      <w:r w:rsidR="00BE6444">
        <w:t>,</w:t>
      </w:r>
      <w:r w:rsidR="00960453" w:rsidRPr="0031419F">
        <w:t xml:space="preserve"> such as t</w:t>
      </w:r>
      <w:r w:rsidRPr="0031419F">
        <w:t>he baseline utility for APDS was lower in the model compared to the EQ-5D study (0.76 to 0.88 vs 0.897, respectively)</w:t>
      </w:r>
      <w:r w:rsidR="00960453" w:rsidRPr="0031419F">
        <w:t xml:space="preserve"> and t</w:t>
      </w:r>
      <w:r w:rsidRPr="0031419F">
        <w:t xml:space="preserve">he baseline utility of malignancies was substantially higher in the model compared to the EQ-5D study (0.6098 vs 0.278, respectively). Generally, the model values did not agree with the utility values in the EQ-5D study that was conducted by the </w:t>
      </w:r>
      <w:r w:rsidR="00EC2FB4" w:rsidRPr="0031419F">
        <w:t>submission</w:t>
      </w:r>
      <w:r w:rsidRPr="0031419F">
        <w:t xml:space="preserve"> and </w:t>
      </w:r>
      <w:r w:rsidR="00BE6444">
        <w:t>therefore</w:t>
      </w:r>
      <w:r w:rsidRPr="0031419F">
        <w:t xml:space="preserve"> reflect a lack of external consistency. Additionally, in both the SoC arm in the model and the EQ-5D study, a patient who has most (or all) manifestations have a utility which is worse than death. It was unclear if this was reasonable. </w:t>
      </w:r>
    </w:p>
    <w:p w14:paraId="4A4AF8DB" w14:textId="7C964231" w:rsidR="002579B1" w:rsidRPr="0031419F" w:rsidRDefault="00AE4102" w:rsidP="00AE4102">
      <w:pPr>
        <w:pStyle w:val="Caption"/>
      </w:pPr>
      <w:bookmarkStart w:id="49" w:name="_Ref198045001"/>
      <w:r w:rsidRPr="0031419F">
        <w:t xml:space="preserve">Table </w:t>
      </w:r>
      <w:r w:rsidR="00C34379">
        <w:fldChar w:fldCharType="begin" w:fldLock="1"/>
      </w:r>
      <w:r w:rsidR="00C34379">
        <w:instrText xml:space="preserve"> SEQ Table \* ARABIC </w:instrText>
      </w:r>
      <w:r w:rsidR="00C34379">
        <w:fldChar w:fldCharType="separate"/>
      </w:r>
      <w:r w:rsidR="00C34379">
        <w:rPr>
          <w:noProof/>
        </w:rPr>
        <w:t>18</w:t>
      </w:r>
      <w:r w:rsidR="00C34379">
        <w:rPr>
          <w:noProof/>
        </w:rPr>
        <w:fldChar w:fldCharType="end"/>
      </w:r>
      <w:bookmarkEnd w:id="49"/>
      <w:r w:rsidR="002579B1" w:rsidRPr="0031419F">
        <w:t>: Comparison of baseline utility values in the EQ-5D study and the model given a patient experiences particular manifestations</w:t>
      </w:r>
    </w:p>
    <w:tbl>
      <w:tblPr>
        <w:tblStyle w:val="TableGrid"/>
        <w:tblW w:w="0" w:type="auto"/>
        <w:tblLook w:val="04A0" w:firstRow="1" w:lastRow="0" w:firstColumn="1" w:lastColumn="0" w:noHBand="0" w:noVBand="1"/>
        <w:tblCaption w:val="Table 18: Comparison of baseline utility values in the EQ-5D study and the model given a patient experiences particular manifestations"/>
      </w:tblPr>
      <w:tblGrid>
        <w:gridCol w:w="3539"/>
        <w:gridCol w:w="1701"/>
        <w:gridCol w:w="1843"/>
        <w:gridCol w:w="1815"/>
      </w:tblGrid>
      <w:tr w:rsidR="002579B1" w:rsidRPr="0031419F" w14:paraId="094A519E" w14:textId="77777777" w:rsidTr="0074455A">
        <w:tc>
          <w:tcPr>
            <w:tcW w:w="3539" w:type="dxa"/>
          </w:tcPr>
          <w:p w14:paraId="3939BE27" w14:textId="77777777" w:rsidR="002579B1" w:rsidRPr="0031419F" w:rsidRDefault="002579B1" w:rsidP="00112265">
            <w:pPr>
              <w:pStyle w:val="In-tableHeading"/>
              <w:rPr>
                <w:lang w:val="en-AU"/>
              </w:rPr>
            </w:pPr>
          </w:p>
        </w:tc>
        <w:tc>
          <w:tcPr>
            <w:tcW w:w="5359" w:type="dxa"/>
            <w:gridSpan w:val="3"/>
          </w:tcPr>
          <w:p w14:paraId="7740BAC7" w14:textId="77777777" w:rsidR="002579B1" w:rsidRPr="0031419F" w:rsidRDefault="002579B1" w:rsidP="00112265">
            <w:pPr>
              <w:pStyle w:val="In-tableHeading"/>
              <w:rPr>
                <w:lang w:val="en-AU"/>
              </w:rPr>
            </w:pPr>
            <w:r w:rsidRPr="0031419F">
              <w:rPr>
                <w:lang w:val="en-AU"/>
              </w:rPr>
              <w:t>Mean baseline utility value</w:t>
            </w:r>
          </w:p>
        </w:tc>
      </w:tr>
      <w:tr w:rsidR="002579B1" w:rsidRPr="0031419F" w14:paraId="6BC3B5D2" w14:textId="77777777" w:rsidTr="0074455A">
        <w:tc>
          <w:tcPr>
            <w:tcW w:w="3539" w:type="dxa"/>
          </w:tcPr>
          <w:p w14:paraId="0329CE7A" w14:textId="77777777" w:rsidR="002579B1" w:rsidRPr="0031419F" w:rsidRDefault="002579B1" w:rsidP="00112265">
            <w:pPr>
              <w:pStyle w:val="In-tableHeading"/>
              <w:jc w:val="left"/>
              <w:rPr>
                <w:lang w:val="en-AU"/>
              </w:rPr>
            </w:pPr>
            <w:r w:rsidRPr="0031419F">
              <w:rPr>
                <w:lang w:val="en-AU"/>
              </w:rPr>
              <w:t>Manifestation</w:t>
            </w:r>
          </w:p>
        </w:tc>
        <w:tc>
          <w:tcPr>
            <w:tcW w:w="1701" w:type="dxa"/>
          </w:tcPr>
          <w:p w14:paraId="75E2DB02" w14:textId="77777777" w:rsidR="002579B1" w:rsidRPr="0031419F" w:rsidRDefault="002579B1" w:rsidP="00112265">
            <w:pPr>
              <w:pStyle w:val="In-tableHeading"/>
              <w:rPr>
                <w:lang w:val="en-AU"/>
              </w:rPr>
            </w:pPr>
            <w:r w:rsidRPr="0031419F">
              <w:rPr>
                <w:lang w:val="en-AU"/>
              </w:rPr>
              <w:t>EQ-5D study</w:t>
            </w:r>
          </w:p>
        </w:tc>
        <w:tc>
          <w:tcPr>
            <w:tcW w:w="1843" w:type="dxa"/>
          </w:tcPr>
          <w:p w14:paraId="1AF8E0E1" w14:textId="77777777" w:rsidR="002579B1" w:rsidRPr="0031419F" w:rsidRDefault="002579B1" w:rsidP="00112265">
            <w:pPr>
              <w:pStyle w:val="In-tableHeading"/>
              <w:rPr>
                <w:lang w:val="en-AU"/>
              </w:rPr>
            </w:pPr>
            <w:r w:rsidRPr="0031419F">
              <w:rPr>
                <w:lang w:val="en-AU"/>
              </w:rPr>
              <w:t>Model: leniolisib</w:t>
            </w:r>
          </w:p>
        </w:tc>
        <w:tc>
          <w:tcPr>
            <w:tcW w:w="1815" w:type="dxa"/>
          </w:tcPr>
          <w:p w14:paraId="58D7D999" w14:textId="77777777" w:rsidR="002579B1" w:rsidRPr="0031419F" w:rsidRDefault="002579B1" w:rsidP="00112265">
            <w:pPr>
              <w:pStyle w:val="In-tableHeading"/>
              <w:rPr>
                <w:lang w:val="en-AU"/>
              </w:rPr>
            </w:pPr>
            <w:r w:rsidRPr="0031419F">
              <w:rPr>
                <w:lang w:val="en-AU"/>
              </w:rPr>
              <w:t>Model: SoC</w:t>
            </w:r>
          </w:p>
        </w:tc>
      </w:tr>
      <w:tr w:rsidR="002579B1" w:rsidRPr="0031419F" w14:paraId="34B852AE" w14:textId="77777777" w:rsidTr="0074455A">
        <w:tc>
          <w:tcPr>
            <w:tcW w:w="8898" w:type="dxa"/>
            <w:gridSpan w:val="4"/>
          </w:tcPr>
          <w:p w14:paraId="4E232110" w14:textId="77777777" w:rsidR="002579B1" w:rsidRPr="0031419F" w:rsidRDefault="002579B1" w:rsidP="00112265">
            <w:pPr>
              <w:pStyle w:val="Tabletext"/>
            </w:pPr>
            <w:r w:rsidRPr="0031419F">
              <w:t>Single manifestation health states (EQ-5D study only reported these ones as single)</w:t>
            </w:r>
          </w:p>
        </w:tc>
      </w:tr>
      <w:tr w:rsidR="002579B1" w:rsidRPr="0031419F" w14:paraId="3E69961B" w14:textId="77777777" w:rsidTr="0074455A">
        <w:tc>
          <w:tcPr>
            <w:tcW w:w="3539" w:type="dxa"/>
            <w:vAlign w:val="center"/>
          </w:tcPr>
          <w:p w14:paraId="1E48BE52" w14:textId="77777777" w:rsidR="002579B1" w:rsidRPr="0031419F" w:rsidRDefault="002579B1" w:rsidP="0074455A">
            <w:pPr>
              <w:pStyle w:val="Tabletext"/>
            </w:pPr>
            <w:r w:rsidRPr="0031419F">
              <w:t>APDS only</w:t>
            </w:r>
          </w:p>
        </w:tc>
        <w:tc>
          <w:tcPr>
            <w:tcW w:w="1701" w:type="dxa"/>
          </w:tcPr>
          <w:p w14:paraId="67BA12D9" w14:textId="77777777" w:rsidR="002579B1" w:rsidRPr="0031419F" w:rsidRDefault="002579B1" w:rsidP="00112265">
            <w:pPr>
              <w:pStyle w:val="Tabletext"/>
              <w:jc w:val="center"/>
            </w:pPr>
            <w:r w:rsidRPr="0031419F">
              <w:t>0.897</w:t>
            </w:r>
          </w:p>
        </w:tc>
        <w:tc>
          <w:tcPr>
            <w:tcW w:w="1843" w:type="dxa"/>
          </w:tcPr>
          <w:p w14:paraId="6871FE79" w14:textId="77777777" w:rsidR="002579B1" w:rsidRPr="006013FF" w:rsidRDefault="002579B1" w:rsidP="00112265">
            <w:pPr>
              <w:pStyle w:val="Tabletext"/>
              <w:jc w:val="center"/>
            </w:pPr>
            <w:r w:rsidRPr="006013FF">
              <w:t>0.7600</w:t>
            </w:r>
          </w:p>
        </w:tc>
        <w:tc>
          <w:tcPr>
            <w:tcW w:w="1815" w:type="dxa"/>
          </w:tcPr>
          <w:p w14:paraId="783C5A85" w14:textId="77777777" w:rsidR="002579B1" w:rsidRPr="0031419F" w:rsidRDefault="002579B1" w:rsidP="00112265">
            <w:pPr>
              <w:pStyle w:val="Tabletext"/>
              <w:jc w:val="center"/>
            </w:pPr>
            <w:r w:rsidRPr="006013FF">
              <w:t>0.7600</w:t>
            </w:r>
          </w:p>
        </w:tc>
      </w:tr>
      <w:tr w:rsidR="002579B1" w:rsidRPr="0031419F" w14:paraId="2373BBEC" w14:textId="77777777" w:rsidTr="0074455A">
        <w:tc>
          <w:tcPr>
            <w:tcW w:w="3539" w:type="dxa"/>
            <w:vAlign w:val="center"/>
          </w:tcPr>
          <w:p w14:paraId="73B051F6" w14:textId="77777777" w:rsidR="002579B1" w:rsidRPr="0031419F" w:rsidRDefault="002579B1" w:rsidP="0074455A">
            <w:pPr>
              <w:pStyle w:val="Tabletext"/>
            </w:pPr>
            <w:r w:rsidRPr="0031419F">
              <w:t>APDS + infection</w:t>
            </w:r>
          </w:p>
        </w:tc>
        <w:tc>
          <w:tcPr>
            <w:tcW w:w="1701" w:type="dxa"/>
          </w:tcPr>
          <w:p w14:paraId="4E45477F" w14:textId="77777777" w:rsidR="002579B1" w:rsidRPr="0031419F" w:rsidRDefault="002579B1" w:rsidP="00112265">
            <w:pPr>
              <w:pStyle w:val="Tabletext"/>
              <w:jc w:val="center"/>
            </w:pPr>
            <w:r w:rsidRPr="0031419F">
              <w:t>0.724</w:t>
            </w:r>
          </w:p>
        </w:tc>
        <w:tc>
          <w:tcPr>
            <w:tcW w:w="1843" w:type="dxa"/>
          </w:tcPr>
          <w:p w14:paraId="52D4BA2A" w14:textId="77777777" w:rsidR="002579B1" w:rsidRPr="006013FF" w:rsidRDefault="002579B1" w:rsidP="00112265">
            <w:pPr>
              <w:pStyle w:val="Tabletext"/>
              <w:jc w:val="center"/>
            </w:pPr>
            <w:r w:rsidRPr="006013FF">
              <w:t>0.7521</w:t>
            </w:r>
          </w:p>
        </w:tc>
        <w:tc>
          <w:tcPr>
            <w:tcW w:w="1815" w:type="dxa"/>
          </w:tcPr>
          <w:p w14:paraId="45F6ADBB" w14:textId="77777777" w:rsidR="002579B1" w:rsidRPr="0031419F" w:rsidRDefault="002579B1" w:rsidP="00112265">
            <w:pPr>
              <w:pStyle w:val="Tabletext"/>
              <w:jc w:val="center"/>
            </w:pPr>
            <w:r w:rsidRPr="0031419F">
              <w:t>0.7446</w:t>
            </w:r>
          </w:p>
        </w:tc>
      </w:tr>
      <w:tr w:rsidR="002579B1" w:rsidRPr="0031419F" w14:paraId="6890261E" w14:textId="77777777" w:rsidTr="0074455A">
        <w:tc>
          <w:tcPr>
            <w:tcW w:w="3539" w:type="dxa"/>
            <w:vAlign w:val="center"/>
          </w:tcPr>
          <w:p w14:paraId="29FD102C" w14:textId="77777777" w:rsidR="002579B1" w:rsidRPr="0031419F" w:rsidRDefault="002579B1" w:rsidP="0074455A">
            <w:pPr>
              <w:pStyle w:val="Tabletext"/>
            </w:pPr>
            <w:r w:rsidRPr="0031419F">
              <w:t>APDS + lymphoproliferation</w:t>
            </w:r>
          </w:p>
        </w:tc>
        <w:tc>
          <w:tcPr>
            <w:tcW w:w="1701" w:type="dxa"/>
          </w:tcPr>
          <w:p w14:paraId="6C622DBD" w14:textId="77777777" w:rsidR="002579B1" w:rsidRPr="0031419F" w:rsidRDefault="002579B1" w:rsidP="00112265">
            <w:pPr>
              <w:pStyle w:val="Tabletext"/>
              <w:jc w:val="center"/>
            </w:pPr>
            <w:r w:rsidRPr="0031419F">
              <w:t>0.755</w:t>
            </w:r>
          </w:p>
        </w:tc>
        <w:tc>
          <w:tcPr>
            <w:tcW w:w="1843" w:type="dxa"/>
          </w:tcPr>
          <w:p w14:paraId="0D81AFFD" w14:textId="77777777" w:rsidR="002579B1" w:rsidRPr="006013FF" w:rsidRDefault="002579B1" w:rsidP="00112265">
            <w:pPr>
              <w:pStyle w:val="Tabletext"/>
              <w:jc w:val="center"/>
            </w:pPr>
            <w:r w:rsidRPr="006013FF">
              <w:t>0.6132</w:t>
            </w:r>
          </w:p>
        </w:tc>
        <w:tc>
          <w:tcPr>
            <w:tcW w:w="1815" w:type="dxa"/>
          </w:tcPr>
          <w:p w14:paraId="434927FE" w14:textId="77777777" w:rsidR="002579B1" w:rsidRPr="0031419F" w:rsidRDefault="002579B1" w:rsidP="00112265">
            <w:pPr>
              <w:pStyle w:val="Tabletext"/>
              <w:jc w:val="center"/>
            </w:pPr>
            <w:r w:rsidRPr="0031419F">
              <w:t>0.6132</w:t>
            </w:r>
          </w:p>
        </w:tc>
      </w:tr>
      <w:tr w:rsidR="002579B1" w:rsidRPr="0031419F" w14:paraId="63A4209D" w14:textId="77777777" w:rsidTr="0074455A">
        <w:tc>
          <w:tcPr>
            <w:tcW w:w="3539" w:type="dxa"/>
            <w:vAlign w:val="center"/>
          </w:tcPr>
          <w:p w14:paraId="7D134DD9" w14:textId="77777777" w:rsidR="002579B1" w:rsidRPr="0031419F" w:rsidRDefault="002579B1" w:rsidP="0074455A">
            <w:pPr>
              <w:pStyle w:val="Tabletext"/>
            </w:pPr>
            <w:r w:rsidRPr="0031419F">
              <w:t>APDS + bronchiectasis</w:t>
            </w:r>
          </w:p>
        </w:tc>
        <w:tc>
          <w:tcPr>
            <w:tcW w:w="1701" w:type="dxa"/>
          </w:tcPr>
          <w:p w14:paraId="689E6ED2" w14:textId="77777777" w:rsidR="002579B1" w:rsidRPr="0031419F" w:rsidRDefault="002579B1" w:rsidP="00112265">
            <w:pPr>
              <w:pStyle w:val="Tabletext"/>
              <w:jc w:val="center"/>
            </w:pPr>
            <w:r w:rsidRPr="0031419F">
              <w:t>0.679</w:t>
            </w:r>
          </w:p>
        </w:tc>
        <w:tc>
          <w:tcPr>
            <w:tcW w:w="1843" w:type="dxa"/>
          </w:tcPr>
          <w:p w14:paraId="210E6B32" w14:textId="77777777" w:rsidR="002579B1" w:rsidRPr="006013FF" w:rsidRDefault="002579B1" w:rsidP="00112265">
            <w:pPr>
              <w:pStyle w:val="Tabletext"/>
              <w:jc w:val="center"/>
            </w:pPr>
            <w:r w:rsidRPr="006013FF">
              <w:t>0.6611</w:t>
            </w:r>
          </w:p>
        </w:tc>
        <w:tc>
          <w:tcPr>
            <w:tcW w:w="1815" w:type="dxa"/>
          </w:tcPr>
          <w:p w14:paraId="41332F23" w14:textId="77777777" w:rsidR="002579B1" w:rsidRPr="0031419F" w:rsidRDefault="002579B1" w:rsidP="00112265">
            <w:pPr>
              <w:pStyle w:val="Tabletext"/>
              <w:jc w:val="center"/>
            </w:pPr>
            <w:r w:rsidRPr="0031419F">
              <w:t>0.6123</w:t>
            </w:r>
          </w:p>
        </w:tc>
      </w:tr>
      <w:tr w:rsidR="002579B1" w:rsidRPr="0031419F" w14:paraId="0A866721" w14:textId="77777777" w:rsidTr="0074455A">
        <w:tc>
          <w:tcPr>
            <w:tcW w:w="3539" w:type="dxa"/>
            <w:vAlign w:val="center"/>
          </w:tcPr>
          <w:p w14:paraId="2A840B24" w14:textId="77777777" w:rsidR="002579B1" w:rsidRPr="0031419F" w:rsidRDefault="002579B1" w:rsidP="0074455A">
            <w:pPr>
              <w:pStyle w:val="Tabletext"/>
            </w:pPr>
            <w:r w:rsidRPr="0031419F">
              <w:t>APDS + malignancies</w:t>
            </w:r>
          </w:p>
        </w:tc>
        <w:tc>
          <w:tcPr>
            <w:tcW w:w="1701" w:type="dxa"/>
            <w:shd w:val="clear" w:color="auto" w:fill="D9D9D9" w:themeFill="background1" w:themeFillShade="D9"/>
          </w:tcPr>
          <w:p w14:paraId="26AC3155" w14:textId="77777777" w:rsidR="002579B1" w:rsidRPr="006013FF" w:rsidRDefault="002579B1" w:rsidP="00112265">
            <w:pPr>
              <w:pStyle w:val="Tabletext"/>
              <w:jc w:val="center"/>
            </w:pPr>
            <w:r w:rsidRPr="006013FF">
              <w:t>0.278</w:t>
            </w:r>
          </w:p>
        </w:tc>
        <w:tc>
          <w:tcPr>
            <w:tcW w:w="1843" w:type="dxa"/>
            <w:shd w:val="clear" w:color="auto" w:fill="D9D9D9" w:themeFill="background1" w:themeFillShade="D9"/>
          </w:tcPr>
          <w:p w14:paraId="36ED47C5" w14:textId="77777777" w:rsidR="002579B1" w:rsidRPr="006013FF" w:rsidRDefault="002579B1" w:rsidP="00112265">
            <w:pPr>
              <w:pStyle w:val="Tabletext"/>
              <w:jc w:val="center"/>
            </w:pPr>
            <w:r w:rsidRPr="006013FF">
              <w:t>0.6098</w:t>
            </w:r>
          </w:p>
        </w:tc>
        <w:tc>
          <w:tcPr>
            <w:tcW w:w="1815" w:type="dxa"/>
            <w:shd w:val="clear" w:color="auto" w:fill="D9D9D9" w:themeFill="background1" w:themeFillShade="D9"/>
          </w:tcPr>
          <w:p w14:paraId="47E72BC1" w14:textId="77777777" w:rsidR="002579B1" w:rsidRPr="006013FF" w:rsidRDefault="002579B1" w:rsidP="00112265">
            <w:pPr>
              <w:pStyle w:val="Tabletext"/>
              <w:jc w:val="center"/>
            </w:pPr>
            <w:r w:rsidRPr="006013FF">
              <w:t>0.6098</w:t>
            </w:r>
          </w:p>
        </w:tc>
      </w:tr>
      <w:tr w:rsidR="002579B1" w:rsidRPr="0031419F" w14:paraId="65E7F347" w14:textId="77777777" w:rsidTr="0074455A">
        <w:tc>
          <w:tcPr>
            <w:tcW w:w="8898" w:type="dxa"/>
            <w:gridSpan w:val="4"/>
            <w:vAlign w:val="center"/>
          </w:tcPr>
          <w:p w14:paraId="612F128F" w14:textId="77777777" w:rsidR="002579B1" w:rsidRPr="0031419F" w:rsidRDefault="002579B1" w:rsidP="0074455A">
            <w:pPr>
              <w:pStyle w:val="Tabletext"/>
            </w:pPr>
            <w:r w:rsidRPr="0031419F">
              <w:t>Combination health states</w:t>
            </w:r>
          </w:p>
        </w:tc>
      </w:tr>
      <w:tr w:rsidR="002579B1" w:rsidRPr="0031419F" w14:paraId="3EE45831" w14:textId="77777777" w:rsidTr="0074455A">
        <w:tc>
          <w:tcPr>
            <w:tcW w:w="3539" w:type="dxa"/>
            <w:vAlign w:val="center"/>
          </w:tcPr>
          <w:p w14:paraId="0E6CEA40" w14:textId="77777777" w:rsidR="002579B1" w:rsidRPr="0031419F" w:rsidRDefault="002579B1" w:rsidP="0074455A">
            <w:pPr>
              <w:pStyle w:val="Tabletext"/>
            </w:pPr>
            <w:r w:rsidRPr="0031419F">
              <w:t>APDS + infection + lymphoproliferation</w:t>
            </w:r>
          </w:p>
        </w:tc>
        <w:tc>
          <w:tcPr>
            <w:tcW w:w="1701" w:type="dxa"/>
            <w:vAlign w:val="center"/>
          </w:tcPr>
          <w:p w14:paraId="03634B9B" w14:textId="77777777" w:rsidR="002579B1" w:rsidRPr="0031419F" w:rsidRDefault="002579B1" w:rsidP="00112265">
            <w:pPr>
              <w:pStyle w:val="Tabletext"/>
              <w:jc w:val="center"/>
            </w:pPr>
            <w:r w:rsidRPr="0031419F">
              <w:t>0.642</w:t>
            </w:r>
          </w:p>
        </w:tc>
        <w:tc>
          <w:tcPr>
            <w:tcW w:w="1843" w:type="dxa"/>
            <w:vAlign w:val="center"/>
          </w:tcPr>
          <w:p w14:paraId="13582F2F" w14:textId="77777777" w:rsidR="002579B1" w:rsidRPr="006013FF" w:rsidRDefault="002579B1" w:rsidP="00112265">
            <w:pPr>
              <w:pStyle w:val="Tabletext"/>
              <w:jc w:val="center"/>
            </w:pPr>
            <w:r w:rsidRPr="006013FF">
              <w:t>0.605</w:t>
            </w:r>
          </w:p>
        </w:tc>
        <w:tc>
          <w:tcPr>
            <w:tcW w:w="1815" w:type="dxa"/>
            <w:vAlign w:val="center"/>
          </w:tcPr>
          <w:p w14:paraId="3916E88E" w14:textId="77777777" w:rsidR="002579B1" w:rsidRPr="0031419F" w:rsidRDefault="002579B1" w:rsidP="00112265">
            <w:pPr>
              <w:pStyle w:val="Tabletext"/>
              <w:jc w:val="center"/>
            </w:pPr>
            <w:r w:rsidRPr="0031419F">
              <w:t>0.598</w:t>
            </w:r>
          </w:p>
        </w:tc>
      </w:tr>
      <w:tr w:rsidR="002579B1" w:rsidRPr="0031419F" w14:paraId="1D737E70" w14:textId="77777777" w:rsidTr="0074455A">
        <w:tc>
          <w:tcPr>
            <w:tcW w:w="3539" w:type="dxa"/>
            <w:vAlign w:val="center"/>
          </w:tcPr>
          <w:p w14:paraId="59182A03" w14:textId="77777777" w:rsidR="002579B1" w:rsidRPr="0031419F" w:rsidRDefault="002579B1" w:rsidP="0074455A">
            <w:pPr>
              <w:pStyle w:val="Tabletext"/>
            </w:pPr>
            <w:r w:rsidRPr="0031419F">
              <w:t>APDS + infection + lymphoproliferation + bronchiectasis</w:t>
            </w:r>
          </w:p>
        </w:tc>
        <w:tc>
          <w:tcPr>
            <w:tcW w:w="1701" w:type="dxa"/>
            <w:vAlign w:val="center"/>
          </w:tcPr>
          <w:p w14:paraId="0F10A99B" w14:textId="77777777" w:rsidR="002579B1" w:rsidRPr="0031419F" w:rsidRDefault="002579B1" w:rsidP="00112265">
            <w:pPr>
              <w:pStyle w:val="Tabletext"/>
              <w:jc w:val="center"/>
            </w:pPr>
            <w:r w:rsidRPr="0031419F">
              <w:t>0.461</w:t>
            </w:r>
          </w:p>
        </w:tc>
        <w:tc>
          <w:tcPr>
            <w:tcW w:w="1843" w:type="dxa"/>
            <w:vAlign w:val="center"/>
          </w:tcPr>
          <w:p w14:paraId="0D476419" w14:textId="77777777" w:rsidR="002579B1" w:rsidRPr="006013FF" w:rsidRDefault="002579B1" w:rsidP="00112265">
            <w:pPr>
              <w:pStyle w:val="Tabletext"/>
              <w:jc w:val="center"/>
            </w:pPr>
            <w:r w:rsidRPr="006013FF">
              <w:t>0.506</w:t>
            </w:r>
          </w:p>
        </w:tc>
        <w:tc>
          <w:tcPr>
            <w:tcW w:w="1815" w:type="dxa"/>
            <w:vAlign w:val="center"/>
          </w:tcPr>
          <w:p w14:paraId="06D7BCD2" w14:textId="77777777" w:rsidR="002579B1" w:rsidRPr="0031419F" w:rsidRDefault="002579B1" w:rsidP="00112265">
            <w:pPr>
              <w:pStyle w:val="Tabletext"/>
              <w:jc w:val="center"/>
            </w:pPr>
            <w:r w:rsidRPr="0031419F">
              <w:t>0.450</w:t>
            </w:r>
          </w:p>
        </w:tc>
      </w:tr>
      <w:tr w:rsidR="002579B1" w:rsidRPr="0031419F" w14:paraId="2087DBEA" w14:textId="77777777" w:rsidTr="0074455A">
        <w:tc>
          <w:tcPr>
            <w:tcW w:w="3539" w:type="dxa"/>
            <w:vAlign w:val="center"/>
          </w:tcPr>
          <w:p w14:paraId="72C6405D" w14:textId="77777777" w:rsidR="002579B1" w:rsidRPr="0031419F" w:rsidRDefault="002579B1" w:rsidP="0074455A">
            <w:pPr>
              <w:pStyle w:val="Tabletext"/>
            </w:pPr>
            <w:r w:rsidRPr="0031419F">
              <w:t>APDS + infection + lymphoproliferation + cytopenia</w:t>
            </w:r>
          </w:p>
        </w:tc>
        <w:tc>
          <w:tcPr>
            <w:tcW w:w="1701" w:type="dxa"/>
            <w:vAlign w:val="center"/>
          </w:tcPr>
          <w:p w14:paraId="3AA01A09" w14:textId="77777777" w:rsidR="002579B1" w:rsidRPr="0031419F" w:rsidRDefault="002579B1" w:rsidP="00112265">
            <w:pPr>
              <w:pStyle w:val="Tabletext"/>
              <w:jc w:val="center"/>
            </w:pPr>
            <w:r w:rsidRPr="0031419F">
              <w:t>0.609</w:t>
            </w:r>
          </w:p>
        </w:tc>
        <w:tc>
          <w:tcPr>
            <w:tcW w:w="1843" w:type="dxa"/>
            <w:vAlign w:val="center"/>
          </w:tcPr>
          <w:p w14:paraId="2B1394A0" w14:textId="77777777" w:rsidR="002579B1" w:rsidRPr="006013FF" w:rsidRDefault="002579B1" w:rsidP="00112265">
            <w:pPr>
              <w:pStyle w:val="Tabletext"/>
              <w:jc w:val="center"/>
            </w:pPr>
            <w:r w:rsidRPr="006013FF">
              <w:t>0.516</w:t>
            </w:r>
          </w:p>
        </w:tc>
        <w:tc>
          <w:tcPr>
            <w:tcW w:w="1815" w:type="dxa"/>
            <w:vAlign w:val="center"/>
          </w:tcPr>
          <w:p w14:paraId="2939914C" w14:textId="77777777" w:rsidR="002579B1" w:rsidRPr="0031419F" w:rsidRDefault="002579B1" w:rsidP="00112265">
            <w:pPr>
              <w:pStyle w:val="Tabletext"/>
              <w:jc w:val="center"/>
            </w:pPr>
            <w:r w:rsidRPr="0031419F">
              <w:t>0.508</w:t>
            </w:r>
          </w:p>
        </w:tc>
      </w:tr>
      <w:tr w:rsidR="002579B1" w:rsidRPr="0031419F" w14:paraId="7B07C19E" w14:textId="77777777" w:rsidTr="0074455A">
        <w:tc>
          <w:tcPr>
            <w:tcW w:w="3539" w:type="dxa"/>
            <w:vAlign w:val="center"/>
          </w:tcPr>
          <w:p w14:paraId="170C688B" w14:textId="77777777" w:rsidR="002579B1" w:rsidRPr="0031419F" w:rsidRDefault="002579B1" w:rsidP="0074455A">
            <w:pPr>
              <w:pStyle w:val="Tabletext"/>
            </w:pPr>
            <w:r w:rsidRPr="0031419F">
              <w:t>APDS + infection + lymphoproliferation + GI manifestation</w:t>
            </w:r>
          </w:p>
        </w:tc>
        <w:tc>
          <w:tcPr>
            <w:tcW w:w="1701" w:type="dxa"/>
            <w:shd w:val="clear" w:color="auto" w:fill="D9D9D9" w:themeFill="background1" w:themeFillShade="D9"/>
            <w:vAlign w:val="center"/>
          </w:tcPr>
          <w:p w14:paraId="52134961" w14:textId="77777777" w:rsidR="002579B1" w:rsidRPr="006013FF" w:rsidRDefault="002579B1" w:rsidP="00112265">
            <w:pPr>
              <w:pStyle w:val="Tabletext"/>
              <w:jc w:val="center"/>
            </w:pPr>
            <w:r w:rsidRPr="006013FF">
              <w:t>0.532</w:t>
            </w:r>
          </w:p>
        </w:tc>
        <w:tc>
          <w:tcPr>
            <w:tcW w:w="1843" w:type="dxa"/>
            <w:shd w:val="clear" w:color="auto" w:fill="D9D9D9" w:themeFill="background1" w:themeFillShade="D9"/>
            <w:vAlign w:val="center"/>
          </w:tcPr>
          <w:p w14:paraId="48F2E082" w14:textId="77777777" w:rsidR="002579B1" w:rsidRPr="006013FF" w:rsidRDefault="002579B1" w:rsidP="00112265">
            <w:pPr>
              <w:pStyle w:val="Tabletext"/>
              <w:jc w:val="center"/>
            </w:pPr>
            <w:r w:rsidRPr="006013FF">
              <w:t>0.517</w:t>
            </w:r>
          </w:p>
        </w:tc>
        <w:tc>
          <w:tcPr>
            <w:tcW w:w="1815" w:type="dxa"/>
            <w:shd w:val="clear" w:color="auto" w:fill="D9D9D9" w:themeFill="background1" w:themeFillShade="D9"/>
            <w:vAlign w:val="center"/>
          </w:tcPr>
          <w:p w14:paraId="289BC600" w14:textId="77777777" w:rsidR="002579B1" w:rsidRPr="006013FF" w:rsidRDefault="002579B1" w:rsidP="00112265">
            <w:pPr>
              <w:pStyle w:val="Tabletext"/>
              <w:jc w:val="center"/>
            </w:pPr>
            <w:r w:rsidRPr="006013FF">
              <w:t>0.196</w:t>
            </w:r>
          </w:p>
        </w:tc>
      </w:tr>
      <w:tr w:rsidR="002579B1" w:rsidRPr="0031419F" w14:paraId="5DDEE3E8" w14:textId="77777777" w:rsidTr="0074455A">
        <w:tc>
          <w:tcPr>
            <w:tcW w:w="3539" w:type="dxa"/>
            <w:vAlign w:val="center"/>
          </w:tcPr>
          <w:p w14:paraId="739BBF82" w14:textId="77777777" w:rsidR="002579B1" w:rsidRPr="0031419F" w:rsidRDefault="002579B1" w:rsidP="0074455A">
            <w:pPr>
              <w:pStyle w:val="Tabletext"/>
            </w:pPr>
            <w:r w:rsidRPr="0031419F">
              <w:t>APDS + infection + lymphoproliferation + cytopenia + GI manifestation</w:t>
            </w:r>
          </w:p>
        </w:tc>
        <w:tc>
          <w:tcPr>
            <w:tcW w:w="1701" w:type="dxa"/>
            <w:shd w:val="clear" w:color="auto" w:fill="D9D9D9" w:themeFill="background1" w:themeFillShade="D9"/>
            <w:vAlign w:val="center"/>
          </w:tcPr>
          <w:p w14:paraId="390EDAD5" w14:textId="77777777" w:rsidR="002579B1" w:rsidRPr="006013FF" w:rsidRDefault="002579B1" w:rsidP="00112265">
            <w:pPr>
              <w:pStyle w:val="Tabletext"/>
              <w:jc w:val="center"/>
            </w:pPr>
            <w:r w:rsidRPr="006013FF">
              <w:t>0.347</w:t>
            </w:r>
          </w:p>
        </w:tc>
        <w:tc>
          <w:tcPr>
            <w:tcW w:w="1843" w:type="dxa"/>
            <w:shd w:val="clear" w:color="auto" w:fill="D9D9D9" w:themeFill="background1" w:themeFillShade="D9"/>
            <w:vAlign w:val="center"/>
          </w:tcPr>
          <w:p w14:paraId="09EDF9EB" w14:textId="77777777" w:rsidR="002579B1" w:rsidRPr="006013FF" w:rsidRDefault="002579B1" w:rsidP="00112265">
            <w:pPr>
              <w:pStyle w:val="Tabletext"/>
              <w:jc w:val="center"/>
            </w:pPr>
            <w:r w:rsidRPr="006013FF">
              <w:t>0.428</w:t>
            </w:r>
          </w:p>
        </w:tc>
        <w:tc>
          <w:tcPr>
            <w:tcW w:w="1815" w:type="dxa"/>
            <w:shd w:val="clear" w:color="auto" w:fill="D9D9D9" w:themeFill="background1" w:themeFillShade="D9"/>
            <w:vAlign w:val="center"/>
          </w:tcPr>
          <w:p w14:paraId="09996C5D" w14:textId="77777777" w:rsidR="002579B1" w:rsidRPr="006013FF" w:rsidRDefault="002579B1" w:rsidP="00112265">
            <w:pPr>
              <w:pStyle w:val="Tabletext"/>
              <w:jc w:val="center"/>
            </w:pPr>
            <w:r w:rsidRPr="006013FF">
              <w:t>0.107</w:t>
            </w:r>
          </w:p>
        </w:tc>
      </w:tr>
      <w:tr w:rsidR="002579B1" w:rsidRPr="0031419F" w14:paraId="3BF40E3B" w14:textId="77777777" w:rsidTr="0074455A">
        <w:tc>
          <w:tcPr>
            <w:tcW w:w="3539" w:type="dxa"/>
            <w:vAlign w:val="center"/>
          </w:tcPr>
          <w:p w14:paraId="4ADA16FE" w14:textId="77777777" w:rsidR="002579B1" w:rsidRPr="0031419F" w:rsidRDefault="002579B1" w:rsidP="0074455A">
            <w:pPr>
              <w:pStyle w:val="Tabletext"/>
            </w:pPr>
            <w:r w:rsidRPr="0031419F">
              <w:t>APDS + infection + lymphoproliferation + bronchiectasis + cytopenia + GI manifestation + malignancies + fatigue + hearing loss</w:t>
            </w:r>
          </w:p>
        </w:tc>
        <w:tc>
          <w:tcPr>
            <w:tcW w:w="1701" w:type="dxa"/>
            <w:shd w:val="clear" w:color="auto" w:fill="D9D9D9" w:themeFill="background1" w:themeFillShade="D9"/>
            <w:vAlign w:val="center"/>
          </w:tcPr>
          <w:p w14:paraId="2BB0F4B4" w14:textId="77777777" w:rsidR="002579B1" w:rsidRPr="006013FF" w:rsidRDefault="002579B1" w:rsidP="00112265">
            <w:pPr>
              <w:pStyle w:val="Tabletext"/>
              <w:jc w:val="center"/>
            </w:pPr>
            <w:r w:rsidRPr="006013FF">
              <w:t>-0.109</w:t>
            </w:r>
          </w:p>
        </w:tc>
        <w:tc>
          <w:tcPr>
            <w:tcW w:w="1843" w:type="dxa"/>
            <w:shd w:val="clear" w:color="auto" w:fill="D9D9D9" w:themeFill="background1" w:themeFillShade="D9"/>
            <w:vAlign w:val="center"/>
          </w:tcPr>
          <w:p w14:paraId="3EA85C7B" w14:textId="77777777" w:rsidR="002579B1" w:rsidRPr="006013FF" w:rsidRDefault="002579B1" w:rsidP="00112265">
            <w:pPr>
              <w:pStyle w:val="Tabletext"/>
              <w:jc w:val="center"/>
            </w:pPr>
            <w:r w:rsidRPr="006013FF">
              <w:t>0.159 (fatigue was not included in the model so not included in this estimate)</w:t>
            </w:r>
          </w:p>
        </w:tc>
        <w:tc>
          <w:tcPr>
            <w:tcW w:w="1815" w:type="dxa"/>
            <w:shd w:val="clear" w:color="auto" w:fill="D9D9D9" w:themeFill="background1" w:themeFillShade="D9"/>
            <w:vAlign w:val="center"/>
          </w:tcPr>
          <w:p w14:paraId="5BF0B246" w14:textId="77777777" w:rsidR="002579B1" w:rsidRPr="006013FF" w:rsidRDefault="002579B1" w:rsidP="00112265">
            <w:pPr>
              <w:pStyle w:val="Tabletext"/>
              <w:jc w:val="center"/>
            </w:pPr>
            <w:r w:rsidRPr="006013FF">
              <w:t>-0.209 (fatigue was not included in the model so not included in this estimate)</w:t>
            </w:r>
          </w:p>
        </w:tc>
      </w:tr>
      <w:tr w:rsidR="002579B1" w:rsidRPr="0031419F" w14:paraId="5E3104B2" w14:textId="77777777" w:rsidTr="0074455A">
        <w:tc>
          <w:tcPr>
            <w:tcW w:w="3539" w:type="dxa"/>
            <w:vAlign w:val="center"/>
          </w:tcPr>
          <w:p w14:paraId="1CD2CF5E" w14:textId="77777777" w:rsidR="002579B1" w:rsidRPr="0031419F" w:rsidRDefault="002579B1" w:rsidP="0074455A">
            <w:pPr>
              <w:pStyle w:val="Tabletext"/>
            </w:pPr>
            <w:r w:rsidRPr="0031419F">
              <w:t>APDS + infection + lymphoproliferation + bronchiectasis + cytopenia + GI manifestation + malignancies + advanced lung disease + hearing loss</w:t>
            </w:r>
          </w:p>
        </w:tc>
        <w:tc>
          <w:tcPr>
            <w:tcW w:w="1701" w:type="dxa"/>
            <w:vAlign w:val="center"/>
          </w:tcPr>
          <w:p w14:paraId="5E6A0C22" w14:textId="2141F53E" w:rsidR="002579B1" w:rsidRPr="0031419F" w:rsidRDefault="002579B1" w:rsidP="00112265">
            <w:pPr>
              <w:pStyle w:val="Tabletext"/>
              <w:jc w:val="center"/>
            </w:pPr>
            <w:r w:rsidRPr="0031419F">
              <w:t>NA (advanced lung disease</w:t>
            </w:r>
            <w:r w:rsidR="0074455A" w:rsidRPr="0031419F">
              <w:t xml:space="preserve"> no</w:t>
            </w:r>
            <w:r w:rsidR="0070285A" w:rsidRPr="0031419F">
              <w:t>t</w:t>
            </w:r>
            <w:r w:rsidR="0074455A" w:rsidRPr="0031419F">
              <w:t xml:space="preserve"> in EQ-5D study</w:t>
            </w:r>
            <w:r w:rsidRPr="0031419F">
              <w:t>)</w:t>
            </w:r>
          </w:p>
        </w:tc>
        <w:tc>
          <w:tcPr>
            <w:tcW w:w="1843" w:type="dxa"/>
            <w:vAlign w:val="center"/>
          </w:tcPr>
          <w:p w14:paraId="25605D07" w14:textId="77777777" w:rsidR="002579B1" w:rsidRPr="0031419F" w:rsidRDefault="002579B1" w:rsidP="00112265">
            <w:pPr>
              <w:pStyle w:val="Tabletext"/>
              <w:jc w:val="center"/>
            </w:pPr>
            <w:r w:rsidRPr="006013FF">
              <w:t>0.159</w:t>
            </w:r>
          </w:p>
        </w:tc>
        <w:tc>
          <w:tcPr>
            <w:tcW w:w="1815" w:type="dxa"/>
            <w:vAlign w:val="center"/>
          </w:tcPr>
          <w:p w14:paraId="7CDDA5DD" w14:textId="77777777" w:rsidR="002579B1" w:rsidRPr="0031419F" w:rsidRDefault="002579B1" w:rsidP="00112265">
            <w:pPr>
              <w:pStyle w:val="Tabletext"/>
              <w:jc w:val="center"/>
            </w:pPr>
            <w:r w:rsidRPr="0031419F">
              <w:t>-0.427</w:t>
            </w:r>
          </w:p>
        </w:tc>
      </w:tr>
    </w:tbl>
    <w:p w14:paraId="198E12C8" w14:textId="77777777" w:rsidR="002579B1" w:rsidRPr="0031419F" w:rsidRDefault="002579B1" w:rsidP="002579B1">
      <w:pPr>
        <w:pStyle w:val="TableFigureFooter"/>
        <w:rPr>
          <w:lang w:val="en-AU"/>
        </w:rPr>
      </w:pPr>
      <w:r w:rsidRPr="0031419F">
        <w:rPr>
          <w:lang w:val="en-AU"/>
        </w:rPr>
        <w:t>APDS = activated PI3Kδ syndrome; GI = gastrointestinal; NA = not applicable; SoC = standard of care</w:t>
      </w:r>
    </w:p>
    <w:p w14:paraId="7A734EA1" w14:textId="77777777" w:rsidR="002579B1" w:rsidRPr="0031419F" w:rsidRDefault="002579B1" w:rsidP="002579B1">
      <w:pPr>
        <w:pStyle w:val="TableFigureFooter"/>
        <w:rPr>
          <w:lang w:val="en-AU"/>
        </w:rPr>
      </w:pPr>
      <w:r w:rsidRPr="0031419F">
        <w:rPr>
          <w:u w:val="single"/>
          <w:lang w:val="en-AU"/>
        </w:rPr>
        <w:t xml:space="preserve">Notes: </w:t>
      </w:r>
      <w:r w:rsidRPr="0031419F">
        <w:rPr>
          <w:lang w:val="en-AU"/>
        </w:rPr>
        <w:t>Baseline utility from the model calculated as the baseline utility at age 15 minus the respective disutilities from manifestations</w:t>
      </w:r>
    </w:p>
    <w:p w14:paraId="349C7DBC" w14:textId="77777777" w:rsidR="002579B1" w:rsidRPr="0031419F" w:rsidRDefault="002579B1" w:rsidP="002579B1">
      <w:pPr>
        <w:pStyle w:val="TableFigureFooter"/>
        <w:rPr>
          <w:lang w:val="en-AU"/>
        </w:rPr>
      </w:pPr>
      <w:r w:rsidRPr="0031419F">
        <w:rPr>
          <w:lang w:val="en-AU"/>
        </w:rPr>
        <w:t xml:space="preserve">Grey shaded cells indicate notable differences identified </w:t>
      </w:r>
    </w:p>
    <w:p w14:paraId="729069E3" w14:textId="77777777" w:rsidR="002579B1" w:rsidRPr="0031419F" w:rsidRDefault="002579B1" w:rsidP="002579B1">
      <w:pPr>
        <w:pStyle w:val="TableFigureFooter"/>
        <w:rPr>
          <w:lang w:val="en-AU"/>
        </w:rPr>
      </w:pPr>
      <w:r w:rsidRPr="0031419F">
        <w:rPr>
          <w:lang w:val="en-AU"/>
        </w:rPr>
        <w:t>Source: Table 5, p15 “Pharming Data on File - 2024 - Healthcare professional valuation of health states”; ‘Leniolisib model engine’ and ‘SoC model engine’ worksheet from the model PHG LENIOLISIB CUA MODEL FINAL.xlsm</w:t>
      </w:r>
    </w:p>
    <w:p w14:paraId="5E24B202" w14:textId="769BF43B" w:rsidR="002579B1" w:rsidRPr="0031419F" w:rsidRDefault="002579B1" w:rsidP="00A86BD1">
      <w:pPr>
        <w:pStyle w:val="3-BodyText"/>
        <w:spacing w:before="0" w:after="120"/>
      </w:pPr>
      <w:r w:rsidRPr="0031419F">
        <w:t xml:space="preserve">The utility at age 16 (i.e., cycle 1) was 0.6683 in the leniolisib arm compared to 0.3885 in the SoC arm (which accounts for the proportion experiencing manifestations). The utility of SoC decreased over the time horizon compared to the leniolisib arm, for example, at age 31 the SoC utility was 0.09 compared to 0.6939 in leniolisib at the same age (utility increased in some cases for leniolisib). This suggested that patients in the SoC arm have almost half the utility compared to patients on leniolisib after 1 year of treatment, which was a strong assumption given no utility data from the trial was used. Even if it was assumed that the comparative benefit from the trials translated to QoL benefits, the comparative trial data was only 12 weeks and therefore did not even inform a complete cycle (one year). </w:t>
      </w:r>
    </w:p>
    <w:p w14:paraId="5476BC8D" w14:textId="2038A3FD" w:rsidR="00A06FB7" w:rsidRPr="0031419F" w:rsidRDefault="008E3FB3" w:rsidP="000B4467">
      <w:pPr>
        <w:pStyle w:val="3-BodyText"/>
        <w:spacing w:before="0" w:after="120"/>
      </w:pPr>
      <w:r w:rsidRPr="0031419F">
        <w:t>Health care resource use (HCRU) and associated costs were included in the model for leniolisib treatment, additional treatment costs, manifestations associated with APDS and patient monitoring.</w:t>
      </w:r>
      <w:r w:rsidR="006E00D9" w:rsidRPr="0031419F">
        <w:t xml:space="preserve"> </w:t>
      </w:r>
      <w:r w:rsidR="00A06FB7" w:rsidRPr="0031419F">
        <w:t xml:space="preserve">Leniolisib treatment costs accounted for the vast majority of the total costs for the leniolisib arm; no other cost category accounted for more than </w:t>
      </w:r>
      <w:r w:rsidR="001F60D7" w:rsidRPr="00C740B8">
        <w:rPr>
          <w:color w:val="000000"/>
          <w:w w:val="15"/>
          <w:shd w:val="solid" w:color="000000" w:fill="000000"/>
          <w:fitText w:val="-20" w:id="-629967603"/>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3"/>
          <w14:textFill>
            <w14:solidFill>
              <w14:srgbClr w14:val="000000">
                <w14:alpha w14:val="100000"/>
              </w14:srgbClr>
            </w14:solidFill>
          </w14:textFill>
        </w:rPr>
        <w:t>|</w:t>
      </w:r>
      <w:r w:rsidR="00A06FB7" w:rsidRPr="0031419F">
        <w:t xml:space="preserve">% of the total incremental cost (i.e. less than </w:t>
      </w:r>
      <w:r w:rsidR="001F60D7" w:rsidRPr="00C740B8">
        <w:rPr>
          <w:color w:val="000000"/>
          <w:w w:val="15"/>
          <w:shd w:val="solid" w:color="000000" w:fill="000000"/>
          <w:fitText w:val="-20" w:id="-629967602"/>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2"/>
          <w14:textFill>
            <w14:solidFill>
              <w14:srgbClr w14:val="000000">
                <w14:alpha w14:val="100000"/>
              </w14:srgbClr>
            </w14:solidFill>
          </w14:textFill>
        </w:rPr>
        <w:t>|</w:t>
      </w:r>
      <w:r w:rsidR="00A06FB7" w:rsidRPr="0031419F">
        <w:t>/</w:t>
      </w:r>
      <w:r w:rsidR="001F60D7" w:rsidRPr="00C740B8">
        <w:rPr>
          <w:color w:val="000000"/>
          <w:w w:val="15"/>
          <w:shd w:val="solid" w:color="000000" w:fill="000000"/>
          <w:fitText w:val="-20" w:id="-629967601"/>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1"/>
          <w14:textFill>
            <w14:solidFill>
              <w14:srgbClr w14:val="000000">
                <w14:alpha w14:val="100000"/>
              </w14:srgbClr>
            </w14:solidFill>
          </w14:textFill>
        </w:rPr>
        <w:t>|</w:t>
      </w:r>
      <w:r w:rsidR="00A06FB7" w:rsidRPr="0031419F">
        <w:t xml:space="preserve">th of the incremental impact of leniolisib costs, which accounted for </w:t>
      </w:r>
      <w:r w:rsidR="001F60D7" w:rsidRPr="00C740B8">
        <w:rPr>
          <w:color w:val="000000"/>
          <w:w w:val="15"/>
          <w:shd w:val="solid" w:color="000000" w:fill="000000"/>
          <w:fitText w:val="-20" w:id="-629967600"/>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00"/>
          <w14:textFill>
            <w14:solidFill>
              <w14:srgbClr w14:val="000000">
                <w14:alpha w14:val="100000"/>
              </w14:srgbClr>
            </w14:solidFill>
          </w14:textFill>
        </w:rPr>
        <w:t>|</w:t>
      </w:r>
      <w:r w:rsidR="00A06FB7" w:rsidRPr="0031419F">
        <w:t>% of the total incremental cost). Due to this, the ICER was not sensitive to any other cost input except for changes in the price or utilisation of leniolisib.</w:t>
      </w:r>
    </w:p>
    <w:p w14:paraId="7F3A3645" w14:textId="314C8F80" w:rsidR="003D1923" w:rsidRPr="0031419F" w:rsidRDefault="00E94480" w:rsidP="000B4467">
      <w:pPr>
        <w:pStyle w:val="3-BodyText"/>
        <w:spacing w:before="0" w:after="120"/>
      </w:pPr>
      <w:r w:rsidRPr="0031419F">
        <w:t>The key drivers of the model are presented in</w:t>
      </w:r>
      <w:r w:rsidR="008A6B4C" w:rsidRPr="0031419F">
        <w:t xml:space="preserve"> </w:t>
      </w:r>
      <w:r w:rsidR="00E40C5F" w:rsidRPr="0031419F">
        <w:fldChar w:fldCharType="begin" w:fldLock="1"/>
      </w:r>
      <w:r w:rsidR="00E40C5F" w:rsidRPr="0031419F">
        <w:instrText xml:space="preserve"> REF _Ref198047570 \h </w:instrText>
      </w:r>
      <w:r w:rsidR="0031419F" w:rsidRPr="0031419F">
        <w:instrText xml:space="preserve"> \* MERGEFORMAT </w:instrText>
      </w:r>
      <w:r w:rsidR="00E40C5F" w:rsidRPr="0031419F">
        <w:fldChar w:fldCharType="separate"/>
      </w:r>
      <w:r w:rsidR="00C34379" w:rsidRPr="0031419F">
        <w:t xml:space="preserve">Table </w:t>
      </w:r>
      <w:r w:rsidR="00C34379">
        <w:rPr>
          <w:noProof/>
        </w:rPr>
        <w:t>19</w:t>
      </w:r>
      <w:r w:rsidR="00E40C5F" w:rsidRPr="0031419F">
        <w:fldChar w:fldCharType="end"/>
      </w:r>
      <w:r w:rsidR="00E40C5F" w:rsidRPr="0031419F">
        <w:t>.</w:t>
      </w:r>
      <w:r w:rsidRPr="0031419F">
        <w:t xml:space="preserve"> </w:t>
      </w:r>
    </w:p>
    <w:p w14:paraId="7740FF88" w14:textId="298ECEDE" w:rsidR="003D1923" w:rsidRPr="0031419F" w:rsidRDefault="003D1923" w:rsidP="003D1923">
      <w:pPr>
        <w:pStyle w:val="Caption"/>
        <w:jc w:val="left"/>
        <w:rPr>
          <w:rStyle w:val="CommentReference"/>
          <w:b/>
          <w:szCs w:val="24"/>
        </w:rPr>
      </w:pPr>
      <w:bookmarkStart w:id="50" w:name="_Ref198047570"/>
      <w:r w:rsidRPr="0031419F">
        <w:t xml:space="preserve">Table </w:t>
      </w:r>
      <w:r w:rsidR="00C34379">
        <w:fldChar w:fldCharType="begin" w:fldLock="1"/>
      </w:r>
      <w:r w:rsidR="00C34379">
        <w:instrText xml:space="preserve"> SEQ Table \* ARABIC </w:instrText>
      </w:r>
      <w:r w:rsidR="00C34379">
        <w:fldChar w:fldCharType="separate"/>
      </w:r>
      <w:r w:rsidR="00C34379">
        <w:rPr>
          <w:noProof/>
        </w:rPr>
        <w:t>19</w:t>
      </w:r>
      <w:r w:rsidR="00C34379">
        <w:rPr>
          <w:noProof/>
        </w:rPr>
        <w:fldChar w:fldCharType="end"/>
      </w:r>
      <w:bookmarkEnd w:id="50"/>
      <w:r w:rsidRPr="0031419F">
        <w:t>:</w:t>
      </w:r>
      <w:r w:rsidRPr="0031419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drivers of the model"/>
      </w:tblPr>
      <w:tblGrid>
        <w:gridCol w:w="1114"/>
        <w:gridCol w:w="5036"/>
        <w:gridCol w:w="2748"/>
      </w:tblGrid>
      <w:tr w:rsidR="003D1923" w:rsidRPr="0031419F" w14:paraId="7489D044" w14:textId="77777777" w:rsidTr="00A06FB7">
        <w:trPr>
          <w:tblHeader/>
        </w:trPr>
        <w:tc>
          <w:tcPr>
            <w:tcW w:w="626" w:type="pct"/>
            <w:vAlign w:val="center"/>
          </w:tcPr>
          <w:p w14:paraId="1397F806" w14:textId="77777777" w:rsidR="003D1923" w:rsidRPr="0031419F" w:rsidRDefault="003D1923" w:rsidP="00A06FB7">
            <w:pPr>
              <w:pStyle w:val="In-tableHeading"/>
              <w:jc w:val="left"/>
              <w:rPr>
                <w:lang w:val="en-AU"/>
              </w:rPr>
            </w:pPr>
            <w:r w:rsidRPr="0031419F">
              <w:rPr>
                <w:lang w:val="en-AU"/>
              </w:rPr>
              <w:t>Description</w:t>
            </w:r>
          </w:p>
        </w:tc>
        <w:tc>
          <w:tcPr>
            <w:tcW w:w="2830" w:type="pct"/>
            <w:vAlign w:val="center"/>
          </w:tcPr>
          <w:p w14:paraId="4812BC25" w14:textId="77777777" w:rsidR="003D1923" w:rsidRPr="0031419F" w:rsidRDefault="003D1923" w:rsidP="00135839">
            <w:pPr>
              <w:pStyle w:val="In-tableHeading"/>
              <w:rPr>
                <w:lang w:val="en-AU"/>
              </w:rPr>
            </w:pPr>
            <w:r w:rsidRPr="0031419F">
              <w:rPr>
                <w:lang w:val="en-AU"/>
              </w:rPr>
              <w:t>Method/Value</w:t>
            </w:r>
          </w:p>
        </w:tc>
        <w:tc>
          <w:tcPr>
            <w:tcW w:w="1544" w:type="pct"/>
            <w:vAlign w:val="center"/>
          </w:tcPr>
          <w:p w14:paraId="11C8B99A" w14:textId="77777777" w:rsidR="003D1923" w:rsidRPr="0031419F" w:rsidRDefault="003D1923" w:rsidP="00135839">
            <w:pPr>
              <w:pStyle w:val="In-tableHeading"/>
              <w:rPr>
                <w:lang w:val="en-AU"/>
              </w:rPr>
            </w:pPr>
            <w:r w:rsidRPr="0031419F">
              <w:rPr>
                <w:lang w:val="en-AU"/>
              </w:rPr>
              <w:t>Impact</w:t>
            </w:r>
          </w:p>
          <w:p w14:paraId="5C84FA79" w14:textId="7C44AAD5" w:rsidR="003D1923" w:rsidRPr="0031419F" w:rsidRDefault="00C576CB" w:rsidP="00135839">
            <w:pPr>
              <w:pStyle w:val="In-tableHeading"/>
              <w:rPr>
                <w:lang w:val="en-AU"/>
              </w:rPr>
            </w:pPr>
            <w:r w:rsidRPr="0031419F">
              <w:rPr>
                <w:lang w:val="en-AU"/>
              </w:rPr>
              <w:t>[</w:t>
            </w:r>
            <w:r w:rsidR="003D1923" w:rsidRPr="0031419F">
              <w:rPr>
                <w:lang w:val="en-AU"/>
              </w:rPr>
              <w:t>Base case: $</w:t>
            </w:r>
            <w:r w:rsidR="001F60D7" w:rsidRPr="001F60D7">
              <w:rPr>
                <w:rFonts w:hint="eastAsia"/>
                <w:w w:val="16"/>
                <w:shd w:val="solid" w:color="000000" w:fill="000000"/>
                <w:fitText w:val="72" w:id="-629967616"/>
                <w:lang w:val="en-AU"/>
                <w14:textFill>
                  <w14:solidFill>
                    <w14:schemeClr w14:val="tx1">
                      <w14:alpha w14:val="100000"/>
                    </w14:schemeClr>
                  </w14:solidFill>
                </w14:textFill>
              </w:rPr>
              <w:t xml:space="preserve">　</w:t>
            </w:r>
            <w:r w:rsidR="001F60D7" w:rsidRPr="001F60D7">
              <w:rPr>
                <w:w w:val="16"/>
                <w:shd w:val="solid" w:color="000000" w:fill="000000"/>
                <w:fitText w:val="72" w:id="-629967616"/>
                <w:lang w:val="en-AU"/>
                <w14:textFill>
                  <w14:solidFill>
                    <w14:schemeClr w14:val="tx1">
                      <w14:alpha w14:val="100000"/>
                    </w14:schemeClr>
                  </w14:solidFill>
                </w14:textFill>
              </w:rPr>
              <w:t>|</w:t>
            </w:r>
            <w:r w:rsidR="001F60D7" w:rsidRPr="001F60D7">
              <w:rPr>
                <w:rFonts w:hint="eastAsia"/>
                <w:w w:val="16"/>
                <w:shd w:val="solid" w:color="000000" w:fill="000000"/>
                <w:fitText w:val="72" w:id="-629967616"/>
                <w:lang w:val="en-AU"/>
                <w14:textFill>
                  <w14:solidFill>
                    <w14:schemeClr w14:val="tx1">
                      <w14:alpha w14:val="100000"/>
                    </w14:schemeClr>
                  </w14:solidFill>
                </w14:textFill>
              </w:rPr>
              <w:t xml:space="preserve">　</w:t>
            </w:r>
            <w:r w:rsidR="003839DC">
              <w:rPr>
                <w:lang w:val="en-AU"/>
              </w:rPr>
              <w:t xml:space="preserve"> </w:t>
            </w:r>
            <w:r w:rsidR="00194F1D">
              <w:rPr>
                <w:lang w:val="en-AU"/>
              </w:rPr>
              <w:t xml:space="preserve"> </w:t>
            </w:r>
            <w:r w:rsidR="003D1923" w:rsidRPr="0031419F">
              <w:rPr>
                <w:lang w:val="en-AU"/>
              </w:rPr>
              <w:t>/QALY gained.]</w:t>
            </w:r>
          </w:p>
        </w:tc>
      </w:tr>
      <w:tr w:rsidR="00C576CB" w:rsidRPr="0031419F" w14:paraId="546B7580" w14:textId="77777777" w:rsidTr="00A06FB7">
        <w:trPr>
          <w:tblHeader/>
        </w:trPr>
        <w:tc>
          <w:tcPr>
            <w:tcW w:w="626" w:type="pct"/>
            <w:vAlign w:val="center"/>
          </w:tcPr>
          <w:p w14:paraId="5B4DCDC2" w14:textId="029C170C" w:rsidR="00C576CB" w:rsidRPr="0031419F" w:rsidRDefault="00C576CB" w:rsidP="00A06FB7">
            <w:pPr>
              <w:pStyle w:val="In-tableHeading"/>
              <w:jc w:val="left"/>
              <w:rPr>
                <w:b w:val="0"/>
                <w:bCs w:val="0"/>
                <w:lang w:val="en-AU"/>
              </w:rPr>
            </w:pPr>
            <w:r w:rsidRPr="0031419F">
              <w:rPr>
                <w:b w:val="0"/>
                <w:bCs w:val="0"/>
                <w:lang w:val="en-AU"/>
              </w:rPr>
              <w:t>Cost of leniolisib</w:t>
            </w:r>
          </w:p>
        </w:tc>
        <w:tc>
          <w:tcPr>
            <w:tcW w:w="2830" w:type="pct"/>
            <w:vAlign w:val="center"/>
          </w:tcPr>
          <w:p w14:paraId="52DB82C3" w14:textId="6DD1FB71" w:rsidR="00C576CB" w:rsidRPr="0031419F" w:rsidRDefault="00C576CB" w:rsidP="00A06FB7">
            <w:pPr>
              <w:pStyle w:val="In-tableHeading"/>
              <w:jc w:val="left"/>
              <w:rPr>
                <w:b w:val="0"/>
                <w:lang w:val="en-AU"/>
              </w:rPr>
            </w:pPr>
            <w:r w:rsidRPr="0031419F">
              <w:rPr>
                <w:b w:val="0"/>
                <w:lang w:val="en-AU"/>
              </w:rPr>
              <w:t>Leniolisib drug costs are the main driver of the model and dwarf every other cost inclusion</w:t>
            </w:r>
            <w:r w:rsidR="001569B7" w:rsidRPr="0031419F">
              <w:rPr>
                <w:b w:val="0"/>
                <w:lang w:val="en-AU"/>
              </w:rPr>
              <w:t xml:space="preserve">. In the model, </w:t>
            </w:r>
            <w:r w:rsidR="006F7EA9" w:rsidRPr="0031419F">
              <w:rPr>
                <w:b w:val="0"/>
                <w:lang w:val="en-AU"/>
              </w:rPr>
              <w:t>the cost of leniolisib acquisition was</w:t>
            </w:r>
            <w:r w:rsidR="00A06FB7" w:rsidRPr="0031419F">
              <w:rPr>
                <w:b w:val="0"/>
                <w:lang w:val="en-AU"/>
              </w:rPr>
              <w:t xml:space="preserve"> $</w:t>
            </w:r>
            <w:r w:rsidR="001F60D7" w:rsidRPr="001F60D7">
              <w:rPr>
                <w:b w:val="0"/>
                <w:spacing w:val="55"/>
                <w:shd w:val="solid" w:color="000000" w:fill="000000"/>
                <w:fitText w:val="336" w:id="-629967615"/>
                <w:lang w:val="en-AU"/>
                <w14:textFill>
                  <w14:solidFill>
                    <w14:schemeClr w14:val="tx1">
                      <w14:alpha w14:val="100000"/>
                    </w14:schemeClr>
                  </w14:solidFill>
                </w14:textFill>
              </w:rPr>
              <w:t>|||</w:t>
            </w:r>
            <w:r w:rsidR="001F60D7" w:rsidRPr="001F60D7">
              <w:rPr>
                <w:b w:val="0"/>
                <w:spacing w:val="1"/>
                <w:shd w:val="solid" w:color="000000" w:fill="000000"/>
                <w:fitText w:val="336" w:id="-629967615"/>
                <w:lang w:val="en-AU"/>
                <w14:textFill>
                  <w14:solidFill>
                    <w14:schemeClr w14:val="tx1">
                      <w14:alpha w14:val="100000"/>
                    </w14:schemeClr>
                  </w14:solidFill>
                </w14:textFill>
              </w:rPr>
              <w:t>|</w:t>
            </w:r>
            <w:r w:rsidR="00A06FB7" w:rsidRPr="0031419F">
              <w:rPr>
                <w:b w:val="0"/>
                <w:lang w:val="en-AU"/>
              </w:rPr>
              <w:t xml:space="preserve"> </w:t>
            </w:r>
            <w:r w:rsidR="00D26B44">
              <w:rPr>
                <w:b w:val="0"/>
                <w:lang w:val="en-AU"/>
              </w:rPr>
              <w:t>-</w:t>
            </w:r>
            <w:r w:rsidR="00A12B48">
              <w:rPr>
                <w:b w:val="0"/>
                <w:lang w:val="en-AU"/>
              </w:rPr>
              <w:t xml:space="preserve"> </w:t>
            </w:r>
            <w:r w:rsidR="00A06FB7" w:rsidRPr="0031419F">
              <w:rPr>
                <w:b w:val="0"/>
                <w:lang w:val="en-AU"/>
              </w:rPr>
              <w:t>million</w:t>
            </w:r>
            <w:r w:rsidR="000D6F53">
              <w:rPr>
                <w:b w:val="0"/>
                <w:lang w:val="en-AU"/>
              </w:rPr>
              <w:t xml:space="preserve">. </w:t>
            </w:r>
            <w:r w:rsidR="00D54EE7" w:rsidRPr="0031419F">
              <w:rPr>
                <w:b w:val="0"/>
                <w:lang w:val="en-AU"/>
              </w:rPr>
              <w:t>A</w:t>
            </w:r>
            <w:r w:rsidR="001569B7" w:rsidRPr="0031419F">
              <w:rPr>
                <w:b w:val="0"/>
                <w:lang w:val="en-AU"/>
              </w:rPr>
              <w:t xml:space="preserve"> full year</w:t>
            </w:r>
            <w:r w:rsidR="00D54EE7" w:rsidRPr="0031419F">
              <w:rPr>
                <w:b w:val="0"/>
                <w:lang w:val="en-AU"/>
              </w:rPr>
              <w:t xml:space="preserve"> of treatment of leniolisib would cost $</w:t>
            </w:r>
            <w:r w:rsidR="001F60D7" w:rsidRPr="001F60D7">
              <w:rPr>
                <w:b w:val="0"/>
                <w:spacing w:val="51"/>
                <w:shd w:val="solid" w:color="000000" w:fill="000000"/>
                <w:fitText w:val="324" w:id="-629967614"/>
                <w:lang w:val="en-AU"/>
                <w14:textFill>
                  <w14:solidFill>
                    <w14:schemeClr w14:val="tx1">
                      <w14:alpha w14:val="100000"/>
                    </w14:schemeClr>
                  </w14:solidFill>
                </w14:textFill>
              </w:rPr>
              <w:t>|||</w:t>
            </w:r>
            <w:r w:rsidR="001F60D7" w:rsidRPr="001F60D7">
              <w:rPr>
                <w:b w:val="0"/>
                <w:spacing w:val="1"/>
                <w:shd w:val="solid" w:color="000000" w:fill="000000"/>
                <w:fitText w:val="324" w:id="-629967614"/>
                <w:lang w:val="en-AU"/>
                <w14:textFill>
                  <w14:solidFill>
                    <w14:schemeClr w14:val="tx1">
                      <w14:alpha w14:val="100000"/>
                    </w14:schemeClr>
                  </w14:solidFill>
                </w14:textFill>
              </w:rPr>
              <w:t>|</w:t>
            </w:r>
          </w:p>
        </w:tc>
        <w:tc>
          <w:tcPr>
            <w:tcW w:w="1544" w:type="pct"/>
            <w:vAlign w:val="center"/>
          </w:tcPr>
          <w:p w14:paraId="4A345346" w14:textId="45223985" w:rsidR="00C576CB" w:rsidRPr="0031419F" w:rsidRDefault="00C576CB" w:rsidP="00A06FB7">
            <w:pPr>
              <w:pStyle w:val="In-tableHeading"/>
              <w:jc w:val="left"/>
              <w:rPr>
                <w:b w:val="0"/>
                <w:bCs w:val="0"/>
                <w:lang w:val="en-AU"/>
              </w:rPr>
            </w:pPr>
            <w:r w:rsidRPr="0031419F">
              <w:rPr>
                <w:b w:val="0"/>
                <w:bCs w:val="0"/>
                <w:lang w:val="en-AU"/>
              </w:rPr>
              <w:t>Extremely high</w:t>
            </w:r>
            <w:r w:rsidR="007F3F30" w:rsidRPr="0031419F">
              <w:rPr>
                <w:b w:val="0"/>
                <w:bCs w:val="0"/>
                <w:lang w:val="en-AU"/>
              </w:rPr>
              <w:t>.</w:t>
            </w:r>
          </w:p>
        </w:tc>
      </w:tr>
      <w:tr w:rsidR="00C576CB" w:rsidRPr="0031419F" w14:paraId="1ABFBA83" w14:textId="77777777" w:rsidTr="00A06FB7">
        <w:trPr>
          <w:tblHeader/>
        </w:trPr>
        <w:tc>
          <w:tcPr>
            <w:tcW w:w="626" w:type="pct"/>
            <w:vAlign w:val="center"/>
          </w:tcPr>
          <w:p w14:paraId="778CD39C" w14:textId="53A1AE6B" w:rsidR="00C576CB" w:rsidRPr="0031419F" w:rsidRDefault="00C576CB" w:rsidP="00A06FB7">
            <w:pPr>
              <w:pStyle w:val="In-tableHeading"/>
              <w:jc w:val="left"/>
              <w:rPr>
                <w:b w:val="0"/>
                <w:bCs w:val="0"/>
                <w:lang w:val="en-AU"/>
              </w:rPr>
            </w:pPr>
            <w:r w:rsidRPr="0031419F">
              <w:rPr>
                <w:b w:val="0"/>
                <w:bCs w:val="0"/>
                <w:lang w:val="en-AU"/>
              </w:rPr>
              <w:t>Time horizon</w:t>
            </w:r>
          </w:p>
        </w:tc>
        <w:tc>
          <w:tcPr>
            <w:tcW w:w="2830" w:type="pct"/>
            <w:vAlign w:val="center"/>
          </w:tcPr>
          <w:p w14:paraId="709F0E2A" w14:textId="6717C6EC" w:rsidR="00C576CB" w:rsidRPr="0031419F" w:rsidRDefault="00C576CB" w:rsidP="00A06FB7">
            <w:pPr>
              <w:pStyle w:val="In-tableHeading"/>
              <w:jc w:val="left"/>
              <w:rPr>
                <w:b w:val="0"/>
                <w:bCs w:val="0"/>
                <w:lang w:val="en-AU"/>
              </w:rPr>
            </w:pPr>
            <w:r w:rsidRPr="0031419F">
              <w:rPr>
                <w:b w:val="0"/>
                <w:bCs w:val="0"/>
                <w:lang w:val="en-AU"/>
              </w:rPr>
              <w:t>The lifetime time horizon used in the model was optimistic, especially considering that there was only 12 weeks of comparative data for leniolisib.</w:t>
            </w:r>
          </w:p>
        </w:tc>
        <w:tc>
          <w:tcPr>
            <w:tcW w:w="1544" w:type="pct"/>
            <w:vAlign w:val="center"/>
          </w:tcPr>
          <w:p w14:paraId="170FABEB" w14:textId="0AD419F6" w:rsidR="00C576CB" w:rsidRPr="0031419F" w:rsidRDefault="00C576CB" w:rsidP="00A06FB7">
            <w:pPr>
              <w:pStyle w:val="In-tableHeading"/>
              <w:jc w:val="left"/>
              <w:rPr>
                <w:b w:val="0"/>
                <w:bCs w:val="0"/>
                <w:lang w:val="en-AU"/>
              </w:rPr>
            </w:pPr>
            <w:r w:rsidRPr="0031419F">
              <w:rPr>
                <w:b w:val="0"/>
                <w:bCs w:val="0"/>
                <w:lang w:val="en-AU"/>
              </w:rPr>
              <w:t>High</w:t>
            </w:r>
            <w:r w:rsidR="00F04276" w:rsidRPr="0031419F">
              <w:rPr>
                <w:b w:val="0"/>
                <w:bCs w:val="0"/>
                <w:lang w:val="en-AU"/>
              </w:rPr>
              <w:t>, favours leniolisib</w:t>
            </w:r>
            <w:r w:rsidRPr="0031419F">
              <w:rPr>
                <w:b w:val="0"/>
                <w:bCs w:val="0"/>
                <w:lang w:val="en-AU"/>
              </w:rPr>
              <w:t>.</w:t>
            </w:r>
          </w:p>
          <w:p w14:paraId="20EF6343" w14:textId="4CE198B7" w:rsidR="00C576CB" w:rsidRPr="0031419F" w:rsidRDefault="00F04276" w:rsidP="00A06FB7">
            <w:pPr>
              <w:pStyle w:val="In-tableHeading"/>
              <w:jc w:val="left"/>
              <w:rPr>
                <w:b w:val="0"/>
                <w:bCs w:val="0"/>
                <w:lang w:val="en-AU"/>
              </w:rPr>
            </w:pPr>
            <w:r w:rsidRPr="0031419F">
              <w:rPr>
                <w:b w:val="0"/>
                <w:bCs w:val="0"/>
                <w:lang w:val="en-AU"/>
              </w:rPr>
              <w:t xml:space="preserve">Use of a </w:t>
            </w:r>
            <w:r w:rsidR="00116E16" w:rsidRPr="0031419F">
              <w:rPr>
                <w:b w:val="0"/>
                <w:bCs w:val="0"/>
                <w:lang w:val="en-AU"/>
              </w:rPr>
              <w:t>10-year</w:t>
            </w:r>
            <w:r w:rsidRPr="0031419F">
              <w:rPr>
                <w:b w:val="0"/>
                <w:bCs w:val="0"/>
                <w:lang w:val="en-AU"/>
              </w:rPr>
              <w:t xml:space="preserve"> time horizon increased the ICER by </w:t>
            </w:r>
            <w:r w:rsidR="001F60D7" w:rsidRPr="001F60D7">
              <w:rPr>
                <w:b w:val="0"/>
                <w:bCs w:val="0"/>
                <w:spacing w:val="51"/>
                <w:shd w:val="solid" w:color="000000" w:fill="000000"/>
                <w:fitText w:val="324" w:id="-629967613"/>
                <w:lang w:val="en-AU"/>
                <w14:textFill>
                  <w14:solidFill>
                    <w14:schemeClr w14:val="tx1">
                      <w14:alpha w14:val="100000"/>
                    </w14:schemeClr>
                  </w14:solidFill>
                </w14:textFill>
              </w:rPr>
              <w:t>|||</w:t>
            </w:r>
            <w:r w:rsidR="001F60D7" w:rsidRPr="001F60D7">
              <w:rPr>
                <w:b w:val="0"/>
                <w:bCs w:val="0"/>
                <w:spacing w:val="1"/>
                <w:shd w:val="solid" w:color="000000" w:fill="000000"/>
                <w:fitText w:val="324" w:id="-629967613"/>
                <w:lang w:val="en-AU"/>
                <w14:textFill>
                  <w14:solidFill>
                    <w14:schemeClr w14:val="tx1">
                      <w14:alpha w14:val="100000"/>
                    </w14:schemeClr>
                  </w14:solidFill>
                </w14:textFill>
              </w:rPr>
              <w:t>|</w:t>
            </w:r>
            <w:r w:rsidRPr="0031419F">
              <w:rPr>
                <w:b w:val="0"/>
                <w:bCs w:val="0"/>
                <w:lang w:val="en-AU"/>
              </w:rPr>
              <w:t xml:space="preserve">% and use of a </w:t>
            </w:r>
            <w:r w:rsidR="00760729" w:rsidRPr="0031419F">
              <w:rPr>
                <w:b w:val="0"/>
                <w:bCs w:val="0"/>
                <w:lang w:val="en-AU"/>
              </w:rPr>
              <w:t>20-year</w:t>
            </w:r>
            <w:r w:rsidRPr="0031419F">
              <w:rPr>
                <w:b w:val="0"/>
                <w:bCs w:val="0"/>
                <w:lang w:val="en-AU"/>
              </w:rPr>
              <w:t xml:space="preserve"> time horizon increased the ICER by </w:t>
            </w:r>
            <w:r w:rsidR="001F60D7" w:rsidRPr="001F60D7">
              <w:rPr>
                <w:b w:val="0"/>
                <w:bCs w:val="0"/>
                <w:spacing w:val="51"/>
                <w:shd w:val="solid" w:color="000000" w:fill="000000"/>
                <w:fitText w:val="324" w:id="-629967612"/>
                <w:lang w:val="en-AU"/>
                <w14:textFill>
                  <w14:solidFill>
                    <w14:schemeClr w14:val="tx1">
                      <w14:alpha w14:val="100000"/>
                    </w14:schemeClr>
                  </w14:solidFill>
                </w14:textFill>
              </w:rPr>
              <w:t>|||</w:t>
            </w:r>
            <w:r w:rsidR="001F60D7" w:rsidRPr="001F60D7">
              <w:rPr>
                <w:b w:val="0"/>
                <w:bCs w:val="0"/>
                <w:spacing w:val="1"/>
                <w:shd w:val="solid" w:color="000000" w:fill="000000"/>
                <w:fitText w:val="324" w:id="-629967612"/>
                <w:lang w:val="en-AU"/>
                <w14:textFill>
                  <w14:solidFill>
                    <w14:schemeClr w14:val="tx1">
                      <w14:alpha w14:val="100000"/>
                    </w14:schemeClr>
                  </w14:solidFill>
                </w14:textFill>
              </w:rPr>
              <w:t>|</w:t>
            </w:r>
            <w:r w:rsidRPr="0031419F">
              <w:rPr>
                <w:b w:val="0"/>
                <w:bCs w:val="0"/>
                <w:lang w:val="en-AU"/>
              </w:rPr>
              <w:t>%.</w:t>
            </w:r>
          </w:p>
        </w:tc>
      </w:tr>
      <w:tr w:rsidR="00C576CB" w:rsidRPr="0031419F" w14:paraId="6F519CBC" w14:textId="77777777" w:rsidTr="00A06FB7">
        <w:trPr>
          <w:tblHeader/>
        </w:trPr>
        <w:tc>
          <w:tcPr>
            <w:tcW w:w="626" w:type="pct"/>
            <w:vAlign w:val="center"/>
          </w:tcPr>
          <w:p w14:paraId="1575EE1E" w14:textId="2EE8FB3B" w:rsidR="00C576CB" w:rsidRPr="0031419F" w:rsidRDefault="002247D0" w:rsidP="00A06FB7">
            <w:pPr>
              <w:pStyle w:val="In-tableHeading"/>
              <w:jc w:val="left"/>
              <w:rPr>
                <w:b w:val="0"/>
                <w:bCs w:val="0"/>
                <w:lang w:val="en-AU"/>
              </w:rPr>
            </w:pPr>
            <w:r w:rsidRPr="0031419F">
              <w:rPr>
                <w:b w:val="0"/>
                <w:bCs w:val="0"/>
                <w:lang w:val="en-AU"/>
              </w:rPr>
              <w:t>Rates</w:t>
            </w:r>
            <w:r w:rsidR="00F04276" w:rsidRPr="0031419F">
              <w:rPr>
                <w:b w:val="0"/>
                <w:bCs w:val="0"/>
                <w:lang w:val="en-AU"/>
              </w:rPr>
              <w:t xml:space="preserve"> of manifestations</w:t>
            </w:r>
          </w:p>
        </w:tc>
        <w:tc>
          <w:tcPr>
            <w:tcW w:w="2830" w:type="pct"/>
            <w:vAlign w:val="center"/>
          </w:tcPr>
          <w:p w14:paraId="683CAEE4" w14:textId="129437BD" w:rsidR="00C576CB" w:rsidRPr="0031419F" w:rsidRDefault="00313654" w:rsidP="00A06FB7">
            <w:pPr>
              <w:pStyle w:val="In-tableHeading"/>
              <w:jc w:val="left"/>
              <w:rPr>
                <w:b w:val="0"/>
                <w:bCs w:val="0"/>
                <w:lang w:val="en-AU"/>
              </w:rPr>
            </w:pPr>
            <w:r w:rsidRPr="0031419F">
              <w:rPr>
                <w:b w:val="0"/>
                <w:bCs w:val="0"/>
                <w:lang w:val="en-AU"/>
              </w:rPr>
              <w:t xml:space="preserve">Reduction in manifestation rates were based primarily </w:t>
            </w:r>
            <w:r w:rsidR="00A06FB7" w:rsidRPr="0031419F">
              <w:rPr>
                <w:b w:val="0"/>
                <w:bCs w:val="0"/>
                <w:lang w:val="en-AU"/>
              </w:rPr>
              <w:t>on non-comparative single arm observational data</w:t>
            </w:r>
            <w:r w:rsidRPr="0031419F">
              <w:rPr>
                <w:b w:val="0"/>
                <w:bCs w:val="0"/>
                <w:lang w:val="en-AU"/>
              </w:rPr>
              <w:t>. Some of the inputs could not be verified, and some strong assumptions</w:t>
            </w:r>
            <w:r w:rsidR="00427624" w:rsidRPr="0031419F">
              <w:rPr>
                <w:b w:val="0"/>
                <w:bCs w:val="0"/>
                <w:lang w:val="en-AU"/>
              </w:rPr>
              <w:t xml:space="preserve"> were made </w:t>
            </w:r>
            <w:r w:rsidR="00E46B08">
              <w:rPr>
                <w:b w:val="0"/>
                <w:bCs w:val="0"/>
                <w:lang w:val="en-AU"/>
              </w:rPr>
              <w:t xml:space="preserve">in </w:t>
            </w:r>
            <w:r w:rsidR="00427624" w:rsidRPr="0031419F">
              <w:rPr>
                <w:b w:val="0"/>
                <w:bCs w:val="0"/>
                <w:lang w:val="en-AU"/>
              </w:rPr>
              <w:t>relat</w:t>
            </w:r>
            <w:r w:rsidR="00E46B08">
              <w:rPr>
                <w:b w:val="0"/>
                <w:bCs w:val="0"/>
                <w:lang w:val="en-AU"/>
              </w:rPr>
              <w:t>ion</w:t>
            </w:r>
            <w:r w:rsidR="00427624" w:rsidRPr="0031419F">
              <w:rPr>
                <w:b w:val="0"/>
                <w:bCs w:val="0"/>
                <w:lang w:val="en-AU"/>
              </w:rPr>
              <w:t xml:space="preserve"> to the reductions in incidence and resolution of manifestations for patients receiving leniolisib</w:t>
            </w:r>
            <w:r w:rsidRPr="0031419F">
              <w:rPr>
                <w:b w:val="0"/>
                <w:bCs w:val="0"/>
                <w:lang w:val="en-AU"/>
              </w:rPr>
              <w:t>, increasing uncertainty</w:t>
            </w:r>
            <w:r w:rsidR="00427624" w:rsidRPr="0031419F">
              <w:rPr>
                <w:b w:val="0"/>
                <w:bCs w:val="0"/>
                <w:lang w:val="en-AU"/>
              </w:rPr>
              <w:t xml:space="preserve">. </w:t>
            </w:r>
          </w:p>
        </w:tc>
        <w:tc>
          <w:tcPr>
            <w:tcW w:w="1544" w:type="pct"/>
            <w:vAlign w:val="center"/>
          </w:tcPr>
          <w:p w14:paraId="7CE2BC6A" w14:textId="773D0BFA" w:rsidR="00F04276" w:rsidRPr="0031419F" w:rsidRDefault="00A06FB7" w:rsidP="00A06FB7">
            <w:pPr>
              <w:pStyle w:val="In-tableHeading"/>
              <w:jc w:val="left"/>
              <w:rPr>
                <w:b w:val="0"/>
                <w:bCs w:val="0"/>
                <w:lang w:val="en-AU"/>
              </w:rPr>
            </w:pPr>
            <w:r w:rsidRPr="0031419F">
              <w:rPr>
                <w:b w:val="0"/>
                <w:bCs w:val="0"/>
                <w:lang w:val="en-AU"/>
              </w:rPr>
              <w:t>Moderate</w:t>
            </w:r>
            <w:r w:rsidR="00F04276" w:rsidRPr="0031419F">
              <w:rPr>
                <w:b w:val="0"/>
                <w:bCs w:val="0"/>
                <w:lang w:val="en-AU"/>
              </w:rPr>
              <w:t xml:space="preserve">, favours leniolisib. </w:t>
            </w:r>
          </w:p>
          <w:p w14:paraId="7B0E514B" w14:textId="3307271A" w:rsidR="00C576CB" w:rsidRPr="0031419F" w:rsidRDefault="00313654" w:rsidP="00A06FB7">
            <w:pPr>
              <w:pStyle w:val="In-tableHeading"/>
              <w:jc w:val="left"/>
              <w:rPr>
                <w:b w:val="0"/>
                <w:bCs w:val="0"/>
                <w:lang w:val="en-AU"/>
              </w:rPr>
            </w:pPr>
            <w:r w:rsidRPr="0031419F">
              <w:rPr>
                <w:b w:val="0"/>
                <w:bCs w:val="0"/>
                <w:lang w:val="en-AU"/>
              </w:rPr>
              <w:t>Assuming no difference in</w:t>
            </w:r>
            <w:r w:rsidR="00F04276" w:rsidRPr="0031419F">
              <w:rPr>
                <w:b w:val="0"/>
                <w:bCs w:val="0"/>
                <w:lang w:val="en-AU"/>
              </w:rPr>
              <w:t xml:space="preserve"> lymphoproliferation </w:t>
            </w:r>
            <w:r w:rsidRPr="0031419F">
              <w:rPr>
                <w:b w:val="0"/>
                <w:bCs w:val="0"/>
                <w:lang w:val="en-AU"/>
              </w:rPr>
              <w:t xml:space="preserve">(HR = 1 and 0% resolution) </w:t>
            </w:r>
            <w:r w:rsidR="00F04276" w:rsidRPr="0031419F">
              <w:rPr>
                <w:b w:val="0"/>
                <w:bCs w:val="0"/>
                <w:lang w:val="en-AU"/>
              </w:rPr>
              <w:t xml:space="preserve">increased the ICER by </w:t>
            </w:r>
            <w:r w:rsidR="001F60D7" w:rsidRPr="001F60D7">
              <w:rPr>
                <w:b w:val="0"/>
                <w:bCs w:val="0"/>
                <w:spacing w:val="51"/>
                <w:shd w:val="solid" w:color="000000" w:fill="000000"/>
                <w:fitText w:val="324" w:id="-629967611"/>
                <w:lang w:val="en-AU"/>
                <w14:textFill>
                  <w14:solidFill>
                    <w14:schemeClr w14:val="tx1">
                      <w14:alpha w14:val="100000"/>
                    </w14:schemeClr>
                  </w14:solidFill>
                </w14:textFill>
              </w:rPr>
              <w:t>|||</w:t>
            </w:r>
            <w:r w:rsidR="001F60D7" w:rsidRPr="001F60D7">
              <w:rPr>
                <w:b w:val="0"/>
                <w:bCs w:val="0"/>
                <w:spacing w:val="1"/>
                <w:shd w:val="solid" w:color="000000" w:fill="000000"/>
                <w:fitText w:val="324" w:id="-629967611"/>
                <w:lang w:val="en-AU"/>
                <w14:textFill>
                  <w14:solidFill>
                    <w14:schemeClr w14:val="tx1">
                      <w14:alpha w14:val="100000"/>
                    </w14:schemeClr>
                  </w14:solidFill>
                </w14:textFill>
              </w:rPr>
              <w:t>|</w:t>
            </w:r>
            <w:r w:rsidR="00F04276" w:rsidRPr="0031419F">
              <w:rPr>
                <w:b w:val="0"/>
                <w:bCs w:val="0"/>
                <w:lang w:val="en-AU"/>
              </w:rPr>
              <w:t xml:space="preserve">% and </w:t>
            </w:r>
            <w:r w:rsidRPr="0031419F">
              <w:rPr>
                <w:b w:val="0"/>
                <w:bCs w:val="0"/>
                <w:lang w:val="en-AU"/>
              </w:rPr>
              <w:t>assuming no difference in</w:t>
            </w:r>
            <w:r w:rsidR="00F04276" w:rsidRPr="0031419F">
              <w:rPr>
                <w:b w:val="0"/>
                <w:bCs w:val="0"/>
                <w:lang w:val="en-AU"/>
              </w:rPr>
              <w:t xml:space="preserve"> GI manifestations increased the ICER by </w:t>
            </w:r>
            <w:r w:rsidR="001F60D7" w:rsidRPr="001F60D7">
              <w:rPr>
                <w:b w:val="0"/>
                <w:bCs w:val="0"/>
                <w:spacing w:val="51"/>
                <w:shd w:val="solid" w:color="000000" w:fill="000000"/>
                <w:fitText w:val="324" w:id="-629967610"/>
                <w:lang w:val="en-AU"/>
                <w14:textFill>
                  <w14:solidFill>
                    <w14:schemeClr w14:val="tx1">
                      <w14:alpha w14:val="100000"/>
                    </w14:schemeClr>
                  </w14:solidFill>
                </w14:textFill>
              </w:rPr>
              <w:t>|||</w:t>
            </w:r>
            <w:r w:rsidR="001F60D7" w:rsidRPr="001F60D7">
              <w:rPr>
                <w:b w:val="0"/>
                <w:bCs w:val="0"/>
                <w:spacing w:val="1"/>
                <w:shd w:val="solid" w:color="000000" w:fill="000000"/>
                <w:fitText w:val="324" w:id="-629967610"/>
                <w:lang w:val="en-AU"/>
                <w14:textFill>
                  <w14:solidFill>
                    <w14:schemeClr w14:val="tx1">
                      <w14:alpha w14:val="100000"/>
                    </w14:schemeClr>
                  </w14:solidFill>
                </w14:textFill>
              </w:rPr>
              <w:t>|</w:t>
            </w:r>
            <w:r w:rsidR="00F04276" w:rsidRPr="0031419F">
              <w:rPr>
                <w:b w:val="0"/>
                <w:bCs w:val="0"/>
                <w:lang w:val="en-AU"/>
              </w:rPr>
              <w:t>%</w:t>
            </w:r>
            <w:r w:rsidR="005E46A5" w:rsidRPr="0031419F">
              <w:rPr>
                <w:b w:val="0"/>
                <w:bCs w:val="0"/>
                <w:lang w:val="en-AU"/>
              </w:rPr>
              <w:t>.</w:t>
            </w:r>
            <w:r w:rsidRPr="0031419F">
              <w:rPr>
                <w:b w:val="0"/>
                <w:bCs w:val="0"/>
                <w:lang w:val="en-AU"/>
              </w:rPr>
              <w:t xml:space="preserve"> Other manifestations each had an impact of around 5%</w:t>
            </w:r>
            <w:r w:rsidR="00E36D98" w:rsidRPr="0031419F">
              <w:rPr>
                <w:b w:val="0"/>
                <w:bCs w:val="0"/>
                <w:lang w:val="en-AU"/>
              </w:rPr>
              <w:t>.</w:t>
            </w:r>
          </w:p>
        </w:tc>
      </w:tr>
      <w:tr w:rsidR="007B5B04" w:rsidRPr="0031419F" w14:paraId="19DBF7FE" w14:textId="77777777" w:rsidTr="00A06FB7">
        <w:trPr>
          <w:tblHeader/>
        </w:trPr>
        <w:tc>
          <w:tcPr>
            <w:tcW w:w="626" w:type="pct"/>
            <w:tcBorders>
              <w:top w:val="single" w:sz="4" w:space="0" w:color="auto"/>
              <w:left w:val="single" w:sz="4" w:space="0" w:color="auto"/>
              <w:bottom w:val="single" w:sz="4" w:space="0" w:color="auto"/>
              <w:right w:val="single" w:sz="4" w:space="0" w:color="auto"/>
            </w:tcBorders>
            <w:vAlign w:val="center"/>
          </w:tcPr>
          <w:p w14:paraId="6EEBB87B" w14:textId="77777777" w:rsidR="007B5B04" w:rsidRPr="0031419F" w:rsidRDefault="007B5B04" w:rsidP="00A06FB7">
            <w:pPr>
              <w:pStyle w:val="In-tableHeading"/>
              <w:jc w:val="left"/>
              <w:rPr>
                <w:b w:val="0"/>
                <w:bCs w:val="0"/>
                <w:lang w:val="en-AU"/>
              </w:rPr>
            </w:pPr>
            <w:r w:rsidRPr="0031419F">
              <w:rPr>
                <w:b w:val="0"/>
                <w:bCs w:val="0"/>
                <w:lang w:val="en-AU"/>
              </w:rPr>
              <w:t>Utility decrements</w:t>
            </w:r>
          </w:p>
        </w:tc>
        <w:tc>
          <w:tcPr>
            <w:tcW w:w="2830" w:type="pct"/>
            <w:tcBorders>
              <w:top w:val="single" w:sz="4" w:space="0" w:color="auto"/>
              <w:left w:val="single" w:sz="4" w:space="0" w:color="auto"/>
              <w:bottom w:val="single" w:sz="4" w:space="0" w:color="auto"/>
              <w:right w:val="single" w:sz="4" w:space="0" w:color="auto"/>
            </w:tcBorders>
            <w:vAlign w:val="center"/>
          </w:tcPr>
          <w:p w14:paraId="64114636" w14:textId="715C283B" w:rsidR="007B5B04" w:rsidRPr="0031419F" w:rsidRDefault="007B5B04" w:rsidP="00A06FB7">
            <w:pPr>
              <w:pStyle w:val="In-tableHeading"/>
              <w:jc w:val="left"/>
              <w:rPr>
                <w:b w:val="0"/>
                <w:bCs w:val="0"/>
                <w:lang w:val="en-AU"/>
              </w:rPr>
            </w:pPr>
            <w:r w:rsidRPr="0031419F">
              <w:rPr>
                <w:b w:val="0"/>
                <w:bCs w:val="0"/>
                <w:lang w:val="en-AU"/>
              </w:rPr>
              <w:t xml:space="preserve">The model assumed that any severity reduction in manifestations associated with leniolisib treatment means the patient will not suffer any disutility from the manifestation (i.e. utility multiplier of 1 for the proportion who were assumed to be improved), which contributed to incremental utility differences between leniolisib and SoC in the manifestation tunnel states. </w:t>
            </w:r>
          </w:p>
        </w:tc>
        <w:tc>
          <w:tcPr>
            <w:tcW w:w="1544" w:type="pct"/>
            <w:tcBorders>
              <w:top w:val="single" w:sz="4" w:space="0" w:color="auto"/>
              <w:left w:val="single" w:sz="4" w:space="0" w:color="auto"/>
              <w:bottom w:val="single" w:sz="4" w:space="0" w:color="auto"/>
              <w:right w:val="single" w:sz="4" w:space="0" w:color="auto"/>
            </w:tcBorders>
            <w:vAlign w:val="center"/>
          </w:tcPr>
          <w:p w14:paraId="05BF6574" w14:textId="77777777" w:rsidR="007B5B04" w:rsidRPr="0031419F" w:rsidRDefault="007B5B04" w:rsidP="00A06FB7">
            <w:pPr>
              <w:pStyle w:val="In-tableHeading"/>
              <w:jc w:val="left"/>
              <w:rPr>
                <w:b w:val="0"/>
                <w:bCs w:val="0"/>
                <w:lang w:val="en-AU"/>
              </w:rPr>
            </w:pPr>
            <w:r w:rsidRPr="0031419F">
              <w:rPr>
                <w:b w:val="0"/>
                <w:bCs w:val="0"/>
                <w:lang w:val="en-AU"/>
              </w:rPr>
              <w:t>Moderate, favours leniolisib.</w:t>
            </w:r>
          </w:p>
          <w:p w14:paraId="1AA3D2D5" w14:textId="65D9093D" w:rsidR="007B5B04" w:rsidRPr="0031419F" w:rsidRDefault="007B5B04" w:rsidP="00A06FB7">
            <w:pPr>
              <w:pStyle w:val="In-tableHeading"/>
              <w:jc w:val="left"/>
              <w:rPr>
                <w:b w:val="0"/>
                <w:bCs w:val="0"/>
                <w:lang w:val="en-AU"/>
              </w:rPr>
            </w:pPr>
            <w:r w:rsidRPr="0031419F">
              <w:rPr>
                <w:b w:val="0"/>
                <w:bCs w:val="0"/>
                <w:lang w:val="en-AU"/>
              </w:rPr>
              <w:t xml:space="preserve">Use of a GI utility multiplier of 0.75 increased the ICER by </w:t>
            </w:r>
            <w:r w:rsidR="001F60D7" w:rsidRPr="001F60D7">
              <w:rPr>
                <w:b w:val="0"/>
                <w:bCs w:val="0"/>
                <w:spacing w:val="51"/>
                <w:shd w:val="solid" w:color="000000" w:fill="000000"/>
                <w:fitText w:val="324" w:id="-629967609"/>
                <w:lang w:val="en-AU"/>
                <w14:textFill>
                  <w14:solidFill>
                    <w14:schemeClr w14:val="tx1">
                      <w14:alpha w14:val="100000"/>
                    </w14:schemeClr>
                  </w14:solidFill>
                </w14:textFill>
              </w:rPr>
              <w:t>|||</w:t>
            </w:r>
            <w:r w:rsidR="001F60D7" w:rsidRPr="001F60D7">
              <w:rPr>
                <w:b w:val="0"/>
                <w:bCs w:val="0"/>
                <w:spacing w:val="1"/>
                <w:shd w:val="solid" w:color="000000" w:fill="000000"/>
                <w:fitText w:val="324" w:id="-629967609"/>
                <w:lang w:val="en-AU"/>
                <w14:textFill>
                  <w14:solidFill>
                    <w14:schemeClr w14:val="tx1">
                      <w14:alpha w14:val="100000"/>
                    </w14:schemeClr>
                  </w14:solidFill>
                </w14:textFill>
              </w:rPr>
              <w:t>|</w:t>
            </w:r>
            <w:r w:rsidRPr="0031419F">
              <w:rPr>
                <w:b w:val="0"/>
                <w:bCs w:val="0"/>
                <w:lang w:val="en-AU"/>
              </w:rPr>
              <w:t xml:space="preserve">% and use of a lymphoproliferation utility multiplier increased the ICER by </w:t>
            </w:r>
            <w:r w:rsidR="001F60D7" w:rsidRPr="001F60D7">
              <w:rPr>
                <w:b w:val="0"/>
                <w:bCs w:val="0"/>
                <w:spacing w:val="51"/>
                <w:shd w:val="solid" w:color="000000" w:fill="000000"/>
                <w:fitText w:val="324" w:id="-629967608"/>
                <w:lang w:val="en-AU"/>
                <w14:textFill>
                  <w14:solidFill>
                    <w14:schemeClr w14:val="tx1">
                      <w14:alpha w14:val="100000"/>
                    </w14:schemeClr>
                  </w14:solidFill>
                </w14:textFill>
              </w:rPr>
              <w:t>|||</w:t>
            </w:r>
            <w:r w:rsidR="001F60D7" w:rsidRPr="001F60D7">
              <w:rPr>
                <w:b w:val="0"/>
                <w:bCs w:val="0"/>
                <w:spacing w:val="1"/>
                <w:shd w:val="solid" w:color="000000" w:fill="000000"/>
                <w:fitText w:val="324" w:id="-629967608"/>
                <w:lang w:val="en-AU"/>
                <w14:textFill>
                  <w14:solidFill>
                    <w14:schemeClr w14:val="tx1">
                      <w14:alpha w14:val="100000"/>
                    </w14:schemeClr>
                  </w14:solidFill>
                </w14:textFill>
              </w:rPr>
              <w:t>|</w:t>
            </w:r>
            <w:r w:rsidRPr="0031419F">
              <w:rPr>
                <w:b w:val="0"/>
                <w:bCs w:val="0"/>
                <w:lang w:val="en-AU"/>
              </w:rPr>
              <w:t>%.</w:t>
            </w:r>
          </w:p>
        </w:tc>
      </w:tr>
      <w:tr w:rsidR="008E1D77" w:rsidRPr="0031419F" w14:paraId="743CCE17" w14:textId="77777777" w:rsidTr="00A06FB7">
        <w:trPr>
          <w:tblHeader/>
        </w:trPr>
        <w:tc>
          <w:tcPr>
            <w:tcW w:w="626" w:type="pct"/>
            <w:tcBorders>
              <w:top w:val="single" w:sz="4" w:space="0" w:color="auto"/>
              <w:left w:val="single" w:sz="4" w:space="0" w:color="auto"/>
              <w:bottom w:val="single" w:sz="4" w:space="0" w:color="auto"/>
              <w:right w:val="single" w:sz="4" w:space="0" w:color="auto"/>
            </w:tcBorders>
            <w:vAlign w:val="center"/>
          </w:tcPr>
          <w:p w14:paraId="56D8C2B6" w14:textId="1E7C16F3" w:rsidR="008E1D77" w:rsidRPr="0031419F" w:rsidRDefault="008E1D77" w:rsidP="00A06FB7">
            <w:pPr>
              <w:pStyle w:val="In-tableHeading"/>
              <w:jc w:val="left"/>
              <w:rPr>
                <w:b w:val="0"/>
                <w:bCs w:val="0"/>
                <w:lang w:val="en-AU"/>
              </w:rPr>
            </w:pPr>
            <w:r w:rsidRPr="0031419F">
              <w:rPr>
                <w:b w:val="0"/>
                <w:bCs w:val="0"/>
                <w:lang w:val="en-AU"/>
              </w:rPr>
              <w:t>Starting Age</w:t>
            </w:r>
          </w:p>
        </w:tc>
        <w:tc>
          <w:tcPr>
            <w:tcW w:w="2830" w:type="pct"/>
            <w:tcBorders>
              <w:top w:val="single" w:sz="4" w:space="0" w:color="auto"/>
              <w:left w:val="single" w:sz="4" w:space="0" w:color="auto"/>
              <w:bottom w:val="single" w:sz="4" w:space="0" w:color="auto"/>
              <w:right w:val="single" w:sz="4" w:space="0" w:color="auto"/>
            </w:tcBorders>
            <w:vAlign w:val="center"/>
          </w:tcPr>
          <w:p w14:paraId="54B293E3" w14:textId="04BFB14A" w:rsidR="008E1D77" w:rsidRPr="0031419F" w:rsidRDefault="008E1D77" w:rsidP="00A06FB7">
            <w:pPr>
              <w:pStyle w:val="In-tableHeading"/>
              <w:jc w:val="left"/>
              <w:rPr>
                <w:b w:val="0"/>
                <w:bCs w:val="0"/>
                <w:lang w:val="en-AU"/>
              </w:rPr>
            </w:pPr>
            <w:r w:rsidRPr="0031419F">
              <w:rPr>
                <w:b w:val="0"/>
                <w:bCs w:val="0"/>
                <w:lang w:val="en-AU"/>
              </w:rPr>
              <w:t xml:space="preserve">The submission </w:t>
            </w:r>
            <w:r w:rsidR="00AD6735" w:rsidRPr="0031419F">
              <w:rPr>
                <w:b w:val="0"/>
                <w:bCs w:val="0"/>
                <w:lang w:val="en-AU"/>
              </w:rPr>
              <w:t>assumed a start age of 15 years based on ESID registry data</w:t>
            </w:r>
            <w:r w:rsidR="00760729">
              <w:rPr>
                <w:b w:val="0"/>
                <w:bCs w:val="0"/>
                <w:lang w:val="en-AU"/>
              </w:rPr>
              <w:t>. H</w:t>
            </w:r>
            <w:r w:rsidR="00A24F5E" w:rsidRPr="0031419F">
              <w:rPr>
                <w:b w:val="0"/>
                <w:bCs w:val="0"/>
                <w:lang w:val="en-AU"/>
              </w:rPr>
              <w:t>owever</w:t>
            </w:r>
            <w:r w:rsidR="00760729">
              <w:rPr>
                <w:b w:val="0"/>
                <w:bCs w:val="0"/>
                <w:lang w:val="en-AU"/>
              </w:rPr>
              <w:t>,</w:t>
            </w:r>
            <w:r w:rsidR="00AD6735" w:rsidRPr="0031419F">
              <w:rPr>
                <w:b w:val="0"/>
                <w:bCs w:val="0"/>
                <w:lang w:val="en-AU"/>
              </w:rPr>
              <w:t xml:space="preserve"> the proposed </w:t>
            </w:r>
            <w:r w:rsidR="00A24F5E" w:rsidRPr="0031419F">
              <w:rPr>
                <w:b w:val="0"/>
                <w:bCs w:val="0"/>
                <w:lang w:val="en-AU"/>
              </w:rPr>
              <w:t xml:space="preserve">PBS </w:t>
            </w:r>
            <w:r w:rsidR="00AD6735" w:rsidRPr="0031419F">
              <w:rPr>
                <w:b w:val="0"/>
                <w:bCs w:val="0"/>
                <w:lang w:val="en-AU"/>
              </w:rPr>
              <w:t xml:space="preserve">restriction would allow patients to use leniolisib from age 12 years and </w:t>
            </w:r>
            <w:r w:rsidR="00A24F5E" w:rsidRPr="0031419F">
              <w:rPr>
                <w:b w:val="0"/>
                <w:bCs w:val="0"/>
                <w:lang w:val="en-AU"/>
              </w:rPr>
              <w:t xml:space="preserve">patients </w:t>
            </w:r>
            <w:r w:rsidR="00AD6735" w:rsidRPr="0031419F">
              <w:rPr>
                <w:b w:val="0"/>
                <w:bCs w:val="0"/>
                <w:lang w:val="en-AU"/>
              </w:rPr>
              <w:t>in the Australian APDS case series had a median age of 25 years.</w:t>
            </w:r>
          </w:p>
        </w:tc>
        <w:tc>
          <w:tcPr>
            <w:tcW w:w="1544" w:type="pct"/>
            <w:tcBorders>
              <w:top w:val="single" w:sz="4" w:space="0" w:color="auto"/>
              <w:left w:val="single" w:sz="4" w:space="0" w:color="auto"/>
              <w:bottom w:val="single" w:sz="4" w:space="0" w:color="auto"/>
              <w:right w:val="single" w:sz="4" w:space="0" w:color="auto"/>
            </w:tcBorders>
            <w:vAlign w:val="center"/>
          </w:tcPr>
          <w:p w14:paraId="61E04826" w14:textId="0AE39524" w:rsidR="008E1D77" w:rsidRPr="0031419F" w:rsidRDefault="008E1D77" w:rsidP="00A06FB7">
            <w:pPr>
              <w:pStyle w:val="In-tableHeading"/>
              <w:jc w:val="left"/>
              <w:rPr>
                <w:b w:val="0"/>
                <w:bCs w:val="0"/>
                <w:lang w:val="en-AU"/>
              </w:rPr>
            </w:pPr>
            <w:r w:rsidRPr="0031419F">
              <w:rPr>
                <w:b w:val="0"/>
                <w:bCs w:val="0"/>
                <w:lang w:val="en-AU"/>
              </w:rPr>
              <w:t xml:space="preserve">Moderate. Uncertain which direction it favours. Changing the start age to 12 years resulted in a </w:t>
            </w:r>
            <w:r w:rsidR="001F60D7" w:rsidRPr="001F60D7">
              <w:rPr>
                <w:b w:val="0"/>
                <w:bCs w:val="0"/>
                <w:spacing w:val="51"/>
                <w:shd w:val="solid" w:color="000000" w:fill="000000"/>
                <w:fitText w:val="324" w:id="-629967607"/>
                <w:lang w:val="en-AU"/>
                <w14:textFill>
                  <w14:solidFill>
                    <w14:schemeClr w14:val="tx1">
                      <w14:alpha w14:val="100000"/>
                    </w14:schemeClr>
                  </w14:solidFill>
                </w14:textFill>
              </w:rPr>
              <w:t>|||</w:t>
            </w:r>
            <w:r w:rsidR="001F60D7" w:rsidRPr="001F60D7">
              <w:rPr>
                <w:b w:val="0"/>
                <w:bCs w:val="0"/>
                <w:spacing w:val="1"/>
                <w:shd w:val="solid" w:color="000000" w:fill="000000"/>
                <w:fitText w:val="324" w:id="-629967607"/>
                <w:lang w:val="en-AU"/>
                <w14:textFill>
                  <w14:solidFill>
                    <w14:schemeClr w14:val="tx1">
                      <w14:alpha w14:val="100000"/>
                    </w14:schemeClr>
                  </w14:solidFill>
                </w14:textFill>
              </w:rPr>
              <w:t>|</w:t>
            </w:r>
            <w:r w:rsidRPr="0031419F">
              <w:rPr>
                <w:b w:val="0"/>
                <w:bCs w:val="0"/>
                <w:lang w:val="en-AU"/>
              </w:rPr>
              <w:t xml:space="preserve">% increase in the ICER, and changing the starting age to 25 years decreased the ICER By </w:t>
            </w:r>
            <w:r w:rsidR="001F60D7" w:rsidRPr="001F60D7">
              <w:rPr>
                <w:b w:val="0"/>
                <w:bCs w:val="0"/>
                <w:spacing w:val="51"/>
                <w:shd w:val="solid" w:color="000000" w:fill="000000"/>
                <w:fitText w:val="324" w:id="-629967606"/>
                <w:lang w:val="en-AU"/>
                <w14:textFill>
                  <w14:solidFill>
                    <w14:schemeClr w14:val="tx1">
                      <w14:alpha w14:val="100000"/>
                    </w14:schemeClr>
                  </w14:solidFill>
                </w14:textFill>
              </w:rPr>
              <w:t>|||</w:t>
            </w:r>
            <w:r w:rsidR="001F60D7" w:rsidRPr="001F60D7">
              <w:rPr>
                <w:b w:val="0"/>
                <w:bCs w:val="0"/>
                <w:spacing w:val="1"/>
                <w:shd w:val="solid" w:color="000000" w:fill="000000"/>
                <w:fitText w:val="324" w:id="-629967606"/>
                <w:lang w:val="en-AU"/>
                <w14:textFill>
                  <w14:solidFill>
                    <w14:schemeClr w14:val="tx1">
                      <w14:alpha w14:val="100000"/>
                    </w14:schemeClr>
                  </w14:solidFill>
                </w14:textFill>
              </w:rPr>
              <w:t>|</w:t>
            </w:r>
            <w:r w:rsidRPr="0031419F">
              <w:rPr>
                <w:b w:val="0"/>
                <w:bCs w:val="0"/>
                <w:lang w:val="en-AU"/>
              </w:rPr>
              <w:t>%.</w:t>
            </w:r>
          </w:p>
        </w:tc>
      </w:tr>
    </w:tbl>
    <w:p w14:paraId="6477CDE9" w14:textId="35DB46F2" w:rsidR="00313654" w:rsidRPr="0031419F" w:rsidRDefault="00313654" w:rsidP="003D1923">
      <w:pPr>
        <w:pStyle w:val="FooterTableFigure"/>
      </w:pPr>
      <w:r w:rsidRPr="0031419F">
        <w:t>HR = hazard ratio; GI = gastrointestinal; ICER = incremental cost effectiveness ratio; SoC = standard of care</w:t>
      </w:r>
    </w:p>
    <w:p w14:paraId="5E74DFD7" w14:textId="77777777" w:rsidR="001C570B" w:rsidRDefault="003D1923" w:rsidP="001C570B">
      <w:pPr>
        <w:pStyle w:val="FooterTableFigure"/>
      </w:pPr>
      <w:r w:rsidRPr="0031419F">
        <w:t xml:space="preserve">Source: </w:t>
      </w:r>
      <w:r w:rsidR="007B5B04" w:rsidRPr="0031419F">
        <w:t>Constructed du</w:t>
      </w:r>
      <w:r w:rsidR="00EC1E8A" w:rsidRPr="0031419F">
        <w:t xml:space="preserve">ring the evaluation using </w:t>
      </w:r>
      <w:r w:rsidR="00077CF2" w:rsidRPr="00A80AB6">
        <w:rPr>
          <w:i/>
          <w:iCs/>
        </w:rPr>
        <w:t>PHG LENIOLISIB CUA MODEL FINAL.xlsm</w:t>
      </w:r>
      <w:r w:rsidR="00EC1E8A" w:rsidRPr="0031419F">
        <w:t>.</w:t>
      </w:r>
      <w:r w:rsidR="001C570B" w:rsidRPr="001C570B">
        <w:t xml:space="preserve"> </w:t>
      </w:r>
    </w:p>
    <w:p w14:paraId="5312C5CD" w14:textId="0DCF72EC" w:rsidR="001C570B" w:rsidRPr="005125C2" w:rsidRDefault="001C570B" w:rsidP="001C570B">
      <w:pPr>
        <w:pStyle w:val="FooterTableFigure"/>
        <w:rPr>
          <w:i/>
          <w:iCs/>
        </w:rPr>
      </w:pPr>
      <w:r w:rsidRPr="005125C2">
        <w:rPr>
          <w:i/>
          <w:iCs/>
        </w:rPr>
        <w:t>The redacted values correspond to the following ranges:</w:t>
      </w:r>
    </w:p>
    <w:p w14:paraId="49997DAF" w14:textId="2702FD3A" w:rsidR="003D1923" w:rsidRPr="005125C2" w:rsidRDefault="001108D6" w:rsidP="001C570B">
      <w:pPr>
        <w:pStyle w:val="FooterTableFigure"/>
        <w:rPr>
          <w:i/>
          <w:iCs/>
        </w:rPr>
      </w:pPr>
      <w:r w:rsidRPr="00833316">
        <w:rPr>
          <w:i/>
          <w:iCs/>
          <w:vertAlign w:val="superscript"/>
        </w:rPr>
        <w:t>1</w:t>
      </w:r>
      <w:r w:rsidR="001C570B" w:rsidRPr="005125C2">
        <w:rPr>
          <w:i/>
          <w:iCs/>
        </w:rPr>
        <w:t xml:space="preserve"> $855,000 to &lt; $955,000</w:t>
      </w:r>
    </w:p>
    <w:p w14:paraId="2553B886" w14:textId="68AEEA9B" w:rsidR="00BF59F3" w:rsidRPr="0031419F" w:rsidRDefault="00BF59F3" w:rsidP="00175B80">
      <w:pPr>
        <w:pStyle w:val="3-BodyText"/>
        <w:keepNext/>
        <w:keepLines/>
        <w:spacing w:before="0" w:after="120"/>
      </w:pPr>
      <w:r w:rsidRPr="0031419F">
        <w:t xml:space="preserve">The submission presented a stepped economic evaluation </w:t>
      </w:r>
      <w:r w:rsidR="009D251A" w:rsidRPr="0031419F">
        <w:t>a</w:t>
      </w:r>
      <w:r w:rsidRPr="0031419F">
        <w:t xml:space="preserve">s presented in </w:t>
      </w:r>
      <w:r w:rsidR="00E40C5F" w:rsidRPr="0031419F">
        <w:fldChar w:fldCharType="begin" w:fldLock="1"/>
      </w:r>
      <w:r w:rsidR="00E40C5F" w:rsidRPr="0031419F">
        <w:instrText xml:space="preserve"> REF _Ref197977838 \h </w:instrText>
      </w:r>
      <w:r w:rsidR="0031419F" w:rsidRPr="0031419F">
        <w:instrText xml:space="preserve"> \* MERGEFORMAT </w:instrText>
      </w:r>
      <w:r w:rsidR="00E40C5F" w:rsidRPr="0031419F">
        <w:fldChar w:fldCharType="separate"/>
      </w:r>
      <w:r w:rsidR="00C34379" w:rsidRPr="0031419F">
        <w:t xml:space="preserve">Table </w:t>
      </w:r>
      <w:r w:rsidR="00C34379">
        <w:rPr>
          <w:noProof/>
        </w:rPr>
        <w:t>20</w:t>
      </w:r>
      <w:r w:rsidR="00E40C5F" w:rsidRPr="0031419F">
        <w:fldChar w:fldCharType="end"/>
      </w:r>
      <w:r w:rsidR="00053371" w:rsidRPr="0031419F">
        <w:t>.</w:t>
      </w:r>
      <w:r w:rsidR="00482991" w:rsidRPr="0031419F">
        <w:t xml:space="preserve"> </w:t>
      </w:r>
      <w:r w:rsidR="00D04A5B" w:rsidRPr="0031419F">
        <w:t>The results of the stepped economic evaluation could not be verified during the evaluation</w:t>
      </w:r>
      <w:r w:rsidR="00A82C6E" w:rsidRPr="0031419F">
        <w:t xml:space="preserve">. Only the final step could be replicated using the economic model provided. </w:t>
      </w:r>
      <w:r w:rsidR="00482991" w:rsidRPr="0031419F">
        <w:t xml:space="preserve">The base case ICER was </w:t>
      </w:r>
      <w:r w:rsidR="008E3769" w:rsidRPr="008E3769">
        <w:t>$855,000 to &lt; $955,000</w:t>
      </w:r>
      <w:r w:rsidR="004169D4" w:rsidRPr="0031419F">
        <w:t>/QALY</w:t>
      </w:r>
      <w:r w:rsidR="00482991" w:rsidRPr="0031419F">
        <w:t>.</w:t>
      </w:r>
    </w:p>
    <w:p w14:paraId="2A129654" w14:textId="08D62783" w:rsidR="00053371" w:rsidRPr="0031419F" w:rsidRDefault="00053371" w:rsidP="00175B80">
      <w:pPr>
        <w:pStyle w:val="Caption"/>
      </w:pPr>
      <w:bookmarkStart w:id="51" w:name="_Ref197977838"/>
      <w:r w:rsidRPr="0031419F">
        <w:t xml:space="preserve">Table </w:t>
      </w:r>
      <w:r w:rsidR="00C34379">
        <w:fldChar w:fldCharType="begin" w:fldLock="1"/>
      </w:r>
      <w:r w:rsidR="00C34379">
        <w:instrText xml:space="preserve"> SEQ Table \* ARABIC </w:instrText>
      </w:r>
      <w:r w:rsidR="00C34379">
        <w:fldChar w:fldCharType="separate"/>
      </w:r>
      <w:r w:rsidR="00C34379">
        <w:rPr>
          <w:noProof/>
        </w:rPr>
        <w:t>20</w:t>
      </w:r>
      <w:r w:rsidR="00C34379">
        <w:rPr>
          <w:noProof/>
        </w:rPr>
        <w:fldChar w:fldCharType="end"/>
      </w:r>
      <w:bookmarkEnd w:id="51"/>
      <w:r w:rsidRPr="0031419F">
        <w:t xml:space="preserve"> :Stepped economic evaluation</w:t>
      </w:r>
    </w:p>
    <w:tbl>
      <w:tblPr>
        <w:tblStyle w:val="TableGrid"/>
        <w:tblW w:w="9067" w:type="dxa"/>
        <w:tblCellMar>
          <w:left w:w="28" w:type="dxa"/>
          <w:right w:w="28" w:type="dxa"/>
        </w:tblCellMar>
        <w:tblLook w:val="04A0" w:firstRow="1" w:lastRow="0" w:firstColumn="1" w:lastColumn="0" w:noHBand="0" w:noVBand="1"/>
        <w:tblCaption w:val="Table 20 :Stepped economic evaluation"/>
      </w:tblPr>
      <w:tblGrid>
        <w:gridCol w:w="4381"/>
        <w:gridCol w:w="1562"/>
        <w:gridCol w:w="1562"/>
        <w:gridCol w:w="1562"/>
      </w:tblGrid>
      <w:tr w:rsidR="00053371" w:rsidRPr="0031419F" w14:paraId="372DAF81" w14:textId="77777777" w:rsidTr="001F60D7">
        <w:trPr>
          <w:trHeight w:val="70"/>
        </w:trPr>
        <w:tc>
          <w:tcPr>
            <w:tcW w:w="4381" w:type="dxa"/>
            <w:vAlign w:val="center"/>
          </w:tcPr>
          <w:p w14:paraId="281D7215" w14:textId="12D423A8" w:rsidR="00053371" w:rsidRPr="0031419F" w:rsidRDefault="00053371" w:rsidP="00175B80">
            <w:pPr>
              <w:pStyle w:val="In-tableHeading"/>
              <w:widowControl w:val="0"/>
              <w:rPr>
                <w:rFonts w:cstheme="minorHAnsi"/>
                <w:color w:val="222222"/>
              </w:rPr>
            </w:pPr>
            <w:r w:rsidRPr="0031419F">
              <w:t xml:space="preserve">Steps </w:t>
            </w:r>
          </w:p>
        </w:tc>
        <w:tc>
          <w:tcPr>
            <w:tcW w:w="1562" w:type="dxa"/>
            <w:tcBorders>
              <w:bottom w:val="single" w:sz="4" w:space="0" w:color="auto"/>
            </w:tcBorders>
            <w:vAlign w:val="center"/>
          </w:tcPr>
          <w:p w14:paraId="0CAE5551" w14:textId="4AAE1C8D" w:rsidR="00053371" w:rsidRPr="0031419F" w:rsidRDefault="00053371" w:rsidP="00175B80">
            <w:pPr>
              <w:pStyle w:val="In-tableHeading"/>
              <w:widowControl w:val="0"/>
              <w:rPr>
                <w:rFonts w:cstheme="minorHAnsi"/>
                <w:color w:val="222222"/>
              </w:rPr>
            </w:pPr>
            <w:r w:rsidRPr="0031419F">
              <w:t>Incremental costs</w:t>
            </w:r>
            <w:r w:rsidR="007A195F">
              <w:t xml:space="preserve"> ($)</w:t>
            </w:r>
          </w:p>
        </w:tc>
        <w:tc>
          <w:tcPr>
            <w:tcW w:w="1562" w:type="dxa"/>
            <w:vAlign w:val="center"/>
          </w:tcPr>
          <w:p w14:paraId="7D1A989C" w14:textId="63B0BB93" w:rsidR="00053371" w:rsidRPr="0031419F" w:rsidRDefault="00053371" w:rsidP="00175B80">
            <w:pPr>
              <w:pStyle w:val="In-tableHeading"/>
              <w:widowControl w:val="0"/>
            </w:pPr>
            <w:r w:rsidRPr="0031419F">
              <w:t>Incremental health outcomes</w:t>
            </w:r>
          </w:p>
        </w:tc>
        <w:tc>
          <w:tcPr>
            <w:tcW w:w="1562" w:type="dxa"/>
            <w:vAlign w:val="center"/>
          </w:tcPr>
          <w:p w14:paraId="170BB50F" w14:textId="5A33FF74" w:rsidR="00053371" w:rsidRPr="0031419F" w:rsidRDefault="00053371" w:rsidP="00175B80">
            <w:pPr>
              <w:pStyle w:val="In-tableHeading"/>
              <w:widowControl w:val="0"/>
              <w:rPr>
                <w:rFonts w:cstheme="minorHAnsi"/>
                <w:color w:val="222222"/>
              </w:rPr>
            </w:pPr>
            <w:r w:rsidRPr="0031419F">
              <w:t>ICER ($/QALYs)</w:t>
            </w:r>
          </w:p>
        </w:tc>
      </w:tr>
      <w:tr w:rsidR="00053371" w:rsidRPr="0031419F" w14:paraId="351CAB28" w14:textId="77777777" w:rsidTr="001F60D7">
        <w:trPr>
          <w:trHeight w:val="70"/>
        </w:trPr>
        <w:tc>
          <w:tcPr>
            <w:tcW w:w="4381" w:type="dxa"/>
            <w:vAlign w:val="center"/>
          </w:tcPr>
          <w:p w14:paraId="6EB2C466" w14:textId="42480482" w:rsidR="00053371" w:rsidRPr="0031419F" w:rsidRDefault="00D47DC3" w:rsidP="00175B80">
            <w:pPr>
              <w:pStyle w:val="Tabletext"/>
              <w:keepNext/>
              <w:keepLines/>
              <w:widowControl w:val="0"/>
              <w:rPr>
                <w:rFonts w:cstheme="minorHAnsi"/>
                <w:color w:val="222222"/>
              </w:rPr>
            </w:pPr>
            <w:r w:rsidRPr="0031419F">
              <w:rPr>
                <w:rFonts w:cstheme="minorHAnsi"/>
                <w:color w:val="222222"/>
              </w:rPr>
              <w:t xml:space="preserve">1) </w:t>
            </w:r>
            <w:r w:rsidR="00053371" w:rsidRPr="0031419F">
              <w:rPr>
                <w:rFonts w:cstheme="minorHAnsi"/>
                <w:color w:val="222222"/>
              </w:rPr>
              <w:t>Study 2201 Part II results and trial horizon</w:t>
            </w:r>
          </w:p>
        </w:tc>
        <w:tc>
          <w:tcPr>
            <w:tcW w:w="1562" w:type="dxa"/>
            <w:tcBorders>
              <w:bottom w:val="single" w:sz="4" w:space="0" w:color="auto"/>
            </w:tcBorders>
            <w:shd w:val="solid" w:color="000000" w:fill="000000"/>
            <w:vAlign w:val="center"/>
          </w:tcPr>
          <w:p w14:paraId="5B256368" w14:textId="2B353FF2"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1FADB2EC" w14:textId="47FB2375" w:rsidR="00053371" w:rsidRPr="0031419F" w:rsidRDefault="00053371" w:rsidP="00175B80">
            <w:pPr>
              <w:pStyle w:val="Tabletext"/>
              <w:keepNext/>
              <w:keepLines/>
              <w:widowControl w:val="0"/>
              <w:jc w:val="center"/>
              <w:rPr>
                <w:rFonts w:cstheme="minorHAnsi"/>
                <w:color w:val="222222"/>
              </w:rPr>
            </w:pPr>
            <w:r w:rsidRPr="0031419F">
              <w:rPr>
                <w:rFonts w:cstheme="minorHAnsi"/>
                <w:color w:val="222222"/>
              </w:rPr>
              <w:t>NA</w:t>
            </w:r>
          </w:p>
        </w:tc>
        <w:tc>
          <w:tcPr>
            <w:tcW w:w="1562" w:type="dxa"/>
            <w:vAlign w:val="center"/>
          </w:tcPr>
          <w:p w14:paraId="44636B6A" w14:textId="2A51479A" w:rsidR="00053371" w:rsidRPr="0031419F" w:rsidRDefault="00053371" w:rsidP="00175B80">
            <w:pPr>
              <w:pStyle w:val="Tabletext"/>
              <w:keepNext/>
              <w:keepLines/>
              <w:widowControl w:val="0"/>
              <w:jc w:val="center"/>
              <w:rPr>
                <w:rFonts w:cstheme="minorHAnsi"/>
                <w:color w:val="222222"/>
              </w:rPr>
            </w:pPr>
            <w:r w:rsidRPr="0031419F">
              <w:rPr>
                <w:rFonts w:cstheme="minorHAnsi"/>
                <w:color w:val="222222"/>
              </w:rPr>
              <w:t>NA</w:t>
            </w:r>
          </w:p>
        </w:tc>
      </w:tr>
      <w:tr w:rsidR="00053371" w:rsidRPr="0031419F" w14:paraId="65617437" w14:textId="77777777" w:rsidTr="001F60D7">
        <w:trPr>
          <w:trHeight w:val="70"/>
        </w:trPr>
        <w:tc>
          <w:tcPr>
            <w:tcW w:w="4381" w:type="dxa"/>
            <w:vAlign w:val="center"/>
          </w:tcPr>
          <w:p w14:paraId="27DEFBB8" w14:textId="3DFC89EE" w:rsidR="00053371" w:rsidRPr="0031419F" w:rsidRDefault="00D47DC3" w:rsidP="00175B80">
            <w:pPr>
              <w:pStyle w:val="Tabletext"/>
              <w:keepNext/>
              <w:keepLines/>
              <w:widowControl w:val="0"/>
              <w:rPr>
                <w:rFonts w:cstheme="minorHAnsi"/>
                <w:color w:val="222222"/>
              </w:rPr>
            </w:pPr>
            <w:r w:rsidRPr="0031419F">
              <w:rPr>
                <w:rFonts w:cstheme="minorHAnsi"/>
                <w:color w:val="222222"/>
              </w:rPr>
              <w:t xml:space="preserve">2) </w:t>
            </w:r>
            <w:r w:rsidR="00053371" w:rsidRPr="0031419F">
              <w:rPr>
                <w:rFonts w:cstheme="minorHAnsi"/>
                <w:color w:val="222222"/>
              </w:rPr>
              <w:t>Study 2201E1+EAP trial results included. 6-year time horizon</w:t>
            </w:r>
          </w:p>
        </w:tc>
        <w:tc>
          <w:tcPr>
            <w:tcW w:w="1562" w:type="dxa"/>
            <w:tcBorders>
              <w:bottom w:val="single" w:sz="4" w:space="0" w:color="auto"/>
            </w:tcBorders>
            <w:shd w:val="solid" w:color="000000" w:fill="000000"/>
            <w:vAlign w:val="center"/>
          </w:tcPr>
          <w:p w14:paraId="306B81AF" w14:textId="455FB3A3"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077D0AF2" w14:textId="20CC3E56" w:rsidR="00053371" w:rsidRPr="0031419F" w:rsidRDefault="00053371" w:rsidP="00175B80">
            <w:pPr>
              <w:pStyle w:val="Tabletext"/>
              <w:keepNext/>
              <w:keepLines/>
              <w:widowControl w:val="0"/>
              <w:jc w:val="center"/>
              <w:rPr>
                <w:rFonts w:cstheme="minorHAnsi"/>
                <w:color w:val="222222"/>
              </w:rPr>
            </w:pPr>
            <w:r w:rsidRPr="0031419F">
              <w:rPr>
                <w:rFonts w:cstheme="minorHAnsi"/>
                <w:color w:val="222222"/>
              </w:rPr>
              <w:t>NA</w:t>
            </w:r>
          </w:p>
        </w:tc>
        <w:tc>
          <w:tcPr>
            <w:tcW w:w="1562" w:type="dxa"/>
            <w:vAlign w:val="center"/>
          </w:tcPr>
          <w:p w14:paraId="275AE720" w14:textId="568021E3" w:rsidR="00053371" w:rsidRPr="0031419F" w:rsidRDefault="00053371" w:rsidP="00175B80">
            <w:pPr>
              <w:pStyle w:val="Tabletext"/>
              <w:keepNext/>
              <w:keepLines/>
              <w:widowControl w:val="0"/>
              <w:jc w:val="center"/>
              <w:rPr>
                <w:rFonts w:cstheme="minorHAnsi"/>
                <w:color w:val="222222"/>
              </w:rPr>
            </w:pPr>
            <w:r w:rsidRPr="0031419F">
              <w:rPr>
                <w:rFonts w:cstheme="minorHAnsi"/>
                <w:color w:val="222222"/>
              </w:rPr>
              <w:t>NA</w:t>
            </w:r>
          </w:p>
        </w:tc>
      </w:tr>
      <w:tr w:rsidR="00053371" w:rsidRPr="0031419F" w14:paraId="559DF6BD" w14:textId="77777777" w:rsidTr="001F60D7">
        <w:trPr>
          <w:trHeight w:val="70"/>
        </w:trPr>
        <w:tc>
          <w:tcPr>
            <w:tcW w:w="4381" w:type="dxa"/>
            <w:vAlign w:val="center"/>
          </w:tcPr>
          <w:p w14:paraId="66B447A8" w14:textId="2639442B" w:rsidR="00053371" w:rsidRPr="0031419F" w:rsidRDefault="00D47DC3" w:rsidP="00175B80">
            <w:pPr>
              <w:pStyle w:val="Tabletext"/>
              <w:keepNext/>
              <w:keepLines/>
              <w:widowControl w:val="0"/>
              <w:rPr>
                <w:rFonts w:cstheme="minorHAnsi"/>
                <w:color w:val="222222"/>
              </w:rPr>
            </w:pPr>
            <w:r w:rsidRPr="0031419F">
              <w:rPr>
                <w:rFonts w:cstheme="minorHAnsi"/>
                <w:color w:val="222222"/>
              </w:rPr>
              <w:t xml:space="preserve">3) </w:t>
            </w:r>
            <w:r w:rsidR="00053371" w:rsidRPr="0031419F">
              <w:rPr>
                <w:rFonts w:cstheme="minorHAnsi"/>
                <w:color w:val="222222"/>
              </w:rPr>
              <w:t>Introduction of ESID registry</w:t>
            </w:r>
          </w:p>
        </w:tc>
        <w:tc>
          <w:tcPr>
            <w:tcW w:w="1562" w:type="dxa"/>
            <w:tcBorders>
              <w:bottom w:val="single" w:sz="4" w:space="0" w:color="auto"/>
            </w:tcBorders>
            <w:shd w:val="solid" w:color="000000" w:fill="000000"/>
            <w:vAlign w:val="center"/>
          </w:tcPr>
          <w:p w14:paraId="2D2DE487" w14:textId="1CD833D1"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6A7727F8" w14:textId="6584C3D8" w:rsidR="00053371" w:rsidRPr="0031419F" w:rsidRDefault="00053371" w:rsidP="00175B80">
            <w:pPr>
              <w:pStyle w:val="Tabletext"/>
              <w:keepNext/>
              <w:keepLines/>
              <w:widowControl w:val="0"/>
              <w:jc w:val="center"/>
              <w:rPr>
                <w:rFonts w:cstheme="minorHAnsi"/>
                <w:color w:val="222222"/>
              </w:rPr>
            </w:pPr>
            <w:r w:rsidRPr="0031419F">
              <w:rPr>
                <w:rFonts w:cstheme="minorHAnsi"/>
                <w:color w:val="222222"/>
              </w:rPr>
              <w:t>0 LYs</w:t>
            </w:r>
          </w:p>
        </w:tc>
        <w:tc>
          <w:tcPr>
            <w:tcW w:w="1562" w:type="dxa"/>
            <w:vAlign w:val="center"/>
          </w:tcPr>
          <w:p w14:paraId="54A4E97B" w14:textId="13E17BCD" w:rsidR="00053371" w:rsidRPr="0031419F" w:rsidRDefault="00053371" w:rsidP="00175B80">
            <w:pPr>
              <w:pStyle w:val="Tabletext"/>
              <w:keepNext/>
              <w:keepLines/>
              <w:widowControl w:val="0"/>
              <w:jc w:val="center"/>
              <w:rPr>
                <w:rFonts w:cstheme="minorHAnsi"/>
                <w:color w:val="222222"/>
              </w:rPr>
            </w:pPr>
            <w:r w:rsidRPr="0031419F">
              <w:rPr>
                <w:rFonts w:cstheme="minorHAnsi"/>
                <w:color w:val="222222"/>
              </w:rPr>
              <w:t>NA</w:t>
            </w:r>
          </w:p>
        </w:tc>
      </w:tr>
      <w:tr w:rsidR="00053371" w:rsidRPr="0031419F" w14:paraId="43DB9D8F" w14:textId="77777777" w:rsidTr="001F60D7">
        <w:trPr>
          <w:trHeight w:val="70"/>
        </w:trPr>
        <w:tc>
          <w:tcPr>
            <w:tcW w:w="4381" w:type="dxa"/>
            <w:vAlign w:val="center"/>
          </w:tcPr>
          <w:p w14:paraId="280F8F72" w14:textId="07D242E0" w:rsidR="00053371" w:rsidRPr="0031419F" w:rsidRDefault="00D47DC3" w:rsidP="00175B80">
            <w:pPr>
              <w:pStyle w:val="Tabletext"/>
              <w:keepNext/>
              <w:keepLines/>
              <w:widowControl w:val="0"/>
              <w:rPr>
                <w:rFonts w:cstheme="minorHAnsi"/>
                <w:color w:val="222222"/>
              </w:rPr>
            </w:pPr>
            <w:r w:rsidRPr="0031419F">
              <w:rPr>
                <w:rFonts w:cstheme="minorHAnsi"/>
                <w:color w:val="222222"/>
              </w:rPr>
              <w:t xml:space="preserve">4) </w:t>
            </w:r>
            <w:r w:rsidR="00053371" w:rsidRPr="0031419F">
              <w:rPr>
                <w:rFonts w:cstheme="minorHAnsi"/>
                <w:color w:val="222222"/>
              </w:rPr>
              <w:t>Introduction of utilities and manifestations costs</w:t>
            </w:r>
          </w:p>
        </w:tc>
        <w:tc>
          <w:tcPr>
            <w:tcW w:w="1562" w:type="dxa"/>
            <w:tcBorders>
              <w:bottom w:val="single" w:sz="4" w:space="0" w:color="auto"/>
            </w:tcBorders>
            <w:shd w:val="solid" w:color="000000" w:fill="000000"/>
            <w:vAlign w:val="center"/>
          </w:tcPr>
          <w:p w14:paraId="77FED9A2" w14:textId="2BDB64ED"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143CD4EF" w14:textId="6B1A84C7" w:rsidR="00053371" w:rsidRPr="0031419F" w:rsidRDefault="00053371" w:rsidP="00175B80">
            <w:pPr>
              <w:pStyle w:val="Tabletext"/>
              <w:keepNext/>
              <w:keepLines/>
              <w:widowControl w:val="0"/>
              <w:jc w:val="center"/>
              <w:rPr>
                <w:rFonts w:cstheme="minorHAnsi"/>
                <w:color w:val="222222"/>
              </w:rPr>
            </w:pPr>
            <w:r w:rsidRPr="0031419F">
              <w:t>0.15 QALYs</w:t>
            </w:r>
          </w:p>
        </w:tc>
        <w:tc>
          <w:tcPr>
            <w:tcW w:w="1562" w:type="dxa"/>
            <w:vAlign w:val="center"/>
          </w:tcPr>
          <w:p w14:paraId="06F01829" w14:textId="71090DD6" w:rsidR="00053371" w:rsidRPr="007A195F" w:rsidRDefault="001F60D7" w:rsidP="00175B80">
            <w:pPr>
              <w:pStyle w:val="Tabletext"/>
              <w:keepNext/>
              <w:keepLines/>
              <w:widowControl w:val="0"/>
              <w:jc w:val="center"/>
              <w:rPr>
                <w:rFonts w:cstheme="minorHAnsi"/>
                <w:color w:val="222222"/>
                <w:highlight w:val="darkGray"/>
              </w:rPr>
            </w:pPr>
            <w:r w:rsidRPr="001F60D7">
              <w:rPr>
                <w:shd w:val="solid" w:color="000000" w:fill="000000"/>
                <w14:textFill>
                  <w14:solidFill>
                    <w14:schemeClr w14:val="tx1">
                      <w14:alpha w14:val="100000"/>
                    </w14:schemeClr>
                  </w14:solidFill>
                </w14:textFill>
              </w:rPr>
              <w:t>|</w:t>
            </w:r>
            <w:r w:rsidR="003B053F" w:rsidRPr="003B053F">
              <w:rPr>
                <w:vertAlign w:val="superscript"/>
              </w:rPr>
              <w:t>1</w:t>
            </w:r>
          </w:p>
        </w:tc>
      </w:tr>
      <w:tr w:rsidR="00053371" w:rsidRPr="0031419F" w14:paraId="0F9F7634" w14:textId="77777777" w:rsidTr="001F60D7">
        <w:trPr>
          <w:trHeight w:val="111"/>
        </w:trPr>
        <w:tc>
          <w:tcPr>
            <w:tcW w:w="4381" w:type="dxa"/>
            <w:vAlign w:val="center"/>
          </w:tcPr>
          <w:p w14:paraId="5B38476C" w14:textId="72BC2258" w:rsidR="00053371" w:rsidRPr="0031419F" w:rsidRDefault="00D47DC3" w:rsidP="00175B80">
            <w:pPr>
              <w:pStyle w:val="Tabletext"/>
              <w:keepNext/>
              <w:keepLines/>
              <w:widowControl w:val="0"/>
              <w:rPr>
                <w:rFonts w:cstheme="minorHAnsi"/>
                <w:color w:val="222222"/>
              </w:rPr>
            </w:pPr>
            <w:r w:rsidRPr="0031419F">
              <w:rPr>
                <w:rFonts w:cstheme="minorHAnsi"/>
                <w:color w:val="222222"/>
              </w:rPr>
              <w:t xml:space="preserve">5) </w:t>
            </w:r>
            <w:r w:rsidR="00053371" w:rsidRPr="0031419F">
              <w:rPr>
                <w:rFonts w:cstheme="minorHAnsi"/>
                <w:color w:val="222222"/>
              </w:rPr>
              <w:t>Introduction of HRs, resolution and reduction of severity of manifestations for leniolisib</w:t>
            </w:r>
          </w:p>
        </w:tc>
        <w:tc>
          <w:tcPr>
            <w:tcW w:w="1562" w:type="dxa"/>
            <w:tcBorders>
              <w:bottom w:val="single" w:sz="4" w:space="0" w:color="auto"/>
            </w:tcBorders>
            <w:shd w:val="solid" w:color="000000" w:fill="000000"/>
            <w:vAlign w:val="center"/>
          </w:tcPr>
          <w:p w14:paraId="1918D739" w14:textId="4170FDC8"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2A2BE5E7" w14:textId="4923C949" w:rsidR="00053371" w:rsidRPr="0031419F" w:rsidRDefault="00053371" w:rsidP="00175B80">
            <w:pPr>
              <w:pStyle w:val="Tabletext"/>
              <w:keepNext/>
              <w:keepLines/>
              <w:widowControl w:val="0"/>
              <w:jc w:val="center"/>
              <w:rPr>
                <w:rFonts w:cstheme="minorHAnsi"/>
                <w:color w:val="222222"/>
              </w:rPr>
            </w:pPr>
            <w:r w:rsidRPr="0031419F">
              <w:t>1.27 QALYs</w:t>
            </w:r>
          </w:p>
        </w:tc>
        <w:tc>
          <w:tcPr>
            <w:tcW w:w="1562" w:type="dxa"/>
            <w:vAlign w:val="center"/>
          </w:tcPr>
          <w:p w14:paraId="69056924" w14:textId="4BBBE7E9" w:rsidR="00053371" w:rsidRPr="007A195F" w:rsidRDefault="001F60D7" w:rsidP="00175B80">
            <w:pPr>
              <w:pStyle w:val="Tabletext"/>
              <w:keepNext/>
              <w:keepLines/>
              <w:widowControl w:val="0"/>
              <w:jc w:val="center"/>
              <w:rPr>
                <w:rFonts w:cstheme="minorHAnsi"/>
                <w:color w:val="222222"/>
                <w:highlight w:val="darkGray"/>
              </w:rPr>
            </w:pPr>
            <w:r w:rsidRPr="001F60D7">
              <w:rPr>
                <w:shd w:val="solid" w:color="000000" w:fill="000000"/>
                <w14:textFill>
                  <w14:solidFill>
                    <w14:schemeClr w14:val="tx1">
                      <w14:alpha w14:val="100000"/>
                    </w14:schemeClr>
                  </w14:solidFill>
                </w14:textFill>
              </w:rPr>
              <w:t>|</w:t>
            </w:r>
            <w:r w:rsidR="00F86E66" w:rsidRPr="003B053F">
              <w:rPr>
                <w:vertAlign w:val="superscript"/>
              </w:rPr>
              <w:t>1</w:t>
            </w:r>
          </w:p>
        </w:tc>
      </w:tr>
      <w:tr w:rsidR="00053371" w:rsidRPr="0031419F" w14:paraId="4ED89475" w14:textId="77777777" w:rsidTr="001F60D7">
        <w:trPr>
          <w:trHeight w:val="70"/>
        </w:trPr>
        <w:tc>
          <w:tcPr>
            <w:tcW w:w="4381" w:type="dxa"/>
            <w:vAlign w:val="center"/>
          </w:tcPr>
          <w:p w14:paraId="7386607C" w14:textId="159A8F3C" w:rsidR="00053371" w:rsidRPr="0031419F" w:rsidRDefault="007A6438" w:rsidP="00175B80">
            <w:pPr>
              <w:pStyle w:val="Tabletext"/>
              <w:keepNext/>
              <w:keepLines/>
              <w:widowControl w:val="0"/>
              <w:rPr>
                <w:rFonts w:cstheme="minorHAnsi"/>
                <w:color w:val="222222"/>
              </w:rPr>
            </w:pPr>
            <w:r w:rsidRPr="0031419F">
              <w:rPr>
                <w:rFonts w:cstheme="minorHAnsi"/>
                <w:color w:val="222222"/>
              </w:rPr>
              <w:t>6) Introduction</w:t>
            </w:r>
            <w:r w:rsidR="00053371" w:rsidRPr="0031419F">
              <w:rPr>
                <w:rFonts w:cstheme="minorHAnsi"/>
                <w:color w:val="222222"/>
              </w:rPr>
              <w:t xml:space="preserve"> of relative risk of mortality versus the general population for leniolisib</w:t>
            </w:r>
          </w:p>
        </w:tc>
        <w:tc>
          <w:tcPr>
            <w:tcW w:w="1562" w:type="dxa"/>
            <w:tcBorders>
              <w:bottom w:val="single" w:sz="4" w:space="0" w:color="auto"/>
            </w:tcBorders>
            <w:shd w:val="solid" w:color="000000" w:fill="000000"/>
            <w:vAlign w:val="center"/>
          </w:tcPr>
          <w:p w14:paraId="05306CB6" w14:textId="71860B0E"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62781BBD" w14:textId="64402739" w:rsidR="00053371" w:rsidRPr="0031419F" w:rsidRDefault="00053371" w:rsidP="00175B80">
            <w:pPr>
              <w:pStyle w:val="Tabletext"/>
              <w:keepNext/>
              <w:keepLines/>
              <w:widowControl w:val="0"/>
              <w:jc w:val="center"/>
              <w:rPr>
                <w:rFonts w:cstheme="minorHAnsi"/>
                <w:color w:val="222222"/>
              </w:rPr>
            </w:pPr>
            <w:r w:rsidRPr="0031419F">
              <w:t>1.73 QALYs</w:t>
            </w:r>
          </w:p>
        </w:tc>
        <w:tc>
          <w:tcPr>
            <w:tcW w:w="1562" w:type="dxa"/>
            <w:tcBorders>
              <w:bottom w:val="single" w:sz="4" w:space="0" w:color="auto"/>
            </w:tcBorders>
            <w:vAlign w:val="center"/>
          </w:tcPr>
          <w:p w14:paraId="2DC738BE" w14:textId="227C6D9E" w:rsidR="00053371" w:rsidRPr="007A195F" w:rsidRDefault="001F60D7" w:rsidP="00175B80">
            <w:pPr>
              <w:pStyle w:val="Tabletext"/>
              <w:keepNext/>
              <w:keepLines/>
              <w:widowControl w:val="0"/>
              <w:jc w:val="center"/>
              <w:rPr>
                <w:rFonts w:cstheme="minorHAnsi"/>
                <w:color w:val="222222"/>
                <w:highlight w:val="darkGray"/>
              </w:rPr>
            </w:pPr>
            <w:r w:rsidRPr="001F60D7">
              <w:rPr>
                <w:shd w:val="solid" w:color="000000" w:fill="000000"/>
                <w14:textFill>
                  <w14:solidFill>
                    <w14:schemeClr w14:val="tx1">
                      <w14:alpha w14:val="100000"/>
                    </w14:schemeClr>
                  </w14:solidFill>
                </w14:textFill>
              </w:rPr>
              <w:t>|</w:t>
            </w:r>
            <w:r w:rsidR="00F86E66" w:rsidRPr="003B053F">
              <w:rPr>
                <w:vertAlign w:val="superscript"/>
              </w:rPr>
              <w:t>1</w:t>
            </w:r>
          </w:p>
        </w:tc>
      </w:tr>
      <w:tr w:rsidR="00053371" w:rsidRPr="0031419F" w14:paraId="703B2CCB" w14:textId="77777777" w:rsidTr="001F60D7">
        <w:trPr>
          <w:trHeight w:val="70"/>
        </w:trPr>
        <w:tc>
          <w:tcPr>
            <w:tcW w:w="4381" w:type="dxa"/>
            <w:vAlign w:val="center"/>
          </w:tcPr>
          <w:p w14:paraId="65C438A0" w14:textId="75D1AC09" w:rsidR="00053371" w:rsidRPr="0031419F" w:rsidRDefault="00D47DC3" w:rsidP="00175B80">
            <w:pPr>
              <w:pStyle w:val="Tabletext"/>
              <w:keepNext/>
              <w:keepLines/>
              <w:widowControl w:val="0"/>
              <w:rPr>
                <w:rFonts w:cstheme="minorHAnsi"/>
                <w:color w:val="222222"/>
              </w:rPr>
            </w:pPr>
            <w:r w:rsidRPr="0031419F">
              <w:rPr>
                <w:rFonts w:cstheme="minorHAnsi"/>
                <w:color w:val="222222"/>
              </w:rPr>
              <w:t xml:space="preserve">7) </w:t>
            </w:r>
            <w:r w:rsidR="00053371" w:rsidRPr="0031419F">
              <w:rPr>
                <w:rFonts w:cstheme="minorHAnsi"/>
                <w:color w:val="222222"/>
              </w:rPr>
              <w:t>Imputation and extrapolation to a lifetime horizon</w:t>
            </w:r>
          </w:p>
        </w:tc>
        <w:tc>
          <w:tcPr>
            <w:tcW w:w="1562" w:type="dxa"/>
            <w:shd w:val="solid" w:color="000000" w:fill="000000"/>
            <w:vAlign w:val="center"/>
          </w:tcPr>
          <w:p w14:paraId="33BD3016" w14:textId="056C8BB5"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c>
          <w:tcPr>
            <w:tcW w:w="1562" w:type="dxa"/>
            <w:vAlign w:val="center"/>
          </w:tcPr>
          <w:p w14:paraId="39DB8C83" w14:textId="46597D69" w:rsidR="00053371" w:rsidRPr="0031419F" w:rsidRDefault="00053371" w:rsidP="00175B80">
            <w:pPr>
              <w:pStyle w:val="Tabletext"/>
              <w:keepNext/>
              <w:keepLines/>
              <w:widowControl w:val="0"/>
              <w:jc w:val="center"/>
              <w:rPr>
                <w:rFonts w:cstheme="minorHAnsi"/>
                <w:color w:val="222222"/>
              </w:rPr>
            </w:pPr>
            <w:r w:rsidRPr="0031419F">
              <w:t>7.13 QALYs</w:t>
            </w:r>
          </w:p>
        </w:tc>
        <w:tc>
          <w:tcPr>
            <w:tcW w:w="1562" w:type="dxa"/>
            <w:shd w:val="solid" w:color="000000" w:fill="000000"/>
            <w:vAlign w:val="center"/>
          </w:tcPr>
          <w:p w14:paraId="7BEA8D49" w14:textId="0FCC03D8" w:rsidR="00053371" w:rsidRPr="007A195F" w:rsidRDefault="001F60D7" w:rsidP="00175B80">
            <w:pPr>
              <w:pStyle w:val="Tabletext"/>
              <w:keepNext/>
              <w:keepLines/>
              <w:widowControl w:val="0"/>
              <w:jc w:val="center"/>
              <w:rPr>
                <w:rFonts w:cstheme="minorHAnsi"/>
                <w:color w:val="222222"/>
                <w:highlight w:val="darkGray"/>
              </w:rPr>
            </w:pPr>
            <w:r w:rsidRPr="001F60D7">
              <w:rPr>
                <w14:textFill>
                  <w14:solidFill>
                    <w14:schemeClr w14:val="tx1">
                      <w14:alpha w14:val="100000"/>
                    </w14:schemeClr>
                  </w14:solidFill>
                </w14:textFill>
              </w:rPr>
              <w:t>|</w:t>
            </w:r>
          </w:p>
        </w:tc>
      </w:tr>
    </w:tbl>
    <w:p w14:paraId="041306FF" w14:textId="41932865" w:rsidR="00BF59F3" w:rsidRPr="0031419F" w:rsidRDefault="00BF59F3" w:rsidP="00175B80">
      <w:pPr>
        <w:pStyle w:val="TableFigureFooter"/>
        <w:keepNext/>
        <w:rPr>
          <w:lang w:val="en-AU"/>
        </w:rPr>
      </w:pPr>
      <w:r w:rsidRPr="0031419F">
        <w:rPr>
          <w:lang w:val="en-AU"/>
        </w:rPr>
        <w:t>ICER = incremental cost-effectiveness ratios; LY</w:t>
      </w:r>
      <w:r w:rsidR="00053371" w:rsidRPr="0031419F">
        <w:rPr>
          <w:lang w:val="en-AU"/>
        </w:rPr>
        <w:t>s</w:t>
      </w:r>
      <w:r w:rsidRPr="0031419F">
        <w:rPr>
          <w:lang w:val="en-AU"/>
        </w:rPr>
        <w:t xml:space="preserve"> = life year</w:t>
      </w:r>
      <w:r w:rsidR="00053371" w:rsidRPr="0031419F">
        <w:rPr>
          <w:lang w:val="en-AU"/>
        </w:rPr>
        <w:t>s</w:t>
      </w:r>
      <w:r w:rsidRPr="0031419F">
        <w:rPr>
          <w:lang w:val="en-AU"/>
        </w:rPr>
        <w:t xml:space="preserve">; </w:t>
      </w:r>
      <w:r w:rsidR="00053371" w:rsidRPr="0031419F">
        <w:rPr>
          <w:lang w:val="en-AU"/>
        </w:rPr>
        <w:t xml:space="preserve">NA = not applicable; </w:t>
      </w:r>
      <w:r w:rsidRPr="0031419F">
        <w:rPr>
          <w:lang w:val="en-AU"/>
        </w:rPr>
        <w:t>QALYs = quality adjusted life years;</w:t>
      </w:r>
      <w:r w:rsidR="00053371" w:rsidRPr="0031419F">
        <w:rPr>
          <w:lang w:val="en-AU"/>
        </w:rPr>
        <w:t xml:space="preserve"> </w:t>
      </w:r>
      <w:r w:rsidRPr="0031419F">
        <w:rPr>
          <w:lang w:val="en-AU"/>
        </w:rPr>
        <w:t>SoC = standard of care</w:t>
      </w:r>
    </w:p>
    <w:p w14:paraId="312C7FDC" w14:textId="77777777" w:rsidR="00D47DC3" w:rsidRPr="0031419F" w:rsidRDefault="00BF59F3" w:rsidP="00175B80">
      <w:pPr>
        <w:pStyle w:val="TableFigureFooter"/>
        <w:keepNext/>
        <w:rPr>
          <w:lang w:val="en-AU"/>
        </w:rPr>
      </w:pPr>
      <w:r w:rsidRPr="0031419F">
        <w:rPr>
          <w:lang w:val="en-AU"/>
        </w:rPr>
        <w:t>Source: Table 3.44, pp 266 of the submission</w:t>
      </w:r>
    </w:p>
    <w:p w14:paraId="2F7D7BCA" w14:textId="77777777" w:rsidR="008E2013" w:rsidRDefault="00D47DC3" w:rsidP="00175B80">
      <w:pPr>
        <w:pStyle w:val="TableFigureFooter"/>
        <w:keepNext/>
      </w:pPr>
      <w:r w:rsidRPr="0031419F">
        <w:rPr>
          <w:lang w:val="en-AU"/>
        </w:rPr>
        <w:t>Note: with the exception of step 7 (the base case), the results of the other steps could not be verified during the evaluation</w:t>
      </w:r>
      <w:r w:rsidR="008E2013" w:rsidRPr="008E2013">
        <w:t xml:space="preserve"> </w:t>
      </w:r>
    </w:p>
    <w:p w14:paraId="3407FF03" w14:textId="30BEB33B" w:rsidR="003B053F" w:rsidRPr="00026CFC" w:rsidRDefault="008E2013" w:rsidP="00175B80">
      <w:pPr>
        <w:pStyle w:val="TableFigureFooter"/>
        <w:keepNext/>
        <w:rPr>
          <w:i/>
          <w:iCs/>
          <w:lang w:val="en-AU"/>
        </w:rPr>
      </w:pPr>
      <w:r w:rsidRPr="00026CFC">
        <w:rPr>
          <w:i/>
          <w:iCs/>
          <w:lang w:val="en-AU"/>
        </w:rPr>
        <w:t>The redacted values correspond to the following ranges:</w:t>
      </w:r>
    </w:p>
    <w:p w14:paraId="7999EBFD" w14:textId="77777777" w:rsidR="007C5849" w:rsidRPr="00026CFC" w:rsidRDefault="003B053F" w:rsidP="00175B80">
      <w:pPr>
        <w:pStyle w:val="TableFigureFooter"/>
        <w:keepNext/>
        <w:rPr>
          <w:i/>
          <w:iCs/>
          <w:lang w:val="en-AU"/>
        </w:rPr>
      </w:pPr>
      <w:r w:rsidRPr="00833316">
        <w:rPr>
          <w:i/>
          <w:iCs/>
          <w:vertAlign w:val="superscript"/>
          <w:lang w:val="en-AU"/>
        </w:rPr>
        <w:t xml:space="preserve">1 </w:t>
      </w:r>
      <w:r w:rsidRPr="00026CFC">
        <w:rPr>
          <w:i/>
          <w:iCs/>
          <w:lang w:val="en-AU"/>
        </w:rPr>
        <w:t>&gt; $1,055,000</w:t>
      </w:r>
      <w:r w:rsidR="007C5849" w:rsidRPr="00026CFC">
        <w:rPr>
          <w:i/>
          <w:iCs/>
          <w:lang w:val="en-AU"/>
        </w:rPr>
        <w:t xml:space="preserve"> </w:t>
      </w:r>
    </w:p>
    <w:p w14:paraId="421A542F" w14:textId="0914AF68" w:rsidR="00BF59F3" w:rsidRPr="00026CFC" w:rsidRDefault="007C5849" w:rsidP="00175B80">
      <w:pPr>
        <w:pStyle w:val="TableFigureFooter"/>
        <w:keepNext/>
        <w:rPr>
          <w:i/>
          <w:iCs/>
          <w:lang w:val="en-AU"/>
        </w:rPr>
      </w:pPr>
      <w:r w:rsidRPr="00833316">
        <w:rPr>
          <w:i/>
          <w:iCs/>
          <w:vertAlign w:val="superscript"/>
          <w:lang w:val="en-AU"/>
        </w:rPr>
        <w:t>2</w:t>
      </w:r>
      <w:r w:rsidRPr="00026CFC">
        <w:rPr>
          <w:i/>
          <w:iCs/>
          <w:lang w:val="en-AU"/>
        </w:rPr>
        <w:t xml:space="preserve"> $855,000 to &lt; $955,000 </w:t>
      </w:r>
    </w:p>
    <w:p w14:paraId="3E9141AD" w14:textId="3DC8D7D3" w:rsidR="003D1923" w:rsidRPr="0031419F" w:rsidRDefault="003D1923" w:rsidP="003D1923">
      <w:pPr>
        <w:pStyle w:val="3-BodyText"/>
      </w:pPr>
      <w:r w:rsidRPr="0031419F">
        <w:t xml:space="preserve">The results of key sensitivity analyses are summarised in </w:t>
      </w:r>
      <w:r w:rsidR="00D06D74" w:rsidRPr="0031419F">
        <w:fldChar w:fldCharType="begin" w:fldLock="1"/>
      </w:r>
      <w:r w:rsidR="00D06D74" w:rsidRPr="0031419F">
        <w:instrText xml:space="preserve"> REF _Ref196158488 \h </w:instrText>
      </w:r>
      <w:r w:rsidR="0031419F" w:rsidRPr="0031419F">
        <w:instrText xml:space="preserve"> \* MERGEFORMAT </w:instrText>
      </w:r>
      <w:r w:rsidR="00D06D74" w:rsidRPr="0031419F">
        <w:fldChar w:fldCharType="separate"/>
      </w:r>
      <w:r w:rsidR="00C34379" w:rsidRPr="0031419F">
        <w:t xml:space="preserve">Table </w:t>
      </w:r>
      <w:r w:rsidR="00C34379">
        <w:rPr>
          <w:noProof/>
        </w:rPr>
        <w:t>21</w:t>
      </w:r>
      <w:r w:rsidR="00D06D74" w:rsidRPr="0031419F">
        <w:fldChar w:fldCharType="end"/>
      </w:r>
      <w:r w:rsidR="00D06D74" w:rsidRPr="0031419F">
        <w:t>.</w:t>
      </w:r>
    </w:p>
    <w:p w14:paraId="5BA18633" w14:textId="26262798" w:rsidR="00A53BC9" w:rsidRPr="0031419F" w:rsidRDefault="00E40C5F" w:rsidP="002F61DF">
      <w:pPr>
        <w:pStyle w:val="Caption"/>
        <w:rPr>
          <w:rStyle w:val="CommentReference"/>
          <w:b/>
          <w:szCs w:val="24"/>
        </w:rPr>
      </w:pPr>
      <w:bookmarkStart w:id="52" w:name="_Ref196158488"/>
      <w:r w:rsidRPr="0031419F">
        <w:t xml:space="preserve">Table </w:t>
      </w:r>
      <w:r w:rsidR="00C34379">
        <w:fldChar w:fldCharType="begin" w:fldLock="1"/>
      </w:r>
      <w:r w:rsidR="00C34379">
        <w:instrText xml:space="preserve"> SEQ Table \* ARABIC </w:instrText>
      </w:r>
      <w:r w:rsidR="00C34379">
        <w:fldChar w:fldCharType="separate"/>
      </w:r>
      <w:r w:rsidR="00C34379">
        <w:rPr>
          <w:noProof/>
        </w:rPr>
        <w:t>21</w:t>
      </w:r>
      <w:r w:rsidR="00C34379">
        <w:rPr>
          <w:noProof/>
        </w:rPr>
        <w:fldChar w:fldCharType="end"/>
      </w:r>
      <w:bookmarkEnd w:id="52"/>
      <w:r w:rsidR="003D1923" w:rsidRPr="0031419F">
        <w:t>:</w:t>
      </w:r>
      <w:r w:rsidR="003D1923" w:rsidRPr="0031419F">
        <w:rPr>
          <w:rStyle w:val="CommentReference"/>
          <w:b/>
          <w:szCs w:val="24"/>
        </w:rPr>
        <w:t xml:space="preserve"> </w:t>
      </w:r>
      <w:r w:rsidR="00D06D74" w:rsidRPr="0031419F">
        <w:t>Scenario analysis</w:t>
      </w:r>
    </w:p>
    <w:tbl>
      <w:tblPr>
        <w:tblStyle w:val="TableGrid"/>
        <w:tblW w:w="8784" w:type="dxa"/>
        <w:tblLook w:val="04A0" w:firstRow="1" w:lastRow="0" w:firstColumn="1" w:lastColumn="0" w:noHBand="0" w:noVBand="1"/>
        <w:tblCaption w:val="Table 21: Scenario analysis"/>
      </w:tblPr>
      <w:tblGrid>
        <w:gridCol w:w="3364"/>
        <w:gridCol w:w="1118"/>
        <w:gridCol w:w="956"/>
        <w:gridCol w:w="1358"/>
        <w:gridCol w:w="805"/>
        <w:gridCol w:w="1183"/>
      </w:tblGrid>
      <w:tr w:rsidR="00A53BC9" w:rsidRPr="0031419F" w14:paraId="69E64312" w14:textId="77777777" w:rsidTr="001F60D7">
        <w:tc>
          <w:tcPr>
            <w:tcW w:w="3364" w:type="dxa"/>
            <w:vAlign w:val="center"/>
          </w:tcPr>
          <w:p w14:paraId="4F6CA8BB" w14:textId="77777777" w:rsidR="00A53BC9" w:rsidRPr="0031419F" w:rsidRDefault="00A53BC9" w:rsidP="002F61DF">
            <w:pPr>
              <w:pStyle w:val="In-tableHeading"/>
              <w:rPr>
                <w:lang w:val="en-AU"/>
              </w:rPr>
            </w:pPr>
          </w:p>
        </w:tc>
        <w:tc>
          <w:tcPr>
            <w:tcW w:w="1118" w:type="dxa"/>
            <w:tcBorders>
              <w:bottom w:val="single" w:sz="4" w:space="0" w:color="auto"/>
            </w:tcBorders>
            <w:vAlign w:val="center"/>
          </w:tcPr>
          <w:p w14:paraId="1691F8C9" w14:textId="3195F5BC" w:rsidR="00A53BC9" w:rsidRPr="0031419F" w:rsidRDefault="00A53BC9" w:rsidP="002F61DF">
            <w:pPr>
              <w:pStyle w:val="In-tableHeading"/>
              <w:rPr>
                <w:lang w:val="en-AU"/>
              </w:rPr>
            </w:pPr>
            <w:r w:rsidRPr="0031419F">
              <w:rPr>
                <w:lang w:val="en-AU"/>
              </w:rPr>
              <w:t>Inc cost</w:t>
            </w:r>
            <w:r w:rsidR="00924A7E">
              <w:rPr>
                <w:lang w:val="en-AU"/>
              </w:rPr>
              <w:t xml:space="preserve"> ($)</w:t>
            </w:r>
          </w:p>
        </w:tc>
        <w:tc>
          <w:tcPr>
            <w:tcW w:w="956" w:type="dxa"/>
            <w:vAlign w:val="center"/>
          </w:tcPr>
          <w:p w14:paraId="7901EB3E" w14:textId="77777777" w:rsidR="00A53BC9" w:rsidRPr="0031419F" w:rsidRDefault="00A53BC9" w:rsidP="002F61DF">
            <w:pPr>
              <w:pStyle w:val="In-tableHeading"/>
              <w:rPr>
                <w:lang w:val="en-AU"/>
              </w:rPr>
            </w:pPr>
            <w:r w:rsidRPr="0031419F">
              <w:rPr>
                <w:lang w:val="en-AU"/>
              </w:rPr>
              <w:t>Inc QALYs</w:t>
            </w:r>
          </w:p>
        </w:tc>
        <w:tc>
          <w:tcPr>
            <w:tcW w:w="1358" w:type="dxa"/>
            <w:vAlign w:val="center"/>
          </w:tcPr>
          <w:p w14:paraId="59AA9A84" w14:textId="77777777" w:rsidR="00A53BC9" w:rsidRPr="0031419F" w:rsidRDefault="00A53BC9" w:rsidP="002F61DF">
            <w:pPr>
              <w:pStyle w:val="In-tableHeading"/>
              <w:rPr>
                <w:lang w:val="en-AU"/>
              </w:rPr>
            </w:pPr>
            <w:r w:rsidRPr="0031419F">
              <w:rPr>
                <w:lang w:val="en-AU"/>
              </w:rPr>
              <w:t>ICER ($/QALY)</w:t>
            </w:r>
          </w:p>
        </w:tc>
        <w:tc>
          <w:tcPr>
            <w:tcW w:w="805" w:type="dxa"/>
            <w:vAlign w:val="center"/>
          </w:tcPr>
          <w:p w14:paraId="00F69080" w14:textId="77777777" w:rsidR="00A53BC9" w:rsidRPr="0031419F" w:rsidRDefault="00A53BC9" w:rsidP="002F61DF">
            <w:pPr>
              <w:pStyle w:val="In-tableHeading"/>
              <w:rPr>
                <w:lang w:val="en-AU"/>
              </w:rPr>
            </w:pPr>
            <w:r w:rsidRPr="0031419F">
              <w:rPr>
                <w:lang w:val="en-AU"/>
              </w:rPr>
              <w:t>Inc LYG</w:t>
            </w:r>
          </w:p>
        </w:tc>
        <w:tc>
          <w:tcPr>
            <w:tcW w:w="1183" w:type="dxa"/>
            <w:vAlign w:val="center"/>
          </w:tcPr>
          <w:p w14:paraId="0E122A1D" w14:textId="77777777" w:rsidR="00A53BC9" w:rsidRPr="0031419F" w:rsidRDefault="00A53BC9" w:rsidP="002F61DF">
            <w:pPr>
              <w:pStyle w:val="In-tableHeading"/>
              <w:rPr>
                <w:lang w:val="en-AU"/>
              </w:rPr>
            </w:pPr>
            <w:r w:rsidRPr="0031419F">
              <w:rPr>
                <w:lang w:val="en-AU"/>
              </w:rPr>
              <w:t>% change</w:t>
            </w:r>
          </w:p>
        </w:tc>
      </w:tr>
      <w:tr w:rsidR="00A53BC9" w:rsidRPr="0031419F" w14:paraId="75A7146B" w14:textId="77777777" w:rsidTr="001F60D7">
        <w:tc>
          <w:tcPr>
            <w:tcW w:w="3364" w:type="dxa"/>
            <w:vAlign w:val="center"/>
          </w:tcPr>
          <w:p w14:paraId="41A7F925" w14:textId="77777777" w:rsidR="00A53BC9" w:rsidRPr="0031419F" w:rsidRDefault="00A53BC9" w:rsidP="002F61DF">
            <w:pPr>
              <w:pStyle w:val="Tabletext"/>
              <w:keepNext/>
              <w:keepLines/>
              <w:rPr>
                <w:b/>
                <w:bCs/>
              </w:rPr>
            </w:pPr>
            <w:r w:rsidRPr="0031419F">
              <w:rPr>
                <w:b/>
                <w:bCs/>
              </w:rPr>
              <w:t>Base case</w:t>
            </w:r>
          </w:p>
        </w:tc>
        <w:tc>
          <w:tcPr>
            <w:tcW w:w="1118" w:type="dxa"/>
            <w:tcBorders>
              <w:bottom w:val="single" w:sz="4" w:space="0" w:color="auto"/>
            </w:tcBorders>
            <w:shd w:val="solid" w:color="000000" w:fill="000000"/>
            <w:vAlign w:val="center"/>
          </w:tcPr>
          <w:p w14:paraId="640DDC4D" w14:textId="4678B563" w:rsidR="00A53BC9" w:rsidRPr="00707B83" w:rsidRDefault="001F60D7" w:rsidP="002F61DF">
            <w:pPr>
              <w:pStyle w:val="Tabletext"/>
              <w:keepNext/>
              <w:keepLines/>
              <w:jc w:val="center"/>
              <w:rPr>
                <w:b/>
                <w:bCs/>
                <w:highlight w:val="darkGray"/>
              </w:rPr>
            </w:pPr>
            <w:r w:rsidRPr="001F60D7">
              <w:rPr>
                <w:rFonts w:hint="eastAsia"/>
                <w:b/>
                <w:bCs/>
                <w:w w:val="29"/>
                <w:fitText w:val="132" w:id="-629967605"/>
                <w14:textFill>
                  <w14:solidFill>
                    <w14:schemeClr w14:val="tx1">
                      <w14:alpha w14:val="100000"/>
                    </w14:schemeClr>
                  </w14:solidFill>
                </w14:textFill>
              </w:rPr>
              <w:t xml:space="preserve">　</w:t>
            </w:r>
            <w:r w:rsidRPr="001F60D7">
              <w:rPr>
                <w:b/>
                <w:bCs/>
                <w:w w:val="29"/>
                <w:fitText w:val="132" w:id="-629967605"/>
                <w14:textFill>
                  <w14:solidFill>
                    <w14:schemeClr w14:val="tx1">
                      <w14:alpha w14:val="100000"/>
                    </w14:schemeClr>
                  </w14:solidFill>
                </w14:textFill>
              </w:rPr>
              <w:t>|</w:t>
            </w:r>
            <w:r w:rsidRPr="001F60D7">
              <w:rPr>
                <w:rFonts w:hint="eastAsia"/>
                <w:b/>
                <w:bCs/>
                <w:w w:val="29"/>
                <w:fitText w:val="132" w:id="-629967605"/>
                <w14:textFill>
                  <w14:solidFill>
                    <w14:schemeClr w14:val="tx1">
                      <w14:alpha w14:val="100000"/>
                    </w14:schemeClr>
                  </w14:solidFill>
                </w14:textFill>
              </w:rPr>
              <w:t xml:space="preserve">　</w:t>
            </w:r>
          </w:p>
        </w:tc>
        <w:tc>
          <w:tcPr>
            <w:tcW w:w="956" w:type="dxa"/>
            <w:vAlign w:val="center"/>
          </w:tcPr>
          <w:p w14:paraId="02C96A57" w14:textId="77777777" w:rsidR="00A53BC9" w:rsidRPr="0031419F" w:rsidRDefault="00A53BC9" w:rsidP="002F61DF">
            <w:pPr>
              <w:pStyle w:val="Tabletext"/>
              <w:keepNext/>
              <w:keepLines/>
              <w:jc w:val="center"/>
              <w:rPr>
                <w:b/>
                <w:bCs/>
              </w:rPr>
            </w:pPr>
            <w:r w:rsidRPr="0031419F">
              <w:rPr>
                <w:b/>
                <w:bCs/>
              </w:rPr>
              <w:t>7.13</w:t>
            </w:r>
          </w:p>
        </w:tc>
        <w:tc>
          <w:tcPr>
            <w:tcW w:w="1358" w:type="dxa"/>
            <w:vAlign w:val="center"/>
          </w:tcPr>
          <w:p w14:paraId="04014275" w14:textId="03008F20" w:rsidR="00A53BC9" w:rsidRPr="00707B83" w:rsidRDefault="001F60D7" w:rsidP="002F61DF">
            <w:pPr>
              <w:pStyle w:val="Tabletext"/>
              <w:keepNext/>
              <w:keepLines/>
              <w:jc w:val="center"/>
              <w:rPr>
                <w:b/>
                <w:bCs/>
                <w:highlight w:val="darkGray"/>
              </w:rPr>
            </w:pPr>
            <w:r w:rsidRPr="001F60D7">
              <w:rPr>
                <w:rFonts w:hint="eastAsia"/>
                <w:b/>
                <w:bCs/>
                <w:w w:val="15"/>
                <w:shd w:val="solid" w:color="000000" w:fill="000000"/>
                <w:fitText w:val="60" w:id="-629967604"/>
                <w14:textFill>
                  <w14:solidFill>
                    <w14:schemeClr w14:val="tx1">
                      <w14:alpha w14:val="100000"/>
                    </w14:schemeClr>
                  </w14:solidFill>
                </w14:textFill>
              </w:rPr>
              <w:t xml:space="preserve">　</w:t>
            </w:r>
            <w:r w:rsidRPr="001F60D7">
              <w:rPr>
                <w:b/>
                <w:bCs/>
                <w:w w:val="15"/>
                <w:shd w:val="solid" w:color="000000" w:fill="000000"/>
                <w:fitText w:val="60" w:id="-629967604"/>
                <w14:textFill>
                  <w14:solidFill>
                    <w14:schemeClr w14:val="tx1">
                      <w14:alpha w14:val="100000"/>
                    </w14:schemeClr>
                  </w14:solidFill>
                </w14:textFill>
              </w:rPr>
              <w:t>|</w:t>
            </w:r>
            <w:r w:rsidRPr="001F60D7">
              <w:rPr>
                <w:rFonts w:hint="eastAsia"/>
                <w:b/>
                <w:bCs/>
                <w:spacing w:val="-6"/>
                <w:w w:val="15"/>
                <w:shd w:val="solid" w:color="000000" w:fill="000000"/>
                <w:fitText w:val="60" w:id="-629967604"/>
                <w14:textFill>
                  <w14:solidFill>
                    <w14:schemeClr w14:val="tx1">
                      <w14:alpha w14:val="100000"/>
                    </w14:schemeClr>
                  </w14:solidFill>
                </w14:textFill>
              </w:rPr>
              <w:t xml:space="preserve">　</w:t>
            </w:r>
            <w:r w:rsidR="00423C1B" w:rsidRPr="00423C1B">
              <w:rPr>
                <w:b/>
                <w:bCs/>
                <w:vertAlign w:val="superscript"/>
              </w:rPr>
              <w:t>1</w:t>
            </w:r>
          </w:p>
        </w:tc>
        <w:tc>
          <w:tcPr>
            <w:tcW w:w="805" w:type="dxa"/>
            <w:vAlign w:val="center"/>
          </w:tcPr>
          <w:p w14:paraId="3F5F347C" w14:textId="77777777" w:rsidR="00A53BC9" w:rsidRPr="0031419F" w:rsidRDefault="00A53BC9" w:rsidP="002F61DF">
            <w:pPr>
              <w:pStyle w:val="Tabletext"/>
              <w:keepNext/>
              <w:keepLines/>
              <w:jc w:val="center"/>
              <w:rPr>
                <w:b/>
                <w:bCs/>
              </w:rPr>
            </w:pPr>
            <w:r w:rsidRPr="0031419F">
              <w:rPr>
                <w:b/>
                <w:bCs/>
              </w:rPr>
              <w:t>3.17</w:t>
            </w:r>
          </w:p>
        </w:tc>
        <w:tc>
          <w:tcPr>
            <w:tcW w:w="1183" w:type="dxa"/>
            <w:vAlign w:val="center"/>
          </w:tcPr>
          <w:p w14:paraId="426D4970" w14:textId="77777777" w:rsidR="00A53BC9" w:rsidRPr="0031419F" w:rsidRDefault="00A53BC9" w:rsidP="002F61DF">
            <w:pPr>
              <w:pStyle w:val="Tabletext"/>
              <w:keepNext/>
              <w:keepLines/>
              <w:jc w:val="center"/>
              <w:rPr>
                <w:b/>
                <w:bCs/>
              </w:rPr>
            </w:pPr>
            <w:r w:rsidRPr="0031419F">
              <w:rPr>
                <w:b/>
                <w:bCs/>
              </w:rPr>
              <w:t>0</w:t>
            </w:r>
          </w:p>
        </w:tc>
      </w:tr>
      <w:tr w:rsidR="00A53BC9" w:rsidRPr="0031419F" w14:paraId="1416DC4C" w14:textId="77777777" w:rsidTr="001F60D7">
        <w:tc>
          <w:tcPr>
            <w:tcW w:w="3364" w:type="dxa"/>
            <w:vAlign w:val="center"/>
          </w:tcPr>
          <w:p w14:paraId="202EB710" w14:textId="26211925" w:rsidR="00A53BC9" w:rsidRPr="0031419F" w:rsidRDefault="00A53BC9" w:rsidP="002F61DF">
            <w:pPr>
              <w:pStyle w:val="Tabletext"/>
              <w:keepNext/>
              <w:keepLines/>
            </w:pPr>
            <w:r w:rsidRPr="0031419F">
              <w:t>Time horizon = 10 years (BC: lifetime)</w:t>
            </w:r>
          </w:p>
        </w:tc>
        <w:tc>
          <w:tcPr>
            <w:tcW w:w="1118" w:type="dxa"/>
            <w:tcBorders>
              <w:bottom w:val="single" w:sz="4" w:space="0" w:color="auto"/>
            </w:tcBorders>
            <w:shd w:val="solid" w:color="000000" w:fill="000000"/>
            <w:vAlign w:val="center"/>
          </w:tcPr>
          <w:p w14:paraId="3B3199FC" w14:textId="1989DEE1" w:rsidR="00A53BC9" w:rsidRPr="00707B83" w:rsidRDefault="001F60D7" w:rsidP="002F61DF">
            <w:pPr>
              <w:pStyle w:val="Tabletext"/>
              <w:keepNext/>
              <w:keepLines/>
              <w:jc w:val="center"/>
              <w:rPr>
                <w:highlight w:val="darkGray"/>
              </w:rPr>
            </w:pPr>
            <w:r w:rsidRPr="001F60D7">
              <w:rPr>
                <w:rFonts w:hint="eastAsia"/>
                <w:color w:val="000000"/>
                <w:w w:val="24"/>
                <w:fitText w:val="108" w:id="-629967603"/>
                <w14:textFill>
                  <w14:solidFill>
                    <w14:srgbClr w14:val="000000">
                      <w14:alpha w14:val="100000"/>
                    </w14:srgbClr>
                  </w14:solidFill>
                </w14:textFill>
              </w:rPr>
              <w:t xml:space="preserve">　</w:t>
            </w:r>
            <w:r w:rsidRPr="001F60D7">
              <w:rPr>
                <w:color w:val="000000"/>
                <w:w w:val="24"/>
                <w:fitText w:val="108" w:id="-629967603"/>
                <w14:textFill>
                  <w14:solidFill>
                    <w14:srgbClr w14:val="000000">
                      <w14:alpha w14:val="100000"/>
                    </w14:srgbClr>
                  </w14:solidFill>
                </w14:textFill>
              </w:rPr>
              <w:t>|</w:t>
            </w:r>
            <w:r w:rsidRPr="001F60D7">
              <w:rPr>
                <w:rFonts w:hint="eastAsia"/>
                <w:color w:val="000000"/>
                <w:w w:val="24"/>
                <w:fitText w:val="108" w:id="-629967603"/>
                <w14:textFill>
                  <w14:solidFill>
                    <w14:srgbClr w14:val="000000">
                      <w14:alpha w14:val="100000"/>
                    </w14:srgbClr>
                  </w14:solidFill>
                </w14:textFill>
              </w:rPr>
              <w:t xml:space="preserve">　</w:t>
            </w:r>
          </w:p>
        </w:tc>
        <w:tc>
          <w:tcPr>
            <w:tcW w:w="956" w:type="dxa"/>
            <w:vAlign w:val="center"/>
          </w:tcPr>
          <w:p w14:paraId="78ED22B9" w14:textId="71B624B8" w:rsidR="00A53BC9" w:rsidRPr="0031419F" w:rsidRDefault="00A53BC9" w:rsidP="002F61DF">
            <w:pPr>
              <w:pStyle w:val="Tabletext"/>
              <w:keepNext/>
              <w:keepLines/>
              <w:jc w:val="center"/>
            </w:pPr>
            <w:r w:rsidRPr="0031419F">
              <w:rPr>
                <w:color w:val="000000"/>
              </w:rPr>
              <w:t>2.78</w:t>
            </w:r>
          </w:p>
        </w:tc>
        <w:tc>
          <w:tcPr>
            <w:tcW w:w="1358" w:type="dxa"/>
            <w:vAlign w:val="center"/>
          </w:tcPr>
          <w:p w14:paraId="3C5A0CAB" w14:textId="527E7494" w:rsidR="00A53BC9" w:rsidRPr="00707B83" w:rsidRDefault="001F60D7" w:rsidP="002F61DF">
            <w:pPr>
              <w:pStyle w:val="Tabletext"/>
              <w:keepNext/>
              <w:keepLines/>
              <w:jc w:val="center"/>
              <w:rPr>
                <w:highlight w:val="darkGray"/>
              </w:rPr>
            </w:pPr>
            <w:r w:rsidRPr="001F60D7">
              <w:rPr>
                <w:color w:val="000000"/>
                <w:shd w:val="solid" w:color="000000" w:fill="000000"/>
                <w14:textFill>
                  <w14:solidFill>
                    <w14:srgbClr w14:val="000000">
                      <w14:alpha w14:val="100000"/>
                    </w14:srgbClr>
                  </w14:solidFill>
                </w14:textFill>
              </w:rPr>
              <w:t>|</w:t>
            </w:r>
            <w:r w:rsidR="00002F4B" w:rsidRPr="00002F4B">
              <w:rPr>
                <w:color w:val="000000"/>
                <w:vertAlign w:val="superscript"/>
              </w:rPr>
              <w:t>2</w:t>
            </w:r>
          </w:p>
        </w:tc>
        <w:tc>
          <w:tcPr>
            <w:tcW w:w="805" w:type="dxa"/>
            <w:vAlign w:val="center"/>
          </w:tcPr>
          <w:p w14:paraId="65A4C087" w14:textId="37E0C4DB" w:rsidR="00A53BC9" w:rsidRPr="0031419F" w:rsidRDefault="00A53BC9" w:rsidP="002F61DF">
            <w:pPr>
              <w:pStyle w:val="Tabletext"/>
              <w:keepNext/>
              <w:keepLines/>
              <w:jc w:val="center"/>
            </w:pPr>
            <w:r w:rsidRPr="0031419F">
              <w:rPr>
                <w:color w:val="000000"/>
              </w:rPr>
              <w:t>0.42</w:t>
            </w:r>
          </w:p>
        </w:tc>
        <w:tc>
          <w:tcPr>
            <w:tcW w:w="1183" w:type="dxa"/>
            <w:vAlign w:val="center"/>
          </w:tcPr>
          <w:p w14:paraId="7C7AF506" w14:textId="07A6B322" w:rsidR="00A53BC9" w:rsidRPr="0031419F" w:rsidRDefault="001F60D7" w:rsidP="002F61DF">
            <w:pPr>
              <w:pStyle w:val="Tabletext"/>
              <w:keepNext/>
              <w:keepLines/>
              <w:jc w:val="center"/>
            </w:pPr>
            <w:r w:rsidRPr="001F60D7">
              <w:rPr>
                <w:rFonts w:hint="eastAsia"/>
                <w:color w:val="000000"/>
                <w:w w:val="29"/>
                <w:shd w:val="solid" w:color="000000" w:fill="000000"/>
                <w:fitText w:val="132" w:id="-629967602"/>
                <w14:textFill>
                  <w14:solidFill>
                    <w14:srgbClr w14:val="000000">
                      <w14:alpha w14:val="100000"/>
                    </w14:srgbClr>
                  </w14:solidFill>
                </w14:textFill>
              </w:rPr>
              <w:t xml:space="preserve">　</w:t>
            </w:r>
            <w:r w:rsidRPr="001F60D7">
              <w:rPr>
                <w:color w:val="000000"/>
                <w:w w:val="29"/>
                <w:shd w:val="solid" w:color="000000" w:fill="000000"/>
                <w:fitText w:val="132" w:id="-629967602"/>
                <w14:textFill>
                  <w14:solidFill>
                    <w14:srgbClr w14:val="000000">
                      <w14:alpha w14:val="100000"/>
                    </w14:srgbClr>
                  </w14:solidFill>
                </w14:textFill>
              </w:rPr>
              <w:t>|</w:t>
            </w:r>
            <w:r w:rsidRPr="001F60D7">
              <w:rPr>
                <w:rFonts w:hint="eastAsia"/>
                <w:color w:val="000000"/>
                <w:spacing w:val="4"/>
                <w:w w:val="29"/>
                <w:shd w:val="solid" w:color="000000" w:fill="000000"/>
                <w:fitText w:val="132" w:id="-629967602"/>
                <w14:textFill>
                  <w14:solidFill>
                    <w14:srgbClr w14:val="000000">
                      <w14:alpha w14:val="100000"/>
                    </w14:srgbClr>
                  </w14:solidFill>
                </w14:textFill>
              </w:rPr>
              <w:t xml:space="preserve">　</w:t>
            </w:r>
            <w:r w:rsidR="00A53BC9" w:rsidRPr="0031419F">
              <w:rPr>
                <w:color w:val="000000"/>
              </w:rPr>
              <w:t>%</w:t>
            </w:r>
          </w:p>
        </w:tc>
      </w:tr>
      <w:tr w:rsidR="00A53BC9" w:rsidRPr="0031419F" w14:paraId="070CABEB" w14:textId="77777777" w:rsidTr="001F60D7">
        <w:tc>
          <w:tcPr>
            <w:tcW w:w="3364" w:type="dxa"/>
            <w:vAlign w:val="center"/>
          </w:tcPr>
          <w:p w14:paraId="371DFDFD" w14:textId="41B69E78" w:rsidR="00A53BC9" w:rsidRPr="0031419F" w:rsidRDefault="00A53BC9" w:rsidP="002F61DF">
            <w:pPr>
              <w:pStyle w:val="Tabletext"/>
              <w:keepNext/>
              <w:keepLines/>
            </w:pPr>
            <w:r w:rsidRPr="0031419F">
              <w:t>Time horizon = 20 years (BC: lifetime)</w:t>
            </w:r>
          </w:p>
        </w:tc>
        <w:tc>
          <w:tcPr>
            <w:tcW w:w="1118" w:type="dxa"/>
            <w:tcBorders>
              <w:bottom w:val="single" w:sz="4" w:space="0" w:color="auto"/>
            </w:tcBorders>
            <w:shd w:val="solid" w:color="000000" w:fill="000000"/>
            <w:vAlign w:val="center"/>
          </w:tcPr>
          <w:p w14:paraId="14A5A9E8" w14:textId="18F1E07F" w:rsidR="00A53BC9" w:rsidRPr="00707B83" w:rsidRDefault="001F60D7" w:rsidP="002F61DF">
            <w:pPr>
              <w:pStyle w:val="Tabletext"/>
              <w:keepNext/>
              <w:keepLines/>
              <w:jc w:val="center"/>
              <w:rPr>
                <w:highlight w:val="darkGray"/>
              </w:rPr>
            </w:pPr>
            <w:r w:rsidRPr="001F60D7">
              <w:rPr>
                <w:rFonts w:hint="eastAsia"/>
                <w:color w:val="000000"/>
                <w:w w:val="24"/>
                <w:fitText w:val="108" w:id="-629967601"/>
                <w14:textFill>
                  <w14:solidFill>
                    <w14:srgbClr w14:val="000000">
                      <w14:alpha w14:val="100000"/>
                    </w14:srgbClr>
                  </w14:solidFill>
                </w14:textFill>
              </w:rPr>
              <w:t xml:space="preserve">　</w:t>
            </w:r>
            <w:r w:rsidRPr="001F60D7">
              <w:rPr>
                <w:color w:val="000000"/>
                <w:w w:val="24"/>
                <w:fitText w:val="108" w:id="-629967601"/>
                <w14:textFill>
                  <w14:solidFill>
                    <w14:srgbClr w14:val="000000">
                      <w14:alpha w14:val="100000"/>
                    </w14:srgbClr>
                  </w14:solidFill>
                </w14:textFill>
              </w:rPr>
              <w:t>|</w:t>
            </w:r>
            <w:r w:rsidRPr="001F60D7">
              <w:rPr>
                <w:rFonts w:hint="eastAsia"/>
                <w:color w:val="000000"/>
                <w:w w:val="24"/>
                <w:fitText w:val="108" w:id="-629967601"/>
                <w14:textFill>
                  <w14:solidFill>
                    <w14:srgbClr w14:val="000000">
                      <w14:alpha w14:val="100000"/>
                    </w14:srgbClr>
                  </w14:solidFill>
                </w14:textFill>
              </w:rPr>
              <w:t xml:space="preserve">　</w:t>
            </w:r>
          </w:p>
        </w:tc>
        <w:tc>
          <w:tcPr>
            <w:tcW w:w="956" w:type="dxa"/>
            <w:vAlign w:val="center"/>
          </w:tcPr>
          <w:p w14:paraId="3273E3CD" w14:textId="73AB89D2" w:rsidR="00A53BC9" w:rsidRPr="0031419F" w:rsidRDefault="00A53BC9" w:rsidP="002F61DF">
            <w:pPr>
              <w:pStyle w:val="Tabletext"/>
              <w:keepNext/>
              <w:keepLines/>
              <w:jc w:val="center"/>
            </w:pPr>
            <w:r w:rsidRPr="0031419F">
              <w:rPr>
                <w:color w:val="000000"/>
              </w:rPr>
              <w:t>4.80</w:t>
            </w:r>
          </w:p>
        </w:tc>
        <w:tc>
          <w:tcPr>
            <w:tcW w:w="1358" w:type="dxa"/>
            <w:vAlign w:val="center"/>
          </w:tcPr>
          <w:p w14:paraId="22F703FE" w14:textId="66D1A15A" w:rsidR="00A53BC9" w:rsidRPr="00707B83" w:rsidRDefault="001F60D7" w:rsidP="002F61DF">
            <w:pPr>
              <w:pStyle w:val="Tabletext"/>
              <w:keepNext/>
              <w:keepLines/>
              <w:jc w:val="center"/>
              <w:rPr>
                <w:highlight w:val="darkGray"/>
              </w:rPr>
            </w:pPr>
            <w:r w:rsidRPr="001F60D7">
              <w:rPr>
                <w:color w:val="000000"/>
                <w:shd w:val="solid" w:color="000000" w:fill="000000"/>
                <w14:textFill>
                  <w14:solidFill>
                    <w14:srgbClr w14:val="000000">
                      <w14:alpha w14:val="100000"/>
                    </w14:srgbClr>
                  </w14:solidFill>
                </w14:textFill>
              </w:rPr>
              <w:t>|</w:t>
            </w:r>
            <w:r w:rsidR="006452A0" w:rsidRPr="00D35398">
              <w:rPr>
                <w:color w:val="000000"/>
                <w:vertAlign w:val="superscript"/>
              </w:rPr>
              <w:t>3</w:t>
            </w:r>
          </w:p>
        </w:tc>
        <w:tc>
          <w:tcPr>
            <w:tcW w:w="805" w:type="dxa"/>
            <w:vAlign w:val="center"/>
          </w:tcPr>
          <w:p w14:paraId="7960FCEA" w14:textId="44ECD715" w:rsidR="00A53BC9" w:rsidRPr="0031419F" w:rsidRDefault="00A53BC9" w:rsidP="002F61DF">
            <w:pPr>
              <w:pStyle w:val="Tabletext"/>
              <w:keepNext/>
              <w:keepLines/>
              <w:jc w:val="center"/>
            </w:pPr>
            <w:r w:rsidRPr="0031419F">
              <w:rPr>
                <w:color w:val="000000"/>
              </w:rPr>
              <w:t>1.27</w:t>
            </w:r>
          </w:p>
        </w:tc>
        <w:tc>
          <w:tcPr>
            <w:tcW w:w="1183" w:type="dxa"/>
            <w:vAlign w:val="center"/>
          </w:tcPr>
          <w:p w14:paraId="18D38E74" w14:textId="2D67081D" w:rsidR="00A53BC9" w:rsidRPr="0031419F" w:rsidRDefault="001F60D7" w:rsidP="002F61DF">
            <w:pPr>
              <w:pStyle w:val="Tabletext"/>
              <w:keepNext/>
              <w:keepLines/>
              <w:jc w:val="center"/>
            </w:pPr>
            <w:r w:rsidRPr="001F60D7">
              <w:rPr>
                <w:rFonts w:hint="eastAsia"/>
                <w:color w:val="000000"/>
                <w:w w:val="29"/>
                <w:shd w:val="solid" w:color="000000" w:fill="000000"/>
                <w:fitText w:val="132" w:id="-629967600"/>
                <w14:textFill>
                  <w14:solidFill>
                    <w14:srgbClr w14:val="000000">
                      <w14:alpha w14:val="100000"/>
                    </w14:srgbClr>
                  </w14:solidFill>
                </w14:textFill>
              </w:rPr>
              <w:t xml:space="preserve">　</w:t>
            </w:r>
            <w:r w:rsidRPr="001F60D7">
              <w:rPr>
                <w:color w:val="000000"/>
                <w:w w:val="29"/>
                <w:shd w:val="solid" w:color="000000" w:fill="000000"/>
                <w:fitText w:val="132" w:id="-629967600"/>
                <w14:textFill>
                  <w14:solidFill>
                    <w14:srgbClr w14:val="000000">
                      <w14:alpha w14:val="100000"/>
                    </w14:srgbClr>
                  </w14:solidFill>
                </w14:textFill>
              </w:rPr>
              <w:t>|</w:t>
            </w:r>
            <w:r w:rsidRPr="001F60D7">
              <w:rPr>
                <w:rFonts w:hint="eastAsia"/>
                <w:color w:val="000000"/>
                <w:spacing w:val="4"/>
                <w:w w:val="29"/>
                <w:shd w:val="solid" w:color="000000" w:fill="000000"/>
                <w:fitText w:val="132" w:id="-629967600"/>
                <w14:textFill>
                  <w14:solidFill>
                    <w14:srgbClr w14:val="000000">
                      <w14:alpha w14:val="100000"/>
                    </w14:srgbClr>
                  </w14:solidFill>
                </w14:textFill>
              </w:rPr>
              <w:t xml:space="preserve">　</w:t>
            </w:r>
            <w:r w:rsidR="00A53BC9" w:rsidRPr="0031419F">
              <w:rPr>
                <w:color w:val="000000"/>
              </w:rPr>
              <w:t>%</w:t>
            </w:r>
          </w:p>
        </w:tc>
      </w:tr>
      <w:tr w:rsidR="00A53BC9" w:rsidRPr="0031419F" w14:paraId="777D506C" w14:textId="77777777" w:rsidTr="001F60D7">
        <w:tc>
          <w:tcPr>
            <w:tcW w:w="3364" w:type="dxa"/>
            <w:vAlign w:val="center"/>
          </w:tcPr>
          <w:p w14:paraId="12051B3F" w14:textId="526FC0A5" w:rsidR="00A53BC9" w:rsidRPr="0031419F" w:rsidRDefault="00A53BC9" w:rsidP="002F61DF">
            <w:pPr>
              <w:pStyle w:val="Tabletext"/>
              <w:keepNext/>
              <w:keepLines/>
            </w:pPr>
            <w:r w:rsidRPr="0031419F">
              <w:t>Time horizon = 30 years (BC: lifetime)</w:t>
            </w:r>
          </w:p>
        </w:tc>
        <w:tc>
          <w:tcPr>
            <w:tcW w:w="1118" w:type="dxa"/>
            <w:tcBorders>
              <w:bottom w:val="single" w:sz="4" w:space="0" w:color="auto"/>
            </w:tcBorders>
            <w:shd w:val="solid" w:color="000000" w:fill="000000"/>
            <w:vAlign w:val="center"/>
          </w:tcPr>
          <w:p w14:paraId="68F303EB" w14:textId="75A4656C" w:rsidR="00A53BC9" w:rsidRPr="00707B83" w:rsidRDefault="001F60D7" w:rsidP="002F61DF">
            <w:pPr>
              <w:pStyle w:val="Tabletext"/>
              <w:keepNext/>
              <w:keepLines/>
              <w:jc w:val="center"/>
              <w:rPr>
                <w:highlight w:val="darkGray"/>
              </w:rPr>
            </w:pPr>
            <w:r w:rsidRPr="001F60D7">
              <w:rPr>
                <w:rFonts w:hint="eastAsia"/>
                <w:color w:val="000000"/>
                <w:w w:val="24"/>
                <w:fitText w:val="108" w:id="-629967616"/>
                <w14:textFill>
                  <w14:solidFill>
                    <w14:srgbClr w14:val="000000">
                      <w14:alpha w14:val="100000"/>
                    </w14:srgbClr>
                  </w14:solidFill>
                </w14:textFill>
              </w:rPr>
              <w:t xml:space="preserve">　</w:t>
            </w:r>
            <w:r w:rsidRPr="001F60D7">
              <w:rPr>
                <w:color w:val="000000"/>
                <w:w w:val="24"/>
                <w:fitText w:val="108" w:id="-629967616"/>
                <w14:textFill>
                  <w14:solidFill>
                    <w14:srgbClr w14:val="000000">
                      <w14:alpha w14:val="100000"/>
                    </w14:srgbClr>
                  </w14:solidFill>
                </w14:textFill>
              </w:rPr>
              <w:t>|</w:t>
            </w:r>
            <w:r w:rsidRPr="001F60D7">
              <w:rPr>
                <w:rFonts w:hint="eastAsia"/>
                <w:color w:val="000000"/>
                <w:w w:val="24"/>
                <w:fitText w:val="108" w:id="-629967616"/>
                <w14:textFill>
                  <w14:solidFill>
                    <w14:srgbClr w14:val="000000">
                      <w14:alpha w14:val="100000"/>
                    </w14:srgbClr>
                  </w14:solidFill>
                </w14:textFill>
              </w:rPr>
              <w:t xml:space="preserve">　</w:t>
            </w:r>
          </w:p>
        </w:tc>
        <w:tc>
          <w:tcPr>
            <w:tcW w:w="956" w:type="dxa"/>
            <w:vAlign w:val="center"/>
          </w:tcPr>
          <w:p w14:paraId="4DEA4BE0" w14:textId="16D33B8C" w:rsidR="00A53BC9" w:rsidRPr="0031419F" w:rsidRDefault="00A53BC9" w:rsidP="002F61DF">
            <w:pPr>
              <w:pStyle w:val="Tabletext"/>
              <w:keepNext/>
              <w:keepLines/>
              <w:jc w:val="center"/>
            </w:pPr>
            <w:r w:rsidRPr="0031419F">
              <w:rPr>
                <w:color w:val="000000"/>
              </w:rPr>
              <w:t>6.00</w:t>
            </w:r>
          </w:p>
        </w:tc>
        <w:tc>
          <w:tcPr>
            <w:tcW w:w="1358" w:type="dxa"/>
            <w:vAlign w:val="center"/>
          </w:tcPr>
          <w:p w14:paraId="306DB3BB" w14:textId="230ABA9B" w:rsidR="00A53BC9" w:rsidRPr="00707B83" w:rsidRDefault="001F60D7" w:rsidP="002F61DF">
            <w:pPr>
              <w:pStyle w:val="Tabletext"/>
              <w:keepNext/>
              <w:keepLines/>
              <w:jc w:val="center"/>
              <w:rPr>
                <w:highlight w:val="darkGray"/>
              </w:rPr>
            </w:pPr>
            <w:r w:rsidRPr="001F60D7">
              <w:rPr>
                <w:color w:val="000000"/>
                <w:shd w:val="solid" w:color="000000" w:fill="000000"/>
                <w14:textFill>
                  <w14:solidFill>
                    <w14:srgbClr w14:val="000000">
                      <w14:alpha w14:val="100000"/>
                    </w14:srgbClr>
                  </w14:solidFill>
                </w14:textFill>
              </w:rPr>
              <w:t>|</w:t>
            </w:r>
            <w:r w:rsidR="00A42EDF" w:rsidRPr="00423C1B">
              <w:rPr>
                <w:b/>
                <w:bCs/>
                <w:vertAlign w:val="superscript"/>
              </w:rPr>
              <w:t>1</w:t>
            </w:r>
          </w:p>
        </w:tc>
        <w:tc>
          <w:tcPr>
            <w:tcW w:w="805" w:type="dxa"/>
            <w:vAlign w:val="center"/>
          </w:tcPr>
          <w:p w14:paraId="7B94E13A" w14:textId="4D040C15" w:rsidR="00A53BC9" w:rsidRPr="0031419F" w:rsidRDefault="00A53BC9" w:rsidP="002F61DF">
            <w:pPr>
              <w:pStyle w:val="Tabletext"/>
              <w:keepNext/>
              <w:keepLines/>
              <w:jc w:val="center"/>
            </w:pPr>
            <w:r w:rsidRPr="0031419F">
              <w:rPr>
                <w:color w:val="000000"/>
              </w:rPr>
              <w:t>2.02</w:t>
            </w:r>
          </w:p>
        </w:tc>
        <w:tc>
          <w:tcPr>
            <w:tcW w:w="1183" w:type="dxa"/>
            <w:vAlign w:val="center"/>
          </w:tcPr>
          <w:p w14:paraId="1991552D" w14:textId="6AB57465" w:rsidR="00A53BC9" w:rsidRPr="0031419F" w:rsidRDefault="001F60D7" w:rsidP="002F61DF">
            <w:pPr>
              <w:pStyle w:val="Tabletext"/>
              <w:keepNext/>
              <w:keepLines/>
              <w:jc w:val="center"/>
            </w:pPr>
            <w:r w:rsidRPr="001F60D7">
              <w:rPr>
                <w:rFonts w:hint="eastAsia"/>
                <w:color w:val="000000"/>
                <w:w w:val="29"/>
                <w:shd w:val="solid" w:color="000000" w:fill="000000"/>
                <w:fitText w:val="132" w:id="-629967615"/>
                <w14:textFill>
                  <w14:solidFill>
                    <w14:srgbClr w14:val="000000">
                      <w14:alpha w14:val="100000"/>
                    </w14:srgbClr>
                  </w14:solidFill>
                </w14:textFill>
              </w:rPr>
              <w:t xml:space="preserve">　</w:t>
            </w:r>
            <w:r w:rsidRPr="001F60D7">
              <w:rPr>
                <w:color w:val="000000"/>
                <w:w w:val="29"/>
                <w:shd w:val="solid" w:color="000000" w:fill="000000"/>
                <w:fitText w:val="132" w:id="-629967615"/>
                <w14:textFill>
                  <w14:solidFill>
                    <w14:srgbClr w14:val="000000">
                      <w14:alpha w14:val="100000"/>
                    </w14:srgbClr>
                  </w14:solidFill>
                </w14:textFill>
              </w:rPr>
              <w:t>|</w:t>
            </w:r>
            <w:r w:rsidRPr="001F60D7">
              <w:rPr>
                <w:rFonts w:hint="eastAsia"/>
                <w:color w:val="000000"/>
                <w:spacing w:val="4"/>
                <w:w w:val="29"/>
                <w:shd w:val="solid" w:color="000000" w:fill="000000"/>
                <w:fitText w:val="132" w:id="-629967615"/>
                <w14:textFill>
                  <w14:solidFill>
                    <w14:srgbClr w14:val="000000">
                      <w14:alpha w14:val="100000"/>
                    </w14:srgbClr>
                  </w14:solidFill>
                </w14:textFill>
              </w:rPr>
              <w:t xml:space="preserve">　</w:t>
            </w:r>
            <w:r w:rsidR="00A53BC9" w:rsidRPr="0031419F">
              <w:rPr>
                <w:color w:val="000000"/>
              </w:rPr>
              <w:t>%</w:t>
            </w:r>
          </w:p>
        </w:tc>
      </w:tr>
      <w:tr w:rsidR="00A53BC9" w:rsidRPr="0031419F" w14:paraId="3C5C8589" w14:textId="77777777" w:rsidTr="001F60D7">
        <w:tc>
          <w:tcPr>
            <w:tcW w:w="3364" w:type="dxa"/>
            <w:vAlign w:val="center"/>
          </w:tcPr>
          <w:p w14:paraId="2D2324FA" w14:textId="77777777" w:rsidR="00A53BC9" w:rsidRPr="0031419F" w:rsidRDefault="00A53BC9" w:rsidP="002F61DF">
            <w:pPr>
              <w:pStyle w:val="Tabletext"/>
              <w:keepNext/>
              <w:keepLines/>
            </w:pPr>
            <w:r w:rsidRPr="0031419F">
              <w:t>Start age = 12 years (same as restriction) (BC: 15 years)</w:t>
            </w:r>
          </w:p>
        </w:tc>
        <w:tc>
          <w:tcPr>
            <w:tcW w:w="1118" w:type="dxa"/>
            <w:tcBorders>
              <w:bottom w:val="single" w:sz="4" w:space="0" w:color="auto"/>
            </w:tcBorders>
            <w:shd w:val="solid" w:color="000000" w:fill="000000"/>
            <w:vAlign w:val="center"/>
          </w:tcPr>
          <w:p w14:paraId="384E43C4" w14:textId="3466B6B8" w:rsidR="00A53BC9" w:rsidRPr="00707B83" w:rsidRDefault="001F60D7" w:rsidP="002F61DF">
            <w:pPr>
              <w:pStyle w:val="Tabletext"/>
              <w:keepNext/>
              <w:keepLines/>
              <w:jc w:val="center"/>
              <w:rPr>
                <w:highlight w:val="darkGray"/>
              </w:rPr>
            </w:pPr>
            <w:r w:rsidRPr="001F60D7">
              <w:rPr>
                <w:rFonts w:hint="eastAsia"/>
                <w:w w:val="24"/>
                <w:fitText w:val="108" w:id="-629967614"/>
                <w14:textFill>
                  <w14:solidFill>
                    <w14:schemeClr w14:val="tx1">
                      <w14:alpha w14:val="100000"/>
                    </w14:schemeClr>
                  </w14:solidFill>
                </w14:textFill>
              </w:rPr>
              <w:t xml:space="preserve">　</w:t>
            </w:r>
            <w:r w:rsidRPr="001F60D7">
              <w:rPr>
                <w:w w:val="24"/>
                <w:fitText w:val="108" w:id="-629967614"/>
                <w14:textFill>
                  <w14:solidFill>
                    <w14:schemeClr w14:val="tx1">
                      <w14:alpha w14:val="100000"/>
                    </w14:schemeClr>
                  </w14:solidFill>
                </w14:textFill>
              </w:rPr>
              <w:t>|</w:t>
            </w:r>
            <w:r w:rsidRPr="001F60D7">
              <w:rPr>
                <w:rFonts w:hint="eastAsia"/>
                <w:w w:val="24"/>
                <w:fitText w:val="108" w:id="-629967614"/>
                <w14:textFill>
                  <w14:solidFill>
                    <w14:schemeClr w14:val="tx1">
                      <w14:alpha w14:val="100000"/>
                    </w14:schemeClr>
                  </w14:solidFill>
                </w14:textFill>
              </w:rPr>
              <w:t xml:space="preserve">　</w:t>
            </w:r>
          </w:p>
        </w:tc>
        <w:tc>
          <w:tcPr>
            <w:tcW w:w="956" w:type="dxa"/>
            <w:vAlign w:val="center"/>
          </w:tcPr>
          <w:p w14:paraId="2D8A91D8" w14:textId="77777777" w:rsidR="00A53BC9" w:rsidRPr="0031419F" w:rsidRDefault="00A53BC9" w:rsidP="002F61DF">
            <w:pPr>
              <w:pStyle w:val="Tabletext"/>
              <w:keepNext/>
              <w:keepLines/>
              <w:jc w:val="center"/>
            </w:pPr>
            <w:r w:rsidRPr="0031419F">
              <w:t>6.86</w:t>
            </w:r>
          </w:p>
        </w:tc>
        <w:tc>
          <w:tcPr>
            <w:tcW w:w="1358" w:type="dxa"/>
            <w:vAlign w:val="center"/>
          </w:tcPr>
          <w:p w14:paraId="3809C491" w14:textId="190EAE84"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A42EDF" w:rsidRPr="00423C1B">
              <w:rPr>
                <w:b/>
                <w:bCs/>
                <w:vertAlign w:val="superscript"/>
              </w:rPr>
              <w:t>1</w:t>
            </w:r>
          </w:p>
        </w:tc>
        <w:tc>
          <w:tcPr>
            <w:tcW w:w="805" w:type="dxa"/>
            <w:vAlign w:val="center"/>
          </w:tcPr>
          <w:p w14:paraId="69C6B1E2" w14:textId="77777777" w:rsidR="00A53BC9" w:rsidRPr="0031419F" w:rsidRDefault="00A53BC9" w:rsidP="002F61DF">
            <w:pPr>
              <w:pStyle w:val="Tabletext"/>
              <w:keepNext/>
              <w:keepLines/>
              <w:jc w:val="center"/>
            </w:pPr>
            <w:r w:rsidRPr="0031419F">
              <w:t>3.03</w:t>
            </w:r>
          </w:p>
        </w:tc>
        <w:tc>
          <w:tcPr>
            <w:tcW w:w="1183" w:type="dxa"/>
            <w:vAlign w:val="center"/>
          </w:tcPr>
          <w:p w14:paraId="06A328AF" w14:textId="7EF273FE" w:rsidR="00A53BC9" w:rsidRPr="0031419F" w:rsidRDefault="001F60D7" w:rsidP="002F61DF">
            <w:pPr>
              <w:pStyle w:val="Tabletext"/>
              <w:keepNext/>
              <w:keepLines/>
              <w:jc w:val="center"/>
            </w:pPr>
            <w:r w:rsidRPr="001F60D7">
              <w:rPr>
                <w:rFonts w:hint="eastAsia"/>
                <w:w w:val="29"/>
                <w:shd w:val="solid" w:color="000000" w:fill="000000"/>
                <w:fitText w:val="132" w:id="-629967613"/>
                <w14:textFill>
                  <w14:solidFill>
                    <w14:schemeClr w14:val="tx1">
                      <w14:alpha w14:val="100000"/>
                    </w14:schemeClr>
                  </w14:solidFill>
                </w14:textFill>
              </w:rPr>
              <w:t xml:space="preserve">　</w:t>
            </w:r>
            <w:r w:rsidRPr="001F60D7">
              <w:rPr>
                <w:w w:val="29"/>
                <w:shd w:val="solid" w:color="000000" w:fill="000000"/>
                <w:fitText w:val="132" w:id="-629967613"/>
                <w14:textFill>
                  <w14:solidFill>
                    <w14:schemeClr w14:val="tx1">
                      <w14:alpha w14:val="100000"/>
                    </w14:schemeClr>
                  </w14:solidFill>
                </w14:textFill>
              </w:rPr>
              <w:t>|</w:t>
            </w:r>
            <w:r w:rsidRPr="001F60D7">
              <w:rPr>
                <w:rFonts w:hint="eastAsia"/>
                <w:spacing w:val="4"/>
                <w:w w:val="29"/>
                <w:shd w:val="solid" w:color="000000" w:fill="000000"/>
                <w:fitText w:val="132" w:id="-629967613"/>
                <w14:textFill>
                  <w14:solidFill>
                    <w14:schemeClr w14:val="tx1">
                      <w14:alpha w14:val="100000"/>
                    </w14:schemeClr>
                  </w14:solidFill>
                </w14:textFill>
              </w:rPr>
              <w:t xml:space="preserve">　</w:t>
            </w:r>
            <w:r w:rsidR="00A53BC9" w:rsidRPr="0031419F">
              <w:t>%</w:t>
            </w:r>
          </w:p>
        </w:tc>
      </w:tr>
      <w:tr w:rsidR="00A53BC9" w:rsidRPr="0031419F" w14:paraId="00A956AF" w14:textId="77777777" w:rsidTr="001F60D7">
        <w:tc>
          <w:tcPr>
            <w:tcW w:w="3364" w:type="dxa"/>
            <w:vAlign w:val="center"/>
          </w:tcPr>
          <w:p w14:paraId="42FF6209" w14:textId="77777777" w:rsidR="00A53BC9" w:rsidRPr="0031419F" w:rsidRDefault="00A53BC9" w:rsidP="002F61DF">
            <w:pPr>
              <w:pStyle w:val="Tabletext"/>
              <w:keepNext/>
              <w:keepLines/>
            </w:pPr>
            <w:r w:rsidRPr="0031419F">
              <w:t>Start age = 25 years (as per Australian APDS case series report) (BC: 15 years)</w:t>
            </w:r>
          </w:p>
        </w:tc>
        <w:tc>
          <w:tcPr>
            <w:tcW w:w="1118" w:type="dxa"/>
            <w:tcBorders>
              <w:bottom w:val="single" w:sz="4" w:space="0" w:color="auto"/>
            </w:tcBorders>
            <w:shd w:val="solid" w:color="000000" w:fill="000000"/>
            <w:vAlign w:val="center"/>
          </w:tcPr>
          <w:p w14:paraId="5A60C95C" w14:textId="13A2ECDF" w:rsidR="00A53BC9" w:rsidRPr="00707B83" w:rsidRDefault="001F60D7" w:rsidP="002F61DF">
            <w:pPr>
              <w:pStyle w:val="Tabletext"/>
              <w:keepNext/>
              <w:keepLines/>
              <w:jc w:val="center"/>
              <w:rPr>
                <w:highlight w:val="darkGray"/>
              </w:rPr>
            </w:pPr>
            <w:r w:rsidRPr="001F60D7">
              <w:rPr>
                <w:rFonts w:hint="eastAsia"/>
                <w:w w:val="24"/>
                <w:fitText w:val="108" w:id="-629967612"/>
                <w14:textFill>
                  <w14:solidFill>
                    <w14:schemeClr w14:val="tx1">
                      <w14:alpha w14:val="100000"/>
                    </w14:schemeClr>
                  </w14:solidFill>
                </w14:textFill>
              </w:rPr>
              <w:t xml:space="preserve">　</w:t>
            </w:r>
            <w:r w:rsidRPr="001F60D7">
              <w:rPr>
                <w:w w:val="24"/>
                <w:fitText w:val="108" w:id="-629967612"/>
                <w14:textFill>
                  <w14:solidFill>
                    <w14:schemeClr w14:val="tx1">
                      <w14:alpha w14:val="100000"/>
                    </w14:schemeClr>
                  </w14:solidFill>
                </w14:textFill>
              </w:rPr>
              <w:t>|</w:t>
            </w:r>
            <w:r w:rsidRPr="001F60D7">
              <w:rPr>
                <w:rFonts w:hint="eastAsia"/>
                <w:w w:val="24"/>
                <w:fitText w:val="108" w:id="-629967612"/>
                <w14:textFill>
                  <w14:solidFill>
                    <w14:schemeClr w14:val="tx1">
                      <w14:alpha w14:val="100000"/>
                    </w14:schemeClr>
                  </w14:solidFill>
                </w14:textFill>
              </w:rPr>
              <w:t xml:space="preserve">　</w:t>
            </w:r>
          </w:p>
        </w:tc>
        <w:tc>
          <w:tcPr>
            <w:tcW w:w="956" w:type="dxa"/>
            <w:vAlign w:val="center"/>
          </w:tcPr>
          <w:p w14:paraId="4E19C34F" w14:textId="77777777" w:rsidR="00A53BC9" w:rsidRPr="0031419F" w:rsidRDefault="00A53BC9" w:rsidP="002F61DF">
            <w:pPr>
              <w:pStyle w:val="Tabletext"/>
              <w:keepNext/>
              <w:keepLines/>
              <w:jc w:val="center"/>
            </w:pPr>
            <w:r w:rsidRPr="0031419F">
              <w:t>7.94</w:t>
            </w:r>
          </w:p>
        </w:tc>
        <w:tc>
          <w:tcPr>
            <w:tcW w:w="1358" w:type="dxa"/>
            <w:vAlign w:val="center"/>
          </w:tcPr>
          <w:p w14:paraId="4D669553" w14:textId="02730202"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FB58C2" w:rsidRPr="00FB58C2">
              <w:rPr>
                <w:vertAlign w:val="superscript"/>
              </w:rPr>
              <w:t>4</w:t>
            </w:r>
          </w:p>
        </w:tc>
        <w:tc>
          <w:tcPr>
            <w:tcW w:w="805" w:type="dxa"/>
            <w:vAlign w:val="center"/>
          </w:tcPr>
          <w:p w14:paraId="737B7302" w14:textId="77777777" w:rsidR="00A53BC9" w:rsidRPr="0031419F" w:rsidRDefault="00A53BC9" w:rsidP="002F61DF">
            <w:pPr>
              <w:pStyle w:val="Tabletext"/>
              <w:keepNext/>
              <w:keepLines/>
              <w:jc w:val="center"/>
            </w:pPr>
            <w:r w:rsidRPr="0031419F">
              <w:t>3.33</w:t>
            </w:r>
          </w:p>
        </w:tc>
        <w:tc>
          <w:tcPr>
            <w:tcW w:w="1183" w:type="dxa"/>
            <w:vAlign w:val="center"/>
          </w:tcPr>
          <w:p w14:paraId="61F7F61B" w14:textId="7166C1B8" w:rsidR="00A53BC9" w:rsidRPr="0031419F" w:rsidRDefault="00A53BC9" w:rsidP="002F61DF">
            <w:pPr>
              <w:pStyle w:val="Tabletext"/>
              <w:keepNext/>
              <w:keepLines/>
              <w:jc w:val="center"/>
            </w:pPr>
            <w:r w:rsidRPr="0031419F">
              <w:t>-</w:t>
            </w:r>
            <w:r w:rsidR="001F60D7" w:rsidRPr="001F60D7">
              <w:rPr>
                <w:spacing w:val="118"/>
                <w:shd w:val="solid" w:color="000000" w:fill="000000"/>
                <w:fitText w:val="204" w:id="-629967611"/>
                <w14:textFill>
                  <w14:solidFill>
                    <w14:schemeClr w14:val="tx1">
                      <w14:alpha w14:val="100000"/>
                    </w14:schemeClr>
                  </w14:solidFill>
                </w14:textFill>
              </w:rPr>
              <w:t>|</w:t>
            </w:r>
            <w:r w:rsidR="001F60D7" w:rsidRPr="001F60D7">
              <w:rPr>
                <w:spacing w:val="1"/>
                <w:shd w:val="solid" w:color="000000" w:fill="000000"/>
                <w:fitText w:val="204" w:id="-629967611"/>
                <w14:textFill>
                  <w14:solidFill>
                    <w14:schemeClr w14:val="tx1">
                      <w14:alpha w14:val="100000"/>
                    </w14:schemeClr>
                  </w14:solidFill>
                </w14:textFill>
              </w:rPr>
              <w:t>|</w:t>
            </w:r>
            <w:r w:rsidRPr="0031419F">
              <w:t>4%</w:t>
            </w:r>
          </w:p>
        </w:tc>
      </w:tr>
      <w:tr w:rsidR="00A53BC9" w:rsidRPr="0031419F" w14:paraId="39312556" w14:textId="77777777" w:rsidTr="001F60D7">
        <w:tc>
          <w:tcPr>
            <w:tcW w:w="3364" w:type="dxa"/>
            <w:vAlign w:val="center"/>
          </w:tcPr>
          <w:p w14:paraId="4E9A45F2" w14:textId="77777777" w:rsidR="00A53BC9" w:rsidRPr="0031419F" w:rsidRDefault="00A53BC9" w:rsidP="002F61DF">
            <w:pPr>
              <w:pStyle w:val="Tabletext"/>
              <w:keepNext/>
              <w:keepLines/>
            </w:pPr>
            <w:r w:rsidRPr="0031419F">
              <w:t>Assume 100% discontinuation in year 1 (BC: 2.55%)</w:t>
            </w:r>
          </w:p>
        </w:tc>
        <w:tc>
          <w:tcPr>
            <w:tcW w:w="1118" w:type="dxa"/>
            <w:tcBorders>
              <w:bottom w:val="single" w:sz="4" w:space="0" w:color="auto"/>
            </w:tcBorders>
            <w:shd w:val="solid" w:color="000000" w:fill="000000"/>
            <w:vAlign w:val="center"/>
          </w:tcPr>
          <w:p w14:paraId="0F7A2E3B" w14:textId="125F86B1" w:rsidR="00A53BC9" w:rsidRPr="00707B83" w:rsidRDefault="001F60D7" w:rsidP="002F61DF">
            <w:pPr>
              <w:pStyle w:val="Tabletext"/>
              <w:keepNext/>
              <w:keepLines/>
              <w:jc w:val="center"/>
              <w:rPr>
                <w:highlight w:val="darkGray"/>
              </w:rPr>
            </w:pPr>
            <w:r w:rsidRPr="001F60D7">
              <w:rPr>
                <w:rFonts w:hint="eastAsia"/>
                <w:w w:val="24"/>
                <w:fitText w:val="108" w:id="-629967610"/>
                <w14:textFill>
                  <w14:solidFill>
                    <w14:schemeClr w14:val="tx1">
                      <w14:alpha w14:val="100000"/>
                    </w14:schemeClr>
                  </w14:solidFill>
                </w14:textFill>
              </w:rPr>
              <w:t xml:space="preserve">　</w:t>
            </w:r>
            <w:r w:rsidRPr="001F60D7">
              <w:rPr>
                <w:w w:val="24"/>
                <w:fitText w:val="108" w:id="-629967610"/>
                <w14:textFill>
                  <w14:solidFill>
                    <w14:schemeClr w14:val="tx1">
                      <w14:alpha w14:val="100000"/>
                    </w14:schemeClr>
                  </w14:solidFill>
                </w14:textFill>
              </w:rPr>
              <w:t>|</w:t>
            </w:r>
            <w:r w:rsidRPr="001F60D7">
              <w:rPr>
                <w:rFonts w:hint="eastAsia"/>
                <w:w w:val="24"/>
                <w:fitText w:val="108" w:id="-629967610"/>
                <w14:textFill>
                  <w14:solidFill>
                    <w14:schemeClr w14:val="tx1">
                      <w14:alpha w14:val="100000"/>
                    </w14:schemeClr>
                  </w14:solidFill>
                </w14:textFill>
              </w:rPr>
              <w:t xml:space="preserve">　</w:t>
            </w:r>
          </w:p>
        </w:tc>
        <w:tc>
          <w:tcPr>
            <w:tcW w:w="956" w:type="dxa"/>
            <w:vAlign w:val="center"/>
          </w:tcPr>
          <w:p w14:paraId="5D4C54B0" w14:textId="77777777" w:rsidR="00A53BC9" w:rsidRPr="0031419F" w:rsidRDefault="00A53BC9" w:rsidP="002F61DF">
            <w:pPr>
              <w:pStyle w:val="Tabletext"/>
              <w:keepNext/>
              <w:keepLines/>
              <w:jc w:val="center"/>
            </w:pPr>
            <w:r w:rsidRPr="0031419F">
              <w:t>2.11</w:t>
            </w:r>
          </w:p>
        </w:tc>
        <w:tc>
          <w:tcPr>
            <w:tcW w:w="1358" w:type="dxa"/>
            <w:vAlign w:val="center"/>
          </w:tcPr>
          <w:p w14:paraId="5459DA2C" w14:textId="41FDBEFF"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D1717E" w:rsidRPr="00D1717E">
              <w:rPr>
                <w:vertAlign w:val="superscript"/>
              </w:rPr>
              <w:t>5</w:t>
            </w:r>
          </w:p>
        </w:tc>
        <w:tc>
          <w:tcPr>
            <w:tcW w:w="805" w:type="dxa"/>
            <w:vAlign w:val="center"/>
          </w:tcPr>
          <w:p w14:paraId="1613BBF4" w14:textId="77777777" w:rsidR="00A53BC9" w:rsidRPr="0031419F" w:rsidRDefault="00A53BC9" w:rsidP="002F61DF">
            <w:pPr>
              <w:pStyle w:val="Tabletext"/>
              <w:keepNext/>
              <w:keepLines/>
              <w:jc w:val="center"/>
            </w:pPr>
            <w:r w:rsidRPr="0031419F">
              <w:t>0.02</w:t>
            </w:r>
          </w:p>
        </w:tc>
        <w:tc>
          <w:tcPr>
            <w:tcW w:w="1183" w:type="dxa"/>
            <w:vAlign w:val="center"/>
          </w:tcPr>
          <w:p w14:paraId="0E1E3DAF" w14:textId="04665DAE" w:rsidR="00A53BC9" w:rsidRPr="0031419F" w:rsidRDefault="00A53BC9" w:rsidP="002F61DF">
            <w:pPr>
              <w:pStyle w:val="Tabletext"/>
              <w:keepNext/>
              <w:keepLines/>
              <w:jc w:val="center"/>
            </w:pPr>
            <w:r w:rsidRPr="0031419F">
              <w:t>-</w:t>
            </w:r>
            <w:r w:rsidR="001F60D7" w:rsidRPr="001F60D7">
              <w:rPr>
                <w:spacing w:val="118"/>
                <w:shd w:val="solid" w:color="000000" w:fill="000000"/>
                <w:fitText w:val="204" w:id="-629967609"/>
                <w14:textFill>
                  <w14:solidFill>
                    <w14:schemeClr w14:val="tx1">
                      <w14:alpha w14:val="100000"/>
                    </w14:schemeClr>
                  </w14:solidFill>
                </w14:textFill>
              </w:rPr>
              <w:t>|</w:t>
            </w:r>
            <w:r w:rsidR="001F60D7" w:rsidRPr="001F60D7">
              <w:rPr>
                <w:spacing w:val="1"/>
                <w:shd w:val="solid" w:color="000000" w:fill="000000"/>
                <w:fitText w:val="204" w:id="-629967609"/>
                <w14:textFill>
                  <w14:solidFill>
                    <w14:schemeClr w14:val="tx1">
                      <w14:alpha w14:val="100000"/>
                    </w14:schemeClr>
                  </w14:solidFill>
                </w14:textFill>
              </w:rPr>
              <w:t>|</w:t>
            </w:r>
            <w:r w:rsidRPr="0031419F">
              <w:t>3%</w:t>
            </w:r>
          </w:p>
        </w:tc>
      </w:tr>
      <w:tr w:rsidR="00A53BC9" w:rsidRPr="0031419F" w14:paraId="1CC2CBCA" w14:textId="77777777" w:rsidTr="001F60D7">
        <w:tc>
          <w:tcPr>
            <w:tcW w:w="3364" w:type="dxa"/>
            <w:vAlign w:val="center"/>
          </w:tcPr>
          <w:p w14:paraId="2D722803" w14:textId="77777777" w:rsidR="00A53BC9" w:rsidRPr="0031419F" w:rsidRDefault="00A53BC9" w:rsidP="002F61DF">
            <w:pPr>
              <w:pStyle w:val="Tabletext"/>
              <w:keepNext/>
              <w:keepLines/>
            </w:pPr>
            <w:r w:rsidRPr="0031419F">
              <w:t>Assume discontinuation = 5% (BC: 2.55%)</w:t>
            </w:r>
          </w:p>
        </w:tc>
        <w:tc>
          <w:tcPr>
            <w:tcW w:w="1118" w:type="dxa"/>
            <w:tcBorders>
              <w:bottom w:val="single" w:sz="4" w:space="0" w:color="auto"/>
            </w:tcBorders>
            <w:shd w:val="solid" w:color="000000" w:fill="000000"/>
            <w:vAlign w:val="center"/>
          </w:tcPr>
          <w:p w14:paraId="0F75D7C8" w14:textId="4B546FF1" w:rsidR="00A53BC9" w:rsidRPr="00707B83" w:rsidRDefault="001F60D7" w:rsidP="002F61DF">
            <w:pPr>
              <w:pStyle w:val="Tabletext"/>
              <w:keepNext/>
              <w:keepLines/>
              <w:jc w:val="center"/>
              <w:rPr>
                <w:highlight w:val="darkGray"/>
              </w:rPr>
            </w:pPr>
            <w:r w:rsidRPr="001F60D7">
              <w:rPr>
                <w:rFonts w:hint="eastAsia"/>
                <w:w w:val="24"/>
                <w:fitText w:val="108" w:id="-629967608"/>
                <w14:textFill>
                  <w14:solidFill>
                    <w14:schemeClr w14:val="tx1">
                      <w14:alpha w14:val="100000"/>
                    </w14:schemeClr>
                  </w14:solidFill>
                </w14:textFill>
              </w:rPr>
              <w:t xml:space="preserve">　</w:t>
            </w:r>
            <w:r w:rsidRPr="001F60D7">
              <w:rPr>
                <w:w w:val="24"/>
                <w:fitText w:val="108" w:id="-629967608"/>
                <w14:textFill>
                  <w14:solidFill>
                    <w14:schemeClr w14:val="tx1">
                      <w14:alpha w14:val="100000"/>
                    </w14:schemeClr>
                  </w14:solidFill>
                </w14:textFill>
              </w:rPr>
              <w:t>|</w:t>
            </w:r>
            <w:r w:rsidRPr="001F60D7">
              <w:rPr>
                <w:rFonts w:hint="eastAsia"/>
                <w:w w:val="24"/>
                <w:fitText w:val="108" w:id="-629967608"/>
                <w14:textFill>
                  <w14:solidFill>
                    <w14:schemeClr w14:val="tx1">
                      <w14:alpha w14:val="100000"/>
                    </w14:schemeClr>
                  </w14:solidFill>
                </w14:textFill>
              </w:rPr>
              <w:t xml:space="preserve">　</w:t>
            </w:r>
          </w:p>
        </w:tc>
        <w:tc>
          <w:tcPr>
            <w:tcW w:w="956" w:type="dxa"/>
            <w:vAlign w:val="center"/>
          </w:tcPr>
          <w:p w14:paraId="36E3BB38" w14:textId="77777777" w:rsidR="00A53BC9" w:rsidRPr="0031419F" w:rsidRDefault="00A53BC9" w:rsidP="002F61DF">
            <w:pPr>
              <w:pStyle w:val="Tabletext"/>
              <w:keepNext/>
              <w:keepLines/>
              <w:jc w:val="center"/>
            </w:pPr>
            <w:r w:rsidRPr="0031419F">
              <w:t>5.83</w:t>
            </w:r>
          </w:p>
        </w:tc>
        <w:tc>
          <w:tcPr>
            <w:tcW w:w="1358" w:type="dxa"/>
            <w:vAlign w:val="center"/>
          </w:tcPr>
          <w:p w14:paraId="59922996" w14:textId="08E622E6"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8360DB" w:rsidRPr="00FB58C2">
              <w:rPr>
                <w:vertAlign w:val="superscript"/>
              </w:rPr>
              <w:t>4</w:t>
            </w:r>
          </w:p>
        </w:tc>
        <w:tc>
          <w:tcPr>
            <w:tcW w:w="805" w:type="dxa"/>
            <w:vAlign w:val="center"/>
          </w:tcPr>
          <w:p w14:paraId="57523BF4" w14:textId="77777777" w:rsidR="00A53BC9" w:rsidRPr="0031419F" w:rsidRDefault="00A53BC9" w:rsidP="002F61DF">
            <w:pPr>
              <w:pStyle w:val="Tabletext"/>
              <w:keepNext/>
              <w:keepLines/>
              <w:jc w:val="center"/>
            </w:pPr>
            <w:r w:rsidRPr="0031419F">
              <w:t>2.36</w:t>
            </w:r>
          </w:p>
        </w:tc>
        <w:tc>
          <w:tcPr>
            <w:tcW w:w="1183" w:type="dxa"/>
            <w:vAlign w:val="center"/>
          </w:tcPr>
          <w:p w14:paraId="08D2DF07" w14:textId="0C72D65A" w:rsidR="00A53BC9" w:rsidRPr="0031419F" w:rsidRDefault="00A53BC9" w:rsidP="002F61DF">
            <w:pPr>
              <w:pStyle w:val="Tabletext"/>
              <w:keepNext/>
              <w:keepLines/>
              <w:jc w:val="center"/>
            </w:pPr>
            <w:r w:rsidRPr="0031419F">
              <w:t>-</w:t>
            </w:r>
            <w:r w:rsidR="001F60D7" w:rsidRPr="001F60D7">
              <w:rPr>
                <w:spacing w:val="82"/>
                <w:shd w:val="solid" w:color="000000" w:fill="000000"/>
                <w:fitText w:val="168" w:id="-629967607"/>
                <w14:textFill>
                  <w14:solidFill>
                    <w14:schemeClr w14:val="tx1">
                      <w14:alpha w14:val="100000"/>
                    </w14:schemeClr>
                  </w14:solidFill>
                </w14:textFill>
              </w:rPr>
              <w:t>|</w:t>
            </w:r>
            <w:r w:rsidR="001F60D7" w:rsidRPr="001F60D7">
              <w:rPr>
                <w:spacing w:val="1"/>
                <w:shd w:val="solid" w:color="000000" w:fill="000000"/>
                <w:fitText w:val="168" w:id="-629967607"/>
                <w14:textFill>
                  <w14:solidFill>
                    <w14:schemeClr w14:val="tx1">
                      <w14:alpha w14:val="100000"/>
                    </w14:schemeClr>
                  </w14:solidFill>
                </w14:textFill>
              </w:rPr>
              <w:t>|</w:t>
            </w:r>
            <w:r w:rsidRPr="0031419F">
              <w:t>%</w:t>
            </w:r>
          </w:p>
        </w:tc>
      </w:tr>
      <w:tr w:rsidR="008E1D77" w:rsidRPr="0031419F" w14:paraId="7B046E8E" w14:textId="77777777" w:rsidTr="001F60D7">
        <w:tc>
          <w:tcPr>
            <w:tcW w:w="3364" w:type="dxa"/>
            <w:vAlign w:val="center"/>
          </w:tcPr>
          <w:p w14:paraId="7810B95B" w14:textId="00A6706D" w:rsidR="008E1D77" w:rsidRPr="0031419F" w:rsidRDefault="008E1D77" w:rsidP="002F61DF">
            <w:pPr>
              <w:pStyle w:val="Tabletext"/>
              <w:keepNext/>
              <w:keepLines/>
            </w:pPr>
            <w:r w:rsidRPr="0031419F">
              <w:t>Post-discontinuation manifestation risk "4. Catch up SOC" (BC: “2. Return to starting age risk”)</w:t>
            </w:r>
            <w:r w:rsidR="00CF5982" w:rsidRPr="0031419F">
              <w:rPr>
                <w:vertAlign w:val="superscript"/>
              </w:rPr>
              <w:t>a</w:t>
            </w:r>
            <w:r w:rsidR="001F3CCB" w:rsidRPr="0031419F">
              <w:rPr>
                <w:vertAlign w:val="superscript"/>
              </w:rPr>
              <w:t xml:space="preserve"> </w:t>
            </w:r>
          </w:p>
        </w:tc>
        <w:tc>
          <w:tcPr>
            <w:tcW w:w="1118" w:type="dxa"/>
            <w:tcBorders>
              <w:bottom w:val="single" w:sz="4" w:space="0" w:color="auto"/>
            </w:tcBorders>
            <w:shd w:val="solid" w:color="000000" w:fill="000000"/>
            <w:vAlign w:val="center"/>
          </w:tcPr>
          <w:p w14:paraId="34A3C202" w14:textId="173A3090" w:rsidR="008E1D77" w:rsidRPr="00707B83" w:rsidRDefault="001F60D7" w:rsidP="002F61DF">
            <w:pPr>
              <w:pStyle w:val="Tabletext"/>
              <w:keepNext/>
              <w:keepLines/>
              <w:jc w:val="center"/>
              <w:rPr>
                <w:highlight w:val="darkGray"/>
              </w:rPr>
            </w:pPr>
            <w:r w:rsidRPr="001F60D7">
              <w:rPr>
                <w:rFonts w:hint="eastAsia"/>
                <w:w w:val="24"/>
                <w:fitText w:val="108" w:id="-629967606"/>
                <w14:textFill>
                  <w14:solidFill>
                    <w14:schemeClr w14:val="tx1">
                      <w14:alpha w14:val="100000"/>
                    </w14:schemeClr>
                  </w14:solidFill>
                </w14:textFill>
              </w:rPr>
              <w:t xml:space="preserve">　</w:t>
            </w:r>
            <w:r w:rsidRPr="001F60D7">
              <w:rPr>
                <w:w w:val="24"/>
                <w:fitText w:val="108" w:id="-629967606"/>
                <w14:textFill>
                  <w14:solidFill>
                    <w14:schemeClr w14:val="tx1">
                      <w14:alpha w14:val="100000"/>
                    </w14:schemeClr>
                  </w14:solidFill>
                </w14:textFill>
              </w:rPr>
              <w:t>|</w:t>
            </w:r>
            <w:r w:rsidRPr="001F60D7">
              <w:rPr>
                <w:rFonts w:hint="eastAsia"/>
                <w:w w:val="24"/>
                <w:fitText w:val="108" w:id="-629967606"/>
                <w14:textFill>
                  <w14:solidFill>
                    <w14:schemeClr w14:val="tx1">
                      <w14:alpha w14:val="100000"/>
                    </w14:schemeClr>
                  </w14:solidFill>
                </w14:textFill>
              </w:rPr>
              <w:t xml:space="preserve">　</w:t>
            </w:r>
          </w:p>
        </w:tc>
        <w:tc>
          <w:tcPr>
            <w:tcW w:w="956" w:type="dxa"/>
            <w:vAlign w:val="center"/>
          </w:tcPr>
          <w:p w14:paraId="09569A93" w14:textId="0BBD4959" w:rsidR="008E1D77" w:rsidRPr="0031419F" w:rsidRDefault="008E1D77" w:rsidP="002F61DF">
            <w:pPr>
              <w:pStyle w:val="Tabletext"/>
              <w:keepNext/>
              <w:keepLines/>
              <w:jc w:val="center"/>
            </w:pPr>
            <w:r w:rsidRPr="0031419F">
              <w:t>6.88</w:t>
            </w:r>
          </w:p>
        </w:tc>
        <w:tc>
          <w:tcPr>
            <w:tcW w:w="1358" w:type="dxa"/>
            <w:vAlign w:val="center"/>
          </w:tcPr>
          <w:p w14:paraId="5A74B6B1" w14:textId="7D454C95" w:rsidR="008E1D77"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A42EDF" w:rsidRPr="00423C1B">
              <w:rPr>
                <w:b/>
                <w:bCs/>
                <w:vertAlign w:val="superscript"/>
              </w:rPr>
              <w:t>1</w:t>
            </w:r>
          </w:p>
        </w:tc>
        <w:tc>
          <w:tcPr>
            <w:tcW w:w="805" w:type="dxa"/>
            <w:vAlign w:val="center"/>
          </w:tcPr>
          <w:p w14:paraId="4A919478" w14:textId="1AED3955" w:rsidR="008E1D77" w:rsidRPr="0031419F" w:rsidRDefault="008E1D77" w:rsidP="002F61DF">
            <w:pPr>
              <w:pStyle w:val="Tabletext"/>
              <w:keepNext/>
              <w:keepLines/>
              <w:jc w:val="center"/>
            </w:pPr>
            <w:r w:rsidRPr="0031419F">
              <w:t>3.17</w:t>
            </w:r>
          </w:p>
        </w:tc>
        <w:tc>
          <w:tcPr>
            <w:tcW w:w="1183" w:type="dxa"/>
            <w:vAlign w:val="center"/>
          </w:tcPr>
          <w:p w14:paraId="4DF99636" w14:textId="46EF9F0C" w:rsidR="008E1D77" w:rsidRPr="0031419F" w:rsidRDefault="001F60D7" w:rsidP="002F61DF">
            <w:pPr>
              <w:pStyle w:val="Tabletext"/>
              <w:keepNext/>
              <w:keepLines/>
              <w:jc w:val="center"/>
            </w:pPr>
            <w:r w:rsidRPr="001F60D7">
              <w:rPr>
                <w:rFonts w:hint="eastAsia"/>
                <w:w w:val="29"/>
                <w:shd w:val="solid" w:color="000000" w:fill="000000"/>
                <w:fitText w:val="132" w:id="-629967605"/>
                <w14:textFill>
                  <w14:solidFill>
                    <w14:schemeClr w14:val="tx1">
                      <w14:alpha w14:val="100000"/>
                    </w14:schemeClr>
                  </w14:solidFill>
                </w14:textFill>
              </w:rPr>
              <w:t xml:space="preserve">　</w:t>
            </w:r>
            <w:r w:rsidRPr="001F60D7">
              <w:rPr>
                <w:w w:val="29"/>
                <w:shd w:val="solid" w:color="000000" w:fill="000000"/>
                <w:fitText w:val="132" w:id="-629967605"/>
                <w14:textFill>
                  <w14:solidFill>
                    <w14:schemeClr w14:val="tx1">
                      <w14:alpha w14:val="100000"/>
                    </w14:schemeClr>
                  </w14:solidFill>
                </w14:textFill>
              </w:rPr>
              <w:t>|</w:t>
            </w:r>
            <w:r w:rsidRPr="001F60D7">
              <w:rPr>
                <w:rFonts w:hint="eastAsia"/>
                <w:spacing w:val="4"/>
                <w:w w:val="29"/>
                <w:shd w:val="solid" w:color="000000" w:fill="000000"/>
                <w:fitText w:val="132" w:id="-629967605"/>
                <w14:textFill>
                  <w14:solidFill>
                    <w14:schemeClr w14:val="tx1">
                      <w14:alpha w14:val="100000"/>
                    </w14:schemeClr>
                  </w14:solidFill>
                </w14:textFill>
              </w:rPr>
              <w:t xml:space="preserve">　</w:t>
            </w:r>
            <w:r w:rsidR="008E1D77" w:rsidRPr="0031419F">
              <w:t>%</w:t>
            </w:r>
          </w:p>
        </w:tc>
      </w:tr>
      <w:tr w:rsidR="00882C74" w:rsidRPr="0031419F" w14:paraId="2309F295" w14:textId="77777777" w:rsidTr="001F60D7">
        <w:tc>
          <w:tcPr>
            <w:tcW w:w="3364" w:type="dxa"/>
            <w:vAlign w:val="center"/>
          </w:tcPr>
          <w:p w14:paraId="28BC34E2" w14:textId="496F5394" w:rsidR="00882C74" w:rsidRPr="0031419F" w:rsidRDefault="00882C74" w:rsidP="002F61DF">
            <w:pPr>
              <w:pStyle w:val="Tabletext"/>
              <w:keepNext/>
              <w:keepLines/>
            </w:pPr>
            <w:r w:rsidRPr="0031419F">
              <w:t>Assume "4. Catch up SOC"</w:t>
            </w:r>
            <w:r w:rsidR="001F6189" w:rsidRPr="0031419F">
              <w:rPr>
                <w:vertAlign w:val="superscript"/>
              </w:rPr>
              <w:t>a</w:t>
            </w:r>
            <w:r w:rsidRPr="0031419F">
              <w:t xml:space="preserve"> + 100% discontinuation for manifestation and additional treatments</w:t>
            </w:r>
          </w:p>
        </w:tc>
        <w:tc>
          <w:tcPr>
            <w:tcW w:w="1118" w:type="dxa"/>
            <w:tcBorders>
              <w:bottom w:val="single" w:sz="4" w:space="0" w:color="auto"/>
            </w:tcBorders>
            <w:shd w:val="solid" w:color="000000" w:fill="000000"/>
            <w:vAlign w:val="center"/>
          </w:tcPr>
          <w:p w14:paraId="57458C5B" w14:textId="59D63500" w:rsidR="00882C74" w:rsidRPr="00707B83" w:rsidRDefault="001F60D7" w:rsidP="002F61DF">
            <w:pPr>
              <w:pStyle w:val="Tabletext"/>
              <w:keepNext/>
              <w:keepLines/>
              <w:jc w:val="center"/>
              <w:rPr>
                <w:highlight w:val="darkGray"/>
              </w:rPr>
            </w:pPr>
            <w:r w:rsidRPr="001F60D7">
              <w:rPr>
                <w:rFonts w:hint="eastAsia"/>
                <w:w w:val="24"/>
                <w:fitText w:val="108" w:id="-629967604"/>
                <w14:textFill>
                  <w14:solidFill>
                    <w14:schemeClr w14:val="tx1">
                      <w14:alpha w14:val="100000"/>
                    </w14:schemeClr>
                  </w14:solidFill>
                </w14:textFill>
              </w:rPr>
              <w:t xml:space="preserve">　</w:t>
            </w:r>
            <w:r w:rsidRPr="001F60D7">
              <w:rPr>
                <w:w w:val="24"/>
                <w:fitText w:val="108" w:id="-629967604"/>
                <w14:textFill>
                  <w14:solidFill>
                    <w14:schemeClr w14:val="tx1">
                      <w14:alpha w14:val="100000"/>
                    </w14:schemeClr>
                  </w14:solidFill>
                </w14:textFill>
              </w:rPr>
              <w:t>|</w:t>
            </w:r>
            <w:r w:rsidRPr="001F60D7">
              <w:rPr>
                <w:rFonts w:hint="eastAsia"/>
                <w:w w:val="24"/>
                <w:fitText w:val="108" w:id="-629967604"/>
                <w14:textFill>
                  <w14:solidFill>
                    <w14:schemeClr w14:val="tx1">
                      <w14:alpha w14:val="100000"/>
                    </w14:schemeClr>
                  </w14:solidFill>
                </w14:textFill>
              </w:rPr>
              <w:t xml:space="preserve">　</w:t>
            </w:r>
          </w:p>
        </w:tc>
        <w:tc>
          <w:tcPr>
            <w:tcW w:w="956" w:type="dxa"/>
            <w:vAlign w:val="center"/>
          </w:tcPr>
          <w:p w14:paraId="22265920" w14:textId="591041E3" w:rsidR="00882C74" w:rsidRPr="0031419F" w:rsidRDefault="00882C74" w:rsidP="002F61DF">
            <w:pPr>
              <w:pStyle w:val="Tabletext"/>
              <w:keepNext/>
              <w:keepLines/>
              <w:jc w:val="center"/>
            </w:pPr>
            <w:r w:rsidRPr="0031419F">
              <w:t>0.37</w:t>
            </w:r>
          </w:p>
        </w:tc>
        <w:tc>
          <w:tcPr>
            <w:tcW w:w="1358" w:type="dxa"/>
            <w:vAlign w:val="center"/>
          </w:tcPr>
          <w:p w14:paraId="3435E0D7" w14:textId="3793487C" w:rsidR="00882C74"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FA6DFF" w:rsidRPr="00FA6DFF">
              <w:rPr>
                <w:vertAlign w:val="superscript"/>
              </w:rPr>
              <w:t>6</w:t>
            </w:r>
          </w:p>
        </w:tc>
        <w:tc>
          <w:tcPr>
            <w:tcW w:w="805" w:type="dxa"/>
            <w:vAlign w:val="center"/>
          </w:tcPr>
          <w:p w14:paraId="11FF6523" w14:textId="5F23565D" w:rsidR="00882C74" w:rsidRPr="0031419F" w:rsidRDefault="00882C74" w:rsidP="002F61DF">
            <w:pPr>
              <w:pStyle w:val="Tabletext"/>
              <w:keepNext/>
              <w:keepLines/>
              <w:jc w:val="center"/>
            </w:pPr>
            <w:r w:rsidRPr="0031419F">
              <w:t>0.02</w:t>
            </w:r>
          </w:p>
        </w:tc>
        <w:tc>
          <w:tcPr>
            <w:tcW w:w="1183" w:type="dxa"/>
            <w:vAlign w:val="center"/>
          </w:tcPr>
          <w:p w14:paraId="0DD798B4" w14:textId="10F899AF" w:rsidR="00882C74" w:rsidRPr="0031419F" w:rsidRDefault="00882C74" w:rsidP="002F61DF">
            <w:pPr>
              <w:pStyle w:val="Tabletext"/>
              <w:keepNext/>
              <w:keepLines/>
              <w:jc w:val="center"/>
            </w:pPr>
            <w:r w:rsidRPr="0031419F">
              <w:t>-</w:t>
            </w:r>
            <w:r w:rsidR="001F60D7" w:rsidRPr="001F60D7">
              <w:rPr>
                <w:spacing w:val="82"/>
                <w:shd w:val="solid" w:color="000000" w:fill="000000"/>
                <w:fitText w:val="168" w:id="-629967603"/>
                <w14:textFill>
                  <w14:solidFill>
                    <w14:schemeClr w14:val="tx1">
                      <w14:alpha w14:val="100000"/>
                    </w14:schemeClr>
                  </w14:solidFill>
                </w14:textFill>
              </w:rPr>
              <w:t>|</w:t>
            </w:r>
            <w:r w:rsidR="001F60D7" w:rsidRPr="001F60D7">
              <w:rPr>
                <w:spacing w:val="1"/>
                <w:shd w:val="solid" w:color="000000" w:fill="000000"/>
                <w:fitText w:val="168" w:id="-629967603"/>
                <w14:textFill>
                  <w14:solidFill>
                    <w14:schemeClr w14:val="tx1">
                      <w14:alpha w14:val="100000"/>
                    </w14:schemeClr>
                  </w14:solidFill>
                </w14:textFill>
              </w:rPr>
              <w:t>|</w:t>
            </w:r>
            <w:r w:rsidRPr="0031419F">
              <w:t>%</w:t>
            </w:r>
          </w:p>
        </w:tc>
      </w:tr>
      <w:tr w:rsidR="00A53BC9" w:rsidRPr="0031419F" w14:paraId="32E33927" w14:textId="77777777" w:rsidTr="001F60D7">
        <w:tc>
          <w:tcPr>
            <w:tcW w:w="3364" w:type="dxa"/>
            <w:vAlign w:val="center"/>
          </w:tcPr>
          <w:p w14:paraId="15626A05" w14:textId="77777777" w:rsidR="00A53BC9" w:rsidRPr="0031419F" w:rsidRDefault="00A53BC9" w:rsidP="002F61DF">
            <w:pPr>
              <w:pStyle w:val="Tabletext"/>
              <w:keepNext/>
              <w:keepLines/>
            </w:pPr>
            <w:r w:rsidRPr="0031419F">
              <w:t>GI utility multiplier = 0.75 (BC: 0.47)</w:t>
            </w:r>
          </w:p>
        </w:tc>
        <w:tc>
          <w:tcPr>
            <w:tcW w:w="1118" w:type="dxa"/>
            <w:tcBorders>
              <w:bottom w:val="single" w:sz="4" w:space="0" w:color="auto"/>
            </w:tcBorders>
            <w:shd w:val="solid" w:color="000000" w:fill="000000"/>
            <w:vAlign w:val="center"/>
          </w:tcPr>
          <w:p w14:paraId="7B8A0001" w14:textId="3968EEEA" w:rsidR="00A53BC9" w:rsidRPr="00707B83" w:rsidRDefault="001F60D7" w:rsidP="002F61DF">
            <w:pPr>
              <w:pStyle w:val="Tabletext"/>
              <w:keepNext/>
              <w:keepLines/>
              <w:jc w:val="center"/>
              <w:rPr>
                <w:highlight w:val="darkGray"/>
              </w:rPr>
            </w:pPr>
            <w:r w:rsidRPr="001F60D7">
              <w:rPr>
                <w:rFonts w:hint="eastAsia"/>
                <w:w w:val="24"/>
                <w:fitText w:val="108" w:id="-629967602"/>
                <w14:textFill>
                  <w14:solidFill>
                    <w14:schemeClr w14:val="tx1">
                      <w14:alpha w14:val="100000"/>
                    </w14:schemeClr>
                  </w14:solidFill>
                </w14:textFill>
              </w:rPr>
              <w:t xml:space="preserve">　</w:t>
            </w:r>
            <w:r w:rsidRPr="001F60D7">
              <w:rPr>
                <w:w w:val="24"/>
                <w:fitText w:val="108" w:id="-629967602"/>
                <w14:textFill>
                  <w14:solidFill>
                    <w14:schemeClr w14:val="tx1">
                      <w14:alpha w14:val="100000"/>
                    </w14:schemeClr>
                  </w14:solidFill>
                </w14:textFill>
              </w:rPr>
              <w:t>|</w:t>
            </w:r>
            <w:r w:rsidRPr="001F60D7">
              <w:rPr>
                <w:rFonts w:hint="eastAsia"/>
                <w:w w:val="24"/>
                <w:fitText w:val="108" w:id="-629967602"/>
                <w14:textFill>
                  <w14:solidFill>
                    <w14:schemeClr w14:val="tx1">
                      <w14:alpha w14:val="100000"/>
                    </w14:schemeClr>
                  </w14:solidFill>
                </w14:textFill>
              </w:rPr>
              <w:t xml:space="preserve">　</w:t>
            </w:r>
          </w:p>
        </w:tc>
        <w:tc>
          <w:tcPr>
            <w:tcW w:w="956" w:type="dxa"/>
            <w:vAlign w:val="center"/>
          </w:tcPr>
          <w:p w14:paraId="782F1D6C" w14:textId="77777777" w:rsidR="00A53BC9" w:rsidRPr="0031419F" w:rsidRDefault="00A53BC9" w:rsidP="002F61DF">
            <w:pPr>
              <w:pStyle w:val="Tabletext"/>
              <w:keepNext/>
              <w:keepLines/>
              <w:jc w:val="center"/>
            </w:pPr>
            <w:r w:rsidRPr="0031419F">
              <w:t>6.15</w:t>
            </w:r>
          </w:p>
        </w:tc>
        <w:tc>
          <w:tcPr>
            <w:tcW w:w="1358" w:type="dxa"/>
            <w:vAlign w:val="center"/>
          </w:tcPr>
          <w:p w14:paraId="4288AA33" w14:textId="55FC347E"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D35398" w:rsidRPr="00D35398">
              <w:rPr>
                <w:color w:val="000000"/>
                <w:vertAlign w:val="superscript"/>
              </w:rPr>
              <w:t>3</w:t>
            </w:r>
          </w:p>
        </w:tc>
        <w:tc>
          <w:tcPr>
            <w:tcW w:w="805" w:type="dxa"/>
            <w:vAlign w:val="center"/>
          </w:tcPr>
          <w:p w14:paraId="0FF64B02" w14:textId="77777777" w:rsidR="00A53BC9" w:rsidRPr="0031419F" w:rsidRDefault="00A53BC9" w:rsidP="002F61DF">
            <w:pPr>
              <w:pStyle w:val="Tabletext"/>
              <w:keepNext/>
              <w:keepLines/>
              <w:jc w:val="center"/>
            </w:pPr>
            <w:r w:rsidRPr="0031419F">
              <w:t>3.17</w:t>
            </w:r>
          </w:p>
        </w:tc>
        <w:tc>
          <w:tcPr>
            <w:tcW w:w="1183" w:type="dxa"/>
            <w:vAlign w:val="center"/>
          </w:tcPr>
          <w:p w14:paraId="76A85574" w14:textId="4D2E9BFC" w:rsidR="00A53BC9" w:rsidRPr="0031419F" w:rsidRDefault="001F60D7" w:rsidP="002F61DF">
            <w:pPr>
              <w:pStyle w:val="Tabletext"/>
              <w:keepNext/>
              <w:keepLines/>
              <w:jc w:val="center"/>
            </w:pPr>
            <w:r w:rsidRPr="001F60D7">
              <w:rPr>
                <w:rFonts w:hint="eastAsia"/>
                <w:w w:val="29"/>
                <w:shd w:val="solid" w:color="000000" w:fill="000000"/>
                <w:fitText w:val="132" w:id="-629967601"/>
                <w14:textFill>
                  <w14:solidFill>
                    <w14:schemeClr w14:val="tx1">
                      <w14:alpha w14:val="100000"/>
                    </w14:schemeClr>
                  </w14:solidFill>
                </w14:textFill>
              </w:rPr>
              <w:t xml:space="preserve">　</w:t>
            </w:r>
            <w:r w:rsidRPr="001F60D7">
              <w:rPr>
                <w:w w:val="29"/>
                <w:shd w:val="solid" w:color="000000" w:fill="000000"/>
                <w:fitText w:val="132" w:id="-629967601"/>
                <w14:textFill>
                  <w14:solidFill>
                    <w14:schemeClr w14:val="tx1">
                      <w14:alpha w14:val="100000"/>
                    </w14:schemeClr>
                  </w14:solidFill>
                </w14:textFill>
              </w:rPr>
              <w:t>|</w:t>
            </w:r>
            <w:r w:rsidRPr="001F60D7">
              <w:rPr>
                <w:rFonts w:hint="eastAsia"/>
                <w:spacing w:val="4"/>
                <w:w w:val="29"/>
                <w:shd w:val="solid" w:color="000000" w:fill="000000"/>
                <w:fitText w:val="132" w:id="-629967601"/>
                <w14:textFill>
                  <w14:solidFill>
                    <w14:schemeClr w14:val="tx1">
                      <w14:alpha w14:val="100000"/>
                    </w14:schemeClr>
                  </w14:solidFill>
                </w14:textFill>
              </w:rPr>
              <w:t xml:space="preserve">　</w:t>
            </w:r>
            <w:r w:rsidR="00A53BC9" w:rsidRPr="0031419F">
              <w:t>%</w:t>
            </w:r>
          </w:p>
        </w:tc>
      </w:tr>
      <w:tr w:rsidR="00A53BC9" w:rsidRPr="0031419F" w14:paraId="0A6A0E71" w14:textId="77777777" w:rsidTr="001F60D7">
        <w:tc>
          <w:tcPr>
            <w:tcW w:w="3364" w:type="dxa"/>
            <w:vAlign w:val="center"/>
          </w:tcPr>
          <w:p w14:paraId="52146A4E" w14:textId="77777777" w:rsidR="00A53BC9" w:rsidRPr="0031419F" w:rsidRDefault="00A53BC9" w:rsidP="002F61DF">
            <w:pPr>
              <w:pStyle w:val="Tabletext"/>
              <w:keepNext/>
              <w:keepLines/>
            </w:pPr>
            <w:r w:rsidRPr="0031419F">
              <w:t>GI utility multiplier = 0.57 (BC: 0.47)</w:t>
            </w:r>
          </w:p>
        </w:tc>
        <w:tc>
          <w:tcPr>
            <w:tcW w:w="1118" w:type="dxa"/>
            <w:tcBorders>
              <w:bottom w:val="single" w:sz="4" w:space="0" w:color="auto"/>
            </w:tcBorders>
            <w:shd w:val="solid" w:color="000000" w:fill="000000"/>
            <w:vAlign w:val="center"/>
          </w:tcPr>
          <w:p w14:paraId="743F03B5" w14:textId="6689CD37" w:rsidR="00A53BC9" w:rsidRPr="00707B83" w:rsidRDefault="001F60D7" w:rsidP="002F61DF">
            <w:pPr>
              <w:pStyle w:val="Tabletext"/>
              <w:keepNext/>
              <w:keepLines/>
              <w:jc w:val="center"/>
              <w:rPr>
                <w:highlight w:val="darkGray"/>
              </w:rPr>
            </w:pPr>
            <w:r w:rsidRPr="001F60D7">
              <w:rPr>
                <w:rFonts w:hint="eastAsia"/>
                <w:w w:val="24"/>
                <w:fitText w:val="108" w:id="-629967600"/>
                <w14:textFill>
                  <w14:solidFill>
                    <w14:schemeClr w14:val="tx1">
                      <w14:alpha w14:val="100000"/>
                    </w14:schemeClr>
                  </w14:solidFill>
                </w14:textFill>
              </w:rPr>
              <w:t xml:space="preserve">　</w:t>
            </w:r>
            <w:r w:rsidRPr="001F60D7">
              <w:rPr>
                <w:w w:val="24"/>
                <w:fitText w:val="108" w:id="-629967600"/>
                <w14:textFill>
                  <w14:solidFill>
                    <w14:schemeClr w14:val="tx1">
                      <w14:alpha w14:val="100000"/>
                    </w14:schemeClr>
                  </w14:solidFill>
                </w14:textFill>
              </w:rPr>
              <w:t>|</w:t>
            </w:r>
            <w:r w:rsidRPr="001F60D7">
              <w:rPr>
                <w:rFonts w:hint="eastAsia"/>
                <w:w w:val="24"/>
                <w:fitText w:val="108" w:id="-629967600"/>
                <w14:textFill>
                  <w14:solidFill>
                    <w14:schemeClr w14:val="tx1">
                      <w14:alpha w14:val="100000"/>
                    </w14:schemeClr>
                  </w14:solidFill>
                </w14:textFill>
              </w:rPr>
              <w:t xml:space="preserve">　</w:t>
            </w:r>
          </w:p>
        </w:tc>
        <w:tc>
          <w:tcPr>
            <w:tcW w:w="956" w:type="dxa"/>
            <w:vAlign w:val="center"/>
          </w:tcPr>
          <w:p w14:paraId="307E1AA2" w14:textId="77777777" w:rsidR="00A53BC9" w:rsidRPr="0031419F" w:rsidRDefault="00A53BC9" w:rsidP="002F61DF">
            <w:pPr>
              <w:pStyle w:val="Tabletext"/>
              <w:keepNext/>
              <w:keepLines/>
              <w:jc w:val="center"/>
            </w:pPr>
            <w:r w:rsidRPr="0031419F">
              <w:t>6.78</w:t>
            </w:r>
          </w:p>
        </w:tc>
        <w:tc>
          <w:tcPr>
            <w:tcW w:w="1358" w:type="dxa"/>
            <w:vAlign w:val="center"/>
          </w:tcPr>
          <w:p w14:paraId="70D097A2" w14:textId="12373907"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A42EDF" w:rsidRPr="00423C1B">
              <w:rPr>
                <w:b/>
                <w:bCs/>
                <w:vertAlign w:val="superscript"/>
              </w:rPr>
              <w:t>1</w:t>
            </w:r>
          </w:p>
        </w:tc>
        <w:tc>
          <w:tcPr>
            <w:tcW w:w="805" w:type="dxa"/>
            <w:vAlign w:val="center"/>
          </w:tcPr>
          <w:p w14:paraId="0D561971" w14:textId="77777777" w:rsidR="00A53BC9" w:rsidRPr="0031419F" w:rsidRDefault="00A53BC9" w:rsidP="002F61DF">
            <w:pPr>
              <w:pStyle w:val="Tabletext"/>
              <w:keepNext/>
              <w:keepLines/>
              <w:jc w:val="center"/>
            </w:pPr>
            <w:r w:rsidRPr="0031419F">
              <w:t>3.17</w:t>
            </w:r>
          </w:p>
        </w:tc>
        <w:tc>
          <w:tcPr>
            <w:tcW w:w="1183" w:type="dxa"/>
            <w:vAlign w:val="center"/>
          </w:tcPr>
          <w:p w14:paraId="3B1AB3A2" w14:textId="30A69746" w:rsidR="00A53BC9" w:rsidRPr="0031419F" w:rsidRDefault="001F60D7" w:rsidP="002F61DF">
            <w:pPr>
              <w:pStyle w:val="Tabletext"/>
              <w:keepNext/>
              <w:keepLines/>
              <w:jc w:val="center"/>
            </w:pPr>
            <w:r w:rsidRPr="001F60D7">
              <w:rPr>
                <w:spacing w:val="106"/>
                <w:shd w:val="solid" w:color="000000" w:fill="000000"/>
                <w:fitText w:val="192" w:id="-629967616"/>
                <w14:textFill>
                  <w14:solidFill>
                    <w14:schemeClr w14:val="tx1">
                      <w14:alpha w14:val="100000"/>
                    </w14:schemeClr>
                  </w14:solidFill>
                </w14:textFill>
              </w:rPr>
              <w:t>|</w:t>
            </w:r>
            <w:r w:rsidRPr="001F60D7">
              <w:rPr>
                <w:spacing w:val="1"/>
                <w:shd w:val="solid" w:color="000000" w:fill="000000"/>
                <w:fitText w:val="192" w:id="-629967616"/>
                <w14:textFill>
                  <w14:solidFill>
                    <w14:schemeClr w14:val="tx1">
                      <w14:alpha w14:val="100000"/>
                    </w14:schemeClr>
                  </w14:solidFill>
                </w14:textFill>
              </w:rPr>
              <w:t>|</w:t>
            </w:r>
            <w:r w:rsidR="00A53BC9" w:rsidRPr="0031419F">
              <w:t>1%</w:t>
            </w:r>
          </w:p>
        </w:tc>
      </w:tr>
      <w:tr w:rsidR="00A53BC9" w:rsidRPr="0031419F" w14:paraId="58C26AD7" w14:textId="77777777" w:rsidTr="001F60D7">
        <w:tc>
          <w:tcPr>
            <w:tcW w:w="3364" w:type="dxa"/>
            <w:vAlign w:val="center"/>
          </w:tcPr>
          <w:p w14:paraId="21B8CE8F" w14:textId="77777777" w:rsidR="00A53BC9" w:rsidRPr="0031419F" w:rsidRDefault="00A53BC9" w:rsidP="002F61DF">
            <w:pPr>
              <w:pStyle w:val="Tabletext"/>
              <w:keepNext/>
              <w:keepLines/>
            </w:pPr>
            <w:r w:rsidRPr="0031419F">
              <w:t>Lymphoproliferation utility multiplier = 0.91 (BC: 0.80)</w:t>
            </w:r>
          </w:p>
        </w:tc>
        <w:tc>
          <w:tcPr>
            <w:tcW w:w="1118" w:type="dxa"/>
            <w:tcBorders>
              <w:bottom w:val="single" w:sz="4" w:space="0" w:color="auto"/>
            </w:tcBorders>
            <w:shd w:val="solid" w:color="000000" w:fill="000000"/>
            <w:vAlign w:val="center"/>
          </w:tcPr>
          <w:p w14:paraId="49D8FEB1" w14:textId="5B9605D1" w:rsidR="00A53BC9" w:rsidRPr="00707B83" w:rsidRDefault="001F60D7" w:rsidP="002F61DF">
            <w:pPr>
              <w:pStyle w:val="Tabletext"/>
              <w:keepNext/>
              <w:keepLines/>
              <w:jc w:val="center"/>
              <w:rPr>
                <w:highlight w:val="darkGray"/>
              </w:rPr>
            </w:pPr>
            <w:r w:rsidRPr="001F60D7">
              <w:rPr>
                <w:rFonts w:hint="eastAsia"/>
                <w:w w:val="24"/>
                <w:fitText w:val="108" w:id="-629967615"/>
                <w14:textFill>
                  <w14:solidFill>
                    <w14:schemeClr w14:val="tx1">
                      <w14:alpha w14:val="100000"/>
                    </w14:schemeClr>
                  </w14:solidFill>
                </w14:textFill>
              </w:rPr>
              <w:t xml:space="preserve">　</w:t>
            </w:r>
            <w:r w:rsidRPr="001F60D7">
              <w:rPr>
                <w:w w:val="24"/>
                <w:fitText w:val="108" w:id="-629967615"/>
                <w14:textFill>
                  <w14:solidFill>
                    <w14:schemeClr w14:val="tx1">
                      <w14:alpha w14:val="100000"/>
                    </w14:schemeClr>
                  </w14:solidFill>
                </w14:textFill>
              </w:rPr>
              <w:t>|</w:t>
            </w:r>
            <w:r w:rsidRPr="001F60D7">
              <w:rPr>
                <w:rFonts w:hint="eastAsia"/>
                <w:w w:val="24"/>
                <w:fitText w:val="108" w:id="-629967615"/>
                <w14:textFill>
                  <w14:solidFill>
                    <w14:schemeClr w14:val="tx1">
                      <w14:alpha w14:val="100000"/>
                    </w14:schemeClr>
                  </w14:solidFill>
                </w14:textFill>
              </w:rPr>
              <w:t xml:space="preserve">　</w:t>
            </w:r>
          </w:p>
        </w:tc>
        <w:tc>
          <w:tcPr>
            <w:tcW w:w="956" w:type="dxa"/>
            <w:vAlign w:val="center"/>
          </w:tcPr>
          <w:p w14:paraId="24AFB5BA" w14:textId="77777777" w:rsidR="00A53BC9" w:rsidRPr="0031419F" w:rsidRDefault="00A53BC9" w:rsidP="002F61DF">
            <w:pPr>
              <w:pStyle w:val="Tabletext"/>
              <w:keepNext/>
              <w:keepLines/>
              <w:jc w:val="center"/>
            </w:pPr>
            <w:r w:rsidRPr="0031419F">
              <w:t>6.30</w:t>
            </w:r>
          </w:p>
        </w:tc>
        <w:tc>
          <w:tcPr>
            <w:tcW w:w="1358" w:type="dxa"/>
            <w:vAlign w:val="center"/>
          </w:tcPr>
          <w:p w14:paraId="03DB69DB" w14:textId="390342AB"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5064FD">
              <w:rPr>
                <w:vertAlign w:val="superscript"/>
              </w:rPr>
              <w:t>3</w:t>
            </w:r>
          </w:p>
        </w:tc>
        <w:tc>
          <w:tcPr>
            <w:tcW w:w="805" w:type="dxa"/>
            <w:vAlign w:val="center"/>
          </w:tcPr>
          <w:p w14:paraId="13789C67" w14:textId="77777777" w:rsidR="00A53BC9" w:rsidRPr="0031419F" w:rsidRDefault="00A53BC9" w:rsidP="002F61DF">
            <w:pPr>
              <w:pStyle w:val="Tabletext"/>
              <w:keepNext/>
              <w:keepLines/>
              <w:jc w:val="center"/>
            </w:pPr>
            <w:r w:rsidRPr="0031419F">
              <w:t>3.17</w:t>
            </w:r>
          </w:p>
        </w:tc>
        <w:tc>
          <w:tcPr>
            <w:tcW w:w="1183" w:type="dxa"/>
            <w:vAlign w:val="center"/>
          </w:tcPr>
          <w:p w14:paraId="1514C47B" w14:textId="73B60294" w:rsidR="00A53BC9" w:rsidRPr="0031419F" w:rsidRDefault="001F60D7" w:rsidP="002F61DF">
            <w:pPr>
              <w:pStyle w:val="Tabletext"/>
              <w:keepNext/>
              <w:keepLines/>
              <w:jc w:val="center"/>
            </w:pPr>
            <w:r w:rsidRPr="001F60D7">
              <w:rPr>
                <w:rFonts w:hint="eastAsia"/>
                <w:w w:val="29"/>
                <w:shd w:val="solid" w:color="000000" w:fill="000000"/>
                <w:fitText w:val="132" w:id="-629967614"/>
                <w14:textFill>
                  <w14:solidFill>
                    <w14:schemeClr w14:val="tx1">
                      <w14:alpha w14:val="100000"/>
                    </w14:schemeClr>
                  </w14:solidFill>
                </w14:textFill>
              </w:rPr>
              <w:t xml:space="preserve">　</w:t>
            </w:r>
            <w:r w:rsidRPr="001F60D7">
              <w:rPr>
                <w:w w:val="29"/>
                <w:shd w:val="solid" w:color="000000" w:fill="000000"/>
                <w:fitText w:val="132" w:id="-629967614"/>
                <w14:textFill>
                  <w14:solidFill>
                    <w14:schemeClr w14:val="tx1">
                      <w14:alpha w14:val="100000"/>
                    </w14:schemeClr>
                  </w14:solidFill>
                </w14:textFill>
              </w:rPr>
              <w:t>|</w:t>
            </w:r>
            <w:r w:rsidRPr="001F60D7">
              <w:rPr>
                <w:rFonts w:hint="eastAsia"/>
                <w:spacing w:val="4"/>
                <w:w w:val="29"/>
                <w:shd w:val="solid" w:color="000000" w:fill="000000"/>
                <w:fitText w:val="132" w:id="-629967614"/>
                <w14:textFill>
                  <w14:solidFill>
                    <w14:schemeClr w14:val="tx1">
                      <w14:alpha w14:val="100000"/>
                    </w14:schemeClr>
                  </w14:solidFill>
                </w14:textFill>
              </w:rPr>
              <w:t xml:space="preserve">　</w:t>
            </w:r>
            <w:r w:rsidR="00A53BC9" w:rsidRPr="0031419F">
              <w:t>%</w:t>
            </w:r>
          </w:p>
        </w:tc>
      </w:tr>
      <w:tr w:rsidR="00A53BC9" w:rsidRPr="0031419F" w14:paraId="64D1E844" w14:textId="77777777" w:rsidTr="001F60D7">
        <w:tc>
          <w:tcPr>
            <w:tcW w:w="3364" w:type="dxa"/>
            <w:vAlign w:val="center"/>
          </w:tcPr>
          <w:p w14:paraId="685E4C68" w14:textId="77777777" w:rsidR="00A53BC9" w:rsidRPr="0031419F" w:rsidRDefault="00A53BC9" w:rsidP="002F61DF">
            <w:pPr>
              <w:pStyle w:val="Tabletext"/>
              <w:keepNext/>
              <w:keepLines/>
            </w:pPr>
            <w:r w:rsidRPr="0031419F">
              <w:t>Excluding age-related utility decrements (BC: Include)</w:t>
            </w:r>
          </w:p>
        </w:tc>
        <w:tc>
          <w:tcPr>
            <w:tcW w:w="1118" w:type="dxa"/>
            <w:tcBorders>
              <w:bottom w:val="single" w:sz="4" w:space="0" w:color="auto"/>
            </w:tcBorders>
            <w:shd w:val="solid" w:color="000000" w:fill="000000"/>
            <w:vAlign w:val="center"/>
          </w:tcPr>
          <w:p w14:paraId="04A631EA" w14:textId="3CC664C0" w:rsidR="00A53BC9" w:rsidRPr="00707B83" w:rsidRDefault="001F60D7" w:rsidP="002F61DF">
            <w:pPr>
              <w:pStyle w:val="Tabletext"/>
              <w:keepNext/>
              <w:keepLines/>
              <w:jc w:val="center"/>
              <w:rPr>
                <w:highlight w:val="darkGray"/>
              </w:rPr>
            </w:pPr>
            <w:r w:rsidRPr="001F60D7">
              <w:rPr>
                <w:rFonts w:hint="eastAsia"/>
                <w:w w:val="24"/>
                <w:fitText w:val="108" w:id="-629967613"/>
                <w14:textFill>
                  <w14:solidFill>
                    <w14:schemeClr w14:val="tx1">
                      <w14:alpha w14:val="100000"/>
                    </w14:schemeClr>
                  </w14:solidFill>
                </w14:textFill>
              </w:rPr>
              <w:t xml:space="preserve">　</w:t>
            </w:r>
            <w:r w:rsidRPr="001F60D7">
              <w:rPr>
                <w:w w:val="24"/>
                <w:fitText w:val="108" w:id="-629967613"/>
                <w14:textFill>
                  <w14:solidFill>
                    <w14:schemeClr w14:val="tx1">
                      <w14:alpha w14:val="100000"/>
                    </w14:schemeClr>
                  </w14:solidFill>
                </w14:textFill>
              </w:rPr>
              <w:t>|</w:t>
            </w:r>
            <w:r w:rsidRPr="001F60D7">
              <w:rPr>
                <w:rFonts w:hint="eastAsia"/>
                <w:w w:val="24"/>
                <w:fitText w:val="108" w:id="-629967613"/>
                <w14:textFill>
                  <w14:solidFill>
                    <w14:schemeClr w14:val="tx1">
                      <w14:alpha w14:val="100000"/>
                    </w14:schemeClr>
                  </w14:solidFill>
                </w14:textFill>
              </w:rPr>
              <w:t xml:space="preserve">　</w:t>
            </w:r>
          </w:p>
        </w:tc>
        <w:tc>
          <w:tcPr>
            <w:tcW w:w="956" w:type="dxa"/>
            <w:vAlign w:val="center"/>
          </w:tcPr>
          <w:p w14:paraId="76D58258" w14:textId="77777777" w:rsidR="00A53BC9" w:rsidRPr="0031419F" w:rsidRDefault="00A53BC9" w:rsidP="002F61DF">
            <w:pPr>
              <w:pStyle w:val="Tabletext"/>
              <w:keepNext/>
              <w:keepLines/>
              <w:jc w:val="center"/>
            </w:pPr>
            <w:r w:rsidRPr="0031419F">
              <w:t>6.54</w:t>
            </w:r>
          </w:p>
        </w:tc>
        <w:tc>
          <w:tcPr>
            <w:tcW w:w="1358" w:type="dxa"/>
            <w:vAlign w:val="center"/>
          </w:tcPr>
          <w:p w14:paraId="77F66DD7" w14:textId="509A4499" w:rsidR="00A53BC9"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D04E28" w:rsidRPr="00423C1B">
              <w:rPr>
                <w:b/>
                <w:bCs/>
                <w:vertAlign w:val="superscript"/>
              </w:rPr>
              <w:t>1</w:t>
            </w:r>
          </w:p>
        </w:tc>
        <w:tc>
          <w:tcPr>
            <w:tcW w:w="805" w:type="dxa"/>
            <w:vAlign w:val="center"/>
          </w:tcPr>
          <w:p w14:paraId="43E0C552" w14:textId="77777777" w:rsidR="00A53BC9" w:rsidRPr="0031419F" w:rsidRDefault="00A53BC9" w:rsidP="002F61DF">
            <w:pPr>
              <w:pStyle w:val="Tabletext"/>
              <w:keepNext/>
              <w:keepLines/>
              <w:jc w:val="center"/>
            </w:pPr>
            <w:r w:rsidRPr="0031419F">
              <w:t>3.17</w:t>
            </w:r>
          </w:p>
        </w:tc>
        <w:tc>
          <w:tcPr>
            <w:tcW w:w="1183" w:type="dxa"/>
            <w:vAlign w:val="center"/>
          </w:tcPr>
          <w:p w14:paraId="20FEAA24" w14:textId="38D7602A" w:rsidR="00A53BC9" w:rsidRPr="0031419F" w:rsidRDefault="001F60D7" w:rsidP="002F61DF">
            <w:pPr>
              <w:pStyle w:val="Tabletext"/>
              <w:keepNext/>
              <w:keepLines/>
              <w:jc w:val="center"/>
            </w:pPr>
            <w:r w:rsidRPr="001F60D7">
              <w:rPr>
                <w:rFonts w:hint="eastAsia"/>
                <w:w w:val="29"/>
                <w:shd w:val="solid" w:color="000000" w:fill="000000"/>
                <w:fitText w:val="132" w:id="-629967612"/>
                <w14:textFill>
                  <w14:solidFill>
                    <w14:schemeClr w14:val="tx1">
                      <w14:alpha w14:val="100000"/>
                    </w14:schemeClr>
                  </w14:solidFill>
                </w14:textFill>
              </w:rPr>
              <w:t xml:space="preserve">　</w:t>
            </w:r>
            <w:r w:rsidRPr="001F60D7">
              <w:rPr>
                <w:w w:val="29"/>
                <w:shd w:val="solid" w:color="000000" w:fill="000000"/>
                <w:fitText w:val="132" w:id="-629967612"/>
                <w14:textFill>
                  <w14:solidFill>
                    <w14:schemeClr w14:val="tx1">
                      <w14:alpha w14:val="100000"/>
                    </w14:schemeClr>
                  </w14:solidFill>
                </w14:textFill>
              </w:rPr>
              <w:t>|</w:t>
            </w:r>
            <w:r w:rsidRPr="001F60D7">
              <w:rPr>
                <w:rFonts w:hint="eastAsia"/>
                <w:spacing w:val="4"/>
                <w:w w:val="29"/>
                <w:shd w:val="solid" w:color="000000" w:fill="000000"/>
                <w:fitText w:val="132" w:id="-629967612"/>
                <w14:textFill>
                  <w14:solidFill>
                    <w14:schemeClr w14:val="tx1">
                      <w14:alpha w14:val="100000"/>
                    </w14:schemeClr>
                  </w14:solidFill>
                </w14:textFill>
              </w:rPr>
              <w:t xml:space="preserve">　</w:t>
            </w:r>
            <w:r w:rsidR="00A53BC9" w:rsidRPr="0031419F">
              <w:t>%</w:t>
            </w:r>
          </w:p>
        </w:tc>
      </w:tr>
      <w:tr w:rsidR="008E1D77" w:rsidRPr="0031419F" w14:paraId="546DDE84" w14:textId="77777777" w:rsidTr="001F60D7">
        <w:tc>
          <w:tcPr>
            <w:tcW w:w="3364" w:type="dxa"/>
            <w:vAlign w:val="center"/>
          </w:tcPr>
          <w:p w14:paraId="7E334CBA" w14:textId="67677EDE" w:rsidR="008E1D77" w:rsidRPr="0031419F" w:rsidRDefault="008E1D77" w:rsidP="002F61DF">
            <w:pPr>
              <w:pStyle w:val="Tabletext"/>
              <w:keepNext/>
              <w:keepLines/>
            </w:pPr>
            <w:r w:rsidRPr="0031419F">
              <w:t>Lymphoproliferation HR = 1 and 0% resolution (BC: HR = 0 and 96% resolution)</w:t>
            </w:r>
          </w:p>
        </w:tc>
        <w:tc>
          <w:tcPr>
            <w:tcW w:w="1118" w:type="dxa"/>
            <w:tcBorders>
              <w:bottom w:val="single" w:sz="4" w:space="0" w:color="auto"/>
            </w:tcBorders>
            <w:shd w:val="solid" w:color="000000" w:fill="000000"/>
            <w:vAlign w:val="center"/>
          </w:tcPr>
          <w:p w14:paraId="11138704" w14:textId="7E2EFB04" w:rsidR="008E1D77" w:rsidRPr="00707B83" w:rsidRDefault="001F60D7" w:rsidP="002F61DF">
            <w:pPr>
              <w:pStyle w:val="Tabletext"/>
              <w:keepNext/>
              <w:keepLines/>
              <w:jc w:val="center"/>
              <w:rPr>
                <w:highlight w:val="darkGray"/>
              </w:rPr>
            </w:pPr>
            <w:r w:rsidRPr="001F60D7">
              <w:rPr>
                <w:rFonts w:hint="eastAsia"/>
                <w:w w:val="24"/>
                <w:fitText w:val="108" w:id="-629967611"/>
                <w14:textFill>
                  <w14:solidFill>
                    <w14:schemeClr w14:val="tx1">
                      <w14:alpha w14:val="100000"/>
                    </w14:schemeClr>
                  </w14:solidFill>
                </w14:textFill>
              </w:rPr>
              <w:t xml:space="preserve">　</w:t>
            </w:r>
            <w:r w:rsidRPr="001F60D7">
              <w:rPr>
                <w:w w:val="24"/>
                <w:fitText w:val="108" w:id="-629967611"/>
                <w14:textFill>
                  <w14:solidFill>
                    <w14:schemeClr w14:val="tx1">
                      <w14:alpha w14:val="100000"/>
                    </w14:schemeClr>
                  </w14:solidFill>
                </w14:textFill>
              </w:rPr>
              <w:t>|</w:t>
            </w:r>
            <w:r w:rsidRPr="001F60D7">
              <w:rPr>
                <w:rFonts w:hint="eastAsia"/>
                <w:w w:val="24"/>
                <w:fitText w:val="108" w:id="-629967611"/>
                <w14:textFill>
                  <w14:solidFill>
                    <w14:schemeClr w14:val="tx1">
                      <w14:alpha w14:val="100000"/>
                    </w14:schemeClr>
                  </w14:solidFill>
                </w14:textFill>
              </w:rPr>
              <w:t xml:space="preserve">　</w:t>
            </w:r>
          </w:p>
        </w:tc>
        <w:tc>
          <w:tcPr>
            <w:tcW w:w="956" w:type="dxa"/>
            <w:vAlign w:val="center"/>
          </w:tcPr>
          <w:p w14:paraId="352F5947" w14:textId="708D7F32" w:rsidR="008E1D77" w:rsidRPr="0031419F" w:rsidRDefault="008E1D77" w:rsidP="002F61DF">
            <w:pPr>
              <w:pStyle w:val="Tabletext"/>
              <w:keepNext/>
              <w:keepLines/>
              <w:jc w:val="center"/>
            </w:pPr>
            <w:r w:rsidRPr="0031419F">
              <w:t>5.11</w:t>
            </w:r>
          </w:p>
        </w:tc>
        <w:tc>
          <w:tcPr>
            <w:tcW w:w="1358" w:type="dxa"/>
            <w:vAlign w:val="center"/>
          </w:tcPr>
          <w:p w14:paraId="7480D4CD" w14:textId="2A375916" w:rsidR="008E1D77"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6452A0" w:rsidRPr="00002F4B">
              <w:rPr>
                <w:color w:val="000000"/>
                <w:vertAlign w:val="superscript"/>
              </w:rPr>
              <w:t>2</w:t>
            </w:r>
          </w:p>
        </w:tc>
        <w:tc>
          <w:tcPr>
            <w:tcW w:w="805" w:type="dxa"/>
            <w:vAlign w:val="center"/>
          </w:tcPr>
          <w:p w14:paraId="0D70BEC7" w14:textId="12366F3F" w:rsidR="008E1D77" w:rsidRPr="0031419F" w:rsidRDefault="008E1D77" w:rsidP="002F61DF">
            <w:pPr>
              <w:pStyle w:val="Tabletext"/>
              <w:keepNext/>
              <w:keepLines/>
              <w:jc w:val="center"/>
            </w:pPr>
            <w:r w:rsidRPr="0031419F">
              <w:t>3.17</w:t>
            </w:r>
          </w:p>
        </w:tc>
        <w:tc>
          <w:tcPr>
            <w:tcW w:w="1183" w:type="dxa"/>
            <w:vAlign w:val="center"/>
          </w:tcPr>
          <w:p w14:paraId="395386F9" w14:textId="40E8DCA3" w:rsidR="008E1D77" w:rsidRPr="0031419F" w:rsidRDefault="001F60D7" w:rsidP="002F61DF">
            <w:pPr>
              <w:pStyle w:val="Tabletext"/>
              <w:keepNext/>
              <w:keepLines/>
              <w:jc w:val="center"/>
            </w:pPr>
            <w:r w:rsidRPr="001F60D7">
              <w:rPr>
                <w:rFonts w:hint="eastAsia"/>
                <w:w w:val="29"/>
                <w:shd w:val="solid" w:color="000000" w:fill="000000"/>
                <w:fitText w:val="132" w:id="-629967610"/>
                <w14:textFill>
                  <w14:solidFill>
                    <w14:schemeClr w14:val="tx1">
                      <w14:alpha w14:val="100000"/>
                    </w14:schemeClr>
                  </w14:solidFill>
                </w14:textFill>
              </w:rPr>
              <w:t xml:space="preserve">　</w:t>
            </w:r>
            <w:r w:rsidRPr="001F60D7">
              <w:rPr>
                <w:w w:val="29"/>
                <w:shd w:val="solid" w:color="000000" w:fill="000000"/>
                <w:fitText w:val="132" w:id="-629967610"/>
                <w14:textFill>
                  <w14:solidFill>
                    <w14:schemeClr w14:val="tx1">
                      <w14:alpha w14:val="100000"/>
                    </w14:schemeClr>
                  </w14:solidFill>
                </w14:textFill>
              </w:rPr>
              <w:t>|</w:t>
            </w:r>
            <w:r w:rsidRPr="001F60D7">
              <w:rPr>
                <w:rFonts w:hint="eastAsia"/>
                <w:spacing w:val="4"/>
                <w:w w:val="29"/>
                <w:shd w:val="solid" w:color="000000" w:fill="000000"/>
                <w:fitText w:val="132" w:id="-629967610"/>
                <w14:textFill>
                  <w14:solidFill>
                    <w14:schemeClr w14:val="tx1">
                      <w14:alpha w14:val="100000"/>
                    </w14:schemeClr>
                  </w14:solidFill>
                </w14:textFill>
              </w:rPr>
              <w:t xml:space="preserve">　</w:t>
            </w:r>
            <w:r w:rsidR="008E1D77" w:rsidRPr="0031419F">
              <w:t>%</w:t>
            </w:r>
          </w:p>
        </w:tc>
      </w:tr>
      <w:tr w:rsidR="008E1D77" w:rsidRPr="0031419F" w14:paraId="54C77042" w14:textId="77777777" w:rsidTr="001F60D7">
        <w:tc>
          <w:tcPr>
            <w:tcW w:w="3364" w:type="dxa"/>
            <w:vAlign w:val="center"/>
          </w:tcPr>
          <w:p w14:paraId="15FE428D" w14:textId="07D50BFB" w:rsidR="008E1D77" w:rsidRPr="0031419F" w:rsidRDefault="008E1D77" w:rsidP="002F61DF">
            <w:pPr>
              <w:pStyle w:val="Tabletext"/>
              <w:keepNext/>
              <w:keepLines/>
            </w:pPr>
            <w:r w:rsidRPr="0031419F">
              <w:t>GI manifestations HR = 1 and 0% resolution (BC: HR = 0 and 36% resolution)</w:t>
            </w:r>
          </w:p>
        </w:tc>
        <w:tc>
          <w:tcPr>
            <w:tcW w:w="1118" w:type="dxa"/>
            <w:tcBorders>
              <w:bottom w:val="single" w:sz="4" w:space="0" w:color="auto"/>
            </w:tcBorders>
            <w:shd w:val="solid" w:color="000000" w:fill="000000"/>
            <w:vAlign w:val="center"/>
          </w:tcPr>
          <w:p w14:paraId="564BD178" w14:textId="2C28EA06" w:rsidR="008E1D77" w:rsidRPr="00707B83" w:rsidRDefault="001F60D7" w:rsidP="002F61DF">
            <w:pPr>
              <w:pStyle w:val="Tabletext"/>
              <w:keepNext/>
              <w:keepLines/>
              <w:jc w:val="center"/>
              <w:rPr>
                <w:highlight w:val="darkGray"/>
              </w:rPr>
            </w:pPr>
            <w:r w:rsidRPr="001F60D7">
              <w:rPr>
                <w:rFonts w:hint="eastAsia"/>
                <w:w w:val="24"/>
                <w:fitText w:val="108" w:id="-629967609"/>
                <w14:textFill>
                  <w14:solidFill>
                    <w14:schemeClr w14:val="tx1">
                      <w14:alpha w14:val="100000"/>
                    </w14:schemeClr>
                  </w14:solidFill>
                </w14:textFill>
              </w:rPr>
              <w:t xml:space="preserve">　</w:t>
            </w:r>
            <w:r w:rsidRPr="001F60D7">
              <w:rPr>
                <w:w w:val="24"/>
                <w:fitText w:val="108" w:id="-629967609"/>
                <w14:textFill>
                  <w14:solidFill>
                    <w14:schemeClr w14:val="tx1">
                      <w14:alpha w14:val="100000"/>
                    </w14:schemeClr>
                  </w14:solidFill>
                </w14:textFill>
              </w:rPr>
              <w:t>|</w:t>
            </w:r>
            <w:r w:rsidRPr="001F60D7">
              <w:rPr>
                <w:rFonts w:hint="eastAsia"/>
                <w:w w:val="24"/>
                <w:fitText w:val="108" w:id="-629967609"/>
                <w14:textFill>
                  <w14:solidFill>
                    <w14:schemeClr w14:val="tx1">
                      <w14:alpha w14:val="100000"/>
                    </w14:schemeClr>
                  </w14:solidFill>
                </w14:textFill>
              </w:rPr>
              <w:t xml:space="preserve">　</w:t>
            </w:r>
          </w:p>
        </w:tc>
        <w:tc>
          <w:tcPr>
            <w:tcW w:w="956" w:type="dxa"/>
            <w:vAlign w:val="center"/>
          </w:tcPr>
          <w:p w14:paraId="35AFD5EA" w14:textId="17FFA016" w:rsidR="008E1D77" w:rsidRPr="0031419F" w:rsidRDefault="008E1D77" w:rsidP="002F61DF">
            <w:pPr>
              <w:pStyle w:val="Tabletext"/>
              <w:keepNext/>
              <w:keepLines/>
              <w:jc w:val="center"/>
            </w:pPr>
            <w:r w:rsidRPr="0031419F">
              <w:t>6.55</w:t>
            </w:r>
          </w:p>
        </w:tc>
        <w:tc>
          <w:tcPr>
            <w:tcW w:w="1358" w:type="dxa"/>
            <w:vAlign w:val="center"/>
          </w:tcPr>
          <w:p w14:paraId="35AE4C5F" w14:textId="3BF614AE" w:rsidR="008E1D77"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D35398" w:rsidRPr="00D35398">
              <w:rPr>
                <w:color w:val="000000"/>
                <w:vertAlign w:val="superscript"/>
              </w:rPr>
              <w:t>3</w:t>
            </w:r>
          </w:p>
        </w:tc>
        <w:tc>
          <w:tcPr>
            <w:tcW w:w="805" w:type="dxa"/>
            <w:vAlign w:val="center"/>
          </w:tcPr>
          <w:p w14:paraId="7AB4B498" w14:textId="44576554" w:rsidR="008E1D77" w:rsidRPr="0031419F" w:rsidRDefault="008E1D77" w:rsidP="002F61DF">
            <w:pPr>
              <w:pStyle w:val="Tabletext"/>
              <w:keepNext/>
              <w:keepLines/>
              <w:jc w:val="center"/>
            </w:pPr>
            <w:r w:rsidRPr="0031419F">
              <w:t>3.17</w:t>
            </w:r>
          </w:p>
        </w:tc>
        <w:tc>
          <w:tcPr>
            <w:tcW w:w="1183" w:type="dxa"/>
            <w:vAlign w:val="center"/>
          </w:tcPr>
          <w:p w14:paraId="0181347E" w14:textId="28F7E5DB" w:rsidR="008E1D77" w:rsidRPr="0031419F" w:rsidRDefault="001F60D7" w:rsidP="002F61DF">
            <w:pPr>
              <w:pStyle w:val="Tabletext"/>
              <w:keepNext/>
              <w:keepLines/>
              <w:jc w:val="center"/>
            </w:pPr>
            <w:r w:rsidRPr="001F60D7">
              <w:rPr>
                <w:rFonts w:hint="eastAsia"/>
                <w:w w:val="29"/>
                <w:shd w:val="solid" w:color="000000" w:fill="000000"/>
                <w:fitText w:val="132" w:id="-629967608"/>
                <w14:textFill>
                  <w14:solidFill>
                    <w14:schemeClr w14:val="tx1">
                      <w14:alpha w14:val="100000"/>
                    </w14:schemeClr>
                  </w14:solidFill>
                </w14:textFill>
              </w:rPr>
              <w:t xml:space="preserve">　</w:t>
            </w:r>
            <w:r w:rsidRPr="001F60D7">
              <w:rPr>
                <w:w w:val="29"/>
                <w:shd w:val="solid" w:color="000000" w:fill="000000"/>
                <w:fitText w:val="132" w:id="-629967608"/>
                <w14:textFill>
                  <w14:solidFill>
                    <w14:schemeClr w14:val="tx1">
                      <w14:alpha w14:val="100000"/>
                    </w14:schemeClr>
                  </w14:solidFill>
                </w14:textFill>
              </w:rPr>
              <w:t>|</w:t>
            </w:r>
            <w:r w:rsidRPr="001F60D7">
              <w:rPr>
                <w:rFonts w:hint="eastAsia"/>
                <w:spacing w:val="4"/>
                <w:w w:val="29"/>
                <w:shd w:val="solid" w:color="000000" w:fill="000000"/>
                <w:fitText w:val="132" w:id="-629967608"/>
                <w14:textFill>
                  <w14:solidFill>
                    <w14:schemeClr w14:val="tx1">
                      <w14:alpha w14:val="100000"/>
                    </w14:schemeClr>
                  </w14:solidFill>
                </w14:textFill>
              </w:rPr>
              <w:t xml:space="preserve">　</w:t>
            </w:r>
            <w:r w:rsidR="008E1D77" w:rsidRPr="0031419F">
              <w:t>%</w:t>
            </w:r>
          </w:p>
        </w:tc>
      </w:tr>
      <w:tr w:rsidR="008E1D77" w:rsidRPr="0031419F" w14:paraId="4700FBD1" w14:textId="77777777" w:rsidTr="001F60D7">
        <w:tc>
          <w:tcPr>
            <w:tcW w:w="3364" w:type="dxa"/>
            <w:vAlign w:val="center"/>
          </w:tcPr>
          <w:p w14:paraId="022A6D72" w14:textId="218EF433" w:rsidR="008E1D77" w:rsidRPr="0031419F" w:rsidRDefault="008E1D77" w:rsidP="002F61DF">
            <w:pPr>
              <w:pStyle w:val="Tabletext"/>
              <w:keepNext/>
              <w:keepLines/>
            </w:pPr>
            <w:r w:rsidRPr="0031419F">
              <w:t>Malignancies HR = 1 (BC: HR = 0.41)</w:t>
            </w:r>
          </w:p>
        </w:tc>
        <w:tc>
          <w:tcPr>
            <w:tcW w:w="1118" w:type="dxa"/>
            <w:tcBorders>
              <w:bottom w:val="single" w:sz="4" w:space="0" w:color="auto"/>
            </w:tcBorders>
            <w:shd w:val="solid" w:color="000000" w:fill="000000"/>
            <w:vAlign w:val="center"/>
          </w:tcPr>
          <w:p w14:paraId="30B568B6" w14:textId="521A48AF" w:rsidR="008E1D77" w:rsidRPr="00707B83" w:rsidRDefault="001F60D7" w:rsidP="002F61DF">
            <w:pPr>
              <w:pStyle w:val="Tabletext"/>
              <w:keepNext/>
              <w:keepLines/>
              <w:jc w:val="center"/>
              <w:rPr>
                <w:highlight w:val="darkGray"/>
              </w:rPr>
            </w:pPr>
            <w:r w:rsidRPr="001F60D7">
              <w:rPr>
                <w:rFonts w:hint="eastAsia"/>
                <w:w w:val="24"/>
                <w:fitText w:val="108" w:id="-629967607"/>
                <w14:textFill>
                  <w14:solidFill>
                    <w14:schemeClr w14:val="tx1">
                      <w14:alpha w14:val="100000"/>
                    </w14:schemeClr>
                  </w14:solidFill>
                </w14:textFill>
              </w:rPr>
              <w:t xml:space="preserve">　</w:t>
            </w:r>
            <w:r w:rsidRPr="001F60D7">
              <w:rPr>
                <w:w w:val="24"/>
                <w:fitText w:val="108" w:id="-629967607"/>
                <w14:textFill>
                  <w14:solidFill>
                    <w14:schemeClr w14:val="tx1">
                      <w14:alpha w14:val="100000"/>
                    </w14:schemeClr>
                  </w14:solidFill>
                </w14:textFill>
              </w:rPr>
              <w:t>|</w:t>
            </w:r>
            <w:r w:rsidRPr="001F60D7">
              <w:rPr>
                <w:rFonts w:hint="eastAsia"/>
                <w:w w:val="24"/>
                <w:fitText w:val="108" w:id="-629967607"/>
                <w14:textFill>
                  <w14:solidFill>
                    <w14:schemeClr w14:val="tx1">
                      <w14:alpha w14:val="100000"/>
                    </w14:schemeClr>
                  </w14:solidFill>
                </w14:textFill>
              </w:rPr>
              <w:t xml:space="preserve">　</w:t>
            </w:r>
          </w:p>
        </w:tc>
        <w:tc>
          <w:tcPr>
            <w:tcW w:w="956" w:type="dxa"/>
            <w:vAlign w:val="center"/>
          </w:tcPr>
          <w:p w14:paraId="3A7ECDBC" w14:textId="6AD34B21" w:rsidR="008E1D77" w:rsidRPr="0031419F" w:rsidRDefault="008E1D77" w:rsidP="002F61DF">
            <w:pPr>
              <w:pStyle w:val="Tabletext"/>
              <w:keepNext/>
              <w:keepLines/>
              <w:jc w:val="center"/>
            </w:pPr>
            <w:r w:rsidRPr="0031419F">
              <w:t>6.84</w:t>
            </w:r>
          </w:p>
        </w:tc>
        <w:tc>
          <w:tcPr>
            <w:tcW w:w="1358" w:type="dxa"/>
            <w:vAlign w:val="center"/>
          </w:tcPr>
          <w:p w14:paraId="2DA777F2" w14:textId="064B4B2D" w:rsidR="008E1D77"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D04E28" w:rsidRPr="00423C1B">
              <w:rPr>
                <w:b/>
                <w:bCs/>
                <w:vertAlign w:val="superscript"/>
              </w:rPr>
              <w:t>1</w:t>
            </w:r>
          </w:p>
        </w:tc>
        <w:tc>
          <w:tcPr>
            <w:tcW w:w="805" w:type="dxa"/>
            <w:vAlign w:val="center"/>
          </w:tcPr>
          <w:p w14:paraId="0CB13FCE" w14:textId="6C31C8E9" w:rsidR="008E1D77" w:rsidRPr="0031419F" w:rsidRDefault="008E1D77" w:rsidP="002F61DF">
            <w:pPr>
              <w:pStyle w:val="Tabletext"/>
              <w:keepNext/>
              <w:keepLines/>
              <w:jc w:val="center"/>
            </w:pPr>
            <w:r w:rsidRPr="0031419F">
              <w:t>3.17</w:t>
            </w:r>
          </w:p>
        </w:tc>
        <w:tc>
          <w:tcPr>
            <w:tcW w:w="1183" w:type="dxa"/>
            <w:vAlign w:val="center"/>
          </w:tcPr>
          <w:p w14:paraId="06E980DB" w14:textId="12E4E645" w:rsidR="008E1D77" w:rsidRPr="0031419F" w:rsidRDefault="001F60D7" w:rsidP="002F61DF">
            <w:pPr>
              <w:pStyle w:val="Tabletext"/>
              <w:keepNext/>
              <w:keepLines/>
              <w:jc w:val="center"/>
            </w:pPr>
            <w:r w:rsidRPr="001F60D7">
              <w:rPr>
                <w:rFonts w:hint="eastAsia"/>
                <w:w w:val="29"/>
                <w:shd w:val="solid" w:color="000000" w:fill="000000"/>
                <w:fitText w:val="132" w:id="-629967606"/>
                <w14:textFill>
                  <w14:solidFill>
                    <w14:schemeClr w14:val="tx1">
                      <w14:alpha w14:val="100000"/>
                    </w14:schemeClr>
                  </w14:solidFill>
                </w14:textFill>
              </w:rPr>
              <w:t xml:space="preserve">　</w:t>
            </w:r>
            <w:r w:rsidRPr="001F60D7">
              <w:rPr>
                <w:w w:val="29"/>
                <w:shd w:val="solid" w:color="000000" w:fill="000000"/>
                <w:fitText w:val="132" w:id="-629967606"/>
                <w14:textFill>
                  <w14:solidFill>
                    <w14:schemeClr w14:val="tx1">
                      <w14:alpha w14:val="100000"/>
                    </w14:schemeClr>
                  </w14:solidFill>
                </w14:textFill>
              </w:rPr>
              <w:t>|</w:t>
            </w:r>
            <w:r w:rsidRPr="001F60D7">
              <w:rPr>
                <w:rFonts w:hint="eastAsia"/>
                <w:spacing w:val="4"/>
                <w:w w:val="29"/>
                <w:shd w:val="solid" w:color="000000" w:fill="000000"/>
                <w:fitText w:val="132" w:id="-629967606"/>
                <w14:textFill>
                  <w14:solidFill>
                    <w14:schemeClr w14:val="tx1">
                      <w14:alpha w14:val="100000"/>
                    </w14:schemeClr>
                  </w14:solidFill>
                </w14:textFill>
              </w:rPr>
              <w:t xml:space="preserve">　</w:t>
            </w:r>
            <w:r w:rsidR="008E1D77" w:rsidRPr="0031419F">
              <w:t>%</w:t>
            </w:r>
          </w:p>
        </w:tc>
      </w:tr>
      <w:tr w:rsidR="008E1D77" w:rsidRPr="0031419F" w14:paraId="7AE39F59" w14:textId="77777777" w:rsidTr="001F60D7">
        <w:tc>
          <w:tcPr>
            <w:tcW w:w="3364" w:type="dxa"/>
            <w:vAlign w:val="center"/>
          </w:tcPr>
          <w:p w14:paraId="43C3DDD3" w14:textId="02C5C9D6" w:rsidR="008E1D77" w:rsidRPr="0031419F" w:rsidRDefault="008E1D77" w:rsidP="002F61DF">
            <w:pPr>
              <w:pStyle w:val="Tabletext"/>
              <w:keepNext/>
              <w:keepLines/>
            </w:pPr>
            <w:r w:rsidRPr="0031419F">
              <w:t>Lymphoproliferation resolution rate = 0.48 (BC = 0.96)</w:t>
            </w:r>
          </w:p>
        </w:tc>
        <w:tc>
          <w:tcPr>
            <w:tcW w:w="1118" w:type="dxa"/>
            <w:tcBorders>
              <w:bottom w:val="single" w:sz="4" w:space="0" w:color="auto"/>
            </w:tcBorders>
            <w:shd w:val="solid" w:color="000000" w:fill="000000"/>
            <w:vAlign w:val="center"/>
          </w:tcPr>
          <w:p w14:paraId="4C21ADB6" w14:textId="0A735BCD" w:rsidR="008E1D77" w:rsidRPr="00707B83" w:rsidRDefault="001F60D7" w:rsidP="002F61DF">
            <w:pPr>
              <w:pStyle w:val="Tabletext"/>
              <w:keepNext/>
              <w:keepLines/>
              <w:jc w:val="center"/>
              <w:rPr>
                <w:highlight w:val="darkGray"/>
              </w:rPr>
            </w:pPr>
            <w:r w:rsidRPr="001F60D7">
              <w:rPr>
                <w:rFonts w:hint="eastAsia"/>
                <w:w w:val="24"/>
                <w:fitText w:val="108" w:id="-629967605"/>
                <w14:textFill>
                  <w14:solidFill>
                    <w14:schemeClr w14:val="tx1">
                      <w14:alpha w14:val="100000"/>
                    </w14:schemeClr>
                  </w14:solidFill>
                </w14:textFill>
              </w:rPr>
              <w:t xml:space="preserve">　</w:t>
            </w:r>
            <w:r w:rsidRPr="001F60D7">
              <w:rPr>
                <w:w w:val="24"/>
                <w:fitText w:val="108" w:id="-629967605"/>
                <w14:textFill>
                  <w14:solidFill>
                    <w14:schemeClr w14:val="tx1">
                      <w14:alpha w14:val="100000"/>
                    </w14:schemeClr>
                  </w14:solidFill>
                </w14:textFill>
              </w:rPr>
              <w:t>|</w:t>
            </w:r>
            <w:r w:rsidRPr="001F60D7">
              <w:rPr>
                <w:rFonts w:hint="eastAsia"/>
                <w:w w:val="24"/>
                <w:fitText w:val="108" w:id="-629967605"/>
                <w14:textFill>
                  <w14:solidFill>
                    <w14:schemeClr w14:val="tx1">
                      <w14:alpha w14:val="100000"/>
                    </w14:schemeClr>
                  </w14:solidFill>
                </w14:textFill>
              </w:rPr>
              <w:t xml:space="preserve">　</w:t>
            </w:r>
          </w:p>
        </w:tc>
        <w:tc>
          <w:tcPr>
            <w:tcW w:w="956" w:type="dxa"/>
            <w:vAlign w:val="center"/>
          </w:tcPr>
          <w:p w14:paraId="4311F296" w14:textId="77777777" w:rsidR="008E1D77" w:rsidRPr="0031419F" w:rsidRDefault="008E1D77" w:rsidP="002F61DF">
            <w:pPr>
              <w:pStyle w:val="Tabletext"/>
              <w:keepNext/>
              <w:keepLines/>
              <w:jc w:val="center"/>
            </w:pPr>
            <w:r w:rsidRPr="0031419F">
              <w:t>6.26</w:t>
            </w:r>
          </w:p>
        </w:tc>
        <w:tc>
          <w:tcPr>
            <w:tcW w:w="1358" w:type="dxa"/>
            <w:vAlign w:val="center"/>
          </w:tcPr>
          <w:p w14:paraId="22944BAC" w14:textId="6271FB36" w:rsidR="008E1D77"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5064FD">
              <w:rPr>
                <w:vertAlign w:val="superscript"/>
              </w:rPr>
              <w:t>3</w:t>
            </w:r>
          </w:p>
        </w:tc>
        <w:tc>
          <w:tcPr>
            <w:tcW w:w="805" w:type="dxa"/>
            <w:vAlign w:val="center"/>
          </w:tcPr>
          <w:p w14:paraId="2E27BD88" w14:textId="77777777" w:rsidR="008E1D77" w:rsidRPr="0031419F" w:rsidRDefault="008E1D77" w:rsidP="002F61DF">
            <w:pPr>
              <w:pStyle w:val="Tabletext"/>
              <w:keepNext/>
              <w:keepLines/>
              <w:jc w:val="center"/>
            </w:pPr>
            <w:r w:rsidRPr="0031419F">
              <w:t>3.17</w:t>
            </w:r>
          </w:p>
        </w:tc>
        <w:tc>
          <w:tcPr>
            <w:tcW w:w="1183" w:type="dxa"/>
            <w:vAlign w:val="center"/>
          </w:tcPr>
          <w:p w14:paraId="459EDF26" w14:textId="21CF07E7" w:rsidR="008E1D77" w:rsidRPr="0031419F" w:rsidRDefault="001F60D7" w:rsidP="002F61DF">
            <w:pPr>
              <w:pStyle w:val="Tabletext"/>
              <w:keepNext/>
              <w:keepLines/>
              <w:jc w:val="center"/>
            </w:pPr>
            <w:r w:rsidRPr="001F60D7">
              <w:rPr>
                <w:rFonts w:hint="eastAsia"/>
                <w:w w:val="29"/>
                <w:shd w:val="solid" w:color="000000" w:fill="000000"/>
                <w:fitText w:val="132" w:id="-629967604"/>
                <w14:textFill>
                  <w14:solidFill>
                    <w14:schemeClr w14:val="tx1">
                      <w14:alpha w14:val="100000"/>
                    </w14:schemeClr>
                  </w14:solidFill>
                </w14:textFill>
              </w:rPr>
              <w:t xml:space="preserve">　</w:t>
            </w:r>
            <w:r w:rsidRPr="001F60D7">
              <w:rPr>
                <w:w w:val="29"/>
                <w:shd w:val="solid" w:color="000000" w:fill="000000"/>
                <w:fitText w:val="132" w:id="-629967604"/>
                <w14:textFill>
                  <w14:solidFill>
                    <w14:schemeClr w14:val="tx1">
                      <w14:alpha w14:val="100000"/>
                    </w14:schemeClr>
                  </w14:solidFill>
                </w14:textFill>
              </w:rPr>
              <w:t>|</w:t>
            </w:r>
            <w:r w:rsidRPr="001F60D7">
              <w:rPr>
                <w:rFonts w:hint="eastAsia"/>
                <w:spacing w:val="4"/>
                <w:w w:val="29"/>
                <w:shd w:val="solid" w:color="000000" w:fill="000000"/>
                <w:fitText w:val="132" w:id="-629967604"/>
                <w14:textFill>
                  <w14:solidFill>
                    <w14:schemeClr w14:val="tx1">
                      <w14:alpha w14:val="100000"/>
                    </w14:schemeClr>
                  </w14:solidFill>
                </w14:textFill>
              </w:rPr>
              <w:t xml:space="preserve">　</w:t>
            </w:r>
            <w:r w:rsidR="008E1D77" w:rsidRPr="0031419F">
              <w:t>%</w:t>
            </w:r>
          </w:p>
        </w:tc>
      </w:tr>
      <w:tr w:rsidR="00680EEC" w:rsidRPr="0031419F" w14:paraId="2E72BD94" w14:textId="77777777" w:rsidTr="001F60D7">
        <w:tc>
          <w:tcPr>
            <w:tcW w:w="3364" w:type="dxa"/>
          </w:tcPr>
          <w:p w14:paraId="2D2B42B1" w14:textId="452055AD" w:rsidR="00B85AD1" w:rsidRPr="0031419F" w:rsidRDefault="00B85AD1" w:rsidP="002F61DF">
            <w:pPr>
              <w:pStyle w:val="Tabletext"/>
              <w:keepNext/>
              <w:keepLines/>
            </w:pPr>
            <w:r w:rsidRPr="0031419F">
              <w:t>Survival, leniolisib RR versus general population = 0.9 (BC: 0.98690)</w:t>
            </w:r>
          </w:p>
        </w:tc>
        <w:tc>
          <w:tcPr>
            <w:tcW w:w="1118" w:type="dxa"/>
            <w:tcBorders>
              <w:bottom w:val="single" w:sz="4" w:space="0" w:color="auto"/>
            </w:tcBorders>
            <w:shd w:val="solid" w:color="000000" w:fill="000000"/>
            <w:vAlign w:val="center"/>
          </w:tcPr>
          <w:p w14:paraId="6FAA3905" w14:textId="228C0416" w:rsidR="00B85AD1" w:rsidRPr="00707B83" w:rsidRDefault="001F60D7" w:rsidP="002F61DF">
            <w:pPr>
              <w:pStyle w:val="Tabletext"/>
              <w:keepNext/>
              <w:keepLines/>
              <w:jc w:val="center"/>
              <w:rPr>
                <w:highlight w:val="darkGray"/>
              </w:rPr>
            </w:pPr>
            <w:r w:rsidRPr="001F60D7">
              <w:rPr>
                <w:rFonts w:hint="eastAsia"/>
                <w:w w:val="24"/>
                <w:fitText w:val="108" w:id="-629967603"/>
                <w14:textFill>
                  <w14:solidFill>
                    <w14:schemeClr w14:val="tx1">
                      <w14:alpha w14:val="100000"/>
                    </w14:schemeClr>
                  </w14:solidFill>
                </w14:textFill>
              </w:rPr>
              <w:t xml:space="preserve">　</w:t>
            </w:r>
            <w:r w:rsidRPr="001F60D7">
              <w:rPr>
                <w:w w:val="24"/>
                <w:fitText w:val="108" w:id="-629967603"/>
                <w14:textFill>
                  <w14:solidFill>
                    <w14:schemeClr w14:val="tx1">
                      <w14:alpha w14:val="100000"/>
                    </w14:schemeClr>
                  </w14:solidFill>
                </w14:textFill>
              </w:rPr>
              <w:t>|</w:t>
            </w:r>
            <w:r w:rsidRPr="001F60D7">
              <w:rPr>
                <w:rFonts w:hint="eastAsia"/>
                <w:w w:val="24"/>
                <w:fitText w:val="108" w:id="-629967603"/>
                <w14:textFill>
                  <w14:solidFill>
                    <w14:schemeClr w14:val="tx1">
                      <w14:alpha w14:val="100000"/>
                    </w14:schemeClr>
                  </w14:solidFill>
                </w14:textFill>
              </w:rPr>
              <w:t xml:space="preserve">　</w:t>
            </w:r>
          </w:p>
        </w:tc>
        <w:tc>
          <w:tcPr>
            <w:tcW w:w="956" w:type="dxa"/>
            <w:vAlign w:val="center"/>
          </w:tcPr>
          <w:p w14:paraId="705A61E9" w14:textId="77777777" w:rsidR="00B85AD1" w:rsidRPr="0031419F" w:rsidRDefault="00B85AD1" w:rsidP="002F61DF">
            <w:pPr>
              <w:pStyle w:val="Tabletext"/>
              <w:keepNext/>
              <w:keepLines/>
              <w:jc w:val="center"/>
            </w:pPr>
            <w:r w:rsidRPr="0031419F">
              <w:t>6.19</w:t>
            </w:r>
          </w:p>
        </w:tc>
        <w:tc>
          <w:tcPr>
            <w:tcW w:w="1358" w:type="dxa"/>
            <w:vAlign w:val="center"/>
          </w:tcPr>
          <w:p w14:paraId="566B1377" w14:textId="32C574D2" w:rsidR="00B85AD1"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D04E28" w:rsidRPr="00423C1B">
              <w:rPr>
                <w:b/>
                <w:bCs/>
                <w:vertAlign w:val="superscript"/>
              </w:rPr>
              <w:t>1</w:t>
            </w:r>
          </w:p>
        </w:tc>
        <w:tc>
          <w:tcPr>
            <w:tcW w:w="805" w:type="dxa"/>
            <w:vAlign w:val="center"/>
          </w:tcPr>
          <w:p w14:paraId="64D6A4C1" w14:textId="268A7FE3" w:rsidR="00B85AD1" w:rsidRPr="0031419F" w:rsidRDefault="00B85AD1" w:rsidP="002F61DF">
            <w:pPr>
              <w:pStyle w:val="Tabletext"/>
              <w:keepNext/>
              <w:keepLines/>
              <w:jc w:val="center"/>
            </w:pPr>
            <w:r w:rsidRPr="0031419F">
              <w:t>1.65</w:t>
            </w:r>
          </w:p>
        </w:tc>
        <w:tc>
          <w:tcPr>
            <w:tcW w:w="1183" w:type="dxa"/>
            <w:vAlign w:val="center"/>
          </w:tcPr>
          <w:p w14:paraId="197B68DE" w14:textId="616E45B9" w:rsidR="00B85AD1" w:rsidRPr="0031419F" w:rsidRDefault="001F60D7" w:rsidP="002F61DF">
            <w:pPr>
              <w:pStyle w:val="Tabletext"/>
              <w:keepNext/>
              <w:keepLines/>
              <w:jc w:val="center"/>
            </w:pPr>
            <w:r w:rsidRPr="001F60D7">
              <w:rPr>
                <w:rFonts w:hint="eastAsia"/>
                <w:w w:val="29"/>
                <w:shd w:val="solid" w:color="000000" w:fill="000000"/>
                <w:fitText w:val="132" w:id="-629967602"/>
                <w14:textFill>
                  <w14:solidFill>
                    <w14:schemeClr w14:val="tx1">
                      <w14:alpha w14:val="100000"/>
                    </w14:schemeClr>
                  </w14:solidFill>
                </w14:textFill>
              </w:rPr>
              <w:t xml:space="preserve">　</w:t>
            </w:r>
            <w:r w:rsidRPr="001F60D7">
              <w:rPr>
                <w:w w:val="29"/>
                <w:shd w:val="solid" w:color="000000" w:fill="000000"/>
                <w:fitText w:val="132" w:id="-629967602"/>
                <w14:textFill>
                  <w14:solidFill>
                    <w14:schemeClr w14:val="tx1">
                      <w14:alpha w14:val="100000"/>
                    </w14:schemeClr>
                  </w14:solidFill>
                </w14:textFill>
              </w:rPr>
              <w:t>|</w:t>
            </w:r>
            <w:r w:rsidRPr="001F60D7">
              <w:rPr>
                <w:rFonts w:hint="eastAsia"/>
                <w:spacing w:val="4"/>
                <w:w w:val="29"/>
                <w:shd w:val="solid" w:color="000000" w:fill="000000"/>
                <w:fitText w:val="132" w:id="-629967602"/>
                <w14:textFill>
                  <w14:solidFill>
                    <w14:schemeClr w14:val="tx1">
                      <w14:alpha w14:val="100000"/>
                    </w14:schemeClr>
                  </w14:solidFill>
                </w14:textFill>
              </w:rPr>
              <w:t xml:space="preserve">　</w:t>
            </w:r>
            <w:r w:rsidR="00B85AD1" w:rsidRPr="0031419F">
              <w:t>%</w:t>
            </w:r>
          </w:p>
        </w:tc>
      </w:tr>
      <w:tr w:rsidR="00680EEC" w:rsidRPr="0031419F" w14:paraId="3F1306E5" w14:textId="77777777" w:rsidTr="001F60D7">
        <w:tc>
          <w:tcPr>
            <w:tcW w:w="3364" w:type="dxa"/>
          </w:tcPr>
          <w:p w14:paraId="02DFA1B3" w14:textId="0E0EFD87" w:rsidR="00B85AD1" w:rsidRPr="0031419F" w:rsidRDefault="00B85AD1" w:rsidP="002F61DF">
            <w:pPr>
              <w:pStyle w:val="Tabletext"/>
              <w:keepNext/>
              <w:keepLines/>
            </w:pPr>
            <w:r w:rsidRPr="0031419F">
              <w:t>Survival, leniolisib RR versus general population = 0.8 (BC: 0.98690)</w:t>
            </w:r>
          </w:p>
        </w:tc>
        <w:tc>
          <w:tcPr>
            <w:tcW w:w="1118" w:type="dxa"/>
            <w:shd w:val="solid" w:color="000000" w:fill="000000"/>
            <w:vAlign w:val="center"/>
          </w:tcPr>
          <w:p w14:paraId="584AF5B7" w14:textId="5D8A678A" w:rsidR="00B85AD1" w:rsidRPr="00707B83" w:rsidRDefault="001F60D7" w:rsidP="002F61DF">
            <w:pPr>
              <w:pStyle w:val="Tabletext"/>
              <w:keepNext/>
              <w:keepLines/>
              <w:jc w:val="center"/>
              <w:rPr>
                <w:highlight w:val="darkGray"/>
              </w:rPr>
            </w:pPr>
            <w:r w:rsidRPr="001F60D7">
              <w:rPr>
                <w:rFonts w:hint="eastAsia"/>
                <w:w w:val="24"/>
                <w:fitText w:val="108" w:id="-629967601"/>
                <w14:textFill>
                  <w14:solidFill>
                    <w14:schemeClr w14:val="tx1">
                      <w14:alpha w14:val="100000"/>
                    </w14:schemeClr>
                  </w14:solidFill>
                </w14:textFill>
              </w:rPr>
              <w:t xml:space="preserve">　</w:t>
            </w:r>
            <w:r w:rsidRPr="001F60D7">
              <w:rPr>
                <w:w w:val="24"/>
                <w:fitText w:val="108" w:id="-629967601"/>
                <w14:textFill>
                  <w14:solidFill>
                    <w14:schemeClr w14:val="tx1">
                      <w14:alpha w14:val="100000"/>
                    </w14:schemeClr>
                  </w14:solidFill>
                </w14:textFill>
              </w:rPr>
              <w:t>|</w:t>
            </w:r>
            <w:r w:rsidRPr="001F60D7">
              <w:rPr>
                <w:rFonts w:hint="eastAsia"/>
                <w:w w:val="24"/>
                <w:fitText w:val="108" w:id="-629967601"/>
                <w14:textFill>
                  <w14:solidFill>
                    <w14:schemeClr w14:val="tx1">
                      <w14:alpha w14:val="100000"/>
                    </w14:schemeClr>
                  </w14:solidFill>
                </w14:textFill>
              </w:rPr>
              <w:t xml:space="preserve">　</w:t>
            </w:r>
          </w:p>
        </w:tc>
        <w:tc>
          <w:tcPr>
            <w:tcW w:w="956" w:type="dxa"/>
            <w:vAlign w:val="center"/>
          </w:tcPr>
          <w:p w14:paraId="4EC15555" w14:textId="77777777" w:rsidR="00B85AD1" w:rsidRPr="0031419F" w:rsidRDefault="00B85AD1" w:rsidP="002F61DF">
            <w:pPr>
              <w:pStyle w:val="Tabletext"/>
              <w:keepNext/>
              <w:keepLines/>
              <w:jc w:val="center"/>
            </w:pPr>
            <w:r w:rsidRPr="0031419F">
              <w:t>5.11</w:t>
            </w:r>
          </w:p>
        </w:tc>
        <w:tc>
          <w:tcPr>
            <w:tcW w:w="1358" w:type="dxa"/>
            <w:vAlign w:val="center"/>
          </w:tcPr>
          <w:p w14:paraId="69F38547" w14:textId="6146C803" w:rsidR="00B85AD1" w:rsidRPr="00707B83" w:rsidRDefault="001F60D7" w:rsidP="002F61DF">
            <w:pPr>
              <w:pStyle w:val="Tabletext"/>
              <w:keepNext/>
              <w:keepLines/>
              <w:jc w:val="center"/>
              <w:rPr>
                <w:highlight w:val="darkGray"/>
              </w:rPr>
            </w:pPr>
            <w:r w:rsidRPr="001F60D7">
              <w:rPr>
                <w:shd w:val="solid" w:color="000000" w:fill="000000"/>
                <w14:textFill>
                  <w14:solidFill>
                    <w14:schemeClr w14:val="tx1">
                      <w14:alpha w14:val="100000"/>
                    </w14:schemeClr>
                  </w14:solidFill>
                </w14:textFill>
              </w:rPr>
              <w:t>|</w:t>
            </w:r>
            <w:r w:rsidR="00FB58C2" w:rsidRPr="00D35398">
              <w:rPr>
                <w:color w:val="000000"/>
                <w:vertAlign w:val="superscript"/>
              </w:rPr>
              <w:t>3</w:t>
            </w:r>
          </w:p>
        </w:tc>
        <w:tc>
          <w:tcPr>
            <w:tcW w:w="805" w:type="dxa"/>
            <w:vAlign w:val="center"/>
          </w:tcPr>
          <w:p w14:paraId="3E4CE81C" w14:textId="38EEB029" w:rsidR="00B85AD1" w:rsidRPr="0031419F" w:rsidRDefault="00B85AD1" w:rsidP="002F61DF">
            <w:pPr>
              <w:pStyle w:val="Tabletext"/>
              <w:keepNext/>
              <w:keepLines/>
              <w:jc w:val="center"/>
            </w:pPr>
            <w:r w:rsidRPr="0031419F">
              <w:t>-0.11</w:t>
            </w:r>
          </w:p>
        </w:tc>
        <w:tc>
          <w:tcPr>
            <w:tcW w:w="1183" w:type="dxa"/>
            <w:vAlign w:val="center"/>
          </w:tcPr>
          <w:p w14:paraId="2771428E" w14:textId="50114EFF" w:rsidR="00B85AD1" w:rsidRPr="0031419F" w:rsidRDefault="001F60D7" w:rsidP="002F61DF">
            <w:pPr>
              <w:pStyle w:val="Tabletext"/>
              <w:keepNext/>
              <w:keepLines/>
              <w:jc w:val="center"/>
            </w:pPr>
            <w:r w:rsidRPr="005D75EA">
              <w:rPr>
                <w:rFonts w:hint="eastAsia"/>
                <w:w w:val="29"/>
                <w:shd w:val="solid" w:color="000000" w:fill="000000"/>
                <w:fitText w:val="132" w:id="-629967600"/>
                <w14:textFill>
                  <w14:solidFill>
                    <w14:schemeClr w14:val="tx1">
                      <w14:alpha w14:val="100000"/>
                    </w14:schemeClr>
                  </w14:solidFill>
                </w14:textFill>
              </w:rPr>
              <w:t xml:space="preserve">　</w:t>
            </w:r>
            <w:r w:rsidRPr="005D75EA">
              <w:rPr>
                <w:w w:val="29"/>
                <w:shd w:val="solid" w:color="000000" w:fill="000000"/>
                <w:fitText w:val="132" w:id="-629967600"/>
                <w14:textFill>
                  <w14:solidFill>
                    <w14:schemeClr w14:val="tx1">
                      <w14:alpha w14:val="100000"/>
                    </w14:schemeClr>
                  </w14:solidFill>
                </w14:textFill>
              </w:rPr>
              <w:t>|</w:t>
            </w:r>
            <w:r w:rsidRPr="005D75EA">
              <w:rPr>
                <w:rFonts w:hint="eastAsia"/>
                <w:spacing w:val="4"/>
                <w:w w:val="29"/>
                <w:shd w:val="solid" w:color="000000" w:fill="000000"/>
                <w:fitText w:val="132" w:id="-629967600"/>
                <w14:textFill>
                  <w14:solidFill>
                    <w14:schemeClr w14:val="tx1">
                      <w14:alpha w14:val="100000"/>
                    </w14:schemeClr>
                  </w14:solidFill>
                </w14:textFill>
              </w:rPr>
              <w:t xml:space="preserve">　</w:t>
            </w:r>
            <w:r w:rsidR="00B85AD1" w:rsidRPr="0031419F">
              <w:t>%</w:t>
            </w:r>
          </w:p>
        </w:tc>
      </w:tr>
    </w:tbl>
    <w:p w14:paraId="6FDED13C" w14:textId="593C7D4A" w:rsidR="00135906" w:rsidRPr="0031419F" w:rsidRDefault="00135906" w:rsidP="002F61DF">
      <w:pPr>
        <w:pStyle w:val="TableFigureFooter"/>
        <w:keepNext/>
        <w:rPr>
          <w:lang w:val="en-AU"/>
        </w:rPr>
      </w:pPr>
      <w:r w:rsidRPr="0031419F">
        <w:rPr>
          <w:lang w:val="en-AU"/>
        </w:rPr>
        <w:t>BC = base case; GI = gastrointestinal;</w:t>
      </w:r>
      <w:r w:rsidR="008E1D77" w:rsidRPr="0031419F">
        <w:rPr>
          <w:lang w:val="en-AU"/>
        </w:rPr>
        <w:t xml:space="preserve"> HR = hazard ratio;</w:t>
      </w:r>
      <w:r w:rsidRPr="0031419F">
        <w:rPr>
          <w:lang w:val="en-AU"/>
        </w:rPr>
        <w:t xml:space="preserve"> ICER = Incremental cost-effectiveness ratio; LYG = life-years gained; QALYs = quality adjusted life year.</w:t>
      </w:r>
    </w:p>
    <w:p w14:paraId="553C2FE9" w14:textId="4E5BB212" w:rsidR="00CF5982" w:rsidRPr="0031419F" w:rsidRDefault="00CF5982" w:rsidP="002F61DF">
      <w:pPr>
        <w:pStyle w:val="TableFigureFooter"/>
        <w:keepNext/>
        <w:rPr>
          <w:lang w:val="en-AU"/>
        </w:rPr>
      </w:pPr>
      <w:r w:rsidRPr="0031419F">
        <w:rPr>
          <w:vertAlign w:val="superscript"/>
          <w:lang w:val="en-AU"/>
        </w:rPr>
        <w:t>a</w:t>
      </w:r>
      <w:r w:rsidRPr="0031419F">
        <w:rPr>
          <w:lang w:val="en-AU"/>
        </w:rPr>
        <w:t xml:space="preserve"> </w:t>
      </w:r>
      <w:r w:rsidR="00CF1D17" w:rsidRPr="0031419F">
        <w:rPr>
          <w:lang w:val="en-AU"/>
        </w:rPr>
        <w:t>T</w:t>
      </w:r>
      <w:r w:rsidR="003956CF" w:rsidRPr="0031419F">
        <w:rPr>
          <w:lang w:val="en-AU"/>
        </w:rPr>
        <w:t>he</w:t>
      </w:r>
      <w:r w:rsidRPr="0031419F">
        <w:rPr>
          <w:lang w:val="en-AU"/>
        </w:rPr>
        <w:t xml:space="preserve"> base case “2” </w:t>
      </w:r>
      <w:r w:rsidR="003956CF" w:rsidRPr="0031419F">
        <w:rPr>
          <w:lang w:val="en-AU"/>
        </w:rPr>
        <w:t>correspon</w:t>
      </w:r>
      <w:r w:rsidR="00035DE0" w:rsidRPr="0031419F">
        <w:rPr>
          <w:lang w:val="en-AU"/>
        </w:rPr>
        <w:t>ds</w:t>
      </w:r>
      <w:r w:rsidR="003956CF" w:rsidRPr="0031419F">
        <w:rPr>
          <w:lang w:val="en-AU"/>
        </w:rPr>
        <w:t xml:space="preserve"> to </w:t>
      </w:r>
      <w:r w:rsidR="00035DE0" w:rsidRPr="0031419F">
        <w:rPr>
          <w:lang w:val="en-AU"/>
        </w:rPr>
        <w:t xml:space="preserve">the </w:t>
      </w:r>
      <w:r w:rsidR="00142218" w:rsidRPr="0031419F">
        <w:rPr>
          <w:lang w:val="en-AU"/>
        </w:rPr>
        <w:t xml:space="preserve">assumption that </w:t>
      </w:r>
      <w:r w:rsidR="003956CF" w:rsidRPr="0031419F">
        <w:rPr>
          <w:lang w:val="en-AU"/>
        </w:rPr>
        <w:t xml:space="preserve">post-discontinuation manifestation risk of </w:t>
      </w:r>
      <w:r w:rsidR="00CF1D17" w:rsidRPr="0031419F">
        <w:rPr>
          <w:lang w:val="en-AU"/>
        </w:rPr>
        <w:t xml:space="preserve">will </w:t>
      </w:r>
      <w:r w:rsidR="003956CF" w:rsidRPr="0031419F">
        <w:rPr>
          <w:lang w:val="en-AU"/>
        </w:rPr>
        <w:t>return to starting age risk</w:t>
      </w:r>
      <w:r w:rsidR="00CF1D17" w:rsidRPr="0031419F">
        <w:rPr>
          <w:lang w:val="en-AU"/>
        </w:rPr>
        <w:t xml:space="preserve"> (see paragraph </w:t>
      </w:r>
      <w:r w:rsidR="00142218" w:rsidRPr="0031419F">
        <w:rPr>
          <w:lang w:val="en-AU"/>
        </w:rPr>
        <w:fldChar w:fldCharType="begin" w:fldLock="1"/>
      </w:r>
      <w:r w:rsidR="00142218" w:rsidRPr="0031419F">
        <w:rPr>
          <w:lang w:val="en-AU"/>
        </w:rPr>
        <w:instrText xml:space="preserve"> REF _Ref198137286 \r \h </w:instrText>
      </w:r>
      <w:r w:rsidR="0031419F" w:rsidRPr="0031419F">
        <w:rPr>
          <w:lang w:val="en-AU"/>
        </w:rPr>
        <w:instrText xml:space="preserve"> \* MERGEFORMAT </w:instrText>
      </w:r>
      <w:r w:rsidR="00142218" w:rsidRPr="0031419F">
        <w:rPr>
          <w:lang w:val="en-AU"/>
        </w:rPr>
      </w:r>
      <w:r w:rsidR="00142218" w:rsidRPr="0031419F">
        <w:rPr>
          <w:lang w:val="en-AU"/>
        </w:rPr>
        <w:fldChar w:fldCharType="separate"/>
      </w:r>
      <w:r w:rsidR="00C34379">
        <w:rPr>
          <w:lang w:val="en-AU"/>
        </w:rPr>
        <w:t>6.51</w:t>
      </w:r>
      <w:r w:rsidR="00142218" w:rsidRPr="0031419F">
        <w:rPr>
          <w:lang w:val="en-AU"/>
        </w:rPr>
        <w:fldChar w:fldCharType="end"/>
      </w:r>
      <w:r w:rsidR="00035DE0" w:rsidRPr="0031419F">
        <w:rPr>
          <w:lang w:val="en-AU"/>
        </w:rPr>
        <w:t>)</w:t>
      </w:r>
      <w:r w:rsidR="00142218" w:rsidRPr="0031419F">
        <w:rPr>
          <w:lang w:val="en-AU"/>
        </w:rPr>
        <w:t>,</w:t>
      </w:r>
      <w:r w:rsidR="001736C1" w:rsidRPr="0031419F">
        <w:rPr>
          <w:lang w:val="en-AU"/>
        </w:rPr>
        <w:t xml:space="preserve"> </w:t>
      </w:r>
      <w:r w:rsidR="00142218" w:rsidRPr="0031419F">
        <w:rPr>
          <w:lang w:val="en-AU"/>
        </w:rPr>
        <w:t xml:space="preserve">the sensitivity of changing this assumption to </w:t>
      </w:r>
      <w:r w:rsidRPr="0031419F">
        <w:rPr>
          <w:lang w:val="en-AU"/>
        </w:rPr>
        <w:t>“4”, correspond</w:t>
      </w:r>
      <w:r w:rsidR="001F6189" w:rsidRPr="0031419F">
        <w:rPr>
          <w:lang w:val="en-AU"/>
        </w:rPr>
        <w:t>s</w:t>
      </w:r>
      <w:r w:rsidRPr="0031419F">
        <w:rPr>
          <w:lang w:val="en-AU"/>
        </w:rPr>
        <w:t xml:space="preserve"> to “Catch-up to SoC cumulative incidence based on the duration of tx</w:t>
      </w:r>
      <w:r w:rsidR="001F6189" w:rsidRPr="0031419F">
        <w:rPr>
          <w:lang w:val="en-AU"/>
        </w:rPr>
        <w:t>” and the assumption changes such that</w:t>
      </w:r>
      <w:r w:rsidRPr="0031419F">
        <w:rPr>
          <w:lang w:val="en-AU"/>
        </w:rPr>
        <w:t xml:space="preserve"> </w:t>
      </w:r>
      <w:r w:rsidR="001F6189" w:rsidRPr="0031419F">
        <w:rPr>
          <w:lang w:val="en-AU"/>
        </w:rPr>
        <w:t xml:space="preserve">only </w:t>
      </w:r>
      <w:r w:rsidRPr="0031419F">
        <w:rPr>
          <w:lang w:val="en-AU"/>
        </w:rPr>
        <w:t xml:space="preserve">patients on </w:t>
      </w:r>
      <w:r w:rsidR="001F6189" w:rsidRPr="0031419F">
        <w:rPr>
          <w:lang w:val="en-AU"/>
        </w:rPr>
        <w:t xml:space="preserve">who remain on </w:t>
      </w:r>
      <w:r w:rsidRPr="0031419F">
        <w:rPr>
          <w:lang w:val="en-AU"/>
        </w:rPr>
        <w:t>leniolisib for 10+ years return to starting age risk</w:t>
      </w:r>
      <w:r w:rsidR="001F6189" w:rsidRPr="0031419F">
        <w:rPr>
          <w:lang w:val="en-AU"/>
        </w:rPr>
        <w:t xml:space="preserve"> following discontinuation</w:t>
      </w:r>
      <w:r w:rsidRPr="0031419F">
        <w:rPr>
          <w:lang w:val="en-AU"/>
        </w:rPr>
        <w:t>.</w:t>
      </w:r>
    </w:p>
    <w:p w14:paraId="520DDF89" w14:textId="3AEA60A5" w:rsidR="00135906" w:rsidRPr="0031419F" w:rsidRDefault="00135906" w:rsidP="002F61DF">
      <w:pPr>
        <w:pStyle w:val="TableFigureFooter"/>
        <w:keepNext/>
        <w:rPr>
          <w:lang w:val="en-AU"/>
        </w:rPr>
      </w:pPr>
      <w:r w:rsidRPr="0031419F">
        <w:rPr>
          <w:lang w:val="en-AU"/>
        </w:rPr>
        <w:t>Text in italics indicate values calculated during the evaluation</w:t>
      </w:r>
    </w:p>
    <w:p w14:paraId="1A9FE073" w14:textId="77777777" w:rsidR="00B4527B" w:rsidRDefault="00135906" w:rsidP="002F61DF">
      <w:pPr>
        <w:pStyle w:val="TableFigureFooter"/>
        <w:keepNext/>
      </w:pPr>
      <w:r w:rsidRPr="0031419F">
        <w:rPr>
          <w:lang w:val="en-AU"/>
        </w:rPr>
        <w:t>Source: Calculated during the evaluation using PHG LENIOLISIB CUA MODEL FINAL.xlsm</w:t>
      </w:r>
      <w:r w:rsidR="00B4527B" w:rsidRPr="00B4527B">
        <w:t xml:space="preserve"> </w:t>
      </w:r>
    </w:p>
    <w:p w14:paraId="6BD56F3E" w14:textId="49E302D2" w:rsidR="00B4527B" w:rsidRPr="00026CFC" w:rsidRDefault="00B4527B" w:rsidP="002F61DF">
      <w:pPr>
        <w:pStyle w:val="TableFigureFooter"/>
        <w:keepNext/>
        <w:rPr>
          <w:i/>
          <w:iCs/>
          <w:lang w:val="en-AU"/>
        </w:rPr>
      </w:pPr>
      <w:r w:rsidRPr="00026CFC">
        <w:rPr>
          <w:i/>
          <w:iCs/>
          <w:lang w:val="en-AU"/>
        </w:rPr>
        <w:t>The redacted values correspond to the following ranges:</w:t>
      </w:r>
    </w:p>
    <w:p w14:paraId="6F95B6FB" w14:textId="5587D471" w:rsidR="00B4527B" w:rsidRPr="00026CFC" w:rsidRDefault="00B4527B" w:rsidP="002F61DF">
      <w:pPr>
        <w:pStyle w:val="TableFigureFooter"/>
        <w:keepNext/>
        <w:rPr>
          <w:i/>
          <w:iCs/>
          <w:lang w:val="en-AU"/>
        </w:rPr>
      </w:pPr>
      <w:r w:rsidRPr="00833316">
        <w:rPr>
          <w:i/>
          <w:iCs/>
          <w:vertAlign w:val="superscript"/>
          <w:lang w:val="en-AU"/>
        </w:rPr>
        <w:t>1</w:t>
      </w:r>
      <w:r w:rsidRPr="00026CFC">
        <w:rPr>
          <w:i/>
          <w:iCs/>
          <w:lang w:val="en-AU"/>
        </w:rPr>
        <w:t xml:space="preserve"> $855,000 to &lt; $955,000 </w:t>
      </w:r>
    </w:p>
    <w:p w14:paraId="30F38441" w14:textId="77777777" w:rsidR="00D35398" w:rsidRPr="00026CFC" w:rsidRDefault="00B4527B" w:rsidP="002F61DF">
      <w:pPr>
        <w:pStyle w:val="TableFigureFooter"/>
        <w:keepNext/>
        <w:rPr>
          <w:i/>
          <w:iCs/>
          <w:lang w:val="en-AU"/>
        </w:rPr>
      </w:pPr>
      <w:r w:rsidRPr="00833316">
        <w:rPr>
          <w:i/>
          <w:iCs/>
          <w:vertAlign w:val="superscript"/>
          <w:lang w:val="en-AU"/>
        </w:rPr>
        <w:t>2</w:t>
      </w:r>
      <w:r w:rsidRPr="00026CFC">
        <w:rPr>
          <w:i/>
          <w:iCs/>
          <w:lang w:val="en-AU"/>
        </w:rPr>
        <w:t xml:space="preserve"> &gt; $1,055,000</w:t>
      </w:r>
      <w:r w:rsidR="00D35398" w:rsidRPr="00026CFC">
        <w:rPr>
          <w:i/>
          <w:iCs/>
          <w:lang w:val="en-AU"/>
        </w:rPr>
        <w:t xml:space="preserve"> </w:t>
      </w:r>
    </w:p>
    <w:p w14:paraId="080CFEF2" w14:textId="77777777" w:rsidR="008360DB" w:rsidRPr="00026CFC" w:rsidRDefault="00D35398" w:rsidP="002F61DF">
      <w:pPr>
        <w:pStyle w:val="TableFigureFooter"/>
        <w:keepNext/>
        <w:rPr>
          <w:i/>
          <w:iCs/>
        </w:rPr>
      </w:pPr>
      <w:r w:rsidRPr="00833316">
        <w:rPr>
          <w:i/>
          <w:iCs/>
          <w:vertAlign w:val="superscript"/>
          <w:lang w:val="en-AU"/>
        </w:rPr>
        <w:t>3</w:t>
      </w:r>
      <w:r w:rsidRPr="00026CFC">
        <w:rPr>
          <w:i/>
          <w:iCs/>
          <w:lang w:val="en-AU"/>
        </w:rPr>
        <w:t xml:space="preserve"> </w:t>
      </w:r>
      <w:r w:rsidRPr="00026CFC">
        <w:rPr>
          <w:i/>
          <w:iCs/>
        </w:rPr>
        <w:t>$955,000 to &lt; $1,055,000</w:t>
      </w:r>
      <w:r w:rsidR="008360DB" w:rsidRPr="00026CFC">
        <w:rPr>
          <w:i/>
          <w:iCs/>
        </w:rPr>
        <w:t xml:space="preserve"> </w:t>
      </w:r>
    </w:p>
    <w:p w14:paraId="7CCFADC7" w14:textId="77777777" w:rsidR="00F158D5" w:rsidRPr="00026CFC" w:rsidRDefault="008360DB" w:rsidP="002F61DF">
      <w:pPr>
        <w:pStyle w:val="TableFigureFooter"/>
        <w:keepNext/>
        <w:rPr>
          <w:i/>
          <w:iCs/>
        </w:rPr>
      </w:pPr>
      <w:r w:rsidRPr="00833316">
        <w:rPr>
          <w:i/>
          <w:iCs/>
          <w:vertAlign w:val="superscript"/>
        </w:rPr>
        <w:t>4</w:t>
      </w:r>
      <w:r w:rsidRPr="00026CFC">
        <w:rPr>
          <w:i/>
          <w:iCs/>
        </w:rPr>
        <w:t xml:space="preserve"> $755,000 to &lt; $855,000</w:t>
      </w:r>
    </w:p>
    <w:p w14:paraId="03A66071" w14:textId="19079E02" w:rsidR="00DA25A2" w:rsidRPr="00026CFC" w:rsidRDefault="00F158D5" w:rsidP="002F61DF">
      <w:pPr>
        <w:pStyle w:val="TableFigureFooter"/>
        <w:keepNext/>
        <w:rPr>
          <w:i/>
          <w:iCs/>
        </w:rPr>
      </w:pPr>
      <w:r w:rsidRPr="00833316">
        <w:rPr>
          <w:i/>
          <w:iCs/>
          <w:vertAlign w:val="superscript"/>
        </w:rPr>
        <w:t>5</w:t>
      </w:r>
      <w:r w:rsidRPr="00026CFC">
        <w:rPr>
          <w:i/>
          <w:iCs/>
        </w:rPr>
        <w:t xml:space="preserve"> $55,000 to &lt; $75,000</w:t>
      </w:r>
      <w:r w:rsidR="003109B1" w:rsidRPr="00026CFC">
        <w:rPr>
          <w:i/>
          <w:iCs/>
        </w:rPr>
        <w:t xml:space="preserve"> </w:t>
      </w:r>
    </w:p>
    <w:p w14:paraId="752C0005" w14:textId="152D3DBE" w:rsidR="00D35398" w:rsidRPr="00026CFC" w:rsidRDefault="00DA25A2" w:rsidP="002F61DF">
      <w:pPr>
        <w:pStyle w:val="TableFigureFooter"/>
        <w:keepNext/>
        <w:rPr>
          <w:i/>
          <w:iCs/>
        </w:rPr>
      </w:pPr>
      <w:r w:rsidRPr="00833316">
        <w:rPr>
          <w:i/>
          <w:iCs/>
          <w:vertAlign w:val="superscript"/>
        </w:rPr>
        <w:t>6</w:t>
      </w:r>
      <w:r w:rsidRPr="00026CFC">
        <w:rPr>
          <w:i/>
          <w:iCs/>
        </w:rPr>
        <w:t xml:space="preserve"> $555,000 to &lt; $655,000</w:t>
      </w:r>
    </w:p>
    <w:p w14:paraId="7945649B" w14:textId="3409AD70" w:rsidR="00135906" w:rsidRPr="0031419F" w:rsidRDefault="00135906" w:rsidP="00B4527B">
      <w:pPr>
        <w:pStyle w:val="TableFigureFooter"/>
        <w:keepNext/>
        <w:rPr>
          <w:lang w:val="en-AU"/>
        </w:rPr>
      </w:pPr>
    </w:p>
    <w:p w14:paraId="116C1935" w14:textId="58B201BB" w:rsidR="0004559E" w:rsidRPr="008B433C" w:rsidRDefault="00D44BE4" w:rsidP="004F6C25">
      <w:pPr>
        <w:pStyle w:val="3-BodyText"/>
      </w:pPr>
      <w:r w:rsidRPr="008B433C">
        <w:t xml:space="preserve">Noting this is a rare </w:t>
      </w:r>
      <w:r w:rsidR="0004559E" w:rsidRPr="008B433C">
        <w:t>condition</w:t>
      </w:r>
      <w:r w:rsidR="0028115C" w:rsidRPr="008B433C">
        <w:t xml:space="preserve"> and the </w:t>
      </w:r>
      <w:r w:rsidR="00935C67" w:rsidRPr="008B433C">
        <w:t>paucity of data available</w:t>
      </w:r>
      <w:r w:rsidR="0004559E" w:rsidRPr="008B433C">
        <w:t>,</w:t>
      </w:r>
      <w:r w:rsidR="00CC19D0" w:rsidRPr="008B433C">
        <w:t xml:space="preserve"> the Sub-Committees considered </w:t>
      </w:r>
      <w:r w:rsidR="0028115C" w:rsidRPr="008B433C">
        <w:t xml:space="preserve">a cost per responder approach </w:t>
      </w:r>
      <w:r w:rsidR="00935C67" w:rsidRPr="008B433C">
        <w:t xml:space="preserve">may be </w:t>
      </w:r>
      <w:r w:rsidR="00914B4B" w:rsidRPr="008B433C">
        <w:t>informative in consideration of</w:t>
      </w:r>
      <w:r w:rsidR="007D7149" w:rsidRPr="008B433C">
        <w:t xml:space="preserve"> </w:t>
      </w:r>
      <w:r w:rsidR="00F72C5E" w:rsidRPr="008B433C">
        <w:t xml:space="preserve">the cost-effectiveness of leniolisib to SoC. </w:t>
      </w:r>
      <w:r w:rsidR="00A85A51">
        <w:t>The Pre-PBAC response</w:t>
      </w:r>
      <w:r w:rsidR="006059D0">
        <w:t xml:space="preserve"> </w:t>
      </w:r>
      <w:r w:rsidR="00A85A51">
        <w:t>stated a</w:t>
      </w:r>
      <w:r w:rsidR="00D444CF" w:rsidRPr="00D444CF">
        <w:t xml:space="preserve"> cost per responder analysis </w:t>
      </w:r>
      <w:r w:rsidR="00A85A51">
        <w:t>wa</w:t>
      </w:r>
      <w:r w:rsidR="00D444CF" w:rsidRPr="00D444CF">
        <w:t xml:space="preserve">s not feasible in this indication, as no universally accepted or validated response criteria exist in the literature, clinical guideline, or reimbursement criteria. </w:t>
      </w:r>
      <w:r w:rsidR="0099644A">
        <w:t xml:space="preserve">Instead, the Pre-PBAC response proposed a </w:t>
      </w:r>
      <w:r w:rsidR="00291BB5">
        <w:t xml:space="preserve">reduction </w:t>
      </w:r>
      <w:r w:rsidR="00C729B6">
        <w:t xml:space="preserve">to </w:t>
      </w:r>
      <w:r w:rsidR="00291BB5">
        <w:t>the effective price of leniolisib (</w:t>
      </w:r>
      <w:r w:rsidR="009F716F" w:rsidRPr="009F716F">
        <w:t>$</w:t>
      </w:r>
      <w:r w:rsidR="001F60D7" w:rsidRPr="00C740B8">
        <w:rPr>
          <w:color w:val="000000"/>
          <w:w w:val="15"/>
          <w:shd w:val="solid" w:color="000000" w:fill="000000"/>
          <w:fitText w:val="-20" w:id="-629967616"/>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16"/>
          <w14:textFill>
            <w14:solidFill>
              <w14:srgbClr w14:val="000000">
                <w14:alpha w14:val="100000"/>
              </w14:srgbClr>
            </w14:solidFill>
          </w14:textFill>
        </w:rPr>
        <w:t>|</w:t>
      </w:r>
      <w:r w:rsidR="009F716F">
        <w:t xml:space="preserve">, </w:t>
      </w:r>
      <w:r w:rsidR="001F60D7" w:rsidRPr="00C740B8">
        <w:rPr>
          <w:color w:val="000000"/>
          <w:w w:val="15"/>
          <w:shd w:val="solid" w:color="000000" w:fill="000000"/>
          <w:fitText w:val="-20" w:id="-629967615"/>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615"/>
          <w14:textFill>
            <w14:solidFill>
              <w14:srgbClr w14:val="000000">
                <w14:alpha w14:val="100000"/>
              </w14:srgbClr>
            </w14:solidFill>
          </w14:textFill>
        </w:rPr>
        <w:t>|</w:t>
      </w:r>
      <w:r w:rsidR="009F716F">
        <w:t>% discount</w:t>
      </w:r>
      <w:r w:rsidR="00001794">
        <w:t xml:space="preserve"> compared with the submission proposed price</w:t>
      </w:r>
      <w:r w:rsidR="009F716F">
        <w:t>)</w:t>
      </w:r>
      <w:r w:rsidR="00A940DF">
        <w:t xml:space="preserve"> </w:t>
      </w:r>
      <w:r w:rsidR="00BC08BC">
        <w:t xml:space="preserve">and a revised base case with </w:t>
      </w:r>
      <w:r w:rsidR="00C17BC4">
        <w:t xml:space="preserve">alternative scenario analyses to address some of the Sub-Committee’s concerns with </w:t>
      </w:r>
      <w:r w:rsidR="00786D1B">
        <w:t>modelling mortality.</w:t>
      </w:r>
    </w:p>
    <w:p w14:paraId="7B68C4D7" w14:textId="6557F447" w:rsidR="003D1923" w:rsidRPr="006562D8" w:rsidRDefault="00636C6B" w:rsidP="003D1923">
      <w:pPr>
        <w:pStyle w:val="4-SubsectionHeading"/>
      </w:pPr>
      <w:bookmarkStart w:id="53" w:name="_Toc198725892"/>
      <w:r w:rsidRPr="006562D8">
        <w:t>Leniolisib</w:t>
      </w:r>
      <w:r w:rsidR="003D1923" w:rsidRPr="006562D8">
        <w:t xml:space="preserve"> cost/patien</w:t>
      </w:r>
      <w:r w:rsidRPr="006562D8">
        <w:t>t</w:t>
      </w:r>
      <w:r w:rsidR="003D1923" w:rsidRPr="006562D8">
        <w:t>/year</w:t>
      </w:r>
      <w:bookmarkEnd w:id="53"/>
    </w:p>
    <w:p w14:paraId="7F424889" w14:textId="18052F09" w:rsidR="00275864" w:rsidRPr="006562D8" w:rsidRDefault="00275864" w:rsidP="00882C74">
      <w:pPr>
        <w:keepNext/>
        <w:keepLines/>
        <w:rPr>
          <w:rFonts w:ascii="Arial Narrow" w:hAnsi="Arial Narrow"/>
          <w:b/>
          <w:bCs/>
          <w:sz w:val="20"/>
          <w:szCs w:val="20"/>
        </w:rPr>
      </w:pPr>
      <w:r w:rsidRPr="006562D8">
        <w:rPr>
          <w:rFonts w:ascii="Arial Narrow" w:hAnsi="Arial Narrow"/>
          <w:b/>
          <w:bCs/>
          <w:sz w:val="20"/>
          <w:szCs w:val="20"/>
        </w:rPr>
        <w:t xml:space="preserve">Table </w:t>
      </w:r>
      <w:r w:rsidRPr="006562D8">
        <w:rPr>
          <w:rFonts w:ascii="Arial Narrow" w:hAnsi="Arial Narrow"/>
          <w:b/>
          <w:bCs/>
          <w:sz w:val="20"/>
          <w:szCs w:val="20"/>
        </w:rPr>
        <w:fldChar w:fldCharType="begin" w:fldLock="1"/>
      </w:r>
      <w:r w:rsidRPr="006562D8">
        <w:rPr>
          <w:rFonts w:ascii="Arial Narrow" w:hAnsi="Arial Narrow"/>
          <w:b/>
          <w:bCs/>
          <w:sz w:val="20"/>
          <w:szCs w:val="20"/>
        </w:rPr>
        <w:instrText xml:space="preserve"> SEQ Table \* ARABIC </w:instrText>
      </w:r>
      <w:r w:rsidRPr="006562D8">
        <w:rPr>
          <w:rFonts w:ascii="Arial Narrow" w:hAnsi="Arial Narrow"/>
          <w:b/>
          <w:bCs/>
          <w:sz w:val="20"/>
          <w:szCs w:val="20"/>
        </w:rPr>
        <w:fldChar w:fldCharType="separate"/>
      </w:r>
      <w:r w:rsidR="00C34379">
        <w:rPr>
          <w:rFonts w:ascii="Arial Narrow" w:hAnsi="Arial Narrow"/>
          <w:b/>
          <w:bCs/>
          <w:noProof/>
          <w:sz w:val="20"/>
          <w:szCs w:val="20"/>
        </w:rPr>
        <w:t>22</w:t>
      </w:r>
      <w:r w:rsidRPr="006562D8">
        <w:rPr>
          <w:rFonts w:ascii="Arial Narrow" w:hAnsi="Arial Narrow"/>
          <w:b/>
          <w:bCs/>
          <w:sz w:val="20"/>
          <w:szCs w:val="20"/>
        </w:rPr>
        <w:fldChar w:fldCharType="end"/>
      </w:r>
      <w:r w:rsidRPr="006562D8">
        <w:rPr>
          <w:rFonts w:ascii="Arial Narrow" w:hAnsi="Arial Narrow"/>
          <w:b/>
          <w:bCs/>
          <w:sz w:val="20"/>
          <w:szCs w:val="20"/>
        </w:rPr>
        <w:t>: Drug cost per patient for leniolisib</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Drug cost per patient for leniolisib"/>
      </w:tblPr>
      <w:tblGrid>
        <w:gridCol w:w="2515"/>
        <w:gridCol w:w="2100"/>
        <w:gridCol w:w="2100"/>
        <w:gridCol w:w="2099"/>
      </w:tblGrid>
      <w:tr w:rsidR="00275864" w:rsidRPr="0031419F" w14:paraId="688B0C9A" w14:textId="77777777" w:rsidTr="000B4467">
        <w:trPr>
          <w:cantSplit/>
          <w:tblHeader/>
          <w:jc w:val="center"/>
        </w:trPr>
        <w:tc>
          <w:tcPr>
            <w:tcW w:w="1426" w:type="pct"/>
            <w:vAlign w:val="center"/>
          </w:tcPr>
          <w:p w14:paraId="2CE5B72B" w14:textId="77777777" w:rsidR="00275864" w:rsidRPr="0031419F" w:rsidRDefault="00275864" w:rsidP="00882C74">
            <w:pPr>
              <w:pStyle w:val="In-tableHeading"/>
              <w:rPr>
                <w:color w:val="auto"/>
                <w:lang w:val="en-AU"/>
              </w:rPr>
            </w:pPr>
          </w:p>
        </w:tc>
        <w:tc>
          <w:tcPr>
            <w:tcW w:w="1191" w:type="pct"/>
            <w:vAlign w:val="center"/>
          </w:tcPr>
          <w:p w14:paraId="03B0A8CB" w14:textId="77777777" w:rsidR="00275864" w:rsidRPr="0031419F" w:rsidRDefault="00275864" w:rsidP="00882C74">
            <w:pPr>
              <w:pStyle w:val="In-tableHeading"/>
              <w:rPr>
                <w:color w:val="auto"/>
                <w:lang w:val="en-AU"/>
              </w:rPr>
            </w:pPr>
            <w:r w:rsidRPr="0031419F">
              <w:rPr>
                <w:color w:val="auto"/>
                <w:lang w:val="en-AU"/>
              </w:rPr>
              <w:t>Proposed drug</w:t>
            </w:r>
          </w:p>
          <w:p w14:paraId="2B4821C1" w14:textId="77777777" w:rsidR="00275864" w:rsidRPr="0031419F" w:rsidRDefault="00275864" w:rsidP="00882C74">
            <w:pPr>
              <w:pStyle w:val="In-tableHeading"/>
              <w:rPr>
                <w:color w:val="auto"/>
                <w:lang w:val="en-AU"/>
              </w:rPr>
            </w:pPr>
            <w:r w:rsidRPr="0031419F">
              <w:rPr>
                <w:color w:val="auto"/>
                <w:lang w:val="en-AU"/>
              </w:rPr>
              <w:t>Trial dose and duration</w:t>
            </w:r>
          </w:p>
        </w:tc>
        <w:tc>
          <w:tcPr>
            <w:tcW w:w="1191" w:type="pct"/>
            <w:vAlign w:val="center"/>
          </w:tcPr>
          <w:p w14:paraId="0943B0D3" w14:textId="77777777" w:rsidR="00275864" w:rsidRPr="0031419F" w:rsidRDefault="00275864" w:rsidP="00882C74">
            <w:pPr>
              <w:pStyle w:val="In-tableHeading"/>
              <w:rPr>
                <w:color w:val="auto"/>
                <w:lang w:val="en-AU"/>
              </w:rPr>
            </w:pPr>
            <w:r w:rsidRPr="0031419F">
              <w:rPr>
                <w:color w:val="auto"/>
                <w:lang w:val="en-AU"/>
              </w:rPr>
              <w:t>Proposed drug</w:t>
            </w:r>
          </w:p>
          <w:p w14:paraId="04E33B9D" w14:textId="77777777" w:rsidR="00275864" w:rsidRPr="0031419F" w:rsidRDefault="00275864" w:rsidP="00882C74">
            <w:pPr>
              <w:pStyle w:val="In-tableHeading"/>
              <w:rPr>
                <w:color w:val="auto"/>
                <w:lang w:val="en-AU"/>
              </w:rPr>
            </w:pPr>
            <w:r w:rsidRPr="0031419F">
              <w:rPr>
                <w:color w:val="auto"/>
                <w:lang w:val="en-AU"/>
              </w:rPr>
              <w:t>Model</w:t>
            </w:r>
          </w:p>
        </w:tc>
        <w:tc>
          <w:tcPr>
            <w:tcW w:w="1191" w:type="pct"/>
            <w:vAlign w:val="center"/>
          </w:tcPr>
          <w:p w14:paraId="1C72A8EA" w14:textId="77777777" w:rsidR="00275864" w:rsidRPr="0031419F" w:rsidRDefault="00275864" w:rsidP="00882C74">
            <w:pPr>
              <w:pStyle w:val="In-tableHeading"/>
              <w:rPr>
                <w:color w:val="auto"/>
                <w:lang w:val="en-AU"/>
              </w:rPr>
            </w:pPr>
            <w:r w:rsidRPr="0031419F">
              <w:rPr>
                <w:color w:val="auto"/>
                <w:lang w:val="en-AU"/>
              </w:rPr>
              <w:t>Proposed drug</w:t>
            </w:r>
          </w:p>
          <w:p w14:paraId="75C6D94B" w14:textId="77777777" w:rsidR="00275864" w:rsidRPr="0031419F" w:rsidRDefault="00275864" w:rsidP="00882C74">
            <w:pPr>
              <w:pStyle w:val="In-tableHeading"/>
              <w:rPr>
                <w:color w:val="auto"/>
                <w:lang w:val="en-AU"/>
              </w:rPr>
            </w:pPr>
            <w:r w:rsidRPr="0031419F">
              <w:rPr>
                <w:color w:val="auto"/>
                <w:lang w:val="en-AU"/>
              </w:rPr>
              <w:t>Financial estimates</w:t>
            </w:r>
          </w:p>
        </w:tc>
      </w:tr>
      <w:tr w:rsidR="00275864" w:rsidRPr="0031419F" w14:paraId="7C4AFDA2" w14:textId="77777777" w:rsidTr="000B4467">
        <w:trPr>
          <w:cantSplit/>
          <w:jc w:val="center"/>
        </w:trPr>
        <w:tc>
          <w:tcPr>
            <w:tcW w:w="1426" w:type="pct"/>
            <w:vAlign w:val="center"/>
          </w:tcPr>
          <w:p w14:paraId="396F619D" w14:textId="77777777" w:rsidR="00275864" w:rsidRPr="0031419F" w:rsidRDefault="00275864" w:rsidP="00882C74">
            <w:pPr>
              <w:pStyle w:val="TableText0"/>
              <w:keepNext/>
              <w:keepLines/>
              <w:rPr>
                <w:color w:val="auto"/>
                <w:lang w:val="en-AU"/>
              </w:rPr>
            </w:pPr>
            <w:r w:rsidRPr="0031419F">
              <w:rPr>
                <w:color w:val="auto"/>
                <w:lang w:val="en-AU"/>
              </w:rPr>
              <w:t>Leniolisib, mean dose</w:t>
            </w:r>
          </w:p>
        </w:tc>
        <w:tc>
          <w:tcPr>
            <w:tcW w:w="1191" w:type="pct"/>
          </w:tcPr>
          <w:p w14:paraId="01008C92" w14:textId="77777777" w:rsidR="00275864" w:rsidRPr="0031419F" w:rsidRDefault="00275864" w:rsidP="00882C74">
            <w:pPr>
              <w:pStyle w:val="TableText0"/>
              <w:keepNext/>
              <w:keepLines/>
              <w:jc w:val="center"/>
              <w:rPr>
                <w:color w:val="auto"/>
                <w:lang w:val="en-AU"/>
              </w:rPr>
            </w:pPr>
            <w:r w:rsidRPr="0031419F">
              <w:rPr>
                <w:color w:val="auto"/>
                <w:lang w:val="en-AU"/>
              </w:rPr>
              <w:t>70 mg, twice daily</w:t>
            </w:r>
          </w:p>
        </w:tc>
        <w:tc>
          <w:tcPr>
            <w:tcW w:w="1191" w:type="pct"/>
          </w:tcPr>
          <w:p w14:paraId="0D1D69ED" w14:textId="77777777" w:rsidR="00275864" w:rsidRPr="0031419F" w:rsidRDefault="00275864" w:rsidP="00882C74">
            <w:pPr>
              <w:pStyle w:val="TableText0"/>
              <w:keepNext/>
              <w:keepLines/>
              <w:jc w:val="center"/>
              <w:rPr>
                <w:color w:val="auto"/>
                <w:lang w:val="en-AU"/>
              </w:rPr>
            </w:pPr>
            <w:r w:rsidRPr="0031419F">
              <w:rPr>
                <w:color w:val="auto"/>
                <w:lang w:val="en-AU"/>
              </w:rPr>
              <w:t>70 mg, twice daily</w:t>
            </w:r>
          </w:p>
        </w:tc>
        <w:tc>
          <w:tcPr>
            <w:tcW w:w="1191" w:type="pct"/>
          </w:tcPr>
          <w:p w14:paraId="3C755502" w14:textId="77777777" w:rsidR="00275864" w:rsidRPr="0031419F" w:rsidRDefault="00275864" w:rsidP="00882C74">
            <w:pPr>
              <w:pStyle w:val="TableText0"/>
              <w:keepNext/>
              <w:keepLines/>
              <w:jc w:val="center"/>
              <w:rPr>
                <w:color w:val="auto"/>
                <w:lang w:val="en-AU"/>
              </w:rPr>
            </w:pPr>
            <w:r w:rsidRPr="0031419F">
              <w:rPr>
                <w:color w:val="auto"/>
                <w:lang w:val="en-AU"/>
              </w:rPr>
              <w:t>70 mg, twice daily</w:t>
            </w:r>
          </w:p>
        </w:tc>
      </w:tr>
      <w:tr w:rsidR="00275864" w:rsidRPr="0031419F" w14:paraId="08513CD4" w14:textId="77777777" w:rsidTr="000B4467">
        <w:trPr>
          <w:cantSplit/>
          <w:jc w:val="center"/>
        </w:trPr>
        <w:tc>
          <w:tcPr>
            <w:tcW w:w="1426" w:type="pct"/>
            <w:vAlign w:val="center"/>
          </w:tcPr>
          <w:p w14:paraId="63F13885" w14:textId="77777777" w:rsidR="00275864" w:rsidRPr="0031419F" w:rsidRDefault="00275864" w:rsidP="00882C74">
            <w:pPr>
              <w:pStyle w:val="TableText0"/>
              <w:keepNext/>
              <w:keepLines/>
              <w:rPr>
                <w:color w:val="auto"/>
                <w:lang w:val="en-AU"/>
              </w:rPr>
            </w:pPr>
            <w:r w:rsidRPr="0031419F">
              <w:rPr>
                <w:color w:val="auto"/>
                <w:lang w:val="en-AU"/>
              </w:rPr>
              <w:t>Mean duration</w:t>
            </w:r>
          </w:p>
        </w:tc>
        <w:tc>
          <w:tcPr>
            <w:tcW w:w="1191" w:type="pct"/>
            <w:vAlign w:val="center"/>
          </w:tcPr>
          <w:p w14:paraId="38122C25" w14:textId="664A81F3" w:rsidR="00275864" w:rsidRPr="0031419F" w:rsidRDefault="00275864" w:rsidP="00882C74">
            <w:pPr>
              <w:pStyle w:val="TableText0"/>
              <w:keepNext/>
              <w:keepLines/>
              <w:jc w:val="center"/>
              <w:rPr>
                <w:color w:val="auto"/>
                <w:lang w:val="en-AU"/>
              </w:rPr>
            </w:pPr>
            <w:r w:rsidRPr="0031419F">
              <w:rPr>
                <w:color w:val="auto"/>
                <w:lang w:val="en-AU"/>
              </w:rPr>
              <w:t>12 weeks</w:t>
            </w:r>
            <w:r w:rsidRPr="0031419F">
              <w:rPr>
                <w:color w:val="auto"/>
                <w:vertAlign w:val="superscript"/>
                <w:lang w:val="en-AU"/>
              </w:rPr>
              <w:t>a</w:t>
            </w:r>
          </w:p>
        </w:tc>
        <w:tc>
          <w:tcPr>
            <w:tcW w:w="1191" w:type="pct"/>
            <w:vAlign w:val="center"/>
          </w:tcPr>
          <w:p w14:paraId="2C345B83" w14:textId="77777777" w:rsidR="00275864" w:rsidRPr="0031419F" w:rsidRDefault="00275864" w:rsidP="00882C74">
            <w:pPr>
              <w:pStyle w:val="TableText0"/>
              <w:keepNext/>
              <w:keepLines/>
              <w:jc w:val="center"/>
              <w:rPr>
                <w:color w:val="auto"/>
                <w:lang w:val="en-AU"/>
              </w:rPr>
            </w:pPr>
            <w:r w:rsidRPr="0031419F">
              <w:rPr>
                <w:rFonts w:cs="Times New Roman"/>
                <w:lang w:val="en-AU"/>
              </w:rPr>
              <w:t>31.23 years</w:t>
            </w:r>
          </w:p>
        </w:tc>
        <w:tc>
          <w:tcPr>
            <w:tcW w:w="1191" w:type="pct"/>
            <w:vAlign w:val="center"/>
          </w:tcPr>
          <w:p w14:paraId="6FA782C9" w14:textId="536825E9" w:rsidR="00275864" w:rsidRPr="0031419F" w:rsidRDefault="00275864" w:rsidP="00882C74">
            <w:pPr>
              <w:pStyle w:val="TableText0"/>
              <w:keepNext/>
              <w:keepLines/>
              <w:jc w:val="center"/>
              <w:rPr>
                <w:color w:val="auto"/>
                <w:lang w:val="en-AU"/>
              </w:rPr>
            </w:pPr>
            <w:r w:rsidRPr="0031419F">
              <w:rPr>
                <w:color w:val="auto"/>
                <w:lang w:val="en-AU"/>
              </w:rPr>
              <w:t>NR</w:t>
            </w:r>
            <w:r w:rsidRPr="0031419F">
              <w:rPr>
                <w:color w:val="auto"/>
                <w:vertAlign w:val="superscript"/>
                <w:lang w:val="en-AU"/>
              </w:rPr>
              <w:t>b</w:t>
            </w:r>
          </w:p>
        </w:tc>
      </w:tr>
      <w:tr w:rsidR="00275864" w:rsidRPr="0031419F" w14:paraId="3C8A5D3C" w14:textId="77777777" w:rsidTr="000B4467">
        <w:trPr>
          <w:cantSplit/>
          <w:jc w:val="center"/>
        </w:trPr>
        <w:tc>
          <w:tcPr>
            <w:tcW w:w="1426" w:type="pct"/>
            <w:vAlign w:val="center"/>
          </w:tcPr>
          <w:p w14:paraId="2F974265" w14:textId="4381CAE6" w:rsidR="00275864" w:rsidRPr="0031419F" w:rsidRDefault="00275864" w:rsidP="00882C74">
            <w:pPr>
              <w:pStyle w:val="TableText0"/>
              <w:keepNext/>
              <w:keepLines/>
              <w:rPr>
                <w:color w:val="auto"/>
                <w:lang w:val="en-AU"/>
              </w:rPr>
            </w:pPr>
            <w:r w:rsidRPr="0031419F">
              <w:rPr>
                <w:color w:val="auto"/>
                <w:lang w:val="en-AU"/>
              </w:rPr>
              <w:t>Cost/patient/month</w:t>
            </w:r>
            <w:r w:rsidRPr="0031419F">
              <w:rPr>
                <w:color w:val="auto"/>
                <w:vertAlign w:val="superscript"/>
                <w:lang w:val="en-AU"/>
              </w:rPr>
              <w:t>c</w:t>
            </w:r>
            <w:r w:rsidR="00533380">
              <w:rPr>
                <w:color w:val="auto"/>
                <w:vertAlign w:val="superscript"/>
                <w:lang w:val="en-AU"/>
              </w:rPr>
              <w:t xml:space="preserve"> </w:t>
            </w:r>
            <w:r w:rsidR="00533380" w:rsidRPr="00533380">
              <w:rPr>
                <w:color w:val="auto"/>
                <w:lang w:val="en-AU"/>
              </w:rPr>
              <w:t>(submission)</w:t>
            </w:r>
          </w:p>
        </w:tc>
        <w:tc>
          <w:tcPr>
            <w:tcW w:w="1191" w:type="pct"/>
            <w:vAlign w:val="center"/>
          </w:tcPr>
          <w:p w14:paraId="58DAEB11" w14:textId="54B7A916" w:rsidR="00275864" w:rsidRPr="0031419F" w:rsidRDefault="00275864" w:rsidP="00882C74">
            <w:pPr>
              <w:pStyle w:val="TableText0"/>
              <w:keepNext/>
              <w:keepLines/>
              <w:jc w:val="center"/>
              <w:rPr>
                <w:color w:val="auto"/>
                <w:lang w:val="en-AU"/>
              </w:rPr>
            </w:pPr>
            <w:r w:rsidRPr="0031419F">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p>
        </w:tc>
        <w:tc>
          <w:tcPr>
            <w:tcW w:w="1191" w:type="pct"/>
            <w:vAlign w:val="center"/>
          </w:tcPr>
          <w:p w14:paraId="6178C4DD" w14:textId="6B7124F0" w:rsidR="00275864" w:rsidRPr="0031419F" w:rsidRDefault="00275864" w:rsidP="00882C74">
            <w:pPr>
              <w:pStyle w:val="TableText0"/>
              <w:keepNext/>
              <w:keepLines/>
              <w:jc w:val="center"/>
              <w:rPr>
                <w:color w:val="auto"/>
                <w:lang w:val="en-AU"/>
              </w:rPr>
            </w:pPr>
            <w:r w:rsidRPr="0031419F">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p>
        </w:tc>
        <w:tc>
          <w:tcPr>
            <w:tcW w:w="1191" w:type="pct"/>
            <w:vAlign w:val="center"/>
          </w:tcPr>
          <w:p w14:paraId="71253C62" w14:textId="4C5379CA" w:rsidR="00275864" w:rsidRPr="0031419F" w:rsidRDefault="00275864" w:rsidP="00882C74">
            <w:pPr>
              <w:pStyle w:val="TableText0"/>
              <w:keepNext/>
              <w:keepLines/>
              <w:jc w:val="center"/>
              <w:rPr>
                <w:color w:val="auto"/>
                <w:lang w:val="en-AU"/>
              </w:rPr>
            </w:pPr>
            <w:r w:rsidRPr="0031419F">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r w:rsidRPr="0031419F">
              <w:rPr>
                <w:color w:val="auto"/>
                <w:vertAlign w:val="superscript"/>
                <w:lang w:val="en-AU"/>
              </w:rPr>
              <w:t>d</w:t>
            </w:r>
          </w:p>
        </w:tc>
      </w:tr>
      <w:tr w:rsidR="00275864" w:rsidRPr="0031419F" w14:paraId="34261042" w14:textId="77777777" w:rsidTr="000B4467">
        <w:trPr>
          <w:cantSplit/>
          <w:jc w:val="center"/>
        </w:trPr>
        <w:tc>
          <w:tcPr>
            <w:tcW w:w="1426" w:type="pct"/>
            <w:vAlign w:val="center"/>
          </w:tcPr>
          <w:p w14:paraId="2327945A" w14:textId="3E9EAA4E" w:rsidR="00275864" w:rsidRPr="00533380" w:rsidRDefault="00275864" w:rsidP="00882C74">
            <w:pPr>
              <w:pStyle w:val="TableText0"/>
              <w:keepNext/>
              <w:keepLines/>
              <w:rPr>
                <w:color w:val="auto"/>
                <w:lang w:val="en-AU"/>
              </w:rPr>
            </w:pPr>
            <w:r w:rsidRPr="0031419F">
              <w:rPr>
                <w:color w:val="auto"/>
                <w:lang w:val="en-AU"/>
              </w:rPr>
              <w:t>Cost/patient/year</w:t>
            </w:r>
            <w:r w:rsidRPr="0031419F">
              <w:rPr>
                <w:color w:val="auto"/>
                <w:vertAlign w:val="superscript"/>
                <w:lang w:val="en-AU"/>
              </w:rPr>
              <w:t>c</w:t>
            </w:r>
            <w:r w:rsidR="0094672B">
              <w:rPr>
                <w:color w:val="auto"/>
                <w:vertAlign w:val="superscript"/>
                <w:lang w:val="en-AU"/>
              </w:rPr>
              <w:t xml:space="preserve"> </w:t>
            </w:r>
            <w:r w:rsidR="00533380">
              <w:rPr>
                <w:color w:val="auto"/>
                <w:lang w:val="en-AU"/>
              </w:rPr>
              <w:t>(submission)</w:t>
            </w:r>
          </w:p>
        </w:tc>
        <w:tc>
          <w:tcPr>
            <w:tcW w:w="1191" w:type="pct"/>
            <w:vAlign w:val="center"/>
          </w:tcPr>
          <w:p w14:paraId="4072F419" w14:textId="67DC2BCF" w:rsidR="00275864" w:rsidRPr="0031419F" w:rsidRDefault="00275864" w:rsidP="00882C74">
            <w:pPr>
              <w:pStyle w:val="TableText0"/>
              <w:keepNext/>
              <w:keepLines/>
              <w:jc w:val="center"/>
              <w:rPr>
                <w:color w:val="auto"/>
                <w:lang w:val="en-AU"/>
              </w:rPr>
            </w:pPr>
            <w:r w:rsidRPr="0031419F">
              <w:rPr>
                <w:rFonts w:cs="Times New Roman"/>
                <w:lang w:val="en-AU"/>
              </w:rPr>
              <w:t>$</w:t>
            </w:r>
            <w:r w:rsidR="001F60D7" w:rsidRPr="001F60D7">
              <w:rPr>
                <w:rFonts w:cs="Times New Roman"/>
                <w:shd w:val="solid" w:color="000000" w:fill="000000"/>
                <w:lang w:val="en-AU"/>
                <w14:textFill>
                  <w14:solidFill>
                    <w14:schemeClr w14:val="tx1">
                      <w14:alpha w14:val="100000"/>
                    </w14:schemeClr>
                  </w14:solidFill>
                </w14:textFill>
              </w:rPr>
              <w:t>|</w:t>
            </w:r>
          </w:p>
        </w:tc>
        <w:tc>
          <w:tcPr>
            <w:tcW w:w="1191" w:type="pct"/>
            <w:vAlign w:val="center"/>
          </w:tcPr>
          <w:p w14:paraId="150B2DCA" w14:textId="4CB53EB4" w:rsidR="00275864" w:rsidRPr="0031419F" w:rsidRDefault="00275864" w:rsidP="00882C74">
            <w:pPr>
              <w:pStyle w:val="TableText0"/>
              <w:keepNext/>
              <w:keepLines/>
              <w:jc w:val="center"/>
              <w:rPr>
                <w:color w:val="auto"/>
                <w:lang w:val="en-AU"/>
              </w:rPr>
            </w:pPr>
            <w:r w:rsidRPr="0031419F">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p>
        </w:tc>
        <w:tc>
          <w:tcPr>
            <w:tcW w:w="1191" w:type="pct"/>
            <w:vAlign w:val="center"/>
          </w:tcPr>
          <w:p w14:paraId="68E85587" w14:textId="605FE4DC" w:rsidR="00275864" w:rsidRPr="0031419F" w:rsidRDefault="00275864" w:rsidP="00882C74">
            <w:pPr>
              <w:pStyle w:val="TableText0"/>
              <w:keepNext/>
              <w:keepLines/>
              <w:jc w:val="center"/>
              <w:rPr>
                <w:color w:val="auto"/>
                <w:lang w:val="en-AU"/>
              </w:rPr>
            </w:pPr>
            <w:r w:rsidRPr="0031419F">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r w:rsidRPr="0031419F">
              <w:rPr>
                <w:color w:val="auto"/>
                <w:vertAlign w:val="superscript"/>
                <w:lang w:val="en-AU"/>
              </w:rPr>
              <w:t>d</w:t>
            </w:r>
          </w:p>
        </w:tc>
      </w:tr>
      <w:tr w:rsidR="0094672B" w:rsidRPr="0031419F" w14:paraId="03A8F8BD" w14:textId="77777777" w:rsidTr="000B4467">
        <w:trPr>
          <w:cantSplit/>
          <w:jc w:val="center"/>
        </w:trPr>
        <w:tc>
          <w:tcPr>
            <w:tcW w:w="1426" w:type="pct"/>
            <w:vAlign w:val="center"/>
          </w:tcPr>
          <w:p w14:paraId="4C88A409" w14:textId="22227535" w:rsidR="0094672B" w:rsidRPr="0031419F" w:rsidRDefault="00533380" w:rsidP="00882C74">
            <w:pPr>
              <w:pStyle w:val="TableText0"/>
              <w:keepNext/>
              <w:keepLines/>
              <w:rPr>
                <w:color w:val="auto"/>
                <w:lang w:val="en-AU"/>
              </w:rPr>
            </w:pPr>
            <w:r w:rsidRPr="0031419F">
              <w:rPr>
                <w:color w:val="auto"/>
                <w:lang w:val="en-AU"/>
              </w:rPr>
              <w:t>Cost/patient/year</w:t>
            </w:r>
            <w:r w:rsidR="002231E1" w:rsidRPr="002231E1">
              <w:rPr>
                <w:color w:val="auto"/>
                <w:vertAlign w:val="superscript"/>
                <w:lang w:val="en-AU"/>
              </w:rPr>
              <w:t>e</w:t>
            </w:r>
            <w:r>
              <w:rPr>
                <w:color w:val="auto"/>
                <w:vertAlign w:val="superscript"/>
                <w:lang w:val="en-AU"/>
              </w:rPr>
              <w:t xml:space="preserve"> </w:t>
            </w:r>
            <w:r>
              <w:rPr>
                <w:color w:val="auto"/>
                <w:lang w:val="en-AU"/>
              </w:rPr>
              <w:t>(</w:t>
            </w:r>
            <w:r w:rsidR="00856046">
              <w:rPr>
                <w:color w:val="auto"/>
                <w:lang w:val="en-AU"/>
              </w:rPr>
              <w:t>Pre-PBAC response</w:t>
            </w:r>
            <w:r>
              <w:rPr>
                <w:color w:val="auto"/>
                <w:lang w:val="en-AU"/>
              </w:rPr>
              <w:t>)</w:t>
            </w:r>
          </w:p>
        </w:tc>
        <w:tc>
          <w:tcPr>
            <w:tcW w:w="1191" w:type="pct"/>
            <w:vAlign w:val="center"/>
          </w:tcPr>
          <w:p w14:paraId="3109DC64" w14:textId="7470B23C" w:rsidR="0094672B" w:rsidRPr="0031419F" w:rsidRDefault="00D03288" w:rsidP="00882C74">
            <w:pPr>
              <w:pStyle w:val="TableText0"/>
              <w:keepNext/>
              <w:keepLines/>
              <w:jc w:val="center"/>
              <w:rPr>
                <w:rFonts w:cs="Times New Roman"/>
                <w:lang w:val="en-AU"/>
              </w:rPr>
            </w:pPr>
            <w:r>
              <w:rPr>
                <w:rFonts w:cs="Times New Roman"/>
                <w:lang w:val="en-AU"/>
              </w:rPr>
              <w:t>$</w:t>
            </w:r>
            <w:r w:rsidR="001F60D7" w:rsidRPr="001F60D7">
              <w:rPr>
                <w:rFonts w:cs="Times New Roman"/>
                <w:shd w:val="solid" w:color="000000" w:fill="000000"/>
                <w:lang w:val="en-AU"/>
                <w14:textFill>
                  <w14:solidFill>
                    <w14:schemeClr w14:val="tx1">
                      <w14:alpha w14:val="100000"/>
                    </w14:schemeClr>
                  </w14:solidFill>
                </w14:textFill>
              </w:rPr>
              <w:t>|</w:t>
            </w:r>
          </w:p>
        </w:tc>
        <w:tc>
          <w:tcPr>
            <w:tcW w:w="1191" w:type="pct"/>
            <w:vAlign w:val="center"/>
          </w:tcPr>
          <w:p w14:paraId="6258AA1D" w14:textId="63851845" w:rsidR="0094672B" w:rsidRPr="0031419F" w:rsidRDefault="00D03288" w:rsidP="00882C74">
            <w:pPr>
              <w:pStyle w:val="TableText0"/>
              <w:keepNext/>
              <w:keepLines/>
              <w:jc w:val="center"/>
              <w:rPr>
                <w:color w:val="auto"/>
                <w:lang w:val="en-AU"/>
              </w:rPr>
            </w:pPr>
            <w:r>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p>
        </w:tc>
        <w:tc>
          <w:tcPr>
            <w:tcW w:w="1191" w:type="pct"/>
            <w:vAlign w:val="center"/>
          </w:tcPr>
          <w:p w14:paraId="7E8306CE" w14:textId="30BF8172" w:rsidR="0094672B" w:rsidRPr="0031419F" w:rsidRDefault="00D03288" w:rsidP="00882C74">
            <w:pPr>
              <w:pStyle w:val="TableText0"/>
              <w:keepNext/>
              <w:keepLines/>
              <w:jc w:val="center"/>
              <w:rPr>
                <w:color w:val="auto"/>
                <w:lang w:val="en-AU"/>
              </w:rPr>
            </w:pPr>
            <w:r>
              <w:rPr>
                <w:color w:val="auto"/>
                <w:lang w:val="en-AU"/>
              </w:rPr>
              <w:t>$</w:t>
            </w:r>
            <w:r w:rsidR="001F60D7" w:rsidRPr="001F60D7">
              <w:rPr>
                <w:color w:val="000000"/>
                <w:shd w:val="solid" w:color="000000" w:fill="000000"/>
                <w:lang w:val="en-AU"/>
                <w14:textFill>
                  <w14:solidFill>
                    <w14:srgbClr w14:val="000000">
                      <w14:alpha w14:val="100000"/>
                    </w14:srgbClr>
                  </w14:solidFill>
                </w14:textFill>
              </w:rPr>
              <w:t>|</w:t>
            </w:r>
            <w:r w:rsidR="00AA2ECB" w:rsidRPr="0031419F">
              <w:rPr>
                <w:color w:val="auto"/>
                <w:vertAlign w:val="superscript"/>
                <w:lang w:val="en-AU"/>
              </w:rPr>
              <w:t>d</w:t>
            </w:r>
          </w:p>
        </w:tc>
      </w:tr>
    </w:tbl>
    <w:p w14:paraId="334A8340" w14:textId="77777777" w:rsidR="00275864" w:rsidRPr="0031419F" w:rsidRDefault="00275864" w:rsidP="00882C74">
      <w:pPr>
        <w:pStyle w:val="FooterTableFigure"/>
        <w:keepNext/>
        <w:keepLines/>
      </w:pPr>
      <w:r w:rsidRPr="0031419F">
        <w:t>NR = not reported</w:t>
      </w:r>
    </w:p>
    <w:p w14:paraId="4C9A0ED5" w14:textId="77777777" w:rsidR="00275864" w:rsidRPr="0031419F" w:rsidRDefault="00275864" w:rsidP="00882C74">
      <w:pPr>
        <w:pStyle w:val="FooterTableFigure"/>
        <w:keepNext/>
        <w:keepLines/>
      </w:pPr>
      <w:r w:rsidRPr="0031419F">
        <w:rPr>
          <w:rFonts w:eastAsiaTheme="minorEastAsia"/>
          <w:color w:val="000000" w:themeColor="text1"/>
          <w:vertAlign w:val="superscript"/>
          <w:lang w:eastAsia="ja-JP"/>
        </w:rPr>
        <w:t xml:space="preserve">a </w:t>
      </w:r>
      <w:r w:rsidRPr="0031419F">
        <w:t xml:space="preserve">Study 2201 Part II provided 12 weeks of comparative data for leniolisib versus SoC. </w:t>
      </w:r>
    </w:p>
    <w:p w14:paraId="4D37E063" w14:textId="77777777" w:rsidR="00275864" w:rsidRPr="006562D8" w:rsidRDefault="00275864" w:rsidP="00882C74">
      <w:pPr>
        <w:pStyle w:val="FooterTableFigure"/>
        <w:keepNext/>
        <w:keepLines/>
      </w:pPr>
      <w:r w:rsidRPr="0031419F">
        <w:rPr>
          <w:rFonts w:eastAsiaTheme="minorEastAsia"/>
          <w:color w:val="000000" w:themeColor="text1"/>
          <w:vertAlign w:val="superscript"/>
          <w:lang w:eastAsia="ja-JP"/>
        </w:rPr>
        <w:t>b</w:t>
      </w:r>
      <w:r w:rsidRPr="0031419F">
        <w:t xml:space="preserve"> The financial estimates presented in the submission assumed patients received ongoing treatment with leniolisib but were subject to a</w:t>
      </w:r>
      <w:r w:rsidRPr="006562D8">
        <w:t xml:space="preserve"> discontinuation rate of 2.55% per year.</w:t>
      </w:r>
    </w:p>
    <w:p w14:paraId="73A81C17" w14:textId="7D985E2A" w:rsidR="00275864" w:rsidRPr="006562D8" w:rsidRDefault="00275864" w:rsidP="00882C74">
      <w:pPr>
        <w:pStyle w:val="FooterTableFigure"/>
        <w:keepNext/>
        <w:keepLines/>
      </w:pPr>
      <w:r w:rsidRPr="00FF551F">
        <w:rPr>
          <w:rFonts w:eastAsiaTheme="minorEastAsia"/>
          <w:color w:val="000000" w:themeColor="text1"/>
          <w:vertAlign w:val="superscript"/>
          <w:lang w:eastAsia="ja-JP"/>
        </w:rPr>
        <w:t>c</w:t>
      </w:r>
      <w:r w:rsidRPr="006562D8">
        <w:t xml:space="preserve"> Based on proposed </w:t>
      </w:r>
      <w:r w:rsidR="006562D8" w:rsidRPr="006562D8">
        <w:t>leniolisib</w:t>
      </w:r>
      <w:r w:rsidRPr="006562D8">
        <w:t xml:space="preserve"> effective price = $</w:t>
      </w:r>
      <w:r w:rsidR="001F60D7" w:rsidRPr="001F60D7">
        <w:rPr>
          <w:color w:val="000000"/>
          <w:spacing w:val="40"/>
          <w:shd w:val="solid" w:color="000000" w:fill="000000"/>
          <w:fitText w:val="280" w:id="-629967614"/>
          <w14:textFill>
            <w14:solidFill>
              <w14:srgbClr w14:val="000000">
                <w14:alpha w14:val="100000"/>
              </w14:srgbClr>
            </w14:solidFill>
          </w14:textFill>
        </w:rPr>
        <w:t xml:space="preserve">|  </w:t>
      </w:r>
      <w:r w:rsidR="001F60D7" w:rsidRPr="001F60D7">
        <w:rPr>
          <w:color w:val="000000"/>
          <w:spacing w:val="2"/>
          <w:shd w:val="solid" w:color="000000" w:fill="000000"/>
          <w:fitText w:val="280" w:id="-629967614"/>
          <w14:textFill>
            <w14:solidFill>
              <w14:srgbClr w14:val="000000">
                <w14:alpha w14:val="100000"/>
              </w14:srgbClr>
            </w14:solidFill>
          </w14:textFill>
        </w:rPr>
        <w:t>|</w:t>
      </w:r>
      <w:r w:rsidR="00E91D0A">
        <w:t xml:space="preserve"> (mark-ups for </w:t>
      </w:r>
      <w:r w:rsidR="006D5409">
        <w:t>p</w:t>
      </w:r>
      <w:r w:rsidR="00E91D0A">
        <w:t xml:space="preserve">rivate hospital </w:t>
      </w:r>
      <w:r w:rsidR="0054077C">
        <w:t>setting</w:t>
      </w:r>
      <w:r w:rsidR="00E91D0A">
        <w:t xml:space="preserve"> were not included in calculations of the </w:t>
      </w:r>
      <w:r w:rsidR="00670108">
        <w:t>drug cost in the economic model or the financial estimates</w:t>
      </w:r>
      <w:r w:rsidR="006D5409">
        <w:t>)</w:t>
      </w:r>
    </w:p>
    <w:p w14:paraId="134A8E4D" w14:textId="77777777" w:rsidR="00275864" w:rsidRPr="006562D8" w:rsidRDefault="00275864" w:rsidP="00882C74">
      <w:pPr>
        <w:pStyle w:val="FooterTableFigure"/>
        <w:keepNext/>
        <w:keepLines/>
      </w:pPr>
      <w:r w:rsidRPr="00FF551F">
        <w:rPr>
          <w:rFonts w:eastAsiaTheme="minorEastAsia"/>
          <w:color w:val="000000" w:themeColor="text1"/>
          <w:vertAlign w:val="superscript"/>
          <w:lang w:eastAsia="ja-JP"/>
        </w:rPr>
        <w:t>d</w:t>
      </w:r>
      <w:r w:rsidRPr="006562D8">
        <w:t xml:space="preserve"> Calculated using net total net cost of leniolisib to the PBS / number of patients treated in a year, using Year 2 data.</w:t>
      </w:r>
    </w:p>
    <w:p w14:paraId="11B702D9" w14:textId="29D564ED" w:rsidR="002231E1" w:rsidRPr="006562D8" w:rsidRDefault="002231E1" w:rsidP="002231E1">
      <w:pPr>
        <w:pStyle w:val="FooterTableFigure"/>
        <w:keepNext/>
        <w:keepLines/>
      </w:pPr>
      <w:r w:rsidRPr="002231E1">
        <w:rPr>
          <w:vertAlign w:val="superscript"/>
        </w:rPr>
        <w:t>e</w:t>
      </w:r>
      <w:r>
        <w:t xml:space="preserve"> </w:t>
      </w:r>
      <w:r w:rsidRPr="006562D8">
        <w:t>Based on proposed leniolisib effective price = $</w:t>
      </w:r>
      <w:r w:rsidR="001F60D7" w:rsidRPr="005D75EA">
        <w:rPr>
          <w:color w:val="000000"/>
          <w:spacing w:val="36"/>
          <w:shd w:val="solid" w:color="000000" w:fill="000000"/>
          <w:fitText w:val="268" w:id="-629967613"/>
          <w14:textFill>
            <w14:solidFill>
              <w14:srgbClr w14:val="000000">
                <w14:alpha w14:val="100000"/>
              </w14:srgbClr>
            </w14:solidFill>
          </w14:textFill>
        </w:rPr>
        <w:t xml:space="preserve">|  </w:t>
      </w:r>
      <w:r w:rsidR="001F60D7" w:rsidRPr="005D75EA">
        <w:rPr>
          <w:color w:val="000000"/>
          <w:spacing w:val="2"/>
          <w:shd w:val="solid" w:color="000000" w:fill="000000"/>
          <w:fitText w:val="268" w:id="-629967613"/>
          <w14:textFill>
            <w14:solidFill>
              <w14:srgbClr w14:val="000000">
                <w14:alpha w14:val="100000"/>
              </w14:srgbClr>
            </w14:solidFill>
          </w14:textFill>
        </w:rPr>
        <w:t>|</w:t>
      </w:r>
      <w:r w:rsidR="006D5409">
        <w:t xml:space="preserve"> (without mark-ups for private </w:t>
      </w:r>
      <w:r w:rsidR="0054077C">
        <w:t>hospital setting).</w:t>
      </w:r>
    </w:p>
    <w:p w14:paraId="784E359B" w14:textId="77777777" w:rsidR="00AA2ECB" w:rsidRDefault="00AA2ECB" w:rsidP="00AA2ECB">
      <w:pPr>
        <w:pStyle w:val="FooterTableFigure"/>
        <w:keepNext/>
        <w:keepLines/>
      </w:pPr>
      <w:r w:rsidRPr="006562D8">
        <w:t xml:space="preserve">Source: Constructed during evaluation </w:t>
      </w:r>
    </w:p>
    <w:p w14:paraId="64494F70" w14:textId="34F508DD" w:rsidR="002231E1" w:rsidRPr="006562D8" w:rsidRDefault="002231E1" w:rsidP="00882C74">
      <w:pPr>
        <w:pStyle w:val="FooterTableFigure"/>
        <w:keepNext/>
        <w:keepLines/>
      </w:pPr>
    </w:p>
    <w:p w14:paraId="5CA0DC3A" w14:textId="77777777" w:rsidR="003D1923" w:rsidRPr="006562D8" w:rsidRDefault="003D1923" w:rsidP="003D1923">
      <w:pPr>
        <w:pStyle w:val="4-SubsectionHeading"/>
      </w:pPr>
      <w:bookmarkStart w:id="54" w:name="_Toc198725893"/>
      <w:r w:rsidRPr="006562D8">
        <w:t>Estimated PBS usage &amp; financial implications</w:t>
      </w:r>
      <w:bookmarkEnd w:id="54"/>
    </w:p>
    <w:p w14:paraId="1660D6DE" w14:textId="06F1E99F" w:rsidR="000B0B3C" w:rsidRPr="00FE7861" w:rsidRDefault="00FE7861" w:rsidP="00251DC0">
      <w:pPr>
        <w:pStyle w:val="3-BodyText"/>
        <w:spacing w:before="0" w:after="120"/>
      </w:pPr>
      <w:r w:rsidRPr="00660BAC">
        <w:t>This submission was considered by DUSC at a joint meeting of ESC and DUSC.</w:t>
      </w:r>
      <w:r w:rsidR="00882C74" w:rsidRPr="00FE7861">
        <w:t xml:space="preserve"> </w:t>
      </w:r>
      <w:r w:rsidR="000B0B3C" w:rsidRPr="00FE7861">
        <w:t>The submission used a ‘top down’ process to estimate the number of APDS patients diagnosed and treated in Australia based on Australian population estimates, published international APDS epidemiology estimates, commercial assumptions and information collected in the UK for the leniolisib NICE submission. However, it was unclear why this approach was adopted when the number of patients who have been diagnosed with APDS in Australia is known</w:t>
      </w:r>
      <w:r w:rsidR="001669C3">
        <w:t xml:space="preserve"> (</w:t>
      </w:r>
      <w:r w:rsidR="006C7661" w:rsidRPr="00126A1B">
        <w:t>18 patients diagnosed with APDS,</w:t>
      </w:r>
      <w:r w:rsidR="00A26E19">
        <w:t xml:space="preserve"> and</w:t>
      </w:r>
      <w:r w:rsidR="006C7661" w:rsidRPr="00126A1B">
        <w:t xml:space="preserve"> another 11 patients suspected of having APDS</w:t>
      </w:r>
      <w:r w:rsidR="00251DC0">
        <w:t>)</w:t>
      </w:r>
      <w:r w:rsidR="006C7661" w:rsidRPr="00126A1B">
        <w:t>.</w:t>
      </w:r>
      <w:r w:rsidR="00A26E19">
        <w:t xml:space="preserve"> The pre-PBAC response stated that it is estimated that there will be 12-15 patients on the early access program at the time of PBS listing.</w:t>
      </w:r>
    </w:p>
    <w:p w14:paraId="26421235" w14:textId="38ACB405" w:rsidR="000B0B3C" w:rsidRDefault="000B0B3C" w:rsidP="00882C74">
      <w:pPr>
        <w:pStyle w:val="3-BodyText"/>
        <w:spacing w:before="0" w:after="120"/>
      </w:pPr>
      <w:r w:rsidRPr="00FE7861">
        <w:fldChar w:fldCharType="begin" w:fldLock="1"/>
      </w:r>
      <w:r w:rsidRPr="00FE7861">
        <w:instrText xml:space="preserve"> REF _Ref196158876 \h </w:instrText>
      </w:r>
      <w:r w:rsidR="00FE7861" w:rsidRPr="00FE7861">
        <w:instrText xml:space="preserve"> \* MERGEFORMAT </w:instrText>
      </w:r>
      <w:r w:rsidRPr="00FE7861">
        <w:fldChar w:fldCharType="separate"/>
      </w:r>
      <w:r w:rsidR="00C34379" w:rsidRPr="00FE7861">
        <w:t xml:space="preserve">Table </w:t>
      </w:r>
      <w:r w:rsidR="00C34379">
        <w:rPr>
          <w:noProof/>
        </w:rPr>
        <w:t>23</w:t>
      </w:r>
      <w:r w:rsidRPr="00FE7861">
        <w:fldChar w:fldCharType="end"/>
      </w:r>
      <w:r w:rsidRPr="00FE7861">
        <w:t xml:space="preserve"> presents an overview of the data sources used for the financial estimates. </w:t>
      </w:r>
      <w:r w:rsidR="00107E32" w:rsidRPr="00FE7861">
        <w:t>The PBS costs, MBS costs and national blood authority (NBA) costs (associated with IRT) of SoC items in the financial estimates were consistent with the economic evaluation, though the assumed proportion</w:t>
      </w:r>
      <w:r w:rsidR="00050AB3" w:rsidRPr="00FE7861">
        <w:t>s</w:t>
      </w:r>
      <w:r w:rsidR="00107E32" w:rsidRPr="00FE7861">
        <w:t xml:space="preserve"> of utilisation could not be independently verified. </w:t>
      </w:r>
    </w:p>
    <w:p w14:paraId="78204BA4" w14:textId="733C19FC" w:rsidR="00CA1B3B" w:rsidRDefault="001079A5" w:rsidP="005B5C6C">
      <w:pPr>
        <w:pStyle w:val="3-BodyText"/>
        <w:rPr>
          <w:i/>
          <w:iCs/>
        </w:rPr>
      </w:pPr>
      <w:bookmarkStart w:id="55" w:name="_Ref201579986"/>
      <w:bookmarkStart w:id="56" w:name="_Ref204590923"/>
      <w:r>
        <w:t xml:space="preserve">The Commentary </w:t>
      </w:r>
      <w:r w:rsidR="008D0398">
        <w:t xml:space="preserve">noted that the </w:t>
      </w:r>
      <w:r w:rsidR="003A0C36">
        <w:t xml:space="preserve">submission </w:t>
      </w:r>
      <w:r w:rsidR="007020C4" w:rsidRPr="007020C4">
        <w:t xml:space="preserve">assumed that leniolisib treatment access will grow the APDS treatment market due to greater clinician awareness and enhanced patient identification and diagnosis, with the ‘diagnosed prevalence’ of APDS assumed to grow in the initial years of leniolisib listing, before stabilising in 2030. </w:t>
      </w:r>
      <w:r w:rsidR="007020C4">
        <w:t xml:space="preserve">However, </w:t>
      </w:r>
      <w:r w:rsidR="0069748C">
        <w:t>the Commentary</w:t>
      </w:r>
      <w:r w:rsidR="007020C4">
        <w:t xml:space="preserve"> </w:t>
      </w:r>
      <w:r w:rsidR="0053426E">
        <w:t xml:space="preserve">considered that the </w:t>
      </w:r>
      <w:r w:rsidR="003B57F5">
        <w:t>submission</w:t>
      </w:r>
      <w:r w:rsidR="001F0E48">
        <w:t xml:space="preserve"> may </w:t>
      </w:r>
      <w:r w:rsidR="00BD778B">
        <w:t xml:space="preserve">have </w:t>
      </w:r>
      <w:r w:rsidR="00F60EF6" w:rsidRPr="00F60EF6">
        <w:t>overestimat</w:t>
      </w:r>
      <w:r w:rsidR="003B57F5">
        <w:t>ed</w:t>
      </w:r>
      <w:r w:rsidR="00F60EF6" w:rsidRPr="00F60EF6">
        <w:t xml:space="preserve"> the number of patients with leniolisib in Australia, particularly in the later years of the financial estimates. </w:t>
      </w:r>
      <w:r w:rsidR="00E67E5E" w:rsidRPr="008B433C">
        <w:t xml:space="preserve">In the PSCR </w:t>
      </w:r>
      <w:r w:rsidR="00B94460" w:rsidRPr="008B433C">
        <w:t>the sponsor note</w:t>
      </w:r>
      <w:r w:rsidR="002B498A" w:rsidRPr="008B433C">
        <w:t>d</w:t>
      </w:r>
      <w:r w:rsidR="00B94460" w:rsidRPr="008B433C">
        <w:t xml:space="preserve"> that </w:t>
      </w:r>
      <w:r w:rsidR="00272495" w:rsidRPr="008B433C">
        <w:t>u</w:t>
      </w:r>
      <w:r w:rsidR="004647F2" w:rsidRPr="008B433C">
        <w:t xml:space="preserve">nder- and mis-diagnosis have been common issues in APDS, with more than 20% </w:t>
      </w:r>
      <w:r w:rsidR="00880424">
        <w:t xml:space="preserve">of patients </w:t>
      </w:r>
      <w:r w:rsidR="004647F2" w:rsidRPr="008B433C">
        <w:t xml:space="preserve">diagnosed after a lymphoma and almost 70% diagnosed with other PIDs in historical cohorts. It is expected that greater patient and clinician awareness and identification via referral will occur with a listed indicated therapy. </w:t>
      </w:r>
      <w:r w:rsidR="00186545" w:rsidRPr="008B433C">
        <w:t xml:space="preserve">The sponsor </w:t>
      </w:r>
      <w:r w:rsidR="0025242E" w:rsidRPr="008B433C">
        <w:t xml:space="preserve">also </w:t>
      </w:r>
      <w:r w:rsidR="00186545" w:rsidRPr="008B433C">
        <w:t xml:space="preserve">noted that </w:t>
      </w:r>
      <w:r w:rsidR="00773FFB" w:rsidRPr="008B433C">
        <w:t xml:space="preserve">increased diagnosis following new effective therapies is a common phenomenon with ultra-rare diseases/orphan drug treatments and that </w:t>
      </w:r>
      <w:r w:rsidR="0025242E" w:rsidRPr="008B433C">
        <w:t xml:space="preserve">the ASCIA </w:t>
      </w:r>
      <w:r w:rsidR="00773FFB" w:rsidRPr="008B433C">
        <w:t xml:space="preserve">is </w:t>
      </w:r>
      <w:r w:rsidR="0025242E" w:rsidRPr="008B433C">
        <w:t xml:space="preserve">developing strategies to improve the identification and diagnosis of Australians with IEIs, including APDS. </w:t>
      </w:r>
      <w:r w:rsidR="004647F2" w:rsidRPr="008B433C">
        <w:t xml:space="preserve">The </w:t>
      </w:r>
      <w:r w:rsidR="002B498A" w:rsidRPr="008B433C">
        <w:t>Sub-Committees consider</w:t>
      </w:r>
      <w:r w:rsidR="00E77A16" w:rsidRPr="008B433C">
        <w:t>ed</w:t>
      </w:r>
      <w:r w:rsidR="002B498A" w:rsidRPr="008B433C">
        <w:t xml:space="preserve"> that </w:t>
      </w:r>
      <w:r w:rsidR="005B5C6C" w:rsidRPr="008B433C">
        <w:t xml:space="preserve">with increased awareness amongst clinicians and testing of patients it is possible that </w:t>
      </w:r>
      <w:r w:rsidR="00E77A16" w:rsidRPr="008B433C">
        <w:t xml:space="preserve">additional as well as </w:t>
      </w:r>
      <w:r w:rsidR="005B5C6C" w:rsidRPr="008B433C">
        <w:t>less severe case</w:t>
      </w:r>
      <w:r w:rsidR="008A2F70" w:rsidRPr="008B433C">
        <w:t>s</w:t>
      </w:r>
      <w:r w:rsidR="005B5C6C" w:rsidRPr="008B433C">
        <w:t xml:space="preserve"> of the disease will be identified.</w:t>
      </w:r>
      <w:r w:rsidR="00E77A16" w:rsidRPr="008B433C">
        <w:t xml:space="preserve"> The Sub-Committees considered that th</w:t>
      </w:r>
      <w:r w:rsidR="00E71346" w:rsidRPr="008B433C">
        <w:t xml:space="preserve">e increase in awareness and testing for </w:t>
      </w:r>
      <w:r w:rsidR="00283D7F" w:rsidRPr="008B433C">
        <w:t>APDS</w:t>
      </w:r>
      <w:r w:rsidR="00E77A16" w:rsidRPr="008B433C">
        <w:t xml:space="preserve"> </w:t>
      </w:r>
      <w:r w:rsidR="007815DD" w:rsidRPr="008B433C">
        <w:t xml:space="preserve">(given the </w:t>
      </w:r>
      <w:r w:rsidR="0046316E" w:rsidRPr="008B433C">
        <w:t xml:space="preserve">awareness </w:t>
      </w:r>
      <w:r w:rsidR="008B189F" w:rsidRPr="008B433C">
        <w:t>raising</w:t>
      </w:r>
      <w:r w:rsidR="0046316E" w:rsidRPr="008B433C">
        <w:t xml:space="preserve"> </w:t>
      </w:r>
      <w:r w:rsidR="007815DD" w:rsidRPr="008B433C">
        <w:t xml:space="preserve">activities </w:t>
      </w:r>
      <w:r w:rsidR="008B189F" w:rsidRPr="008B433C">
        <w:t>of both the sponsor and ASCI</w:t>
      </w:r>
      <w:r w:rsidR="00084295" w:rsidRPr="008B433C">
        <w:t xml:space="preserve">A) </w:t>
      </w:r>
      <w:r w:rsidR="00E77A16" w:rsidRPr="008B433C">
        <w:t>will in effect increase the prevalence rate in future years.</w:t>
      </w:r>
      <w:r w:rsidR="001616F0" w:rsidRPr="008B433C">
        <w:t xml:space="preserve"> </w:t>
      </w:r>
      <w:r w:rsidR="0031234B" w:rsidRPr="008B433C">
        <w:t xml:space="preserve">The Sub-Committees noted that this appears to have already been captured in the </w:t>
      </w:r>
      <w:r w:rsidR="00C41707" w:rsidRPr="008B433C">
        <w:t xml:space="preserve">financial estimates, which </w:t>
      </w:r>
      <w:r w:rsidR="00A802E7" w:rsidRPr="008B433C">
        <w:t>reflect increasing prevalence.</w:t>
      </w:r>
      <w:bookmarkEnd w:id="55"/>
      <w:r w:rsidR="00E52D43">
        <w:t xml:space="preserve"> The pre-PBAC response </w:t>
      </w:r>
      <w:r w:rsidR="005E7470">
        <w:t xml:space="preserve">proposed </w:t>
      </w:r>
      <w:r w:rsidR="00E52D43">
        <w:t>revis</w:t>
      </w:r>
      <w:r w:rsidR="005E7470">
        <w:t>ing</w:t>
      </w:r>
      <w:r w:rsidR="00E52D43">
        <w:t xml:space="preserve"> the </w:t>
      </w:r>
      <w:r w:rsidR="00C50152">
        <w:t xml:space="preserve">prevalence rates such that the prevalence reaches 1.9 patients per million </w:t>
      </w:r>
      <w:r w:rsidR="00F937B1">
        <w:t>by the 6</w:t>
      </w:r>
      <w:r w:rsidR="00F937B1" w:rsidRPr="00F937B1">
        <w:rPr>
          <w:vertAlign w:val="superscript"/>
        </w:rPr>
        <w:t>th</w:t>
      </w:r>
      <w:r w:rsidR="00F937B1">
        <w:t xml:space="preserve"> year of listing</w:t>
      </w:r>
      <w:r w:rsidR="00C007F7">
        <w:t>, remaining within estimates of prevalence in the literature (</w:t>
      </w:r>
      <w:r w:rsidR="00AA4673">
        <w:t>Vanselow 2023).</w:t>
      </w:r>
      <w:bookmarkEnd w:id="56"/>
      <w:r w:rsidR="00AA4673">
        <w:t xml:space="preserve"> </w:t>
      </w:r>
    </w:p>
    <w:p w14:paraId="08752840" w14:textId="1775F599" w:rsidR="005B5C6C" w:rsidRPr="005B5C6C" w:rsidRDefault="00B100E8" w:rsidP="005B5C6C">
      <w:pPr>
        <w:pStyle w:val="3-BodyText"/>
        <w:rPr>
          <w:i/>
          <w:iCs/>
        </w:rPr>
      </w:pPr>
      <w:r>
        <w:t xml:space="preserve">The Commentary </w:t>
      </w:r>
      <w:r w:rsidR="008351FE">
        <w:t xml:space="preserve">noted that </w:t>
      </w:r>
      <w:r w:rsidR="00261D70" w:rsidRPr="00261D70">
        <w:t xml:space="preserve">the proportion of patients discontinuing treatment could potentially be higher than expected as three out of the 18 patients in APDS Consortium data have discontinued for reasons other than efficacy. </w:t>
      </w:r>
      <w:r w:rsidR="008305D8" w:rsidRPr="008B433C">
        <w:t xml:space="preserve">In the PSCR </w:t>
      </w:r>
      <w:r w:rsidR="00B47ADD" w:rsidRPr="008B433C">
        <w:t xml:space="preserve"> the sponsor </w:t>
      </w:r>
      <w:r w:rsidR="00675722" w:rsidRPr="008B433C">
        <w:t xml:space="preserve">noted that </w:t>
      </w:r>
      <w:r w:rsidR="00832BAE" w:rsidRPr="008B433C">
        <w:t>there had been</w:t>
      </w:r>
      <w:r w:rsidR="00CA242B" w:rsidRPr="008B433C">
        <w:t>,</w:t>
      </w:r>
      <w:r w:rsidR="00832BAE" w:rsidRPr="008B433C">
        <w:t xml:space="preserve"> to date</w:t>
      </w:r>
      <w:r w:rsidR="00CA242B" w:rsidRPr="008B433C">
        <w:t>,</w:t>
      </w:r>
      <w:r w:rsidR="00832BAE" w:rsidRPr="008B433C">
        <w:t xml:space="preserve"> no </w:t>
      </w:r>
      <w:r w:rsidR="00BE19A8" w:rsidRPr="008B433C">
        <w:t>discontin</w:t>
      </w:r>
      <w:r w:rsidR="00184BC3" w:rsidRPr="008B433C">
        <w:t>uation</w:t>
      </w:r>
      <w:r w:rsidR="00832BAE" w:rsidRPr="008B433C">
        <w:t xml:space="preserve"> due to loss of efficacy</w:t>
      </w:r>
      <w:r w:rsidR="00EF703E">
        <w:t xml:space="preserve">. </w:t>
      </w:r>
      <w:r w:rsidRPr="008B433C">
        <w:t>T</w:t>
      </w:r>
      <w:r w:rsidR="00981360" w:rsidRPr="008B433C">
        <w:t xml:space="preserve">he Sub-Committees considered that </w:t>
      </w:r>
      <w:r w:rsidR="001616F0" w:rsidRPr="008B433C">
        <w:t xml:space="preserve">patients with less severe disease </w:t>
      </w:r>
      <w:r w:rsidR="00D76C37" w:rsidRPr="008B433C">
        <w:t xml:space="preserve">(particularly </w:t>
      </w:r>
      <w:r w:rsidR="00461C9C" w:rsidRPr="008B433C">
        <w:t xml:space="preserve">in comparison to those in the pivotal clinical trial) </w:t>
      </w:r>
      <w:r w:rsidR="00987EA3" w:rsidRPr="008B433C">
        <w:t>identified</w:t>
      </w:r>
      <w:r w:rsidR="00915F07" w:rsidRPr="008B433C">
        <w:t xml:space="preserve"> </w:t>
      </w:r>
      <w:r w:rsidR="00274DA8" w:rsidRPr="008B433C">
        <w:t>because of</w:t>
      </w:r>
      <w:r w:rsidR="00915F07" w:rsidRPr="008B433C">
        <w:t xml:space="preserve"> </w:t>
      </w:r>
      <w:r w:rsidR="0087269E" w:rsidRPr="008B433C">
        <w:t xml:space="preserve">increased awareness of </w:t>
      </w:r>
      <w:r w:rsidR="00987EA3" w:rsidRPr="008B433C">
        <w:t xml:space="preserve">APDS and treatment availability </w:t>
      </w:r>
      <w:r w:rsidR="001616F0" w:rsidRPr="008B433C">
        <w:t xml:space="preserve">may </w:t>
      </w:r>
      <w:r w:rsidR="00F82081" w:rsidRPr="008B433C">
        <w:t>affect</w:t>
      </w:r>
      <w:r w:rsidR="001616F0" w:rsidRPr="008B433C">
        <w:t xml:space="preserve"> the </w:t>
      </w:r>
      <w:r w:rsidR="00275FBA" w:rsidRPr="008B433C">
        <w:t xml:space="preserve">discontinuation and persistence rates, </w:t>
      </w:r>
      <w:r w:rsidR="00F5454E" w:rsidRPr="008B433C">
        <w:t>particularly</w:t>
      </w:r>
      <w:r w:rsidR="00275FBA" w:rsidRPr="008B433C">
        <w:t xml:space="preserve"> if </w:t>
      </w:r>
      <w:r w:rsidR="00F5454E" w:rsidRPr="008B433C">
        <w:t xml:space="preserve">adverse and side effects in these patients outweigh </w:t>
      </w:r>
      <w:r w:rsidR="00112265" w:rsidRPr="008B433C">
        <w:t>the</w:t>
      </w:r>
      <w:r w:rsidR="00F5454E" w:rsidRPr="008B433C">
        <w:t xml:space="preserve"> clinical benefit.</w:t>
      </w:r>
      <w:r w:rsidR="00EF53C4" w:rsidRPr="008B433C">
        <w:t xml:space="preserve"> The Sub-Committees also noted that </w:t>
      </w:r>
      <w:r w:rsidR="00DA4B97" w:rsidRPr="008B433C">
        <w:t xml:space="preserve">treatment of patients with a less severe </w:t>
      </w:r>
      <w:r w:rsidR="00552DE7" w:rsidRPr="008B433C">
        <w:t xml:space="preserve">disease </w:t>
      </w:r>
      <w:r w:rsidR="00DA4B97" w:rsidRPr="008B433C">
        <w:t>phenotype</w:t>
      </w:r>
      <w:r w:rsidR="007B03E9" w:rsidRPr="008B433C">
        <w:t xml:space="preserve"> </w:t>
      </w:r>
      <w:r w:rsidR="00DA4B97" w:rsidRPr="008B433C">
        <w:t xml:space="preserve">would be expected to </w:t>
      </w:r>
      <w:r w:rsidR="00552DE7" w:rsidRPr="008B433C">
        <w:t>impact on the</w:t>
      </w:r>
      <w:r w:rsidR="007B03E9" w:rsidRPr="008B433C">
        <w:t xml:space="preserve"> cost-effectiveness of </w:t>
      </w:r>
      <w:r w:rsidR="00DA4B97" w:rsidRPr="008B433C">
        <w:t>leniolisib.</w:t>
      </w:r>
    </w:p>
    <w:p w14:paraId="1EC751BD" w14:textId="2C8AB60E" w:rsidR="003D1923" w:rsidRDefault="003D1923" w:rsidP="003D1923">
      <w:pPr>
        <w:pStyle w:val="Caption"/>
        <w:rPr>
          <w:rStyle w:val="CommentReference"/>
          <w:b/>
          <w:szCs w:val="24"/>
        </w:rPr>
      </w:pPr>
      <w:bookmarkStart w:id="57" w:name="_Ref196158876"/>
      <w:r w:rsidRPr="00FE7861">
        <w:t xml:space="preserve">Table </w:t>
      </w:r>
      <w:r w:rsidR="00C34379">
        <w:fldChar w:fldCharType="begin" w:fldLock="1"/>
      </w:r>
      <w:r w:rsidR="00C34379">
        <w:instrText xml:space="preserve"> SEQ Table \* ARABIC </w:instrText>
      </w:r>
      <w:r w:rsidR="00C34379">
        <w:fldChar w:fldCharType="separate"/>
      </w:r>
      <w:r w:rsidR="00C34379">
        <w:rPr>
          <w:noProof/>
        </w:rPr>
        <w:t>23</w:t>
      </w:r>
      <w:r w:rsidR="00C34379">
        <w:rPr>
          <w:noProof/>
        </w:rPr>
        <w:fldChar w:fldCharType="end"/>
      </w:r>
      <w:bookmarkEnd w:id="57"/>
      <w:r w:rsidRPr="00FE7861">
        <w:t>:</w:t>
      </w:r>
      <w:r w:rsidRPr="00FE7861">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3: Key inputs for financial estimates"/>
      </w:tblPr>
      <w:tblGrid>
        <w:gridCol w:w="1180"/>
        <w:gridCol w:w="1185"/>
        <w:gridCol w:w="235"/>
        <w:gridCol w:w="949"/>
        <w:gridCol w:w="237"/>
        <w:gridCol w:w="473"/>
        <w:gridCol w:w="2486"/>
        <w:gridCol w:w="2153"/>
      </w:tblGrid>
      <w:tr w:rsidR="009B6D47" w:rsidRPr="006562D8" w14:paraId="171BEF64" w14:textId="1B2B47BE" w:rsidTr="001526F4">
        <w:trPr>
          <w:tblHeader/>
        </w:trPr>
        <w:tc>
          <w:tcPr>
            <w:tcW w:w="663" w:type="pct"/>
            <w:tcBorders>
              <w:bottom w:val="single" w:sz="4" w:space="0" w:color="auto"/>
            </w:tcBorders>
            <w:tcMar>
              <w:left w:w="40" w:type="dxa"/>
              <w:right w:w="40" w:type="dxa"/>
            </w:tcMar>
            <w:vAlign w:val="center"/>
          </w:tcPr>
          <w:p w14:paraId="76FFEFCC" w14:textId="77777777" w:rsidR="009B6D47" w:rsidRPr="00126A1B" w:rsidRDefault="009B6D47" w:rsidP="00112265">
            <w:pPr>
              <w:pStyle w:val="In-tableHeading"/>
              <w:rPr>
                <w:lang w:val="en-AU"/>
              </w:rPr>
            </w:pPr>
            <w:r w:rsidRPr="00126A1B">
              <w:rPr>
                <w:lang w:val="en-AU"/>
              </w:rPr>
              <w:t>Data</w:t>
            </w:r>
          </w:p>
        </w:tc>
        <w:tc>
          <w:tcPr>
            <w:tcW w:w="798" w:type="pct"/>
            <w:gridSpan w:val="2"/>
            <w:tcBorders>
              <w:bottom w:val="single" w:sz="4" w:space="0" w:color="auto"/>
            </w:tcBorders>
            <w:tcMar>
              <w:left w:w="40" w:type="dxa"/>
              <w:right w:w="40" w:type="dxa"/>
            </w:tcMar>
            <w:vAlign w:val="center"/>
          </w:tcPr>
          <w:p w14:paraId="539F5354" w14:textId="77777777" w:rsidR="009B6D47" w:rsidRPr="00126A1B" w:rsidRDefault="009B6D47" w:rsidP="00112265">
            <w:pPr>
              <w:pStyle w:val="In-tableHeading"/>
              <w:rPr>
                <w:lang w:val="en-AU"/>
              </w:rPr>
            </w:pPr>
            <w:r w:rsidRPr="00126A1B">
              <w:rPr>
                <w:lang w:val="en-AU"/>
              </w:rPr>
              <w:t>Value</w:t>
            </w:r>
          </w:p>
        </w:tc>
        <w:tc>
          <w:tcPr>
            <w:tcW w:w="932" w:type="pct"/>
            <w:gridSpan w:val="3"/>
            <w:tcBorders>
              <w:bottom w:val="single" w:sz="4" w:space="0" w:color="auto"/>
            </w:tcBorders>
            <w:tcMar>
              <w:left w:w="40" w:type="dxa"/>
              <w:right w:w="40" w:type="dxa"/>
            </w:tcMar>
            <w:vAlign w:val="center"/>
          </w:tcPr>
          <w:p w14:paraId="224C9EDA" w14:textId="77777777" w:rsidR="009B6D47" w:rsidRPr="00126A1B" w:rsidRDefault="009B6D47" w:rsidP="005338AC">
            <w:pPr>
              <w:pStyle w:val="In-tableHeading"/>
              <w:rPr>
                <w:lang w:val="en-AU"/>
              </w:rPr>
            </w:pPr>
            <w:r w:rsidRPr="00126A1B">
              <w:rPr>
                <w:lang w:val="en-AU"/>
              </w:rPr>
              <w:t>Source</w:t>
            </w:r>
          </w:p>
        </w:tc>
        <w:tc>
          <w:tcPr>
            <w:tcW w:w="1397" w:type="pct"/>
            <w:tcBorders>
              <w:bottom w:val="single" w:sz="4" w:space="0" w:color="auto"/>
            </w:tcBorders>
            <w:tcMar>
              <w:left w:w="40" w:type="dxa"/>
              <w:right w:w="40" w:type="dxa"/>
            </w:tcMar>
            <w:vAlign w:val="center"/>
          </w:tcPr>
          <w:p w14:paraId="7076C2CC" w14:textId="64F1AAE9" w:rsidR="009B6D47" w:rsidRPr="00126A1B" w:rsidRDefault="009B6D47" w:rsidP="00112265">
            <w:pPr>
              <w:pStyle w:val="In-tableHeading"/>
              <w:rPr>
                <w:lang w:val="en-AU"/>
              </w:rPr>
            </w:pPr>
            <w:r w:rsidRPr="00126A1B">
              <w:rPr>
                <w:lang w:val="en-AU"/>
              </w:rPr>
              <w:t>Comment</w:t>
            </w:r>
            <w:r w:rsidR="00D278C7">
              <w:rPr>
                <w:lang w:val="en-AU"/>
              </w:rPr>
              <w:t>ary on the submission</w:t>
            </w:r>
          </w:p>
        </w:tc>
        <w:tc>
          <w:tcPr>
            <w:tcW w:w="1210" w:type="pct"/>
            <w:tcBorders>
              <w:bottom w:val="single" w:sz="4" w:space="0" w:color="auto"/>
            </w:tcBorders>
            <w:tcMar>
              <w:left w:w="40" w:type="dxa"/>
              <w:right w:w="40" w:type="dxa"/>
            </w:tcMar>
          </w:tcPr>
          <w:p w14:paraId="666C116C" w14:textId="741E1008" w:rsidR="009B6D47" w:rsidRPr="00126A1B" w:rsidRDefault="00B02398" w:rsidP="00112265">
            <w:pPr>
              <w:pStyle w:val="In-tableHeading"/>
              <w:rPr>
                <w:lang w:val="en-AU"/>
              </w:rPr>
            </w:pPr>
            <w:r w:rsidRPr="00B02398">
              <w:rPr>
                <w:lang w:val="en-AU"/>
              </w:rPr>
              <w:t>Sub-Committees’ comments</w:t>
            </w:r>
          </w:p>
        </w:tc>
      </w:tr>
      <w:tr w:rsidR="006155AD" w:rsidRPr="006562D8" w14:paraId="29787DC3" w14:textId="23497742" w:rsidTr="005338AC">
        <w:tc>
          <w:tcPr>
            <w:tcW w:w="663" w:type="pct"/>
            <w:tcBorders>
              <w:right w:val="nil"/>
            </w:tcBorders>
            <w:tcMar>
              <w:left w:w="40" w:type="dxa"/>
              <w:right w:w="40" w:type="dxa"/>
            </w:tcMar>
            <w:vAlign w:val="center"/>
          </w:tcPr>
          <w:p w14:paraId="6AE3416C" w14:textId="77777777" w:rsidR="00A03C98" w:rsidRPr="00126A1B" w:rsidRDefault="00A03C98" w:rsidP="00112265">
            <w:pPr>
              <w:pStyle w:val="In-tableHeading"/>
              <w:jc w:val="left"/>
              <w:rPr>
                <w:lang w:val="en-AU"/>
              </w:rPr>
            </w:pPr>
            <w:r w:rsidRPr="00126A1B">
              <w:rPr>
                <w:lang w:val="en-AU"/>
              </w:rPr>
              <w:t>Eligible population</w:t>
            </w:r>
          </w:p>
        </w:tc>
        <w:tc>
          <w:tcPr>
            <w:tcW w:w="798" w:type="pct"/>
            <w:gridSpan w:val="2"/>
            <w:tcBorders>
              <w:left w:val="nil"/>
              <w:right w:val="nil"/>
            </w:tcBorders>
            <w:tcMar>
              <w:left w:w="40" w:type="dxa"/>
              <w:right w:w="40" w:type="dxa"/>
            </w:tcMar>
            <w:vAlign w:val="center"/>
          </w:tcPr>
          <w:p w14:paraId="2B51B68F" w14:textId="77777777" w:rsidR="00A03C98" w:rsidRPr="00126A1B" w:rsidRDefault="00A03C98" w:rsidP="00112265">
            <w:pPr>
              <w:pStyle w:val="In-tableHeading"/>
              <w:jc w:val="left"/>
              <w:rPr>
                <w:lang w:val="en-AU"/>
              </w:rPr>
            </w:pPr>
          </w:p>
        </w:tc>
        <w:tc>
          <w:tcPr>
            <w:tcW w:w="533" w:type="pct"/>
            <w:tcBorders>
              <w:left w:val="nil"/>
              <w:right w:val="nil"/>
            </w:tcBorders>
            <w:tcMar>
              <w:left w:w="40" w:type="dxa"/>
              <w:right w:w="40" w:type="dxa"/>
            </w:tcMar>
          </w:tcPr>
          <w:p w14:paraId="78D55C32" w14:textId="77777777" w:rsidR="00A03C98" w:rsidRPr="00126A1B" w:rsidRDefault="00A03C98" w:rsidP="005338AC">
            <w:pPr>
              <w:pStyle w:val="In-tableHeading"/>
              <w:jc w:val="left"/>
              <w:rPr>
                <w:lang w:val="en-AU"/>
              </w:rPr>
            </w:pPr>
          </w:p>
        </w:tc>
        <w:tc>
          <w:tcPr>
            <w:tcW w:w="133" w:type="pct"/>
            <w:tcBorders>
              <w:left w:val="nil"/>
              <w:right w:val="nil"/>
            </w:tcBorders>
            <w:tcMar>
              <w:left w:w="40" w:type="dxa"/>
              <w:right w:w="40" w:type="dxa"/>
            </w:tcMar>
          </w:tcPr>
          <w:p w14:paraId="2C3ED89C" w14:textId="77777777" w:rsidR="00A03C98" w:rsidRPr="00126A1B" w:rsidRDefault="00A03C98" w:rsidP="005338AC">
            <w:pPr>
              <w:pStyle w:val="In-tableHeading"/>
              <w:jc w:val="left"/>
              <w:rPr>
                <w:lang w:val="en-AU"/>
              </w:rPr>
            </w:pPr>
          </w:p>
        </w:tc>
        <w:tc>
          <w:tcPr>
            <w:tcW w:w="2873" w:type="pct"/>
            <w:gridSpan w:val="3"/>
            <w:tcBorders>
              <w:left w:val="nil"/>
            </w:tcBorders>
            <w:tcMar>
              <w:left w:w="40" w:type="dxa"/>
              <w:right w:w="40" w:type="dxa"/>
            </w:tcMar>
          </w:tcPr>
          <w:p w14:paraId="5470F3DF" w14:textId="097865BA" w:rsidR="009B6D47" w:rsidRPr="00126A1B" w:rsidRDefault="009B6D47" w:rsidP="005338AC">
            <w:pPr>
              <w:pStyle w:val="In-tableHeading"/>
              <w:jc w:val="left"/>
              <w:rPr>
                <w:lang w:val="en-AU"/>
              </w:rPr>
            </w:pPr>
          </w:p>
        </w:tc>
      </w:tr>
      <w:tr w:rsidR="002935ED" w:rsidRPr="006562D8" w14:paraId="1BC96A1C" w14:textId="455BB24D" w:rsidTr="001526F4">
        <w:tc>
          <w:tcPr>
            <w:tcW w:w="663" w:type="pct"/>
            <w:tcMar>
              <w:left w:w="40" w:type="dxa"/>
              <w:right w:w="40" w:type="dxa"/>
            </w:tcMar>
            <w:vAlign w:val="center"/>
          </w:tcPr>
          <w:p w14:paraId="0E7D74CA" w14:textId="77777777" w:rsidR="002935ED" w:rsidRPr="00126A1B" w:rsidRDefault="002935ED" w:rsidP="00112265">
            <w:pPr>
              <w:pStyle w:val="TableText0"/>
              <w:rPr>
                <w:lang w:val="en-AU"/>
              </w:rPr>
            </w:pPr>
            <w:r w:rsidRPr="00126A1B">
              <w:rPr>
                <w:lang w:val="en-AU"/>
              </w:rPr>
              <w:t>Australian population</w:t>
            </w:r>
          </w:p>
        </w:tc>
        <w:tc>
          <w:tcPr>
            <w:tcW w:w="798" w:type="pct"/>
            <w:gridSpan w:val="2"/>
            <w:tcMar>
              <w:left w:w="40" w:type="dxa"/>
              <w:right w:w="40" w:type="dxa"/>
            </w:tcMar>
            <w:vAlign w:val="center"/>
          </w:tcPr>
          <w:p w14:paraId="7DF61FC7" w14:textId="77777777" w:rsidR="002935ED" w:rsidRPr="00965EB4" w:rsidRDefault="002935ED" w:rsidP="00112265">
            <w:pPr>
              <w:pStyle w:val="TableText0"/>
              <w:rPr>
                <w:lang w:val="en-AU"/>
              </w:rPr>
            </w:pPr>
            <w:r w:rsidRPr="00126A1B">
              <w:rPr>
                <w:lang w:val="en-AU"/>
              </w:rPr>
              <w:t xml:space="preserve">Yr 1: </w:t>
            </w:r>
            <w:r w:rsidRPr="00965EB4">
              <w:rPr>
                <w:lang w:val="en-AU"/>
              </w:rPr>
              <w:t>24,162,218</w:t>
            </w:r>
          </w:p>
          <w:p w14:paraId="662E108C" w14:textId="77777777" w:rsidR="002935ED" w:rsidRPr="00965EB4" w:rsidRDefault="002935ED" w:rsidP="00112265">
            <w:pPr>
              <w:pStyle w:val="TableText0"/>
              <w:rPr>
                <w:lang w:val="en-AU"/>
              </w:rPr>
            </w:pPr>
            <w:r w:rsidRPr="00965EB4">
              <w:rPr>
                <w:lang w:val="en-AU"/>
              </w:rPr>
              <w:t>Yr 2: 24,599,864</w:t>
            </w:r>
          </w:p>
          <w:p w14:paraId="103DC36C" w14:textId="77777777" w:rsidR="002935ED" w:rsidRPr="00965EB4" w:rsidRDefault="002935ED" w:rsidP="00112265">
            <w:pPr>
              <w:pStyle w:val="TableText0"/>
              <w:rPr>
                <w:lang w:val="en-AU"/>
              </w:rPr>
            </w:pPr>
            <w:r w:rsidRPr="00965EB4">
              <w:rPr>
                <w:lang w:val="en-AU"/>
              </w:rPr>
              <w:t>Yr 3: 25,028,274</w:t>
            </w:r>
          </w:p>
          <w:p w14:paraId="2C7EC3AD" w14:textId="77777777" w:rsidR="002935ED" w:rsidRPr="00965EB4" w:rsidRDefault="002935ED" w:rsidP="00112265">
            <w:pPr>
              <w:pStyle w:val="TableText0"/>
              <w:rPr>
                <w:lang w:val="en-AU"/>
              </w:rPr>
            </w:pPr>
            <w:r w:rsidRPr="00965EB4">
              <w:rPr>
                <w:lang w:val="en-AU"/>
              </w:rPr>
              <w:t>Yr 4: 25,436,915</w:t>
            </w:r>
          </w:p>
          <w:p w14:paraId="16259B97" w14:textId="77777777" w:rsidR="002935ED" w:rsidRPr="00965EB4" w:rsidRDefault="002935ED" w:rsidP="00112265">
            <w:pPr>
              <w:pStyle w:val="TableText0"/>
              <w:rPr>
                <w:lang w:val="en-AU"/>
              </w:rPr>
            </w:pPr>
            <w:r w:rsidRPr="00965EB4">
              <w:rPr>
                <w:lang w:val="en-AU"/>
              </w:rPr>
              <w:t>Yr 5: 25,827,361</w:t>
            </w:r>
          </w:p>
          <w:p w14:paraId="3BCEBE3B" w14:textId="77777777" w:rsidR="002935ED" w:rsidRPr="00126A1B" w:rsidRDefault="002935ED" w:rsidP="00112265">
            <w:pPr>
              <w:pStyle w:val="TableText0"/>
              <w:rPr>
                <w:lang w:val="en-AU"/>
              </w:rPr>
            </w:pPr>
            <w:r w:rsidRPr="00965EB4">
              <w:rPr>
                <w:lang w:val="en-AU"/>
              </w:rPr>
              <w:t>Yr 6: 26,204,324</w:t>
            </w:r>
          </w:p>
        </w:tc>
        <w:tc>
          <w:tcPr>
            <w:tcW w:w="932" w:type="pct"/>
            <w:gridSpan w:val="3"/>
            <w:tcMar>
              <w:left w:w="40" w:type="dxa"/>
              <w:right w:w="40" w:type="dxa"/>
            </w:tcMar>
          </w:tcPr>
          <w:p w14:paraId="0564B720" w14:textId="77777777" w:rsidR="002935ED" w:rsidRPr="00126A1B" w:rsidRDefault="002935ED" w:rsidP="005338AC">
            <w:pPr>
              <w:pStyle w:val="TableText0"/>
              <w:rPr>
                <w:lang w:val="en-AU"/>
              </w:rPr>
            </w:pPr>
            <w:r w:rsidRPr="00126A1B">
              <w:rPr>
                <w:lang w:val="en-AU"/>
              </w:rPr>
              <w:t>ABS high series Australian population projections 2025 to 2031</w:t>
            </w:r>
          </w:p>
        </w:tc>
        <w:tc>
          <w:tcPr>
            <w:tcW w:w="1397" w:type="pct"/>
            <w:vMerge w:val="restart"/>
            <w:tcMar>
              <w:left w:w="40" w:type="dxa"/>
              <w:right w:w="40" w:type="dxa"/>
            </w:tcMar>
          </w:tcPr>
          <w:p w14:paraId="03D20A5D" w14:textId="4800D12A" w:rsidR="002935ED" w:rsidRPr="00126A1B" w:rsidRDefault="002935ED" w:rsidP="00C615C7">
            <w:pPr>
              <w:pStyle w:val="TableText0"/>
              <w:rPr>
                <w:lang w:val="en-AU"/>
              </w:rPr>
            </w:pPr>
            <w:r w:rsidRPr="00126A1B">
              <w:rPr>
                <w:lang w:val="en-AU"/>
              </w:rPr>
              <w:t xml:space="preserve">The number of patients receiving leniolisib was likely overestimated due to the use of ABS high series projections for the Australian population (rather than the medium series) and the use of APDS prevalence rates that increased over time. </w:t>
            </w:r>
          </w:p>
          <w:p w14:paraId="706CDF8F" w14:textId="569617D8" w:rsidR="0047338C" w:rsidRPr="00126A1B" w:rsidRDefault="002935ED" w:rsidP="00C615C7">
            <w:pPr>
              <w:pStyle w:val="TableText0"/>
              <w:rPr>
                <w:lang w:val="en-AU"/>
              </w:rPr>
            </w:pPr>
            <w:r w:rsidRPr="00126A1B">
              <w:rPr>
                <w:lang w:val="en-AU"/>
              </w:rPr>
              <w:t xml:space="preserve">The total number of patients may be overestimated as there are currently 18 patients diagnosed with APDS in Australia, </w:t>
            </w:r>
            <w:r w:rsidR="0015156F">
              <w:rPr>
                <w:lang w:val="en-AU"/>
              </w:rPr>
              <w:t>(</w:t>
            </w:r>
            <w:r w:rsidRPr="00126A1B">
              <w:rPr>
                <w:lang w:val="en-AU"/>
              </w:rPr>
              <w:t>11 patients suspected of having APDS</w:t>
            </w:r>
            <w:r w:rsidR="0015156F">
              <w:rPr>
                <w:lang w:val="en-AU"/>
              </w:rPr>
              <w:t>)</w:t>
            </w:r>
            <w:r w:rsidRPr="00126A1B">
              <w:rPr>
                <w:lang w:val="en-AU"/>
              </w:rPr>
              <w:t>.</w:t>
            </w:r>
          </w:p>
        </w:tc>
        <w:tc>
          <w:tcPr>
            <w:tcW w:w="1210" w:type="pct"/>
            <w:vMerge w:val="restart"/>
            <w:tcMar>
              <w:left w:w="40" w:type="dxa"/>
              <w:right w:w="40" w:type="dxa"/>
            </w:tcMar>
          </w:tcPr>
          <w:p w14:paraId="04A64F16" w14:textId="2B2DD416" w:rsidR="002935ED" w:rsidRPr="008B433C" w:rsidRDefault="00B6005F" w:rsidP="00C615C7">
            <w:pPr>
              <w:pStyle w:val="TableText0"/>
              <w:rPr>
                <w:lang w:val="en-AU"/>
              </w:rPr>
            </w:pPr>
            <w:r w:rsidRPr="008B433C">
              <w:rPr>
                <w:lang w:val="en-AU"/>
              </w:rPr>
              <w:t xml:space="preserve">The Sub-Committees </w:t>
            </w:r>
            <w:r w:rsidR="00FC0BD6" w:rsidRPr="008B433C">
              <w:rPr>
                <w:lang w:val="en-AU"/>
              </w:rPr>
              <w:t>considered</w:t>
            </w:r>
            <w:r w:rsidRPr="008B433C">
              <w:rPr>
                <w:lang w:val="en-AU"/>
              </w:rPr>
              <w:t xml:space="preserve"> that </w:t>
            </w:r>
            <w:r w:rsidR="00FC0BD6" w:rsidRPr="008B433C">
              <w:rPr>
                <w:lang w:val="en-AU"/>
              </w:rPr>
              <w:t>g</w:t>
            </w:r>
            <w:r w:rsidR="00E9320B" w:rsidRPr="008B433C">
              <w:rPr>
                <w:lang w:val="en-AU"/>
              </w:rPr>
              <w:t xml:space="preserve">iven the heterogeneity of APDS as awareness and diagnostic capabilities improve, genetic analysis driven by an increased clinical suspicion of APDS </w:t>
            </w:r>
            <w:r w:rsidR="006141E5" w:rsidRPr="008B433C">
              <w:rPr>
                <w:lang w:val="en-AU"/>
              </w:rPr>
              <w:t>will</w:t>
            </w:r>
            <w:r w:rsidR="00A33AB4" w:rsidRPr="008B433C">
              <w:rPr>
                <w:lang w:val="en-AU"/>
              </w:rPr>
              <w:t xml:space="preserve"> lead to the </w:t>
            </w:r>
            <w:r w:rsidR="00E9320B" w:rsidRPr="008B433C">
              <w:rPr>
                <w:lang w:val="en-AU"/>
              </w:rPr>
              <w:t xml:space="preserve">possibility of identifying more people with APDS in Australia. </w:t>
            </w:r>
            <w:r w:rsidR="00C23E48" w:rsidRPr="008B433C">
              <w:rPr>
                <w:lang w:val="en-AU"/>
              </w:rPr>
              <w:t>A r</w:t>
            </w:r>
            <w:r w:rsidR="00E9320B" w:rsidRPr="008B433C">
              <w:rPr>
                <w:lang w:val="en-AU"/>
              </w:rPr>
              <w:t xml:space="preserve">ecent Italian study (Barzaghi et al) noted awareness among different </w:t>
            </w:r>
            <w:r w:rsidR="007A6438" w:rsidRPr="008B433C">
              <w:rPr>
                <w:lang w:val="en-AU"/>
              </w:rPr>
              <w:t>specialists may</w:t>
            </w:r>
            <w:r w:rsidR="00E9320B" w:rsidRPr="008B433C">
              <w:rPr>
                <w:lang w:val="en-AU"/>
              </w:rPr>
              <w:t xml:space="preserve"> improve referrals and timely recognition of the disease. </w:t>
            </w:r>
          </w:p>
          <w:p w14:paraId="69D401F9" w14:textId="07665C34" w:rsidR="007C57AA" w:rsidRPr="008B433C" w:rsidRDefault="00FC2295" w:rsidP="00C615C7">
            <w:pPr>
              <w:pStyle w:val="TableText0"/>
              <w:rPr>
                <w:lang w:val="en-AU"/>
              </w:rPr>
            </w:pPr>
            <w:r w:rsidRPr="008B433C">
              <w:rPr>
                <w:lang w:val="en-AU"/>
              </w:rPr>
              <w:t>The Sub-Committees noted that t</w:t>
            </w:r>
            <w:r w:rsidR="00B6005F" w:rsidRPr="008B433C">
              <w:rPr>
                <w:lang w:val="en-AU"/>
              </w:rPr>
              <w:t>he prevalence in year 6 (</w:t>
            </w:r>
            <w:r w:rsidR="001F60D7" w:rsidRPr="001F60D7">
              <w:rPr>
                <w:spacing w:val="51"/>
                <w:shd w:val="solid" w:color="000000" w:fill="000000"/>
                <w:fitText w:val="324" w:id="-629967612"/>
                <w:lang w:val="en-AU"/>
                <w14:textFill>
                  <w14:solidFill>
                    <w14:schemeClr w14:val="tx1">
                      <w14:alpha w14:val="100000"/>
                    </w14:schemeClr>
                  </w14:solidFill>
                </w14:textFill>
              </w:rPr>
              <w:t>|||</w:t>
            </w:r>
            <w:r w:rsidR="001F60D7" w:rsidRPr="001F60D7">
              <w:rPr>
                <w:spacing w:val="1"/>
                <w:shd w:val="solid" w:color="000000" w:fill="000000"/>
                <w:fitText w:val="324" w:id="-629967612"/>
                <w:lang w:val="en-AU"/>
                <w14:textFill>
                  <w14:solidFill>
                    <w14:schemeClr w14:val="tx1">
                      <w14:alpha w14:val="100000"/>
                    </w14:schemeClr>
                  </w14:solidFill>
                </w14:textFill>
              </w:rPr>
              <w:t>|</w:t>
            </w:r>
            <w:r w:rsidR="00B6005F" w:rsidRPr="008B433C">
              <w:rPr>
                <w:lang w:val="en-AU"/>
              </w:rPr>
              <w:t xml:space="preserve"> per million) is higher than the published literature estimates (Vanselow 2023)</w:t>
            </w:r>
            <w:r w:rsidR="00434E6C" w:rsidRPr="008B433C">
              <w:rPr>
                <w:lang w:val="en-AU"/>
              </w:rPr>
              <w:t>.</w:t>
            </w:r>
            <w:r w:rsidR="00B6005F" w:rsidRPr="008B433C">
              <w:rPr>
                <w:lang w:val="en-AU"/>
              </w:rPr>
              <w:t xml:space="preserve"> </w:t>
            </w:r>
            <w:r w:rsidR="007A6438" w:rsidRPr="008B433C">
              <w:rPr>
                <w:lang w:val="en-AU"/>
              </w:rPr>
              <w:t>However,</w:t>
            </w:r>
            <w:r w:rsidR="00B6005F" w:rsidRPr="008B433C">
              <w:rPr>
                <w:lang w:val="en-AU"/>
              </w:rPr>
              <w:t xml:space="preserve"> </w:t>
            </w:r>
            <w:r w:rsidR="00543517">
              <w:rPr>
                <w:lang w:val="en-AU"/>
              </w:rPr>
              <w:t xml:space="preserve">this may be reasonable accounting for </w:t>
            </w:r>
            <w:r w:rsidR="00B6005F" w:rsidRPr="008B433C">
              <w:rPr>
                <w:lang w:val="en-AU"/>
              </w:rPr>
              <w:t>increased awareness</w:t>
            </w:r>
            <w:r w:rsidR="00543517">
              <w:rPr>
                <w:lang w:val="en-AU"/>
              </w:rPr>
              <w:t xml:space="preserve"> and </w:t>
            </w:r>
            <w:r w:rsidR="00B6005F" w:rsidRPr="008B433C">
              <w:rPr>
                <w:lang w:val="en-AU"/>
              </w:rPr>
              <w:t>diagnosis</w:t>
            </w:r>
            <w:r w:rsidR="00543517">
              <w:rPr>
                <w:lang w:val="en-AU"/>
              </w:rPr>
              <w:t>.</w:t>
            </w:r>
            <w:r w:rsidR="00B6005F" w:rsidRPr="008B433C">
              <w:rPr>
                <w:lang w:val="en-AU"/>
              </w:rPr>
              <w:t xml:space="preserve"> </w:t>
            </w:r>
          </w:p>
        </w:tc>
      </w:tr>
      <w:tr w:rsidR="002935ED" w:rsidRPr="006562D8" w14:paraId="4B45F304" w14:textId="2B7280A1" w:rsidTr="001526F4">
        <w:tc>
          <w:tcPr>
            <w:tcW w:w="663" w:type="pct"/>
            <w:tcMar>
              <w:left w:w="40" w:type="dxa"/>
              <w:right w:w="40" w:type="dxa"/>
            </w:tcMar>
            <w:vAlign w:val="center"/>
          </w:tcPr>
          <w:p w14:paraId="18F88313" w14:textId="77777777" w:rsidR="002935ED" w:rsidRPr="00126A1B" w:rsidRDefault="002935ED" w:rsidP="00112265">
            <w:pPr>
              <w:pStyle w:val="TableText0"/>
              <w:rPr>
                <w:lang w:val="en-AU"/>
              </w:rPr>
            </w:pPr>
            <w:r w:rsidRPr="00126A1B">
              <w:rPr>
                <w:lang w:val="en-AU"/>
              </w:rPr>
              <w:t>APDS prevalence rate</w:t>
            </w:r>
          </w:p>
        </w:tc>
        <w:tc>
          <w:tcPr>
            <w:tcW w:w="798" w:type="pct"/>
            <w:gridSpan w:val="2"/>
            <w:tcMar>
              <w:left w:w="40" w:type="dxa"/>
              <w:right w:w="40" w:type="dxa"/>
            </w:tcMar>
            <w:vAlign w:val="center"/>
          </w:tcPr>
          <w:p w14:paraId="10C92DA5" w14:textId="0B551495" w:rsidR="002935ED" w:rsidRPr="00126A1B" w:rsidRDefault="002935ED" w:rsidP="00112265">
            <w:pPr>
              <w:pStyle w:val="TableText0"/>
              <w:rPr>
                <w:lang w:val="en-AU"/>
              </w:rPr>
            </w:pPr>
            <w:r w:rsidRPr="00126A1B">
              <w:rPr>
                <w:lang w:val="en-AU"/>
              </w:rPr>
              <w:t xml:space="preserve">Yr 1: </w:t>
            </w:r>
            <w:r w:rsidR="001F60D7" w:rsidRPr="001F60D7">
              <w:rPr>
                <w:spacing w:val="51"/>
                <w:shd w:val="solid" w:color="000000" w:fill="000000"/>
                <w:fitText w:val="324" w:id="-629967611"/>
                <w:lang w:val="en-AU"/>
                <w14:textFill>
                  <w14:solidFill>
                    <w14:schemeClr w14:val="tx1">
                      <w14:alpha w14:val="100000"/>
                    </w14:schemeClr>
                  </w14:solidFill>
                </w14:textFill>
              </w:rPr>
              <w:t>|||</w:t>
            </w:r>
            <w:r w:rsidR="001F60D7" w:rsidRPr="001F60D7">
              <w:rPr>
                <w:spacing w:val="1"/>
                <w:shd w:val="solid" w:color="000000" w:fill="000000"/>
                <w:fitText w:val="324" w:id="-629967611"/>
                <w:lang w:val="en-AU"/>
                <w14:textFill>
                  <w14:solidFill>
                    <w14:schemeClr w14:val="tx1">
                      <w14:alpha w14:val="100000"/>
                    </w14:schemeClr>
                  </w14:solidFill>
                </w14:textFill>
              </w:rPr>
              <w:t>|</w:t>
            </w:r>
            <w:r w:rsidRPr="00126A1B">
              <w:rPr>
                <w:lang w:val="en-AU"/>
              </w:rPr>
              <w:t>/million</w:t>
            </w:r>
          </w:p>
          <w:p w14:paraId="10E8E032" w14:textId="1D6D289D" w:rsidR="002935ED" w:rsidRPr="00126A1B" w:rsidRDefault="002935ED" w:rsidP="00112265">
            <w:pPr>
              <w:pStyle w:val="TableText0"/>
              <w:rPr>
                <w:lang w:val="en-AU"/>
              </w:rPr>
            </w:pPr>
            <w:r w:rsidRPr="00126A1B">
              <w:rPr>
                <w:lang w:val="en-AU"/>
              </w:rPr>
              <w:t xml:space="preserve">Yr 2: </w:t>
            </w:r>
            <w:r w:rsidR="001F60D7" w:rsidRPr="001F60D7">
              <w:rPr>
                <w:spacing w:val="51"/>
                <w:shd w:val="solid" w:color="000000" w:fill="000000"/>
                <w:fitText w:val="324" w:id="-629967610"/>
                <w:lang w:val="en-AU"/>
                <w14:textFill>
                  <w14:solidFill>
                    <w14:schemeClr w14:val="tx1">
                      <w14:alpha w14:val="100000"/>
                    </w14:schemeClr>
                  </w14:solidFill>
                </w14:textFill>
              </w:rPr>
              <w:t>|||</w:t>
            </w:r>
            <w:r w:rsidR="001F60D7" w:rsidRPr="001F60D7">
              <w:rPr>
                <w:spacing w:val="1"/>
                <w:shd w:val="solid" w:color="000000" w:fill="000000"/>
                <w:fitText w:val="324" w:id="-629967610"/>
                <w:lang w:val="en-AU"/>
                <w14:textFill>
                  <w14:solidFill>
                    <w14:schemeClr w14:val="tx1">
                      <w14:alpha w14:val="100000"/>
                    </w14:schemeClr>
                  </w14:solidFill>
                </w14:textFill>
              </w:rPr>
              <w:t>|</w:t>
            </w:r>
            <w:r w:rsidRPr="00126A1B">
              <w:rPr>
                <w:lang w:val="en-AU"/>
              </w:rPr>
              <w:t>/million</w:t>
            </w:r>
          </w:p>
          <w:p w14:paraId="50ED9C0E" w14:textId="511C161E" w:rsidR="002935ED" w:rsidRPr="00126A1B" w:rsidRDefault="002935ED" w:rsidP="00112265">
            <w:pPr>
              <w:pStyle w:val="TableText0"/>
              <w:rPr>
                <w:lang w:val="en-AU"/>
              </w:rPr>
            </w:pPr>
            <w:r w:rsidRPr="00126A1B">
              <w:rPr>
                <w:lang w:val="en-AU"/>
              </w:rPr>
              <w:t xml:space="preserve">Yr 3: </w:t>
            </w:r>
            <w:r w:rsidR="001F60D7" w:rsidRPr="001F60D7">
              <w:rPr>
                <w:spacing w:val="51"/>
                <w:shd w:val="solid" w:color="000000" w:fill="000000"/>
                <w:fitText w:val="324" w:id="-629967609"/>
                <w:lang w:val="en-AU"/>
                <w14:textFill>
                  <w14:solidFill>
                    <w14:schemeClr w14:val="tx1">
                      <w14:alpha w14:val="100000"/>
                    </w14:schemeClr>
                  </w14:solidFill>
                </w14:textFill>
              </w:rPr>
              <w:t>|||</w:t>
            </w:r>
            <w:r w:rsidR="001F60D7" w:rsidRPr="001F60D7">
              <w:rPr>
                <w:spacing w:val="1"/>
                <w:shd w:val="solid" w:color="000000" w:fill="000000"/>
                <w:fitText w:val="324" w:id="-629967609"/>
                <w:lang w:val="en-AU"/>
                <w14:textFill>
                  <w14:solidFill>
                    <w14:schemeClr w14:val="tx1">
                      <w14:alpha w14:val="100000"/>
                    </w14:schemeClr>
                  </w14:solidFill>
                </w14:textFill>
              </w:rPr>
              <w:t>|</w:t>
            </w:r>
            <w:r w:rsidRPr="00126A1B">
              <w:rPr>
                <w:lang w:val="en-AU"/>
              </w:rPr>
              <w:t>/million</w:t>
            </w:r>
          </w:p>
          <w:p w14:paraId="4688A046" w14:textId="67804856" w:rsidR="002935ED" w:rsidRPr="00126A1B" w:rsidRDefault="002935ED" w:rsidP="00112265">
            <w:pPr>
              <w:pStyle w:val="TableText0"/>
              <w:rPr>
                <w:lang w:val="en-AU"/>
              </w:rPr>
            </w:pPr>
            <w:r w:rsidRPr="00126A1B">
              <w:rPr>
                <w:lang w:val="en-AU"/>
              </w:rPr>
              <w:t xml:space="preserve">Yr 4: </w:t>
            </w:r>
            <w:r w:rsidR="001F60D7" w:rsidRPr="001F60D7">
              <w:rPr>
                <w:spacing w:val="51"/>
                <w:shd w:val="solid" w:color="000000" w:fill="000000"/>
                <w:fitText w:val="324" w:id="-629967608"/>
                <w:lang w:val="en-AU"/>
                <w14:textFill>
                  <w14:solidFill>
                    <w14:schemeClr w14:val="tx1">
                      <w14:alpha w14:val="100000"/>
                    </w14:schemeClr>
                  </w14:solidFill>
                </w14:textFill>
              </w:rPr>
              <w:t>|||</w:t>
            </w:r>
            <w:r w:rsidR="001F60D7" w:rsidRPr="001F60D7">
              <w:rPr>
                <w:spacing w:val="1"/>
                <w:shd w:val="solid" w:color="000000" w:fill="000000"/>
                <w:fitText w:val="324" w:id="-629967608"/>
                <w:lang w:val="en-AU"/>
                <w14:textFill>
                  <w14:solidFill>
                    <w14:schemeClr w14:val="tx1">
                      <w14:alpha w14:val="100000"/>
                    </w14:schemeClr>
                  </w14:solidFill>
                </w14:textFill>
              </w:rPr>
              <w:t>|</w:t>
            </w:r>
            <w:r w:rsidRPr="00126A1B">
              <w:rPr>
                <w:lang w:val="en-AU"/>
              </w:rPr>
              <w:t>/million</w:t>
            </w:r>
          </w:p>
          <w:p w14:paraId="02797972" w14:textId="612E63FB" w:rsidR="002935ED" w:rsidRPr="00126A1B" w:rsidRDefault="002935ED" w:rsidP="00112265">
            <w:pPr>
              <w:pStyle w:val="TableText0"/>
              <w:rPr>
                <w:lang w:val="en-AU"/>
              </w:rPr>
            </w:pPr>
            <w:r w:rsidRPr="00126A1B">
              <w:rPr>
                <w:lang w:val="en-AU"/>
              </w:rPr>
              <w:t xml:space="preserve">Yr 5: </w:t>
            </w:r>
            <w:r w:rsidR="001F60D7" w:rsidRPr="001F60D7">
              <w:rPr>
                <w:spacing w:val="51"/>
                <w:shd w:val="solid" w:color="000000" w:fill="000000"/>
                <w:fitText w:val="324" w:id="-629967607"/>
                <w:lang w:val="en-AU"/>
                <w14:textFill>
                  <w14:solidFill>
                    <w14:schemeClr w14:val="tx1">
                      <w14:alpha w14:val="100000"/>
                    </w14:schemeClr>
                  </w14:solidFill>
                </w14:textFill>
              </w:rPr>
              <w:t>|||</w:t>
            </w:r>
            <w:r w:rsidR="001F60D7" w:rsidRPr="001F60D7">
              <w:rPr>
                <w:spacing w:val="1"/>
                <w:shd w:val="solid" w:color="000000" w:fill="000000"/>
                <w:fitText w:val="324" w:id="-629967607"/>
                <w:lang w:val="en-AU"/>
                <w14:textFill>
                  <w14:solidFill>
                    <w14:schemeClr w14:val="tx1">
                      <w14:alpha w14:val="100000"/>
                    </w14:schemeClr>
                  </w14:solidFill>
                </w14:textFill>
              </w:rPr>
              <w:t>|</w:t>
            </w:r>
            <w:r w:rsidRPr="00126A1B">
              <w:rPr>
                <w:lang w:val="en-AU"/>
              </w:rPr>
              <w:t>/million</w:t>
            </w:r>
          </w:p>
          <w:p w14:paraId="0934BFFE" w14:textId="6A1DFA6A" w:rsidR="002935ED" w:rsidRPr="00126A1B" w:rsidRDefault="002935ED" w:rsidP="00112265">
            <w:pPr>
              <w:pStyle w:val="TableText0"/>
              <w:rPr>
                <w:lang w:val="en-AU"/>
              </w:rPr>
            </w:pPr>
            <w:r w:rsidRPr="00126A1B">
              <w:rPr>
                <w:lang w:val="en-AU"/>
              </w:rPr>
              <w:t xml:space="preserve">Yr 6: </w:t>
            </w:r>
            <w:r w:rsidR="001F60D7" w:rsidRPr="001F60D7">
              <w:rPr>
                <w:spacing w:val="51"/>
                <w:shd w:val="solid" w:color="000000" w:fill="000000"/>
                <w:fitText w:val="324" w:id="-629967606"/>
                <w:lang w:val="en-AU"/>
                <w14:textFill>
                  <w14:solidFill>
                    <w14:schemeClr w14:val="tx1">
                      <w14:alpha w14:val="100000"/>
                    </w14:schemeClr>
                  </w14:solidFill>
                </w14:textFill>
              </w:rPr>
              <w:t>|||</w:t>
            </w:r>
            <w:r w:rsidR="001F60D7" w:rsidRPr="001F60D7">
              <w:rPr>
                <w:spacing w:val="1"/>
                <w:shd w:val="solid" w:color="000000" w:fill="000000"/>
                <w:fitText w:val="324" w:id="-629967606"/>
                <w:lang w:val="en-AU"/>
                <w14:textFill>
                  <w14:solidFill>
                    <w14:schemeClr w14:val="tx1">
                      <w14:alpha w14:val="100000"/>
                    </w14:schemeClr>
                  </w14:solidFill>
                </w14:textFill>
              </w:rPr>
              <w:t>|</w:t>
            </w:r>
            <w:r w:rsidRPr="00126A1B">
              <w:rPr>
                <w:lang w:val="en-AU"/>
              </w:rPr>
              <w:t>/million</w:t>
            </w:r>
          </w:p>
        </w:tc>
        <w:tc>
          <w:tcPr>
            <w:tcW w:w="932" w:type="pct"/>
            <w:gridSpan w:val="3"/>
            <w:tcMar>
              <w:left w:w="40" w:type="dxa"/>
              <w:right w:w="40" w:type="dxa"/>
            </w:tcMar>
          </w:tcPr>
          <w:p w14:paraId="47B621E2" w14:textId="77777777" w:rsidR="002935ED" w:rsidRPr="00126A1B" w:rsidRDefault="002935ED" w:rsidP="005338AC">
            <w:pPr>
              <w:pStyle w:val="TableText0"/>
              <w:rPr>
                <w:lang w:val="en-AU"/>
              </w:rPr>
            </w:pPr>
            <w:r w:rsidRPr="00126A1B">
              <w:rPr>
                <w:lang w:val="en-AU"/>
              </w:rPr>
              <w:t>Vanselow 2023 estimated the prevalence of APDS to be 1-2 per million. The submission assumed an equi-proportionate escalation between year 1 and year 6.</w:t>
            </w:r>
          </w:p>
        </w:tc>
        <w:tc>
          <w:tcPr>
            <w:tcW w:w="1397" w:type="pct"/>
            <w:vMerge/>
            <w:tcMar>
              <w:left w:w="40" w:type="dxa"/>
              <w:right w:w="40" w:type="dxa"/>
            </w:tcMar>
          </w:tcPr>
          <w:p w14:paraId="313EA4D3" w14:textId="77777777" w:rsidR="002935ED" w:rsidRPr="00126A1B" w:rsidRDefault="002935ED" w:rsidP="00C615C7">
            <w:pPr>
              <w:pStyle w:val="TableText0"/>
              <w:rPr>
                <w:lang w:val="en-AU"/>
              </w:rPr>
            </w:pPr>
          </w:p>
        </w:tc>
        <w:tc>
          <w:tcPr>
            <w:tcW w:w="1210" w:type="pct"/>
            <w:vMerge/>
            <w:tcMar>
              <w:left w:w="40" w:type="dxa"/>
              <w:right w:w="40" w:type="dxa"/>
            </w:tcMar>
          </w:tcPr>
          <w:p w14:paraId="62BD5935" w14:textId="77777777" w:rsidR="002935ED" w:rsidRPr="00126A1B" w:rsidRDefault="002935ED" w:rsidP="00C615C7">
            <w:pPr>
              <w:pStyle w:val="TableText0"/>
              <w:rPr>
                <w:lang w:val="en-AU"/>
              </w:rPr>
            </w:pPr>
          </w:p>
        </w:tc>
      </w:tr>
      <w:tr w:rsidR="002935ED" w:rsidRPr="006562D8" w14:paraId="26D7CE6E" w14:textId="5CEBC59E" w:rsidTr="001526F4">
        <w:tc>
          <w:tcPr>
            <w:tcW w:w="663" w:type="pct"/>
            <w:tcBorders>
              <w:bottom w:val="single" w:sz="4" w:space="0" w:color="auto"/>
            </w:tcBorders>
            <w:tcMar>
              <w:left w:w="40" w:type="dxa"/>
              <w:right w:w="40" w:type="dxa"/>
            </w:tcMar>
            <w:vAlign w:val="center"/>
          </w:tcPr>
          <w:p w14:paraId="5588BB6A" w14:textId="77777777" w:rsidR="002935ED" w:rsidRPr="00126A1B" w:rsidRDefault="002935ED" w:rsidP="00112265">
            <w:pPr>
              <w:pStyle w:val="TableText0"/>
              <w:rPr>
                <w:lang w:val="en-AU"/>
              </w:rPr>
            </w:pPr>
            <w:r w:rsidRPr="00126A1B">
              <w:rPr>
                <w:lang w:val="en-AU"/>
              </w:rPr>
              <w:t>Total patients</w:t>
            </w:r>
          </w:p>
        </w:tc>
        <w:tc>
          <w:tcPr>
            <w:tcW w:w="798" w:type="pct"/>
            <w:gridSpan w:val="2"/>
            <w:tcBorders>
              <w:bottom w:val="single" w:sz="4" w:space="0" w:color="auto"/>
            </w:tcBorders>
            <w:tcMar>
              <w:left w:w="40" w:type="dxa"/>
              <w:right w:w="40" w:type="dxa"/>
            </w:tcMar>
            <w:vAlign w:val="center"/>
          </w:tcPr>
          <w:p w14:paraId="798ABEFA" w14:textId="1514071F" w:rsidR="002935ED" w:rsidRPr="00126A1B" w:rsidRDefault="002935ED" w:rsidP="00112265">
            <w:pPr>
              <w:pStyle w:val="TableText0"/>
              <w:rPr>
                <w:lang w:val="en-AU"/>
              </w:rPr>
            </w:pPr>
            <w:r w:rsidRPr="00126A1B">
              <w:rPr>
                <w:lang w:val="en-AU"/>
              </w:rPr>
              <w:t xml:space="preserve">Yr 1: </w:t>
            </w:r>
            <w:r w:rsidR="001F60D7" w:rsidRPr="001F60D7">
              <w:rPr>
                <w:spacing w:val="51"/>
                <w:shd w:val="solid" w:color="000000" w:fill="000000"/>
                <w:fitText w:val="324" w:id="-629967605"/>
                <w:lang w:val="en-AU"/>
                <w14:textFill>
                  <w14:solidFill>
                    <w14:schemeClr w14:val="tx1">
                      <w14:alpha w14:val="100000"/>
                    </w14:schemeClr>
                  </w14:solidFill>
                </w14:textFill>
              </w:rPr>
              <w:t>|||</w:t>
            </w:r>
            <w:r w:rsidR="001F60D7" w:rsidRPr="001F60D7">
              <w:rPr>
                <w:spacing w:val="1"/>
                <w:shd w:val="solid" w:color="000000" w:fill="000000"/>
                <w:fitText w:val="324" w:id="-629967605"/>
                <w:lang w:val="en-AU"/>
                <w14:textFill>
                  <w14:solidFill>
                    <w14:schemeClr w14:val="tx1">
                      <w14:alpha w14:val="100000"/>
                    </w14:schemeClr>
                  </w14:solidFill>
                </w14:textFill>
              </w:rPr>
              <w:t>|</w:t>
            </w:r>
            <w:r w:rsidR="004A5232" w:rsidRPr="004A5232">
              <w:rPr>
                <w:vertAlign w:val="superscript"/>
                <w:lang w:val="en-AU"/>
              </w:rPr>
              <w:t>1</w:t>
            </w:r>
          </w:p>
          <w:p w14:paraId="5ACD651F" w14:textId="06290D9F" w:rsidR="002935ED" w:rsidRPr="00126A1B" w:rsidRDefault="002935ED" w:rsidP="00112265">
            <w:pPr>
              <w:pStyle w:val="TableText0"/>
              <w:rPr>
                <w:lang w:val="en-AU"/>
              </w:rPr>
            </w:pPr>
            <w:r w:rsidRPr="00126A1B">
              <w:rPr>
                <w:lang w:val="en-AU"/>
              </w:rPr>
              <w:t xml:space="preserve">Yr 2: </w:t>
            </w:r>
            <w:r w:rsidR="001F60D7" w:rsidRPr="001F60D7">
              <w:rPr>
                <w:spacing w:val="51"/>
                <w:shd w:val="solid" w:color="000000" w:fill="000000"/>
                <w:fitText w:val="324" w:id="-629967604"/>
                <w:lang w:val="en-AU"/>
                <w14:textFill>
                  <w14:solidFill>
                    <w14:schemeClr w14:val="tx1">
                      <w14:alpha w14:val="100000"/>
                    </w14:schemeClr>
                  </w14:solidFill>
                </w14:textFill>
              </w:rPr>
              <w:t>|||</w:t>
            </w:r>
            <w:r w:rsidR="001F60D7" w:rsidRPr="001F60D7">
              <w:rPr>
                <w:spacing w:val="1"/>
                <w:shd w:val="solid" w:color="000000" w:fill="000000"/>
                <w:fitText w:val="324" w:id="-629967604"/>
                <w:lang w:val="en-AU"/>
                <w14:textFill>
                  <w14:solidFill>
                    <w14:schemeClr w14:val="tx1">
                      <w14:alpha w14:val="100000"/>
                    </w14:schemeClr>
                  </w14:solidFill>
                </w14:textFill>
              </w:rPr>
              <w:t>|</w:t>
            </w:r>
            <w:r w:rsidR="004A5232" w:rsidRPr="004A5232">
              <w:rPr>
                <w:vertAlign w:val="superscript"/>
                <w:lang w:val="en-AU"/>
              </w:rPr>
              <w:t>1</w:t>
            </w:r>
          </w:p>
          <w:p w14:paraId="14AD2A1C" w14:textId="3CDCEFC6" w:rsidR="002935ED" w:rsidRPr="00126A1B" w:rsidRDefault="002935ED" w:rsidP="00112265">
            <w:pPr>
              <w:pStyle w:val="TableText0"/>
              <w:rPr>
                <w:lang w:val="en-AU"/>
              </w:rPr>
            </w:pPr>
            <w:r w:rsidRPr="00126A1B">
              <w:rPr>
                <w:lang w:val="en-AU"/>
              </w:rPr>
              <w:t xml:space="preserve">Yr 3: </w:t>
            </w:r>
            <w:r w:rsidR="001F60D7" w:rsidRPr="001F60D7">
              <w:rPr>
                <w:spacing w:val="51"/>
                <w:shd w:val="solid" w:color="000000" w:fill="000000"/>
                <w:fitText w:val="324" w:id="-629967603"/>
                <w:lang w:val="en-AU"/>
                <w14:textFill>
                  <w14:solidFill>
                    <w14:schemeClr w14:val="tx1">
                      <w14:alpha w14:val="100000"/>
                    </w14:schemeClr>
                  </w14:solidFill>
                </w14:textFill>
              </w:rPr>
              <w:t>|||</w:t>
            </w:r>
            <w:r w:rsidR="001F60D7" w:rsidRPr="001F60D7">
              <w:rPr>
                <w:spacing w:val="1"/>
                <w:shd w:val="solid" w:color="000000" w:fill="000000"/>
                <w:fitText w:val="324" w:id="-629967603"/>
                <w:lang w:val="en-AU"/>
                <w14:textFill>
                  <w14:solidFill>
                    <w14:schemeClr w14:val="tx1">
                      <w14:alpha w14:val="100000"/>
                    </w14:schemeClr>
                  </w14:solidFill>
                </w14:textFill>
              </w:rPr>
              <w:t>|</w:t>
            </w:r>
            <w:r w:rsidR="004A5232" w:rsidRPr="004A5232">
              <w:rPr>
                <w:vertAlign w:val="superscript"/>
                <w:lang w:val="en-AU"/>
              </w:rPr>
              <w:t>1</w:t>
            </w:r>
          </w:p>
          <w:p w14:paraId="52353176" w14:textId="32D93354" w:rsidR="002935ED" w:rsidRPr="00126A1B" w:rsidRDefault="002935ED" w:rsidP="00112265">
            <w:pPr>
              <w:pStyle w:val="TableText0"/>
              <w:rPr>
                <w:lang w:val="en-AU"/>
              </w:rPr>
            </w:pPr>
            <w:r w:rsidRPr="00126A1B">
              <w:rPr>
                <w:lang w:val="en-AU"/>
              </w:rPr>
              <w:t xml:space="preserve">Yr 4: </w:t>
            </w:r>
            <w:r w:rsidR="001F60D7" w:rsidRPr="001F60D7">
              <w:rPr>
                <w:spacing w:val="51"/>
                <w:shd w:val="solid" w:color="000000" w:fill="000000"/>
                <w:fitText w:val="324" w:id="-629967602"/>
                <w:lang w:val="en-AU"/>
                <w14:textFill>
                  <w14:solidFill>
                    <w14:schemeClr w14:val="tx1">
                      <w14:alpha w14:val="100000"/>
                    </w14:schemeClr>
                  </w14:solidFill>
                </w14:textFill>
              </w:rPr>
              <w:t>|||</w:t>
            </w:r>
            <w:r w:rsidR="001F60D7" w:rsidRPr="001F60D7">
              <w:rPr>
                <w:spacing w:val="1"/>
                <w:shd w:val="solid" w:color="000000" w:fill="000000"/>
                <w:fitText w:val="324" w:id="-629967602"/>
                <w:lang w:val="en-AU"/>
                <w14:textFill>
                  <w14:solidFill>
                    <w14:schemeClr w14:val="tx1">
                      <w14:alpha w14:val="100000"/>
                    </w14:schemeClr>
                  </w14:solidFill>
                </w14:textFill>
              </w:rPr>
              <w:t>|</w:t>
            </w:r>
            <w:r w:rsidR="004A5232" w:rsidRPr="004A5232">
              <w:rPr>
                <w:vertAlign w:val="superscript"/>
                <w:lang w:val="en-AU"/>
              </w:rPr>
              <w:t>1</w:t>
            </w:r>
          </w:p>
          <w:p w14:paraId="5DB76C09" w14:textId="77777A91" w:rsidR="002935ED" w:rsidRPr="00126A1B" w:rsidRDefault="002935ED" w:rsidP="00112265">
            <w:pPr>
              <w:pStyle w:val="TableText0"/>
              <w:rPr>
                <w:lang w:val="en-AU"/>
              </w:rPr>
            </w:pPr>
            <w:r w:rsidRPr="00126A1B">
              <w:rPr>
                <w:lang w:val="en-AU"/>
              </w:rPr>
              <w:t xml:space="preserve">Yr 5: </w:t>
            </w:r>
            <w:r w:rsidR="001F60D7" w:rsidRPr="001F60D7">
              <w:rPr>
                <w:spacing w:val="51"/>
                <w:shd w:val="solid" w:color="000000" w:fill="000000"/>
                <w:fitText w:val="324" w:id="-629967601"/>
                <w:lang w:val="en-AU"/>
                <w14:textFill>
                  <w14:solidFill>
                    <w14:schemeClr w14:val="tx1">
                      <w14:alpha w14:val="100000"/>
                    </w14:schemeClr>
                  </w14:solidFill>
                </w14:textFill>
              </w:rPr>
              <w:t>|||</w:t>
            </w:r>
            <w:r w:rsidR="001F60D7" w:rsidRPr="001F60D7">
              <w:rPr>
                <w:spacing w:val="1"/>
                <w:shd w:val="solid" w:color="000000" w:fill="000000"/>
                <w:fitText w:val="324" w:id="-629967601"/>
                <w:lang w:val="en-AU"/>
                <w14:textFill>
                  <w14:solidFill>
                    <w14:schemeClr w14:val="tx1">
                      <w14:alpha w14:val="100000"/>
                    </w14:schemeClr>
                  </w14:solidFill>
                </w14:textFill>
              </w:rPr>
              <w:t>|</w:t>
            </w:r>
            <w:r w:rsidR="004A5232" w:rsidRPr="004A5232">
              <w:rPr>
                <w:vertAlign w:val="superscript"/>
                <w:lang w:val="en-AU"/>
              </w:rPr>
              <w:t>1</w:t>
            </w:r>
          </w:p>
          <w:p w14:paraId="60B86BE3" w14:textId="307E2135" w:rsidR="002935ED" w:rsidRPr="00126A1B" w:rsidRDefault="002935ED" w:rsidP="00112265">
            <w:pPr>
              <w:pStyle w:val="TableText0"/>
              <w:rPr>
                <w:lang w:val="en-AU"/>
              </w:rPr>
            </w:pPr>
            <w:r w:rsidRPr="00126A1B">
              <w:rPr>
                <w:lang w:val="en-AU"/>
              </w:rPr>
              <w:t xml:space="preserve">Yr 6: </w:t>
            </w:r>
            <w:r w:rsidR="001F60D7" w:rsidRPr="001F60D7">
              <w:rPr>
                <w:spacing w:val="51"/>
                <w:shd w:val="solid" w:color="000000" w:fill="000000"/>
                <w:fitText w:val="324" w:id="-629967600"/>
                <w:lang w:val="en-AU"/>
                <w14:textFill>
                  <w14:solidFill>
                    <w14:schemeClr w14:val="tx1">
                      <w14:alpha w14:val="100000"/>
                    </w14:schemeClr>
                  </w14:solidFill>
                </w14:textFill>
              </w:rPr>
              <w:t>|||</w:t>
            </w:r>
            <w:r w:rsidR="001F60D7" w:rsidRPr="001F60D7">
              <w:rPr>
                <w:spacing w:val="1"/>
                <w:shd w:val="solid" w:color="000000" w:fill="000000"/>
                <w:fitText w:val="324" w:id="-629967600"/>
                <w:lang w:val="en-AU"/>
                <w14:textFill>
                  <w14:solidFill>
                    <w14:schemeClr w14:val="tx1">
                      <w14:alpha w14:val="100000"/>
                    </w14:schemeClr>
                  </w14:solidFill>
                </w14:textFill>
              </w:rPr>
              <w:t>|</w:t>
            </w:r>
            <w:r w:rsidR="004A5232" w:rsidRPr="004A5232">
              <w:rPr>
                <w:vertAlign w:val="superscript"/>
                <w:lang w:val="en-AU"/>
              </w:rPr>
              <w:t>1</w:t>
            </w:r>
          </w:p>
        </w:tc>
        <w:tc>
          <w:tcPr>
            <w:tcW w:w="932" w:type="pct"/>
            <w:gridSpan w:val="3"/>
            <w:tcBorders>
              <w:bottom w:val="single" w:sz="4" w:space="0" w:color="auto"/>
            </w:tcBorders>
            <w:tcMar>
              <w:left w:w="40" w:type="dxa"/>
              <w:right w:w="40" w:type="dxa"/>
            </w:tcMar>
          </w:tcPr>
          <w:p w14:paraId="1E0FBC68" w14:textId="77777777" w:rsidR="002935ED" w:rsidRPr="00126A1B" w:rsidRDefault="002935ED" w:rsidP="005338AC">
            <w:pPr>
              <w:pStyle w:val="TableText0"/>
              <w:rPr>
                <w:lang w:val="en-AU"/>
              </w:rPr>
            </w:pPr>
            <w:r w:rsidRPr="00126A1B">
              <w:rPr>
                <w:lang w:val="en-AU"/>
              </w:rPr>
              <w:t>Calculated based on Australian population estimates for people aged 12 and above (ABS, 2023. Population Projections, Australia).</w:t>
            </w:r>
          </w:p>
        </w:tc>
        <w:tc>
          <w:tcPr>
            <w:tcW w:w="1397" w:type="pct"/>
            <w:vMerge/>
            <w:tcBorders>
              <w:bottom w:val="single" w:sz="4" w:space="0" w:color="auto"/>
            </w:tcBorders>
            <w:tcMar>
              <w:left w:w="40" w:type="dxa"/>
              <w:right w:w="40" w:type="dxa"/>
            </w:tcMar>
          </w:tcPr>
          <w:p w14:paraId="5CBBAC8F" w14:textId="77777777" w:rsidR="002935ED" w:rsidRPr="00126A1B" w:rsidRDefault="002935ED" w:rsidP="00C615C7">
            <w:pPr>
              <w:pStyle w:val="TableText0"/>
              <w:rPr>
                <w:lang w:val="en-AU"/>
              </w:rPr>
            </w:pPr>
          </w:p>
        </w:tc>
        <w:tc>
          <w:tcPr>
            <w:tcW w:w="1210" w:type="pct"/>
            <w:vMerge/>
            <w:tcBorders>
              <w:bottom w:val="single" w:sz="4" w:space="0" w:color="auto"/>
            </w:tcBorders>
            <w:tcMar>
              <w:left w:w="40" w:type="dxa"/>
              <w:right w:w="40" w:type="dxa"/>
            </w:tcMar>
          </w:tcPr>
          <w:p w14:paraId="5C09202E" w14:textId="77777777" w:rsidR="002935ED" w:rsidRPr="00126A1B" w:rsidRDefault="002935ED" w:rsidP="00C615C7">
            <w:pPr>
              <w:pStyle w:val="TableText0"/>
              <w:rPr>
                <w:lang w:val="en-AU"/>
              </w:rPr>
            </w:pPr>
          </w:p>
        </w:tc>
      </w:tr>
      <w:tr w:rsidR="009B6D47" w:rsidRPr="00543517" w14:paraId="518E24F3" w14:textId="712A9248" w:rsidTr="005338AC">
        <w:tc>
          <w:tcPr>
            <w:tcW w:w="1329" w:type="pct"/>
            <w:gridSpan w:val="2"/>
            <w:tcBorders>
              <w:right w:val="nil"/>
            </w:tcBorders>
            <w:tcMar>
              <w:left w:w="40" w:type="dxa"/>
              <w:right w:w="40" w:type="dxa"/>
            </w:tcMar>
            <w:vAlign w:val="center"/>
          </w:tcPr>
          <w:p w14:paraId="27376DCC" w14:textId="77777777" w:rsidR="0088224C" w:rsidRPr="00543517" w:rsidRDefault="0088224C" w:rsidP="00112265">
            <w:pPr>
              <w:pStyle w:val="TableText0"/>
              <w:rPr>
                <w:b/>
                <w:bCs w:val="0"/>
                <w:lang w:val="en-AU"/>
              </w:rPr>
            </w:pPr>
            <w:r w:rsidRPr="00543517">
              <w:rPr>
                <w:b/>
                <w:bCs w:val="0"/>
                <w:lang w:val="en-AU"/>
              </w:rPr>
              <w:t>Treatment utilisation</w:t>
            </w:r>
          </w:p>
        </w:tc>
        <w:tc>
          <w:tcPr>
            <w:tcW w:w="3671" w:type="pct"/>
            <w:gridSpan w:val="6"/>
            <w:tcBorders>
              <w:left w:val="nil"/>
            </w:tcBorders>
            <w:tcMar>
              <w:left w:w="40" w:type="dxa"/>
              <w:right w:w="40" w:type="dxa"/>
            </w:tcMar>
          </w:tcPr>
          <w:p w14:paraId="093AD09E" w14:textId="1F2D4832" w:rsidR="009B6D47" w:rsidRPr="00543517" w:rsidRDefault="009B6D47" w:rsidP="005338AC">
            <w:pPr>
              <w:pStyle w:val="TableText0"/>
              <w:rPr>
                <w:b/>
                <w:bCs w:val="0"/>
                <w:lang w:val="en-AU"/>
              </w:rPr>
            </w:pPr>
          </w:p>
        </w:tc>
      </w:tr>
      <w:tr w:rsidR="009B6D47" w:rsidRPr="006562D8" w14:paraId="38D01BA2" w14:textId="1B6E0127" w:rsidTr="001526F4">
        <w:tc>
          <w:tcPr>
            <w:tcW w:w="663" w:type="pct"/>
            <w:tcMar>
              <w:left w:w="40" w:type="dxa"/>
              <w:right w:w="40" w:type="dxa"/>
            </w:tcMar>
            <w:vAlign w:val="center"/>
          </w:tcPr>
          <w:p w14:paraId="552C5B56" w14:textId="77777777" w:rsidR="009B6D47" w:rsidRPr="00126A1B" w:rsidRDefault="009B6D47" w:rsidP="00112265">
            <w:pPr>
              <w:pStyle w:val="TableText0"/>
              <w:rPr>
                <w:lang w:val="en-AU"/>
              </w:rPr>
            </w:pPr>
            <w:r w:rsidRPr="00126A1B">
              <w:rPr>
                <w:lang w:val="en-AU"/>
              </w:rPr>
              <w:t>Leniolisib uptake rate</w:t>
            </w:r>
          </w:p>
        </w:tc>
        <w:tc>
          <w:tcPr>
            <w:tcW w:w="798" w:type="pct"/>
            <w:gridSpan w:val="2"/>
            <w:tcMar>
              <w:left w:w="40" w:type="dxa"/>
              <w:right w:w="40" w:type="dxa"/>
            </w:tcMar>
            <w:vAlign w:val="center"/>
          </w:tcPr>
          <w:p w14:paraId="21B8E303" w14:textId="16427897" w:rsidR="009B6D47" w:rsidRPr="00126A1B" w:rsidRDefault="009B6D47" w:rsidP="00112265">
            <w:pPr>
              <w:pStyle w:val="TableText0"/>
              <w:rPr>
                <w:lang w:val="en-AU"/>
              </w:rPr>
            </w:pPr>
            <w:r w:rsidRPr="00126A1B">
              <w:rPr>
                <w:lang w:val="en-AU"/>
              </w:rPr>
              <w:t xml:space="preserve">Yr 1: </w:t>
            </w:r>
            <w:r w:rsidR="001F60D7" w:rsidRPr="001F60D7">
              <w:rPr>
                <w:spacing w:val="51"/>
                <w:shd w:val="solid" w:color="000000" w:fill="000000"/>
                <w:fitText w:val="324" w:id="-629967616"/>
                <w:lang w:val="en-AU"/>
                <w14:textFill>
                  <w14:solidFill>
                    <w14:schemeClr w14:val="tx1">
                      <w14:alpha w14:val="100000"/>
                    </w14:schemeClr>
                  </w14:solidFill>
                </w14:textFill>
              </w:rPr>
              <w:t>|||</w:t>
            </w:r>
            <w:r w:rsidR="001F60D7" w:rsidRPr="001F60D7">
              <w:rPr>
                <w:spacing w:val="1"/>
                <w:shd w:val="solid" w:color="000000" w:fill="000000"/>
                <w:fitText w:val="324" w:id="-629967616"/>
                <w:lang w:val="en-AU"/>
                <w14:textFill>
                  <w14:solidFill>
                    <w14:schemeClr w14:val="tx1">
                      <w14:alpha w14:val="100000"/>
                    </w14:schemeClr>
                  </w14:solidFill>
                </w14:textFill>
              </w:rPr>
              <w:t>|</w:t>
            </w:r>
            <w:r w:rsidRPr="00126A1B">
              <w:rPr>
                <w:lang w:val="en-AU"/>
              </w:rPr>
              <w:t>%</w:t>
            </w:r>
          </w:p>
          <w:p w14:paraId="4CE9ABBA" w14:textId="7C73F6DE" w:rsidR="009B6D47" w:rsidRPr="00126A1B" w:rsidRDefault="009B6D47" w:rsidP="00112265">
            <w:pPr>
              <w:pStyle w:val="TableText0"/>
              <w:rPr>
                <w:lang w:val="en-AU"/>
              </w:rPr>
            </w:pPr>
            <w:r w:rsidRPr="00126A1B">
              <w:rPr>
                <w:lang w:val="en-AU"/>
              </w:rPr>
              <w:t xml:space="preserve">Yr 2: </w:t>
            </w:r>
            <w:r w:rsidR="001F60D7" w:rsidRPr="001F60D7">
              <w:rPr>
                <w:spacing w:val="51"/>
                <w:shd w:val="solid" w:color="000000" w:fill="000000"/>
                <w:fitText w:val="324" w:id="-629967615"/>
                <w:lang w:val="en-AU"/>
                <w14:textFill>
                  <w14:solidFill>
                    <w14:schemeClr w14:val="tx1">
                      <w14:alpha w14:val="100000"/>
                    </w14:schemeClr>
                  </w14:solidFill>
                </w14:textFill>
              </w:rPr>
              <w:t>|||</w:t>
            </w:r>
            <w:r w:rsidR="001F60D7" w:rsidRPr="001F60D7">
              <w:rPr>
                <w:spacing w:val="1"/>
                <w:shd w:val="solid" w:color="000000" w:fill="000000"/>
                <w:fitText w:val="324" w:id="-629967615"/>
                <w:lang w:val="en-AU"/>
                <w14:textFill>
                  <w14:solidFill>
                    <w14:schemeClr w14:val="tx1">
                      <w14:alpha w14:val="100000"/>
                    </w14:schemeClr>
                  </w14:solidFill>
                </w14:textFill>
              </w:rPr>
              <w:t>|</w:t>
            </w:r>
            <w:r w:rsidRPr="00126A1B">
              <w:rPr>
                <w:lang w:val="en-AU"/>
              </w:rPr>
              <w:t>%</w:t>
            </w:r>
          </w:p>
          <w:p w14:paraId="3B6DDCE8" w14:textId="6BDD64E1" w:rsidR="009B6D47" w:rsidRPr="00126A1B" w:rsidRDefault="009B6D47" w:rsidP="00112265">
            <w:pPr>
              <w:pStyle w:val="TableText0"/>
              <w:rPr>
                <w:lang w:val="en-AU"/>
              </w:rPr>
            </w:pPr>
            <w:r w:rsidRPr="00126A1B">
              <w:rPr>
                <w:lang w:val="en-AU"/>
              </w:rPr>
              <w:t xml:space="preserve">Yr 3: </w:t>
            </w:r>
            <w:r w:rsidR="001F60D7" w:rsidRPr="001F60D7">
              <w:rPr>
                <w:spacing w:val="51"/>
                <w:shd w:val="solid" w:color="000000" w:fill="000000"/>
                <w:fitText w:val="324" w:id="-629967614"/>
                <w:lang w:val="en-AU"/>
                <w14:textFill>
                  <w14:solidFill>
                    <w14:schemeClr w14:val="tx1">
                      <w14:alpha w14:val="100000"/>
                    </w14:schemeClr>
                  </w14:solidFill>
                </w14:textFill>
              </w:rPr>
              <w:t>|||</w:t>
            </w:r>
            <w:r w:rsidR="001F60D7" w:rsidRPr="001F60D7">
              <w:rPr>
                <w:spacing w:val="1"/>
                <w:shd w:val="solid" w:color="000000" w:fill="000000"/>
                <w:fitText w:val="324" w:id="-629967614"/>
                <w:lang w:val="en-AU"/>
                <w14:textFill>
                  <w14:solidFill>
                    <w14:schemeClr w14:val="tx1">
                      <w14:alpha w14:val="100000"/>
                    </w14:schemeClr>
                  </w14:solidFill>
                </w14:textFill>
              </w:rPr>
              <w:t>|</w:t>
            </w:r>
            <w:r w:rsidRPr="00126A1B">
              <w:rPr>
                <w:lang w:val="en-AU"/>
              </w:rPr>
              <w:t>%</w:t>
            </w:r>
          </w:p>
          <w:p w14:paraId="00C07E10" w14:textId="31721835" w:rsidR="009B6D47" w:rsidRPr="00126A1B" w:rsidRDefault="009B6D47" w:rsidP="00112265">
            <w:pPr>
              <w:pStyle w:val="TableText0"/>
              <w:rPr>
                <w:lang w:val="en-AU"/>
              </w:rPr>
            </w:pPr>
            <w:r w:rsidRPr="00126A1B">
              <w:rPr>
                <w:lang w:val="en-AU"/>
              </w:rPr>
              <w:t xml:space="preserve">Yr 4: </w:t>
            </w:r>
            <w:r w:rsidR="001F60D7" w:rsidRPr="001F60D7">
              <w:rPr>
                <w:spacing w:val="51"/>
                <w:shd w:val="solid" w:color="000000" w:fill="000000"/>
                <w:fitText w:val="324" w:id="-629967613"/>
                <w:lang w:val="en-AU"/>
                <w14:textFill>
                  <w14:solidFill>
                    <w14:schemeClr w14:val="tx1">
                      <w14:alpha w14:val="100000"/>
                    </w14:schemeClr>
                  </w14:solidFill>
                </w14:textFill>
              </w:rPr>
              <w:t>|||</w:t>
            </w:r>
            <w:r w:rsidR="001F60D7" w:rsidRPr="001F60D7">
              <w:rPr>
                <w:spacing w:val="1"/>
                <w:shd w:val="solid" w:color="000000" w:fill="000000"/>
                <w:fitText w:val="324" w:id="-629967613"/>
                <w:lang w:val="en-AU"/>
                <w14:textFill>
                  <w14:solidFill>
                    <w14:schemeClr w14:val="tx1">
                      <w14:alpha w14:val="100000"/>
                    </w14:schemeClr>
                  </w14:solidFill>
                </w14:textFill>
              </w:rPr>
              <w:t>|</w:t>
            </w:r>
            <w:r w:rsidRPr="00126A1B">
              <w:rPr>
                <w:lang w:val="en-AU"/>
              </w:rPr>
              <w:t>%</w:t>
            </w:r>
          </w:p>
          <w:p w14:paraId="73B0CDC1" w14:textId="5E7391EA" w:rsidR="009B6D47" w:rsidRPr="00126A1B" w:rsidRDefault="009B6D47" w:rsidP="00112265">
            <w:pPr>
              <w:pStyle w:val="TableText0"/>
              <w:rPr>
                <w:lang w:val="en-AU"/>
              </w:rPr>
            </w:pPr>
            <w:r w:rsidRPr="00126A1B">
              <w:rPr>
                <w:lang w:val="en-AU"/>
              </w:rPr>
              <w:t xml:space="preserve">Yr 5: </w:t>
            </w:r>
            <w:r w:rsidR="001F60D7" w:rsidRPr="001F60D7">
              <w:rPr>
                <w:spacing w:val="51"/>
                <w:shd w:val="solid" w:color="000000" w:fill="000000"/>
                <w:fitText w:val="324" w:id="-629967612"/>
                <w:lang w:val="en-AU"/>
                <w14:textFill>
                  <w14:solidFill>
                    <w14:schemeClr w14:val="tx1">
                      <w14:alpha w14:val="100000"/>
                    </w14:schemeClr>
                  </w14:solidFill>
                </w14:textFill>
              </w:rPr>
              <w:t>|||</w:t>
            </w:r>
            <w:r w:rsidR="001F60D7" w:rsidRPr="001F60D7">
              <w:rPr>
                <w:spacing w:val="1"/>
                <w:shd w:val="solid" w:color="000000" w:fill="000000"/>
                <w:fitText w:val="324" w:id="-629967612"/>
                <w:lang w:val="en-AU"/>
                <w14:textFill>
                  <w14:solidFill>
                    <w14:schemeClr w14:val="tx1">
                      <w14:alpha w14:val="100000"/>
                    </w14:schemeClr>
                  </w14:solidFill>
                </w14:textFill>
              </w:rPr>
              <w:t>|</w:t>
            </w:r>
            <w:r w:rsidRPr="00126A1B">
              <w:rPr>
                <w:lang w:val="en-AU"/>
              </w:rPr>
              <w:t>%</w:t>
            </w:r>
          </w:p>
          <w:p w14:paraId="60D249D1" w14:textId="55B641AC" w:rsidR="009B6D47" w:rsidRPr="00126A1B" w:rsidRDefault="009B6D47" w:rsidP="00112265">
            <w:pPr>
              <w:pStyle w:val="TableText0"/>
              <w:rPr>
                <w:lang w:val="en-AU"/>
              </w:rPr>
            </w:pPr>
            <w:r w:rsidRPr="00126A1B">
              <w:rPr>
                <w:lang w:val="en-AU"/>
              </w:rPr>
              <w:t xml:space="preserve">Yr 6: </w:t>
            </w:r>
            <w:r w:rsidR="001F60D7" w:rsidRPr="001F60D7">
              <w:rPr>
                <w:spacing w:val="51"/>
                <w:shd w:val="solid" w:color="000000" w:fill="000000"/>
                <w:fitText w:val="324" w:id="-629967611"/>
                <w:lang w:val="en-AU"/>
                <w14:textFill>
                  <w14:solidFill>
                    <w14:schemeClr w14:val="tx1">
                      <w14:alpha w14:val="100000"/>
                    </w14:schemeClr>
                  </w14:solidFill>
                </w14:textFill>
              </w:rPr>
              <w:t>|||</w:t>
            </w:r>
            <w:r w:rsidR="001F60D7" w:rsidRPr="001F60D7">
              <w:rPr>
                <w:spacing w:val="1"/>
                <w:shd w:val="solid" w:color="000000" w:fill="000000"/>
                <w:fitText w:val="324" w:id="-629967611"/>
                <w:lang w:val="en-AU"/>
                <w14:textFill>
                  <w14:solidFill>
                    <w14:schemeClr w14:val="tx1">
                      <w14:alpha w14:val="100000"/>
                    </w14:schemeClr>
                  </w14:solidFill>
                </w14:textFill>
              </w:rPr>
              <w:t>|</w:t>
            </w:r>
            <w:r w:rsidRPr="00126A1B">
              <w:rPr>
                <w:lang w:val="en-AU"/>
              </w:rPr>
              <w:t>%</w:t>
            </w:r>
          </w:p>
        </w:tc>
        <w:tc>
          <w:tcPr>
            <w:tcW w:w="932" w:type="pct"/>
            <w:gridSpan w:val="3"/>
            <w:tcMar>
              <w:left w:w="40" w:type="dxa"/>
              <w:right w:w="40" w:type="dxa"/>
            </w:tcMar>
          </w:tcPr>
          <w:p w14:paraId="7E66C118" w14:textId="77777777" w:rsidR="009B6D47" w:rsidRPr="00126A1B" w:rsidRDefault="009B6D47" w:rsidP="005338AC">
            <w:pPr>
              <w:pStyle w:val="TableText0"/>
              <w:rPr>
                <w:lang w:val="en-AU"/>
              </w:rPr>
            </w:pPr>
            <w:r w:rsidRPr="00126A1B">
              <w:rPr>
                <w:lang w:val="en-AU"/>
              </w:rPr>
              <w:t>Commercial assumption based on expert clinician interviews in the UK.</w:t>
            </w:r>
          </w:p>
        </w:tc>
        <w:tc>
          <w:tcPr>
            <w:tcW w:w="1397" w:type="pct"/>
            <w:tcMar>
              <w:left w:w="40" w:type="dxa"/>
              <w:right w:w="40" w:type="dxa"/>
            </w:tcMar>
          </w:tcPr>
          <w:p w14:paraId="032836EF" w14:textId="1F6D4B12" w:rsidR="009B6D47" w:rsidRPr="00126A1B" w:rsidRDefault="009B6D47" w:rsidP="00C615C7">
            <w:pPr>
              <w:pStyle w:val="TableText0"/>
              <w:rPr>
                <w:lang w:val="en-AU"/>
              </w:rPr>
            </w:pPr>
            <w:r w:rsidRPr="00126A1B">
              <w:rPr>
                <w:lang w:val="en-AU"/>
              </w:rPr>
              <w:t>Uptake rates were applied only to newly diagnosed patients (or patients newly receiving leniolisib in year 1) and patients who don’t take up treatment in the year they are diagnosed are assumed to never consider leniolisib treatment in subsequent years.</w:t>
            </w:r>
          </w:p>
        </w:tc>
        <w:tc>
          <w:tcPr>
            <w:tcW w:w="1210" w:type="pct"/>
            <w:tcMar>
              <w:left w:w="40" w:type="dxa"/>
              <w:right w:w="40" w:type="dxa"/>
            </w:tcMar>
          </w:tcPr>
          <w:p w14:paraId="662EF18F" w14:textId="145BF6EE" w:rsidR="009B6D47" w:rsidRPr="008B433C" w:rsidRDefault="00902616" w:rsidP="00C615C7">
            <w:pPr>
              <w:pStyle w:val="TableText0"/>
              <w:rPr>
                <w:lang w:val="en-AU"/>
              </w:rPr>
            </w:pPr>
            <w:r w:rsidRPr="008B433C">
              <w:rPr>
                <w:lang w:val="en-AU"/>
              </w:rPr>
              <w:t xml:space="preserve">The Sub-Committees considered that </w:t>
            </w:r>
            <w:r w:rsidR="008E1EB4" w:rsidRPr="008B433C">
              <w:rPr>
                <w:lang w:val="en-AU"/>
              </w:rPr>
              <w:t xml:space="preserve">the </w:t>
            </w:r>
            <w:r w:rsidRPr="008B433C">
              <w:rPr>
                <w:lang w:val="en-AU"/>
              </w:rPr>
              <w:t>uptake rates for Australia</w:t>
            </w:r>
            <w:r w:rsidR="008E1EB4" w:rsidRPr="008B433C">
              <w:rPr>
                <w:lang w:val="en-AU"/>
              </w:rPr>
              <w:t xml:space="preserve"> would be similar</w:t>
            </w:r>
            <w:r w:rsidR="00CF2925">
              <w:rPr>
                <w:lang w:val="en-AU"/>
              </w:rPr>
              <w:t xml:space="preserve"> to UK values</w:t>
            </w:r>
            <w:r w:rsidR="008E1EB4" w:rsidRPr="008B433C">
              <w:rPr>
                <w:lang w:val="en-AU"/>
              </w:rPr>
              <w:t>.</w:t>
            </w:r>
          </w:p>
        </w:tc>
      </w:tr>
      <w:tr w:rsidR="009B6D47" w:rsidRPr="006562D8" w14:paraId="6240B725" w14:textId="72E14F21" w:rsidTr="001526F4">
        <w:tc>
          <w:tcPr>
            <w:tcW w:w="663" w:type="pct"/>
            <w:tcMar>
              <w:left w:w="40" w:type="dxa"/>
              <w:right w:w="40" w:type="dxa"/>
            </w:tcMar>
            <w:vAlign w:val="center"/>
          </w:tcPr>
          <w:p w14:paraId="483D0B58" w14:textId="77777777" w:rsidR="009B6D47" w:rsidRPr="00126A1B" w:rsidRDefault="009B6D47" w:rsidP="005338AC">
            <w:pPr>
              <w:pStyle w:val="TableText0"/>
              <w:rPr>
                <w:lang w:val="en-AU"/>
              </w:rPr>
            </w:pPr>
            <w:r w:rsidRPr="00126A1B">
              <w:rPr>
                <w:lang w:val="en-AU"/>
              </w:rPr>
              <w:t>Leniolisib discontinuation rate</w:t>
            </w:r>
          </w:p>
        </w:tc>
        <w:tc>
          <w:tcPr>
            <w:tcW w:w="798" w:type="pct"/>
            <w:gridSpan w:val="2"/>
            <w:tcMar>
              <w:left w:w="40" w:type="dxa"/>
              <w:right w:w="40" w:type="dxa"/>
            </w:tcMar>
            <w:vAlign w:val="center"/>
          </w:tcPr>
          <w:p w14:paraId="68E90B94" w14:textId="77777777" w:rsidR="009B6D47" w:rsidRPr="00126A1B" w:rsidRDefault="009B6D47" w:rsidP="00112265">
            <w:pPr>
              <w:pStyle w:val="TableText0"/>
              <w:rPr>
                <w:lang w:val="en-AU"/>
              </w:rPr>
            </w:pPr>
            <w:r w:rsidRPr="00126A1B">
              <w:rPr>
                <w:lang w:val="en-AU"/>
              </w:rPr>
              <w:t>2.55%</w:t>
            </w:r>
          </w:p>
        </w:tc>
        <w:tc>
          <w:tcPr>
            <w:tcW w:w="932" w:type="pct"/>
            <w:gridSpan w:val="3"/>
            <w:tcMar>
              <w:left w:w="40" w:type="dxa"/>
              <w:right w:w="40" w:type="dxa"/>
            </w:tcMar>
          </w:tcPr>
          <w:p w14:paraId="4F6E1A16" w14:textId="77777777" w:rsidR="009B6D47" w:rsidRPr="00126A1B" w:rsidRDefault="009B6D47" w:rsidP="005338AC">
            <w:pPr>
              <w:pStyle w:val="TableText0"/>
              <w:rPr>
                <w:lang w:val="en-AU"/>
              </w:rPr>
            </w:pPr>
            <w:r w:rsidRPr="00126A1B">
              <w:rPr>
                <w:lang w:val="en-AU"/>
              </w:rPr>
              <w:t>Study 2201E (May 2024 data cut), and the leniolisib EAP (28 Nov 2024 data cut)</w:t>
            </w:r>
          </w:p>
        </w:tc>
        <w:tc>
          <w:tcPr>
            <w:tcW w:w="1397" w:type="pct"/>
            <w:tcMar>
              <w:left w:w="40" w:type="dxa"/>
              <w:right w:w="40" w:type="dxa"/>
            </w:tcMar>
          </w:tcPr>
          <w:p w14:paraId="4DEB985B" w14:textId="22BB1355" w:rsidR="009B6D47" w:rsidRPr="00126A1B" w:rsidRDefault="009B6D47" w:rsidP="00C615C7">
            <w:pPr>
              <w:pStyle w:val="TableText0"/>
              <w:rPr>
                <w:lang w:val="en-AU"/>
              </w:rPr>
            </w:pPr>
            <w:r w:rsidRPr="00126A1B">
              <w:rPr>
                <w:lang w:val="en-AU"/>
              </w:rPr>
              <w:t xml:space="preserve">Magnitude consistent with the economic model but inappropriately only applied to new patients initiating leniolisib (incident patients in year 2-6 and prevalent patients in year 1) rather than an annual discontinuation rate, potentially leading to an overestimate in utilisation. Reinitiation was not considered in the financial estimates. </w:t>
            </w:r>
          </w:p>
        </w:tc>
        <w:tc>
          <w:tcPr>
            <w:tcW w:w="1210" w:type="pct"/>
            <w:tcMar>
              <w:left w:w="40" w:type="dxa"/>
              <w:right w:w="40" w:type="dxa"/>
            </w:tcMar>
          </w:tcPr>
          <w:p w14:paraId="48A5A5A4" w14:textId="1E26874A" w:rsidR="009B6D47" w:rsidRPr="008B433C" w:rsidRDefault="00CE77EF" w:rsidP="00C615C7">
            <w:pPr>
              <w:pStyle w:val="TableText0"/>
              <w:rPr>
                <w:szCs w:val="20"/>
                <w:lang w:val="en-AU"/>
              </w:rPr>
            </w:pPr>
            <w:r w:rsidRPr="008B433C">
              <w:rPr>
                <w:rFonts w:eastAsia="Times New Roman" w:cs="Arial"/>
                <w:bCs w:val="0"/>
                <w:color w:val="auto"/>
                <w:szCs w:val="20"/>
                <w:lang w:val="en-AU"/>
              </w:rPr>
              <w:t>The Sub-Committees considered that r</w:t>
            </w:r>
            <w:r w:rsidR="005E645C" w:rsidRPr="008B433C">
              <w:rPr>
                <w:rFonts w:eastAsia="Times New Roman" w:cs="Arial"/>
                <w:bCs w:val="0"/>
                <w:color w:val="auto"/>
                <w:szCs w:val="20"/>
                <w:lang w:val="en-AU"/>
              </w:rPr>
              <w:t>einitiation</w:t>
            </w:r>
            <w:r w:rsidRPr="008B433C">
              <w:rPr>
                <w:rFonts w:eastAsia="Times New Roman" w:cs="Arial"/>
                <w:bCs w:val="0"/>
                <w:color w:val="auto"/>
                <w:szCs w:val="20"/>
                <w:lang w:val="en-AU"/>
              </w:rPr>
              <w:t xml:space="preserve"> is</w:t>
            </w:r>
            <w:r w:rsidR="005E645C" w:rsidRPr="008B433C">
              <w:rPr>
                <w:rFonts w:eastAsia="Times New Roman" w:cs="Arial"/>
                <w:bCs w:val="0"/>
                <w:color w:val="auto"/>
                <w:szCs w:val="20"/>
                <w:lang w:val="en-AU"/>
              </w:rPr>
              <w:t xml:space="preserve"> likely</w:t>
            </w:r>
            <w:r w:rsidR="003C1F76" w:rsidRPr="008B433C">
              <w:rPr>
                <w:rFonts w:eastAsia="Times New Roman" w:cs="Arial"/>
                <w:bCs w:val="0"/>
                <w:color w:val="auto"/>
                <w:szCs w:val="20"/>
                <w:lang w:val="en-AU"/>
              </w:rPr>
              <w:t>.</w:t>
            </w:r>
          </w:p>
        </w:tc>
      </w:tr>
      <w:tr w:rsidR="009B6D47" w:rsidRPr="006562D8" w14:paraId="7F7B1D39" w14:textId="1FBFF753" w:rsidTr="001526F4">
        <w:tc>
          <w:tcPr>
            <w:tcW w:w="663" w:type="pct"/>
            <w:tcMar>
              <w:left w:w="40" w:type="dxa"/>
              <w:right w:w="40" w:type="dxa"/>
            </w:tcMar>
            <w:vAlign w:val="center"/>
          </w:tcPr>
          <w:p w14:paraId="070C1758" w14:textId="77777777" w:rsidR="009B6D47" w:rsidRPr="00126A1B" w:rsidRDefault="009B6D47" w:rsidP="005338AC">
            <w:pPr>
              <w:pStyle w:val="TableText0"/>
              <w:rPr>
                <w:lang w:val="en-AU"/>
              </w:rPr>
            </w:pPr>
            <w:r w:rsidRPr="00126A1B">
              <w:rPr>
                <w:lang w:val="en-AU"/>
              </w:rPr>
              <w:t>Duration of treatment if discontinued</w:t>
            </w:r>
          </w:p>
        </w:tc>
        <w:tc>
          <w:tcPr>
            <w:tcW w:w="798" w:type="pct"/>
            <w:gridSpan w:val="2"/>
            <w:tcMar>
              <w:left w:w="40" w:type="dxa"/>
              <w:right w:w="40" w:type="dxa"/>
            </w:tcMar>
            <w:vAlign w:val="center"/>
          </w:tcPr>
          <w:p w14:paraId="75E841F7" w14:textId="77777777" w:rsidR="009B6D47" w:rsidRPr="00126A1B" w:rsidRDefault="009B6D47" w:rsidP="00112265">
            <w:pPr>
              <w:pStyle w:val="TableText0"/>
              <w:rPr>
                <w:lang w:val="en-AU"/>
              </w:rPr>
            </w:pPr>
            <w:r w:rsidRPr="00126A1B">
              <w:rPr>
                <w:lang w:val="en-AU"/>
              </w:rPr>
              <w:t>50% of annual volume</w:t>
            </w:r>
          </w:p>
        </w:tc>
        <w:tc>
          <w:tcPr>
            <w:tcW w:w="932" w:type="pct"/>
            <w:gridSpan w:val="3"/>
            <w:tcMar>
              <w:left w:w="40" w:type="dxa"/>
              <w:right w:w="40" w:type="dxa"/>
            </w:tcMar>
          </w:tcPr>
          <w:p w14:paraId="6A378701" w14:textId="77777777" w:rsidR="009B6D47" w:rsidRPr="00126A1B" w:rsidRDefault="009B6D47" w:rsidP="005338AC">
            <w:pPr>
              <w:pStyle w:val="TableText0"/>
              <w:rPr>
                <w:lang w:val="en-AU"/>
              </w:rPr>
            </w:pPr>
            <w:r w:rsidRPr="00126A1B">
              <w:rPr>
                <w:lang w:val="en-AU"/>
              </w:rPr>
              <w:t>Assumption</w:t>
            </w:r>
          </w:p>
        </w:tc>
        <w:tc>
          <w:tcPr>
            <w:tcW w:w="1397" w:type="pct"/>
            <w:tcMar>
              <w:left w:w="40" w:type="dxa"/>
              <w:right w:w="40" w:type="dxa"/>
            </w:tcMar>
          </w:tcPr>
          <w:p w14:paraId="6F432F51" w14:textId="77777777" w:rsidR="009B6D47" w:rsidRPr="00126A1B" w:rsidDel="005D0492" w:rsidRDefault="009B6D47" w:rsidP="00C615C7">
            <w:pPr>
              <w:pStyle w:val="TableText0"/>
              <w:rPr>
                <w:lang w:val="en-AU"/>
              </w:rPr>
            </w:pPr>
            <w:r w:rsidRPr="00126A1B">
              <w:rPr>
                <w:lang w:val="en-AU"/>
              </w:rPr>
              <w:t xml:space="preserve">Consistent with half cycle correction assumption in financial model. </w:t>
            </w:r>
          </w:p>
        </w:tc>
        <w:tc>
          <w:tcPr>
            <w:tcW w:w="1210" w:type="pct"/>
            <w:tcMar>
              <w:left w:w="40" w:type="dxa"/>
              <w:right w:w="40" w:type="dxa"/>
            </w:tcMar>
          </w:tcPr>
          <w:p w14:paraId="227FE752" w14:textId="7FEC8DB8" w:rsidR="009B6D47" w:rsidRPr="008B433C" w:rsidRDefault="00416671" w:rsidP="00C615C7">
            <w:pPr>
              <w:pStyle w:val="TableText0"/>
              <w:rPr>
                <w:lang w:val="en-AU"/>
              </w:rPr>
            </w:pPr>
            <w:r w:rsidRPr="008B433C">
              <w:rPr>
                <w:lang w:val="en-AU"/>
              </w:rPr>
              <w:t xml:space="preserve">The Sub-Committees </w:t>
            </w:r>
            <w:r w:rsidR="002B39EA" w:rsidRPr="008B433C">
              <w:rPr>
                <w:lang w:val="en-AU"/>
              </w:rPr>
              <w:t>noted</w:t>
            </w:r>
            <w:r w:rsidRPr="008B433C">
              <w:rPr>
                <w:lang w:val="en-AU"/>
              </w:rPr>
              <w:t xml:space="preserve"> this </w:t>
            </w:r>
            <w:r w:rsidR="002B39EA" w:rsidRPr="008B433C">
              <w:rPr>
                <w:lang w:val="en-AU"/>
              </w:rPr>
              <w:t>assumption</w:t>
            </w:r>
            <w:r w:rsidRPr="008B433C">
              <w:rPr>
                <w:lang w:val="en-AU"/>
              </w:rPr>
              <w:t>.</w:t>
            </w:r>
          </w:p>
        </w:tc>
      </w:tr>
      <w:tr w:rsidR="009B6D47" w:rsidRPr="006562D8" w14:paraId="730990F9" w14:textId="71E1B443" w:rsidTr="001526F4">
        <w:tc>
          <w:tcPr>
            <w:tcW w:w="663" w:type="pct"/>
            <w:tcMar>
              <w:left w:w="40" w:type="dxa"/>
              <w:right w:w="40" w:type="dxa"/>
            </w:tcMar>
            <w:vAlign w:val="center"/>
          </w:tcPr>
          <w:p w14:paraId="311D1C01" w14:textId="77777777" w:rsidR="009B6D47" w:rsidRPr="00126A1B" w:rsidRDefault="009B6D47" w:rsidP="00112265">
            <w:pPr>
              <w:pStyle w:val="TableText0"/>
              <w:rPr>
                <w:lang w:val="en-AU"/>
              </w:rPr>
            </w:pPr>
            <w:r w:rsidRPr="00126A1B">
              <w:rPr>
                <w:lang w:val="en-AU"/>
              </w:rPr>
              <w:t>Proportion of calendar year leniolisib is PBS listed</w:t>
            </w:r>
          </w:p>
        </w:tc>
        <w:tc>
          <w:tcPr>
            <w:tcW w:w="798" w:type="pct"/>
            <w:gridSpan w:val="2"/>
            <w:tcMar>
              <w:left w:w="40" w:type="dxa"/>
              <w:right w:w="40" w:type="dxa"/>
            </w:tcMar>
            <w:vAlign w:val="center"/>
          </w:tcPr>
          <w:p w14:paraId="44C8156D" w14:textId="77777777" w:rsidR="009B6D47" w:rsidRPr="00126A1B" w:rsidRDefault="009B6D47" w:rsidP="00112265">
            <w:pPr>
              <w:pStyle w:val="TableText0"/>
              <w:rPr>
                <w:lang w:val="en-AU"/>
              </w:rPr>
            </w:pPr>
            <w:r w:rsidRPr="00126A1B">
              <w:rPr>
                <w:lang w:val="en-AU"/>
              </w:rPr>
              <w:t>Yr 1: 50%</w:t>
            </w:r>
          </w:p>
          <w:p w14:paraId="4AEABFE1" w14:textId="77777777" w:rsidR="009B6D47" w:rsidRPr="00126A1B" w:rsidRDefault="009B6D47" w:rsidP="00112265">
            <w:pPr>
              <w:pStyle w:val="TableText0"/>
              <w:rPr>
                <w:lang w:val="en-AU"/>
              </w:rPr>
            </w:pPr>
            <w:r w:rsidRPr="00126A1B">
              <w:rPr>
                <w:lang w:val="en-AU"/>
              </w:rPr>
              <w:t>Yr 2+: 100%</w:t>
            </w:r>
          </w:p>
        </w:tc>
        <w:tc>
          <w:tcPr>
            <w:tcW w:w="932" w:type="pct"/>
            <w:gridSpan w:val="3"/>
            <w:tcMar>
              <w:left w:w="40" w:type="dxa"/>
              <w:right w:w="40" w:type="dxa"/>
            </w:tcMar>
          </w:tcPr>
          <w:p w14:paraId="2ACFE6F1" w14:textId="77777777" w:rsidR="009B6D47" w:rsidRPr="00126A1B" w:rsidRDefault="009B6D47" w:rsidP="005338AC">
            <w:pPr>
              <w:pStyle w:val="TableText0"/>
              <w:rPr>
                <w:lang w:val="en-AU"/>
              </w:rPr>
            </w:pPr>
            <w:r w:rsidRPr="00126A1B">
              <w:rPr>
                <w:lang w:val="en-AU"/>
              </w:rPr>
              <w:t>Assumption that leniolisib would be listed on the PBS in July 2026.</w:t>
            </w:r>
          </w:p>
        </w:tc>
        <w:tc>
          <w:tcPr>
            <w:tcW w:w="1397" w:type="pct"/>
            <w:tcMar>
              <w:left w:w="40" w:type="dxa"/>
              <w:right w:w="40" w:type="dxa"/>
            </w:tcMar>
          </w:tcPr>
          <w:p w14:paraId="04DB7AFB" w14:textId="7AD2CBE3" w:rsidR="009B6D47" w:rsidRPr="00126A1B" w:rsidRDefault="009B6D47" w:rsidP="00C615C7">
            <w:pPr>
              <w:pStyle w:val="TableText0"/>
              <w:rPr>
                <w:lang w:val="en-AU"/>
              </w:rPr>
            </w:pPr>
            <w:r w:rsidRPr="00126A1B">
              <w:rPr>
                <w:lang w:val="en-AU"/>
              </w:rPr>
              <w:t>Unclear if appropriate. This would result in patients who discontinue in first year receiving only 25% (50% × 50%) of the number of packs for a year, which may be an underestimate</w:t>
            </w:r>
            <w:r w:rsidR="0053500C">
              <w:rPr>
                <w:lang w:val="en-AU"/>
              </w:rPr>
              <w:t>.</w:t>
            </w:r>
          </w:p>
        </w:tc>
        <w:tc>
          <w:tcPr>
            <w:tcW w:w="1210" w:type="pct"/>
            <w:tcMar>
              <w:left w:w="40" w:type="dxa"/>
              <w:right w:w="40" w:type="dxa"/>
            </w:tcMar>
          </w:tcPr>
          <w:p w14:paraId="7ACD6DF1" w14:textId="0AB044A7" w:rsidR="009B6D47" w:rsidRPr="008B433C" w:rsidRDefault="009572C8" w:rsidP="00C615C7">
            <w:pPr>
              <w:pStyle w:val="TableText0"/>
              <w:rPr>
                <w:lang w:val="en-AU"/>
              </w:rPr>
            </w:pPr>
            <w:r w:rsidRPr="008B433C">
              <w:rPr>
                <w:lang w:val="en-AU"/>
              </w:rPr>
              <w:t xml:space="preserve">The Sub-Committees considered that </w:t>
            </w:r>
            <w:r w:rsidR="0085638F" w:rsidRPr="008B433C">
              <w:rPr>
                <w:lang w:val="en-AU"/>
              </w:rPr>
              <w:t xml:space="preserve">the estimate for </w:t>
            </w:r>
            <w:r w:rsidR="000903CE" w:rsidRPr="008B433C">
              <w:rPr>
                <w:lang w:val="en-AU"/>
              </w:rPr>
              <w:t>year 1 was an underestimate.</w:t>
            </w:r>
          </w:p>
        </w:tc>
      </w:tr>
      <w:tr w:rsidR="009B6D47" w:rsidRPr="006562D8" w14:paraId="30EC99F3" w14:textId="2F04C475" w:rsidTr="001526F4">
        <w:tc>
          <w:tcPr>
            <w:tcW w:w="663" w:type="pct"/>
            <w:tcMar>
              <w:left w:w="40" w:type="dxa"/>
              <w:right w:w="40" w:type="dxa"/>
            </w:tcMar>
            <w:vAlign w:val="center"/>
          </w:tcPr>
          <w:p w14:paraId="510B9D96" w14:textId="77777777" w:rsidR="009B6D47" w:rsidRPr="00126A1B" w:rsidRDefault="009B6D47" w:rsidP="00112265">
            <w:pPr>
              <w:pStyle w:val="TableText0"/>
              <w:rPr>
                <w:lang w:val="en-AU"/>
              </w:rPr>
            </w:pPr>
            <w:r w:rsidRPr="00126A1B">
              <w:rPr>
                <w:lang w:val="en-AU"/>
              </w:rPr>
              <w:t>Leniolisib persistence rate</w:t>
            </w:r>
          </w:p>
        </w:tc>
        <w:tc>
          <w:tcPr>
            <w:tcW w:w="798" w:type="pct"/>
            <w:gridSpan w:val="2"/>
            <w:tcMar>
              <w:left w:w="40" w:type="dxa"/>
              <w:right w:w="40" w:type="dxa"/>
            </w:tcMar>
            <w:vAlign w:val="center"/>
          </w:tcPr>
          <w:p w14:paraId="45A96A85" w14:textId="77777777" w:rsidR="009B6D47" w:rsidRPr="00126A1B" w:rsidRDefault="009B6D47" w:rsidP="00112265">
            <w:pPr>
              <w:pStyle w:val="TableText0"/>
              <w:rPr>
                <w:lang w:val="en-AU"/>
              </w:rPr>
            </w:pPr>
            <w:r w:rsidRPr="00126A1B">
              <w:rPr>
                <w:lang w:val="en-AU"/>
              </w:rPr>
              <w:t>100%</w:t>
            </w:r>
          </w:p>
        </w:tc>
        <w:tc>
          <w:tcPr>
            <w:tcW w:w="932" w:type="pct"/>
            <w:gridSpan w:val="3"/>
            <w:tcMar>
              <w:left w:w="40" w:type="dxa"/>
              <w:right w:w="40" w:type="dxa"/>
            </w:tcMar>
          </w:tcPr>
          <w:p w14:paraId="0F6840CB" w14:textId="77777777" w:rsidR="009B6D47" w:rsidRPr="00126A1B" w:rsidRDefault="009B6D47" w:rsidP="005338AC">
            <w:pPr>
              <w:pStyle w:val="TableText0"/>
              <w:rPr>
                <w:lang w:val="en-AU"/>
              </w:rPr>
            </w:pPr>
            <w:r w:rsidRPr="00126A1B">
              <w:rPr>
                <w:lang w:val="en-AU"/>
              </w:rPr>
              <w:t>Persistence to therapy exhibited in Study 2201 Part II and Study 2201E1 and the international EAP.</w:t>
            </w:r>
          </w:p>
        </w:tc>
        <w:tc>
          <w:tcPr>
            <w:tcW w:w="1397" w:type="pct"/>
            <w:tcMar>
              <w:left w:w="40" w:type="dxa"/>
              <w:right w:w="40" w:type="dxa"/>
            </w:tcMar>
          </w:tcPr>
          <w:p w14:paraId="2D8A625F" w14:textId="77777777" w:rsidR="009B6D47" w:rsidRPr="00126A1B" w:rsidRDefault="009B6D47" w:rsidP="00C615C7">
            <w:pPr>
              <w:pStyle w:val="TableText0"/>
              <w:rPr>
                <w:lang w:val="en-AU"/>
              </w:rPr>
            </w:pPr>
            <w:r w:rsidRPr="00126A1B">
              <w:rPr>
                <w:lang w:val="en-AU"/>
              </w:rPr>
              <w:t>Reasonable. Consistent with economic model.</w:t>
            </w:r>
          </w:p>
        </w:tc>
        <w:tc>
          <w:tcPr>
            <w:tcW w:w="1210" w:type="pct"/>
            <w:tcMar>
              <w:left w:w="40" w:type="dxa"/>
              <w:right w:w="40" w:type="dxa"/>
            </w:tcMar>
          </w:tcPr>
          <w:p w14:paraId="64F17A51" w14:textId="5CA82552" w:rsidR="009B6D47" w:rsidRPr="008B433C" w:rsidRDefault="00B535CB" w:rsidP="00C615C7">
            <w:pPr>
              <w:pStyle w:val="TableText0"/>
              <w:rPr>
                <w:lang w:val="en-AU"/>
              </w:rPr>
            </w:pPr>
            <w:r w:rsidRPr="008B433C">
              <w:rPr>
                <w:lang w:val="en-AU"/>
              </w:rPr>
              <w:t xml:space="preserve">The Sub-Committees </w:t>
            </w:r>
            <w:r w:rsidR="0016379D" w:rsidRPr="008B433C">
              <w:rPr>
                <w:lang w:val="en-AU"/>
              </w:rPr>
              <w:t>noted</w:t>
            </w:r>
            <w:r w:rsidRPr="008B433C">
              <w:rPr>
                <w:lang w:val="en-AU"/>
              </w:rPr>
              <w:t xml:space="preserve"> that s</w:t>
            </w:r>
            <w:r w:rsidR="00F967AE" w:rsidRPr="008B433C">
              <w:rPr>
                <w:lang w:val="en-AU"/>
              </w:rPr>
              <w:t>ymptoms may return rapidly for people who are less adherent,</w:t>
            </w:r>
            <w:r w:rsidR="0016379D" w:rsidRPr="008B433C">
              <w:rPr>
                <w:lang w:val="en-AU"/>
              </w:rPr>
              <w:t xml:space="preserve"> and</w:t>
            </w:r>
            <w:r w:rsidR="00F967AE" w:rsidRPr="008B433C">
              <w:rPr>
                <w:lang w:val="en-AU"/>
              </w:rPr>
              <w:t xml:space="preserve"> that high adherence is common in clinical trials. </w:t>
            </w:r>
            <w:r w:rsidR="0053500C">
              <w:rPr>
                <w:lang w:val="en-AU"/>
              </w:rPr>
              <w:t>However, t</w:t>
            </w:r>
            <w:r w:rsidR="009237D2" w:rsidRPr="008B433C">
              <w:rPr>
                <w:lang w:val="en-AU"/>
              </w:rPr>
              <w:t>he Sub-Committees considered the</w:t>
            </w:r>
            <w:r w:rsidR="00AB0A63" w:rsidRPr="008B433C">
              <w:rPr>
                <w:lang w:val="en-AU"/>
              </w:rPr>
              <w:t>re is</w:t>
            </w:r>
            <w:r w:rsidR="009237D2" w:rsidRPr="008B433C">
              <w:rPr>
                <w:lang w:val="en-AU"/>
              </w:rPr>
              <w:t xml:space="preserve"> p</w:t>
            </w:r>
            <w:r w:rsidR="00F967AE" w:rsidRPr="008B433C">
              <w:rPr>
                <w:lang w:val="en-AU"/>
              </w:rPr>
              <w:t xml:space="preserve">otential that the high adherence </w:t>
            </w:r>
            <w:r w:rsidR="00AB0A63" w:rsidRPr="008B433C">
              <w:rPr>
                <w:lang w:val="en-AU"/>
              </w:rPr>
              <w:t xml:space="preserve">rate </w:t>
            </w:r>
            <w:r w:rsidR="00F967AE" w:rsidRPr="008B433C">
              <w:rPr>
                <w:lang w:val="en-AU"/>
              </w:rPr>
              <w:t>assumed may be an overestimation</w:t>
            </w:r>
            <w:r w:rsidR="00B56711">
              <w:rPr>
                <w:lang w:val="en-AU"/>
              </w:rPr>
              <w:t>.</w:t>
            </w:r>
          </w:p>
        </w:tc>
      </w:tr>
      <w:tr w:rsidR="009B6D47" w:rsidRPr="006562D8" w14:paraId="7E45FF3A" w14:textId="4564BF7C" w:rsidTr="001526F4">
        <w:tc>
          <w:tcPr>
            <w:tcW w:w="663" w:type="pct"/>
            <w:tcBorders>
              <w:bottom w:val="single" w:sz="4" w:space="0" w:color="auto"/>
            </w:tcBorders>
            <w:tcMar>
              <w:left w:w="40" w:type="dxa"/>
              <w:right w:w="40" w:type="dxa"/>
            </w:tcMar>
            <w:vAlign w:val="center"/>
          </w:tcPr>
          <w:p w14:paraId="7FDAC508" w14:textId="77777777" w:rsidR="009B6D47" w:rsidRPr="00126A1B" w:rsidRDefault="009B6D47" w:rsidP="00112265">
            <w:pPr>
              <w:pStyle w:val="TableText0"/>
              <w:rPr>
                <w:lang w:val="en-AU"/>
              </w:rPr>
            </w:pPr>
            <w:r w:rsidRPr="00126A1B">
              <w:rPr>
                <w:lang w:val="en-AU"/>
              </w:rPr>
              <w:t>Reduction in PBS item treatments due to leniolisib treatment</w:t>
            </w:r>
          </w:p>
        </w:tc>
        <w:tc>
          <w:tcPr>
            <w:tcW w:w="798" w:type="pct"/>
            <w:gridSpan w:val="2"/>
            <w:tcBorders>
              <w:bottom w:val="single" w:sz="4" w:space="0" w:color="auto"/>
            </w:tcBorders>
            <w:tcMar>
              <w:left w:w="40" w:type="dxa"/>
              <w:right w:w="40" w:type="dxa"/>
            </w:tcMar>
            <w:vAlign w:val="center"/>
          </w:tcPr>
          <w:p w14:paraId="06C5C83C" w14:textId="77777777" w:rsidR="009B6D47" w:rsidRPr="00126A1B" w:rsidRDefault="009B6D47" w:rsidP="00112265">
            <w:pPr>
              <w:pStyle w:val="TableText0"/>
              <w:rPr>
                <w:lang w:val="en-AU"/>
              </w:rPr>
            </w:pPr>
            <w:r w:rsidRPr="00126A1B">
              <w:rPr>
                <w:lang w:val="en-AU"/>
              </w:rPr>
              <w:t>50% for GI manifestations, bronchiectasis associated airway disease and advance lung disease</w:t>
            </w:r>
          </w:p>
        </w:tc>
        <w:tc>
          <w:tcPr>
            <w:tcW w:w="932" w:type="pct"/>
            <w:gridSpan w:val="3"/>
            <w:tcBorders>
              <w:bottom w:val="single" w:sz="4" w:space="0" w:color="auto"/>
            </w:tcBorders>
            <w:tcMar>
              <w:left w:w="40" w:type="dxa"/>
              <w:right w:w="40" w:type="dxa"/>
            </w:tcMar>
          </w:tcPr>
          <w:p w14:paraId="6C9F50E1" w14:textId="77777777" w:rsidR="009B6D47" w:rsidRPr="00126A1B" w:rsidRDefault="009B6D47" w:rsidP="005338AC">
            <w:pPr>
              <w:pStyle w:val="TableText0"/>
              <w:rPr>
                <w:lang w:val="en-AU"/>
              </w:rPr>
            </w:pPr>
            <w:r w:rsidRPr="00126A1B">
              <w:rPr>
                <w:lang w:val="en-AU"/>
              </w:rPr>
              <w:t>Assumption</w:t>
            </w:r>
          </w:p>
        </w:tc>
        <w:tc>
          <w:tcPr>
            <w:tcW w:w="1397" w:type="pct"/>
            <w:tcBorders>
              <w:bottom w:val="single" w:sz="4" w:space="0" w:color="auto"/>
            </w:tcBorders>
            <w:tcMar>
              <w:left w:w="40" w:type="dxa"/>
              <w:right w:w="40" w:type="dxa"/>
            </w:tcMar>
          </w:tcPr>
          <w:p w14:paraId="36EEB296" w14:textId="77777777" w:rsidR="009B6D47" w:rsidRPr="00126A1B" w:rsidRDefault="009B6D47" w:rsidP="00C615C7">
            <w:pPr>
              <w:pStyle w:val="TableText0"/>
              <w:rPr>
                <w:lang w:val="en-AU"/>
              </w:rPr>
            </w:pPr>
            <w:r w:rsidRPr="00126A1B">
              <w:rPr>
                <w:lang w:val="en-AU"/>
              </w:rPr>
              <w:t>It was unclear if this was reasonable, however was consistent with the economic model assumptions.</w:t>
            </w:r>
          </w:p>
        </w:tc>
        <w:tc>
          <w:tcPr>
            <w:tcW w:w="1210" w:type="pct"/>
            <w:tcBorders>
              <w:bottom w:val="single" w:sz="4" w:space="0" w:color="auto"/>
            </w:tcBorders>
            <w:tcMar>
              <w:left w:w="40" w:type="dxa"/>
              <w:right w:w="40" w:type="dxa"/>
            </w:tcMar>
          </w:tcPr>
          <w:p w14:paraId="4512D08A" w14:textId="138F781B" w:rsidR="009B6D47" w:rsidRPr="008B433C" w:rsidRDefault="00464CDC" w:rsidP="00C615C7">
            <w:pPr>
              <w:pStyle w:val="TableText0"/>
              <w:rPr>
                <w:lang w:val="en-AU"/>
              </w:rPr>
            </w:pPr>
            <w:r w:rsidRPr="008B433C">
              <w:rPr>
                <w:lang w:val="en-AU"/>
              </w:rPr>
              <w:t>The Sub-Committees considered that th</w:t>
            </w:r>
            <w:r w:rsidR="009B157D" w:rsidRPr="008B433C">
              <w:rPr>
                <w:lang w:val="en-AU"/>
              </w:rPr>
              <w:t>ese estimates are uncertain.</w:t>
            </w:r>
          </w:p>
        </w:tc>
      </w:tr>
      <w:tr w:rsidR="009B6D47" w:rsidRPr="001526F4" w14:paraId="3D45F573" w14:textId="4A400975" w:rsidTr="005338AC">
        <w:tc>
          <w:tcPr>
            <w:tcW w:w="663" w:type="pct"/>
            <w:tcBorders>
              <w:right w:val="nil"/>
            </w:tcBorders>
            <w:tcMar>
              <w:left w:w="40" w:type="dxa"/>
              <w:right w:w="40" w:type="dxa"/>
            </w:tcMar>
            <w:vAlign w:val="center"/>
          </w:tcPr>
          <w:p w14:paraId="56523256" w14:textId="77777777" w:rsidR="00A03C98" w:rsidRPr="001526F4" w:rsidRDefault="00A03C98" w:rsidP="00112265">
            <w:pPr>
              <w:pStyle w:val="TableText0"/>
              <w:rPr>
                <w:b/>
                <w:bCs w:val="0"/>
                <w:lang w:val="en-AU"/>
              </w:rPr>
            </w:pPr>
            <w:r w:rsidRPr="001526F4">
              <w:rPr>
                <w:b/>
                <w:bCs w:val="0"/>
                <w:lang w:val="en-AU"/>
              </w:rPr>
              <w:t>Costs</w:t>
            </w:r>
          </w:p>
        </w:tc>
        <w:tc>
          <w:tcPr>
            <w:tcW w:w="4337" w:type="pct"/>
            <w:gridSpan w:val="7"/>
            <w:tcBorders>
              <w:left w:val="nil"/>
            </w:tcBorders>
            <w:tcMar>
              <w:left w:w="40" w:type="dxa"/>
              <w:right w:w="40" w:type="dxa"/>
            </w:tcMar>
          </w:tcPr>
          <w:p w14:paraId="15B7B941" w14:textId="056A33CF" w:rsidR="009B6D47" w:rsidRPr="001526F4" w:rsidRDefault="009B6D47" w:rsidP="005338AC">
            <w:pPr>
              <w:pStyle w:val="TableText0"/>
              <w:rPr>
                <w:b/>
                <w:bCs w:val="0"/>
                <w:lang w:val="en-AU"/>
              </w:rPr>
            </w:pPr>
          </w:p>
        </w:tc>
      </w:tr>
      <w:tr w:rsidR="00DC33F1" w:rsidRPr="006562D8" w14:paraId="2C32E645" w14:textId="5F4720C7" w:rsidTr="001526F4">
        <w:tc>
          <w:tcPr>
            <w:tcW w:w="663" w:type="pct"/>
            <w:tcMar>
              <w:left w:w="40" w:type="dxa"/>
              <w:right w:w="40" w:type="dxa"/>
            </w:tcMar>
            <w:vAlign w:val="center"/>
          </w:tcPr>
          <w:p w14:paraId="3FE61D6F" w14:textId="77777777" w:rsidR="00DC33F1" w:rsidRPr="00126A1B" w:rsidRDefault="00DC33F1" w:rsidP="00112265">
            <w:pPr>
              <w:pStyle w:val="TableText0"/>
              <w:rPr>
                <w:lang w:val="en-AU"/>
              </w:rPr>
            </w:pPr>
            <w:r w:rsidRPr="00126A1B">
              <w:rPr>
                <w:lang w:val="en-AU"/>
              </w:rPr>
              <w:t>Leniolisib</w:t>
            </w:r>
          </w:p>
        </w:tc>
        <w:tc>
          <w:tcPr>
            <w:tcW w:w="798" w:type="pct"/>
            <w:gridSpan w:val="2"/>
            <w:tcMar>
              <w:left w:w="40" w:type="dxa"/>
              <w:right w:w="40" w:type="dxa"/>
            </w:tcMar>
            <w:vAlign w:val="center"/>
          </w:tcPr>
          <w:p w14:paraId="7A04114C" w14:textId="5AAB6EC9" w:rsidR="00DC33F1" w:rsidRPr="00126A1B" w:rsidRDefault="00DC33F1" w:rsidP="00112265">
            <w:pPr>
              <w:pStyle w:val="TableText0"/>
              <w:rPr>
                <w:lang w:val="en-AU"/>
              </w:rPr>
            </w:pPr>
            <w:r w:rsidRPr="00126A1B">
              <w:rPr>
                <w:lang w:val="en-AU"/>
              </w:rPr>
              <w:t>$</w:t>
            </w:r>
            <w:r w:rsidR="001F60D7" w:rsidRPr="001F60D7">
              <w:rPr>
                <w:spacing w:val="51"/>
                <w:shd w:val="solid" w:color="000000" w:fill="000000"/>
                <w:fitText w:val="324" w:id="-629967610"/>
                <w:lang w:val="en-AU"/>
                <w14:textFill>
                  <w14:solidFill>
                    <w14:schemeClr w14:val="tx1">
                      <w14:alpha w14:val="100000"/>
                    </w14:schemeClr>
                  </w14:solidFill>
                </w14:textFill>
              </w:rPr>
              <w:t>|||</w:t>
            </w:r>
            <w:r w:rsidR="001F60D7" w:rsidRPr="001F60D7">
              <w:rPr>
                <w:spacing w:val="1"/>
                <w:shd w:val="solid" w:color="000000" w:fill="000000"/>
                <w:fitText w:val="324" w:id="-629967610"/>
                <w:lang w:val="en-AU"/>
                <w14:textFill>
                  <w14:solidFill>
                    <w14:schemeClr w14:val="tx1">
                      <w14:alpha w14:val="100000"/>
                    </w14:schemeClr>
                  </w14:solidFill>
                </w14:textFill>
              </w:rPr>
              <w:t>|</w:t>
            </w:r>
          </w:p>
        </w:tc>
        <w:tc>
          <w:tcPr>
            <w:tcW w:w="932" w:type="pct"/>
            <w:gridSpan w:val="3"/>
            <w:tcMar>
              <w:left w:w="40" w:type="dxa"/>
              <w:right w:w="40" w:type="dxa"/>
            </w:tcMar>
          </w:tcPr>
          <w:p w14:paraId="091898FC" w14:textId="308BEB19" w:rsidR="00DC33F1" w:rsidRPr="00126A1B" w:rsidRDefault="00DC33F1" w:rsidP="005338AC">
            <w:pPr>
              <w:pStyle w:val="TableText0"/>
              <w:rPr>
                <w:lang w:val="en-AU"/>
              </w:rPr>
            </w:pPr>
            <w:r w:rsidRPr="00126A1B">
              <w:rPr>
                <w:lang w:val="en-AU"/>
              </w:rPr>
              <w:t xml:space="preserve">Requested price </w:t>
            </w:r>
          </w:p>
        </w:tc>
        <w:tc>
          <w:tcPr>
            <w:tcW w:w="1397" w:type="pct"/>
            <w:tcMar>
              <w:left w:w="40" w:type="dxa"/>
              <w:right w:w="40" w:type="dxa"/>
            </w:tcMar>
          </w:tcPr>
          <w:p w14:paraId="0FB19F24" w14:textId="77777777" w:rsidR="00DC33F1" w:rsidRPr="00126A1B" w:rsidRDefault="00DC33F1" w:rsidP="00C615C7">
            <w:pPr>
              <w:pStyle w:val="TableText0"/>
              <w:rPr>
                <w:lang w:val="en-AU"/>
              </w:rPr>
            </w:pPr>
            <w:r w:rsidRPr="00126A1B">
              <w:rPr>
                <w:lang w:val="en-AU"/>
              </w:rPr>
              <w:t>Consistent with requested listing price</w:t>
            </w:r>
          </w:p>
        </w:tc>
        <w:tc>
          <w:tcPr>
            <w:tcW w:w="1210" w:type="pct"/>
            <w:vMerge w:val="restart"/>
            <w:tcMar>
              <w:left w:w="40" w:type="dxa"/>
              <w:right w:w="40" w:type="dxa"/>
            </w:tcMar>
          </w:tcPr>
          <w:p w14:paraId="46C166CE" w14:textId="5C940894" w:rsidR="00DC33F1" w:rsidRPr="008B433C" w:rsidRDefault="00DC33F1" w:rsidP="00C615C7">
            <w:pPr>
              <w:pStyle w:val="TableText0"/>
              <w:rPr>
                <w:lang w:val="en-AU"/>
              </w:rPr>
            </w:pPr>
            <w:r w:rsidRPr="008B433C">
              <w:rPr>
                <w:lang w:val="en-AU"/>
              </w:rPr>
              <w:t>The Sub-Committees noted th</w:t>
            </w:r>
            <w:r>
              <w:rPr>
                <w:lang w:val="en-AU"/>
              </w:rPr>
              <w:t>ese</w:t>
            </w:r>
            <w:r w:rsidRPr="008B433C">
              <w:rPr>
                <w:lang w:val="en-AU"/>
              </w:rPr>
              <w:t xml:space="preserve"> estimate</w:t>
            </w:r>
            <w:r w:rsidR="005338AC">
              <w:rPr>
                <w:lang w:val="en-AU"/>
              </w:rPr>
              <w:t>s</w:t>
            </w:r>
            <w:r w:rsidRPr="008B433C">
              <w:rPr>
                <w:lang w:val="en-AU"/>
              </w:rPr>
              <w:t>.</w:t>
            </w:r>
          </w:p>
        </w:tc>
      </w:tr>
      <w:tr w:rsidR="00DC33F1" w:rsidRPr="006562D8" w14:paraId="7B8578C1" w14:textId="77777777" w:rsidTr="001526F4">
        <w:tc>
          <w:tcPr>
            <w:tcW w:w="663" w:type="pct"/>
            <w:tcMar>
              <w:left w:w="40" w:type="dxa"/>
              <w:right w:w="40" w:type="dxa"/>
            </w:tcMar>
            <w:vAlign w:val="center"/>
          </w:tcPr>
          <w:p w14:paraId="1D3BFB23" w14:textId="10B7826E" w:rsidR="00DC33F1" w:rsidRPr="00126A1B" w:rsidRDefault="00DC33F1" w:rsidP="00112265">
            <w:pPr>
              <w:pStyle w:val="TableText0"/>
              <w:rPr>
                <w:lang w:val="en-AU"/>
              </w:rPr>
            </w:pPr>
            <w:r>
              <w:rPr>
                <w:lang w:val="en-AU"/>
              </w:rPr>
              <w:t>Other PBS items</w:t>
            </w:r>
          </w:p>
        </w:tc>
        <w:tc>
          <w:tcPr>
            <w:tcW w:w="798" w:type="pct"/>
            <w:gridSpan w:val="2"/>
            <w:tcMar>
              <w:left w:w="40" w:type="dxa"/>
              <w:right w:w="40" w:type="dxa"/>
            </w:tcMar>
            <w:vAlign w:val="center"/>
          </w:tcPr>
          <w:p w14:paraId="211E2C5B" w14:textId="7F115ED4" w:rsidR="00DC33F1" w:rsidRPr="00126A1B" w:rsidRDefault="00DC33F1" w:rsidP="00112265">
            <w:pPr>
              <w:pStyle w:val="TableText0"/>
              <w:rPr>
                <w:lang w:val="en-AU"/>
              </w:rPr>
            </w:pPr>
            <w:r>
              <w:rPr>
                <w:lang w:val="en-AU"/>
              </w:rPr>
              <w:t>As per economic model</w:t>
            </w:r>
          </w:p>
        </w:tc>
        <w:tc>
          <w:tcPr>
            <w:tcW w:w="932" w:type="pct"/>
            <w:gridSpan w:val="3"/>
            <w:tcMar>
              <w:left w:w="40" w:type="dxa"/>
              <w:right w:w="40" w:type="dxa"/>
            </w:tcMar>
          </w:tcPr>
          <w:p w14:paraId="1D987335" w14:textId="5D2F818C" w:rsidR="00DC33F1" w:rsidRPr="00126A1B" w:rsidRDefault="00DC33F1" w:rsidP="005338AC">
            <w:pPr>
              <w:pStyle w:val="TableText0"/>
              <w:rPr>
                <w:lang w:val="en-AU"/>
              </w:rPr>
            </w:pPr>
            <w:r>
              <w:rPr>
                <w:lang w:val="en-AU"/>
              </w:rPr>
              <w:t xml:space="preserve">PBS </w:t>
            </w:r>
            <w:r w:rsidR="00D125A5">
              <w:rPr>
                <w:lang w:val="en-AU"/>
              </w:rPr>
              <w:t>prices</w:t>
            </w:r>
            <w:r>
              <w:rPr>
                <w:lang w:val="en-AU"/>
              </w:rPr>
              <w:t xml:space="preserve"> </w:t>
            </w:r>
          </w:p>
        </w:tc>
        <w:tc>
          <w:tcPr>
            <w:tcW w:w="1397" w:type="pct"/>
            <w:tcMar>
              <w:left w:w="40" w:type="dxa"/>
              <w:right w:w="40" w:type="dxa"/>
            </w:tcMar>
          </w:tcPr>
          <w:p w14:paraId="7C886B0D" w14:textId="38D349AC" w:rsidR="00DC33F1" w:rsidRPr="00126A1B" w:rsidRDefault="005338AC" w:rsidP="00C615C7">
            <w:pPr>
              <w:pStyle w:val="TableText0"/>
              <w:rPr>
                <w:lang w:val="en-AU"/>
              </w:rPr>
            </w:pPr>
            <w:r w:rsidRPr="00126A1B">
              <w:rPr>
                <w:lang w:val="en-AU"/>
              </w:rPr>
              <w:t>Reasonable</w:t>
            </w:r>
            <w:r>
              <w:rPr>
                <w:lang w:val="en-AU"/>
              </w:rPr>
              <w:t>.</w:t>
            </w:r>
          </w:p>
        </w:tc>
        <w:tc>
          <w:tcPr>
            <w:tcW w:w="1210" w:type="pct"/>
            <w:vMerge/>
            <w:tcMar>
              <w:left w:w="40" w:type="dxa"/>
              <w:right w:w="40" w:type="dxa"/>
            </w:tcMar>
          </w:tcPr>
          <w:p w14:paraId="187FD7C6" w14:textId="169DF0BE" w:rsidR="00DC33F1" w:rsidRPr="008B433C" w:rsidRDefault="00DC33F1" w:rsidP="00C615C7">
            <w:pPr>
              <w:pStyle w:val="TableText0"/>
              <w:rPr>
                <w:lang w:val="en-AU"/>
              </w:rPr>
            </w:pPr>
          </w:p>
        </w:tc>
      </w:tr>
      <w:tr w:rsidR="00DC33F1" w:rsidRPr="006562D8" w14:paraId="488B2F33" w14:textId="2993D073" w:rsidTr="001526F4">
        <w:tc>
          <w:tcPr>
            <w:tcW w:w="663" w:type="pct"/>
            <w:tcMar>
              <w:left w:w="40" w:type="dxa"/>
              <w:right w:w="40" w:type="dxa"/>
            </w:tcMar>
            <w:vAlign w:val="center"/>
          </w:tcPr>
          <w:p w14:paraId="37B8B5C4" w14:textId="77777777" w:rsidR="00DC33F1" w:rsidRPr="00126A1B" w:rsidRDefault="00DC33F1" w:rsidP="00112265">
            <w:pPr>
              <w:pStyle w:val="TableText0"/>
              <w:rPr>
                <w:lang w:val="en-AU"/>
              </w:rPr>
            </w:pPr>
            <w:r w:rsidRPr="00126A1B">
              <w:rPr>
                <w:lang w:val="en-AU"/>
              </w:rPr>
              <w:t>Co-payments</w:t>
            </w:r>
          </w:p>
        </w:tc>
        <w:tc>
          <w:tcPr>
            <w:tcW w:w="798" w:type="pct"/>
            <w:gridSpan w:val="2"/>
            <w:tcMar>
              <w:left w:w="40" w:type="dxa"/>
              <w:right w:w="40" w:type="dxa"/>
            </w:tcMar>
            <w:vAlign w:val="center"/>
          </w:tcPr>
          <w:p w14:paraId="4421EBBB" w14:textId="77777777" w:rsidR="00DC33F1" w:rsidRPr="00126A1B" w:rsidRDefault="00DC33F1" w:rsidP="00112265">
            <w:pPr>
              <w:pStyle w:val="TableText0"/>
              <w:rPr>
                <w:lang w:val="en-AU"/>
              </w:rPr>
            </w:pPr>
            <w:r w:rsidRPr="00126A1B">
              <w:rPr>
                <w:lang w:val="en-AU"/>
              </w:rPr>
              <w:t>General $31.60</w:t>
            </w:r>
          </w:p>
          <w:p w14:paraId="645D425E" w14:textId="77777777" w:rsidR="00DC33F1" w:rsidRPr="00126A1B" w:rsidRDefault="00DC33F1" w:rsidP="00112265">
            <w:pPr>
              <w:pStyle w:val="TableText0"/>
              <w:rPr>
                <w:lang w:val="en-AU"/>
              </w:rPr>
            </w:pPr>
            <w:r w:rsidRPr="00126A1B">
              <w:rPr>
                <w:lang w:val="en-AU"/>
              </w:rPr>
              <w:t>Concessional $7.70</w:t>
            </w:r>
          </w:p>
        </w:tc>
        <w:tc>
          <w:tcPr>
            <w:tcW w:w="932" w:type="pct"/>
            <w:gridSpan w:val="3"/>
            <w:tcMar>
              <w:left w:w="40" w:type="dxa"/>
              <w:right w:w="40" w:type="dxa"/>
            </w:tcMar>
          </w:tcPr>
          <w:p w14:paraId="68C7FD64" w14:textId="77777777" w:rsidR="00DC33F1" w:rsidRPr="00126A1B" w:rsidRDefault="00DC33F1" w:rsidP="005338AC">
            <w:pPr>
              <w:pStyle w:val="TableText0"/>
              <w:rPr>
                <w:lang w:val="en-AU"/>
              </w:rPr>
            </w:pPr>
            <w:r w:rsidRPr="00126A1B">
              <w:rPr>
                <w:lang w:val="en-AU"/>
              </w:rPr>
              <w:t>Current co-payments</w:t>
            </w:r>
          </w:p>
        </w:tc>
        <w:tc>
          <w:tcPr>
            <w:tcW w:w="1397" w:type="pct"/>
            <w:tcMar>
              <w:left w:w="40" w:type="dxa"/>
              <w:right w:w="40" w:type="dxa"/>
            </w:tcMar>
          </w:tcPr>
          <w:p w14:paraId="5B50DF16" w14:textId="1E99417F" w:rsidR="00DC33F1" w:rsidRPr="00126A1B" w:rsidRDefault="00DC33F1" w:rsidP="00C615C7">
            <w:pPr>
              <w:pStyle w:val="TableText0"/>
              <w:rPr>
                <w:lang w:val="en-AU"/>
              </w:rPr>
            </w:pPr>
            <w:r w:rsidRPr="00126A1B">
              <w:rPr>
                <w:lang w:val="en-AU"/>
              </w:rPr>
              <w:t>Reasonable</w:t>
            </w:r>
            <w:r>
              <w:rPr>
                <w:lang w:val="en-AU"/>
              </w:rPr>
              <w:t>.</w:t>
            </w:r>
          </w:p>
        </w:tc>
        <w:tc>
          <w:tcPr>
            <w:tcW w:w="1210" w:type="pct"/>
            <w:vMerge/>
            <w:tcMar>
              <w:left w:w="40" w:type="dxa"/>
              <w:right w:w="40" w:type="dxa"/>
            </w:tcMar>
          </w:tcPr>
          <w:p w14:paraId="26B0A3D2" w14:textId="0434E1E5" w:rsidR="00DC33F1" w:rsidRPr="008B433C" w:rsidRDefault="00DC33F1" w:rsidP="00C615C7">
            <w:pPr>
              <w:pStyle w:val="TableText0"/>
              <w:rPr>
                <w:lang w:val="en-AU"/>
              </w:rPr>
            </w:pPr>
          </w:p>
        </w:tc>
      </w:tr>
      <w:tr w:rsidR="00DC33F1" w:rsidRPr="006562D8" w14:paraId="17E7653F" w14:textId="331662D2" w:rsidTr="001526F4">
        <w:tc>
          <w:tcPr>
            <w:tcW w:w="663" w:type="pct"/>
            <w:tcMar>
              <w:left w:w="40" w:type="dxa"/>
              <w:right w:w="40" w:type="dxa"/>
            </w:tcMar>
            <w:vAlign w:val="center"/>
          </w:tcPr>
          <w:p w14:paraId="1E9E9A0F" w14:textId="77777777" w:rsidR="00DC33F1" w:rsidRPr="00126A1B" w:rsidRDefault="00DC33F1" w:rsidP="00112265">
            <w:pPr>
              <w:pStyle w:val="TableText0"/>
              <w:rPr>
                <w:lang w:val="en-AU"/>
              </w:rPr>
            </w:pPr>
            <w:r w:rsidRPr="00126A1B">
              <w:rPr>
                <w:lang w:val="en-AU"/>
              </w:rPr>
              <w:t>PBS general patient: concessional split</w:t>
            </w:r>
          </w:p>
        </w:tc>
        <w:tc>
          <w:tcPr>
            <w:tcW w:w="798" w:type="pct"/>
            <w:gridSpan w:val="2"/>
            <w:tcMar>
              <w:left w:w="40" w:type="dxa"/>
              <w:right w:w="40" w:type="dxa"/>
            </w:tcMar>
            <w:vAlign w:val="center"/>
          </w:tcPr>
          <w:p w14:paraId="458905D2" w14:textId="77777777" w:rsidR="00DC33F1" w:rsidRPr="00126A1B" w:rsidRDefault="00DC33F1" w:rsidP="00112265">
            <w:pPr>
              <w:pStyle w:val="TableText0"/>
              <w:rPr>
                <w:lang w:val="en-AU"/>
              </w:rPr>
            </w:pPr>
            <w:r w:rsidRPr="00126A1B">
              <w:rPr>
                <w:lang w:val="en-AU"/>
              </w:rPr>
              <w:t>48.6%: 51.4%</w:t>
            </w:r>
          </w:p>
        </w:tc>
        <w:tc>
          <w:tcPr>
            <w:tcW w:w="932" w:type="pct"/>
            <w:gridSpan w:val="3"/>
            <w:vMerge w:val="restart"/>
            <w:tcMar>
              <w:left w:w="40" w:type="dxa"/>
              <w:right w:w="40" w:type="dxa"/>
            </w:tcMar>
          </w:tcPr>
          <w:p w14:paraId="34B110FF" w14:textId="77777777" w:rsidR="00DC33F1" w:rsidRPr="00126A1B" w:rsidRDefault="00DC33F1" w:rsidP="005338AC">
            <w:pPr>
              <w:pStyle w:val="TableText0"/>
              <w:rPr>
                <w:lang w:val="en-AU"/>
              </w:rPr>
            </w:pPr>
            <w:r w:rsidRPr="00126A1B">
              <w:rPr>
                <w:lang w:val="en-AU"/>
              </w:rPr>
              <w:t>PBS data for all S100 scripts in Australia 2023-24.</w:t>
            </w:r>
          </w:p>
        </w:tc>
        <w:tc>
          <w:tcPr>
            <w:tcW w:w="1397" w:type="pct"/>
            <w:vMerge w:val="restart"/>
            <w:tcMar>
              <w:left w:w="40" w:type="dxa"/>
              <w:right w:w="40" w:type="dxa"/>
            </w:tcMar>
          </w:tcPr>
          <w:p w14:paraId="07E5D9F6" w14:textId="77777777" w:rsidR="00DC33F1" w:rsidRPr="00126A1B" w:rsidRDefault="00DC33F1" w:rsidP="00C615C7">
            <w:pPr>
              <w:pStyle w:val="TableText0"/>
              <w:rPr>
                <w:lang w:val="en-AU"/>
              </w:rPr>
            </w:pPr>
            <w:r w:rsidRPr="00126A1B">
              <w:rPr>
                <w:lang w:val="en-AU"/>
              </w:rPr>
              <w:t xml:space="preserve">As no other drugs are used exclusively for APDS, this may be reasonable. </w:t>
            </w:r>
          </w:p>
        </w:tc>
        <w:tc>
          <w:tcPr>
            <w:tcW w:w="1210" w:type="pct"/>
            <w:vMerge/>
            <w:tcMar>
              <w:left w:w="40" w:type="dxa"/>
              <w:right w:w="40" w:type="dxa"/>
            </w:tcMar>
          </w:tcPr>
          <w:p w14:paraId="7CD9E5D5" w14:textId="1A6257CB" w:rsidR="00DC33F1" w:rsidRPr="008B433C" w:rsidRDefault="00DC33F1" w:rsidP="00C615C7">
            <w:pPr>
              <w:pStyle w:val="TableText0"/>
              <w:rPr>
                <w:lang w:val="en-AU"/>
              </w:rPr>
            </w:pPr>
          </w:p>
        </w:tc>
      </w:tr>
      <w:tr w:rsidR="00DC33F1" w:rsidRPr="006562D8" w14:paraId="3AFDC6B9" w14:textId="1D170EF5" w:rsidTr="001526F4">
        <w:tc>
          <w:tcPr>
            <w:tcW w:w="663" w:type="pct"/>
            <w:tcMar>
              <w:left w:w="40" w:type="dxa"/>
              <w:right w:w="40" w:type="dxa"/>
            </w:tcMar>
            <w:vAlign w:val="center"/>
          </w:tcPr>
          <w:p w14:paraId="2323E22D" w14:textId="77777777" w:rsidR="00DC33F1" w:rsidRPr="00126A1B" w:rsidRDefault="00DC33F1" w:rsidP="00112265">
            <w:pPr>
              <w:pStyle w:val="TableText0"/>
              <w:rPr>
                <w:lang w:val="en-AU"/>
              </w:rPr>
            </w:pPr>
            <w:r w:rsidRPr="00126A1B">
              <w:rPr>
                <w:lang w:val="en-AU"/>
              </w:rPr>
              <w:t>PBS general: general safety net split</w:t>
            </w:r>
          </w:p>
        </w:tc>
        <w:tc>
          <w:tcPr>
            <w:tcW w:w="798" w:type="pct"/>
            <w:gridSpan w:val="2"/>
            <w:tcMar>
              <w:left w:w="40" w:type="dxa"/>
              <w:right w:w="40" w:type="dxa"/>
            </w:tcMar>
            <w:vAlign w:val="center"/>
          </w:tcPr>
          <w:p w14:paraId="32A8AC58" w14:textId="77777777" w:rsidR="00DC33F1" w:rsidRPr="00126A1B" w:rsidRDefault="00DC33F1" w:rsidP="00112265">
            <w:pPr>
              <w:pStyle w:val="TableText0"/>
              <w:rPr>
                <w:lang w:val="en-AU"/>
              </w:rPr>
            </w:pPr>
            <w:r w:rsidRPr="00126A1B">
              <w:rPr>
                <w:lang w:val="en-AU"/>
              </w:rPr>
              <w:t>99.3%:0.7%</w:t>
            </w:r>
          </w:p>
        </w:tc>
        <w:tc>
          <w:tcPr>
            <w:tcW w:w="932" w:type="pct"/>
            <w:gridSpan w:val="3"/>
            <w:vMerge/>
            <w:tcMar>
              <w:left w:w="40" w:type="dxa"/>
              <w:right w:w="40" w:type="dxa"/>
            </w:tcMar>
          </w:tcPr>
          <w:p w14:paraId="0BE87733" w14:textId="77777777" w:rsidR="00DC33F1" w:rsidRPr="00126A1B" w:rsidRDefault="00DC33F1" w:rsidP="005338AC">
            <w:pPr>
              <w:pStyle w:val="TableText0"/>
              <w:rPr>
                <w:lang w:val="en-AU"/>
              </w:rPr>
            </w:pPr>
          </w:p>
        </w:tc>
        <w:tc>
          <w:tcPr>
            <w:tcW w:w="1397" w:type="pct"/>
            <w:vMerge/>
            <w:tcMar>
              <w:left w:w="40" w:type="dxa"/>
              <w:right w:w="40" w:type="dxa"/>
            </w:tcMar>
          </w:tcPr>
          <w:p w14:paraId="7031A116" w14:textId="77777777" w:rsidR="00DC33F1" w:rsidRPr="00126A1B" w:rsidRDefault="00DC33F1" w:rsidP="00C615C7">
            <w:pPr>
              <w:pStyle w:val="TableText0"/>
              <w:rPr>
                <w:lang w:val="en-AU"/>
              </w:rPr>
            </w:pPr>
          </w:p>
        </w:tc>
        <w:tc>
          <w:tcPr>
            <w:tcW w:w="1210" w:type="pct"/>
            <w:vMerge/>
            <w:tcMar>
              <w:left w:w="40" w:type="dxa"/>
              <w:right w:w="40" w:type="dxa"/>
            </w:tcMar>
          </w:tcPr>
          <w:p w14:paraId="18A5856D" w14:textId="182C6F92" w:rsidR="00DC33F1" w:rsidRPr="008B433C" w:rsidRDefault="00DC33F1" w:rsidP="00C615C7">
            <w:pPr>
              <w:pStyle w:val="TableText0"/>
              <w:rPr>
                <w:lang w:val="en-AU"/>
              </w:rPr>
            </w:pPr>
          </w:p>
        </w:tc>
      </w:tr>
      <w:tr w:rsidR="00DC33F1" w:rsidRPr="006562D8" w14:paraId="041EFF20" w14:textId="20D68363" w:rsidTr="001526F4">
        <w:tc>
          <w:tcPr>
            <w:tcW w:w="663" w:type="pct"/>
            <w:tcBorders>
              <w:bottom w:val="single" w:sz="4" w:space="0" w:color="auto"/>
            </w:tcBorders>
            <w:tcMar>
              <w:left w:w="40" w:type="dxa"/>
              <w:right w:w="40" w:type="dxa"/>
            </w:tcMar>
            <w:vAlign w:val="center"/>
          </w:tcPr>
          <w:p w14:paraId="34BD7941" w14:textId="77777777" w:rsidR="00DC33F1" w:rsidRPr="00126A1B" w:rsidRDefault="00DC33F1" w:rsidP="00112265">
            <w:pPr>
              <w:pStyle w:val="TableText0"/>
              <w:rPr>
                <w:lang w:val="en-AU"/>
              </w:rPr>
            </w:pPr>
            <w:r w:rsidRPr="00126A1B">
              <w:rPr>
                <w:lang w:val="en-AU"/>
              </w:rPr>
              <w:t>Public: private hospital split</w:t>
            </w:r>
          </w:p>
        </w:tc>
        <w:tc>
          <w:tcPr>
            <w:tcW w:w="798" w:type="pct"/>
            <w:gridSpan w:val="2"/>
            <w:tcBorders>
              <w:bottom w:val="single" w:sz="4" w:space="0" w:color="auto"/>
            </w:tcBorders>
            <w:tcMar>
              <w:left w:w="40" w:type="dxa"/>
              <w:right w:w="40" w:type="dxa"/>
            </w:tcMar>
            <w:vAlign w:val="center"/>
          </w:tcPr>
          <w:p w14:paraId="63E1887B" w14:textId="77777777" w:rsidR="00DC33F1" w:rsidRPr="00126A1B" w:rsidRDefault="00DC33F1" w:rsidP="00112265">
            <w:pPr>
              <w:pStyle w:val="TableText0"/>
              <w:rPr>
                <w:lang w:val="en-AU"/>
              </w:rPr>
            </w:pPr>
            <w:r w:rsidRPr="00126A1B">
              <w:rPr>
                <w:lang w:val="en-AU"/>
              </w:rPr>
              <w:t>50:50</w:t>
            </w:r>
          </w:p>
        </w:tc>
        <w:tc>
          <w:tcPr>
            <w:tcW w:w="932" w:type="pct"/>
            <w:gridSpan w:val="3"/>
            <w:tcBorders>
              <w:bottom w:val="single" w:sz="4" w:space="0" w:color="auto"/>
            </w:tcBorders>
            <w:tcMar>
              <w:left w:w="40" w:type="dxa"/>
              <w:right w:w="40" w:type="dxa"/>
            </w:tcMar>
          </w:tcPr>
          <w:p w14:paraId="5E3DB6AA" w14:textId="77777777" w:rsidR="00DC33F1" w:rsidRPr="00126A1B" w:rsidRDefault="00DC33F1" w:rsidP="005338AC">
            <w:pPr>
              <w:pStyle w:val="TableText0"/>
              <w:rPr>
                <w:lang w:val="en-AU"/>
              </w:rPr>
            </w:pPr>
            <w:r w:rsidRPr="00126A1B">
              <w:rPr>
                <w:lang w:val="en-AU"/>
              </w:rPr>
              <w:t>Assumption</w:t>
            </w:r>
          </w:p>
        </w:tc>
        <w:tc>
          <w:tcPr>
            <w:tcW w:w="1397" w:type="pct"/>
            <w:tcBorders>
              <w:bottom w:val="single" w:sz="4" w:space="0" w:color="auto"/>
            </w:tcBorders>
            <w:tcMar>
              <w:left w:w="40" w:type="dxa"/>
              <w:right w:w="40" w:type="dxa"/>
            </w:tcMar>
          </w:tcPr>
          <w:p w14:paraId="00958BC0" w14:textId="77777777" w:rsidR="00DC33F1" w:rsidRPr="00126A1B" w:rsidRDefault="00DC33F1" w:rsidP="00C615C7">
            <w:pPr>
              <w:pStyle w:val="TableText0"/>
              <w:rPr>
                <w:lang w:val="en-AU"/>
              </w:rPr>
            </w:pPr>
            <w:r w:rsidRPr="00126A1B">
              <w:rPr>
                <w:lang w:val="en-AU"/>
              </w:rPr>
              <w:t>It may have been more appropriate to use PBS data for a drug used for APDS such as sirolimus.</w:t>
            </w:r>
          </w:p>
        </w:tc>
        <w:tc>
          <w:tcPr>
            <w:tcW w:w="1210" w:type="pct"/>
            <w:vMerge/>
            <w:tcBorders>
              <w:bottom w:val="single" w:sz="4" w:space="0" w:color="auto"/>
            </w:tcBorders>
            <w:tcMar>
              <w:left w:w="40" w:type="dxa"/>
              <w:right w:w="40" w:type="dxa"/>
            </w:tcMar>
          </w:tcPr>
          <w:p w14:paraId="607B3678" w14:textId="61DCC87A" w:rsidR="00DC33F1" w:rsidRPr="008B433C" w:rsidRDefault="00DC33F1" w:rsidP="00C615C7">
            <w:pPr>
              <w:pStyle w:val="TableText0"/>
              <w:rPr>
                <w:lang w:val="en-AU"/>
              </w:rPr>
            </w:pPr>
          </w:p>
        </w:tc>
      </w:tr>
      <w:tr w:rsidR="00D278C7" w:rsidRPr="001526F4" w14:paraId="77CA2ECA" w14:textId="124AE938" w:rsidTr="005338AC">
        <w:tc>
          <w:tcPr>
            <w:tcW w:w="663" w:type="pct"/>
            <w:tcBorders>
              <w:right w:val="nil"/>
            </w:tcBorders>
            <w:tcMar>
              <w:left w:w="40" w:type="dxa"/>
              <w:right w:w="40" w:type="dxa"/>
            </w:tcMar>
            <w:vAlign w:val="center"/>
          </w:tcPr>
          <w:p w14:paraId="6F54945F" w14:textId="77777777" w:rsidR="00A03C98" w:rsidRPr="001526F4" w:rsidRDefault="00A03C98" w:rsidP="005338AC">
            <w:pPr>
              <w:pStyle w:val="TableText0"/>
              <w:rPr>
                <w:b/>
                <w:bCs w:val="0"/>
                <w:lang w:val="en-AU"/>
              </w:rPr>
            </w:pPr>
            <w:r w:rsidRPr="001526F4">
              <w:rPr>
                <w:b/>
                <w:bCs w:val="0"/>
                <w:lang w:val="en-AU"/>
              </w:rPr>
              <w:t>NBA items</w:t>
            </w:r>
          </w:p>
        </w:tc>
        <w:tc>
          <w:tcPr>
            <w:tcW w:w="4337" w:type="pct"/>
            <w:gridSpan w:val="7"/>
            <w:tcBorders>
              <w:left w:val="nil"/>
            </w:tcBorders>
            <w:tcMar>
              <w:left w:w="40" w:type="dxa"/>
              <w:right w:w="40" w:type="dxa"/>
            </w:tcMar>
          </w:tcPr>
          <w:p w14:paraId="5EE1B639" w14:textId="16F926DC" w:rsidR="00D278C7" w:rsidRPr="001526F4" w:rsidRDefault="00D278C7" w:rsidP="005338AC">
            <w:pPr>
              <w:pStyle w:val="TableText0"/>
              <w:rPr>
                <w:b/>
                <w:bCs w:val="0"/>
                <w:lang w:val="en-AU"/>
              </w:rPr>
            </w:pPr>
          </w:p>
        </w:tc>
      </w:tr>
      <w:tr w:rsidR="008A3FA2" w:rsidRPr="006562D8" w14:paraId="277C38E9" w14:textId="62F469DB" w:rsidTr="001526F4">
        <w:tc>
          <w:tcPr>
            <w:tcW w:w="663" w:type="pct"/>
            <w:tcMar>
              <w:left w:w="40" w:type="dxa"/>
              <w:right w:w="40" w:type="dxa"/>
            </w:tcMar>
            <w:vAlign w:val="center"/>
          </w:tcPr>
          <w:p w14:paraId="2271FF1C" w14:textId="3FDBB521" w:rsidR="008A3FA2" w:rsidRPr="00126A1B" w:rsidRDefault="008A3FA2" w:rsidP="00112265">
            <w:pPr>
              <w:pStyle w:val="TableText0"/>
              <w:rPr>
                <w:lang w:val="en-AU"/>
              </w:rPr>
            </w:pPr>
            <w:r w:rsidRPr="00126A1B">
              <w:rPr>
                <w:lang w:val="en-AU"/>
              </w:rPr>
              <w:t>SCIG</w:t>
            </w:r>
            <w:r w:rsidR="0017658F">
              <w:rPr>
                <w:lang w:val="en-AU"/>
              </w:rPr>
              <w:t>/IVIG</w:t>
            </w:r>
          </w:p>
        </w:tc>
        <w:tc>
          <w:tcPr>
            <w:tcW w:w="798" w:type="pct"/>
            <w:gridSpan w:val="2"/>
            <w:tcMar>
              <w:left w:w="40" w:type="dxa"/>
              <w:right w:w="40" w:type="dxa"/>
            </w:tcMar>
            <w:vAlign w:val="center"/>
          </w:tcPr>
          <w:p w14:paraId="0A54953D" w14:textId="77777777" w:rsidR="008A3FA2" w:rsidRPr="00126A1B" w:rsidRDefault="008A3FA2" w:rsidP="00112265">
            <w:pPr>
              <w:pStyle w:val="TableText0"/>
              <w:rPr>
                <w:lang w:val="en-AU"/>
              </w:rPr>
            </w:pPr>
            <w:r w:rsidRPr="00126A1B">
              <w:rPr>
                <w:lang w:val="en-AU"/>
              </w:rPr>
              <w:t>$154.65</w:t>
            </w:r>
          </w:p>
        </w:tc>
        <w:tc>
          <w:tcPr>
            <w:tcW w:w="932" w:type="pct"/>
            <w:gridSpan w:val="3"/>
            <w:tcMar>
              <w:left w:w="40" w:type="dxa"/>
              <w:right w:w="40" w:type="dxa"/>
            </w:tcMar>
          </w:tcPr>
          <w:p w14:paraId="69EE043F" w14:textId="77777777" w:rsidR="008A3FA2" w:rsidRPr="00126A1B" w:rsidRDefault="008A3FA2" w:rsidP="005338AC">
            <w:pPr>
              <w:pStyle w:val="TableText0"/>
              <w:rPr>
                <w:rFonts w:cs="Times New Roman"/>
                <w:szCs w:val="20"/>
                <w:lang w:val="en-AU"/>
              </w:rPr>
            </w:pPr>
            <w:r w:rsidRPr="00126A1B">
              <w:rPr>
                <w:rFonts w:cs="Times New Roman"/>
                <w:szCs w:val="20"/>
                <w:lang w:val="en-AU"/>
              </w:rPr>
              <w:t>NBA price list, Intragam 10, 2.5g/25ml, CSL</w:t>
            </w:r>
          </w:p>
        </w:tc>
        <w:tc>
          <w:tcPr>
            <w:tcW w:w="1397" w:type="pct"/>
            <w:tcMar>
              <w:left w:w="40" w:type="dxa"/>
              <w:right w:w="40" w:type="dxa"/>
            </w:tcMar>
          </w:tcPr>
          <w:p w14:paraId="6B25E2D7" w14:textId="48CF5C16" w:rsidR="008A3FA2" w:rsidRPr="00126A1B" w:rsidRDefault="008A3FA2" w:rsidP="00C615C7">
            <w:pPr>
              <w:pStyle w:val="TableText0"/>
              <w:rPr>
                <w:lang w:val="en-AU"/>
              </w:rPr>
            </w:pPr>
            <w:r w:rsidRPr="00126A1B">
              <w:rPr>
                <w:lang w:val="en-AU"/>
              </w:rPr>
              <w:t xml:space="preserve">NBA costs were consistent with the economic model, where it was also assumed that the cost of IVIG and SCIG were the same; </w:t>
            </w:r>
            <w:r w:rsidR="007A6438" w:rsidRPr="00126A1B">
              <w:rPr>
                <w:lang w:val="en-AU"/>
              </w:rPr>
              <w:t>however,</w:t>
            </w:r>
            <w:r w:rsidRPr="00126A1B">
              <w:rPr>
                <w:lang w:val="en-AU"/>
              </w:rPr>
              <w:t xml:space="preserve"> they are not the same according to the N</w:t>
            </w:r>
            <w:r w:rsidR="00181FCF">
              <w:rPr>
                <w:lang w:val="en-AU"/>
              </w:rPr>
              <w:t>BA</w:t>
            </w:r>
            <w:r w:rsidRPr="00126A1B">
              <w:rPr>
                <w:lang w:val="en-AU"/>
              </w:rPr>
              <w:t xml:space="preserve"> price list.</w:t>
            </w:r>
          </w:p>
        </w:tc>
        <w:tc>
          <w:tcPr>
            <w:tcW w:w="1210" w:type="pct"/>
            <w:tcMar>
              <w:left w:w="40" w:type="dxa"/>
              <w:right w:w="40" w:type="dxa"/>
            </w:tcMar>
          </w:tcPr>
          <w:p w14:paraId="558DEBAC" w14:textId="5D693B09" w:rsidR="008A3FA2" w:rsidRPr="008B433C" w:rsidRDefault="002B39EA" w:rsidP="00C615C7">
            <w:pPr>
              <w:pStyle w:val="TableText0"/>
              <w:rPr>
                <w:lang w:val="en-AU"/>
              </w:rPr>
            </w:pPr>
            <w:r w:rsidRPr="008B433C">
              <w:rPr>
                <w:lang w:val="en-AU"/>
              </w:rPr>
              <w:t>The Sub-Committees noted this estimate.</w:t>
            </w:r>
          </w:p>
        </w:tc>
      </w:tr>
    </w:tbl>
    <w:p w14:paraId="5C382049" w14:textId="341F0F8C" w:rsidR="000B0B3C" w:rsidRPr="00FE7861" w:rsidRDefault="000B0B3C" w:rsidP="000B0B3C">
      <w:pPr>
        <w:pStyle w:val="FooterTableFigure"/>
      </w:pPr>
      <w:r w:rsidRPr="00FE7861">
        <w:t>ABS = Australian Bureau of Statistics; EAP = Early Access Program; IVIG = intravenous immunoglobulin; NBA = National blood authority; NEP = National efficient price; PBS = Pharmaceutical Benefits Scheme; SCIG = subcutaneous immunoglobulin</w:t>
      </w:r>
      <w:r w:rsidR="003D4DA7" w:rsidRPr="00FE7861">
        <w:t>.</w:t>
      </w:r>
    </w:p>
    <w:p w14:paraId="34490708" w14:textId="77777777" w:rsidR="007625C1" w:rsidRDefault="000B0B3C" w:rsidP="000B0B3C">
      <w:pPr>
        <w:pStyle w:val="FooterTableFigure"/>
      </w:pPr>
      <w:r w:rsidRPr="00FE7861">
        <w:t>Source: Tables 4.1-4.5, 4.7-4.11 p283-299 of the submission.</w:t>
      </w:r>
      <w:r w:rsidR="007625C1" w:rsidRPr="007625C1">
        <w:t xml:space="preserve"> </w:t>
      </w:r>
    </w:p>
    <w:p w14:paraId="30AE63CF" w14:textId="3779B08B" w:rsidR="007625C1" w:rsidRPr="00A11D1C" w:rsidRDefault="007625C1" w:rsidP="000B0B3C">
      <w:pPr>
        <w:pStyle w:val="FooterTableFigure"/>
        <w:rPr>
          <w:i/>
          <w:iCs/>
        </w:rPr>
      </w:pPr>
      <w:r w:rsidRPr="00A11D1C">
        <w:rPr>
          <w:i/>
          <w:iCs/>
        </w:rPr>
        <w:t>The redacted values correspond to the following ranges:</w:t>
      </w:r>
    </w:p>
    <w:p w14:paraId="365A2FD5" w14:textId="58758CFB" w:rsidR="000B0B3C" w:rsidRPr="00A11D1C" w:rsidRDefault="007625C1" w:rsidP="000B0B3C">
      <w:pPr>
        <w:pStyle w:val="FooterTableFigure"/>
        <w:rPr>
          <w:i/>
          <w:iCs/>
        </w:rPr>
      </w:pPr>
      <w:r w:rsidRPr="00833316">
        <w:rPr>
          <w:i/>
          <w:iCs/>
          <w:vertAlign w:val="superscript"/>
        </w:rPr>
        <w:t>1</w:t>
      </w:r>
      <w:r w:rsidRPr="00A11D1C">
        <w:rPr>
          <w:i/>
          <w:iCs/>
        </w:rPr>
        <w:t xml:space="preserve"> &lt;500</w:t>
      </w:r>
    </w:p>
    <w:p w14:paraId="7BE3CB71" w14:textId="77777777" w:rsidR="002F5A88" w:rsidRDefault="002F5A88" w:rsidP="002F5A88">
      <w:pPr>
        <w:pStyle w:val="3-BodyText"/>
        <w:numPr>
          <w:ilvl w:val="0"/>
          <w:numId w:val="0"/>
        </w:numPr>
        <w:ind w:left="720"/>
      </w:pPr>
    </w:p>
    <w:p w14:paraId="7686E359" w14:textId="09221748" w:rsidR="003D1923" w:rsidRPr="00FE7861" w:rsidRDefault="008A6B4C" w:rsidP="003D1923">
      <w:pPr>
        <w:pStyle w:val="3-BodyText"/>
      </w:pPr>
      <w:r w:rsidRPr="00FE7861">
        <w:fldChar w:fldCharType="begin" w:fldLock="1"/>
      </w:r>
      <w:r w:rsidRPr="00FE7861">
        <w:instrText xml:space="preserve"> REF _Ref196161328 \h </w:instrText>
      </w:r>
      <w:r w:rsidR="00FE7861" w:rsidRPr="00FE7861">
        <w:instrText xml:space="preserve"> \* MERGEFORMAT </w:instrText>
      </w:r>
      <w:r w:rsidRPr="00FE7861">
        <w:fldChar w:fldCharType="separate"/>
      </w:r>
      <w:r w:rsidR="00C34379" w:rsidRPr="00FE7861">
        <w:t xml:space="preserve">Table </w:t>
      </w:r>
      <w:r w:rsidR="00C34379">
        <w:rPr>
          <w:noProof/>
        </w:rPr>
        <w:t>24</w:t>
      </w:r>
      <w:r w:rsidRPr="00FE7861">
        <w:fldChar w:fldCharType="end"/>
      </w:r>
      <w:r w:rsidRPr="00FE7861">
        <w:t xml:space="preserve"> </w:t>
      </w:r>
      <w:r w:rsidR="00FE797D" w:rsidRPr="00FE7861">
        <w:t xml:space="preserve">provides </w:t>
      </w:r>
      <w:r w:rsidR="009F60A0" w:rsidRPr="00FE7861">
        <w:t>the estimated use and financial implications of leniolisib.</w:t>
      </w:r>
    </w:p>
    <w:p w14:paraId="2FCCD328" w14:textId="199D10D2" w:rsidR="003D1923" w:rsidRPr="00FE7861" w:rsidRDefault="003D1923" w:rsidP="003D1923">
      <w:pPr>
        <w:pStyle w:val="Caption"/>
      </w:pPr>
      <w:bookmarkStart w:id="58" w:name="_Ref196161328"/>
      <w:r w:rsidRPr="00FE7861">
        <w:t xml:space="preserve">Table </w:t>
      </w:r>
      <w:r w:rsidR="00C34379">
        <w:fldChar w:fldCharType="begin" w:fldLock="1"/>
      </w:r>
      <w:r w:rsidR="00C34379">
        <w:instrText xml:space="preserve"> SEQ Table \* ARABIC </w:instrText>
      </w:r>
      <w:r w:rsidR="00C34379">
        <w:fldChar w:fldCharType="separate"/>
      </w:r>
      <w:r w:rsidR="00C34379">
        <w:rPr>
          <w:noProof/>
        </w:rPr>
        <w:t>24</w:t>
      </w:r>
      <w:r w:rsidR="00C34379">
        <w:rPr>
          <w:noProof/>
        </w:rPr>
        <w:fldChar w:fldCharType="end"/>
      </w:r>
      <w:bookmarkEnd w:id="58"/>
      <w:r w:rsidRPr="00FE7861">
        <w:t>:</w:t>
      </w:r>
      <w:r w:rsidRPr="00FE7861">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4: Estimated use and financial implications"/>
      </w:tblPr>
      <w:tblGrid>
        <w:gridCol w:w="2373"/>
        <w:gridCol w:w="1088"/>
        <w:gridCol w:w="1087"/>
        <w:gridCol w:w="1087"/>
        <w:gridCol w:w="1087"/>
        <w:gridCol w:w="1087"/>
        <w:gridCol w:w="1089"/>
      </w:tblGrid>
      <w:tr w:rsidR="00FE797D" w:rsidRPr="00FE7861" w14:paraId="2189F895" w14:textId="77777777" w:rsidTr="00FE797D">
        <w:trPr>
          <w:tblHeader/>
        </w:trPr>
        <w:tc>
          <w:tcPr>
            <w:tcW w:w="1333" w:type="pct"/>
            <w:vAlign w:val="center"/>
          </w:tcPr>
          <w:p w14:paraId="5FCD7447" w14:textId="77777777" w:rsidR="00FE797D" w:rsidRPr="00FE7861" w:rsidRDefault="00FE797D" w:rsidP="00FE797D">
            <w:pPr>
              <w:pStyle w:val="In-tableHeading"/>
              <w:rPr>
                <w:lang w:val="en-AU"/>
              </w:rPr>
            </w:pPr>
          </w:p>
        </w:tc>
        <w:tc>
          <w:tcPr>
            <w:tcW w:w="611" w:type="pct"/>
            <w:vAlign w:val="center"/>
          </w:tcPr>
          <w:p w14:paraId="67F2C452" w14:textId="19CCD6A2" w:rsidR="00FE797D" w:rsidRPr="00FE7861" w:rsidRDefault="00FE797D" w:rsidP="00FE797D">
            <w:pPr>
              <w:pStyle w:val="In-tableHeading"/>
              <w:rPr>
                <w:lang w:val="en-AU"/>
              </w:rPr>
            </w:pPr>
            <w:r w:rsidRPr="00FE7861">
              <w:rPr>
                <w:lang w:val="en-AU"/>
              </w:rPr>
              <w:t>2026</w:t>
            </w:r>
          </w:p>
        </w:tc>
        <w:tc>
          <w:tcPr>
            <w:tcW w:w="611" w:type="pct"/>
            <w:vAlign w:val="center"/>
          </w:tcPr>
          <w:p w14:paraId="676279A5" w14:textId="1BACB239" w:rsidR="00FE797D" w:rsidRPr="00FE7861" w:rsidRDefault="00FE797D" w:rsidP="00FE797D">
            <w:pPr>
              <w:pStyle w:val="In-tableHeading"/>
              <w:rPr>
                <w:lang w:val="en-AU"/>
              </w:rPr>
            </w:pPr>
            <w:r w:rsidRPr="00FE7861">
              <w:rPr>
                <w:lang w:val="en-AU"/>
              </w:rPr>
              <w:t>2027</w:t>
            </w:r>
          </w:p>
        </w:tc>
        <w:tc>
          <w:tcPr>
            <w:tcW w:w="611" w:type="pct"/>
            <w:vAlign w:val="center"/>
          </w:tcPr>
          <w:p w14:paraId="47E19272" w14:textId="233A4B24" w:rsidR="00FE797D" w:rsidRPr="00FE7861" w:rsidRDefault="00FE797D" w:rsidP="00FE797D">
            <w:pPr>
              <w:pStyle w:val="In-tableHeading"/>
              <w:rPr>
                <w:lang w:val="en-AU"/>
              </w:rPr>
            </w:pPr>
            <w:r w:rsidRPr="00FE7861">
              <w:rPr>
                <w:lang w:val="en-AU"/>
              </w:rPr>
              <w:t>2028</w:t>
            </w:r>
          </w:p>
        </w:tc>
        <w:tc>
          <w:tcPr>
            <w:tcW w:w="611" w:type="pct"/>
            <w:vAlign w:val="center"/>
          </w:tcPr>
          <w:p w14:paraId="33BC01A5" w14:textId="4B8A84AA" w:rsidR="00FE797D" w:rsidRPr="00FE7861" w:rsidRDefault="00FE797D" w:rsidP="00FE797D">
            <w:pPr>
              <w:pStyle w:val="In-tableHeading"/>
              <w:rPr>
                <w:lang w:val="en-AU"/>
              </w:rPr>
            </w:pPr>
            <w:r w:rsidRPr="00FE7861">
              <w:rPr>
                <w:lang w:val="en-AU"/>
              </w:rPr>
              <w:t>2029</w:t>
            </w:r>
          </w:p>
        </w:tc>
        <w:tc>
          <w:tcPr>
            <w:tcW w:w="611" w:type="pct"/>
            <w:vAlign w:val="center"/>
          </w:tcPr>
          <w:p w14:paraId="4E97F5CD" w14:textId="3A382BFE" w:rsidR="00FE797D" w:rsidRPr="00FE7861" w:rsidRDefault="00FE797D" w:rsidP="00FE797D">
            <w:pPr>
              <w:pStyle w:val="In-tableHeading"/>
              <w:rPr>
                <w:lang w:val="en-AU"/>
              </w:rPr>
            </w:pPr>
            <w:r w:rsidRPr="00FE7861">
              <w:rPr>
                <w:lang w:val="en-AU"/>
              </w:rPr>
              <w:t>2030</w:t>
            </w:r>
          </w:p>
        </w:tc>
        <w:tc>
          <w:tcPr>
            <w:tcW w:w="612" w:type="pct"/>
            <w:vAlign w:val="center"/>
          </w:tcPr>
          <w:p w14:paraId="36BD91AA" w14:textId="4D4A7909" w:rsidR="00FE797D" w:rsidRPr="00FE7861" w:rsidRDefault="00FE797D" w:rsidP="00FE797D">
            <w:pPr>
              <w:pStyle w:val="In-tableHeading"/>
              <w:rPr>
                <w:lang w:val="en-AU"/>
              </w:rPr>
            </w:pPr>
            <w:r w:rsidRPr="00FE7861">
              <w:rPr>
                <w:lang w:val="en-AU"/>
              </w:rPr>
              <w:t>2031</w:t>
            </w:r>
          </w:p>
        </w:tc>
      </w:tr>
      <w:tr w:rsidR="003D1923" w:rsidRPr="00FE7861" w14:paraId="6558B7B3" w14:textId="77777777" w:rsidTr="000B4467">
        <w:tc>
          <w:tcPr>
            <w:tcW w:w="5000" w:type="pct"/>
            <w:gridSpan w:val="7"/>
            <w:vAlign w:val="center"/>
          </w:tcPr>
          <w:p w14:paraId="45122D17" w14:textId="77777777" w:rsidR="003D1923" w:rsidRPr="00FE7861" w:rsidRDefault="003D1923" w:rsidP="00181FCF">
            <w:pPr>
              <w:pStyle w:val="In-tableHeading"/>
              <w:jc w:val="left"/>
              <w:rPr>
                <w:lang w:val="en-AU"/>
              </w:rPr>
            </w:pPr>
            <w:r w:rsidRPr="00FE7861">
              <w:rPr>
                <w:lang w:val="en-AU"/>
              </w:rPr>
              <w:t>Estimated extent of use</w:t>
            </w:r>
          </w:p>
        </w:tc>
      </w:tr>
      <w:tr w:rsidR="00FE797D" w:rsidRPr="00FE7861" w14:paraId="3B3E782D" w14:textId="77777777" w:rsidTr="000B4467">
        <w:tc>
          <w:tcPr>
            <w:tcW w:w="1333" w:type="pct"/>
            <w:vAlign w:val="center"/>
          </w:tcPr>
          <w:p w14:paraId="5E4926FF" w14:textId="77777777" w:rsidR="00FE797D" w:rsidRPr="00FE7861" w:rsidRDefault="00FE797D" w:rsidP="000B4467">
            <w:pPr>
              <w:pStyle w:val="TableText0"/>
              <w:rPr>
                <w:lang w:val="en-AU"/>
              </w:rPr>
            </w:pPr>
            <w:r w:rsidRPr="00FE7861">
              <w:rPr>
                <w:lang w:val="en-AU"/>
              </w:rPr>
              <w:t>APDS population</w:t>
            </w:r>
          </w:p>
        </w:tc>
        <w:tc>
          <w:tcPr>
            <w:tcW w:w="611" w:type="pct"/>
            <w:vAlign w:val="center"/>
          </w:tcPr>
          <w:p w14:paraId="376A0058" w14:textId="2EC4591E"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9"/>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9"/>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9"/>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789C0589" w14:textId="70067ABF"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8"/>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8"/>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8"/>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148D433F" w14:textId="7FA6FF7C"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7"/>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7"/>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7"/>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0A597FB6" w14:textId="2ADBE3C1"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6"/>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6"/>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6"/>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268528F5" w14:textId="658395CB"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5"/>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5"/>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5"/>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2" w:type="pct"/>
            <w:vAlign w:val="center"/>
          </w:tcPr>
          <w:p w14:paraId="5D810F8D" w14:textId="78BD0A52"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4"/>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4"/>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4"/>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r>
      <w:tr w:rsidR="00FE797D" w:rsidRPr="00FE7861" w14:paraId="7AD1684D" w14:textId="77777777" w:rsidTr="000B4467">
        <w:tc>
          <w:tcPr>
            <w:tcW w:w="1333" w:type="pct"/>
            <w:vAlign w:val="center"/>
          </w:tcPr>
          <w:p w14:paraId="178C40E5" w14:textId="514E552F" w:rsidR="00FE797D" w:rsidRPr="00FE7861" w:rsidRDefault="00FE797D" w:rsidP="00FE797D">
            <w:pPr>
              <w:pStyle w:val="TableText0"/>
              <w:rPr>
                <w:rFonts w:ascii="Times" w:hAnsi="Times"/>
                <w:lang w:val="en-AU"/>
              </w:rPr>
            </w:pPr>
            <w:r w:rsidRPr="00FE7861">
              <w:rPr>
                <w:lang w:val="en-AU"/>
              </w:rPr>
              <w:t>Estimated ‘new therapy’ market share uptake rates vs SoC (</w:t>
            </w:r>
            <w:r w:rsidR="001F60D7" w:rsidRPr="001F60D7">
              <w:rPr>
                <w:spacing w:val="51"/>
                <w:shd w:val="solid" w:color="000000" w:fill="000000"/>
                <w:fitText w:val="324" w:id="-629967603"/>
                <w:lang w:val="en-AU"/>
                <w14:textFill>
                  <w14:solidFill>
                    <w14:schemeClr w14:val="tx1">
                      <w14:alpha w14:val="100000"/>
                    </w14:schemeClr>
                  </w14:solidFill>
                </w14:textFill>
              </w:rPr>
              <w:t>|||</w:t>
            </w:r>
            <w:r w:rsidR="001F60D7" w:rsidRPr="001F60D7">
              <w:rPr>
                <w:spacing w:val="1"/>
                <w:shd w:val="solid" w:color="000000" w:fill="000000"/>
                <w:fitText w:val="324" w:id="-629967603"/>
                <w:lang w:val="en-AU"/>
                <w14:textFill>
                  <w14:solidFill>
                    <w14:schemeClr w14:val="tx1">
                      <w14:alpha w14:val="100000"/>
                    </w14:schemeClr>
                  </w14:solidFill>
                </w14:textFill>
              </w:rPr>
              <w:t>|</w:t>
            </w:r>
            <w:r w:rsidRPr="00FE7861">
              <w:rPr>
                <w:lang w:val="en-AU"/>
              </w:rPr>
              <w:t>%)</w:t>
            </w:r>
          </w:p>
        </w:tc>
        <w:tc>
          <w:tcPr>
            <w:tcW w:w="611" w:type="pct"/>
            <w:vAlign w:val="center"/>
          </w:tcPr>
          <w:p w14:paraId="7AA2561F" w14:textId="79B6D636"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2"/>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2"/>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2"/>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40CEE7A9" w14:textId="6FEA72D7"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1"/>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1"/>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1"/>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5C9A16BC" w14:textId="2A060FB3"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00"/>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00"/>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00"/>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1E670A0F" w14:textId="507FC468"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16"/>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16"/>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16"/>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71F99A2B" w14:textId="420AB7F9"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15"/>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15"/>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15"/>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2" w:type="pct"/>
            <w:vAlign w:val="center"/>
          </w:tcPr>
          <w:p w14:paraId="0F9C50B8" w14:textId="2020BD90"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14"/>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14"/>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14"/>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r>
      <w:tr w:rsidR="00FE797D" w:rsidRPr="00FE7861" w14:paraId="08BA5D18" w14:textId="77777777" w:rsidTr="001F60D7">
        <w:tc>
          <w:tcPr>
            <w:tcW w:w="1333" w:type="pct"/>
            <w:vAlign w:val="center"/>
          </w:tcPr>
          <w:p w14:paraId="2ABD2165" w14:textId="51AA46C7" w:rsidR="00FE797D" w:rsidRPr="00FE7861" w:rsidRDefault="00FE797D" w:rsidP="00FE797D">
            <w:pPr>
              <w:pStyle w:val="TableText0"/>
              <w:rPr>
                <w:lang w:val="en-AU"/>
              </w:rPr>
            </w:pPr>
            <w:r w:rsidRPr="00FE7861">
              <w:rPr>
                <w:lang w:val="en-AU"/>
              </w:rPr>
              <w:t>Prevalent patients</w:t>
            </w:r>
          </w:p>
        </w:tc>
        <w:tc>
          <w:tcPr>
            <w:tcW w:w="611" w:type="pct"/>
            <w:tcBorders>
              <w:bottom w:val="single" w:sz="4" w:space="0" w:color="auto"/>
            </w:tcBorders>
            <w:vAlign w:val="center"/>
          </w:tcPr>
          <w:p w14:paraId="34B6F6C3" w14:textId="7B89D5C2" w:rsidR="00FE797D" w:rsidRPr="00DF050F" w:rsidRDefault="001F60D7" w:rsidP="00B91400">
            <w:pPr>
              <w:pStyle w:val="TableText0"/>
              <w:jc w:val="center"/>
              <w:rPr>
                <w:szCs w:val="20"/>
                <w:highlight w:val="darkGray"/>
                <w:lang w:val="en-AU"/>
              </w:rPr>
            </w:pPr>
            <w:r w:rsidRPr="001F60D7">
              <w:rPr>
                <w:rFonts w:hint="eastAsia"/>
                <w:color w:val="000000"/>
                <w:w w:val="16"/>
                <w:szCs w:val="20"/>
                <w:shd w:val="solid" w:color="000000" w:fill="000000"/>
                <w:fitText w:val="72" w:id="-629967613"/>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613"/>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613"/>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tcBorders>
              <w:bottom w:val="single" w:sz="4" w:space="0" w:color="auto"/>
            </w:tcBorders>
            <w:vAlign w:val="center"/>
          </w:tcPr>
          <w:p w14:paraId="6A2563DD" w14:textId="5FE08059" w:rsidR="00FE797D" w:rsidRPr="004E418F" w:rsidRDefault="00FE797D" w:rsidP="00B91400">
            <w:pPr>
              <w:pStyle w:val="TableText0"/>
              <w:jc w:val="center"/>
              <w:rPr>
                <w:szCs w:val="20"/>
                <w:lang w:val="en-AU"/>
              </w:rPr>
            </w:pPr>
            <w:r w:rsidRPr="004E418F">
              <w:rPr>
                <w:color w:val="000000"/>
                <w:szCs w:val="20"/>
                <w:lang w:val="en-AU"/>
              </w:rPr>
              <w:t>-</w:t>
            </w:r>
          </w:p>
        </w:tc>
        <w:tc>
          <w:tcPr>
            <w:tcW w:w="611" w:type="pct"/>
            <w:tcBorders>
              <w:bottom w:val="single" w:sz="4" w:space="0" w:color="auto"/>
            </w:tcBorders>
            <w:vAlign w:val="center"/>
          </w:tcPr>
          <w:p w14:paraId="37750B00" w14:textId="42A8B02C" w:rsidR="00FE797D" w:rsidRPr="004E418F" w:rsidRDefault="00FE797D" w:rsidP="00B91400">
            <w:pPr>
              <w:pStyle w:val="TableText0"/>
              <w:jc w:val="center"/>
              <w:rPr>
                <w:szCs w:val="20"/>
                <w:lang w:val="en-AU"/>
              </w:rPr>
            </w:pPr>
            <w:r w:rsidRPr="004E418F">
              <w:rPr>
                <w:color w:val="000000"/>
                <w:szCs w:val="20"/>
                <w:lang w:val="en-AU"/>
              </w:rPr>
              <w:t>-</w:t>
            </w:r>
          </w:p>
        </w:tc>
        <w:tc>
          <w:tcPr>
            <w:tcW w:w="611" w:type="pct"/>
            <w:tcBorders>
              <w:bottom w:val="single" w:sz="4" w:space="0" w:color="auto"/>
            </w:tcBorders>
            <w:vAlign w:val="center"/>
          </w:tcPr>
          <w:p w14:paraId="2033C031" w14:textId="5C7B59A8" w:rsidR="00FE797D" w:rsidRPr="004E418F" w:rsidRDefault="00FE797D" w:rsidP="00B91400">
            <w:pPr>
              <w:pStyle w:val="TableText0"/>
              <w:jc w:val="center"/>
              <w:rPr>
                <w:szCs w:val="20"/>
                <w:lang w:val="en-AU"/>
              </w:rPr>
            </w:pPr>
            <w:r w:rsidRPr="004E418F">
              <w:rPr>
                <w:color w:val="000000"/>
                <w:szCs w:val="20"/>
                <w:lang w:val="en-AU"/>
              </w:rPr>
              <w:t>-</w:t>
            </w:r>
          </w:p>
        </w:tc>
        <w:tc>
          <w:tcPr>
            <w:tcW w:w="611" w:type="pct"/>
            <w:tcBorders>
              <w:bottom w:val="single" w:sz="4" w:space="0" w:color="auto"/>
            </w:tcBorders>
            <w:vAlign w:val="center"/>
          </w:tcPr>
          <w:p w14:paraId="7C60CC52" w14:textId="032B5B6D" w:rsidR="00FE797D" w:rsidRPr="004E418F" w:rsidRDefault="00FE797D" w:rsidP="00B91400">
            <w:pPr>
              <w:pStyle w:val="TableText0"/>
              <w:jc w:val="center"/>
              <w:rPr>
                <w:szCs w:val="20"/>
                <w:lang w:val="en-AU"/>
              </w:rPr>
            </w:pPr>
            <w:r w:rsidRPr="004E418F">
              <w:rPr>
                <w:color w:val="000000"/>
                <w:szCs w:val="20"/>
                <w:lang w:val="en-AU"/>
              </w:rPr>
              <w:t>-</w:t>
            </w:r>
          </w:p>
        </w:tc>
        <w:tc>
          <w:tcPr>
            <w:tcW w:w="612" w:type="pct"/>
            <w:tcBorders>
              <w:bottom w:val="single" w:sz="4" w:space="0" w:color="auto"/>
            </w:tcBorders>
            <w:vAlign w:val="center"/>
          </w:tcPr>
          <w:p w14:paraId="288B72A8" w14:textId="315F0C76" w:rsidR="00FE797D" w:rsidRPr="004E418F" w:rsidRDefault="00FE797D" w:rsidP="00B91400">
            <w:pPr>
              <w:pStyle w:val="TableText0"/>
              <w:jc w:val="center"/>
              <w:rPr>
                <w:szCs w:val="20"/>
                <w:lang w:val="en-AU"/>
              </w:rPr>
            </w:pPr>
            <w:r w:rsidRPr="004E418F">
              <w:rPr>
                <w:color w:val="000000"/>
                <w:szCs w:val="20"/>
                <w:lang w:val="en-AU"/>
              </w:rPr>
              <w:t>-</w:t>
            </w:r>
          </w:p>
        </w:tc>
      </w:tr>
      <w:tr w:rsidR="00FE797D" w:rsidRPr="00FE7861" w14:paraId="369DB67C" w14:textId="77777777" w:rsidTr="001F60D7">
        <w:tc>
          <w:tcPr>
            <w:tcW w:w="1333" w:type="pct"/>
            <w:vAlign w:val="center"/>
          </w:tcPr>
          <w:p w14:paraId="6718F163" w14:textId="266DD6A0" w:rsidR="00FE797D" w:rsidRPr="00FE7861" w:rsidRDefault="00FE797D" w:rsidP="00FE797D">
            <w:pPr>
              <w:pStyle w:val="TableText0"/>
              <w:rPr>
                <w:lang w:val="en-AU"/>
              </w:rPr>
            </w:pPr>
            <w:r w:rsidRPr="00FE7861">
              <w:rPr>
                <w:lang w:val="en-AU"/>
              </w:rPr>
              <w:t>Newly diagnosed patients</w:t>
            </w:r>
          </w:p>
        </w:tc>
        <w:tc>
          <w:tcPr>
            <w:tcW w:w="611" w:type="pct"/>
            <w:shd w:val="solid" w:color="000000" w:fill="000000"/>
            <w:vAlign w:val="center"/>
          </w:tcPr>
          <w:p w14:paraId="42F14B6A" w14:textId="45971BDE" w:rsidR="00FE797D" w:rsidRPr="00DF050F" w:rsidRDefault="001F60D7" w:rsidP="00B91400">
            <w:pPr>
              <w:pStyle w:val="TableText0"/>
              <w:jc w:val="center"/>
              <w:rPr>
                <w:szCs w:val="20"/>
                <w:highlight w:val="darkGray"/>
                <w:lang w:val="en-AU"/>
              </w:rPr>
            </w:pPr>
            <w:r w:rsidRPr="0053609D">
              <w:rPr>
                <w:rFonts w:hint="eastAsia"/>
                <w:color w:val="000000"/>
                <w:w w:val="15"/>
                <w:szCs w:val="20"/>
                <w:fitText w:val="24" w:id="-629967612"/>
                <w:lang w:val="en-AU"/>
                <w14:textFill>
                  <w14:solidFill>
                    <w14:srgbClr w14:val="000000">
                      <w14:alpha w14:val="100000"/>
                    </w14:srgbClr>
                  </w14:solidFill>
                </w14:textFill>
              </w:rPr>
              <w:t xml:space="preserve">　</w:t>
            </w:r>
            <w:r w:rsidRPr="0053609D">
              <w:rPr>
                <w:color w:val="000000"/>
                <w:w w:val="15"/>
                <w:szCs w:val="20"/>
                <w:fitText w:val="24" w:id="-629967612"/>
                <w:lang w:val="en-AU"/>
                <w14:textFill>
                  <w14:solidFill>
                    <w14:srgbClr w14:val="000000">
                      <w14:alpha w14:val="100000"/>
                    </w14:srgbClr>
                  </w14:solidFill>
                </w14:textFill>
              </w:rPr>
              <w:t>|</w:t>
            </w:r>
            <w:r w:rsidRPr="0053609D">
              <w:rPr>
                <w:rFonts w:hint="eastAsia"/>
                <w:color w:val="000000"/>
                <w:spacing w:val="-42"/>
                <w:w w:val="15"/>
                <w:szCs w:val="20"/>
                <w:fitText w:val="24" w:id="-629967612"/>
                <w:lang w:val="en-AU"/>
                <w14:textFill>
                  <w14:solidFill>
                    <w14:srgbClr w14:val="000000">
                      <w14:alpha w14:val="100000"/>
                    </w14:srgbClr>
                  </w14:solidFill>
                </w14:textFill>
              </w:rPr>
              <w:t xml:space="preserve">　</w:t>
            </w:r>
          </w:p>
        </w:tc>
        <w:tc>
          <w:tcPr>
            <w:tcW w:w="611" w:type="pct"/>
            <w:shd w:val="solid" w:color="000000" w:fill="000000"/>
            <w:vAlign w:val="center"/>
          </w:tcPr>
          <w:p w14:paraId="3DE7034A" w14:textId="009FF6BD" w:rsidR="00FE797D" w:rsidRPr="00DF050F" w:rsidRDefault="001F60D7" w:rsidP="00B91400">
            <w:pPr>
              <w:pStyle w:val="TableText0"/>
              <w:jc w:val="center"/>
              <w:rPr>
                <w:szCs w:val="20"/>
                <w:highlight w:val="darkGray"/>
                <w:lang w:val="en-AU"/>
              </w:rPr>
            </w:pPr>
            <w:r w:rsidRPr="0053609D">
              <w:rPr>
                <w:rFonts w:hint="eastAsia"/>
                <w:color w:val="000000"/>
                <w:w w:val="15"/>
                <w:szCs w:val="20"/>
                <w:fitText w:val="24" w:id="-629967611"/>
                <w:lang w:val="en-AU"/>
                <w14:textFill>
                  <w14:solidFill>
                    <w14:srgbClr w14:val="000000">
                      <w14:alpha w14:val="100000"/>
                    </w14:srgbClr>
                  </w14:solidFill>
                </w14:textFill>
              </w:rPr>
              <w:t xml:space="preserve">　</w:t>
            </w:r>
            <w:r w:rsidRPr="0053609D">
              <w:rPr>
                <w:color w:val="000000"/>
                <w:w w:val="15"/>
                <w:szCs w:val="20"/>
                <w:fitText w:val="24" w:id="-629967611"/>
                <w:lang w:val="en-AU"/>
                <w14:textFill>
                  <w14:solidFill>
                    <w14:srgbClr w14:val="000000">
                      <w14:alpha w14:val="100000"/>
                    </w14:srgbClr>
                  </w14:solidFill>
                </w14:textFill>
              </w:rPr>
              <w:t>|</w:t>
            </w:r>
            <w:r w:rsidRPr="0053609D">
              <w:rPr>
                <w:rFonts w:hint="eastAsia"/>
                <w:color w:val="000000"/>
                <w:spacing w:val="-42"/>
                <w:w w:val="15"/>
                <w:szCs w:val="20"/>
                <w:fitText w:val="24" w:id="-629967611"/>
                <w:lang w:val="en-AU"/>
                <w14:textFill>
                  <w14:solidFill>
                    <w14:srgbClr w14:val="000000">
                      <w14:alpha w14:val="100000"/>
                    </w14:srgbClr>
                  </w14:solidFill>
                </w14:textFill>
              </w:rPr>
              <w:t xml:space="preserve">　</w:t>
            </w:r>
          </w:p>
        </w:tc>
        <w:tc>
          <w:tcPr>
            <w:tcW w:w="611" w:type="pct"/>
            <w:shd w:val="solid" w:color="000000" w:fill="000000"/>
            <w:vAlign w:val="center"/>
          </w:tcPr>
          <w:p w14:paraId="6276094B" w14:textId="4F480EB1" w:rsidR="00FE797D" w:rsidRPr="00DF050F" w:rsidRDefault="001F60D7" w:rsidP="00B91400">
            <w:pPr>
              <w:pStyle w:val="TableText0"/>
              <w:jc w:val="center"/>
              <w:rPr>
                <w:szCs w:val="20"/>
                <w:highlight w:val="darkGray"/>
                <w:lang w:val="en-AU"/>
              </w:rPr>
            </w:pPr>
            <w:r w:rsidRPr="0053609D">
              <w:rPr>
                <w:rFonts w:hint="eastAsia"/>
                <w:color w:val="000000"/>
                <w:w w:val="15"/>
                <w:szCs w:val="20"/>
                <w:fitText w:val="24" w:id="-629967610"/>
                <w:lang w:val="en-AU"/>
                <w14:textFill>
                  <w14:solidFill>
                    <w14:srgbClr w14:val="000000">
                      <w14:alpha w14:val="100000"/>
                    </w14:srgbClr>
                  </w14:solidFill>
                </w14:textFill>
              </w:rPr>
              <w:t xml:space="preserve">　</w:t>
            </w:r>
            <w:r w:rsidRPr="0053609D">
              <w:rPr>
                <w:color w:val="000000"/>
                <w:w w:val="15"/>
                <w:szCs w:val="20"/>
                <w:fitText w:val="24" w:id="-629967610"/>
                <w:lang w:val="en-AU"/>
                <w14:textFill>
                  <w14:solidFill>
                    <w14:srgbClr w14:val="000000">
                      <w14:alpha w14:val="100000"/>
                    </w14:srgbClr>
                  </w14:solidFill>
                </w14:textFill>
              </w:rPr>
              <w:t>|</w:t>
            </w:r>
            <w:r w:rsidRPr="0053609D">
              <w:rPr>
                <w:rFonts w:hint="eastAsia"/>
                <w:color w:val="000000"/>
                <w:spacing w:val="-42"/>
                <w:w w:val="15"/>
                <w:szCs w:val="20"/>
                <w:fitText w:val="24" w:id="-629967610"/>
                <w:lang w:val="en-AU"/>
                <w14:textFill>
                  <w14:solidFill>
                    <w14:srgbClr w14:val="000000">
                      <w14:alpha w14:val="100000"/>
                    </w14:srgbClr>
                  </w14:solidFill>
                </w14:textFill>
              </w:rPr>
              <w:t xml:space="preserve">　</w:t>
            </w:r>
          </w:p>
        </w:tc>
        <w:tc>
          <w:tcPr>
            <w:tcW w:w="611" w:type="pct"/>
            <w:shd w:val="solid" w:color="000000" w:fill="000000"/>
            <w:vAlign w:val="center"/>
          </w:tcPr>
          <w:p w14:paraId="654F7329" w14:textId="4EED160F" w:rsidR="00FE797D" w:rsidRPr="00DF050F" w:rsidRDefault="001F60D7" w:rsidP="00B91400">
            <w:pPr>
              <w:pStyle w:val="TableText0"/>
              <w:jc w:val="center"/>
              <w:rPr>
                <w:szCs w:val="20"/>
                <w:highlight w:val="darkGray"/>
                <w:lang w:val="en-AU"/>
              </w:rPr>
            </w:pPr>
            <w:r w:rsidRPr="0053609D">
              <w:rPr>
                <w:rFonts w:hint="eastAsia"/>
                <w:color w:val="000000"/>
                <w:w w:val="15"/>
                <w:szCs w:val="20"/>
                <w:fitText w:val="24" w:id="-629967609"/>
                <w:lang w:val="en-AU"/>
                <w14:textFill>
                  <w14:solidFill>
                    <w14:srgbClr w14:val="000000">
                      <w14:alpha w14:val="100000"/>
                    </w14:srgbClr>
                  </w14:solidFill>
                </w14:textFill>
              </w:rPr>
              <w:t xml:space="preserve">　</w:t>
            </w:r>
            <w:r w:rsidRPr="0053609D">
              <w:rPr>
                <w:color w:val="000000"/>
                <w:w w:val="15"/>
                <w:szCs w:val="20"/>
                <w:fitText w:val="24" w:id="-629967609"/>
                <w:lang w:val="en-AU"/>
                <w14:textFill>
                  <w14:solidFill>
                    <w14:srgbClr w14:val="000000">
                      <w14:alpha w14:val="100000"/>
                    </w14:srgbClr>
                  </w14:solidFill>
                </w14:textFill>
              </w:rPr>
              <w:t>|</w:t>
            </w:r>
            <w:r w:rsidRPr="0053609D">
              <w:rPr>
                <w:rFonts w:hint="eastAsia"/>
                <w:color w:val="000000"/>
                <w:spacing w:val="-42"/>
                <w:w w:val="15"/>
                <w:szCs w:val="20"/>
                <w:fitText w:val="24" w:id="-629967609"/>
                <w:lang w:val="en-AU"/>
                <w14:textFill>
                  <w14:solidFill>
                    <w14:srgbClr w14:val="000000">
                      <w14:alpha w14:val="100000"/>
                    </w14:srgbClr>
                  </w14:solidFill>
                </w14:textFill>
              </w:rPr>
              <w:t xml:space="preserve">　</w:t>
            </w:r>
          </w:p>
        </w:tc>
        <w:tc>
          <w:tcPr>
            <w:tcW w:w="611" w:type="pct"/>
            <w:shd w:val="solid" w:color="000000" w:fill="000000"/>
            <w:vAlign w:val="center"/>
          </w:tcPr>
          <w:p w14:paraId="3401E1D5" w14:textId="784F44E5" w:rsidR="00FE797D" w:rsidRPr="00DF050F" w:rsidRDefault="001F60D7" w:rsidP="00B91400">
            <w:pPr>
              <w:pStyle w:val="TableText0"/>
              <w:jc w:val="center"/>
              <w:rPr>
                <w:szCs w:val="20"/>
                <w:highlight w:val="darkGray"/>
                <w:lang w:val="en-AU"/>
              </w:rPr>
            </w:pPr>
            <w:r w:rsidRPr="0053609D">
              <w:rPr>
                <w:rFonts w:hint="eastAsia"/>
                <w:color w:val="000000"/>
                <w:w w:val="15"/>
                <w:szCs w:val="20"/>
                <w:fitText w:val="24" w:id="-629967608"/>
                <w:lang w:val="en-AU"/>
                <w14:textFill>
                  <w14:solidFill>
                    <w14:srgbClr w14:val="000000">
                      <w14:alpha w14:val="100000"/>
                    </w14:srgbClr>
                  </w14:solidFill>
                </w14:textFill>
              </w:rPr>
              <w:t xml:space="preserve">　</w:t>
            </w:r>
            <w:r w:rsidRPr="0053609D">
              <w:rPr>
                <w:color w:val="000000"/>
                <w:w w:val="15"/>
                <w:szCs w:val="20"/>
                <w:fitText w:val="24" w:id="-629967608"/>
                <w:lang w:val="en-AU"/>
                <w14:textFill>
                  <w14:solidFill>
                    <w14:srgbClr w14:val="000000">
                      <w14:alpha w14:val="100000"/>
                    </w14:srgbClr>
                  </w14:solidFill>
                </w14:textFill>
              </w:rPr>
              <w:t>|</w:t>
            </w:r>
            <w:r w:rsidRPr="0053609D">
              <w:rPr>
                <w:rFonts w:hint="eastAsia"/>
                <w:color w:val="000000"/>
                <w:spacing w:val="-42"/>
                <w:w w:val="15"/>
                <w:szCs w:val="20"/>
                <w:fitText w:val="24" w:id="-629967608"/>
                <w:lang w:val="en-AU"/>
                <w14:textFill>
                  <w14:solidFill>
                    <w14:srgbClr w14:val="000000">
                      <w14:alpha w14:val="100000"/>
                    </w14:srgbClr>
                  </w14:solidFill>
                </w14:textFill>
              </w:rPr>
              <w:t xml:space="preserve">　</w:t>
            </w:r>
          </w:p>
        </w:tc>
        <w:tc>
          <w:tcPr>
            <w:tcW w:w="612" w:type="pct"/>
            <w:shd w:val="solid" w:color="000000" w:fill="000000"/>
            <w:vAlign w:val="center"/>
          </w:tcPr>
          <w:p w14:paraId="47417E79" w14:textId="2ECC445B" w:rsidR="00FE797D" w:rsidRPr="00DF050F" w:rsidRDefault="001F60D7" w:rsidP="00B91400">
            <w:pPr>
              <w:pStyle w:val="TableText0"/>
              <w:jc w:val="center"/>
              <w:rPr>
                <w:szCs w:val="20"/>
                <w:highlight w:val="darkGray"/>
                <w:lang w:val="en-AU"/>
              </w:rPr>
            </w:pPr>
            <w:r w:rsidRPr="0053609D">
              <w:rPr>
                <w:rFonts w:hint="eastAsia"/>
                <w:color w:val="000000"/>
                <w:w w:val="15"/>
                <w:szCs w:val="20"/>
                <w:fitText w:val="24" w:id="-629967607"/>
                <w:lang w:val="en-AU"/>
                <w14:textFill>
                  <w14:solidFill>
                    <w14:srgbClr w14:val="000000">
                      <w14:alpha w14:val="100000"/>
                    </w14:srgbClr>
                  </w14:solidFill>
                </w14:textFill>
              </w:rPr>
              <w:t xml:space="preserve">　</w:t>
            </w:r>
            <w:r w:rsidRPr="0053609D">
              <w:rPr>
                <w:color w:val="000000"/>
                <w:w w:val="15"/>
                <w:szCs w:val="20"/>
                <w:fitText w:val="24" w:id="-629967607"/>
                <w:lang w:val="en-AU"/>
                <w14:textFill>
                  <w14:solidFill>
                    <w14:srgbClr w14:val="000000">
                      <w14:alpha w14:val="100000"/>
                    </w14:srgbClr>
                  </w14:solidFill>
                </w14:textFill>
              </w:rPr>
              <w:t>|</w:t>
            </w:r>
            <w:r w:rsidRPr="0053609D">
              <w:rPr>
                <w:rFonts w:hint="eastAsia"/>
                <w:color w:val="000000"/>
                <w:spacing w:val="-42"/>
                <w:w w:val="15"/>
                <w:szCs w:val="20"/>
                <w:fitText w:val="24" w:id="-629967607"/>
                <w:lang w:val="en-AU"/>
                <w14:textFill>
                  <w14:solidFill>
                    <w14:srgbClr w14:val="000000">
                      <w14:alpha w14:val="100000"/>
                    </w14:srgbClr>
                  </w14:solidFill>
                </w14:textFill>
              </w:rPr>
              <w:t xml:space="preserve">　</w:t>
            </w:r>
          </w:p>
        </w:tc>
      </w:tr>
      <w:tr w:rsidR="00FE797D" w:rsidRPr="00FE7861" w14:paraId="0A4A2DC9" w14:textId="77777777" w:rsidTr="00107E32">
        <w:tc>
          <w:tcPr>
            <w:tcW w:w="1333" w:type="pct"/>
            <w:vAlign w:val="center"/>
          </w:tcPr>
          <w:p w14:paraId="4E9B3A6C" w14:textId="02FE800B" w:rsidR="00FE797D" w:rsidRPr="00FE7861" w:rsidRDefault="00FE797D" w:rsidP="00FE797D">
            <w:pPr>
              <w:pStyle w:val="TableText0"/>
              <w:rPr>
                <w:rFonts w:ascii="Times" w:hAnsi="Times"/>
                <w:lang w:val="en-AU"/>
              </w:rPr>
            </w:pPr>
            <w:r w:rsidRPr="00FE7861">
              <w:rPr>
                <w:lang w:val="en-AU"/>
              </w:rPr>
              <w:t>Leniolisib uptake rate (</w:t>
            </w:r>
            <w:r w:rsidR="001F60D7" w:rsidRPr="001F60D7">
              <w:rPr>
                <w:spacing w:val="51"/>
                <w:shd w:val="solid" w:color="000000" w:fill="000000"/>
                <w:fitText w:val="324" w:id="-629967606"/>
                <w:lang w:val="en-AU"/>
                <w14:textFill>
                  <w14:solidFill>
                    <w14:schemeClr w14:val="tx1">
                      <w14:alpha w14:val="100000"/>
                    </w14:schemeClr>
                  </w14:solidFill>
                </w14:textFill>
              </w:rPr>
              <w:t>|||</w:t>
            </w:r>
            <w:r w:rsidR="001F60D7" w:rsidRPr="001F60D7">
              <w:rPr>
                <w:spacing w:val="1"/>
                <w:shd w:val="solid" w:color="000000" w:fill="000000"/>
                <w:fitText w:val="324" w:id="-629967606"/>
                <w:lang w:val="en-AU"/>
                <w14:textFill>
                  <w14:solidFill>
                    <w14:schemeClr w14:val="tx1">
                      <w14:alpha w14:val="100000"/>
                    </w14:schemeClr>
                  </w14:solidFill>
                </w14:textFill>
              </w:rPr>
              <w:t>|</w:t>
            </w:r>
            <w:r w:rsidRPr="00FE7861">
              <w:rPr>
                <w:lang w:val="en-AU"/>
              </w:rPr>
              <w:t>%-</w:t>
            </w:r>
            <w:r w:rsidR="001F60D7" w:rsidRPr="001F60D7">
              <w:rPr>
                <w:spacing w:val="51"/>
                <w:shd w:val="solid" w:color="000000" w:fill="000000"/>
                <w:fitText w:val="324" w:id="-629967605"/>
                <w:lang w:val="en-AU"/>
                <w14:textFill>
                  <w14:solidFill>
                    <w14:schemeClr w14:val="tx1">
                      <w14:alpha w14:val="100000"/>
                    </w14:schemeClr>
                  </w14:solidFill>
                </w14:textFill>
              </w:rPr>
              <w:t>|||</w:t>
            </w:r>
            <w:r w:rsidR="001F60D7" w:rsidRPr="001F60D7">
              <w:rPr>
                <w:spacing w:val="1"/>
                <w:shd w:val="solid" w:color="000000" w:fill="000000"/>
                <w:fitText w:val="324" w:id="-629967605"/>
                <w:lang w:val="en-AU"/>
                <w14:textFill>
                  <w14:solidFill>
                    <w14:schemeClr w14:val="tx1">
                      <w14:alpha w14:val="100000"/>
                    </w14:schemeClr>
                  </w14:solidFill>
                </w14:textFill>
              </w:rPr>
              <w:t>|</w:t>
            </w:r>
            <w:r w:rsidRPr="00FE7861">
              <w:rPr>
                <w:lang w:val="en-AU"/>
              </w:rPr>
              <w:t>%)</w:t>
            </w:r>
          </w:p>
        </w:tc>
        <w:tc>
          <w:tcPr>
            <w:tcW w:w="611" w:type="pct"/>
            <w:vAlign w:val="center"/>
          </w:tcPr>
          <w:p w14:paraId="341D232B" w14:textId="597FC80D" w:rsidR="00FE797D" w:rsidRPr="00363E19" w:rsidRDefault="001F60D7" w:rsidP="00107E32">
            <w:pPr>
              <w:pStyle w:val="TableText0"/>
              <w:jc w:val="center"/>
              <w:rPr>
                <w:szCs w:val="20"/>
                <w:lang w:val="en-AU"/>
              </w:rPr>
            </w:pPr>
            <w:r w:rsidRPr="001F60D7">
              <w:rPr>
                <w:rFonts w:hint="eastAsia"/>
                <w:w w:val="21"/>
                <w:szCs w:val="20"/>
                <w:shd w:val="solid" w:color="000000" w:fill="000000"/>
                <w:fitText w:val="96" w:id="-629967604"/>
                <w:lang w:val="en-AU"/>
                <w14:textFill>
                  <w14:solidFill>
                    <w14:schemeClr w14:val="tx1">
                      <w14:alpha w14:val="100000"/>
                    </w14:schemeClr>
                  </w14:solidFill>
                </w14:textFill>
              </w:rPr>
              <w:t xml:space="preserve">　</w:t>
            </w:r>
            <w:r w:rsidRPr="001F60D7">
              <w:rPr>
                <w:w w:val="21"/>
                <w:szCs w:val="20"/>
                <w:shd w:val="solid" w:color="000000" w:fill="000000"/>
                <w:fitText w:val="96" w:id="-629967604"/>
                <w:lang w:val="en-AU"/>
                <w14:textFill>
                  <w14:solidFill>
                    <w14:schemeClr w14:val="tx1">
                      <w14:alpha w14:val="100000"/>
                    </w14:schemeClr>
                  </w14:solidFill>
                </w14:textFill>
              </w:rPr>
              <w:t>|</w:t>
            </w:r>
            <w:r w:rsidRPr="001F60D7">
              <w:rPr>
                <w:rFonts w:hint="eastAsia"/>
                <w:spacing w:val="5"/>
                <w:w w:val="21"/>
                <w:szCs w:val="20"/>
                <w:shd w:val="solid" w:color="000000" w:fill="000000"/>
                <w:fitText w:val="96" w:id="-629967604"/>
                <w:lang w:val="en-AU"/>
                <w14:textFill>
                  <w14:solidFill>
                    <w14:schemeClr w14:val="tx1">
                      <w14:alpha w14:val="100000"/>
                    </w14:schemeClr>
                  </w14:solidFill>
                </w14:textFill>
              </w:rPr>
              <w:t xml:space="preserve">　</w:t>
            </w:r>
            <w:r w:rsidR="00FE797D" w:rsidRPr="00363E19">
              <w:rPr>
                <w:szCs w:val="20"/>
                <w:lang w:val="en-AU"/>
              </w:rPr>
              <w:t>%</w:t>
            </w:r>
          </w:p>
        </w:tc>
        <w:tc>
          <w:tcPr>
            <w:tcW w:w="611" w:type="pct"/>
            <w:vAlign w:val="center"/>
          </w:tcPr>
          <w:p w14:paraId="5CDAEB9B" w14:textId="6C97C849" w:rsidR="00FE797D" w:rsidRPr="00363E19" w:rsidRDefault="001F60D7" w:rsidP="00107E32">
            <w:pPr>
              <w:pStyle w:val="TableText0"/>
              <w:jc w:val="center"/>
              <w:rPr>
                <w:szCs w:val="20"/>
                <w:lang w:val="en-AU"/>
              </w:rPr>
            </w:pPr>
            <w:r w:rsidRPr="001F60D7">
              <w:rPr>
                <w:rFonts w:hint="eastAsia"/>
                <w:w w:val="21"/>
                <w:szCs w:val="20"/>
                <w:shd w:val="solid" w:color="000000" w:fill="000000"/>
                <w:fitText w:val="96" w:id="-629967603"/>
                <w:lang w:val="en-AU"/>
                <w14:textFill>
                  <w14:solidFill>
                    <w14:schemeClr w14:val="tx1">
                      <w14:alpha w14:val="100000"/>
                    </w14:schemeClr>
                  </w14:solidFill>
                </w14:textFill>
              </w:rPr>
              <w:t xml:space="preserve">　</w:t>
            </w:r>
            <w:r w:rsidRPr="001F60D7">
              <w:rPr>
                <w:w w:val="21"/>
                <w:szCs w:val="20"/>
                <w:shd w:val="solid" w:color="000000" w:fill="000000"/>
                <w:fitText w:val="96" w:id="-629967603"/>
                <w:lang w:val="en-AU"/>
                <w14:textFill>
                  <w14:solidFill>
                    <w14:schemeClr w14:val="tx1">
                      <w14:alpha w14:val="100000"/>
                    </w14:schemeClr>
                  </w14:solidFill>
                </w14:textFill>
              </w:rPr>
              <w:t>|</w:t>
            </w:r>
            <w:r w:rsidRPr="001F60D7">
              <w:rPr>
                <w:rFonts w:hint="eastAsia"/>
                <w:spacing w:val="5"/>
                <w:w w:val="21"/>
                <w:szCs w:val="20"/>
                <w:shd w:val="solid" w:color="000000" w:fill="000000"/>
                <w:fitText w:val="96" w:id="-629967603"/>
                <w:lang w:val="en-AU"/>
                <w14:textFill>
                  <w14:solidFill>
                    <w14:schemeClr w14:val="tx1">
                      <w14:alpha w14:val="100000"/>
                    </w14:schemeClr>
                  </w14:solidFill>
                </w14:textFill>
              </w:rPr>
              <w:t xml:space="preserve">　</w:t>
            </w:r>
            <w:r w:rsidR="00FE797D" w:rsidRPr="00363E19">
              <w:rPr>
                <w:szCs w:val="20"/>
                <w:lang w:val="en-AU"/>
              </w:rPr>
              <w:t>%</w:t>
            </w:r>
          </w:p>
        </w:tc>
        <w:tc>
          <w:tcPr>
            <w:tcW w:w="611" w:type="pct"/>
            <w:vAlign w:val="center"/>
          </w:tcPr>
          <w:p w14:paraId="558D81FC" w14:textId="35C73285" w:rsidR="00FE797D" w:rsidRPr="00363E19" w:rsidRDefault="001F60D7" w:rsidP="00107E32">
            <w:pPr>
              <w:pStyle w:val="TableText0"/>
              <w:jc w:val="center"/>
              <w:rPr>
                <w:szCs w:val="20"/>
                <w:lang w:val="en-AU"/>
              </w:rPr>
            </w:pPr>
            <w:r w:rsidRPr="001F60D7">
              <w:rPr>
                <w:rFonts w:hint="eastAsia"/>
                <w:w w:val="21"/>
                <w:szCs w:val="20"/>
                <w:shd w:val="solid" w:color="000000" w:fill="000000"/>
                <w:fitText w:val="96" w:id="-629967602"/>
                <w:lang w:val="en-AU"/>
                <w14:textFill>
                  <w14:solidFill>
                    <w14:schemeClr w14:val="tx1">
                      <w14:alpha w14:val="100000"/>
                    </w14:schemeClr>
                  </w14:solidFill>
                </w14:textFill>
              </w:rPr>
              <w:t xml:space="preserve">　</w:t>
            </w:r>
            <w:r w:rsidRPr="001F60D7">
              <w:rPr>
                <w:w w:val="21"/>
                <w:szCs w:val="20"/>
                <w:shd w:val="solid" w:color="000000" w:fill="000000"/>
                <w:fitText w:val="96" w:id="-629967602"/>
                <w:lang w:val="en-AU"/>
                <w14:textFill>
                  <w14:solidFill>
                    <w14:schemeClr w14:val="tx1">
                      <w14:alpha w14:val="100000"/>
                    </w14:schemeClr>
                  </w14:solidFill>
                </w14:textFill>
              </w:rPr>
              <w:t>|</w:t>
            </w:r>
            <w:r w:rsidRPr="001F60D7">
              <w:rPr>
                <w:rFonts w:hint="eastAsia"/>
                <w:spacing w:val="5"/>
                <w:w w:val="21"/>
                <w:szCs w:val="20"/>
                <w:shd w:val="solid" w:color="000000" w:fill="000000"/>
                <w:fitText w:val="96" w:id="-629967602"/>
                <w:lang w:val="en-AU"/>
                <w14:textFill>
                  <w14:solidFill>
                    <w14:schemeClr w14:val="tx1">
                      <w14:alpha w14:val="100000"/>
                    </w14:schemeClr>
                  </w14:solidFill>
                </w14:textFill>
              </w:rPr>
              <w:t xml:space="preserve">　</w:t>
            </w:r>
            <w:r w:rsidR="00FE797D" w:rsidRPr="00363E19">
              <w:rPr>
                <w:szCs w:val="20"/>
                <w:lang w:val="en-AU"/>
              </w:rPr>
              <w:t>%</w:t>
            </w:r>
          </w:p>
        </w:tc>
        <w:tc>
          <w:tcPr>
            <w:tcW w:w="611" w:type="pct"/>
            <w:vAlign w:val="center"/>
          </w:tcPr>
          <w:p w14:paraId="30C070DF" w14:textId="37394E12" w:rsidR="00FE797D" w:rsidRPr="00363E19" w:rsidRDefault="001F60D7" w:rsidP="00107E32">
            <w:pPr>
              <w:pStyle w:val="TableText0"/>
              <w:jc w:val="center"/>
              <w:rPr>
                <w:szCs w:val="20"/>
                <w:lang w:val="en-AU"/>
              </w:rPr>
            </w:pPr>
            <w:r w:rsidRPr="001F60D7">
              <w:rPr>
                <w:rFonts w:hint="eastAsia"/>
                <w:w w:val="21"/>
                <w:szCs w:val="20"/>
                <w:shd w:val="solid" w:color="000000" w:fill="000000"/>
                <w:fitText w:val="96" w:id="-629967601"/>
                <w:lang w:val="en-AU"/>
                <w14:textFill>
                  <w14:solidFill>
                    <w14:schemeClr w14:val="tx1">
                      <w14:alpha w14:val="100000"/>
                    </w14:schemeClr>
                  </w14:solidFill>
                </w14:textFill>
              </w:rPr>
              <w:t xml:space="preserve">　</w:t>
            </w:r>
            <w:r w:rsidRPr="001F60D7">
              <w:rPr>
                <w:w w:val="21"/>
                <w:szCs w:val="20"/>
                <w:shd w:val="solid" w:color="000000" w:fill="000000"/>
                <w:fitText w:val="96" w:id="-629967601"/>
                <w:lang w:val="en-AU"/>
                <w14:textFill>
                  <w14:solidFill>
                    <w14:schemeClr w14:val="tx1">
                      <w14:alpha w14:val="100000"/>
                    </w14:schemeClr>
                  </w14:solidFill>
                </w14:textFill>
              </w:rPr>
              <w:t>|</w:t>
            </w:r>
            <w:r w:rsidRPr="001F60D7">
              <w:rPr>
                <w:rFonts w:hint="eastAsia"/>
                <w:spacing w:val="5"/>
                <w:w w:val="21"/>
                <w:szCs w:val="20"/>
                <w:shd w:val="solid" w:color="000000" w:fill="000000"/>
                <w:fitText w:val="96" w:id="-629967601"/>
                <w:lang w:val="en-AU"/>
                <w14:textFill>
                  <w14:solidFill>
                    <w14:schemeClr w14:val="tx1">
                      <w14:alpha w14:val="100000"/>
                    </w14:schemeClr>
                  </w14:solidFill>
                </w14:textFill>
              </w:rPr>
              <w:t xml:space="preserve">　</w:t>
            </w:r>
            <w:r w:rsidR="00FE797D" w:rsidRPr="00363E19">
              <w:rPr>
                <w:szCs w:val="20"/>
                <w:lang w:val="en-AU"/>
              </w:rPr>
              <w:t>%</w:t>
            </w:r>
          </w:p>
        </w:tc>
        <w:tc>
          <w:tcPr>
            <w:tcW w:w="611" w:type="pct"/>
            <w:vAlign w:val="center"/>
          </w:tcPr>
          <w:p w14:paraId="61B6EA0F" w14:textId="6774813D" w:rsidR="00FE797D" w:rsidRPr="00363E19" w:rsidRDefault="001F60D7" w:rsidP="00107E32">
            <w:pPr>
              <w:pStyle w:val="TableText0"/>
              <w:jc w:val="center"/>
              <w:rPr>
                <w:szCs w:val="20"/>
                <w:lang w:val="en-AU"/>
              </w:rPr>
            </w:pPr>
            <w:r w:rsidRPr="001F60D7">
              <w:rPr>
                <w:rFonts w:hint="eastAsia"/>
                <w:w w:val="21"/>
                <w:szCs w:val="20"/>
                <w:shd w:val="solid" w:color="000000" w:fill="000000"/>
                <w:fitText w:val="96" w:id="-629967600"/>
                <w:lang w:val="en-AU"/>
                <w14:textFill>
                  <w14:solidFill>
                    <w14:schemeClr w14:val="tx1">
                      <w14:alpha w14:val="100000"/>
                    </w14:schemeClr>
                  </w14:solidFill>
                </w14:textFill>
              </w:rPr>
              <w:t xml:space="preserve">　</w:t>
            </w:r>
            <w:r w:rsidRPr="001F60D7">
              <w:rPr>
                <w:w w:val="21"/>
                <w:szCs w:val="20"/>
                <w:shd w:val="solid" w:color="000000" w:fill="000000"/>
                <w:fitText w:val="96" w:id="-629967600"/>
                <w:lang w:val="en-AU"/>
                <w14:textFill>
                  <w14:solidFill>
                    <w14:schemeClr w14:val="tx1">
                      <w14:alpha w14:val="100000"/>
                    </w14:schemeClr>
                  </w14:solidFill>
                </w14:textFill>
              </w:rPr>
              <w:t>|</w:t>
            </w:r>
            <w:r w:rsidRPr="001F60D7">
              <w:rPr>
                <w:rFonts w:hint="eastAsia"/>
                <w:spacing w:val="5"/>
                <w:w w:val="21"/>
                <w:szCs w:val="20"/>
                <w:shd w:val="solid" w:color="000000" w:fill="000000"/>
                <w:fitText w:val="96" w:id="-629967600"/>
                <w:lang w:val="en-AU"/>
                <w14:textFill>
                  <w14:solidFill>
                    <w14:schemeClr w14:val="tx1">
                      <w14:alpha w14:val="100000"/>
                    </w14:schemeClr>
                  </w14:solidFill>
                </w14:textFill>
              </w:rPr>
              <w:t xml:space="preserve">　</w:t>
            </w:r>
            <w:r w:rsidR="00FE797D" w:rsidRPr="00363E19">
              <w:rPr>
                <w:szCs w:val="20"/>
                <w:lang w:val="en-AU"/>
              </w:rPr>
              <w:t>%</w:t>
            </w:r>
          </w:p>
        </w:tc>
        <w:tc>
          <w:tcPr>
            <w:tcW w:w="612" w:type="pct"/>
            <w:vAlign w:val="center"/>
          </w:tcPr>
          <w:p w14:paraId="413E337E" w14:textId="5FEE2187" w:rsidR="00FE797D" w:rsidRPr="00363E19" w:rsidRDefault="001F60D7" w:rsidP="00107E32">
            <w:pPr>
              <w:pStyle w:val="TableText0"/>
              <w:jc w:val="center"/>
              <w:rPr>
                <w:szCs w:val="20"/>
                <w:lang w:val="en-AU"/>
              </w:rPr>
            </w:pPr>
            <w:r w:rsidRPr="001F60D7">
              <w:rPr>
                <w:rFonts w:hint="eastAsia"/>
                <w:w w:val="21"/>
                <w:szCs w:val="20"/>
                <w:shd w:val="solid" w:color="000000" w:fill="000000"/>
                <w:fitText w:val="96" w:id="-629967616"/>
                <w:lang w:val="en-AU"/>
                <w14:textFill>
                  <w14:solidFill>
                    <w14:schemeClr w14:val="tx1">
                      <w14:alpha w14:val="100000"/>
                    </w14:schemeClr>
                  </w14:solidFill>
                </w14:textFill>
              </w:rPr>
              <w:t xml:space="preserve">　</w:t>
            </w:r>
            <w:r w:rsidRPr="001F60D7">
              <w:rPr>
                <w:w w:val="21"/>
                <w:szCs w:val="20"/>
                <w:shd w:val="solid" w:color="000000" w:fill="000000"/>
                <w:fitText w:val="96" w:id="-629967616"/>
                <w:lang w:val="en-AU"/>
                <w14:textFill>
                  <w14:solidFill>
                    <w14:schemeClr w14:val="tx1">
                      <w14:alpha w14:val="100000"/>
                    </w14:schemeClr>
                  </w14:solidFill>
                </w14:textFill>
              </w:rPr>
              <w:t>|</w:t>
            </w:r>
            <w:r w:rsidRPr="001F60D7">
              <w:rPr>
                <w:rFonts w:hint="eastAsia"/>
                <w:spacing w:val="5"/>
                <w:w w:val="21"/>
                <w:szCs w:val="20"/>
                <w:shd w:val="solid" w:color="000000" w:fill="000000"/>
                <w:fitText w:val="96" w:id="-629967616"/>
                <w:lang w:val="en-AU"/>
                <w14:textFill>
                  <w14:solidFill>
                    <w14:schemeClr w14:val="tx1">
                      <w14:alpha w14:val="100000"/>
                    </w14:schemeClr>
                  </w14:solidFill>
                </w14:textFill>
              </w:rPr>
              <w:t xml:space="preserve">　</w:t>
            </w:r>
            <w:r w:rsidR="00FE797D" w:rsidRPr="00363E19">
              <w:rPr>
                <w:szCs w:val="20"/>
                <w:lang w:val="en-AU"/>
              </w:rPr>
              <w:t>%</w:t>
            </w:r>
          </w:p>
        </w:tc>
      </w:tr>
      <w:tr w:rsidR="00FE797D" w:rsidRPr="00FE7861" w14:paraId="5949AD6B" w14:textId="77777777" w:rsidTr="00107E32">
        <w:tc>
          <w:tcPr>
            <w:tcW w:w="1333" w:type="pct"/>
            <w:vAlign w:val="center"/>
          </w:tcPr>
          <w:p w14:paraId="7D59538B" w14:textId="358330EB" w:rsidR="00FE797D" w:rsidRPr="00FE7861" w:rsidRDefault="00FE797D" w:rsidP="00FE797D">
            <w:pPr>
              <w:pStyle w:val="TableText0"/>
              <w:rPr>
                <w:lang w:val="en-AU"/>
              </w:rPr>
            </w:pPr>
            <w:r w:rsidRPr="00FE7861">
              <w:rPr>
                <w:szCs w:val="20"/>
                <w:lang w:val="en-AU"/>
              </w:rPr>
              <w:t>New patients initiating leniolisib</w:t>
            </w:r>
            <w:r w:rsidRPr="00FE7861">
              <w:rPr>
                <w:szCs w:val="20"/>
                <w:vertAlign w:val="superscript"/>
                <w:lang w:val="en-AU"/>
              </w:rPr>
              <w:t>a</w:t>
            </w:r>
          </w:p>
        </w:tc>
        <w:tc>
          <w:tcPr>
            <w:tcW w:w="611" w:type="pct"/>
            <w:vAlign w:val="center"/>
          </w:tcPr>
          <w:p w14:paraId="66E6EB10" w14:textId="7FA96569"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15"/>
                <w:lang w:val="en-AU"/>
                <w14:textFill>
                  <w14:solidFill>
                    <w14:schemeClr w14:val="tx1">
                      <w14:alpha w14:val="100000"/>
                    </w14:schemeClr>
                  </w14:solidFill>
                </w14:textFill>
              </w:rPr>
              <w:t xml:space="preserve">　</w:t>
            </w:r>
            <w:r w:rsidRPr="001F60D7">
              <w:rPr>
                <w:w w:val="16"/>
                <w:szCs w:val="20"/>
                <w:shd w:val="solid" w:color="000000" w:fill="000000"/>
                <w:fitText w:val="72" w:id="-629967615"/>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15"/>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43D4B07C" w14:textId="04C5292B"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14"/>
                <w:lang w:val="en-AU"/>
                <w14:textFill>
                  <w14:solidFill>
                    <w14:schemeClr w14:val="tx1">
                      <w14:alpha w14:val="100000"/>
                    </w14:schemeClr>
                  </w14:solidFill>
                </w14:textFill>
              </w:rPr>
              <w:t xml:space="preserve">　</w:t>
            </w:r>
            <w:r w:rsidRPr="001F60D7">
              <w:rPr>
                <w:w w:val="16"/>
                <w:szCs w:val="20"/>
                <w:shd w:val="solid" w:color="000000" w:fill="000000"/>
                <w:fitText w:val="72" w:id="-629967614"/>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14"/>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51835F8F" w14:textId="3FC5367A"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13"/>
                <w:lang w:val="en-AU"/>
                <w14:textFill>
                  <w14:solidFill>
                    <w14:schemeClr w14:val="tx1">
                      <w14:alpha w14:val="100000"/>
                    </w14:schemeClr>
                  </w14:solidFill>
                </w14:textFill>
              </w:rPr>
              <w:t xml:space="preserve">　</w:t>
            </w:r>
            <w:r w:rsidRPr="001F60D7">
              <w:rPr>
                <w:w w:val="16"/>
                <w:szCs w:val="20"/>
                <w:shd w:val="solid" w:color="000000" w:fill="000000"/>
                <w:fitText w:val="72" w:id="-629967613"/>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13"/>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37F5DAF9" w14:textId="24833B78"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12"/>
                <w:lang w:val="en-AU"/>
                <w14:textFill>
                  <w14:solidFill>
                    <w14:schemeClr w14:val="tx1">
                      <w14:alpha w14:val="100000"/>
                    </w14:schemeClr>
                  </w14:solidFill>
                </w14:textFill>
              </w:rPr>
              <w:t xml:space="preserve">　</w:t>
            </w:r>
            <w:r w:rsidRPr="001F60D7">
              <w:rPr>
                <w:w w:val="16"/>
                <w:szCs w:val="20"/>
                <w:shd w:val="solid" w:color="000000" w:fill="000000"/>
                <w:fitText w:val="72" w:id="-629967612"/>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12"/>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6DDE5D1E" w14:textId="79F2A7DA"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11"/>
                <w:lang w:val="en-AU"/>
                <w14:textFill>
                  <w14:solidFill>
                    <w14:schemeClr w14:val="tx1">
                      <w14:alpha w14:val="100000"/>
                    </w14:schemeClr>
                  </w14:solidFill>
                </w14:textFill>
              </w:rPr>
              <w:t xml:space="preserve">　</w:t>
            </w:r>
            <w:r w:rsidRPr="001F60D7">
              <w:rPr>
                <w:w w:val="16"/>
                <w:szCs w:val="20"/>
                <w:shd w:val="solid" w:color="000000" w:fill="000000"/>
                <w:fitText w:val="72" w:id="-629967611"/>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11"/>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2" w:type="pct"/>
            <w:vAlign w:val="center"/>
          </w:tcPr>
          <w:p w14:paraId="06A73FDD" w14:textId="13A667D6"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10"/>
                <w:lang w:val="en-AU"/>
                <w14:textFill>
                  <w14:solidFill>
                    <w14:schemeClr w14:val="tx1">
                      <w14:alpha w14:val="100000"/>
                    </w14:schemeClr>
                  </w14:solidFill>
                </w14:textFill>
              </w:rPr>
              <w:t xml:space="preserve">　</w:t>
            </w:r>
            <w:r w:rsidRPr="001F60D7">
              <w:rPr>
                <w:w w:val="16"/>
                <w:szCs w:val="20"/>
                <w:shd w:val="solid" w:color="000000" w:fill="000000"/>
                <w:fitText w:val="72" w:id="-629967610"/>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10"/>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r>
      <w:tr w:rsidR="00FE797D" w:rsidRPr="00FE7861" w14:paraId="48705431" w14:textId="77777777" w:rsidTr="00107E32">
        <w:tc>
          <w:tcPr>
            <w:tcW w:w="1333" w:type="pct"/>
            <w:vAlign w:val="center"/>
          </w:tcPr>
          <w:p w14:paraId="19561498" w14:textId="04F88722" w:rsidR="00FE797D" w:rsidRPr="00FE7861" w:rsidRDefault="00FE797D" w:rsidP="00FE797D">
            <w:pPr>
              <w:pStyle w:val="TableText0"/>
              <w:rPr>
                <w:lang w:val="en-AU"/>
              </w:rPr>
            </w:pPr>
            <w:r w:rsidRPr="00FE7861">
              <w:rPr>
                <w:szCs w:val="20"/>
                <w:lang w:val="en-AU"/>
              </w:rPr>
              <w:t>Patients receiving treatment, year beginning</w:t>
            </w:r>
            <w:r w:rsidRPr="00FE7861">
              <w:rPr>
                <w:szCs w:val="20"/>
                <w:vertAlign w:val="superscript"/>
                <w:lang w:val="en-AU"/>
              </w:rPr>
              <w:t>b</w:t>
            </w:r>
          </w:p>
        </w:tc>
        <w:tc>
          <w:tcPr>
            <w:tcW w:w="611" w:type="pct"/>
            <w:vAlign w:val="center"/>
          </w:tcPr>
          <w:p w14:paraId="1660C4EB" w14:textId="3AA9BB19"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09"/>
                <w:lang w:val="en-AU"/>
                <w14:textFill>
                  <w14:solidFill>
                    <w14:schemeClr w14:val="tx1">
                      <w14:alpha w14:val="100000"/>
                    </w14:schemeClr>
                  </w14:solidFill>
                </w14:textFill>
              </w:rPr>
              <w:t xml:space="preserve">　</w:t>
            </w:r>
            <w:r w:rsidRPr="001F60D7">
              <w:rPr>
                <w:w w:val="16"/>
                <w:szCs w:val="20"/>
                <w:shd w:val="solid" w:color="000000" w:fill="000000"/>
                <w:fitText w:val="72" w:id="-629967609"/>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09"/>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196F199B" w14:textId="04719689"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08"/>
                <w:lang w:val="en-AU"/>
                <w14:textFill>
                  <w14:solidFill>
                    <w14:schemeClr w14:val="tx1">
                      <w14:alpha w14:val="100000"/>
                    </w14:schemeClr>
                  </w14:solidFill>
                </w14:textFill>
              </w:rPr>
              <w:t xml:space="preserve">　</w:t>
            </w:r>
            <w:r w:rsidRPr="001F60D7">
              <w:rPr>
                <w:w w:val="16"/>
                <w:szCs w:val="20"/>
                <w:shd w:val="solid" w:color="000000" w:fill="000000"/>
                <w:fitText w:val="72" w:id="-629967608"/>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08"/>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5636058E" w14:textId="6347E1CD"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07"/>
                <w:lang w:val="en-AU"/>
                <w14:textFill>
                  <w14:solidFill>
                    <w14:schemeClr w14:val="tx1">
                      <w14:alpha w14:val="100000"/>
                    </w14:schemeClr>
                  </w14:solidFill>
                </w14:textFill>
              </w:rPr>
              <w:t xml:space="preserve">　</w:t>
            </w:r>
            <w:r w:rsidRPr="001F60D7">
              <w:rPr>
                <w:w w:val="16"/>
                <w:szCs w:val="20"/>
                <w:shd w:val="solid" w:color="000000" w:fill="000000"/>
                <w:fitText w:val="72" w:id="-629967607"/>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07"/>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718005E7" w14:textId="09A1FEFB"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606"/>
                <w:lang w:val="en-AU"/>
                <w14:textFill>
                  <w14:solidFill>
                    <w14:schemeClr w14:val="tx1">
                      <w14:alpha w14:val="100000"/>
                    </w14:schemeClr>
                  </w14:solidFill>
                </w14:textFill>
              </w:rPr>
              <w:t xml:space="preserve">　</w:t>
            </w:r>
            <w:r w:rsidRPr="001F60D7">
              <w:rPr>
                <w:w w:val="16"/>
                <w:szCs w:val="20"/>
                <w:shd w:val="solid" w:color="000000" w:fill="000000"/>
                <w:fitText w:val="72" w:id="-62996760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606"/>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576F6FA5" w14:textId="45A01A1C"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60"/>
                <w:lang w:val="en-AU"/>
                <w14:textFill>
                  <w14:solidFill>
                    <w14:schemeClr w14:val="tx1">
                      <w14:alpha w14:val="100000"/>
                    </w14:schemeClr>
                  </w14:solidFill>
                </w14:textFill>
              </w:rPr>
              <w:t xml:space="preserve">　</w:t>
            </w:r>
            <w:r w:rsidRPr="001F60D7">
              <w:rPr>
                <w:w w:val="16"/>
                <w:szCs w:val="20"/>
                <w:shd w:val="solid" w:color="000000" w:fill="000000"/>
                <w:fitText w:val="72" w:id="-629967360"/>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60"/>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2" w:type="pct"/>
            <w:vAlign w:val="center"/>
          </w:tcPr>
          <w:p w14:paraId="691AE92D" w14:textId="203B6946"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9"/>
                <w:lang w:val="en-AU"/>
                <w14:textFill>
                  <w14:solidFill>
                    <w14:schemeClr w14:val="tx1">
                      <w14:alpha w14:val="100000"/>
                    </w14:schemeClr>
                  </w14:solidFill>
                </w14:textFill>
              </w:rPr>
              <w:t xml:space="preserve">　</w:t>
            </w:r>
            <w:r w:rsidRPr="001F60D7">
              <w:rPr>
                <w:w w:val="16"/>
                <w:szCs w:val="20"/>
                <w:shd w:val="solid" w:color="000000" w:fill="000000"/>
                <w:fitText w:val="72" w:id="-629967359"/>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9"/>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r>
      <w:tr w:rsidR="00FE797D" w:rsidRPr="00FE7861" w14:paraId="46D18442" w14:textId="77777777" w:rsidTr="00107E32">
        <w:tc>
          <w:tcPr>
            <w:tcW w:w="1333" w:type="pct"/>
            <w:vAlign w:val="center"/>
          </w:tcPr>
          <w:p w14:paraId="4F1CF1D7" w14:textId="4D64DC12" w:rsidR="00FE797D" w:rsidRPr="00FE7861" w:rsidRDefault="00FE797D" w:rsidP="00FE797D">
            <w:pPr>
              <w:pStyle w:val="TableText0"/>
              <w:rPr>
                <w:szCs w:val="20"/>
                <w:lang w:val="en-AU"/>
              </w:rPr>
            </w:pPr>
            <w:r w:rsidRPr="00FE7861">
              <w:rPr>
                <w:szCs w:val="20"/>
                <w:lang w:val="en-AU"/>
              </w:rPr>
              <w:t>Patients receiving SoC</w:t>
            </w:r>
            <w:r w:rsidRPr="00FE7861">
              <w:rPr>
                <w:szCs w:val="20"/>
                <w:vertAlign w:val="superscript"/>
                <w:lang w:val="en-AU"/>
              </w:rPr>
              <w:t>c</w:t>
            </w:r>
          </w:p>
        </w:tc>
        <w:tc>
          <w:tcPr>
            <w:tcW w:w="611" w:type="pct"/>
            <w:vAlign w:val="center"/>
          </w:tcPr>
          <w:p w14:paraId="2476A1F2" w14:textId="3F622C43"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8"/>
                <w:lang w:val="en-AU"/>
                <w14:textFill>
                  <w14:solidFill>
                    <w14:schemeClr w14:val="tx1">
                      <w14:alpha w14:val="100000"/>
                    </w14:schemeClr>
                  </w14:solidFill>
                </w14:textFill>
              </w:rPr>
              <w:t xml:space="preserve">　</w:t>
            </w:r>
            <w:r w:rsidRPr="001F60D7">
              <w:rPr>
                <w:w w:val="16"/>
                <w:szCs w:val="20"/>
                <w:shd w:val="solid" w:color="000000" w:fill="000000"/>
                <w:fitText w:val="72" w:id="-629967358"/>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8"/>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762F7669" w14:textId="6A296746"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7"/>
                <w:lang w:val="en-AU"/>
                <w14:textFill>
                  <w14:solidFill>
                    <w14:schemeClr w14:val="tx1">
                      <w14:alpha w14:val="100000"/>
                    </w14:schemeClr>
                  </w14:solidFill>
                </w14:textFill>
              </w:rPr>
              <w:t xml:space="preserve">　</w:t>
            </w:r>
            <w:r w:rsidRPr="001F60D7">
              <w:rPr>
                <w:w w:val="16"/>
                <w:szCs w:val="20"/>
                <w:shd w:val="solid" w:color="000000" w:fill="000000"/>
                <w:fitText w:val="72" w:id="-629967357"/>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7"/>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15DE8E83" w14:textId="25F1B6D8"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6"/>
                <w:lang w:val="en-AU"/>
                <w14:textFill>
                  <w14:solidFill>
                    <w14:schemeClr w14:val="tx1">
                      <w14:alpha w14:val="100000"/>
                    </w14:schemeClr>
                  </w14:solidFill>
                </w14:textFill>
              </w:rPr>
              <w:t xml:space="preserve">　</w:t>
            </w:r>
            <w:r w:rsidRPr="001F60D7">
              <w:rPr>
                <w:w w:val="16"/>
                <w:szCs w:val="20"/>
                <w:shd w:val="solid" w:color="000000" w:fill="000000"/>
                <w:fitText w:val="72" w:id="-62996735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6"/>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160DEE84" w14:textId="0F09456B"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5"/>
                <w:lang w:val="en-AU"/>
                <w14:textFill>
                  <w14:solidFill>
                    <w14:schemeClr w14:val="tx1">
                      <w14:alpha w14:val="100000"/>
                    </w14:schemeClr>
                  </w14:solidFill>
                </w14:textFill>
              </w:rPr>
              <w:t xml:space="preserve">　</w:t>
            </w:r>
            <w:r w:rsidRPr="001F60D7">
              <w:rPr>
                <w:w w:val="16"/>
                <w:szCs w:val="20"/>
                <w:shd w:val="solid" w:color="000000" w:fill="000000"/>
                <w:fitText w:val="72" w:id="-629967355"/>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5"/>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1" w:type="pct"/>
            <w:vAlign w:val="center"/>
          </w:tcPr>
          <w:p w14:paraId="2F83F6E6" w14:textId="773E4C88"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4"/>
                <w:lang w:val="en-AU"/>
                <w14:textFill>
                  <w14:solidFill>
                    <w14:schemeClr w14:val="tx1">
                      <w14:alpha w14:val="100000"/>
                    </w14:schemeClr>
                  </w14:solidFill>
                </w14:textFill>
              </w:rPr>
              <w:t xml:space="preserve">　</w:t>
            </w:r>
            <w:r w:rsidRPr="001F60D7">
              <w:rPr>
                <w:w w:val="16"/>
                <w:szCs w:val="20"/>
                <w:shd w:val="solid" w:color="000000" w:fill="000000"/>
                <w:fitText w:val="72" w:id="-629967354"/>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4"/>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c>
          <w:tcPr>
            <w:tcW w:w="612" w:type="pct"/>
            <w:vAlign w:val="center"/>
          </w:tcPr>
          <w:p w14:paraId="74A3B130" w14:textId="771F1933" w:rsidR="00FE797D" w:rsidRPr="00DF050F"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3"/>
                <w:lang w:val="en-AU"/>
                <w14:textFill>
                  <w14:solidFill>
                    <w14:schemeClr w14:val="tx1">
                      <w14:alpha w14:val="100000"/>
                    </w14:schemeClr>
                  </w14:solidFill>
                </w14:textFill>
              </w:rPr>
              <w:t xml:space="preserve">　</w:t>
            </w:r>
            <w:r w:rsidRPr="001F60D7">
              <w:rPr>
                <w:w w:val="16"/>
                <w:szCs w:val="20"/>
                <w:shd w:val="solid" w:color="000000" w:fill="000000"/>
                <w:fitText w:val="72" w:id="-629967353"/>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3"/>
                <w:lang w:val="en-AU"/>
                <w14:textFill>
                  <w14:solidFill>
                    <w14:schemeClr w14:val="tx1">
                      <w14:alpha w14:val="100000"/>
                    </w14:schemeClr>
                  </w14:solidFill>
                </w14:textFill>
              </w:rPr>
              <w:t xml:space="preserve">　</w:t>
            </w:r>
            <w:r w:rsidR="00DF050F" w:rsidRPr="00DF050F">
              <w:rPr>
                <w:color w:val="000000"/>
                <w:szCs w:val="20"/>
                <w:vertAlign w:val="superscript"/>
                <w:lang w:val="en-AU"/>
              </w:rPr>
              <w:t>1</w:t>
            </w:r>
          </w:p>
        </w:tc>
      </w:tr>
      <w:tr w:rsidR="00FE797D" w:rsidRPr="00FE7861" w14:paraId="2F593C1D" w14:textId="77777777" w:rsidTr="00107E32">
        <w:tc>
          <w:tcPr>
            <w:tcW w:w="1333" w:type="pct"/>
            <w:vAlign w:val="center"/>
          </w:tcPr>
          <w:p w14:paraId="0146CA48" w14:textId="315B8BA3" w:rsidR="00FE797D" w:rsidRPr="00FE7861" w:rsidRDefault="00FE797D" w:rsidP="00FE797D">
            <w:pPr>
              <w:pStyle w:val="TableText0"/>
              <w:rPr>
                <w:szCs w:val="20"/>
                <w:lang w:val="en-AU"/>
              </w:rPr>
            </w:pPr>
            <w:r w:rsidRPr="00FE7861">
              <w:rPr>
                <w:color w:val="000000"/>
                <w:szCs w:val="20"/>
                <w:lang w:val="en-AU"/>
              </w:rPr>
              <w:t>Patients on treatment, year-end</w:t>
            </w:r>
            <w:r w:rsidRPr="00FE7861">
              <w:rPr>
                <w:szCs w:val="20"/>
                <w:vertAlign w:val="superscript"/>
                <w:lang w:val="en-AU"/>
              </w:rPr>
              <w:t>d</w:t>
            </w:r>
          </w:p>
        </w:tc>
        <w:tc>
          <w:tcPr>
            <w:tcW w:w="611" w:type="pct"/>
            <w:vAlign w:val="center"/>
          </w:tcPr>
          <w:p w14:paraId="13CAE09C" w14:textId="2FA6DCD3"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52"/>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52"/>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52"/>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691779D7" w14:textId="1FD7E65C"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51"/>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51"/>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51"/>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44AA2926" w14:textId="7B40BD81"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50"/>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50"/>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50"/>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4EF97883" w14:textId="4B552467"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49"/>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49"/>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49"/>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53910E08" w14:textId="2D804E22"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48"/>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48"/>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48"/>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2" w:type="pct"/>
            <w:vAlign w:val="center"/>
          </w:tcPr>
          <w:p w14:paraId="7ED43DF1" w14:textId="53F7B37F"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47"/>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47"/>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47"/>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r>
      <w:tr w:rsidR="00FE797D" w:rsidRPr="00FE7861" w14:paraId="136AF045" w14:textId="77777777" w:rsidTr="00107E32">
        <w:tc>
          <w:tcPr>
            <w:tcW w:w="1333" w:type="pct"/>
            <w:vAlign w:val="center"/>
          </w:tcPr>
          <w:p w14:paraId="281E284A" w14:textId="2008B1AD" w:rsidR="00FE797D" w:rsidRPr="00FE7861" w:rsidRDefault="00FE797D" w:rsidP="00FE797D">
            <w:pPr>
              <w:pStyle w:val="TableText0"/>
              <w:rPr>
                <w:szCs w:val="20"/>
                <w:lang w:val="en-AU"/>
              </w:rPr>
            </w:pPr>
            <w:r w:rsidRPr="00FE7861">
              <w:rPr>
                <w:color w:val="000000"/>
                <w:szCs w:val="20"/>
                <w:lang w:val="en-AU"/>
              </w:rPr>
              <w:t>Packs</w:t>
            </w:r>
            <w:r w:rsidRPr="00FE7861">
              <w:rPr>
                <w:szCs w:val="20"/>
                <w:vertAlign w:val="superscript"/>
                <w:lang w:val="en-AU"/>
              </w:rPr>
              <w:t>e</w:t>
            </w:r>
          </w:p>
        </w:tc>
        <w:tc>
          <w:tcPr>
            <w:tcW w:w="611" w:type="pct"/>
            <w:vAlign w:val="center"/>
          </w:tcPr>
          <w:p w14:paraId="27FC6072" w14:textId="6729039A"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46"/>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46"/>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46"/>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180CCCC9" w14:textId="6717F142"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45"/>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45"/>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45"/>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3E18E68E" w14:textId="14355B36"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44"/>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44"/>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44"/>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5C519D84" w14:textId="2F97FEEB"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60"/>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60"/>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60"/>
                <w:lang w:val="en-AU"/>
                <w14:textFill>
                  <w14:solidFill>
                    <w14:srgbClr w14:val="000000">
                      <w14:alpha w14:val="100000"/>
                    </w14:srgbClr>
                  </w14:solidFill>
                </w14:textFill>
              </w:rPr>
              <w:t xml:space="preserve">　</w:t>
            </w:r>
            <w:r w:rsidR="00DF050F" w:rsidRPr="00DF050F">
              <w:rPr>
                <w:color w:val="000000"/>
                <w:szCs w:val="20"/>
                <w:vertAlign w:val="superscript"/>
                <w:lang w:val="en-AU"/>
              </w:rPr>
              <w:t>1</w:t>
            </w:r>
          </w:p>
        </w:tc>
        <w:tc>
          <w:tcPr>
            <w:tcW w:w="611" w:type="pct"/>
            <w:vAlign w:val="center"/>
          </w:tcPr>
          <w:p w14:paraId="4214B92E" w14:textId="3E732EA8"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59"/>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59"/>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59"/>
                <w:lang w:val="en-AU"/>
                <w14:textFill>
                  <w14:solidFill>
                    <w14:srgbClr w14:val="000000">
                      <w14:alpha w14:val="100000"/>
                    </w14:srgbClr>
                  </w14:solidFill>
                </w14:textFill>
              </w:rPr>
              <w:t xml:space="preserve">　</w:t>
            </w:r>
            <w:r w:rsidR="00363E19" w:rsidRPr="00363E19">
              <w:rPr>
                <w:color w:val="000000"/>
                <w:szCs w:val="20"/>
                <w:vertAlign w:val="superscript"/>
                <w:lang w:val="en-AU"/>
              </w:rPr>
              <w:t>2</w:t>
            </w:r>
          </w:p>
        </w:tc>
        <w:tc>
          <w:tcPr>
            <w:tcW w:w="612" w:type="pct"/>
            <w:vAlign w:val="center"/>
          </w:tcPr>
          <w:p w14:paraId="3010E697" w14:textId="0DDAC515" w:rsidR="00FE797D" w:rsidRPr="00DF050F" w:rsidRDefault="001F60D7" w:rsidP="00107E32">
            <w:pPr>
              <w:pStyle w:val="TableText0"/>
              <w:jc w:val="center"/>
              <w:rPr>
                <w:szCs w:val="20"/>
                <w:highlight w:val="darkGray"/>
                <w:lang w:val="en-AU"/>
              </w:rPr>
            </w:pPr>
            <w:r w:rsidRPr="001F60D7">
              <w:rPr>
                <w:rFonts w:hint="eastAsia"/>
                <w:color w:val="000000"/>
                <w:w w:val="16"/>
                <w:szCs w:val="20"/>
                <w:shd w:val="solid" w:color="000000" w:fill="000000"/>
                <w:fitText w:val="72" w:id="-629967358"/>
                <w:lang w:val="en-AU"/>
                <w14:textFill>
                  <w14:solidFill>
                    <w14:srgbClr w14:val="000000">
                      <w14:alpha w14:val="100000"/>
                    </w14:srgbClr>
                  </w14:solidFill>
                </w14:textFill>
              </w:rPr>
              <w:t xml:space="preserve">　</w:t>
            </w:r>
            <w:r w:rsidRPr="001F60D7">
              <w:rPr>
                <w:color w:val="000000"/>
                <w:w w:val="16"/>
                <w:szCs w:val="20"/>
                <w:shd w:val="solid" w:color="000000" w:fill="000000"/>
                <w:fitText w:val="72" w:id="-629967358"/>
                <w:lang w:val="en-AU"/>
                <w14:textFill>
                  <w14:solidFill>
                    <w14:srgbClr w14:val="000000">
                      <w14:alpha w14:val="100000"/>
                    </w14:srgbClr>
                  </w14:solidFill>
                </w14:textFill>
              </w:rPr>
              <w:t>|</w:t>
            </w:r>
            <w:r w:rsidRPr="001F60D7">
              <w:rPr>
                <w:rFonts w:hint="eastAsia"/>
                <w:color w:val="000000"/>
                <w:spacing w:val="2"/>
                <w:w w:val="16"/>
                <w:szCs w:val="20"/>
                <w:shd w:val="solid" w:color="000000" w:fill="000000"/>
                <w:fitText w:val="72" w:id="-629967358"/>
                <w:lang w:val="en-AU"/>
                <w14:textFill>
                  <w14:solidFill>
                    <w14:srgbClr w14:val="000000">
                      <w14:alpha w14:val="100000"/>
                    </w14:srgbClr>
                  </w14:solidFill>
                </w14:textFill>
              </w:rPr>
              <w:t xml:space="preserve">　</w:t>
            </w:r>
            <w:r w:rsidR="00363E19" w:rsidRPr="00363E19">
              <w:rPr>
                <w:color w:val="000000"/>
                <w:szCs w:val="20"/>
                <w:vertAlign w:val="superscript"/>
                <w:lang w:val="en-AU"/>
              </w:rPr>
              <w:t>2</w:t>
            </w:r>
          </w:p>
        </w:tc>
      </w:tr>
      <w:tr w:rsidR="00FE797D" w:rsidRPr="00FE7861" w14:paraId="50B492AE" w14:textId="77777777" w:rsidTr="00107E32">
        <w:tc>
          <w:tcPr>
            <w:tcW w:w="1333" w:type="pct"/>
            <w:vAlign w:val="center"/>
          </w:tcPr>
          <w:p w14:paraId="6785FC79" w14:textId="087A4FBB" w:rsidR="00FE797D" w:rsidRPr="00FE7861" w:rsidRDefault="00FE797D" w:rsidP="00FE797D">
            <w:pPr>
              <w:pStyle w:val="TableText0"/>
              <w:rPr>
                <w:szCs w:val="20"/>
                <w:lang w:val="en-AU"/>
              </w:rPr>
            </w:pPr>
            <w:r w:rsidRPr="00FE7861">
              <w:rPr>
                <w:szCs w:val="20"/>
                <w:lang w:val="en-AU"/>
              </w:rPr>
              <w:t>Leniolisib net PBS cost (eff</w:t>
            </w:r>
            <w:r w:rsidR="00B91400" w:rsidRPr="00FE7861">
              <w:rPr>
                <w:szCs w:val="20"/>
                <w:lang w:val="en-AU"/>
              </w:rPr>
              <w:t>ective</w:t>
            </w:r>
            <w:r w:rsidRPr="00FE7861">
              <w:rPr>
                <w:szCs w:val="20"/>
                <w:lang w:val="en-AU"/>
              </w:rPr>
              <w:t>)</w:t>
            </w:r>
          </w:p>
        </w:tc>
        <w:tc>
          <w:tcPr>
            <w:tcW w:w="611" w:type="pct"/>
            <w:vAlign w:val="center"/>
          </w:tcPr>
          <w:p w14:paraId="1A33AA7E" w14:textId="44DDE1B3" w:rsidR="00FE797D" w:rsidRPr="00AE54DD"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7"/>
                <w:lang w:val="en-AU"/>
                <w14:textFill>
                  <w14:solidFill>
                    <w14:schemeClr w14:val="tx1">
                      <w14:alpha w14:val="100000"/>
                    </w14:schemeClr>
                  </w14:solidFill>
                </w14:textFill>
              </w:rPr>
              <w:t xml:space="preserve">　</w:t>
            </w:r>
            <w:r w:rsidRPr="001F60D7">
              <w:rPr>
                <w:w w:val="16"/>
                <w:szCs w:val="20"/>
                <w:shd w:val="solid" w:color="000000" w:fill="000000"/>
                <w:fitText w:val="72" w:id="-629967357"/>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7"/>
                <w:lang w:val="en-AU"/>
                <w14:textFill>
                  <w14:solidFill>
                    <w14:schemeClr w14:val="tx1">
                      <w14:alpha w14:val="100000"/>
                    </w14:schemeClr>
                  </w14:solidFill>
                </w14:textFill>
              </w:rPr>
              <w:t xml:space="preserve">　</w:t>
            </w:r>
            <w:r w:rsidR="00F36E9E" w:rsidRPr="00F36E9E">
              <w:rPr>
                <w:szCs w:val="20"/>
                <w:vertAlign w:val="superscript"/>
                <w:lang w:val="en-AU"/>
              </w:rPr>
              <w:t>3</w:t>
            </w:r>
          </w:p>
        </w:tc>
        <w:tc>
          <w:tcPr>
            <w:tcW w:w="611" w:type="pct"/>
            <w:vAlign w:val="center"/>
          </w:tcPr>
          <w:p w14:paraId="4B2052E7" w14:textId="02E6FAED" w:rsidR="00FE797D" w:rsidRPr="00AE54DD"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6"/>
                <w:lang w:val="en-AU"/>
                <w14:textFill>
                  <w14:solidFill>
                    <w14:schemeClr w14:val="tx1">
                      <w14:alpha w14:val="100000"/>
                    </w14:schemeClr>
                  </w14:solidFill>
                </w14:textFill>
              </w:rPr>
              <w:t xml:space="preserve">　</w:t>
            </w:r>
            <w:r w:rsidRPr="001F60D7">
              <w:rPr>
                <w:w w:val="16"/>
                <w:szCs w:val="20"/>
                <w:shd w:val="solid" w:color="000000" w:fill="000000"/>
                <w:fitText w:val="72" w:id="-62996735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6"/>
                <w:lang w:val="en-AU"/>
                <w14:textFill>
                  <w14:solidFill>
                    <w14:schemeClr w14:val="tx1">
                      <w14:alpha w14:val="100000"/>
                    </w14:schemeClr>
                  </w14:solidFill>
                </w14:textFill>
              </w:rPr>
              <w:t xml:space="preserve">　</w:t>
            </w:r>
            <w:r w:rsidR="00D55D2F" w:rsidRPr="00BB0AA7">
              <w:rPr>
                <w:szCs w:val="20"/>
                <w:vertAlign w:val="superscript"/>
                <w:lang w:val="en-AU"/>
              </w:rPr>
              <w:t>4</w:t>
            </w:r>
          </w:p>
        </w:tc>
        <w:tc>
          <w:tcPr>
            <w:tcW w:w="611" w:type="pct"/>
            <w:vAlign w:val="center"/>
          </w:tcPr>
          <w:p w14:paraId="32194B6D" w14:textId="77D57DB5" w:rsidR="00FE797D" w:rsidRPr="00AE54DD"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5"/>
                <w:lang w:val="en-AU"/>
                <w14:textFill>
                  <w14:solidFill>
                    <w14:schemeClr w14:val="tx1">
                      <w14:alpha w14:val="100000"/>
                    </w14:schemeClr>
                  </w14:solidFill>
                </w14:textFill>
              </w:rPr>
              <w:t xml:space="preserve">　</w:t>
            </w:r>
            <w:r w:rsidRPr="001F60D7">
              <w:rPr>
                <w:w w:val="16"/>
                <w:szCs w:val="20"/>
                <w:shd w:val="solid" w:color="000000" w:fill="000000"/>
                <w:fitText w:val="72" w:id="-629967355"/>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5"/>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vAlign w:val="center"/>
          </w:tcPr>
          <w:p w14:paraId="0F6F5078" w14:textId="35D36EB5" w:rsidR="00FE797D" w:rsidRPr="00AE54DD"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4"/>
                <w:lang w:val="en-AU"/>
                <w14:textFill>
                  <w14:solidFill>
                    <w14:schemeClr w14:val="tx1">
                      <w14:alpha w14:val="100000"/>
                    </w14:schemeClr>
                  </w14:solidFill>
                </w14:textFill>
              </w:rPr>
              <w:t xml:space="preserve">　</w:t>
            </w:r>
            <w:r w:rsidRPr="001F60D7">
              <w:rPr>
                <w:w w:val="16"/>
                <w:szCs w:val="20"/>
                <w:shd w:val="solid" w:color="000000" w:fill="000000"/>
                <w:fitText w:val="72" w:id="-629967354"/>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4"/>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vAlign w:val="center"/>
          </w:tcPr>
          <w:p w14:paraId="3C6EC417" w14:textId="485157FF" w:rsidR="00FE797D" w:rsidRPr="00AE54DD"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3"/>
                <w:lang w:val="en-AU"/>
                <w14:textFill>
                  <w14:solidFill>
                    <w14:schemeClr w14:val="tx1">
                      <w14:alpha w14:val="100000"/>
                    </w14:schemeClr>
                  </w14:solidFill>
                </w14:textFill>
              </w:rPr>
              <w:t xml:space="preserve">　</w:t>
            </w:r>
            <w:r w:rsidRPr="001F60D7">
              <w:rPr>
                <w:w w:val="16"/>
                <w:szCs w:val="20"/>
                <w:shd w:val="solid" w:color="000000" w:fill="000000"/>
                <w:fitText w:val="72" w:id="-629967353"/>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3"/>
                <w:lang w:val="en-AU"/>
                <w14:textFill>
                  <w14:solidFill>
                    <w14:schemeClr w14:val="tx1">
                      <w14:alpha w14:val="100000"/>
                    </w14:schemeClr>
                  </w14:solidFill>
                </w14:textFill>
              </w:rPr>
              <w:t xml:space="preserve">　</w:t>
            </w:r>
            <w:r w:rsidR="00A0625E" w:rsidRPr="00A0625E">
              <w:rPr>
                <w:szCs w:val="20"/>
                <w:vertAlign w:val="superscript"/>
                <w:lang w:val="en-AU"/>
              </w:rPr>
              <w:t>5</w:t>
            </w:r>
          </w:p>
        </w:tc>
        <w:tc>
          <w:tcPr>
            <w:tcW w:w="612" w:type="pct"/>
            <w:vAlign w:val="center"/>
          </w:tcPr>
          <w:p w14:paraId="00657E8D" w14:textId="1D11E57A" w:rsidR="00FE797D" w:rsidRPr="00AE54DD"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2"/>
                <w:lang w:val="en-AU"/>
                <w14:textFill>
                  <w14:solidFill>
                    <w14:schemeClr w14:val="tx1">
                      <w14:alpha w14:val="100000"/>
                    </w14:schemeClr>
                  </w14:solidFill>
                </w14:textFill>
              </w:rPr>
              <w:t xml:space="preserve">　</w:t>
            </w:r>
            <w:r w:rsidRPr="001F60D7">
              <w:rPr>
                <w:w w:val="16"/>
                <w:szCs w:val="20"/>
                <w:shd w:val="solid" w:color="000000" w:fill="000000"/>
                <w:fitText w:val="72" w:id="-629967352"/>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2"/>
                <w:lang w:val="en-AU"/>
                <w14:textFill>
                  <w14:solidFill>
                    <w14:schemeClr w14:val="tx1">
                      <w14:alpha w14:val="100000"/>
                    </w14:schemeClr>
                  </w14:solidFill>
                </w14:textFill>
              </w:rPr>
              <w:t xml:space="preserve">　</w:t>
            </w:r>
            <w:r w:rsidR="00A0625E" w:rsidRPr="00A0625E">
              <w:rPr>
                <w:szCs w:val="20"/>
                <w:vertAlign w:val="superscript"/>
                <w:lang w:val="en-AU"/>
              </w:rPr>
              <w:t>5</w:t>
            </w:r>
          </w:p>
        </w:tc>
      </w:tr>
      <w:tr w:rsidR="00107E32" w:rsidRPr="00FE7861" w14:paraId="676922B5" w14:textId="77777777" w:rsidTr="000B4467">
        <w:tc>
          <w:tcPr>
            <w:tcW w:w="1333" w:type="pct"/>
          </w:tcPr>
          <w:p w14:paraId="7849E917" w14:textId="2CA0ACF9" w:rsidR="00107E32" w:rsidRPr="00FE7861" w:rsidRDefault="00107E32" w:rsidP="00107E32">
            <w:pPr>
              <w:pStyle w:val="TableText0"/>
              <w:rPr>
                <w:szCs w:val="20"/>
                <w:lang w:val="en-AU"/>
              </w:rPr>
            </w:pPr>
            <w:r w:rsidRPr="00FE7861">
              <w:rPr>
                <w:szCs w:val="20"/>
                <w:lang w:val="en-AU"/>
              </w:rPr>
              <w:t xml:space="preserve">Net difference in SoC costs with leniolisib listing </w:t>
            </w:r>
          </w:p>
        </w:tc>
        <w:tc>
          <w:tcPr>
            <w:tcW w:w="611" w:type="pct"/>
            <w:vAlign w:val="center"/>
          </w:tcPr>
          <w:p w14:paraId="46800400" w14:textId="765D6A6D" w:rsidR="00107E32" w:rsidRPr="009A31CE"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1"/>
                <w:lang w:val="en-AU"/>
                <w14:textFill>
                  <w14:solidFill>
                    <w14:schemeClr w14:val="tx1">
                      <w14:alpha w14:val="100000"/>
                    </w14:schemeClr>
                  </w14:solidFill>
                </w14:textFill>
              </w:rPr>
              <w:t xml:space="preserve">　</w:t>
            </w:r>
            <w:r w:rsidRPr="001F60D7">
              <w:rPr>
                <w:w w:val="16"/>
                <w:szCs w:val="20"/>
                <w:shd w:val="solid" w:color="000000" w:fill="000000"/>
                <w:fitText w:val="72" w:id="-629967351"/>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1"/>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38265C87" w14:textId="0F126F23" w:rsidR="00107E32" w:rsidRPr="009A31CE"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50"/>
                <w:lang w:val="en-AU"/>
                <w14:textFill>
                  <w14:solidFill>
                    <w14:schemeClr w14:val="tx1">
                      <w14:alpha w14:val="100000"/>
                    </w14:schemeClr>
                  </w14:solidFill>
                </w14:textFill>
              </w:rPr>
              <w:t xml:space="preserve">　</w:t>
            </w:r>
            <w:r w:rsidRPr="001F60D7">
              <w:rPr>
                <w:w w:val="16"/>
                <w:szCs w:val="20"/>
                <w:shd w:val="solid" w:color="000000" w:fill="000000"/>
                <w:fitText w:val="72" w:id="-629967350"/>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0"/>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32B8696E" w14:textId="3D8B71A2" w:rsidR="00107E32" w:rsidRPr="009A31CE"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49"/>
                <w:lang w:val="en-AU"/>
                <w14:textFill>
                  <w14:solidFill>
                    <w14:schemeClr w14:val="tx1">
                      <w14:alpha w14:val="100000"/>
                    </w14:schemeClr>
                  </w14:solidFill>
                </w14:textFill>
              </w:rPr>
              <w:t xml:space="preserve">　</w:t>
            </w:r>
            <w:r w:rsidRPr="001F60D7">
              <w:rPr>
                <w:w w:val="16"/>
                <w:szCs w:val="20"/>
                <w:shd w:val="solid" w:color="000000" w:fill="000000"/>
                <w:fitText w:val="72" w:id="-629967349"/>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9"/>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67B17840" w14:textId="13C6484F" w:rsidR="00107E32" w:rsidRPr="009A31CE"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48"/>
                <w:lang w:val="en-AU"/>
                <w14:textFill>
                  <w14:solidFill>
                    <w14:schemeClr w14:val="tx1">
                      <w14:alpha w14:val="100000"/>
                    </w14:schemeClr>
                  </w14:solidFill>
                </w14:textFill>
              </w:rPr>
              <w:t xml:space="preserve">　</w:t>
            </w:r>
            <w:r w:rsidRPr="001F60D7">
              <w:rPr>
                <w:w w:val="16"/>
                <w:szCs w:val="20"/>
                <w:shd w:val="solid" w:color="000000" w:fill="000000"/>
                <w:fitText w:val="72" w:id="-629967348"/>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8"/>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1E5F208B" w14:textId="16908FF4" w:rsidR="00107E32" w:rsidRPr="009A31CE"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47"/>
                <w:lang w:val="en-AU"/>
                <w14:textFill>
                  <w14:solidFill>
                    <w14:schemeClr w14:val="tx1">
                      <w14:alpha w14:val="100000"/>
                    </w14:schemeClr>
                  </w14:solidFill>
                </w14:textFill>
              </w:rPr>
              <w:t xml:space="preserve">　</w:t>
            </w:r>
            <w:r w:rsidRPr="001F60D7">
              <w:rPr>
                <w:w w:val="16"/>
                <w:szCs w:val="20"/>
                <w:shd w:val="solid" w:color="000000" w:fill="000000"/>
                <w:fitText w:val="72" w:id="-629967347"/>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7"/>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2" w:type="pct"/>
            <w:vAlign w:val="center"/>
          </w:tcPr>
          <w:p w14:paraId="4270408C" w14:textId="73BB5FEF" w:rsidR="00107E32" w:rsidRPr="009A31CE" w:rsidRDefault="001F60D7" w:rsidP="00107E32">
            <w:pPr>
              <w:pStyle w:val="TableText0"/>
              <w:jc w:val="center"/>
              <w:rPr>
                <w:szCs w:val="20"/>
                <w:highlight w:val="darkGray"/>
                <w:lang w:val="en-AU"/>
              </w:rPr>
            </w:pPr>
            <w:r w:rsidRPr="001F60D7">
              <w:rPr>
                <w:rFonts w:hint="eastAsia"/>
                <w:w w:val="16"/>
                <w:szCs w:val="20"/>
                <w:shd w:val="solid" w:color="000000" w:fill="000000"/>
                <w:fitText w:val="72" w:id="-629967346"/>
                <w:lang w:val="en-AU"/>
                <w14:textFill>
                  <w14:solidFill>
                    <w14:schemeClr w14:val="tx1">
                      <w14:alpha w14:val="100000"/>
                    </w14:schemeClr>
                  </w14:solidFill>
                </w14:textFill>
              </w:rPr>
              <w:t xml:space="preserve">　</w:t>
            </w:r>
            <w:r w:rsidRPr="001F60D7">
              <w:rPr>
                <w:w w:val="16"/>
                <w:szCs w:val="20"/>
                <w:shd w:val="solid" w:color="000000" w:fill="000000"/>
                <w:fitText w:val="72" w:id="-62996734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6"/>
                <w:lang w:val="en-AU"/>
                <w14:textFill>
                  <w14:solidFill>
                    <w14:schemeClr w14:val="tx1">
                      <w14:alpha w14:val="100000"/>
                    </w14:schemeClr>
                  </w14:solidFill>
                </w14:textFill>
              </w:rPr>
              <w:t xml:space="preserve">　</w:t>
            </w:r>
            <w:r w:rsidR="00014D00" w:rsidRPr="00014D00">
              <w:rPr>
                <w:szCs w:val="20"/>
                <w:vertAlign w:val="superscript"/>
                <w:lang w:val="en-AU"/>
              </w:rPr>
              <w:t>6</w:t>
            </w:r>
          </w:p>
        </w:tc>
      </w:tr>
      <w:tr w:rsidR="00FE797D" w:rsidRPr="00FE7861" w14:paraId="7F810971" w14:textId="77777777" w:rsidTr="000B4467">
        <w:tc>
          <w:tcPr>
            <w:tcW w:w="1333" w:type="pct"/>
          </w:tcPr>
          <w:p w14:paraId="081635BF" w14:textId="1878B1D2" w:rsidR="00FE797D" w:rsidRPr="00FE7861" w:rsidRDefault="00FE797D" w:rsidP="00FE797D">
            <w:pPr>
              <w:pStyle w:val="TableText0"/>
              <w:rPr>
                <w:b/>
                <w:bCs w:val="0"/>
                <w:szCs w:val="20"/>
                <w:lang w:val="en-AU"/>
              </w:rPr>
            </w:pPr>
            <w:r w:rsidRPr="00FE7861">
              <w:rPr>
                <w:b/>
                <w:bCs w:val="0"/>
                <w:szCs w:val="20"/>
                <w:lang w:val="en-AU"/>
              </w:rPr>
              <w:t>Net PBS cost (eff</w:t>
            </w:r>
            <w:r w:rsidR="00B91400" w:rsidRPr="00FE7861">
              <w:rPr>
                <w:b/>
                <w:bCs w:val="0"/>
                <w:szCs w:val="20"/>
                <w:lang w:val="en-AU"/>
              </w:rPr>
              <w:t>ective</w:t>
            </w:r>
            <w:r w:rsidRPr="00FE7861">
              <w:rPr>
                <w:b/>
                <w:bCs w:val="0"/>
                <w:szCs w:val="20"/>
                <w:lang w:val="en-AU"/>
              </w:rPr>
              <w:t>)</w:t>
            </w:r>
          </w:p>
        </w:tc>
        <w:tc>
          <w:tcPr>
            <w:tcW w:w="611" w:type="pct"/>
          </w:tcPr>
          <w:p w14:paraId="57189429" w14:textId="519B7C0A" w:rsidR="00FE797D"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45"/>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45"/>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45"/>
                <w:lang w:val="en-AU"/>
                <w14:textFill>
                  <w14:solidFill>
                    <w14:schemeClr w14:val="tx1">
                      <w14:alpha w14:val="100000"/>
                    </w14:schemeClr>
                  </w14:solidFill>
                </w14:textFill>
              </w:rPr>
              <w:t xml:space="preserve">　</w:t>
            </w:r>
            <w:r w:rsidR="00F36E9E" w:rsidRPr="00F36E9E">
              <w:rPr>
                <w:szCs w:val="20"/>
                <w:vertAlign w:val="superscript"/>
                <w:lang w:val="en-AU"/>
              </w:rPr>
              <w:t>3</w:t>
            </w:r>
          </w:p>
        </w:tc>
        <w:tc>
          <w:tcPr>
            <w:tcW w:w="611" w:type="pct"/>
          </w:tcPr>
          <w:p w14:paraId="64F8D670" w14:textId="53D119E0" w:rsidR="00FE797D"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44"/>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44"/>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44"/>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tcPr>
          <w:p w14:paraId="394775F5" w14:textId="436ADFD7" w:rsidR="00FE797D"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60"/>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60"/>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60"/>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tcPr>
          <w:p w14:paraId="058507BB" w14:textId="2CF5234C" w:rsidR="00FE797D"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9"/>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9"/>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9"/>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tcPr>
          <w:p w14:paraId="5B864E99" w14:textId="3DDD1C25" w:rsidR="00FE797D"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8"/>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8"/>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8"/>
                <w:lang w:val="en-AU"/>
                <w14:textFill>
                  <w14:solidFill>
                    <w14:schemeClr w14:val="tx1">
                      <w14:alpha w14:val="100000"/>
                    </w14:schemeClr>
                  </w14:solidFill>
                </w14:textFill>
              </w:rPr>
              <w:t xml:space="preserve">　</w:t>
            </w:r>
            <w:r w:rsidR="00A0625E" w:rsidRPr="00A0625E">
              <w:rPr>
                <w:szCs w:val="20"/>
                <w:vertAlign w:val="superscript"/>
                <w:lang w:val="en-AU"/>
              </w:rPr>
              <w:t>5</w:t>
            </w:r>
          </w:p>
        </w:tc>
        <w:tc>
          <w:tcPr>
            <w:tcW w:w="612" w:type="pct"/>
          </w:tcPr>
          <w:p w14:paraId="4A82303A" w14:textId="26750F92" w:rsidR="00FE797D"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7"/>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7"/>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7"/>
                <w:lang w:val="en-AU"/>
                <w14:textFill>
                  <w14:solidFill>
                    <w14:schemeClr w14:val="tx1">
                      <w14:alpha w14:val="100000"/>
                    </w14:schemeClr>
                  </w14:solidFill>
                </w14:textFill>
              </w:rPr>
              <w:t xml:space="preserve">　</w:t>
            </w:r>
            <w:r w:rsidR="00A0625E" w:rsidRPr="00A0625E">
              <w:rPr>
                <w:szCs w:val="20"/>
                <w:vertAlign w:val="superscript"/>
                <w:lang w:val="en-AU"/>
              </w:rPr>
              <w:t>5</w:t>
            </w:r>
          </w:p>
        </w:tc>
      </w:tr>
      <w:tr w:rsidR="00B91400" w:rsidRPr="00FE7861" w14:paraId="75B97446" w14:textId="77777777" w:rsidTr="000B4467">
        <w:tc>
          <w:tcPr>
            <w:tcW w:w="1333" w:type="pct"/>
          </w:tcPr>
          <w:p w14:paraId="10A874F6" w14:textId="5691E19B" w:rsidR="00B91400" w:rsidRPr="00FE7861" w:rsidRDefault="00B91400" w:rsidP="00B91400">
            <w:pPr>
              <w:pStyle w:val="TableText0"/>
              <w:rPr>
                <w:szCs w:val="20"/>
                <w:lang w:val="en-AU"/>
              </w:rPr>
            </w:pPr>
            <w:r w:rsidRPr="00FE7861">
              <w:rPr>
                <w:szCs w:val="20"/>
                <w:lang w:val="en-AU"/>
              </w:rPr>
              <w:t>Net MBS cost</w:t>
            </w:r>
            <w:r w:rsidR="00107E32" w:rsidRPr="00FE7861">
              <w:rPr>
                <w:szCs w:val="20"/>
                <w:vertAlign w:val="superscript"/>
                <w:lang w:val="en-AU"/>
              </w:rPr>
              <w:t>g</w:t>
            </w:r>
          </w:p>
        </w:tc>
        <w:tc>
          <w:tcPr>
            <w:tcW w:w="611" w:type="pct"/>
            <w:vAlign w:val="center"/>
          </w:tcPr>
          <w:p w14:paraId="299BB645" w14:textId="20F7046E"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6"/>
                <w:lang w:val="en-AU"/>
                <w14:textFill>
                  <w14:solidFill>
                    <w14:schemeClr w14:val="tx1">
                      <w14:alpha w14:val="100000"/>
                    </w14:schemeClr>
                  </w14:solidFill>
                </w14:textFill>
              </w:rPr>
              <w:t xml:space="preserve">　</w:t>
            </w:r>
            <w:r w:rsidRPr="001F60D7">
              <w:rPr>
                <w:w w:val="16"/>
                <w:szCs w:val="20"/>
                <w:shd w:val="solid" w:color="000000" w:fill="000000"/>
                <w:fitText w:val="72" w:id="-62996735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6"/>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55AC31AF" w14:textId="23FECC3E"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5"/>
                <w:lang w:val="en-AU"/>
                <w14:textFill>
                  <w14:solidFill>
                    <w14:schemeClr w14:val="tx1">
                      <w14:alpha w14:val="100000"/>
                    </w14:schemeClr>
                  </w14:solidFill>
                </w14:textFill>
              </w:rPr>
              <w:t xml:space="preserve">　</w:t>
            </w:r>
            <w:r w:rsidRPr="001F60D7">
              <w:rPr>
                <w:w w:val="16"/>
                <w:szCs w:val="20"/>
                <w:shd w:val="solid" w:color="000000" w:fill="000000"/>
                <w:fitText w:val="72" w:id="-629967355"/>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5"/>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49FADE64" w14:textId="5BD421F3"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4"/>
                <w:lang w:val="en-AU"/>
                <w14:textFill>
                  <w14:solidFill>
                    <w14:schemeClr w14:val="tx1">
                      <w14:alpha w14:val="100000"/>
                    </w14:schemeClr>
                  </w14:solidFill>
                </w14:textFill>
              </w:rPr>
              <w:t xml:space="preserve">　</w:t>
            </w:r>
            <w:r w:rsidRPr="001F60D7">
              <w:rPr>
                <w:w w:val="16"/>
                <w:szCs w:val="20"/>
                <w:shd w:val="solid" w:color="000000" w:fill="000000"/>
                <w:fitText w:val="72" w:id="-629967354"/>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4"/>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383277AC" w14:textId="02AECD07"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3"/>
                <w:lang w:val="en-AU"/>
                <w14:textFill>
                  <w14:solidFill>
                    <w14:schemeClr w14:val="tx1">
                      <w14:alpha w14:val="100000"/>
                    </w14:schemeClr>
                  </w14:solidFill>
                </w14:textFill>
              </w:rPr>
              <w:t xml:space="preserve">　</w:t>
            </w:r>
            <w:r w:rsidRPr="001F60D7">
              <w:rPr>
                <w:w w:val="16"/>
                <w:szCs w:val="20"/>
                <w:shd w:val="solid" w:color="000000" w:fill="000000"/>
                <w:fitText w:val="72" w:id="-629967353"/>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3"/>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1" w:type="pct"/>
            <w:vAlign w:val="center"/>
          </w:tcPr>
          <w:p w14:paraId="0325D70E" w14:textId="5DB48A4B"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2"/>
                <w:lang w:val="en-AU"/>
                <w14:textFill>
                  <w14:solidFill>
                    <w14:schemeClr w14:val="tx1">
                      <w14:alpha w14:val="100000"/>
                    </w14:schemeClr>
                  </w14:solidFill>
                </w14:textFill>
              </w:rPr>
              <w:t xml:space="preserve">　</w:t>
            </w:r>
            <w:r w:rsidRPr="001F60D7">
              <w:rPr>
                <w:w w:val="16"/>
                <w:szCs w:val="20"/>
                <w:shd w:val="solid" w:color="000000" w:fill="000000"/>
                <w:fitText w:val="72" w:id="-629967352"/>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2"/>
                <w:lang w:val="en-AU"/>
                <w14:textFill>
                  <w14:solidFill>
                    <w14:schemeClr w14:val="tx1">
                      <w14:alpha w14:val="100000"/>
                    </w14:schemeClr>
                  </w14:solidFill>
                </w14:textFill>
              </w:rPr>
              <w:t xml:space="preserve">　</w:t>
            </w:r>
            <w:r w:rsidR="00014D00" w:rsidRPr="00014D00">
              <w:rPr>
                <w:szCs w:val="20"/>
                <w:vertAlign w:val="superscript"/>
                <w:lang w:val="en-AU"/>
              </w:rPr>
              <w:t>6</w:t>
            </w:r>
          </w:p>
        </w:tc>
        <w:tc>
          <w:tcPr>
            <w:tcW w:w="612" w:type="pct"/>
            <w:vAlign w:val="center"/>
          </w:tcPr>
          <w:p w14:paraId="5DB7F832" w14:textId="19378728"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1"/>
                <w:lang w:val="en-AU"/>
                <w14:textFill>
                  <w14:solidFill>
                    <w14:schemeClr w14:val="tx1">
                      <w14:alpha w14:val="100000"/>
                    </w14:schemeClr>
                  </w14:solidFill>
                </w14:textFill>
              </w:rPr>
              <w:t xml:space="preserve">　</w:t>
            </w:r>
            <w:r w:rsidRPr="001F60D7">
              <w:rPr>
                <w:w w:val="16"/>
                <w:szCs w:val="20"/>
                <w:shd w:val="solid" w:color="000000" w:fill="000000"/>
                <w:fitText w:val="72" w:id="-629967351"/>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1"/>
                <w:lang w:val="en-AU"/>
                <w14:textFill>
                  <w14:solidFill>
                    <w14:schemeClr w14:val="tx1">
                      <w14:alpha w14:val="100000"/>
                    </w14:schemeClr>
                  </w14:solidFill>
                </w14:textFill>
              </w:rPr>
              <w:t xml:space="preserve">　</w:t>
            </w:r>
            <w:r w:rsidR="000E37F9" w:rsidRPr="00014D00">
              <w:rPr>
                <w:szCs w:val="20"/>
                <w:vertAlign w:val="superscript"/>
                <w:lang w:val="en-AU"/>
              </w:rPr>
              <w:t>6</w:t>
            </w:r>
          </w:p>
        </w:tc>
      </w:tr>
      <w:tr w:rsidR="00B91400" w:rsidRPr="00FE7861" w14:paraId="7419AA28" w14:textId="77777777" w:rsidTr="000B4467">
        <w:tc>
          <w:tcPr>
            <w:tcW w:w="1333" w:type="pct"/>
            <w:vAlign w:val="center"/>
          </w:tcPr>
          <w:p w14:paraId="3553F644" w14:textId="605E1AC2" w:rsidR="00B91400" w:rsidRPr="00FE7861" w:rsidRDefault="00B91400" w:rsidP="00B91400">
            <w:pPr>
              <w:pStyle w:val="TableText0"/>
              <w:rPr>
                <w:szCs w:val="20"/>
                <w:lang w:val="en-AU"/>
              </w:rPr>
            </w:pPr>
            <w:r w:rsidRPr="00FE7861">
              <w:rPr>
                <w:szCs w:val="20"/>
                <w:lang w:val="en-AU"/>
              </w:rPr>
              <w:t>Hospitals and outpatient (AR-DRG, non-admitted items)</w:t>
            </w:r>
          </w:p>
        </w:tc>
        <w:tc>
          <w:tcPr>
            <w:tcW w:w="611" w:type="pct"/>
            <w:vAlign w:val="center"/>
          </w:tcPr>
          <w:p w14:paraId="711B5B6D" w14:textId="3180EADB"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0"/>
                <w:lang w:val="en-AU"/>
                <w14:textFill>
                  <w14:solidFill>
                    <w14:schemeClr w14:val="tx1">
                      <w14:alpha w14:val="100000"/>
                    </w14:schemeClr>
                  </w14:solidFill>
                </w14:textFill>
              </w:rPr>
              <w:t xml:space="preserve">　</w:t>
            </w:r>
            <w:r w:rsidRPr="001F60D7">
              <w:rPr>
                <w:w w:val="16"/>
                <w:szCs w:val="20"/>
                <w:shd w:val="solid" w:color="000000" w:fill="000000"/>
                <w:fitText w:val="72" w:id="-629967350"/>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0"/>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418F64CD" w14:textId="3810E5B0"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49"/>
                <w:lang w:val="en-AU"/>
                <w14:textFill>
                  <w14:solidFill>
                    <w14:schemeClr w14:val="tx1">
                      <w14:alpha w14:val="100000"/>
                    </w14:schemeClr>
                  </w14:solidFill>
                </w14:textFill>
              </w:rPr>
              <w:t xml:space="preserve">　</w:t>
            </w:r>
            <w:r w:rsidRPr="001F60D7">
              <w:rPr>
                <w:w w:val="16"/>
                <w:szCs w:val="20"/>
                <w:shd w:val="solid" w:color="000000" w:fill="000000"/>
                <w:fitText w:val="72" w:id="-629967349"/>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9"/>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351ADE38" w14:textId="0859FC15"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48"/>
                <w:lang w:val="en-AU"/>
                <w14:textFill>
                  <w14:solidFill>
                    <w14:schemeClr w14:val="tx1">
                      <w14:alpha w14:val="100000"/>
                    </w14:schemeClr>
                  </w14:solidFill>
                </w14:textFill>
              </w:rPr>
              <w:t xml:space="preserve">　</w:t>
            </w:r>
            <w:r w:rsidRPr="001F60D7">
              <w:rPr>
                <w:w w:val="16"/>
                <w:szCs w:val="20"/>
                <w:shd w:val="solid" w:color="000000" w:fill="000000"/>
                <w:fitText w:val="72" w:id="-629967348"/>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8"/>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62CBEAB3" w14:textId="42CEDD9E"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47"/>
                <w:lang w:val="en-AU"/>
                <w14:textFill>
                  <w14:solidFill>
                    <w14:schemeClr w14:val="tx1">
                      <w14:alpha w14:val="100000"/>
                    </w14:schemeClr>
                  </w14:solidFill>
                </w14:textFill>
              </w:rPr>
              <w:t xml:space="preserve">　</w:t>
            </w:r>
            <w:r w:rsidRPr="001F60D7">
              <w:rPr>
                <w:w w:val="16"/>
                <w:szCs w:val="20"/>
                <w:shd w:val="solid" w:color="000000" w:fill="000000"/>
                <w:fitText w:val="72" w:id="-629967347"/>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7"/>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43F7C57F" w14:textId="38D4BE28"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46"/>
                <w:lang w:val="en-AU"/>
                <w14:textFill>
                  <w14:solidFill>
                    <w14:schemeClr w14:val="tx1">
                      <w14:alpha w14:val="100000"/>
                    </w14:schemeClr>
                  </w14:solidFill>
                </w14:textFill>
              </w:rPr>
              <w:t xml:space="preserve">　</w:t>
            </w:r>
            <w:r w:rsidRPr="001F60D7">
              <w:rPr>
                <w:w w:val="16"/>
                <w:szCs w:val="20"/>
                <w:shd w:val="solid" w:color="000000" w:fill="000000"/>
                <w:fitText w:val="72" w:id="-62996734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6"/>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2" w:type="pct"/>
            <w:vAlign w:val="center"/>
          </w:tcPr>
          <w:p w14:paraId="13606544" w14:textId="3AB0E95D"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45"/>
                <w:lang w:val="en-AU"/>
                <w14:textFill>
                  <w14:solidFill>
                    <w14:schemeClr w14:val="tx1">
                      <w14:alpha w14:val="100000"/>
                    </w14:schemeClr>
                  </w14:solidFill>
                </w14:textFill>
              </w:rPr>
              <w:t xml:space="preserve">　</w:t>
            </w:r>
            <w:r w:rsidRPr="001F60D7">
              <w:rPr>
                <w:w w:val="16"/>
                <w:szCs w:val="20"/>
                <w:shd w:val="solid" w:color="000000" w:fill="000000"/>
                <w:fitText w:val="72" w:id="-629967345"/>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5"/>
                <w:lang w:val="en-AU"/>
                <w14:textFill>
                  <w14:solidFill>
                    <w14:schemeClr w14:val="tx1">
                      <w14:alpha w14:val="100000"/>
                    </w14:schemeClr>
                  </w14:solidFill>
                </w14:textFill>
              </w:rPr>
              <w:t xml:space="preserve">　</w:t>
            </w:r>
            <w:r w:rsidR="000E37F9" w:rsidRPr="00014D00">
              <w:rPr>
                <w:szCs w:val="20"/>
                <w:vertAlign w:val="superscript"/>
                <w:lang w:val="en-AU"/>
              </w:rPr>
              <w:t>6</w:t>
            </w:r>
          </w:p>
        </w:tc>
      </w:tr>
      <w:tr w:rsidR="00B91400" w:rsidRPr="00FE7861" w14:paraId="6E4D129C" w14:textId="77777777" w:rsidTr="000B4467">
        <w:tc>
          <w:tcPr>
            <w:tcW w:w="1333" w:type="pct"/>
            <w:vAlign w:val="center"/>
          </w:tcPr>
          <w:p w14:paraId="14CE9B87" w14:textId="0548F362" w:rsidR="00B91400" w:rsidRPr="00FE7861" w:rsidRDefault="00B91400" w:rsidP="00B91400">
            <w:pPr>
              <w:pStyle w:val="TableText0"/>
              <w:rPr>
                <w:szCs w:val="20"/>
                <w:lang w:val="en-AU"/>
              </w:rPr>
            </w:pPr>
            <w:r w:rsidRPr="00FE7861">
              <w:rPr>
                <w:szCs w:val="20"/>
                <w:lang w:val="en-AU"/>
              </w:rPr>
              <w:t>NBA</w:t>
            </w:r>
          </w:p>
        </w:tc>
        <w:tc>
          <w:tcPr>
            <w:tcW w:w="611" w:type="pct"/>
            <w:vAlign w:val="center"/>
          </w:tcPr>
          <w:p w14:paraId="553158DE" w14:textId="2C2F86AC"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44"/>
                <w:lang w:val="en-AU"/>
                <w14:textFill>
                  <w14:solidFill>
                    <w14:schemeClr w14:val="tx1">
                      <w14:alpha w14:val="100000"/>
                    </w14:schemeClr>
                  </w14:solidFill>
                </w14:textFill>
              </w:rPr>
              <w:t xml:space="preserve">　</w:t>
            </w:r>
            <w:r w:rsidRPr="001F60D7">
              <w:rPr>
                <w:w w:val="16"/>
                <w:szCs w:val="20"/>
                <w:shd w:val="solid" w:color="000000" w:fill="000000"/>
                <w:fitText w:val="72" w:id="-629967344"/>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44"/>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612B19C8" w14:textId="707A210B"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60"/>
                <w:lang w:val="en-AU"/>
                <w14:textFill>
                  <w14:solidFill>
                    <w14:schemeClr w14:val="tx1">
                      <w14:alpha w14:val="100000"/>
                    </w14:schemeClr>
                  </w14:solidFill>
                </w14:textFill>
              </w:rPr>
              <w:t xml:space="preserve">　</w:t>
            </w:r>
            <w:r w:rsidRPr="001F60D7">
              <w:rPr>
                <w:w w:val="16"/>
                <w:szCs w:val="20"/>
                <w:shd w:val="solid" w:color="000000" w:fill="000000"/>
                <w:fitText w:val="72" w:id="-629967360"/>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60"/>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4D890564" w14:textId="4F0BFC0D"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9"/>
                <w:lang w:val="en-AU"/>
                <w14:textFill>
                  <w14:solidFill>
                    <w14:schemeClr w14:val="tx1">
                      <w14:alpha w14:val="100000"/>
                    </w14:schemeClr>
                  </w14:solidFill>
                </w14:textFill>
              </w:rPr>
              <w:t xml:space="preserve">　</w:t>
            </w:r>
            <w:r w:rsidRPr="001F60D7">
              <w:rPr>
                <w:w w:val="16"/>
                <w:szCs w:val="20"/>
                <w:shd w:val="solid" w:color="000000" w:fill="000000"/>
                <w:fitText w:val="72" w:id="-629967359"/>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9"/>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1CA0B136" w14:textId="73FDA9D4"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8"/>
                <w:lang w:val="en-AU"/>
                <w14:textFill>
                  <w14:solidFill>
                    <w14:schemeClr w14:val="tx1">
                      <w14:alpha w14:val="100000"/>
                    </w14:schemeClr>
                  </w14:solidFill>
                </w14:textFill>
              </w:rPr>
              <w:t xml:space="preserve">　</w:t>
            </w:r>
            <w:r w:rsidRPr="001F60D7">
              <w:rPr>
                <w:w w:val="16"/>
                <w:szCs w:val="20"/>
                <w:shd w:val="solid" w:color="000000" w:fill="000000"/>
                <w:fitText w:val="72" w:id="-629967358"/>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8"/>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1" w:type="pct"/>
            <w:vAlign w:val="center"/>
          </w:tcPr>
          <w:p w14:paraId="5BBB1CF6" w14:textId="0C52DE5E"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7"/>
                <w:lang w:val="en-AU"/>
                <w14:textFill>
                  <w14:solidFill>
                    <w14:schemeClr w14:val="tx1">
                      <w14:alpha w14:val="100000"/>
                    </w14:schemeClr>
                  </w14:solidFill>
                </w14:textFill>
              </w:rPr>
              <w:t xml:space="preserve">　</w:t>
            </w:r>
            <w:r w:rsidRPr="001F60D7">
              <w:rPr>
                <w:w w:val="16"/>
                <w:szCs w:val="20"/>
                <w:shd w:val="solid" w:color="000000" w:fill="000000"/>
                <w:fitText w:val="72" w:id="-629967357"/>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7"/>
                <w:lang w:val="en-AU"/>
                <w14:textFill>
                  <w14:solidFill>
                    <w14:schemeClr w14:val="tx1">
                      <w14:alpha w14:val="100000"/>
                    </w14:schemeClr>
                  </w14:solidFill>
                </w14:textFill>
              </w:rPr>
              <w:t xml:space="preserve">　</w:t>
            </w:r>
            <w:r w:rsidR="000E37F9" w:rsidRPr="00014D00">
              <w:rPr>
                <w:szCs w:val="20"/>
                <w:vertAlign w:val="superscript"/>
                <w:lang w:val="en-AU"/>
              </w:rPr>
              <w:t>6</w:t>
            </w:r>
          </w:p>
        </w:tc>
        <w:tc>
          <w:tcPr>
            <w:tcW w:w="612" w:type="pct"/>
            <w:vAlign w:val="center"/>
          </w:tcPr>
          <w:p w14:paraId="3452F9FC" w14:textId="033762B6" w:rsidR="00B91400" w:rsidRPr="009A31CE" w:rsidRDefault="001F60D7" w:rsidP="00B91400">
            <w:pPr>
              <w:pStyle w:val="TableText0"/>
              <w:jc w:val="center"/>
              <w:rPr>
                <w:szCs w:val="20"/>
                <w:highlight w:val="darkGray"/>
                <w:lang w:val="en-AU"/>
              </w:rPr>
            </w:pPr>
            <w:r w:rsidRPr="001F60D7">
              <w:rPr>
                <w:rFonts w:hint="eastAsia"/>
                <w:w w:val="16"/>
                <w:szCs w:val="20"/>
                <w:shd w:val="solid" w:color="000000" w:fill="000000"/>
                <w:fitText w:val="72" w:id="-629967356"/>
                <w:lang w:val="en-AU"/>
                <w14:textFill>
                  <w14:solidFill>
                    <w14:schemeClr w14:val="tx1">
                      <w14:alpha w14:val="100000"/>
                    </w14:schemeClr>
                  </w14:solidFill>
                </w14:textFill>
              </w:rPr>
              <w:t xml:space="preserve">　</w:t>
            </w:r>
            <w:r w:rsidRPr="001F60D7">
              <w:rPr>
                <w:w w:val="16"/>
                <w:szCs w:val="20"/>
                <w:shd w:val="solid" w:color="000000" w:fill="000000"/>
                <w:fitText w:val="72" w:id="-629967356"/>
                <w:lang w:val="en-AU"/>
                <w14:textFill>
                  <w14:solidFill>
                    <w14:schemeClr w14:val="tx1">
                      <w14:alpha w14:val="100000"/>
                    </w14:schemeClr>
                  </w14:solidFill>
                </w14:textFill>
              </w:rPr>
              <w:t>|</w:t>
            </w:r>
            <w:r w:rsidRPr="001F60D7">
              <w:rPr>
                <w:rFonts w:hint="eastAsia"/>
                <w:spacing w:val="2"/>
                <w:w w:val="16"/>
                <w:szCs w:val="20"/>
                <w:shd w:val="solid" w:color="000000" w:fill="000000"/>
                <w:fitText w:val="72" w:id="-629967356"/>
                <w:lang w:val="en-AU"/>
                <w14:textFill>
                  <w14:solidFill>
                    <w14:schemeClr w14:val="tx1">
                      <w14:alpha w14:val="100000"/>
                    </w14:schemeClr>
                  </w14:solidFill>
                </w14:textFill>
              </w:rPr>
              <w:t xml:space="preserve">　</w:t>
            </w:r>
            <w:r w:rsidR="000E37F9" w:rsidRPr="00014D00">
              <w:rPr>
                <w:szCs w:val="20"/>
                <w:vertAlign w:val="superscript"/>
                <w:lang w:val="en-AU"/>
              </w:rPr>
              <w:t>6</w:t>
            </w:r>
          </w:p>
        </w:tc>
      </w:tr>
      <w:tr w:rsidR="00B91400" w:rsidRPr="00FE7861" w14:paraId="7014CD84" w14:textId="77777777" w:rsidTr="00F61D50">
        <w:tc>
          <w:tcPr>
            <w:tcW w:w="1333" w:type="pct"/>
            <w:tcBorders>
              <w:bottom w:val="single" w:sz="4" w:space="0" w:color="auto"/>
            </w:tcBorders>
            <w:vAlign w:val="center"/>
          </w:tcPr>
          <w:p w14:paraId="383E5A15" w14:textId="6BB41E3B" w:rsidR="00B91400" w:rsidRPr="00FE7861" w:rsidRDefault="00B91400" w:rsidP="00B91400">
            <w:pPr>
              <w:pStyle w:val="TableText0"/>
              <w:rPr>
                <w:b/>
                <w:bCs w:val="0"/>
                <w:szCs w:val="20"/>
                <w:lang w:val="en-AU"/>
              </w:rPr>
            </w:pPr>
            <w:r w:rsidRPr="00FE7861">
              <w:rPr>
                <w:b/>
                <w:bCs w:val="0"/>
                <w:szCs w:val="20"/>
                <w:lang w:val="en-AU"/>
              </w:rPr>
              <w:t>Net financial impact to healthcare system</w:t>
            </w:r>
          </w:p>
        </w:tc>
        <w:tc>
          <w:tcPr>
            <w:tcW w:w="611" w:type="pct"/>
            <w:tcBorders>
              <w:bottom w:val="single" w:sz="4" w:space="0" w:color="auto"/>
            </w:tcBorders>
            <w:vAlign w:val="center"/>
          </w:tcPr>
          <w:p w14:paraId="4B12A9FA" w14:textId="0CEE477A" w:rsidR="00B91400"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5"/>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5"/>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5"/>
                <w:lang w:val="en-AU"/>
                <w14:textFill>
                  <w14:solidFill>
                    <w14:schemeClr w14:val="tx1">
                      <w14:alpha w14:val="100000"/>
                    </w14:schemeClr>
                  </w14:solidFill>
                </w14:textFill>
              </w:rPr>
              <w:t xml:space="preserve">　</w:t>
            </w:r>
            <w:r w:rsidR="00F36E9E" w:rsidRPr="00F36E9E">
              <w:rPr>
                <w:szCs w:val="20"/>
                <w:vertAlign w:val="superscript"/>
                <w:lang w:val="en-AU"/>
              </w:rPr>
              <w:t>3</w:t>
            </w:r>
          </w:p>
        </w:tc>
        <w:tc>
          <w:tcPr>
            <w:tcW w:w="611" w:type="pct"/>
            <w:tcBorders>
              <w:bottom w:val="single" w:sz="4" w:space="0" w:color="auto"/>
            </w:tcBorders>
            <w:vAlign w:val="center"/>
          </w:tcPr>
          <w:p w14:paraId="260FA733" w14:textId="3FD1E3D5" w:rsidR="00B91400"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4"/>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4"/>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4"/>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tcBorders>
              <w:bottom w:val="single" w:sz="4" w:space="0" w:color="auto"/>
            </w:tcBorders>
            <w:vAlign w:val="center"/>
          </w:tcPr>
          <w:p w14:paraId="418E1F07" w14:textId="7101B60E" w:rsidR="00B91400"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3"/>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3"/>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3"/>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tcBorders>
              <w:bottom w:val="single" w:sz="4" w:space="0" w:color="auto"/>
            </w:tcBorders>
            <w:vAlign w:val="center"/>
          </w:tcPr>
          <w:p w14:paraId="04491EAC" w14:textId="7C4AEEFF" w:rsidR="00B91400"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2"/>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2"/>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2"/>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1" w:type="pct"/>
            <w:tcBorders>
              <w:bottom w:val="single" w:sz="4" w:space="0" w:color="auto"/>
            </w:tcBorders>
            <w:vAlign w:val="center"/>
          </w:tcPr>
          <w:p w14:paraId="042A58C5" w14:textId="1C5B0FBD" w:rsidR="00B91400"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1"/>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1"/>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1"/>
                <w:lang w:val="en-AU"/>
                <w14:textFill>
                  <w14:solidFill>
                    <w14:schemeClr w14:val="tx1">
                      <w14:alpha w14:val="100000"/>
                    </w14:schemeClr>
                  </w14:solidFill>
                </w14:textFill>
              </w:rPr>
              <w:t xml:space="preserve">　</w:t>
            </w:r>
            <w:r w:rsidR="00BB0AA7" w:rsidRPr="00BB0AA7">
              <w:rPr>
                <w:szCs w:val="20"/>
                <w:vertAlign w:val="superscript"/>
                <w:lang w:val="en-AU"/>
              </w:rPr>
              <w:t>4</w:t>
            </w:r>
          </w:p>
        </w:tc>
        <w:tc>
          <w:tcPr>
            <w:tcW w:w="612" w:type="pct"/>
            <w:tcBorders>
              <w:bottom w:val="single" w:sz="4" w:space="0" w:color="auto"/>
            </w:tcBorders>
            <w:vAlign w:val="center"/>
          </w:tcPr>
          <w:p w14:paraId="679C3E74" w14:textId="466852B8" w:rsidR="00B91400" w:rsidRPr="009A31CE" w:rsidRDefault="001F60D7" w:rsidP="00B91400">
            <w:pPr>
              <w:pStyle w:val="TableText0"/>
              <w:jc w:val="center"/>
              <w:rPr>
                <w:b/>
                <w:bCs w:val="0"/>
                <w:szCs w:val="20"/>
                <w:highlight w:val="darkGray"/>
                <w:lang w:val="en-AU"/>
              </w:rPr>
            </w:pPr>
            <w:r w:rsidRPr="001F60D7">
              <w:rPr>
                <w:rFonts w:hint="eastAsia"/>
                <w:b/>
                <w:bCs w:val="0"/>
                <w:w w:val="21"/>
                <w:szCs w:val="20"/>
                <w:shd w:val="solid" w:color="000000" w:fill="000000"/>
                <w:fitText w:val="96" w:id="-629967350"/>
                <w:lang w:val="en-AU"/>
                <w14:textFill>
                  <w14:solidFill>
                    <w14:schemeClr w14:val="tx1">
                      <w14:alpha w14:val="100000"/>
                    </w14:schemeClr>
                  </w14:solidFill>
                </w14:textFill>
              </w:rPr>
              <w:t xml:space="preserve">　</w:t>
            </w:r>
            <w:r w:rsidRPr="001F60D7">
              <w:rPr>
                <w:b/>
                <w:bCs w:val="0"/>
                <w:w w:val="21"/>
                <w:szCs w:val="20"/>
                <w:shd w:val="solid" w:color="000000" w:fill="000000"/>
                <w:fitText w:val="96" w:id="-629967350"/>
                <w:lang w:val="en-AU"/>
                <w14:textFill>
                  <w14:solidFill>
                    <w14:schemeClr w14:val="tx1">
                      <w14:alpha w14:val="100000"/>
                    </w14:schemeClr>
                  </w14:solidFill>
                </w14:textFill>
              </w:rPr>
              <w:t>|</w:t>
            </w:r>
            <w:r w:rsidRPr="001F60D7">
              <w:rPr>
                <w:rFonts w:hint="eastAsia"/>
                <w:b/>
                <w:bCs w:val="0"/>
                <w:spacing w:val="5"/>
                <w:w w:val="21"/>
                <w:szCs w:val="20"/>
                <w:shd w:val="solid" w:color="000000" w:fill="000000"/>
                <w:fitText w:val="96" w:id="-629967350"/>
                <w:lang w:val="en-AU"/>
                <w14:textFill>
                  <w14:solidFill>
                    <w14:schemeClr w14:val="tx1">
                      <w14:alpha w14:val="100000"/>
                    </w14:schemeClr>
                  </w14:solidFill>
                </w14:textFill>
              </w:rPr>
              <w:t xml:space="preserve">　</w:t>
            </w:r>
            <w:r w:rsidR="00A0625E" w:rsidRPr="00A0625E">
              <w:rPr>
                <w:szCs w:val="20"/>
                <w:vertAlign w:val="superscript"/>
                <w:lang w:val="en-AU"/>
              </w:rPr>
              <w:t>5</w:t>
            </w:r>
          </w:p>
        </w:tc>
      </w:tr>
      <w:tr w:rsidR="00F61D50" w:rsidRPr="00FE7861" w14:paraId="5AEEABF6" w14:textId="77777777" w:rsidTr="00F61D50">
        <w:tc>
          <w:tcPr>
            <w:tcW w:w="1333" w:type="pct"/>
            <w:tcBorders>
              <w:right w:val="nil"/>
            </w:tcBorders>
            <w:vAlign w:val="center"/>
          </w:tcPr>
          <w:p w14:paraId="1AA6E77A" w14:textId="77777777" w:rsidR="00F61D50" w:rsidRPr="00FE7861" w:rsidRDefault="00F61D50" w:rsidP="00B91400">
            <w:pPr>
              <w:pStyle w:val="TableText0"/>
              <w:rPr>
                <w:b/>
                <w:bCs w:val="0"/>
                <w:szCs w:val="20"/>
                <w:lang w:val="en-AU"/>
              </w:rPr>
            </w:pPr>
          </w:p>
        </w:tc>
        <w:tc>
          <w:tcPr>
            <w:tcW w:w="611" w:type="pct"/>
            <w:tcBorders>
              <w:left w:val="nil"/>
              <w:right w:val="nil"/>
            </w:tcBorders>
            <w:vAlign w:val="center"/>
          </w:tcPr>
          <w:p w14:paraId="100AF350" w14:textId="77777777" w:rsidR="00F61D50" w:rsidRPr="00FE7861" w:rsidRDefault="00F61D50" w:rsidP="00B91400">
            <w:pPr>
              <w:pStyle w:val="TableText0"/>
              <w:jc w:val="center"/>
              <w:rPr>
                <w:b/>
                <w:bCs w:val="0"/>
                <w:szCs w:val="20"/>
                <w:lang w:val="en-AU"/>
              </w:rPr>
            </w:pPr>
          </w:p>
        </w:tc>
        <w:tc>
          <w:tcPr>
            <w:tcW w:w="611" w:type="pct"/>
            <w:tcBorders>
              <w:left w:val="nil"/>
              <w:right w:val="nil"/>
            </w:tcBorders>
            <w:vAlign w:val="center"/>
          </w:tcPr>
          <w:p w14:paraId="0F24FC30" w14:textId="77777777" w:rsidR="00F61D50" w:rsidRPr="00FE7861" w:rsidRDefault="00F61D50" w:rsidP="00B91400">
            <w:pPr>
              <w:pStyle w:val="TableText0"/>
              <w:jc w:val="center"/>
              <w:rPr>
                <w:b/>
                <w:bCs w:val="0"/>
                <w:szCs w:val="20"/>
                <w:lang w:val="en-AU"/>
              </w:rPr>
            </w:pPr>
          </w:p>
        </w:tc>
        <w:tc>
          <w:tcPr>
            <w:tcW w:w="611" w:type="pct"/>
            <w:tcBorders>
              <w:left w:val="nil"/>
              <w:right w:val="nil"/>
            </w:tcBorders>
            <w:vAlign w:val="center"/>
          </w:tcPr>
          <w:p w14:paraId="18EB72CA" w14:textId="77777777" w:rsidR="00F61D50" w:rsidRPr="00FE7861" w:rsidRDefault="00F61D50" w:rsidP="00B91400">
            <w:pPr>
              <w:pStyle w:val="TableText0"/>
              <w:jc w:val="center"/>
              <w:rPr>
                <w:b/>
                <w:bCs w:val="0"/>
                <w:szCs w:val="20"/>
                <w:lang w:val="en-AU"/>
              </w:rPr>
            </w:pPr>
          </w:p>
        </w:tc>
        <w:tc>
          <w:tcPr>
            <w:tcW w:w="611" w:type="pct"/>
            <w:tcBorders>
              <w:left w:val="nil"/>
              <w:right w:val="nil"/>
            </w:tcBorders>
            <w:vAlign w:val="center"/>
          </w:tcPr>
          <w:p w14:paraId="1B9F6F73" w14:textId="77777777" w:rsidR="00F61D50" w:rsidRPr="00FE7861" w:rsidRDefault="00F61D50" w:rsidP="00B91400">
            <w:pPr>
              <w:pStyle w:val="TableText0"/>
              <w:jc w:val="center"/>
              <w:rPr>
                <w:b/>
                <w:bCs w:val="0"/>
                <w:szCs w:val="20"/>
                <w:lang w:val="en-AU"/>
              </w:rPr>
            </w:pPr>
          </w:p>
        </w:tc>
        <w:tc>
          <w:tcPr>
            <w:tcW w:w="611" w:type="pct"/>
            <w:tcBorders>
              <w:left w:val="nil"/>
              <w:right w:val="nil"/>
            </w:tcBorders>
            <w:vAlign w:val="center"/>
          </w:tcPr>
          <w:p w14:paraId="4E834DDE" w14:textId="77777777" w:rsidR="00F61D50" w:rsidRPr="00FE7861" w:rsidRDefault="00F61D50" w:rsidP="00B91400">
            <w:pPr>
              <w:pStyle w:val="TableText0"/>
              <w:jc w:val="center"/>
              <w:rPr>
                <w:b/>
                <w:bCs w:val="0"/>
                <w:szCs w:val="20"/>
                <w:lang w:val="en-AU"/>
              </w:rPr>
            </w:pPr>
          </w:p>
        </w:tc>
        <w:tc>
          <w:tcPr>
            <w:tcW w:w="612" w:type="pct"/>
            <w:tcBorders>
              <w:left w:val="nil"/>
            </w:tcBorders>
            <w:vAlign w:val="center"/>
          </w:tcPr>
          <w:p w14:paraId="1E4F153E" w14:textId="77777777" w:rsidR="00F61D50" w:rsidRPr="00FE7861" w:rsidRDefault="00F61D50" w:rsidP="00B91400">
            <w:pPr>
              <w:pStyle w:val="TableText0"/>
              <w:jc w:val="center"/>
              <w:rPr>
                <w:b/>
                <w:bCs w:val="0"/>
                <w:szCs w:val="20"/>
                <w:lang w:val="en-AU"/>
              </w:rPr>
            </w:pPr>
          </w:p>
        </w:tc>
      </w:tr>
      <w:tr w:rsidR="00F61D50" w:rsidRPr="00FE7861" w14:paraId="388E7B7D" w14:textId="77777777" w:rsidTr="000B4467">
        <w:tc>
          <w:tcPr>
            <w:tcW w:w="1333" w:type="pct"/>
            <w:vAlign w:val="center"/>
          </w:tcPr>
          <w:p w14:paraId="5166C3F1" w14:textId="06170AF0" w:rsidR="00F61D50" w:rsidRPr="00FE7861" w:rsidRDefault="00F61D50" w:rsidP="00F61D50">
            <w:pPr>
              <w:pStyle w:val="TableText0"/>
              <w:rPr>
                <w:b/>
                <w:bCs w:val="0"/>
                <w:szCs w:val="20"/>
                <w:lang w:val="en-AU"/>
              </w:rPr>
            </w:pPr>
            <w:r>
              <w:rPr>
                <w:b/>
                <w:bCs w:val="0"/>
                <w:szCs w:val="20"/>
                <w:lang w:val="en-AU"/>
              </w:rPr>
              <w:t>Revised estimates as per pre-PBAC response</w:t>
            </w:r>
            <w:r w:rsidRPr="000B0F06">
              <w:rPr>
                <w:b/>
                <w:bCs w:val="0"/>
                <w:szCs w:val="20"/>
                <w:vertAlign w:val="superscript"/>
                <w:lang w:val="en-AU"/>
              </w:rPr>
              <w:t>h</w:t>
            </w:r>
          </w:p>
        </w:tc>
        <w:tc>
          <w:tcPr>
            <w:tcW w:w="611" w:type="pct"/>
            <w:vAlign w:val="center"/>
          </w:tcPr>
          <w:p w14:paraId="61A3A5DB" w14:textId="77777777" w:rsidR="00F61D50" w:rsidRPr="005A04A3" w:rsidRDefault="00F61D50" w:rsidP="00F61D50">
            <w:pPr>
              <w:pStyle w:val="Address"/>
              <w:spacing w:after="0" w:line="240" w:lineRule="auto"/>
              <w:contextualSpacing w:val="0"/>
              <w:jc w:val="center"/>
              <w:rPr>
                <w:rFonts w:ascii="Arial Narrow" w:hAnsi="Arial Narrow" w:cs="Calibri"/>
                <w:b/>
                <w:color w:val="auto"/>
              </w:rPr>
            </w:pPr>
            <w:r w:rsidRPr="005A04A3">
              <w:rPr>
                <w:rFonts w:ascii="Arial Narrow" w:hAnsi="Arial Narrow" w:cs="Calibri"/>
                <w:b/>
                <w:color w:val="auto"/>
              </w:rPr>
              <w:t>2027</w:t>
            </w:r>
          </w:p>
          <w:p w14:paraId="6E77C89E" w14:textId="5E1EB13A" w:rsidR="00F61D50" w:rsidRPr="00FE7861" w:rsidRDefault="00F61D50" w:rsidP="00F61D50">
            <w:pPr>
              <w:pStyle w:val="TableText0"/>
              <w:jc w:val="center"/>
              <w:rPr>
                <w:b/>
                <w:bCs w:val="0"/>
                <w:szCs w:val="20"/>
                <w:lang w:val="en-AU"/>
              </w:rPr>
            </w:pPr>
            <w:r w:rsidRPr="005A04A3">
              <w:rPr>
                <w:rFonts w:cs="Calibri"/>
                <w:b/>
                <w:color w:val="auto"/>
              </w:rPr>
              <w:t>Year 1</w:t>
            </w:r>
          </w:p>
        </w:tc>
        <w:tc>
          <w:tcPr>
            <w:tcW w:w="611" w:type="pct"/>
            <w:vAlign w:val="center"/>
          </w:tcPr>
          <w:p w14:paraId="5A81F129" w14:textId="77777777" w:rsidR="00F61D50" w:rsidRPr="005A04A3" w:rsidRDefault="00F61D50" w:rsidP="00F61D50">
            <w:pPr>
              <w:pStyle w:val="Address"/>
              <w:spacing w:after="0" w:line="240" w:lineRule="auto"/>
              <w:contextualSpacing w:val="0"/>
              <w:jc w:val="center"/>
              <w:rPr>
                <w:rFonts w:ascii="Arial Narrow" w:hAnsi="Arial Narrow" w:cs="Calibri"/>
                <w:b/>
                <w:color w:val="auto"/>
              </w:rPr>
            </w:pPr>
            <w:r w:rsidRPr="005A04A3">
              <w:rPr>
                <w:rFonts w:ascii="Arial Narrow" w:hAnsi="Arial Narrow" w:cs="Calibri"/>
                <w:b/>
                <w:color w:val="auto"/>
              </w:rPr>
              <w:t>2028</w:t>
            </w:r>
          </w:p>
          <w:p w14:paraId="04584DF6" w14:textId="460D8BBC" w:rsidR="00F61D50" w:rsidRPr="00FE7861" w:rsidRDefault="00F61D50" w:rsidP="00F61D50">
            <w:pPr>
              <w:pStyle w:val="TableText0"/>
              <w:jc w:val="center"/>
              <w:rPr>
                <w:b/>
                <w:bCs w:val="0"/>
                <w:szCs w:val="20"/>
                <w:lang w:val="en-AU"/>
              </w:rPr>
            </w:pPr>
            <w:r w:rsidRPr="005A04A3">
              <w:rPr>
                <w:rFonts w:cs="Calibri"/>
                <w:b/>
                <w:color w:val="auto"/>
              </w:rPr>
              <w:t>Year 2</w:t>
            </w:r>
          </w:p>
        </w:tc>
        <w:tc>
          <w:tcPr>
            <w:tcW w:w="611" w:type="pct"/>
            <w:vAlign w:val="center"/>
          </w:tcPr>
          <w:p w14:paraId="10B67CF9" w14:textId="77777777" w:rsidR="00F61D50" w:rsidRPr="005A04A3" w:rsidRDefault="00F61D50" w:rsidP="00F61D50">
            <w:pPr>
              <w:pStyle w:val="Address"/>
              <w:spacing w:after="0" w:line="240" w:lineRule="auto"/>
              <w:contextualSpacing w:val="0"/>
              <w:jc w:val="center"/>
              <w:rPr>
                <w:rFonts w:ascii="Arial Narrow" w:hAnsi="Arial Narrow" w:cs="Calibri"/>
                <w:b/>
                <w:color w:val="auto"/>
              </w:rPr>
            </w:pPr>
            <w:r w:rsidRPr="005A04A3">
              <w:rPr>
                <w:rFonts w:ascii="Arial Narrow" w:hAnsi="Arial Narrow" w:cs="Calibri"/>
                <w:b/>
                <w:color w:val="auto"/>
              </w:rPr>
              <w:t>2029</w:t>
            </w:r>
          </w:p>
          <w:p w14:paraId="4AB393E2" w14:textId="43E50F7C" w:rsidR="00F61D50" w:rsidRPr="00FE7861" w:rsidRDefault="00F61D50" w:rsidP="00F61D50">
            <w:pPr>
              <w:pStyle w:val="TableText0"/>
              <w:jc w:val="center"/>
              <w:rPr>
                <w:b/>
                <w:bCs w:val="0"/>
                <w:szCs w:val="20"/>
                <w:lang w:val="en-AU"/>
              </w:rPr>
            </w:pPr>
            <w:r w:rsidRPr="005A04A3">
              <w:rPr>
                <w:b/>
                <w:color w:val="auto"/>
                <w:lang w:val="en-AU"/>
              </w:rPr>
              <w:t>Year 3</w:t>
            </w:r>
          </w:p>
        </w:tc>
        <w:tc>
          <w:tcPr>
            <w:tcW w:w="611" w:type="pct"/>
            <w:vAlign w:val="center"/>
          </w:tcPr>
          <w:p w14:paraId="458FD646" w14:textId="77777777" w:rsidR="00F61D50" w:rsidRPr="005A04A3" w:rsidRDefault="00F61D50" w:rsidP="00F61D50">
            <w:pPr>
              <w:pStyle w:val="Address"/>
              <w:spacing w:after="0" w:line="240" w:lineRule="auto"/>
              <w:contextualSpacing w:val="0"/>
              <w:jc w:val="center"/>
              <w:rPr>
                <w:rFonts w:ascii="Arial Narrow" w:hAnsi="Arial Narrow" w:cs="Calibri"/>
                <w:b/>
                <w:color w:val="auto"/>
              </w:rPr>
            </w:pPr>
            <w:r w:rsidRPr="005A04A3">
              <w:rPr>
                <w:rFonts w:ascii="Arial Narrow" w:hAnsi="Arial Narrow" w:cs="Calibri"/>
                <w:b/>
                <w:color w:val="auto"/>
              </w:rPr>
              <w:t>2030</w:t>
            </w:r>
          </w:p>
          <w:p w14:paraId="663D23CF" w14:textId="3A1C072F" w:rsidR="00F61D50" w:rsidRPr="00FE7861" w:rsidRDefault="00F61D50" w:rsidP="00F61D50">
            <w:pPr>
              <w:pStyle w:val="TableText0"/>
              <w:jc w:val="center"/>
              <w:rPr>
                <w:b/>
                <w:bCs w:val="0"/>
                <w:szCs w:val="20"/>
                <w:lang w:val="en-AU"/>
              </w:rPr>
            </w:pPr>
            <w:r w:rsidRPr="005A04A3">
              <w:rPr>
                <w:b/>
                <w:color w:val="auto"/>
                <w:lang w:val="en-AU"/>
              </w:rPr>
              <w:t>Year 4</w:t>
            </w:r>
          </w:p>
        </w:tc>
        <w:tc>
          <w:tcPr>
            <w:tcW w:w="611" w:type="pct"/>
            <w:vAlign w:val="center"/>
          </w:tcPr>
          <w:p w14:paraId="604C620D" w14:textId="77777777" w:rsidR="00F61D50" w:rsidRPr="005A04A3" w:rsidRDefault="00F61D50" w:rsidP="00F61D50">
            <w:pPr>
              <w:pStyle w:val="Address"/>
              <w:spacing w:after="0" w:line="240" w:lineRule="auto"/>
              <w:contextualSpacing w:val="0"/>
              <w:jc w:val="center"/>
              <w:rPr>
                <w:rFonts w:ascii="Arial Narrow" w:hAnsi="Arial Narrow" w:cs="Calibri"/>
                <w:b/>
                <w:color w:val="auto"/>
              </w:rPr>
            </w:pPr>
            <w:r w:rsidRPr="005A04A3">
              <w:rPr>
                <w:rFonts w:ascii="Arial Narrow" w:hAnsi="Arial Narrow" w:cs="Calibri"/>
                <w:b/>
                <w:color w:val="auto"/>
              </w:rPr>
              <w:t>2031</w:t>
            </w:r>
          </w:p>
          <w:p w14:paraId="5293ACD1" w14:textId="6D5A6D9A" w:rsidR="00F61D50" w:rsidRPr="00FE7861" w:rsidRDefault="00F61D50" w:rsidP="00F61D50">
            <w:pPr>
              <w:pStyle w:val="TableText0"/>
              <w:jc w:val="center"/>
              <w:rPr>
                <w:b/>
                <w:bCs w:val="0"/>
                <w:szCs w:val="20"/>
                <w:lang w:val="en-AU"/>
              </w:rPr>
            </w:pPr>
            <w:r w:rsidRPr="005A04A3">
              <w:rPr>
                <w:b/>
                <w:color w:val="auto"/>
                <w:lang w:val="en-AU"/>
              </w:rPr>
              <w:t>Year 5</w:t>
            </w:r>
          </w:p>
        </w:tc>
        <w:tc>
          <w:tcPr>
            <w:tcW w:w="612" w:type="pct"/>
            <w:vAlign w:val="center"/>
          </w:tcPr>
          <w:p w14:paraId="412BA7D4" w14:textId="77777777" w:rsidR="00F61D50" w:rsidRPr="005A04A3" w:rsidRDefault="00F61D50" w:rsidP="00F61D50">
            <w:pPr>
              <w:pStyle w:val="Address"/>
              <w:spacing w:after="0" w:line="240" w:lineRule="auto"/>
              <w:contextualSpacing w:val="0"/>
              <w:jc w:val="center"/>
              <w:rPr>
                <w:rFonts w:ascii="Arial Narrow" w:hAnsi="Arial Narrow" w:cs="Calibri"/>
                <w:b/>
                <w:color w:val="auto"/>
              </w:rPr>
            </w:pPr>
            <w:r w:rsidRPr="005A04A3">
              <w:rPr>
                <w:rFonts w:ascii="Arial Narrow" w:hAnsi="Arial Narrow" w:cs="Calibri"/>
                <w:b/>
                <w:color w:val="auto"/>
              </w:rPr>
              <w:t>2032</w:t>
            </w:r>
          </w:p>
          <w:p w14:paraId="0659A7FE" w14:textId="42D245A9" w:rsidR="00F61D50" w:rsidRPr="00FE7861" w:rsidRDefault="00F61D50" w:rsidP="00F61D50">
            <w:pPr>
              <w:pStyle w:val="TableText0"/>
              <w:jc w:val="center"/>
              <w:rPr>
                <w:b/>
                <w:bCs w:val="0"/>
                <w:szCs w:val="20"/>
                <w:lang w:val="en-AU"/>
              </w:rPr>
            </w:pPr>
            <w:r w:rsidRPr="005A04A3">
              <w:rPr>
                <w:b/>
                <w:color w:val="auto"/>
                <w:lang w:val="en-AU"/>
              </w:rPr>
              <w:t>Year 6</w:t>
            </w:r>
          </w:p>
        </w:tc>
      </w:tr>
      <w:tr w:rsidR="0004558F" w:rsidRPr="00FE7861" w14:paraId="24D098A5" w14:textId="77777777" w:rsidTr="000B4467">
        <w:tc>
          <w:tcPr>
            <w:tcW w:w="1333" w:type="pct"/>
            <w:vAlign w:val="center"/>
          </w:tcPr>
          <w:p w14:paraId="66A54424" w14:textId="593D48BC" w:rsidR="0004558F" w:rsidRPr="00B66550" w:rsidRDefault="0004558F" w:rsidP="0004558F">
            <w:pPr>
              <w:pStyle w:val="TableText0"/>
              <w:rPr>
                <w:bCs w:val="0"/>
                <w:szCs w:val="20"/>
                <w:lang w:val="en-AU"/>
              </w:rPr>
            </w:pPr>
            <w:r w:rsidRPr="00B66550">
              <w:rPr>
                <w:rFonts w:cs="Calibri"/>
                <w:bCs w:val="0"/>
                <w:color w:val="auto"/>
              </w:rPr>
              <w:t>Year start pts</w:t>
            </w:r>
          </w:p>
        </w:tc>
        <w:tc>
          <w:tcPr>
            <w:tcW w:w="611" w:type="pct"/>
            <w:vAlign w:val="center"/>
          </w:tcPr>
          <w:p w14:paraId="6D33FE27" w14:textId="1F1C2F3A" w:rsidR="0004558F" w:rsidRPr="00B66550" w:rsidRDefault="0004558F" w:rsidP="0004558F">
            <w:pPr>
              <w:pStyle w:val="TableText0"/>
              <w:jc w:val="center"/>
              <w:rPr>
                <w:bCs w:val="0"/>
                <w:szCs w:val="20"/>
                <w:lang w:val="en-AU"/>
              </w:rPr>
            </w:pPr>
            <w:r w:rsidRPr="00B66550">
              <w:rPr>
                <w:rFonts w:cs="Calibri"/>
                <w:bCs w:val="0"/>
              </w:rPr>
              <w:t>18.85</w:t>
            </w:r>
          </w:p>
        </w:tc>
        <w:tc>
          <w:tcPr>
            <w:tcW w:w="611" w:type="pct"/>
            <w:vAlign w:val="center"/>
          </w:tcPr>
          <w:p w14:paraId="7EAA1FA4" w14:textId="174C8004" w:rsidR="0004558F" w:rsidRPr="00B66550" w:rsidRDefault="0004558F" w:rsidP="0004558F">
            <w:pPr>
              <w:pStyle w:val="TableText0"/>
              <w:jc w:val="center"/>
              <w:rPr>
                <w:bCs w:val="0"/>
                <w:szCs w:val="20"/>
                <w:lang w:val="en-AU"/>
              </w:rPr>
            </w:pPr>
            <w:r w:rsidRPr="00B66550">
              <w:rPr>
                <w:rFonts w:cs="Calibri"/>
                <w:bCs w:val="0"/>
              </w:rPr>
              <w:t>22.47</w:t>
            </w:r>
          </w:p>
        </w:tc>
        <w:tc>
          <w:tcPr>
            <w:tcW w:w="611" w:type="pct"/>
            <w:vAlign w:val="center"/>
          </w:tcPr>
          <w:p w14:paraId="5F8CD1FC" w14:textId="6CD7D8EA" w:rsidR="0004558F" w:rsidRPr="00B66550" w:rsidRDefault="0004558F" w:rsidP="0004558F">
            <w:pPr>
              <w:pStyle w:val="TableText0"/>
              <w:jc w:val="center"/>
              <w:rPr>
                <w:bCs w:val="0"/>
                <w:szCs w:val="20"/>
                <w:lang w:val="en-AU"/>
              </w:rPr>
            </w:pPr>
            <w:r w:rsidRPr="00B66550">
              <w:rPr>
                <w:rFonts w:cs="Calibri"/>
                <w:bCs w:val="0"/>
              </w:rPr>
              <w:t>26.35</w:t>
            </w:r>
          </w:p>
        </w:tc>
        <w:tc>
          <w:tcPr>
            <w:tcW w:w="611" w:type="pct"/>
            <w:vAlign w:val="center"/>
          </w:tcPr>
          <w:p w14:paraId="386090AE" w14:textId="2FA98371" w:rsidR="0004558F" w:rsidRPr="00B66550" w:rsidRDefault="0004558F" w:rsidP="0004558F">
            <w:pPr>
              <w:pStyle w:val="TableText0"/>
              <w:jc w:val="center"/>
              <w:rPr>
                <w:bCs w:val="0"/>
                <w:szCs w:val="20"/>
                <w:lang w:val="en-AU"/>
              </w:rPr>
            </w:pPr>
            <w:r w:rsidRPr="00B66550">
              <w:rPr>
                <w:rFonts w:cs="Calibri"/>
                <w:bCs w:val="0"/>
              </w:rPr>
              <w:t>30.30</w:t>
            </w:r>
          </w:p>
        </w:tc>
        <w:tc>
          <w:tcPr>
            <w:tcW w:w="611" w:type="pct"/>
            <w:vAlign w:val="center"/>
          </w:tcPr>
          <w:p w14:paraId="6B9B3EC5" w14:textId="15245866" w:rsidR="0004558F" w:rsidRPr="00B66550" w:rsidRDefault="0004558F" w:rsidP="0004558F">
            <w:pPr>
              <w:pStyle w:val="TableText0"/>
              <w:jc w:val="center"/>
              <w:rPr>
                <w:bCs w:val="0"/>
                <w:szCs w:val="20"/>
                <w:lang w:val="en-AU"/>
              </w:rPr>
            </w:pPr>
            <w:r w:rsidRPr="00B66550">
              <w:rPr>
                <w:rFonts w:cs="Calibri"/>
                <w:bCs w:val="0"/>
              </w:rPr>
              <w:t>33.26</w:t>
            </w:r>
          </w:p>
        </w:tc>
        <w:tc>
          <w:tcPr>
            <w:tcW w:w="612" w:type="pct"/>
            <w:vAlign w:val="center"/>
          </w:tcPr>
          <w:p w14:paraId="3DC40A6C" w14:textId="2E600C6F" w:rsidR="0004558F" w:rsidRPr="00B66550" w:rsidRDefault="0004558F" w:rsidP="0004558F">
            <w:pPr>
              <w:pStyle w:val="TableText0"/>
              <w:jc w:val="center"/>
              <w:rPr>
                <w:bCs w:val="0"/>
                <w:szCs w:val="20"/>
                <w:lang w:val="en-AU"/>
              </w:rPr>
            </w:pPr>
            <w:r w:rsidRPr="00B66550">
              <w:rPr>
                <w:rFonts w:cs="Calibri"/>
                <w:bCs w:val="0"/>
              </w:rPr>
              <w:t>36.17</w:t>
            </w:r>
          </w:p>
        </w:tc>
      </w:tr>
      <w:tr w:rsidR="0004558F" w:rsidRPr="00FE7861" w14:paraId="07BE0BB1" w14:textId="77777777" w:rsidTr="000B4467">
        <w:tc>
          <w:tcPr>
            <w:tcW w:w="1333" w:type="pct"/>
            <w:vAlign w:val="center"/>
          </w:tcPr>
          <w:p w14:paraId="74245A7A" w14:textId="35C9CDD3" w:rsidR="0004558F" w:rsidRPr="00B66550" w:rsidRDefault="0004558F" w:rsidP="0004558F">
            <w:pPr>
              <w:pStyle w:val="TableText0"/>
              <w:rPr>
                <w:bCs w:val="0"/>
                <w:szCs w:val="20"/>
                <w:lang w:val="en-AU"/>
              </w:rPr>
            </w:pPr>
            <w:r w:rsidRPr="00B66550">
              <w:rPr>
                <w:rFonts w:cs="Calibri"/>
                <w:bCs w:val="0"/>
                <w:color w:val="auto"/>
              </w:rPr>
              <w:t>Discontinued</w:t>
            </w:r>
          </w:p>
        </w:tc>
        <w:tc>
          <w:tcPr>
            <w:tcW w:w="611" w:type="pct"/>
            <w:vAlign w:val="center"/>
          </w:tcPr>
          <w:p w14:paraId="31AFEF96" w14:textId="19E9E6C7" w:rsidR="0004558F" w:rsidRPr="00B66550" w:rsidRDefault="0004558F" w:rsidP="0004558F">
            <w:pPr>
              <w:pStyle w:val="TableText0"/>
              <w:jc w:val="center"/>
              <w:rPr>
                <w:bCs w:val="0"/>
                <w:szCs w:val="20"/>
                <w:lang w:val="en-AU"/>
              </w:rPr>
            </w:pPr>
            <w:r w:rsidRPr="00B66550">
              <w:rPr>
                <w:rFonts w:cs="Calibri"/>
                <w:bCs w:val="0"/>
              </w:rPr>
              <w:t>0.82</w:t>
            </w:r>
          </w:p>
        </w:tc>
        <w:tc>
          <w:tcPr>
            <w:tcW w:w="611" w:type="pct"/>
            <w:vAlign w:val="center"/>
          </w:tcPr>
          <w:p w14:paraId="45870B4F" w14:textId="3D4732F0" w:rsidR="0004558F" w:rsidRPr="00B66550" w:rsidRDefault="0004558F" w:rsidP="0004558F">
            <w:pPr>
              <w:pStyle w:val="TableText0"/>
              <w:jc w:val="center"/>
              <w:rPr>
                <w:bCs w:val="0"/>
                <w:szCs w:val="20"/>
                <w:lang w:val="en-AU"/>
              </w:rPr>
            </w:pPr>
            <w:r w:rsidRPr="00B66550">
              <w:rPr>
                <w:rFonts w:cs="Calibri"/>
                <w:bCs w:val="0"/>
              </w:rPr>
              <w:t>0.98</w:t>
            </w:r>
          </w:p>
        </w:tc>
        <w:tc>
          <w:tcPr>
            <w:tcW w:w="611" w:type="pct"/>
            <w:vAlign w:val="center"/>
          </w:tcPr>
          <w:p w14:paraId="68C9A9EB" w14:textId="6F7A0870" w:rsidR="0004558F" w:rsidRPr="00B66550" w:rsidRDefault="0004558F" w:rsidP="0004558F">
            <w:pPr>
              <w:pStyle w:val="TableText0"/>
              <w:jc w:val="center"/>
              <w:rPr>
                <w:bCs w:val="0"/>
                <w:szCs w:val="20"/>
                <w:lang w:val="en-AU"/>
              </w:rPr>
            </w:pPr>
            <w:r w:rsidRPr="00B66550">
              <w:rPr>
                <w:rFonts w:cs="Calibri"/>
                <w:bCs w:val="0"/>
              </w:rPr>
              <w:t>1.15</w:t>
            </w:r>
          </w:p>
        </w:tc>
        <w:tc>
          <w:tcPr>
            <w:tcW w:w="611" w:type="pct"/>
            <w:vAlign w:val="center"/>
          </w:tcPr>
          <w:p w14:paraId="1B887C82" w14:textId="37A29611" w:rsidR="0004558F" w:rsidRPr="00B66550" w:rsidRDefault="0004558F" w:rsidP="0004558F">
            <w:pPr>
              <w:pStyle w:val="TableText0"/>
              <w:jc w:val="center"/>
              <w:rPr>
                <w:bCs w:val="0"/>
                <w:szCs w:val="20"/>
                <w:lang w:val="en-AU"/>
              </w:rPr>
            </w:pPr>
            <w:r w:rsidRPr="00B66550">
              <w:rPr>
                <w:rFonts w:cs="Calibri"/>
                <w:bCs w:val="0"/>
              </w:rPr>
              <w:t>1.32</w:t>
            </w:r>
          </w:p>
        </w:tc>
        <w:tc>
          <w:tcPr>
            <w:tcW w:w="611" w:type="pct"/>
            <w:vAlign w:val="center"/>
          </w:tcPr>
          <w:p w14:paraId="5E1D3C6D" w14:textId="7363DADF" w:rsidR="0004558F" w:rsidRPr="00B66550" w:rsidRDefault="0004558F" w:rsidP="0004558F">
            <w:pPr>
              <w:pStyle w:val="TableText0"/>
              <w:jc w:val="center"/>
              <w:rPr>
                <w:bCs w:val="0"/>
                <w:szCs w:val="20"/>
                <w:lang w:val="en-AU"/>
              </w:rPr>
            </w:pPr>
            <w:r w:rsidRPr="00B66550">
              <w:rPr>
                <w:rFonts w:cs="Calibri"/>
                <w:bCs w:val="0"/>
              </w:rPr>
              <w:t>1.45</w:t>
            </w:r>
          </w:p>
        </w:tc>
        <w:tc>
          <w:tcPr>
            <w:tcW w:w="612" w:type="pct"/>
            <w:vAlign w:val="center"/>
          </w:tcPr>
          <w:p w14:paraId="22A3FA17" w14:textId="58D08EE7" w:rsidR="0004558F" w:rsidRPr="00B66550" w:rsidRDefault="0004558F" w:rsidP="0004558F">
            <w:pPr>
              <w:pStyle w:val="TableText0"/>
              <w:jc w:val="center"/>
              <w:rPr>
                <w:bCs w:val="0"/>
                <w:szCs w:val="20"/>
                <w:lang w:val="en-AU"/>
              </w:rPr>
            </w:pPr>
            <w:r w:rsidRPr="00B66550">
              <w:rPr>
                <w:rFonts w:cs="Calibri"/>
                <w:bCs w:val="0"/>
              </w:rPr>
              <w:t>1.57</w:t>
            </w:r>
          </w:p>
        </w:tc>
      </w:tr>
      <w:tr w:rsidR="0004558F" w:rsidRPr="00FE7861" w14:paraId="162A46BA" w14:textId="77777777" w:rsidTr="000B4467">
        <w:tc>
          <w:tcPr>
            <w:tcW w:w="1333" w:type="pct"/>
            <w:vAlign w:val="center"/>
          </w:tcPr>
          <w:p w14:paraId="41D639CE" w14:textId="5407115A" w:rsidR="0004558F" w:rsidRPr="00B66550" w:rsidRDefault="0004558F" w:rsidP="0004558F">
            <w:pPr>
              <w:pStyle w:val="TableText0"/>
              <w:rPr>
                <w:bCs w:val="0"/>
                <w:szCs w:val="20"/>
                <w:lang w:val="en-AU"/>
              </w:rPr>
            </w:pPr>
            <w:r w:rsidRPr="00B66550">
              <w:rPr>
                <w:rFonts w:cs="Calibri"/>
                <w:bCs w:val="0"/>
                <w:color w:val="auto"/>
              </w:rPr>
              <w:t>Year-end pts</w:t>
            </w:r>
          </w:p>
        </w:tc>
        <w:tc>
          <w:tcPr>
            <w:tcW w:w="611" w:type="pct"/>
            <w:vAlign w:val="center"/>
          </w:tcPr>
          <w:p w14:paraId="527479AA" w14:textId="2E3196F1" w:rsidR="0004558F" w:rsidRPr="00B66550" w:rsidRDefault="0004558F" w:rsidP="0004558F">
            <w:pPr>
              <w:pStyle w:val="TableText0"/>
              <w:jc w:val="center"/>
              <w:rPr>
                <w:bCs w:val="0"/>
                <w:szCs w:val="20"/>
                <w:lang w:val="en-AU"/>
              </w:rPr>
            </w:pPr>
            <w:r w:rsidRPr="00B66550">
              <w:rPr>
                <w:rFonts w:cs="Calibri"/>
                <w:bCs w:val="0"/>
              </w:rPr>
              <w:t>18.03</w:t>
            </w:r>
          </w:p>
        </w:tc>
        <w:tc>
          <w:tcPr>
            <w:tcW w:w="611" w:type="pct"/>
            <w:vAlign w:val="center"/>
          </w:tcPr>
          <w:p w14:paraId="596C42D3" w14:textId="3F786EF2" w:rsidR="0004558F" w:rsidRPr="00B66550" w:rsidRDefault="0004558F" w:rsidP="0004558F">
            <w:pPr>
              <w:pStyle w:val="TableText0"/>
              <w:jc w:val="center"/>
              <w:rPr>
                <w:bCs w:val="0"/>
                <w:szCs w:val="20"/>
                <w:lang w:val="en-AU"/>
              </w:rPr>
            </w:pPr>
            <w:r w:rsidRPr="00B66550">
              <w:rPr>
                <w:rFonts w:cs="Calibri"/>
                <w:bCs w:val="0"/>
              </w:rPr>
              <w:t>21.50</w:t>
            </w:r>
          </w:p>
        </w:tc>
        <w:tc>
          <w:tcPr>
            <w:tcW w:w="611" w:type="pct"/>
            <w:vAlign w:val="center"/>
          </w:tcPr>
          <w:p w14:paraId="294C9137" w14:textId="0A451A20" w:rsidR="0004558F" w:rsidRPr="00B66550" w:rsidRDefault="0004558F" w:rsidP="0004558F">
            <w:pPr>
              <w:pStyle w:val="TableText0"/>
              <w:jc w:val="center"/>
              <w:rPr>
                <w:bCs w:val="0"/>
                <w:szCs w:val="20"/>
                <w:lang w:val="en-AU"/>
              </w:rPr>
            </w:pPr>
            <w:r w:rsidRPr="00B66550">
              <w:rPr>
                <w:rFonts w:cs="Calibri"/>
                <w:bCs w:val="0"/>
              </w:rPr>
              <w:t>25.21</w:t>
            </w:r>
          </w:p>
        </w:tc>
        <w:tc>
          <w:tcPr>
            <w:tcW w:w="611" w:type="pct"/>
            <w:vAlign w:val="center"/>
          </w:tcPr>
          <w:p w14:paraId="796BA86B" w14:textId="1807F9CC" w:rsidR="0004558F" w:rsidRPr="00B66550" w:rsidRDefault="0004558F" w:rsidP="0004558F">
            <w:pPr>
              <w:pStyle w:val="TableText0"/>
              <w:jc w:val="center"/>
              <w:rPr>
                <w:bCs w:val="0"/>
                <w:szCs w:val="20"/>
                <w:lang w:val="en-AU"/>
              </w:rPr>
            </w:pPr>
            <w:r w:rsidRPr="00B66550">
              <w:rPr>
                <w:rFonts w:cs="Calibri"/>
                <w:bCs w:val="0"/>
              </w:rPr>
              <w:t>28.98</w:t>
            </w:r>
          </w:p>
        </w:tc>
        <w:tc>
          <w:tcPr>
            <w:tcW w:w="611" w:type="pct"/>
            <w:vAlign w:val="center"/>
          </w:tcPr>
          <w:p w14:paraId="32290EFA" w14:textId="0506B51F" w:rsidR="0004558F" w:rsidRPr="00B66550" w:rsidRDefault="0004558F" w:rsidP="0004558F">
            <w:pPr>
              <w:pStyle w:val="TableText0"/>
              <w:jc w:val="center"/>
              <w:rPr>
                <w:bCs w:val="0"/>
                <w:szCs w:val="20"/>
                <w:lang w:val="en-AU"/>
              </w:rPr>
            </w:pPr>
            <w:r w:rsidRPr="00B66550">
              <w:rPr>
                <w:rFonts w:cs="Calibri"/>
                <w:bCs w:val="0"/>
              </w:rPr>
              <w:t>31.81</w:t>
            </w:r>
          </w:p>
        </w:tc>
        <w:tc>
          <w:tcPr>
            <w:tcW w:w="612" w:type="pct"/>
            <w:vAlign w:val="center"/>
          </w:tcPr>
          <w:p w14:paraId="6C305B45" w14:textId="6D5F079A" w:rsidR="0004558F" w:rsidRPr="00B66550" w:rsidRDefault="0004558F" w:rsidP="0004558F">
            <w:pPr>
              <w:pStyle w:val="TableText0"/>
              <w:jc w:val="center"/>
              <w:rPr>
                <w:bCs w:val="0"/>
                <w:szCs w:val="20"/>
                <w:lang w:val="en-AU"/>
              </w:rPr>
            </w:pPr>
            <w:r w:rsidRPr="00B66550">
              <w:rPr>
                <w:rFonts w:cs="Calibri"/>
                <w:bCs w:val="0"/>
              </w:rPr>
              <w:t>34.60</w:t>
            </w:r>
          </w:p>
        </w:tc>
      </w:tr>
      <w:tr w:rsidR="000679CA" w:rsidRPr="001F46FA" w14:paraId="46CC9343" w14:textId="77777777" w:rsidTr="000B4467">
        <w:tc>
          <w:tcPr>
            <w:tcW w:w="1333" w:type="pct"/>
            <w:vAlign w:val="center"/>
          </w:tcPr>
          <w:p w14:paraId="57296E74" w14:textId="581EE3EC" w:rsidR="000679CA" w:rsidRPr="00B66550" w:rsidRDefault="00B66550" w:rsidP="000679CA">
            <w:pPr>
              <w:pStyle w:val="TableText0"/>
              <w:rPr>
                <w:rFonts w:cs="Calibri"/>
                <w:b/>
                <w:bCs w:val="0"/>
                <w:color w:val="auto"/>
              </w:rPr>
            </w:pPr>
            <w:r w:rsidRPr="00B66550">
              <w:rPr>
                <w:b/>
                <w:bCs w:val="0"/>
                <w:szCs w:val="20"/>
                <w:lang w:val="en-AU"/>
              </w:rPr>
              <w:t>Leniolisib net PBS cost (effective)</w:t>
            </w:r>
          </w:p>
        </w:tc>
        <w:tc>
          <w:tcPr>
            <w:tcW w:w="611" w:type="pct"/>
            <w:vAlign w:val="center"/>
          </w:tcPr>
          <w:p w14:paraId="6B7F4289" w14:textId="2C6414B0" w:rsidR="000679CA" w:rsidRPr="001F46FA" w:rsidRDefault="001F60D7" w:rsidP="000679CA">
            <w:pPr>
              <w:pStyle w:val="TableText0"/>
              <w:jc w:val="center"/>
              <w:rPr>
                <w:rFonts w:cs="Calibri"/>
                <w:b/>
                <w:highlight w:val="darkGray"/>
              </w:rPr>
            </w:pPr>
            <w:r w:rsidRPr="001F60D7">
              <w:rPr>
                <w:rFonts w:cs="Calibri" w:hint="eastAsia"/>
                <w:b/>
                <w:color w:val="000000"/>
                <w:w w:val="21"/>
                <w:shd w:val="solid" w:color="000000" w:fill="000000"/>
                <w:fitText w:val="96" w:id="-629967349"/>
                <w14:textFill>
                  <w14:solidFill>
                    <w14:srgbClr w14:val="000000">
                      <w14:alpha w14:val="100000"/>
                    </w14:srgbClr>
                  </w14:solidFill>
                </w14:textFill>
              </w:rPr>
              <w:t xml:space="preserve">　</w:t>
            </w:r>
            <w:r w:rsidRPr="001F60D7">
              <w:rPr>
                <w:rFonts w:cs="Calibri"/>
                <w:b/>
                <w:color w:val="000000"/>
                <w:w w:val="21"/>
                <w:shd w:val="solid" w:color="000000" w:fill="000000"/>
                <w:fitText w:val="96" w:id="-629967349"/>
                <w14:textFill>
                  <w14:solidFill>
                    <w14:srgbClr w14:val="000000">
                      <w14:alpha w14:val="100000"/>
                    </w14:srgbClr>
                  </w14:solidFill>
                </w14:textFill>
              </w:rPr>
              <w:t>|</w:t>
            </w:r>
            <w:r w:rsidRPr="001F60D7">
              <w:rPr>
                <w:rFonts w:cs="Calibri" w:hint="eastAsia"/>
                <w:b/>
                <w:color w:val="000000"/>
                <w:spacing w:val="5"/>
                <w:w w:val="21"/>
                <w:shd w:val="solid" w:color="000000" w:fill="000000"/>
                <w:fitText w:val="96" w:id="-629967349"/>
                <w14:textFill>
                  <w14:solidFill>
                    <w14:srgbClr w14:val="000000">
                      <w14:alpha w14:val="100000"/>
                    </w14:srgbClr>
                  </w14:solidFill>
                </w14:textFill>
              </w:rPr>
              <w:t xml:space="preserve">　</w:t>
            </w:r>
            <w:r w:rsidR="00E64837" w:rsidRPr="00F36E9E">
              <w:rPr>
                <w:szCs w:val="20"/>
                <w:vertAlign w:val="superscript"/>
                <w:lang w:val="en-AU"/>
              </w:rPr>
              <w:t>3</w:t>
            </w:r>
          </w:p>
        </w:tc>
        <w:tc>
          <w:tcPr>
            <w:tcW w:w="611" w:type="pct"/>
            <w:vAlign w:val="center"/>
          </w:tcPr>
          <w:p w14:paraId="0C287F47" w14:textId="7A1B45D8" w:rsidR="000679CA" w:rsidRPr="001F46FA" w:rsidRDefault="001F60D7" w:rsidP="000679CA">
            <w:pPr>
              <w:pStyle w:val="TableText0"/>
              <w:jc w:val="center"/>
              <w:rPr>
                <w:rFonts w:cs="Calibri"/>
                <w:b/>
                <w:highlight w:val="darkGray"/>
              </w:rPr>
            </w:pPr>
            <w:r w:rsidRPr="001F60D7">
              <w:rPr>
                <w:rFonts w:cs="Calibri" w:hint="eastAsia"/>
                <w:b/>
                <w:color w:val="000000"/>
                <w:w w:val="21"/>
                <w:shd w:val="solid" w:color="000000" w:fill="000000"/>
                <w:fitText w:val="96" w:id="-629967348"/>
                <w14:textFill>
                  <w14:solidFill>
                    <w14:srgbClr w14:val="000000">
                      <w14:alpha w14:val="100000"/>
                    </w14:srgbClr>
                  </w14:solidFill>
                </w14:textFill>
              </w:rPr>
              <w:t xml:space="preserve">　</w:t>
            </w:r>
            <w:r w:rsidRPr="001F60D7">
              <w:rPr>
                <w:rFonts w:cs="Calibri"/>
                <w:b/>
                <w:color w:val="000000"/>
                <w:w w:val="21"/>
                <w:shd w:val="solid" w:color="000000" w:fill="000000"/>
                <w:fitText w:val="96" w:id="-629967348"/>
                <w14:textFill>
                  <w14:solidFill>
                    <w14:srgbClr w14:val="000000">
                      <w14:alpha w14:val="100000"/>
                    </w14:srgbClr>
                  </w14:solidFill>
                </w14:textFill>
              </w:rPr>
              <w:t>|</w:t>
            </w:r>
            <w:r w:rsidRPr="001F60D7">
              <w:rPr>
                <w:rFonts w:cs="Calibri" w:hint="eastAsia"/>
                <w:b/>
                <w:color w:val="000000"/>
                <w:spacing w:val="5"/>
                <w:w w:val="21"/>
                <w:shd w:val="solid" w:color="000000" w:fill="000000"/>
                <w:fitText w:val="96" w:id="-629967348"/>
                <w14:textFill>
                  <w14:solidFill>
                    <w14:srgbClr w14:val="000000">
                      <w14:alpha w14:val="100000"/>
                    </w14:srgbClr>
                  </w14:solidFill>
                </w14:textFill>
              </w:rPr>
              <w:t xml:space="preserve">　</w:t>
            </w:r>
            <w:r w:rsidR="00E64837" w:rsidRPr="00F36E9E">
              <w:rPr>
                <w:szCs w:val="20"/>
                <w:vertAlign w:val="superscript"/>
                <w:lang w:val="en-AU"/>
              </w:rPr>
              <w:t>3</w:t>
            </w:r>
          </w:p>
        </w:tc>
        <w:tc>
          <w:tcPr>
            <w:tcW w:w="611" w:type="pct"/>
            <w:vAlign w:val="center"/>
          </w:tcPr>
          <w:p w14:paraId="08A783DD" w14:textId="07B2D857" w:rsidR="000679CA" w:rsidRPr="001F46FA" w:rsidRDefault="001F60D7" w:rsidP="000679CA">
            <w:pPr>
              <w:pStyle w:val="TableText0"/>
              <w:jc w:val="center"/>
              <w:rPr>
                <w:rFonts w:cs="Calibri"/>
                <w:b/>
                <w:highlight w:val="darkGray"/>
              </w:rPr>
            </w:pPr>
            <w:r w:rsidRPr="001F60D7">
              <w:rPr>
                <w:rFonts w:cs="Calibri" w:hint="eastAsia"/>
                <w:b/>
                <w:color w:val="000000"/>
                <w:w w:val="21"/>
                <w:shd w:val="solid" w:color="000000" w:fill="000000"/>
                <w:fitText w:val="96" w:id="-629967347"/>
                <w14:textFill>
                  <w14:solidFill>
                    <w14:srgbClr w14:val="000000">
                      <w14:alpha w14:val="100000"/>
                    </w14:srgbClr>
                  </w14:solidFill>
                </w14:textFill>
              </w:rPr>
              <w:t xml:space="preserve">　</w:t>
            </w:r>
            <w:r w:rsidRPr="001F60D7">
              <w:rPr>
                <w:rFonts w:cs="Calibri"/>
                <w:b/>
                <w:color w:val="000000"/>
                <w:w w:val="21"/>
                <w:shd w:val="solid" w:color="000000" w:fill="000000"/>
                <w:fitText w:val="96" w:id="-629967347"/>
                <w14:textFill>
                  <w14:solidFill>
                    <w14:srgbClr w14:val="000000">
                      <w14:alpha w14:val="100000"/>
                    </w14:srgbClr>
                  </w14:solidFill>
                </w14:textFill>
              </w:rPr>
              <w:t>|</w:t>
            </w:r>
            <w:r w:rsidRPr="001F60D7">
              <w:rPr>
                <w:rFonts w:cs="Calibri" w:hint="eastAsia"/>
                <w:b/>
                <w:color w:val="000000"/>
                <w:spacing w:val="5"/>
                <w:w w:val="21"/>
                <w:shd w:val="solid" w:color="000000" w:fill="000000"/>
                <w:fitText w:val="96" w:id="-629967347"/>
                <w14:textFill>
                  <w14:solidFill>
                    <w14:srgbClr w14:val="000000">
                      <w14:alpha w14:val="100000"/>
                    </w14:srgbClr>
                  </w14:solidFill>
                </w14:textFill>
              </w:rPr>
              <w:t xml:space="preserve">　</w:t>
            </w:r>
            <w:r w:rsidR="00BB0AA7" w:rsidRPr="00BB0AA7">
              <w:rPr>
                <w:szCs w:val="20"/>
                <w:vertAlign w:val="superscript"/>
                <w:lang w:val="en-AU"/>
              </w:rPr>
              <w:t>4</w:t>
            </w:r>
          </w:p>
        </w:tc>
        <w:tc>
          <w:tcPr>
            <w:tcW w:w="611" w:type="pct"/>
            <w:vAlign w:val="center"/>
          </w:tcPr>
          <w:p w14:paraId="1D7A6A30" w14:textId="7CA7A12F" w:rsidR="000679CA" w:rsidRPr="001F46FA" w:rsidRDefault="001F60D7" w:rsidP="000679CA">
            <w:pPr>
              <w:pStyle w:val="TableText0"/>
              <w:jc w:val="center"/>
              <w:rPr>
                <w:rFonts w:cs="Calibri"/>
                <w:b/>
                <w:highlight w:val="darkGray"/>
              </w:rPr>
            </w:pPr>
            <w:r w:rsidRPr="001F60D7">
              <w:rPr>
                <w:rFonts w:cs="Calibri" w:hint="eastAsia"/>
                <w:b/>
                <w:color w:val="000000"/>
                <w:w w:val="21"/>
                <w:shd w:val="solid" w:color="000000" w:fill="000000"/>
                <w:fitText w:val="96" w:id="-629967346"/>
                <w14:textFill>
                  <w14:solidFill>
                    <w14:srgbClr w14:val="000000">
                      <w14:alpha w14:val="100000"/>
                    </w14:srgbClr>
                  </w14:solidFill>
                </w14:textFill>
              </w:rPr>
              <w:t xml:space="preserve">　</w:t>
            </w:r>
            <w:r w:rsidRPr="001F60D7">
              <w:rPr>
                <w:rFonts w:cs="Calibri"/>
                <w:b/>
                <w:color w:val="000000"/>
                <w:w w:val="21"/>
                <w:shd w:val="solid" w:color="000000" w:fill="000000"/>
                <w:fitText w:val="96" w:id="-629967346"/>
                <w14:textFill>
                  <w14:solidFill>
                    <w14:srgbClr w14:val="000000">
                      <w14:alpha w14:val="100000"/>
                    </w14:srgbClr>
                  </w14:solidFill>
                </w14:textFill>
              </w:rPr>
              <w:t>|</w:t>
            </w:r>
            <w:r w:rsidRPr="001F60D7">
              <w:rPr>
                <w:rFonts w:cs="Calibri" w:hint="eastAsia"/>
                <w:b/>
                <w:color w:val="000000"/>
                <w:spacing w:val="5"/>
                <w:w w:val="21"/>
                <w:shd w:val="solid" w:color="000000" w:fill="000000"/>
                <w:fitText w:val="96" w:id="-629967346"/>
                <w14:textFill>
                  <w14:solidFill>
                    <w14:srgbClr w14:val="000000">
                      <w14:alpha w14:val="100000"/>
                    </w14:srgbClr>
                  </w14:solidFill>
                </w14:textFill>
              </w:rPr>
              <w:t xml:space="preserve">　</w:t>
            </w:r>
            <w:r w:rsidR="00BB0AA7" w:rsidRPr="00BB0AA7">
              <w:rPr>
                <w:szCs w:val="20"/>
                <w:vertAlign w:val="superscript"/>
                <w:lang w:val="en-AU"/>
              </w:rPr>
              <w:t>4</w:t>
            </w:r>
          </w:p>
        </w:tc>
        <w:tc>
          <w:tcPr>
            <w:tcW w:w="611" w:type="pct"/>
            <w:vAlign w:val="center"/>
          </w:tcPr>
          <w:p w14:paraId="7C48700D" w14:textId="3931FC8A" w:rsidR="000679CA" w:rsidRPr="001F46FA" w:rsidRDefault="001F60D7" w:rsidP="000679CA">
            <w:pPr>
              <w:pStyle w:val="TableText0"/>
              <w:jc w:val="center"/>
              <w:rPr>
                <w:rFonts w:cs="Calibri"/>
                <w:b/>
                <w:highlight w:val="darkGray"/>
              </w:rPr>
            </w:pPr>
            <w:r w:rsidRPr="001F60D7">
              <w:rPr>
                <w:rFonts w:cs="Calibri" w:hint="eastAsia"/>
                <w:b/>
                <w:color w:val="000000"/>
                <w:w w:val="21"/>
                <w:shd w:val="solid" w:color="000000" w:fill="000000"/>
                <w:fitText w:val="96" w:id="-629967345"/>
                <w14:textFill>
                  <w14:solidFill>
                    <w14:srgbClr w14:val="000000">
                      <w14:alpha w14:val="100000"/>
                    </w14:srgbClr>
                  </w14:solidFill>
                </w14:textFill>
              </w:rPr>
              <w:t xml:space="preserve">　</w:t>
            </w:r>
            <w:r w:rsidRPr="001F60D7">
              <w:rPr>
                <w:rFonts w:cs="Calibri"/>
                <w:b/>
                <w:color w:val="000000"/>
                <w:w w:val="21"/>
                <w:shd w:val="solid" w:color="000000" w:fill="000000"/>
                <w:fitText w:val="96" w:id="-629967345"/>
                <w14:textFill>
                  <w14:solidFill>
                    <w14:srgbClr w14:val="000000">
                      <w14:alpha w14:val="100000"/>
                    </w14:srgbClr>
                  </w14:solidFill>
                </w14:textFill>
              </w:rPr>
              <w:t>|</w:t>
            </w:r>
            <w:r w:rsidRPr="001F60D7">
              <w:rPr>
                <w:rFonts w:cs="Calibri" w:hint="eastAsia"/>
                <w:b/>
                <w:color w:val="000000"/>
                <w:spacing w:val="5"/>
                <w:w w:val="21"/>
                <w:shd w:val="solid" w:color="000000" w:fill="000000"/>
                <w:fitText w:val="96" w:id="-629967345"/>
                <w14:textFill>
                  <w14:solidFill>
                    <w14:srgbClr w14:val="000000">
                      <w14:alpha w14:val="100000"/>
                    </w14:srgbClr>
                  </w14:solidFill>
                </w14:textFill>
              </w:rPr>
              <w:t xml:space="preserve">　</w:t>
            </w:r>
            <w:r w:rsidR="00BB0AA7" w:rsidRPr="00BB0AA7">
              <w:rPr>
                <w:szCs w:val="20"/>
                <w:vertAlign w:val="superscript"/>
                <w:lang w:val="en-AU"/>
              </w:rPr>
              <w:t>4</w:t>
            </w:r>
          </w:p>
        </w:tc>
        <w:tc>
          <w:tcPr>
            <w:tcW w:w="612" w:type="pct"/>
            <w:vAlign w:val="center"/>
          </w:tcPr>
          <w:p w14:paraId="01FFA0E8" w14:textId="3E98D8DF" w:rsidR="000679CA" w:rsidRPr="001F46FA" w:rsidRDefault="001F60D7" w:rsidP="000679CA">
            <w:pPr>
              <w:pStyle w:val="TableText0"/>
              <w:jc w:val="center"/>
              <w:rPr>
                <w:rFonts w:cs="Calibri"/>
                <w:b/>
                <w:highlight w:val="darkGray"/>
              </w:rPr>
            </w:pPr>
            <w:r w:rsidRPr="001F60D7">
              <w:rPr>
                <w:rFonts w:cs="Calibri" w:hint="eastAsia"/>
                <w:b/>
                <w:color w:val="000000"/>
                <w:w w:val="21"/>
                <w:shd w:val="solid" w:color="000000" w:fill="000000"/>
                <w:fitText w:val="96" w:id="-629967344"/>
                <w14:textFill>
                  <w14:solidFill>
                    <w14:srgbClr w14:val="000000">
                      <w14:alpha w14:val="100000"/>
                    </w14:srgbClr>
                  </w14:solidFill>
                </w14:textFill>
              </w:rPr>
              <w:t xml:space="preserve">　</w:t>
            </w:r>
            <w:r w:rsidRPr="001F60D7">
              <w:rPr>
                <w:rFonts w:cs="Calibri"/>
                <w:b/>
                <w:color w:val="000000"/>
                <w:w w:val="21"/>
                <w:shd w:val="solid" w:color="000000" w:fill="000000"/>
                <w:fitText w:val="96" w:id="-629967344"/>
                <w14:textFill>
                  <w14:solidFill>
                    <w14:srgbClr w14:val="000000">
                      <w14:alpha w14:val="100000"/>
                    </w14:srgbClr>
                  </w14:solidFill>
                </w14:textFill>
              </w:rPr>
              <w:t>|</w:t>
            </w:r>
            <w:r w:rsidRPr="001F60D7">
              <w:rPr>
                <w:rFonts w:cs="Calibri" w:hint="eastAsia"/>
                <w:b/>
                <w:color w:val="000000"/>
                <w:spacing w:val="5"/>
                <w:w w:val="21"/>
                <w:shd w:val="solid" w:color="000000" w:fill="000000"/>
                <w:fitText w:val="96" w:id="-629967344"/>
                <w14:textFill>
                  <w14:solidFill>
                    <w14:srgbClr w14:val="000000">
                      <w14:alpha w14:val="100000"/>
                    </w14:srgbClr>
                  </w14:solidFill>
                </w14:textFill>
              </w:rPr>
              <w:t xml:space="preserve">　</w:t>
            </w:r>
            <w:r w:rsidR="00BB0AA7" w:rsidRPr="00BB0AA7">
              <w:rPr>
                <w:szCs w:val="20"/>
                <w:vertAlign w:val="superscript"/>
                <w:lang w:val="en-AU"/>
              </w:rPr>
              <w:t>4</w:t>
            </w:r>
          </w:p>
        </w:tc>
      </w:tr>
    </w:tbl>
    <w:p w14:paraId="2B33EBAD" w14:textId="0E478B71" w:rsidR="00FE797D" w:rsidRPr="00FE7861" w:rsidRDefault="00B91400" w:rsidP="00FE797D">
      <w:pPr>
        <w:pStyle w:val="FooterTableFigure"/>
      </w:pPr>
      <w:r w:rsidRPr="00FE7861">
        <w:rPr>
          <w:lang w:eastAsia="en-US"/>
        </w:rPr>
        <w:t>AR-DRG = Australian Refined Diagnosis Related Groups; MBS = Medical Benefits Schedule; NBA = National Blood Authority; PBS = Pharmaceutical Benefits Scheme;</w:t>
      </w:r>
      <w:r w:rsidRPr="00FE7861">
        <w:t xml:space="preserve"> </w:t>
      </w:r>
      <w:r w:rsidR="00FE797D" w:rsidRPr="00FE7861">
        <w:t>SoC = standard of care.</w:t>
      </w:r>
    </w:p>
    <w:p w14:paraId="01E50579" w14:textId="77777777" w:rsidR="00FE797D" w:rsidRPr="00FE7861" w:rsidRDefault="00FE797D" w:rsidP="00FE797D">
      <w:pPr>
        <w:pStyle w:val="FooterTableFigure"/>
      </w:pPr>
      <w:r w:rsidRPr="00FE7861">
        <w:t>Results are subject to rounding.</w:t>
      </w:r>
    </w:p>
    <w:p w14:paraId="4A0F9A38" w14:textId="17C856FD" w:rsidR="00FE797D" w:rsidRPr="00FE7861" w:rsidRDefault="00FE797D" w:rsidP="00FE797D">
      <w:pPr>
        <w:pStyle w:val="FooterTableFigure"/>
      </w:pPr>
      <w:r w:rsidRPr="00FE7861">
        <w:rPr>
          <w:rFonts w:eastAsiaTheme="minorEastAsia"/>
          <w:color w:val="000000" w:themeColor="text1"/>
          <w:vertAlign w:val="superscript"/>
          <w:lang w:eastAsia="ja-JP"/>
        </w:rPr>
        <w:t xml:space="preserve">a </w:t>
      </w:r>
      <w:r w:rsidRPr="00FE7861">
        <w:t xml:space="preserve">Uptake rate multiplied by sum of newly diagnosed patients and prevalent patients. Note that the submission rounds up these values therefore from the third year onwards, effectively </w:t>
      </w:r>
      <w:r w:rsidR="001F60D7" w:rsidRPr="001F60D7">
        <w:rPr>
          <w:color w:val="000000"/>
          <w:spacing w:val="36"/>
          <w:shd w:val="solid" w:color="000000" w:fill="000000"/>
          <w:fitText w:val="268" w:id="-629967360"/>
          <w14:textFill>
            <w14:solidFill>
              <w14:srgbClr w14:val="000000">
                <w14:alpha w14:val="100000"/>
              </w14:srgbClr>
            </w14:solidFill>
          </w14:textFill>
        </w:rPr>
        <w:t xml:space="preserve">|  </w:t>
      </w:r>
      <w:r w:rsidR="001F60D7" w:rsidRPr="001F60D7">
        <w:rPr>
          <w:color w:val="000000"/>
          <w:spacing w:val="2"/>
          <w:shd w:val="solid" w:color="000000" w:fill="000000"/>
          <w:fitText w:val="268" w:id="-629967360"/>
          <w14:textFill>
            <w14:solidFill>
              <w14:srgbClr w14:val="000000">
                <w14:alpha w14:val="100000"/>
              </w14:srgbClr>
            </w14:solidFill>
          </w14:textFill>
        </w:rPr>
        <w:t>|</w:t>
      </w:r>
      <w:r w:rsidRPr="00FE7861">
        <w:t>% uptake assumed.</w:t>
      </w:r>
    </w:p>
    <w:p w14:paraId="539C3714" w14:textId="77777777" w:rsidR="00FE797D" w:rsidRPr="00FE7861" w:rsidRDefault="00FE797D" w:rsidP="00FE797D">
      <w:pPr>
        <w:pStyle w:val="FooterTableFigure"/>
      </w:pPr>
      <w:r w:rsidRPr="00FE7861">
        <w:rPr>
          <w:rFonts w:eastAsiaTheme="minorEastAsia"/>
          <w:color w:val="000000" w:themeColor="text1"/>
          <w:vertAlign w:val="superscript"/>
          <w:lang w:eastAsia="ja-JP"/>
        </w:rPr>
        <w:t>b</w:t>
      </w:r>
      <w:r w:rsidRPr="00FE7861">
        <w:t xml:space="preserve"> Sum of Patients on treatment, year-end of the previous year plus newly diagnosed patients initiating leniolisib in current year.</w:t>
      </w:r>
    </w:p>
    <w:p w14:paraId="2AF9D7DA" w14:textId="77777777" w:rsidR="00FE797D" w:rsidRPr="00FE7861" w:rsidRDefault="00FE797D" w:rsidP="00FE797D">
      <w:pPr>
        <w:pStyle w:val="FooterTableFigure"/>
      </w:pPr>
      <w:r w:rsidRPr="00FE7861">
        <w:rPr>
          <w:rFonts w:eastAsiaTheme="minorEastAsia"/>
          <w:color w:val="000000" w:themeColor="text1"/>
          <w:vertAlign w:val="superscript"/>
          <w:lang w:eastAsia="ja-JP"/>
        </w:rPr>
        <w:t>c</w:t>
      </w:r>
      <w:r w:rsidRPr="00FE7861">
        <w:t xml:space="preserve"> Patients receiving SoC = total APDS population - patients treated with leniolisib year beginning.</w:t>
      </w:r>
    </w:p>
    <w:p w14:paraId="4DDA9B03" w14:textId="77777777" w:rsidR="00FE797D" w:rsidRPr="00FE7861" w:rsidRDefault="00FE797D" w:rsidP="00FE797D">
      <w:pPr>
        <w:pStyle w:val="FooterTableFigure"/>
      </w:pPr>
      <w:r w:rsidRPr="00FE7861">
        <w:rPr>
          <w:rFonts w:eastAsiaTheme="minorEastAsia"/>
          <w:color w:val="000000" w:themeColor="text1"/>
          <w:vertAlign w:val="superscript"/>
          <w:lang w:eastAsia="ja-JP"/>
        </w:rPr>
        <w:t>d</w:t>
      </w:r>
      <w:r w:rsidRPr="00FE7861">
        <w:t xml:space="preserve"> Calculated as 97.45% (given 2.55% annual discontinuation rate) of patients receiving treatment, year beginning in current year.</w:t>
      </w:r>
    </w:p>
    <w:p w14:paraId="5679B39B" w14:textId="77777777" w:rsidR="00FE797D" w:rsidRPr="00FE7861" w:rsidRDefault="00FE797D" w:rsidP="00FE797D">
      <w:pPr>
        <w:pStyle w:val="FooterTableFigure"/>
      </w:pPr>
      <w:r w:rsidRPr="00FE7861">
        <w:rPr>
          <w:rFonts w:eastAsiaTheme="minorEastAsia"/>
          <w:color w:val="000000" w:themeColor="text1"/>
          <w:vertAlign w:val="superscript"/>
          <w:lang w:eastAsia="ja-JP"/>
        </w:rPr>
        <w:t>e</w:t>
      </w:r>
      <w:r w:rsidRPr="00FE7861">
        <w:t xml:space="preserve"> Figures incorporate assumption that patients receiving a full year of treatment receive 12.175 packs of leniolisib per year based on one pack providing 30 days of treatment (patients discontinuing treatment after 6 months receive 6.0875 packs per year) and a persistence rate of 100%.</w:t>
      </w:r>
    </w:p>
    <w:p w14:paraId="15EC2245" w14:textId="77777777" w:rsidR="00FE797D" w:rsidRPr="00FE7861" w:rsidRDefault="00FE797D" w:rsidP="00FE797D">
      <w:pPr>
        <w:pStyle w:val="FooterTableFigure"/>
      </w:pPr>
      <w:r w:rsidRPr="00FE7861">
        <w:rPr>
          <w:rFonts w:eastAsiaTheme="minorEastAsia"/>
          <w:color w:val="000000" w:themeColor="text1"/>
          <w:vertAlign w:val="superscript"/>
          <w:lang w:eastAsia="ja-JP"/>
        </w:rPr>
        <w:t>f</w:t>
      </w:r>
      <w:r w:rsidRPr="00FE7861">
        <w:t xml:space="preserve"> The submission assumed listing of leniolisib on the PBS Schedule would occur from 1 July 2026. Therefore, it was assumed that in the first year of listing, patients would receive 50% of the expected packs.</w:t>
      </w:r>
    </w:p>
    <w:p w14:paraId="1C6CFD1C" w14:textId="77777777" w:rsidR="000B0F06" w:rsidRDefault="00107E32" w:rsidP="00FE797D">
      <w:pPr>
        <w:pStyle w:val="FooterTableFigure"/>
      </w:pPr>
      <w:r w:rsidRPr="00FE7861">
        <w:rPr>
          <w:rFonts w:eastAsiaTheme="minorEastAsia"/>
          <w:color w:val="000000" w:themeColor="text1"/>
          <w:vertAlign w:val="superscript"/>
          <w:lang w:eastAsia="ja-JP"/>
        </w:rPr>
        <w:t>g</w:t>
      </w:r>
      <w:r w:rsidRPr="00FE7861">
        <w:t xml:space="preserve"> Submission’s MBS cost erroneously excluded </w:t>
      </w:r>
      <w:r w:rsidR="009C22F8" w:rsidRPr="00FE7861">
        <w:t>MBS item 116 - Professional attendance at consulting rooms or hospital associated with prednisolone injections which have been recalculated during the evaluation.</w:t>
      </w:r>
    </w:p>
    <w:p w14:paraId="5C0EC18B" w14:textId="11FC5C1B" w:rsidR="00107E32" w:rsidRPr="00FE7861" w:rsidRDefault="009B42EF" w:rsidP="00FE797D">
      <w:pPr>
        <w:pStyle w:val="FooterTableFigure"/>
      </w:pPr>
      <w:r w:rsidRPr="009B42EF">
        <w:rPr>
          <w:vertAlign w:val="superscript"/>
        </w:rPr>
        <w:t>h</w:t>
      </w:r>
      <w:r w:rsidR="000B0F06">
        <w:t xml:space="preserve"> includes revised price, </w:t>
      </w:r>
      <w:r w:rsidR="004C1433">
        <w:t xml:space="preserve">4.35% discontinuation, revised prevalence, correction of minor calculation errors, </w:t>
      </w:r>
      <w:r w:rsidR="001F60D7" w:rsidRPr="005D75EA">
        <w:rPr>
          <w:color w:val="000000"/>
          <w:spacing w:val="40"/>
          <w:shd w:val="solid" w:color="000000" w:fill="000000"/>
          <w:fitText w:val="280" w:id="-629967359"/>
          <w14:textFill>
            <w14:solidFill>
              <w14:srgbClr w14:val="000000">
                <w14:alpha w14:val="100000"/>
              </w14:srgbClr>
            </w14:solidFill>
          </w14:textFill>
        </w:rPr>
        <w:t xml:space="preserve">|  </w:t>
      </w:r>
      <w:r w:rsidR="001F60D7" w:rsidRPr="005D75EA">
        <w:rPr>
          <w:color w:val="000000"/>
          <w:spacing w:val="2"/>
          <w:shd w:val="solid" w:color="000000" w:fill="000000"/>
          <w:fitText w:val="280" w:id="-629967359"/>
          <w14:textFill>
            <w14:solidFill>
              <w14:srgbClr w14:val="000000">
                <w14:alpha w14:val="100000"/>
              </w14:srgbClr>
            </w14:solidFill>
          </w14:textFill>
        </w:rPr>
        <w:t>|</w:t>
      </w:r>
      <w:r w:rsidR="004C1433">
        <w:t xml:space="preserve">% </w:t>
      </w:r>
      <w:r>
        <w:t>ultimate market uptake, as per Pre-PBAC response – values not verified.</w:t>
      </w:r>
      <w:r w:rsidR="009C22F8" w:rsidRPr="00FE7861">
        <w:t xml:space="preserve"> </w:t>
      </w:r>
    </w:p>
    <w:p w14:paraId="6FD080ED" w14:textId="77777777" w:rsidR="007625C1" w:rsidRDefault="00FE797D" w:rsidP="007625C1">
      <w:pPr>
        <w:pStyle w:val="FooterTableFigure"/>
      </w:pPr>
      <w:r w:rsidRPr="00FE7861">
        <w:t>Source: Table 4.11, .4.32, 4.33</w:t>
      </w:r>
      <w:r w:rsidR="00B91400" w:rsidRPr="00FE7861">
        <w:t xml:space="preserve">, 4.39, 4.40, </w:t>
      </w:r>
      <w:r w:rsidRPr="00FE7861">
        <w:t>4.44</w:t>
      </w:r>
      <w:r w:rsidR="00B91400" w:rsidRPr="00FE7861">
        <w:t>, 4.50</w:t>
      </w:r>
      <w:r w:rsidRPr="00FE7861">
        <w:t>, pp 299, 317-324</w:t>
      </w:r>
      <w:r w:rsidR="00B91400" w:rsidRPr="00FE7861">
        <w:t>, 332-333, 343</w:t>
      </w:r>
      <w:r w:rsidRPr="00FE7861">
        <w:t xml:space="preserve"> of the submission and UMP 1.0 Financial Table Workbook.</w:t>
      </w:r>
      <w:r w:rsidR="007625C1" w:rsidRPr="007625C1">
        <w:t xml:space="preserve"> </w:t>
      </w:r>
    </w:p>
    <w:p w14:paraId="24691DE8" w14:textId="46057C33" w:rsidR="007625C1" w:rsidRPr="005E2053" w:rsidRDefault="007625C1" w:rsidP="007625C1">
      <w:pPr>
        <w:pStyle w:val="FooterTableFigure"/>
        <w:rPr>
          <w:i/>
          <w:iCs/>
        </w:rPr>
      </w:pPr>
      <w:r w:rsidRPr="005E2053">
        <w:rPr>
          <w:i/>
          <w:iCs/>
        </w:rPr>
        <w:t>The redacted values correspond to the following ranges:</w:t>
      </w:r>
    </w:p>
    <w:p w14:paraId="5907B83C" w14:textId="77777777" w:rsidR="00363E19" w:rsidRPr="005E2053" w:rsidRDefault="007625C1" w:rsidP="007625C1">
      <w:pPr>
        <w:pStyle w:val="FooterTableFigure"/>
        <w:rPr>
          <w:i/>
          <w:iCs/>
        </w:rPr>
      </w:pPr>
      <w:r w:rsidRPr="00833316">
        <w:rPr>
          <w:i/>
          <w:iCs/>
          <w:vertAlign w:val="superscript"/>
        </w:rPr>
        <w:t>1</w:t>
      </w:r>
      <w:r w:rsidRPr="005E2053">
        <w:rPr>
          <w:i/>
          <w:iCs/>
        </w:rPr>
        <w:t xml:space="preserve"> &lt;500</w:t>
      </w:r>
      <w:r w:rsidR="00363E19" w:rsidRPr="005E2053">
        <w:rPr>
          <w:i/>
          <w:iCs/>
        </w:rPr>
        <w:t xml:space="preserve"> </w:t>
      </w:r>
    </w:p>
    <w:p w14:paraId="6EA75E83" w14:textId="77777777" w:rsidR="00D55D2F" w:rsidRPr="005E2053" w:rsidRDefault="00363E19" w:rsidP="00D55D2F">
      <w:pPr>
        <w:pStyle w:val="FooterTableFigure"/>
        <w:rPr>
          <w:i/>
          <w:iCs/>
        </w:rPr>
      </w:pPr>
      <w:r w:rsidRPr="00833316">
        <w:rPr>
          <w:i/>
          <w:iCs/>
          <w:vertAlign w:val="superscript"/>
        </w:rPr>
        <w:t xml:space="preserve">2 </w:t>
      </w:r>
      <w:r w:rsidRPr="005E2053">
        <w:rPr>
          <w:i/>
          <w:iCs/>
        </w:rPr>
        <w:t xml:space="preserve">500 to &lt; 5,000 </w:t>
      </w:r>
    </w:p>
    <w:p w14:paraId="66E2B629" w14:textId="33D4FA42" w:rsidR="00D55D2F" w:rsidRPr="005E2053" w:rsidRDefault="00D55D2F" w:rsidP="00D55D2F">
      <w:pPr>
        <w:pStyle w:val="FooterTableFigure"/>
        <w:rPr>
          <w:i/>
          <w:iCs/>
        </w:rPr>
      </w:pPr>
      <w:r w:rsidRPr="00833316">
        <w:rPr>
          <w:i/>
          <w:iCs/>
          <w:vertAlign w:val="superscript"/>
        </w:rPr>
        <w:t>3</w:t>
      </w:r>
      <w:r w:rsidRPr="005E2053">
        <w:rPr>
          <w:i/>
          <w:iCs/>
        </w:rPr>
        <w:t xml:space="preserve"> $0 to &lt; $10 million</w:t>
      </w:r>
    </w:p>
    <w:p w14:paraId="227321D5" w14:textId="4DF9DA7B" w:rsidR="00D55D2F" w:rsidRPr="005E2053" w:rsidRDefault="00014D00" w:rsidP="00D55D2F">
      <w:pPr>
        <w:pStyle w:val="FooterTableFigure"/>
        <w:rPr>
          <w:i/>
          <w:iCs/>
        </w:rPr>
      </w:pPr>
      <w:r w:rsidRPr="00833316">
        <w:rPr>
          <w:i/>
          <w:iCs/>
          <w:vertAlign w:val="superscript"/>
        </w:rPr>
        <w:t>4</w:t>
      </w:r>
      <w:r w:rsidRPr="005E2053">
        <w:rPr>
          <w:i/>
          <w:iCs/>
        </w:rPr>
        <w:t xml:space="preserve"> </w:t>
      </w:r>
      <w:r w:rsidR="00D55D2F" w:rsidRPr="005E2053">
        <w:rPr>
          <w:i/>
          <w:iCs/>
        </w:rPr>
        <w:t>$10 million to &lt; $20 million</w:t>
      </w:r>
    </w:p>
    <w:p w14:paraId="35C98934" w14:textId="77777777" w:rsidR="00937E58" w:rsidRPr="005E2053" w:rsidRDefault="00014D00" w:rsidP="00D55D2F">
      <w:pPr>
        <w:pStyle w:val="FooterTableFigure"/>
        <w:rPr>
          <w:i/>
          <w:iCs/>
        </w:rPr>
      </w:pPr>
      <w:r w:rsidRPr="00833316">
        <w:rPr>
          <w:i/>
          <w:iCs/>
          <w:vertAlign w:val="superscript"/>
        </w:rPr>
        <w:t xml:space="preserve">5 </w:t>
      </w:r>
      <w:r w:rsidR="00D55D2F" w:rsidRPr="005E2053">
        <w:rPr>
          <w:i/>
          <w:iCs/>
        </w:rPr>
        <w:t>$20 million to &lt; $30 million</w:t>
      </w:r>
      <w:r w:rsidR="00937E58" w:rsidRPr="005E2053">
        <w:rPr>
          <w:i/>
          <w:iCs/>
        </w:rPr>
        <w:t xml:space="preserve"> </w:t>
      </w:r>
    </w:p>
    <w:p w14:paraId="35E5A12D" w14:textId="4E8A96D7" w:rsidR="00D55D2F" w:rsidRPr="005E2053" w:rsidRDefault="00937E58" w:rsidP="00D55D2F">
      <w:pPr>
        <w:pStyle w:val="FooterTableFigure"/>
        <w:rPr>
          <w:i/>
          <w:iCs/>
        </w:rPr>
      </w:pPr>
      <w:r w:rsidRPr="00833316">
        <w:rPr>
          <w:i/>
          <w:iCs/>
          <w:vertAlign w:val="superscript"/>
        </w:rPr>
        <w:t>6</w:t>
      </w:r>
      <w:r w:rsidRPr="005E2053">
        <w:rPr>
          <w:i/>
          <w:iCs/>
        </w:rPr>
        <w:t xml:space="preserve"> net cost saving</w:t>
      </w:r>
    </w:p>
    <w:p w14:paraId="2B1D4126" w14:textId="4DB27E0E" w:rsidR="00370E66" w:rsidRPr="00FE7861" w:rsidRDefault="003D1923" w:rsidP="007B2922">
      <w:pPr>
        <w:pStyle w:val="3-BodyText"/>
      </w:pPr>
      <w:r w:rsidRPr="00FE7861">
        <w:t xml:space="preserve">The total cost to the PBS of listing </w:t>
      </w:r>
      <w:r w:rsidR="00370E66" w:rsidRPr="00FE7861">
        <w:t>leniolisib</w:t>
      </w:r>
      <w:r w:rsidRPr="00FE7861">
        <w:t xml:space="preserve"> was estimated to be </w:t>
      </w:r>
      <w:r w:rsidR="00017189" w:rsidRPr="00017189">
        <w:t>0 to &lt; $10 million</w:t>
      </w:r>
      <w:r w:rsidR="00017189" w:rsidRPr="00017189" w:rsidDel="00017189">
        <w:t xml:space="preserve"> </w:t>
      </w:r>
      <w:r w:rsidR="00370E66" w:rsidRPr="00FE7861">
        <w:t xml:space="preserve">in Year 1 and </w:t>
      </w:r>
      <w:r w:rsidR="008725F7" w:rsidRPr="008725F7">
        <w:t>$20 million to &lt; $30 million</w:t>
      </w:r>
      <w:r w:rsidR="00281DAE">
        <w:t xml:space="preserve"> </w:t>
      </w:r>
      <w:r w:rsidR="00370E66" w:rsidRPr="00FE7861">
        <w:t xml:space="preserve">in </w:t>
      </w:r>
      <w:r w:rsidRPr="00FE7861">
        <w:t xml:space="preserve">Year 6, and a total of </w:t>
      </w:r>
      <w:r w:rsidR="008057C1" w:rsidRPr="008057C1">
        <w:t>$90 million to &lt; $100 million</w:t>
      </w:r>
      <w:r w:rsidR="00281DAE">
        <w:t xml:space="preserve"> </w:t>
      </w:r>
      <w:r w:rsidRPr="00FE7861">
        <w:t>in the first 6 years of listing</w:t>
      </w:r>
      <w:r w:rsidRPr="00FE7861">
        <w:rPr>
          <w:color w:val="3366FF"/>
        </w:rPr>
        <w:t>.</w:t>
      </w:r>
      <w:r w:rsidRPr="00FE7861">
        <w:t xml:space="preserve"> </w:t>
      </w:r>
      <w:r w:rsidR="00891DD5">
        <w:t xml:space="preserve">The submission also </w:t>
      </w:r>
      <w:r w:rsidR="007B2922">
        <w:t>estimated</w:t>
      </w:r>
      <w:r w:rsidR="00370E66" w:rsidRPr="00FE7861">
        <w:t xml:space="preserve"> minor cost savings due to reductions in </w:t>
      </w:r>
      <w:r w:rsidR="007B2922">
        <w:t>PBS cost</w:t>
      </w:r>
      <w:r w:rsidR="007B2922" w:rsidRPr="00FE7861">
        <w:t xml:space="preserve"> </w:t>
      </w:r>
      <w:r w:rsidR="00370E66" w:rsidRPr="00FE7861">
        <w:t xml:space="preserve">due to fewer estimated manifestations associated with leniolisib treatment. </w:t>
      </w:r>
    </w:p>
    <w:p w14:paraId="52B47B4C" w14:textId="70E90267" w:rsidR="00107E32" w:rsidRPr="00FE7861" w:rsidRDefault="00107E32" w:rsidP="00107E32">
      <w:pPr>
        <w:pStyle w:val="3-BodyText"/>
      </w:pPr>
      <w:bookmarkStart w:id="59" w:name="_Ref204247048"/>
      <w:r w:rsidRPr="00FD170B">
        <w:t>The</w:t>
      </w:r>
      <w:r w:rsidR="00181FCF" w:rsidRPr="00FD170B">
        <w:t xml:space="preserve"> Commentary considered </w:t>
      </w:r>
      <w:r w:rsidR="00181FCF">
        <w:t>the</w:t>
      </w:r>
      <w:r w:rsidRPr="00FE7861">
        <w:t xml:space="preserve"> financial estimates presented were uncertain as:</w:t>
      </w:r>
      <w:bookmarkEnd w:id="59"/>
    </w:p>
    <w:p w14:paraId="70EAEDDF" w14:textId="219364BA" w:rsidR="00107E32" w:rsidRPr="00FE7861" w:rsidRDefault="00107E32" w:rsidP="002F61DF">
      <w:pPr>
        <w:pStyle w:val="3-BodyText"/>
        <w:numPr>
          <w:ilvl w:val="0"/>
          <w:numId w:val="23"/>
        </w:numPr>
      </w:pPr>
      <w:r w:rsidRPr="00FE7861">
        <w:t>The prevalence rate applied may be overestimated, as the prevalence was assumed to increase such that by year 5 of listing, the prevalence (2 per million) is double that of year 1 (1 per million), and the prevalence in year 6 (2.15 per million) is higher than the published literature estimates from which the prevalence was obtained (Vanselow 2023</w:t>
      </w:r>
      <w:r w:rsidR="00D50B5D">
        <w:t xml:space="preserve">). </w:t>
      </w:r>
      <w:r w:rsidR="0051615D" w:rsidRPr="008B433C">
        <w:t xml:space="preserve">See also Sub-Committee advice regarding prevalence in paragraph </w:t>
      </w:r>
      <w:r w:rsidR="001C34F7" w:rsidRPr="008B433C">
        <w:fldChar w:fldCharType="begin" w:fldLock="1"/>
      </w:r>
      <w:r w:rsidR="001C34F7" w:rsidRPr="008B433C">
        <w:instrText xml:space="preserve"> REF _Ref201579986 \r \h  \* MERGEFORMAT </w:instrText>
      </w:r>
      <w:r w:rsidR="001C34F7" w:rsidRPr="008B433C">
        <w:fldChar w:fldCharType="separate"/>
      </w:r>
      <w:r w:rsidR="00D50B5D">
        <w:t>6.76</w:t>
      </w:r>
      <w:r w:rsidR="001C34F7" w:rsidRPr="008B433C">
        <w:fldChar w:fldCharType="end"/>
      </w:r>
      <w:r w:rsidRPr="008B433C">
        <w:t>; and</w:t>
      </w:r>
    </w:p>
    <w:p w14:paraId="7FB466FD" w14:textId="77777777" w:rsidR="00107E32" w:rsidRPr="00FE7861" w:rsidRDefault="00107E32" w:rsidP="002F61DF">
      <w:pPr>
        <w:pStyle w:val="3-BodyText"/>
        <w:numPr>
          <w:ilvl w:val="0"/>
          <w:numId w:val="23"/>
        </w:numPr>
      </w:pPr>
      <w:r w:rsidRPr="00FE7861">
        <w:t>The annual discontinuation rate was only applied to newly initiated patients rather than applied every year, which may overestimate utilisation; but</w:t>
      </w:r>
    </w:p>
    <w:p w14:paraId="46DFF62A" w14:textId="77777777" w:rsidR="00107E32" w:rsidRPr="00FE7861" w:rsidRDefault="00107E32" w:rsidP="002F61DF">
      <w:pPr>
        <w:pStyle w:val="3-BodyText"/>
        <w:numPr>
          <w:ilvl w:val="0"/>
          <w:numId w:val="23"/>
        </w:numPr>
      </w:pPr>
      <w:r w:rsidRPr="00FE7861">
        <w:t>Uptake rates were also only applied to newly initiated patients i.e. patients diagnosed in year 1 are assumed to never initiate treatment in subsequent years if they do not start treatment in year 1, which may underestimate utilisation;</w:t>
      </w:r>
    </w:p>
    <w:p w14:paraId="18F385A6" w14:textId="77777777" w:rsidR="00107E32" w:rsidRPr="00FE7861" w:rsidRDefault="00107E32" w:rsidP="002F61DF">
      <w:pPr>
        <w:pStyle w:val="3-BodyText"/>
        <w:numPr>
          <w:ilvl w:val="0"/>
          <w:numId w:val="23"/>
        </w:numPr>
      </w:pPr>
      <w:r w:rsidRPr="00FE7861">
        <w:t>It was assumed that leniolisib will be listed in July 2026, and as such only 50% utilisation was applied in year 1 of listing, which may not be reasonable and may underestimate the utilisation; and</w:t>
      </w:r>
    </w:p>
    <w:p w14:paraId="515AE35B" w14:textId="4B3F2598" w:rsidR="00107E32" w:rsidRDefault="00107E32" w:rsidP="002F61DF">
      <w:pPr>
        <w:pStyle w:val="3-BodyText"/>
        <w:numPr>
          <w:ilvl w:val="0"/>
          <w:numId w:val="23"/>
        </w:numPr>
      </w:pPr>
      <w:r w:rsidRPr="00FE7861">
        <w:t>In the</w:t>
      </w:r>
      <w:r w:rsidR="007C1E1C">
        <w:t xml:space="preserve"> submission’s</w:t>
      </w:r>
      <w:r w:rsidRPr="00FE7861">
        <w:t xml:space="preserve"> calculations, patient numbers were rounded (in some cases rounded up) which, when considered in the context of small patient numbers and percentages, </w:t>
      </w:r>
      <w:r w:rsidR="004C146B" w:rsidRPr="00FE7861">
        <w:t>increased</w:t>
      </w:r>
      <w:r w:rsidRPr="00FE7861">
        <w:t xml:space="preserve"> uncertainty </w:t>
      </w:r>
      <w:r w:rsidR="004C146B" w:rsidRPr="00FE7861">
        <w:t xml:space="preserve">in </w:t>
      </w:r>
      <w:r w:rsidRPr="00FE7861">
        <w:t>the estimate</w:t>
      </w:r>
      <w:r w:rsidR="004C146B" w:rsidRPr="00FE7861">
        <w:t>s</w:t>
      </w:r>
      <w:r w:rsidRPr="00FE7861">
        <w:t xml:space="preserve">. </w:t>
      </w:r>
    </w:p>
    <w:p w14:paraId="68244C5F" w14:textId="2E5280B8" w:rsidR="00876BE6" w:rsidRDefault="00876BE6" w:rsidP="00B374FC">
      <w:pPr>
        <w:pStyle w:val="3-BodyText"/>
      </w:pPr>
      <w:r>
        <w:t>The pre-PBAC response presented revised financial estimates incor</w:t>
      </w:r>
      <w:r w:rsidR="00A044C0">
        <w:t>porating</w:t>
      </w:r>
      <w:r w:rsidR="00F31CC0">
        <w:t xml:space="preserve"> the revised proposed price ($</w:t>
      </w:r>
      <w:r w:rsidR="001F60D7" w:rsidRPr="00C740B8">
        <w:rPr>
          <w:color w:val="000000"/>
          <w:w w:val="15"/>
          <w:shd w:val="solid" w:color="000000" w:fill="000000"/>
          <w:fitText w:val="-20" w:id="-629967358"/>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8"/>
          <w14:textFill>
            <w14:solidFill>
              <w14:srgbClr w14:val="000000">
                <w14:alpha w14:val="100000"/>
              </w14:srgbClr>
            </w14:solidFill>
          </w14:textFill>
        </w:rPr>
        <w:t>|</w:t>
      </w:r>
      <w:r w:rsidR="00F31CC0">
        <w:t>)</w:t>
      </w:r>
      <w:r w:rsidR="00F31CC0" w:rsidRPr="003E7176">
        <w:t xml:space="preserve">, 4.35% discontinuation, prevalence </w:t>
      </w:r>
      <w:r w:rsidR="001F60D7" w:rsidRPr="00C740B8">
        <w:rPr>
          <w:color w:val="000000"/>
          <w:w w:val="15"/>
          <w:shd w:val="solid" w:color="000000" w:fill="000000"/>
          <w:fitText w:val="-20" w:id="-629967357"/>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7"/>
          <w14:textFill>
            <w14:solidFill>
              <w14:srgbClr w14:val="000000">
                <w14:alpha w14:val="100000"/>
              </w14:srgbClr>
            </w14:solidFill>
          </w14:textFill>
        </w:rPr>
        <w:t>|</w:t>
      </w:r>
      <w:r w:rsidR="00B374FC" w:rsidRPr="00B374FC">
        <w:t>,</w:t>
      </w:r>
      <w:r w:rsidR="00B374FC">
        <w:t xml:space="preserve"> </w:t>
      </w:r>
      <w:r w:rsidR="001F60D7" w:rsidRPr="00C740B8">
        <w:rPr>
          <w:color w:val="000000"/>
          <w:w w:val="15"/>
          <w:shd w:val="solid" w:color="000000" w:fill="000000"/>
          <w:fitText w:val="-20" w:id="-629967356"/>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6"/>
          <w14:textFill>
            <w14:solidFill>
              <w14:srgbClr w14:val="000000">
                <w14:alpha w14:val="100000"/>
              </w14:srgbClr>
            </w14:solidFill>
          </w14:textFill>
        </w:rPr>
        <w:t>|</w:t>
      </w:r>
      <w:r w:rsidR="00B374FC" w:rsidRPr="00B374FC">
        <w:t>,</w:t>
      </w:r>
      <w:r w:rsidR="00B374FC">
        <w:t xml:space="preserve"> </w:t>
      </w:r>
      <w:r w:rsidR="001F60D7" w:rsidRPr="00C740B8">
        <w:rPr>
          <w:color w:val="000000"/>
          <w:w w:val="15"/>
          <w:shd w:val="solid" w:color="000000" w:fill="000000"/>
          <w:fitText w:val="-20" w:id="-629967355"/>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5"/>
          <w14:textFill>
            <w14:solidFill>
              <w14:srgbClr w14:val="000000">
                <w14:alpha w14:val="100000"/>
              </w14:srgbClr>
            </w14:solidFill>
          </w14:textFill>
        </w:rPr>
        <w:t>|</w:t>
      </w:r>
      <w:r w:rsidR="00B374FC" w:rsidRPr="00B374FC">
        <w:t>,</w:t>
      </w:r>
      <w:r w:rsidR="00B374FC">
        <w:t xml:space="preserve"> </w:t>
      </w:r>
      <w:r w:rsidR="001F60D7" w:rsidRPr="00C740B8">
        <w:rPr>
          <w:color w:val="000000"/>
          <w:w w:val="15"/>
          <w:shd w:val="solid" w:color="000000" w:fill="000000"/>
          <w:fitText w:val="-20" w:id="-629967354"/>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4"/>
          <w14:textFill>
            <w14:solidFill>
              <w14:srgbClr w14:val="000000">
                <w14:alpha w14:val="100000"/>
              </w14:srgbClr>
            </w14:solidFill>
          </w14:textFill>
        </w:rPr>
        <w:t>|</w:t>
      </w:r>
      <w:r w:rsidR="00B374FC" w:rsidRPr="00B374FC">
        <w:t>,</w:t>
      </w:r>
      <w:r w:rsidR="00B374FC">
        <w:t xml:space="preserve"> </w:t>
      </w:r>
      <w:r w:rsidR="001F60D7" w:rsidRPr="00C740B8">
        <w:rPr>
          <w:color w:val="000000"/>
          <w:w w:val="15"/>
          <w:shd w:val="solid" w:color="000000" w:fill="000000"/>
          <w:fitText w:val="-20" w:id="-629967353"/>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3"/>
          <w14:textFill>
            <w14:solidFill>
              <w14:srgbClr w14:val="000000">
                <w14:alpha w14:val="100000"/>
              </w14:srgbClr>
            </w14:solidFill>
          </w14:textFill>
        </w:rPr>
        <w:t>|</w:t>
      </w:r>
      <w:r w:rsidR="00B374FC">
        <w:t xml:space="preserve">, </w:t>
      </w:r>
      <w:r w:rsidR="001F60D7" w:rsidRPr="00C740B8">
        <w:rPr>
          <w:color w:val="000000"/>
          <w:w w:val="15"/>
          <w:shd w:val="solid" w:color="000000" w:fill="000000"/>
          <w:fitText w:val="-20" w:id="-629967352"/>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2"/>
          <w14:textFill>
            <w14:solidFill>
              <w14:srgbClr w14:val="000000">
                <w14:alpha w14:val="100000"/>
              </w14:srgbClr>
            </w14:solidFill>
          </w14:textFill>
        </w:rPr>
        <w:t>|</w:t>
      </w:r>
      <w:r w:rsidR="00B374FC" w:rsidRPr="00B374FC">
        <w:t xml:space="preserve"> </w:t>
      </w:r>
      <w:r w:rsidR="00B374FC">
        <w:t xml:space="preserve">per million for </w:t>
      </w:r>
      <w:r w:rsidR="00B374FC" w:rsidRPr="00B374FC">
        <w:t xml:space="preserve">years 1 to </w:t>
      </w:r>
      <w:r w:rsidR="00B374FC">
        <w:t>6,</w:t>
      </w:r>
      <w:r w:rsidR="00B374FC" w:rsidRPr="00B374FC">
        <w:t xml:space="preserve"> </w:t>
      </w:r>
      <w:r w:rsidR="00F31CC0" w:rsidRPr="003E7176">
        <w:t xml:space="preserve">correction minor calculation errors, </w:t>
      </w:r>
      <w:r w:rsidR="001F60D7" w:rsidRPr="00C740B8">
        <w:rPr>
          <w:color w:val="000000"/>
          <w:w w:val="15"/>
          <w:shd w:val="solid" w:color="000000" w:fill="000000"/>
          <w:fitText w:val="-20" w:id="-629967351"/>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1"/>
          <w14:textFill>
            <w14:solidFill>
              <w14:srgbClr w14:val="000000">
                <w14:alpha w14:val="100000"/>
              </w14:srgbClr>
            </w14:solidFill>
          </w14:textFill>
        </w:rPr>
        <w:t>|</w:t>
      </w:r>
      <w:r w:rsidR="00F31CC0" w:rsidRPr="003E7176">
        <w:t>% ultimate market uptake</w:t>
      </w:r>
      <w:r w:rsidR="00F31CC0">
        <w:t xml:space="preserve"> (years commencing from 1 July 2026 listing)</w:t>
      </w:r>
      <w:r w:rsidR="00B374FC">
        <w:t xml:space="preserve">. </w:t>
      </w:r>
    </w:p>
    <w:p w14:paraId="5393473B" w14:textId="25EF4B31" w:rsidR="007F15FF" w:rsidRPr="007F15FF" w:rsidRDefault="007F15FF" w:rsidP="007F15FF">
      <w:pPr>
        <w:pStyle w:val="3-BodyText"/>
      </w:pPr>
      <w:r w:rsidRPr="007F15FF">
        <w:t>The Sub-Committees did not consider that it was likely that the drug would be used beyond the requested restriction.</w:t>
      </w:r>
    </w:p>
    <w:p w14:paraId="1E7AB1D2" w14:textId="77777777" w:rsidR="007F15FF" w:rsidRPr="00FE7861" w:rsidRDefault="007F15FF" w:rsidP="007F15FF">
      <w:pPr>
        <w:pStyle w:val="3-BodyText"/>
        <w:numPr>
          <w:ilvl w:val="0"/>
          <w:numId w:val="0"/>
        </w:numPr>
        <w:ind w:left="720" w:hanging="720"/>
      </w:pPr>
    </w:p>
    <w:p w14:paraId="577EDADB" w14:textId="77777777" w:rsidR="003D1923" w:rsidRPr="006562D8" w:rsidRDefault="003D1923" w:rsidP="003D1923">
      <w:pPr>
        <w:pStyle w:val="4-SubsectionHeading"/>
      </w:pPr>
      <w:bookmarkStart w:id="60" w:name="_Toc198725894"/>
      <w:r w:rsidRPr="006562D8">
        <w:t>Quality Use of Medicines</w:t>
      </w:r>
      <w:bookmarkEnd w:id="60"/>
    </w:p>
    <w:p w14:paraId="698D6129" w14:textId="74E19665" w:rsidR="00122EAC" w:rsidRDefault="00122EAC" w:rsidP="003D1923">
      <w:pPr>
        <w:pStyle w:val="3-BodyText"/>
      </w:pPr>
      <w:r w:rsidRPr="006562D8">
        <w:t>The sponsor has conducted/planned several pre-listing and post-listing activities to support Quality Use of Medicines</w:t>
      </w:r>
      <w:r w:rsidR="006F0358" w:rsidRPr="006562D8">
        <w:t xml:space="preserve"> (QUM)</w:t>
      </w:r>
      <w:r w:rsidRPr="006562D8">
        <w:t>. This includes activities such as local advisory board meetings</w:t>
      </w:r>
      <w:r w:rsidR="00A75F66" w:rsidRPr="006562D8">
        <w:t xml:space="preserve"> and</w:t>
      </w:r>
      <w:r w:rsidRPr="006562D8">
        <w:t xml:space="preserve"> engagement</w:t>
      </w:r>
      <w:r w:rsidR="00A75F66" w:rsidRPr="006562D8">
        <w:t>/</w:t>
      </w:r>
      <w:r w:rsidRPr="006562D8">
        <w:t xml:space="preserve">collaboration with </w:t>
      </w:r>
      <w:r w:rsidR="009C22F8" w:rsidRPr="006562D8">
        <w:t>the Clinical Immunogenomics Research Consortium of Australasia (</w:t>
      </w:r>
      <w:r w:rsidRPr="006562D8">
        <w:t>CIRCA</w:t>
      </w:r>
      <w:r w:rsidR="009C22F8" w:rsidRPr="006562D8">
        <w:t>)</w:t>
      </w:r>
      <w:r w:rsidRPr="006562D8">
        <w:t xml:space="preserve"> and </w:t>
      </w:r>
      <w:r w:rsidR="009C22F8" w:rsidRPr="006562D8">
        <w:t xml:space="preserve">the </w:t>
      </w:r>
      <w:r w:rsidRPr="006562D8">
        <w:t>ASCIA</w:t>
      </w:r>
      <w:r w:rsidR="00A75F66" w:rsidRPr="006562D8">
        <w:t xml:space="preserve">. </w:t>
      </w:r>
      <w:r w:rsidR="006F0358" w:rsidRPr="006562D8">
        <w:t>The submission stated that the sponsor aims to work closely with either the LSDP or Section 100 HSD unit in collaboratively communicating QUM via promotion and education of the requested restriction.</w:t>
      </w:r>
    </w:p>
    <w:p w14:paraId="526ED3D0" w14:textId="77777777" w:rsidR="007F15FF" w:rsidRPr="006562D8" w:rsidRDefault="007F15FF" w:rsidP="007F15FF">
      <w:pPr>
        <w:pStyle w:val="3-BodyText"/>
        <w:numPr>
          <w:ilvl w:val="0"/>
          <w:numId w:val="0"/>
        </w:numPr>
        <w:ind w:left="720"/>
      </w:pPr>
    </w:p>
    <w:p w14:paraId="413048C5" w14:textId="2DDEEC80" w:rsidR="003D1923" w:rsidRPr="006562D8" w:rsidRDefault="003D1923" w:rsidP="003D1923">
      <w:pPr>
        <w:pStyle w:val="4-SubsectionHeading"/>
      </w:pPr>
      <w:bookmarkStart w:id="61" w:name="_Toc198725895"/>
      <w:r w:rsidRPr="006562D8">
        <w:t>Financial Management – Risk Sharing Arrangements</w:t>
      </w:r>
      <w:bookmarkEnd w:id="61"/>
    </w:p>
    <w:p w14:paraId="502BFE97" w14:textId="2C4E783A" w:rsidR="00177E9D" w:rsidRPr="00FE7861" w:rsidRDefault="00177E9D" w:rsidP="0051104A">
      <w:pPr>
        <w:pStyle w:val="3-BodyText"/>
      </w:pPr>
      <w:r w:rsidRPr="006562D8">
        <w:t xml:space="preserve">The submission </w:t>
      </w:r>
      <w:r w:rsidR="00547474">
        <w:t>proposed</w:t>
      </w:r>
      <w:r w:rsidR="00547474" w:rsidRPr="006562D8">
        <w:t xml:space="preserve"> </w:t>
      </w:r>
      <w:r w:rsidR="0051104A">
        <w:t>a</w:t>
      </w:r>
      <w:r w:rsidR="007204E9">
        <w:t>n</w:t>
      </w:r>
      <w:r w:rsidRPr="006562D8">
        <w:t xml:space="preserve"> RSA, whereby when pack utilisation exceeds the proposed </w:t>
      </w:r>
      <w:r w:rsidR="00FA58AA">
        <w:t>financial</w:t>
      </w:r>
      <w:r w:rsidR="00FA58AA" w:rsidRPr="006562D8">
        <w:t xml:space="preserve"> </w:t>
      </w:r>
      <w:r w:rsidRPr="006562D8">
        <w:t xml:space="preserve">cap by </w:t>
      </w:r>
      <w:r w:rsidR="001F60D7" w:rsidRPr="00C740B8">
        <w:rPr>
          <w:color w:val="000000"/>
          <w:w w:val="15"/>
          <w:shd w:val="solid" w:color="000000" w:fill="000000"/>
          <w:fitText w:val="-20" w:id="-629967350"/>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50"/>
          <w14:textFill>
            <w14:solidFill>
              <w14:srgbClr w14:val="000000">
                <w14:alpha w14:val="100000"/>
              </w14:srgbClr>
            </w14:solidFill>
          </w14:textFill>
        </w:rPr>
        <w:t>|</w:t>
      </w:r>
      <w:r w:rsidRPr="006562D8">
        <w:t xml:space="preserve">%, </w:t>
      </w:r>
      <w:r w:rsidR="001F60D7" w:rsidRPr="00C740B8">
        <w:rPr>
          <w:color w:val="000000"/>
          <w:w w:val="15"/>
          <w:shd w:val="solid" w:color="000000" w:fill="000000"/>
          <w:fitText w:val="-20" w:id="-629967349"/>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49"/>
          <w14:textFill>
            <w14:solidFill>
              <w14:srgbClr w14:val="000000">
                <w14:alpha w14:val="100000"/>
              </w14:srgbClr>
            </w14:solidFill>
          </w14:textFill>
        </w:rPr>
        <w:t>|</w:t>
      </w:r>
      <w:r w:rsidRPr="006562D8">
        <w:t xml:space="preserve">% and </w:t>
      </w:r>
      <w:r w:rsidR="001F60D7" w:rsidRPr="00C740B8">
        <w:rPr>
          <w:color w:val="000000"/>
          <w:w w:val="15"/>
          <w:shd w:val="solid" w:color="000000" w:fill="000000"/>
          <w:fitText w:val="-20" w:id="-629967348"/>
          <w14:textFill>
            <w14:solidFill>
              <w14:srgbClr w14:val="000000">
                <w14:alpha w14:val="100000"/>
              </w14:srgbClr>
            </w14:solidFill>
          </w14:textFill>
        </w:rPr>
        <w:t xml:space="preserve">|  </w:t>
      </w:r>
      <w:r w:rsidR="001F60D7" w:rsidRPr="00C740B8">
        <w:rPr>
          <w:color w:val="000000"/>
          <w:spacing w:val="-69"/>
          <w:w w:val="15"/>
          <w:shd w:val="solid" w:color="000000" w:fill="000000"/>
          <w:fitText w:val="-20" w:id="-629967348"/>
          <w14:textFill>
            <w14:solidFill>
              <w14:srgbClr w14:val="000000">
                <w14:alpha w14:val="100000"/>
              </w14:srgbClr>
            </w14:solidFill>
          </w14:textFill>
        </w:rPr>
        <w:t>|</w:t>
      </w:r>
      <w:r w:rsidRPr="006562D8">
        <w:t xml:space="preserve">%, </w:t>
      </w:r>
      <w:r w:rsidRPr="00FE7861">
        <w:t xml:space="preserve">respectively in forecast years, it will result in an equivalent reduction in the effective pack prices. </w:t>
      </w:r>
      <w:r w:rsidR="001C0F33" w:rsidRPr="0053293B">
        <w:t>The S</w:t>
      </w:r>
      <w:r w:rsidR="0073759A" w:rsidRPr="0053293B">
        <w:t xml:space="preserve">ub-Committees </w:t>
      </w:r>
      <w:r w:rsidR="00246211" w:rsidRPr="0053293B">
        <w:t>not</w:t>
      </w:r>
      <w:r w:rsidR="009F4A88" w:rsidRPr="0053293B">
        <w:t>ed there was</w:t>
      </w:r>
      <w:r w:rsidR="00246211" w:rsidRPr="0053293B">
        <w:t xml:space="preserve"> a lack of clarity in </w:t>
      </w:r>
      <w:r w:rsidR="0032349D" w:rsidRPr="0053293B">
        <w:t>the sponsor’s propos</w:t>
      </w:r>
      <w:r w:rsidR="009F4A88" w:rsidRPr="0053293B">
        <w:t>ed caps</w:t>
      </w:r>
      <w:r w:rsidR="00CA1E99" w:rsidRPr="0053293B">
        <w:t xml:space="preserve"> and application of rebates</w:t>
      </w:r>
      <w:r w:rsidR="006472E2" w:rsidRPr="0053293B">
        <w:t>.</w:t>
      </w:r>
      <w:r w:rsidR="0053293B">
        <w:t xml:space="preserve"> The </w:t>
      </w:r>
      <w:r w:rsidR="00F748B7">
        <w:t>PBAC</w:t>
      </w:r>
      <w:r w:rsidR="0053293B">
        <w:t xml:space="preserve"> considered </w:t>
      </w:r>
      <w:r w:rsidR="00F748B7">
        <w:rPr>
          <w:snapToGrid w:val="0"/>
          <w:lang w:val="en-GB"/>
        </w:rPr>
        <w:t>there was minimal risk of use outside the proposed patient population and a risk sharing arrangement was not required</w:t>
      </w:r>
      <w:r w:rsidR="00D35D15">
        <w:rPr>
          <w:snapToGrid w:val="0"/>
          <w:lang w:val="en-GB"/>
        </w:rPr>
        <w:t>.</w:t>
      </w:r>
      <w:r w:rsidR="00997561">
        <w:rPr>
          <w:snapToGrid w:val="0"/>
          <w:lang w:val="en-GB"/>
        </w:rPr>
        <w:t xml:space="preserve"> </w:t>
      </w:r>
    </w:p>
    <w:p w14:paraId="33E0E7D8" w14:textId="008B695F" w:rsidR="00C4025F" w:rsidRPr="00C4025F" w:rsidRDefault="00901442" w:rsidP="00C4025F">
      <w:pPr>
        <w:pStyle w:val="3-BodyText"/>
      </w:pPr>
      <w:r>
        <w:t>The submission noted that the o</w:t>
      </w:r>
      <w:r w:rsidR="00C4025F" w:rsidRPr="006562D8">
        <w:t xml:space="preserve">pen label extension Study 2201E1 (CCDZ173X2201E1) remains ongoing and is expected to provide longer term efficacy and safety data post listing, which can be </w:t>
      </w:r>
      <w:r w:rsidR="00E61955">
        <w:t>provided,</w:t>
      </w:r>
      <w:r w:rsidR="00E61955" w:rsidRPr="006562D8">
        <w:t xml:space="preserve"> </w:t>
      </w:r>
      <w:r w:rsidR="00C4025F" w:rsidRPr="006562D8">
        <w:t>along with observational data in the Australian APDS population.</w:t>
      </w:r>
    </w:p>
    <w:p w14:paraId="72974147" w14:textId="45A9A6FB" w:rsidR="00F92EED" w:rsidRPr="00E61955" w:rsidRDefault="003B7582" w:rsidP="00F92EED">
      <w:pPr>
        <w:pStyle w:val="3-BodyText"/>
        <w:numPr>
          <w:ilvl w:val="0"/>
          <w:numId w:val="0"/>
        </w:numPr>
        <w:ind w:left="720" w:hanging="720"/>
        <w:rPr>
          <w:i/>
        </w:rPr>
      </w:pPr>
      <w:bookmarkStart w:id="62" w:name="_Toc198725897"/>
      <w:r w:rsidRPr="003B7582">
        <w:rPr>
          <w:i/>
          <w:iCs/>
        </w:rPr>
        <w:t>For more detail on PBAC’s view, see section 7 PBAC outcome.</w:t>
      </w:r>
    </w:p>
    <w:p w14:paraId="4B4AF4B7" w14:textId="77777777" w:rsidR="00DD22E1" w:rsidRPr="0090150D" w:rsidRDefault="00DD22E1" w:rsidP="00DD22E1">
      <w:pPr>
        <w:pStyle w:val="2-SectionHeading"/>
        <w:numPr>
          <w:ilvl w:val="0"/>
          <w:numId w:val="1"/>
        </w:numPr>
      </w:pPr>
      <w:bookmarkStart w:id="63" w:name="_Hlk76381249"/>
      <w:bookmarkStart w:id="64" w:name="_Hlk76377955"/>
      <w:r w:rsidRPr="0090150D">
        <w:t>PBAC Outcome</w:t>
      </w:r>
    </w:p>
    <w:p w14:paraId="3365F643" w14:textId="4A61EE95" w:rsidR="002E1953" w:rsidRPr="002E1953" w:rsidRDefault="002C1723" w:rsidP="002C1723">
      <w:pPr>
        <w:pStyle w:val="3-BodyText"/>
        <w:rPr>
          <w:snapToGrid w:val="0"/>
          <w:lang w:val="en-GB"/>
        </w:rPr>
      </w:pPr>
      <w:bookmarkStart w:id="65" w:name="_Hlk111543188"/>
      <w:r w:rsidRPr="002C1723">
        <w:rPr>
          <w:rFonts w:eastAsia="Times New Roman" w:cs="Arial"/>
          <w:snapToGrid w:val="0"/>
          <w:szCs w:val="24"/>
          <w:lang w:val="en-GB"/>
        </w:rPr>
        <w:t xml:space="preserve">The PBAC recommended </w:t>
      </w:r>
      <w:r w:rsidR="009C384C">
        <w:rPr>
          <w:rFonts w:eastAsia="Times New Roman" w:cs="Arial"/>
          <w:snapToGrid w:val="0"/>
          <w:szCs w:val="24"/>
          <w:lang w:val="en-GB"/>
        </w:rPr>
        <w:t xml:space="preserve">the </w:t>
      </w:r>
      <w:r w:rsidR="00B12646" w:rsidRPr="00B12646">
        <w:rPr>
          <w:rFonts w:eastAsia="Times New Roman" w:cs="Arial"/>
          <w:snapToGrid w:val="0"/>
          <w:szCs w:val="24"/>
        </w:rPr>
        <w:t xml:space="preserve">Section 100 (Highly Specialised Drugs Program) </w:t>
      </w:r>
      <w:r w:rsidR="009C384C">
        <w:rPr>
          <w:rFonts w:eastAsia="Times New Roman" w:cs="Arial"/>
          <w:snapToGrid w:val="0"/>
          <w:szCs w:val="24"/>
          <w:lang w:val="en-GB"/>
        </w:rPr>
        <w:t xml:space="preserve">listing of </w:t>
      </w:r>
      <w:r w:rsidR="00772A0C">
        <w:rPr>
          <w:rFonts w:eastAsia="Times New Roman" w:cs="Arial"/>
          <w:snapToGrid w:val="0"/>
          <w:szCs w:val="24"/>
          <w:lang w:val="en-GB"/>
        </w:rPr>
        <w:t xml:space="preserve">leniolisib </w:t>
      </w:r>
      <w:r w:rsidRPr="002C1723">
        <w:rPr>
          <w:rFonts w:eastAsia="Times New Roman" w:cs="Arial"/>
          <w:snapToGrid w:val="0"/>
          <w:szCs w:val="24"/>
          <w:lang w:val="en-GB"/>
        </w:rPr>
        <w:t>for the treatment of symptomatic APDS</w:t>
      </w:r>
      <w:r w:rsidR="00D561C3">
        <w:rPr>
          <w:rFonts w:eastAsia="Times New Roman" w:cs="Arial"/>
          <w:snapToGrid w:val="0"/>
          <w:szCs w:val="24"/>
          <w:lang w:val="en-GB"/>
        </w:rPr>
        <w:t xml:space="preserve"> </w:t>
      </w:r>
      <w:r w:rsidR="00D561C3" w:rsidRPr="006562D8">
        <w:t xml:space="preserve">in adults and adolescents aged </w:t>
      </w:r>
      <w:r w:rsidR="004D1903" w:rsidRPr="006562D8">
        <w:t>12</w:t>
      </w:r>
      <w:r w:rsidR="004D1903">
        <w:t> </w:t>
      </w:r>
      <w:r w:rsidR="00D561C3" w:rsidRPr="006562D8">
        <w:t>years and older</w:t>
      </w:r>
      <w:r w:rsidR="003F7529">
        <w:rPr>
          <w:rFonts w:eastAsia="Times New Roman" w:cs="Arial"/>
          <w:snapToGrid w:val="0"/>
          <w:szCs w:val="24"/>
          <w:lang w:val="en-GB"/>
        </w:rPr>
        <w:t>.</w:t>
      </w:r>
      <w:r w:rsidRPr="002C1723">
        <w:rPr>
          <w:rFonts w:eastAsia="Times New Roman" w:cs="Arial"/>
          <w:snapToGrid w:val="0"/>
          <w:szCs w:val="24"/>
          <w:lang w:val="en-GB"/>
        </w:rPr>
        <w:t xml:space="preserve"> </w:t>
      </w:r>
      <w:r w:rsidR="00E07139">
        <w:rPr>
          <w:rFonts w:eastAsia="Times New Roman" w:cs="Arial"/>
          <w:snapToGrid w:val="0"/>
          <w:szCs w:val="24"/>
          <w:lang w:val="en-GB"/>
        </w:rPr>
        <w:t>In making this recommendation, t</w:t>
      </w:r>
      <w:r w:rsidRPr="002C1723">
        <w:rPr>
          <w:rFonts w:eastAsia="Times New Roman" w:cs="Arial"/>
          <w:snapToGrid w:val="0"/>
          <w:szCs w:val="24"/>
          <w:lang w:val="en-GB"/>
        </w:rPr>
        <w:t>he PBAC recognised the high unmet clinica</w:t>
      </w:r>
      <w:r w:rsidRPr="00C00C59">
        <w:rPr>
          <w:rFonts w:eastAsia="Times New Roman" w:cs="Arial"/>
          <w:snapToGrid w:val="0"/>
          <w:szCs w:val="24"/>
          <w:lang w:val="en-GB"/>
        </w:rPr>
        <w:t>l need for treatment</w:t>
      </w:r>
      <w:r w:rsidR="00E07139" w:rsidRPr="00C00C59">
        <w:rPr>
          <w:rFonts w:eastAsia="Times New Roman" w:cs="Arial"/>
          <w:snapToGrid w:val="0"/>
          <w:szCs w:val="24"/>
          <w:lang w:val="en-GB"/>
        </w:rPr>
        <w:t xml:space="preserve"> options for patients with</w:t>
      </w:r>
      <w:r w:rsidRPr="00C00C59">
        <w:rPr>
          <w:rFonts w:eastAsia="Times New Roman" w:cs="Arial"/>
          <w:snapToGrid w:val="0"/>
          <w:szCs w:val="24"/>
          <w:lang w:val="en-GB"/>
        </w:rPr>
        <w:t xml:space="preserve"> APDS</w:t>
      </w:r>
      <w:r w:rsidR="00FD02AC" w:rsidRPr="00C00C59">
        <w:rPr>
          <w:rFonts w:eastAsia="Times New Roman" w:cs="Arial"/>
          <w:snapToGrid w:val="0"/>
          <w:szCs w:val="24"/>
          <w:lang w:val="en-GB"/>
        </w:rPr>
        <w:t xml:space="preserve"> noting the</w:t>
      </w:r>
      <w:r w:rsidR="00C00C59" w:rsidRPr="00C00C59">
        <w:rPr>
          <w:rFonts w:eastAsia="Times New Roman" w:cs="Arial"/>
          <w:snapToGrid w:val="0"/>
          <w:szCs w:val="24"/>
          <w:lang w:val="en-GB"/>
        </w:rPr>
        <w:t xml:space="preserve"> condition results in</w:t>
      </w:r>
      <w:r w:rsidR="00FD02AC" w:rsidRPr="00C00C59">
        <w:rPr>
          <w:rFonts w:eastAsia="Times New Roman" w:cs="Arial"/>
          <w:snapToGrid w:val="0"/>
          <w:szCs w:val="24"/>
          <w:lang w:val="en-GB"/>
        </w:rPr>
        <w:t xml:space="preserve"> </w:t>
      </w:r>
      <w:r w:rsidRPr="00C00C59">
        <w:rPr>
          <w:rFonts w:eastAsia="Times New Roman" w:cs="Arial"/>
          <w:snapToGrid w:val="0"/>
          <w:szCs w:val="24"/>
          <w:lang w:val="en-GB"/>
        </w:rPr>
        <w:t>substantial impacts on quality of life for patients and reduced life-expectancy. The PBAC was satisfied that leniolisib improves a range of immunity markers that are r</w:t>
      </w:r>
      <w:r w:rsidRPr="002C1723">
        <w:rPr>
          <w:rFonts w:eastAsia="Times New Roman" w:cs="Arial"/>
          <w:snapToGrid w:val="0"/>
          <w:szCs w:val="24"/>
          <w:lang w:val="en-GB"/>
        </w:rPr>
        <w:t>epresentative of the underlying disease activity for APDS and is therefore likely to result in clinically meaningful improvements in patient-relevant outcomes such as infections, lung disease, lymphadenopathy and risk of lymphoma. The PBAC considered that the incremental cost-effectiveness was uncertain due to the limited data informing the</w:t>
      </w:r>
      <w:r w:rsidR="00AA5886">
        <w:rPr>
          <w:rFonts w:eastAsia="Times New Roman" w:cs="Arial"/>
          <w:snapToGrid w:val="0"/>
          <w:szCs w:val="24"/>
          <w:lang w:val="en-GB"/>
        </w:rPr>
        <w:t xml:space="preserve"> economic</w:t>
      </w:r>
      <w:r w:rsidRPr="002C1723">
        <w:rPr>
          <w:rFonts w:eastAsia="Times New Roman" w:cs="Arial"/>
          <w:snapToGrid w:val="0"/>
          <w:szCs w:val="24"/>
          <w:lang w:val="en-GB"/>
        </w:rPr>
        <w:t xml:space="preserve"> model, but that in the context of this rare and life-limiting disease, leniolisib would be considered acceptably cost-effective with a price reduction that would result in an acceptable cost per patient per year</w:t>
      </w:r>
      <w:r w:rsidR="00E26513">
        <w:rPr>
          <w:rFonts w:eastAsia="Times New Roman" w:cs="Arial"/>
          <w:snapToGrid w:val="0"/>
          <w:szCs w:val="24"/>
          <w:lang w:val="en-GB"/>
        </w:rPr>
        <w:t xml:space="preserve">. The PBAC noted this recommendation is </w:t>
      </w:r>
      <w:r w:rsidRPr="002C1723">
        <w:rPr>
          <w:rFonts w:eastAsia="Times New Roman" w:cs="Arial"/>
          <w:snapToGrid w:val="0"/>
          <w:szCs w:val="24"/>
          <w:lang w:val="en-GB"/>
        </w:rPr>
        <w:t>in line with other treatments for rare diseases funded on the PBS</w:t>
      </w:r>
      <w:r w:rsidR="00E26513">
        <w:rPr>
          <w:rFonts w:eastAsia="Times New Roman" w:cs="Arial"/>
          <w:snapToGrid w:val="0"/>
          <w:szCs w:val="24"/>
          <w:lang w:val="en-GB"/>
        </w:rPr>
        <w:t xml:space="preserve"> and takes into</w:t>
      </w:r>
      <w:r w:rsidRPr="002C1723">
        <w:rPr>
          <w:rFonts w:eastAsia="Times New Roman" w:cs="Arial"/>
          <w:snapToGrid w:val="0"/>
          <w:szCs w:val="24"/>
          <w:lang w:val="en-GB"/>
        </w:rPr>
        <w:t xml:space="preserve"> account</w:t>
      </w:r>
      <w:r w:rsidR="00E26513">
        <w:rPr>
          <w:rFonts w:eastAsia="Times New Roman" w:cs="Arial"/>
          <w:snapToGrid w:val="0"/>
          <w:szCs w:val="24"/>
          <w:lang w:val="en-GB"/>
        </w:rPr>
        <w:t xml:space="preserve"> </w:t>
      </w:r>
      <w:r w:rsidRPr="002C1723">
        <w:rPr>
          <w:rFonts w:eastAsia="Times New Roman" w:cs="Arial"/>
          <w:snapToGrid w:val="0"/>
          <w:szCs w:val="24"/>
          <w:lang w:val="en-GB"/>
        </w:rPr>
        <w:t xml:space="preserve">clinical need, available evidence, nature of the benefits, and size of the patient population. </w:t>
      </w:r>
    </w:p>
    <w:bookmarkEnd w:id="65"/>
    <w:p w14:paraId="3327BED6" w14:textId="37ED75A8" w:rsidR="00DD22E1" w:rsidRPr="001B35A2" w:rsidRDefault="00DD22E1" w:rsidP="00DD22E1">
      <w:pPr>
        <w:widowControl w:val="0"/>
        <w:numPr>
          <w:ilvl w:val="1"/>
          <w:numId w:val="1"/>
        </w:numPr>
        <w:spacing w:after="120"/>
        <w:rPr>
          <w:rFonts w:asciiTheme="minorHAnsi" w:hAnsiTheme="minorHAnsi"/>
          <w:snapToGrid w:val="0"/>
          <w:lang w:val="en-GB"/>
        </w:rPr>
      </w:pPr>
      <w:r w:rsidRPr="001B35A2">
        <w:rPr>
          <w:rFonts w:asciiTheme="minorHAnsi" w:hAnsiTheme="minorHAnsi"/>
          <w:snapToGrid w:val="0"/>
          <w:lang w:val="en-GB"/>
        </w:rPr>
        <w:t xml:space="preserve">The PBAC is satisfied that </w:t>
      </w:r>
      <w:r w:rsidR="0042608B" w:rsidRPr="001B35A2">
        <w:rPr>
          <w:rFonts w:asciiTheme="minorHAnsi" w:hAnsiTheme="minorHAnsi"/>
          <w:snapToGrid w:val="0"/>
          <w:lang w:val="en-GB"/>
        </w:rPr>
        <w:t>leniolisib</w:t>
      </w:r>
      <w:r w:rsidRPr="001B35A2">
        <w:rPr>
          <w:rFonts w:asciiTheme="minorHAnsi" w:hAnsiTheme="minorHAnsi"/>
          <w:snapToGrid w:val="0"/>
          <w:lang w:val="en-GB"/>
        </w:rPr>
        <w:t xml:space="preserve"> provides, for some patients, a significant improvement in efficacy over </w:t>
      </w:r>
      <w:r w:rsidR="00F11CCD" w:rsidRPr="001B35A2">
        <w:rPr>
          <w:rFonts w:asciiTheme="minorHAnsi" w:hAnsiTheme="minorHAnsi"/>
          <w:snapToGrid w:val="0"/>
          <w:lang w:val="en-GB"/>
        </w:rPr>
        <w:t xml:space="preserve">the main nominated comparator, </w:t>
      </w:r>
      <w:r w:rsidR="00D07393" w:rsidRPr="001B35A2">
        <w:rPr>
          <w:rFonts w:asciiTheme="minorHAnsi" w:hAnsiTheme="minorHAnsi"/>
          <w:snapToGrid w:val="0"/>
          <w:lang w:val="en-GB"/>
        </w:rPr>
        <w:t>SoC</w:t>
      </w:r>
      <w:r w:rsidR="001B35A2" w:rsidRPr="001B35A2">
        <w:rPr>
          <w:rFonts w:asciiTheme="minorHAnsi" w:hAnsiTheme="minorHAnsi"/>
          <w:snapToGrid w:val="0"/>
          <w:lang w:val="en-GB"/>
        </w:rPr>
        <w:t>, in the treatment of APDS</w:t>
      </w:r>
      <w:r w:rsidRPr="001B35A2">
        <w:rPr>
          <w:rFonts w:asciiTheme="minorHAnsi" w:hAnsiTheme="minorHAnsi"/>
          <w:snapToGrid w:val="0"/>
          <w:lang w:val="en-GB"/>
        </w:rPr>
        <w:t xml:space="preserve">. </w:t>
      </w:r>
    </w:p>
    <w:p w14:paraId="4FE6EA42" w14:textId="0B42DD66" w:rsidR="000434B9" w:rsidRDefault="000434B9" w:rsidP="00DD22E1">
      <w:pPr>
        <w:widowControl w:val="0"/>
        <w:numPr>
          <w:ilvl w:val="1"/>
          <w:numId w:val="1"/>
        </w:numPr>
        <w:spacing w:after="120"/>
        <w:rPr>
          <w:rFonts w:asciiTheme="minorHAnsi" w:hAnsiTheme="minorHAnsi"/>
          <w:snapToGrid w:val="0"/>
          <w:lang w:val="en-GB"/>
        </w:rPr>
      </w:pPr>
      <w:r>
        <w:rPr>
          <w:snapToGrid w:val="0"/>
          <w:lang w:val="en-GB"/>
        </w:rPr>
        <w:t>T</w:t>
      </w:r>
      <w:r w:rsidRPr="002C1723">
        <w:rPr>
          <w:snapToGrid w:val="0"/>
          <w:lang w:val="en-GB"/>
        </w:rPr>
        <w:t xml:space="preserve">he PBAC </w:t>
      </w:r>
      <w:r w:rsidR="00D87FAB">
        <w:rPr>
          <w:snapToGrid w:val="0"/>
          <w:lang w:val="en-GB"/>
        </w:rPr>
        <w:t xml:space="preserve">noted </w:t>
      </w:r>
      <w:r w:rsidRPr="002C1723">
        <w:rPr>
          <w:snapToGrid w:val="0"/>
          <w:lang w:val="en-GB"/>
        </w:rPr>
        <w:t xml:space="preserve">the </w:t>
      </w:r>
      <w:r w:rsidRPr="00680853">
        <w:rPr>
          <w:snapToGrid w:val="0"/>
          <w:lang w:val="en-GB"/>
        </w:rPr>
        <w:t>high unmet clinical need for treatment options for patients with APDS</w:t>
      </w:r>
      <w:r w:rsidR="00D87FAB" w:rsidRPr="00680853">
        <w:rPr>
          <w:snapToGrid w:val="0"/>
          <w:lang w:val="en-GB"/>
        </w:rPr>
        <w:t xml:space="preserve"> </w:t>
      </w:r>
      <w:r w:rsidR="00A14332" w:rsidRPr="00680853">
        <w:rPr>
          <w:snapToGrid w:val="0"/>
          <w:lang w:val="en-GB"/>
        </w:rPr>
        <w:t xml:space="preserve">given the </w:t>
      </w:r>
      <w:r w:rsidRPr="00680853">
        <w:rPr>
          <w:snapToGrid w:val="0"/>
          <w:lang w:val="en-GB"/>
        </w:rPr>
        <w:t>substantial impacts on quality of life for patients and reduced life-expectancy.</w:t>
      </w:r>
      <w:r w:rsidR="00F3618A">
        <w:rPr>
          <w:snapToGrid w:val="0"/>
          <w:lang w:val="en-GB"/>
        </w:rPr>
        <w:t xml:space="preserve"> </w:t>
      </w:r>
      <w:r w:rsidR="00680853">
        <w:rPr>
          <w:snapToGrid w:val="0"/>
          <w:lang w:val="en-GB"/>
        </w:rPr>
        <w:t xml:space="preserve">The PBAC noted the </w:t>
      </w:r>
      <w:r w:rsidR="00EC2651">
        <w:rPr>
          <w:snapToGrid w:val="0"/>
          <w:lang w:val="en-GB"/>
        </w:rPr>
        <w:t>sponsor hearing and the consumer comments highlighting the high burden of disease an</w:t>
      </w:r>
      <w:r w:rsidR="00212BBD">
        <w:rPr>
          <w:snapToGrid w:val="0"/>
          <w:lang w:val="en-GB"/>
        </w:rPr>
        <w:t xml:space="preserve">d </w:t>
      </w:r>
      <w:r w:rsidR="00E43A93">
        <w:rPr>
          <w:snapToGrid w:val="0"/>
          <w:lang w:val="en-GB"/>
        </w:rPr>
        <w:t xml:space="preserve">desire to access </w:t>
      </w:r>
      <w:r w:rsidR="00846C27">
        <w:rPr>
          <w:snapToGrid w:val="0"/>
          <w:lang w:val="en-GB"/>
        </w:rPr>
        <w:t>targeted</w:t>
      </w:r>
      <w:r w:rsidR="003057A8">
        <w:rPr>
          <w:snapToGrid w:val="0"/>
          <w:lang w:val="en-GB"/>
        </w:rPr>
        <w:t>, disease-modifying</w:t>
      </w:r>
      <w:r w:rsidR="00846C27">
        <w:rPr>
          <w:snapToGrid w:val="0"/>
          <w:lang w:val="en-GB"/>
        </w:rPr>
        <w:t xml:space="preserve"> therapies </w:t>
      </w:r>
      <w:r w:rsidR="00940B6E">
        <w:rPr>
          <w:snapToGrid w:val="0"/>
          <w:lang w:val="en-GB"/>
        </w:rPr>
        <w:t>for this condition.</w:t>
      </w:r>
    </w:p>
    <w:p w14:paraId="4C87243A" w14:textId="06CCC3A2" w:rsidR="00946C94" w:rsidRPr="006703A1" w:rsidRDefault="00346CED" w:rsidP="006703A1">
      <w:pPr>
        <w:widowControl w:val="0"/>
        <w:numPr>
          <w:ilvl w:val="1"/>
          <w:numId w:val="1"/>
        </w:numPr>
        <w:spacing w:after="120"/>
        <w:rPr>
          <w:lang w:val="en-GB"/>
        </w:rPr>
      </w:pPr>
      <w:r>
        <w:rPr>
          <w:rFonts w:asciiTheme="minorHAnsi" w:hAnsiTheme="minorHAnsi"/>
          <w:bCs/>
          <w:snapToGrid w:val="0"/>
        </w:rPr>
        <w:t xml:space="preserve">The PBAC considered </w:t>
      </w:r>
      <w:r w:rsidR="00946C94">
        <w:rPr>
          <w:snapToGrid w:val="0"/>
          <w:lang w:val="en-GB"/>
        </w:rPr>
        <w:t>a</w:t>
      </w:r>
      <w:r w:rsidR="00946C94" w:rsidRPr="00346CED">
        <w:rPr>
          <w:snapToGrid w:val="0"/>
          <w:lang w:val="en-GB"/>
        </w:rPr>
        <w:t xml:space="preserve">n </w:t>
      </w:r>
      <w:r w:rsidR="00067C66">
        <w:rPr>
          <w:snapToGrid w:val="0"/>
          <w:lang w:val="en-GB"/>
        </w:rPr>
        <w:t>A</w:t>
      </w:r>
      <w:r w:rsidR="00067C66" w:rsidRPr="00346CED">
        <w:rPr>
          <w:snapToGrid w:val="0"/>
          <w:lang w:val="en-GB"/>
        </w:rPr>
        <w:t xml:space="preserve">uthority </w:t>
      </w:r>
      <w:r w:rsidR="00067C66">
        <w:rPr>
          <w:snapToGrid w:val="0"/>
          <w:lang w:val="en-GB"/>
        </w:rPr>
        <w:t>R</w:t>
      </w:r>
      <w:r w:rsidR="00067C66" w:rsidRPr="00346CED">
        <w:rPr>
          <w:snapToGrid w:val="0"/>
          <w:lang w:val="en-GB"/>
        </w:rPr>
        <w:t xml:space="preserve">equired </w:t>
      </w:r>
      <w:r w:rsidR="00946C94" w:rsidRPr="00346CED">
        <w:rPr>
          <w:snapToGrid w:val="0"/>
          <w:lang w:val="en-GB"/>
        </w:rPr>
        <w:t>(</w:t>
      </w:r>
      <w:r w:rsidR="00946C94">
        <w:rPr>
          <w:snapToGrid w:val="0"/>
          <w:lang w:val="en-GB"/>
        </w:rPr>
        <w:t>written</w:t>
      </w:r>
      <w:r w:rsidR="00946C94" w:rsidRPr="00346CED">
        <w:rPr>
          <w:snapToGrid w:val="0"/>
          <w:lang w:val="en-GB"/>
        </w:rPr>
        <w:t>) restriction type</w:t>
      </w:r>
      <w:r w:rsidR="00946C94">
        <w:rPr>
          <w:snapToGrid w:val="0"/>
          <w:lang w:val="en-GB"/>
        </w:rPr>
        <w:t xml:space="preserve"> would be appropriate</w:t>
      </w:r>
      <w:r w:rsidR="00946C94" w:rsidRPr="00346CED">
        <w:rPr>
          <w:snapToGrid w:val="0"/>
          <w:lang w:val="en-GB"/>
        </w:rPr>
        <w:t xml:space="preserve"> for the initial treatment phase and an authority required (</w:t>
      </w:r>
      <w:r w:rsidR="6CAFAEBB" w:rsidRPr="00346CED">
        <w:rPr>
          <w:snapToGrid w:val="0"/>
          <w:lang w:val="en-GB"/>
        </w:rPr>
        <w:t>telephone/</w:t>
      </w:r>
      <w:r w:rsidR="00946C94" w:rsidRPr="00346CED">
        <w:rPr>
          <w:snapToGrid w:val="0"/>
          <w:lang w:val="en-GB"/>
        </w:rPr>
        <w:t>immediate assessment) restriction type for the continuing treatment phase</w:t>
      </w:r>
      <w:r w:rsidR="00C874E3">
        <w:rPr>
          <w:snapToGrid w:val="0"/>
          <w:lang w:val="en-GB"/>
        </w:rPr>
        <w:t>, given the high cost of leniolisib</w:t>
      </w:r>
      <w:r w:rsidR="00946C94" w:rsidRPr="00346CED">
        <w:rPr>
          <w:snapToGrid w:val="0"/>
          <w:lang w:val="en-GB"/>
        </w:rPr>
        <w:t>.</w:t>
      </w:r>
      <w:r w:rsidR="000759AF" w:rsidRPr="000759AF">
        <w:rPr>
          <w:lang w:val="en-GB"/>
        </w:rPr>
        <w:t xml:space="preserve"> </w:t>
      </w:r>
      <w:r w:rsidR="00C21057">
        <w:rPr>
          <w:lang w:val="en-GB"/>
        </w:rPr>
        <w:t xml:space="preserve">For this </w:t>
      </w:r>
      <w:r w:rsidR="00EB1ACE">
        <w:rPr>
          <w:lang w:val="en-GB"/>
        </w:rPr>
        <w:t>reason,</w:t>
      </w:r>
      <w:r w:rsidR="00C21057">
        <w:rPr>
          <w:lang w:val="en-GB"/>
        </w:rPr>
        <w:t xml:space="preserve"> t</w:t>
      </w:r>
      <w:r w:rsidR="000759AF">
        <w:rPr>
          <w:lang w:val="en-GB"/>
        </w:rPr>
        <w:t>he PBAC also considered</w:t>
      </w:r>
      <w:r w:rsidR="00DE28E2">
        <w:rPr>
          <w:lang w:val="en-GB"/>
        </w:rPr>
        <w:t xml:space="preserve"> it appropriate</w:t>
      </w:r>
      <w:r w:rsidR="000759AF">
        <w:rPr>
          <w:lang w:val="en-GB"/>
        </w:rPr>
        <w:t xml:space="preserve"> that </w:t>
      </w:r>
      <w:r w:rsidR="001F738D">
        <w:rPr>
          <w:lang w:val="en-GB"/>
        </w:rPr>
        <w:t>prescribing is limited to</w:t>
      </w:r>
      <w:r w:rsidR="000759AF">
        <w:rPr>
          <w:lang w:val="en-GB"/>
        </w:rPr>
        <w:t xml:space="preserve"> </w:t>
      </w:r>
      <w:r w:rsidR="000759AF" w:rsidRPr="007E09BD">
        <w:t>immunologists or medical practitioners in consultation with an immunologist</w:t>
      </w:r>
      <w:r w:rsidR="71B51CA1" w:rsidRPr="007E09BD">
        <w:t xml:space="preserve">, </w:t>
      </w:r>
      <w:r w:rsidR="000759AF" w:rsidRPr="007E09BD">
        <w:t>with expertise in managing patients with primary immunodeficiencies or APDS</w:t>
      </w:r>
      <w:r w:rsidR="00BA4591">
        <w:t xml:space="preserve">. </w:t>
      </w:r>
    </w:p>
    <w:p w14:paraId="75A216FC" w14:textId="487B4A5E" w:rsidR="0025706A" w:rsidRDefault="000C0E09" w:rsidP="00523F93">
      <w:pPr>
        <w:widowControl w:val="0"/>
        <w:numPr>
          <w:ilvl w:val="1"/>
          <w:numId w:val="1"/>
        </w:numPr>
        <w:spacing w:after="120"/>
      </w:pPr>
      <w:r w:rsidRPr="00F67883">
        <w:rPr>
          <w:rFonts w:asciiTheme="minorHAnsi" w:hAnsiTheme="minorHAnsi"/>
          <w:bCs/>
          <w:snapToGrid w:val="0"/>
        </w:rPr>
        <w:t xml:space="preserve">The PBAC </w:t>
      </w:r>
      <w:r w:rsidR="006C42F5">
        <w:rPr>
          <w:rFonts w:asciiTheme="minorHAnsi" w:hAnsiTheme="minorHAnsi"/>
          <w:bCs/>
          <w:snapToGrid w:val="0"/>
        </w:rPr>
        <w:t>consider</w:t>
      </w:r>
      <w:r w:rsidR="00FC35B1">
        <w:rPr>
          <w:rFonts w:asciiTheme="minorHAnsi" w:hAnsiTheme="minorHAnsi"/>
          <w:bCs/>
          <w:snapToGrid w:val="0"/>
        </w:rPr>
        <w:t>e</w:t>
      </w:r>
      <w:r w:rsidR="006C42F5">
        <w:rPr>
          <w:rFonts w:asciiTheme="minorHAnsi" w:hAnsiTheme="minorHAnsi"/>
          <w:bCs/>
          <w:snapToGrid w:val="0"/>
        </w:rPr>
        <w:t>d</w:t>
      </w:r>
      <w:r w:rsidR="00F67883" w:rsidRPr="00F67883">
        <w:rPr>
          <w:rFonts w:asciiTheme="minorHAnsi" w:hAnsiTheme="minorHAnsi"/>
          <w:bCs/>
          <w:snapToGrid w:val="0"/>
        </w:rPr>
        <w:t xml:space="preserve"> it would be appropriate </w:t>
      </w:r>
      <w:r w:rsidR="004B5E89">
        <w:rPr>
          <w:rFonts w:asciiTheme="minorHAnsi" w:hAnsiTheme="minorHAnsi"/>
          <w:bCs/>
          <w:snapToGrid w:val="0"/>
        </w:rPr>
        <w:t xml:space="preserve">for the </w:t>
      </w:r>
      <w:r w:rsidR="00874FAE">
        <w:rPr>
          <w:rFonts w:asciiTheme="minorHAnsi" w:hAnsiTheme="minorHAnsi"/>
          <w:bCs/>
          <w:snapToGrid w:val="0"/>
        </w:rPr>
        <w:t xml:space="preserve">initial </w:t>
      </w:r>
      <w:r w:rsidR="004B5E89">
        <w:rPr>
          <w:rFonts w:asciiTheme="minorHAnsi" w:hAnsiTheme="minorHAnsi"/>
          <w:bCs/>
          <w:snapToGrid w:val="0"/>
        </w:rPr>
        <w:t xml:space="preserve">restrictions </w:t>
      </w:r>
      <w:r w:rsidR="00F67883" w:rsidRPr="00F67883">
        <w:rPr>
          <w:rFonts w:asciiTheme="minorHAnsi" w:hAnsiTheme="minorHAnsi"/>
          <w:bCs/>
          <w:snapToGrid w:val="0"/>
        </w:rPr>
        <w:t>to limit treatment to symptomatic patients</w:t>
      </w:r>
      <w:r w:rsidR="00B45A16">
        <w:rPr>
          <w:rFonts w:asciiTheme="minorHAnsi" w:hAnsiTheme="minorHAnsi"/>
          <w:bCs/>
          <w:snapToGrid w:val="0"/>
        </w:rPr>
        <w:t xml:space="preserve"> </w:t>
      </w:r>
      <w:r w:rsidR="00474C6C">
        <w:rPr>
          <w:bCs/>
          <w:snapToGrid w:val="0"/>
        </w:rPr>
        <w:t xml:space="preserve">in order </w:t>
      </w:r>
      <w:r w:rsidR="00B45A16" w:rsidRPr="006562D8">
        <w:t>to exclude those people who are asymptomatic carriers</w:t>
      </w:r>
      <w:r w:rsidR="00B45A16">
        <w:t xml:space="preserve"> and </w:t>
      </w:r>
      <w:r w:rsidR="001A03ED">
        <w:t xml:space="preserve">may </w:t>
      </w:r>
      <w:r w:rsidR="00B45A16">
        <w:t>not benefit from treatment</w:t>
      </w:r>
      <w:r w:rsidR="00FA031E" w:rsidRPr="00F67883">
        <w:rPr>
          <w:rFonts w:asciiTheme="minorHAnsi" w:hAnsiTheme="minorHAnsi"/>
          <w:bCs/>
          <w:snapToGrid w:val="0"/>
        </w:rPr>
        <w:t>.</w:t>
      </w:r>
      <w:r w:rsidR="00D87571">
        <w:rPr>
          <w:rFonts w:asciiTheme="minorHAnsi" w:hAnsiTheme="minorHAnsi"/>
          <w:bCs/>
          <w:snapToGrid w:val="0"/>
        </w:rPr>
        <w:t xml:space="preserve"> </w:t>
      </w:r>
      <w:r w:rsidR="00AC4AA9">
        <w:t xml:space="preserve">The PBAC </w:t>
      </w:r>
      <w:r w:rsidR="00AC4AA9" w:rsidRPr="007E09BD">
        <w:rPr>
          <w:rFonts w:cstheme="minorHAnsi"/>
        </w:rPr>
        <w:t xml:space="preserve">noted the difficulty outlining </w:t>
      </w:r>
      <w:r w:rsidR="00B01E81">
        <w:rPr>
          <w:rFonts w:cstheme="minorHAnsi"/>
        </w:rPr>
        <w:t>specific</w:t>
      </w:r>
      <w:r w:rsidR="00AC4AA9" w:rsidRPr="007E09BD">
        <w:rPr>
          <w:rFonts w:cstheme="minorHAnsi"/>
        </w:rPr>
        <w:t xml:space="preserve"> criteria for </w:t>
      </w:r>
      <w:r w:rsidR="00223A85">
        <w:rPr>
          <w:rFonts w:cstheme="minorHAnsi"/>
        </w:rPr>
        <w:t>cli</w:t>
      </w:r>
      <w:r w:rsidR="00AC4AA9" w:rsidRPr="007E09BD">
        <w:rPr>
          <w:rFonts w:cstheme="minorHAnsi"/>
        </w:rPr>
        <w:t>nical assessment</w:t>
      </w:r>
      <w:r w:rsidR="00D43786">
        <w:rPr>
          <w:rFonts w:cstheme="minorHAnsi"/>
        </w:rPr>
        <w:t>s</w:t>
      </w:r>
      <w:r w:rsidR="00BE002B">
        <w:rPr>
          <w:rFonts w:cstheme="minorHAnsi"/>
        </w:rPr>
        <w:t>, which</w:t>
      </w:r>
      <w:r w:rsidR="00AC4AA9" w:rsidRPr="007E09BD">
        <w:rPr>
          <w:rFonts w:cstheme="minorHAnsi"/>
        </w:rPr>
        <w:t xml:space="preserve"> could potentially </w:t>
      </w:r>
      <w:r w:rsidR="00AC4AA9">
        <w:rPr>
          <w:rFonts w:cstheme="minorHAnsi"/>
        </w:rPr>
        <w:t xml:space="preserve">impact </w:t>
      </w:r>
      <w:r w:rsidR="00AC4AA9" w:rsidRPr="007E09BD">
        <w:rPr>
          <w:rFonts w:cstheme="minorHAnsi"/>
        </w:rPr>
        <w:t>equitable and timely access to leniolisib</w:t>
      </w:r>
      <w:r w:rsidR="00AC4AA9">
        <w:rPr>
          <w:rFonts w:cstheme="minorHAnsi"/>
        </w:rPr>
        <w:t>.</w:t>
      </w:r>
      <w:r w:rsidR="002B3FE6">
        <w:rPr>
          <w:rFonts w:cstheme="minorHAnsi"/>
        </w:rPr>
        <w:t xml:space="preserve"> T</w:t>
      </w:r>
      <w:r w:rsidR="00AC4AA9">
        <w:rPr>
          <w:rFonts w:cstheme="minorHAnsi"/>
        </w:rPr>
        <w:t>he PBAC</w:t>
      </w:r>
      <w:r w:rsidR="00AC4AA9">
        <w:t xml:space="preserve"> considered it would be reasonable for the restrictions to not specify the </w:t>
      </w:r>
      <w:r w:rsidR="00AC4AA9" w:rsidRPr="0045583C">
        <w:t xml:space="preserve">assessments required </w:t>
      </w:r>
      <w:r w:rsidR="001654B3">
        <w:t xml:space="preserve">for </w:t>
      </w:r>
      <w:r w:rsidR="00AC4AA9" w:rsidRPr="0045583C">
        <w:t>diagnosis</w:t>
      </w:r>
      <w:r w:rsidR="004526E0">
        <w:t xml:space="preserve"> and/or </w:t>
      </w:r>
      <w:r w:rsidR="00AC4AA9" w:rsidRPr="0045583C">
        <w:t>symptoms</w:t>
      </w:r>
      <w:r w:rsidR="004526E0">
        <w:t xml:space="preserve"> </w:t>
      </w:r>
      <w:r w:rsidR="00AC4AA9">
        <w:t xml:space="preserve">given the population is well </w:t>
      </w:r>
      <w:r w:rsidR="00DD532C">
        <w:t>understood</w:t>
      </w:r>
      <w:r w:rsidR="00AC4AA9">
        <w:t xml:space="preserve"> and </w:t>
      </w:r>
      <w:r w:rsidR="001654B3">
        <w:t xml:space="preserve">diagnosis </w:t>
      </w:r>
      <w:r w:rsidR="00F87525">
        <w:t xml:space="preserve">is </w:t>
      </w:r>
      <w:r w:rsidR="00AC4AA9">
        <w:t xml:space="preserve">based on genetic </w:t>
      </w:r>
      <w:r w:rsidR="006732A9">
        <w:t>confirmation</w:t>
      </w:r>
      <w:r w:rsidR="00AC4AA9">
        <w:t>.</w:t>
      </w:r>
      <w:r w:rsidR="005A2C4C">
        <w:t xml:space="preserve"> </w:t>
      </w:r>
    </w:p>
    <w:p w14:paraId="6CF1AB22" w14:textId="1D0E26EB" w:rsidR="00EF6A94" w:rsidRDefault="00FC04EA" w:rsidP="00523F93">
      <w:pPr>
        <w:widowControl w:val="0"/>
        <w:numPr>
          <w:ilvl w:val="1"/>
          <w:numId w:val="1"/>
        </w:numPr>
        <w:spacing w:after="120"/>
      </w:pPr>
      <w:r>
        <w:t xml:space="preserve">The PBAC </w:t>
      </w:r>
      <w:r w:rsidR="00C90C04">
        <w:t xml:space="preserve">noted the proposed </w:t>
      </w:r>
      <w:r w:rsidR="00462C32">
        <w:t xml:space="preserve">continuing </w:t>
      </w:r>
      <w:r w:rsidR="00C90C04">
        <w:t xml:space="preserve">restriction limited </w:t>
      </w:r>
      <w:r w:rsidR="00462C32">
        <w:t xml:space="preserve">treatment to patients </w:t>
      </w:r>
      <w:r w:rsidR="0020268E">
        <w:t>responding to treatment (</w:t>
      </w:r>
      <w:r w:rsidR="00C90C04" w:rsidRPr="00524241">
        <w:t>defined by limiting progression of symptoms and/or resolution of symptoms</w:t>
      </w:r>
      <w:r w:rsidR="0020268E">
        <w:t>) but</w:t>
      </w:r>
      <w:r w:rsidR="007B15AD">
        <w:t xml:space="preserve"> no specific response criteria were</w:t>
      </w:r>
      <w:r w:rsidR="005A2C4C">
        <w:t xml:space="preserve"> </w:t>
      </w:r>
      <w:r w:rsidR="007B15AD">
        <w:t>proposed</w:t>
      </w:r>
      <w:r w:rsidR="00FA1691">
        <w:t xml:space="preserve">. </w:t>
      </w:r>
      <w:r w:rsidR="00537412" w:rsidRPr="00537412">
        <w:t xml:space="preserve">The PBAC considered it reasonable to include a </w:t>
      </w:r>
      <w:r w:rsidR="0088452F">
        <w:t xml:space="preserve">general </w:t>
      </w:r>
      <w:r w:rsidR="00537412" w:rsidRPr="00537412">
        <w:t xml:space="preserve">response criterion </w:t>
      </w:r>
      <w:r w:rsidR="0088452F">
        <w:t xml:space="preserve">for ongoing treatment </w:t>
      </w:r>
      <w:r w:rsidR="0020553C">
        <w:t xml:space="preserve">requiring </w:t>
      </w:r>
      <w:r w:rsidR="00537412" w:rsidRPr="00537412">
        <w:t xml:space="preserve">that patients are stable or responding to treatment, which would be based on clinical judgment and include consideration of immunological markers. </w:t>
      </w:r>
      <w:r w:rsidR="003741F6">
        <w:t xml:space="preserve">The PBAC considered that it would </w:t>
      </w:r>
      <w:r w:rsidR="00874FAE">
        <w:t xml:space="preserve">also </w:t>
      </w:r>
      <w:r w:rsidR="003741F6">
        <w:t>be reasonable for the restrictions to allow patients who had previously shown a response to leniolisib to reinitiate treatment under the continuing restrictions</w:t>
      </w:r>
      <w:r w:rsidR="002830BE">
        <w:t>, negating the need for a separate</w:t>
      </w:r>
      <w:r w:rsidR="00FA62CB">
        <w:t xml:space="preserve"> reinitiation listing</w:t>
      </w:r>
      <w:r w:rsidR="003741F6">
        <w:t xml:space="preserve">. </w:t>
      </w:r>
      <w:r w:rsidR="00537412" w:rsidRPr="00537412">
        <w:t>The PBAC noted that as there are no clearly defined stopping criteria it would be expected that patients who tolerate treatment would continue on life-long therapy, which is likely to be clinically appropriate given it is a disease-modifying treatment.</w:t>
      </w:r>
      <w:r w:rsidR="00474AEE">
        <w:t xml:space="preserve"> </w:t>
      </w:r>
    </w:p>
    <w:p w14:paraId="065B556E" w14:textId="265AACEF" w:rsidR="00AC4AA9" w:rsidRPr="00523F93" w:rsidRDefault="00102EF9" w:rsidP="00523F93">
      <w:pPr>
        <w:widowControl w:val="0"/>
        <w:numPr>
          <w:ilvl w:val="1"/>
          <w:numId w:val="1"/>
        </w:numPr>
        <w:spacing w:after="120"/>
      </w:pPr>
      <w:r>
        <w:t xml:space="preserve">The PBAC </w:t>
      </w:r>
      <w:r w:rsidR="00BB4ADC">
        <w:t xml:space="preserve">noted the </w:t>
      </w:r>
      <w:r w:rsidR="00930C41">
        <w:t>pre-PBAC response</w:t>
      </w:r>
      <w:r w:rsidR="00BB4ADC">
        <w:t xml:space="preserve"> indicated </w:t>
      </w:r>
      <w:r w:rsidR="00930C41">
        <w:t>12-15</w:t>
      </w:r>
      <w:r w:rsidR="00BB4ADC">
        <w:t xml:space="preserve"> patients </w:t>
      </w:r>
      <w:r w:rsidR="00930C41">
        <w:t xml:space="preserve">are expected to be </w:t>
      </w:r>
      <w:r w:rsidR="00BB4ADC">
        <w:t xml:space="preserve">receiving leniolisib through the EAP and </w:t>
      </w:r>
      <w:r>
        <w:t xml:space="preserve">considered it would be reasonable for patients </w:t>
      </w:r>
      <w:r w:rsidR="004D6248" w:rsidRPr="004D6248">
        <w:t xml:space="preserve">receiving leniolisib under </w:t>
      </w:r>
      <w:r w:rsidR="008526D5">
        <w:t xml:space="preserve">the </w:t>
      </w:r>
      <w:r w:rsidR="004D6248" w:rsidRPr="004D6248">
        <w:t xml:space="preserve">EAP, or patients who had previously received treatment under the EAP, to initiate leniolisib under the </w:t>
      </w:r>
      <w:r w:rsidR="004D6248">
        <w:t>initial treatment</w:t>
      </w:r>
      <w:r w:rsidR="004D6248" w:rsidRPr="004D6248">
        <w:t xml:space="preserve"> criteria. The PBAC also noted the switch from the EAP to PBS-funded leniolisib would not require demonstration of any response to or benefit with </w:t>
      </w:r>
      <w:r w:rsidR="00EB1ACE" w:rsidRPr="004D6248">
        <w:t>leniolisib,</w:t>
      </w:r>
      <w:r w:rsidR="004D6248" w:rsidRPr="004D6248">
        <w:t xml:space="preserve"> but ongoing treatment would require stable or responding disease.</w:t>
      </w:r>
    </w:p>
    <w:p w14:paraId="67CB1533" w14:textId="24FE90C4" w:rsidR="00DD22E1" w:rsidRPr="00CE42B4" w:rsidRDefault="002701F2" w:rsidP="007024CB">
      <w:pPr>
        <w:widowControl w:val="0"/>
        <w:numPr>
          <w:ilvl w:val="1"/>
          <w:numId w:val="1"/>
        </w:numPr>
        <w:spacing w:after="120"/>
        <w:rPr>
          <w:rFonts w:asciiTheme="minorHAnsi" w:hAnsiTheme="minorHAnsi"/>
          <w:snapToGrid w:val="0"/>
          <w:lang w:val="en-GB"/>
        </w:rPr>
      </w:pPr>
      <w:r>
        <w:rPr>
          <w:lang w:eastAsia="ja-JP"/>
        </w:rPr>
        <w:t xml:space="preserve">The PBAC </w:t>
      </w:r>
      <w:r w:rsidR="00413411">
        <w:rPr>
          <w:lang w:eastAsia="ja-JP"/>
        </w:rPr>
        <w:t>considered th</w:t>
      </w:r>
      <w:r w:rsidR="00C01821">
        <w:rPr>
          <w:lang w:eastAsia="ja-JP"/>
        </w:rPr>
        <w:t>e clinical place for</w:t>
      </w:r>
      <w:r w:rsidR="00413411">
        <w:rPr>
          <w:lang w:eastAsia="ja-JP"/>
        </w:rPr>
        <w:t xml:space="preserve"> leniolisib </w:t>
      </w:r>
      <w:r w:rsidR="00C01821">
        <w:rPr>
          <w:lang w:eastAsia="ja-JP"/>
        </w:rPr>
        <w:t xml:space="preserve">is </w:t>
      </w:r>
      <w:r w:rsidR="00413411" w:rsidRPr="000C0D3B">
        <w:rPr>
          <w:lang w:eastAsia="ja-JP"/>
        </w:rPr>
        <w:t>as a first line treatment option</w:t>
      </w:r>
      <w:r w:rsidR="001633E9">
        <w:rPr>
          <w:lang w:eastAsia="ja-JP"/>
        </w:rPr>
        <w:t>,</w:t>
      </w:r>
      <w:r w:rsidR="00413411" w:rsidRPr="000C0D3B">
        <w:rPr>
          <w:lang w:eastAsia="ja-JP"/>
        </w:rPr>
        <w:t xml:space="preserve"> </w:t>
      </w:r>
      <w:r w:rsidR="008567CC">
        <w:rPr>
          <w:lang w:eastAsia="ja-JP"/>
        </w:rPr>
        <w:t>in addition</w:t>
      </w:r>
      <w:r w:rsidR="00413411" w:rsidRPr="000C0D3B">
        <w:rPr>
          <w:lang w:eastAsia="ja-JP"/>
        </w:rPr>
        <w:t xml:space="preserve"> to </w:t>
      </w:r>
      <w:r w:rsidR="00413411" w:rsidRPr="008B433C">
        <w:rPr>
          <w:lang w:eastAsia="ja-JP"/>
        </w:rPr>
        <w:t xml:space="preserve">existing </w:t>
      </w:r>
      <w:r w:rsidR="00413411" w:rsidRPr="008B433C">
        <w:t>SoC therapies</w:t>
      </w:r>
      <w:r w:rsidR="00413411" w:rsidRPr="008B433C">
        <w:rPr>
          <w:color w:val="000000"/>
          <w:sz w:val="22"/>
          <w:bdr w:val="none" w:sz="0" w:space="0" w:color="auto" w:frame="1"/>
          <w:lang w:val="en-GB"/>
        </w:rPr>
        <w:t xml:space="preserve"> </w:t>
      </w:r>
      <w:r w:rsidR="00413411" w:rsidRPr="008B433C">
        <w:t>for APDS</w:t>
      </w:r>
      <w:r w:rsidR="003B64B6">
        <w:t xml:space="preserve"> (other than </w:t>
      </w:r>
      <w:r w:rsidR="003B64B6" w:rsidRPr="003B64B6">
        <w:t xml:space="preserve">rituximab </w:t>
      </w:r>
      <w:r w:rsidR="006219AB">
        <w:t>and</w:t>
      </w:r>
      <w:r w:rsidR="003B64B6" w:rsidRPr="003B64B6">
        <w:t xml:space="preserve"> mTOR inhibitors</w:t>
      </w:r>
      <w:r w:rsidR="006219AB">
        <w:t>, which were excluded as concomitant treatments in Study 2201)</w:t>
      </w:r>
      <w:r w:rsidR="00BE5D17">
        <w:t>. The PBAC</w:t>
      </w:r>
      <w:r w:rsidR="00413411">
        <w:t xml:space="preserve"> </w:t>
      </w:r>
      <w:r>
        <w:t>noted that l</w:t>
      </w:r>
      <w:r w:rsidRPr="000C0D3B">
        <w:t>eniolisib is the first disease-modifying therapy</w:t>
      </w:r>
      <w:r w:rsidRPr="000C0D3B">
        <w:rPr>
          <w:lang w:eastAsia="ja-JP"/>
        </w:rPr>
        <w:t xml:space="preserve"> available for the treatment of APDS</w:t>
      </w:r>
      <w:r w:rsidR="00BE5D17">
        <w:rPr>
          <w:lang w:eastAsia="ja-JP"/>
        </w:rPr>
        <w:t>.</w:t>
      </w:r>
      <w:r w:rsidRPr="008B433C">
        <w:t xml:space="preserve"> </w:t>
      </w:r>
    </w:p>
    <w:p w14:paraId="74F92761" w14:textId="0EBB3C34" w:rsidR="00DD22E1" w:rsidRPr="00CE42B4" w:rsidRDefault="00BA18AC" w:rsidP="007024C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accepted the </w:t>
      </w:r>
      <w:r w:rsidRPr="00BA18AC">
        <w:rPr>
          <w:rFonts w:asciiTheme="minorHAnsi" w:hAnsiTheme="minorHAnsi"/>
          <w:snapToGrid w:val="0"/>
          <w:lang w:val="en-GB"/>
        </w:rPr>
        <w:t>submission</w:t>
      </w:r>
      <w:r w:rsidR="008B6FD2">
        <w:rPr>
          <w:rFonts w:asciiTheme="minorHAnsi" w:hAnsiTheme="minorHAnsi"/>
          <w:snapToGrid w:val="0"/>
          <w:lang w:val="en-GB"/>
        </w:rPr>
        <w:t>’s</w:t>
      </w:r>
      <w:r w:rsidRPr="00BA18AC">
        <w:rPr>
          <w:rFonts w:asciiTheme="minorHAnsi" w:hAnsiTheme="minorHAnsi"/>
          <w:snapToGrid w:val="0"/>
          <w:lang w:val="en-GB"/>
        </w:rPr>
        <w:t xml:space="preserve"> nominated </w:t>
      </w:r>
      <w:r>
        <w:rPr>
          <w:rFonts w:asciiTheme="minorHAnsi" w:hAnsiTheme="minorHAnsi"/>
          <w:snapToGrid w:val="0"/>
          <w:lang w:val="en-GB"/>
        </w:rPr>
        <w:t xml:space="preserve">main comparator, </w:t>
      </w:r>
      <w:r w:rsidRPr="00BA18AC">
        <w:rPr>
          <w:rFonts w:asciiTheme="minorHAnsi" w:hAnsiTheme="minorHAnsi"/>
          <w:snapToGrid w:val="0"/>
          <w:lang w:val="en-GB"/>
        </w:rPr>
        <w:t>SoC</w:t>
      </w:r>
      <w:r>
        <w:rPr>
          <w:rFonts w:asciiTheme="minorHAnsi" w:hAnsiTheme="minorHAnsi"/>
          <w:snapToGrid w:val="0"/>
          <w:lang w:val="en-GB"/>
        </w:rPr>
        <w:t>.</w:t>
      </w:r>
      <w:r w:rsidRPr="00BA18AC">
        <w:rPr>
          <w:rFonts w:asciiTheme="minorHAnsi" w:hAnsiTheme="minorHAnsi"/>
          <w:snapToGrid w:val="0"/>
          <w:lang w:val="en-GB"/>
        </w:rPr>
        <w:t xml:space="preserve"> </w:t>
      </w:r>
      <w:r w:rsidR="007F16AC">
        <w:rPr>
          <w:rFonts w:asciiTheme="minorHAnsi" w:hAnsiTheme="minorHAnsi"/>
          <w:snapToGrid w:val="0"/>
          <w:lang w:val="en-GB"/>
        </w:rPr>
        <w:t xml:space="preserve">The PBAC </w:t>
      </w:r>
      <w:r w:rsidR="00A91841">
        <w:rPr>
          <w:rFonts w:asciiTheme="minorHAnsi" w:hAnsiTheme="minorHAnsi"/>
          <w:snapToGrid w:val="0"/>
          <w:lang w:val="en-GB"/>
        </w:rPr>
        <w:t xml:space="preserve">noted that </w:t>
      </w:r>
      <w:r w:rsidR="00A91841" w:rsidRPr="000C0D3B">
        <w:t>in</w:t>
      </w:r>
      <w:r w:rsidR="007F16AC" w:rsidRPr="000C0D3B">
        <w:t xml:space="preserve"> clinical practice, leniolisib would be used in addition to</w:t>
      </w:r>
      <w:r w:rsidR="00192301">
        <w:t>,</w:t>
      </w:r>
      <w:r w:rsidR="007F16AC" w:rsidRPr="000C0D3B">
        <w:t xml:space="preserve"> rather than replacing SoC</w:t>
      </w:r>
      <w:r w:rsidR="00F3406A">
        <w:t>,</w:t>
      </w:r>
      <w:r w:rsidR="00592DC2">
        <w:t xml:space="preserve"> </w:t>
      </w:r>
      <w:r w:rsidR="00192301">
        <w:t>although</w:t>
      </w:r>
      <w:r w:rsidR="00592DC2">
        <w:t xml:space="preserve"> </w:t>
      </w:r>
      <w:r w:rsidR="00592DC2" w:rsidRPr="000C0D3B">
        <w:t>the utilisation of different components of SoC may differ depending on whether a patient also receives leniolisib.</w:t>
      </w:r>
      <w:r w:rsidR="007F16AC">
        <w:rPr>
          <w:rFonts w:asciiTheme="minorHAnsi" w:hAnsiTheme="minorHAnsi"/>
          <w:snapToGrid w:val="0"/>
          <w:lang w:val="en-GB"/>
        </w:rPr>
        <w:t xml:space="preserve"> </w:t>
      </w:r>
      <w:r w:rsidR="00937AFD">
        <w:rPr>
          <w:rFonts w:asciiTheme="minorHAnsi" w:hAnsiTheme="minorHAnsi"/>
          <w:snapToGrid w:val="0"/>
          <w:lang w:val="en-GB"/>
        </w:rPr>
        <w:t xml:space="preserve">The PBAC </w:t>
      </w:r>
      <w:r w:rsidR="00330C1B">
        <w:rPr>
          <w:rFonts w:asciiTheme="minorHAnsi" w:hAnsiTheme="minorHAnsi"/>
          <w:snapToGrid w:val="0"/>
          <w:lang w:val="en-GB"/>
        </w:rPr>
        <w:t xml:space="preserve">considered that </w:t>
      </w:r>
      <w:r w:rsidR="00582B72">
        <w:rPr>
          <w:rFonts w:asciiTheme="minorHAnsi" w:hAnsiTheme="minorHAnsi"/>
          <w:snapToGrid w:val="0"/>
          <w:lang w:val="en-GB"/>
        </w:rPr>
        <w:t xml:space="preserve">sirolimus </w:t>
      </w:r>
      <w:r w:rsidR="003F46E4">
        <w:rPr>
          <w:rFonts w:asciiTheme="minorHAnsi" w:hAnsiTheme="minorHAnsi"/>
          <w:snapToGrid w:val="0"/>
          <w:lang w:val="en-GB"/>
        </w:rPr>
        <w:t xml:space="preserve">was </w:t>
      </w:r>
      <w:r w:rsidR="00E319AE">
        <w:rPr>
          <w:rFonts w:asciiTheme="minorHAnsi" w:hAnsiTheme="minorHAnsi"/>
          <w:snapToGrid w:val="0"/>
          <w:lang w:val="en-GB"/>
        </w:rPr>
        <w:t xml:space="preserve">not </w:t>
      </w:r>
      <w:r w:rsidR="00330C1B">
        <w:rPr>
          <w:rFonts w:asciiTheme="minorHAnsi" w:hAnsiTheme="minorHAnsi"/>
          <w:snapToGrid w:val="0"/>
          <w:lang w:val="en-GB"/>
        </w:rPr>
        <w:t xml:space="preserve">a </w:t>
      </w:r>
      <w:r w:rsidR="003F46E4">
        <w:rPr>
          <w:rFonts w:asciiTheme="minorHAnsi" w:hAnsiTheme="minorHAnsi"/>
          <w:snapToGrid w:val="0"/>
          <w:lang w:val="en-GB"/>
        </w:rPr>
        <w:t xml:space="preserve">primary </w:t>
      </w:r>
      <w:r w:rsidR="00E319AE">
        <w:rPr>
          <w:rFonts w:asciiTheme="minorHAnsi" w:hAnsiTheme="minorHAnsi"/>
          <w:snapToGrid w:val="0"/>
          <w:lang w:val="en-GB"/>
        </w:rPr>
        <w:t>comparator</w:t>
      </w:r>
      <w:r w:rsidR="003F46E4">
        <w:rPr>
          <w:rFonts w:asciiTheme="minorHAnsi" w:hAnsiTheme="minorHAnsi"/>
          <w:snapToGrid w:val="0"/>
          <w:lang w:val="en-GB"/>
        </w:rPr>
        <w:t xml:space="preserve"> as </w:t>
      </w:r>
      <w:r w:rsidR="00CF24DF">
        <w:t>it is</w:t>
      </w:r>
      <w:r w:rsidR="00CF24DF" w:rsidRPr="008B433C">
        <w:t xml:space="preserve"> </w:t>
      </w:r>
      <w:r w:rsidR="003F46E4" w:rsidRPr="008B433C">
        <w:t xml:space="preserve">effective in treating </w:t>
      </w:r>
      <w:r w:rsidR="00CF24DF">
        <w:t xml:space="preserve">only </w:t>
      </w:r>
      <w:r w:rsidR="003F46E4" w:rsidRPr="008B433C">
        <w:t xml:space="preserve">some manifestations of APDS and </w:t>
      </w:r>
      <w:r w:rsidR="00DF4FCB">
        <w:t>is</w:t>
      </w:r>
      <w:r w:rsidR="003F46E4" w:rsidRPr="008B433C">
        <w:t xml:space="preserve"> not used commonly in clinical practice in Australia</w:t>
      </w:r>
      <w:r w:rsidR="00E319AE">
        <w:rPr>
          <w:rFonts w:asciiTheme="minorHAnsi" w:hAnsiTheme="minorHAnsi"/>
          <w:snapToGrid w:val="0"/>
          <w:lang w:val="en-GB"/>
        </w:rPr>
        <w:t>.</w:t>
      </w:r>
    </w:p>
    <w:p w14:paraId="1568BCFC" w14:textId="12F37AAD" w:rsidR="00DD22E1" w:rsidRPr="00CE42B4" w:rsidRDefault="00AA0E62" w:rsidP="00DD22E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w:t>
      </w:r>
      <w:r w:rsidR="00F532B4">
        <w:t>t</w:t>
      </w:r>
      <w:r w:rsidR="00F532B4" w:rsidRPr="006562D8">
        <w:t>he submission was primarily based on one phase 3 head-to-head RCT that compared leniolisib to placebo (as a proxy for SoC) in patients with APDS aged 12 to 75 years (Study 2201 Part II)</w:t>
      </w:r>
      <w:r w:rsidR="00F532B4">
        <w:t xml:space="preserve">. The PBAC </w:t>
      </w:r>
      <w:r w:rsidR="00F532B4" w:rsidRPr="008B433C">
        <w:t xml:space="preserve">noted that the submission </w:t>
      </w:r>
      <w:r w:rsidR="00807CB7">
        <w:t xml:space="preserve">also </w:t>
      </w:r>
      <w:r w:rsidR="00F532B4" w:rsidRPr="008B433C">
        <w:t xml:space="preserve">relied on many post-hoc analyses </w:t>
      </w:r>
      <w:r w:rsidR="004F612F">
        <w:t xml:space="preserve">where </w:t>
      </w:r>
      <w:r w:rsidR="00F532B4" w:rsidRPr="008B433C">
        <w:t>published data</w:t>
      </w:r>
      <w:r w:rsidR="003432F3">
        <w:t xml:space="preserve"> </w:t>
      </w:r>
      <w:r w:rsidR="001D1E4C">
        <w:t xml:space="preserve">were lacking </w:t>
      </w:r>
      <w:r w:rsidR="003432F3">
        <w:t>and considered</w:t>
      </w:r>
      <w:r w:rsidR="00F532B4" w:rsidRPr="008B433C">
        <w:t xml:space="preserve"> </w:t>
      </w:r>
      <w:r w:rsidR="003432F3">
        <w:t>t</w:t>
      </w:r>
      <w:r w:rsidR="00F532B4" w:rsidRPr="008B433C">
        <w:t xml:space="preserve">hese analyses were associated with a high risk of </w:t>
      </w:r>
      <w:r w:rsidR="00F532B4" w:rsidRPr="00EC0A63">
        <w:t>bias.</w:t>
      </w:r>
      <w:r w:rsidR="00536706" w:rsidRPr="00EC0A63">
        <w:t xml:space="preserve"> </w:t>
      </w:r>
      <w:r w:rsidR="00EC0A63">
        <w:t xml:space="preserve">The PBAC noted </w:t>
      </w:r>
      <w:r w:rsidR="00EC0A63" w:rsidRPr="00EC0A63">
        <w:t xml:space="preserve">both the </w:t>
      </w:r>
      <w:r w:rsidR="00081087">
        <w:t xml:space="preserve">analyses of </w:t>
      </w:r>
      <w:r w:rsidR="00EC0A63" w:rsidRPr="00EC0A63">
        <w:t>co-primary endpoints were underpowered not because of the number of patients recruited but due to the inclusion of fewer patients than anticipated in the analysis</w:t>
      </w:r>
      <w:r w:rsidR="005C651A">
        <w:t xml:space="preserve"> as a result of </w:t>
      </w:r>
      <w:r w:rsidR="00E379C4">
        <w:t xml:space="preserve">exclusion based on </w:t>
      </w:r>
      <w:r w:rsidR="005C651A">
        <w:t>baseline measurements</w:t>
      </w:r>
      <w:r w:rsidR="00EC0A63">
        <w:t xml:space="preserve">. </w:t>
      </w:r>
    </w:p>
    <w:p w14:paraId="6E26D60D" w14:textId="777F24CB" w:rsidR="00DD22E1" w:rsidRPr="00804ABE" w:rsidRDefault="00661F8D" w:rsidP="004056B7">
      <w:pPr>
        <w:pStyle w:val="3-BodyText"/>
        <w:widowControl w:val="0"/>
        <w:numPr>
          <w:ilvl w:val="1"/>
          <w:numId w:val="1"/>
        </w:numPr>
        <w:spacing w:after="120"/>
        <w:rPr>
          <w:snapToGrid w:val="0"/>
          <w:lang w:val="en-GB"/>
        </w:rPr>
      </w:pPr>
      <w:r w:rsidRPr="00804ABE">
        <w:rPr>
          <w:bCs/>
        </w:rPr>
        <w:t>Study 2201 Part II demonstrated that leniolisib improves a range of immunity markers, including the co-primary endpoints (change in naïve B cells as a percentage of total B cells and change in both spleen volume and size) compared to placebo over 12 weeks.</w:t>
      </w:r>
      <w:r w:rsidR="00CC09D8" w:rsidRPr="00804ABE">
        <w:rPr>
          <w:bCs/>
        </w:rPr>
        <w:t xml:space="preserve"> </w:t>
      </w:r>
      <w:r w:rsidR="00AC088F" w:rsidRPr="00804ABE">
        <w:rPr>
          <w:snapToGrid w:val="0"/>
        </w:rPr>
        <w:t xml:space="preserve">The PBAC </w:t>
      </w:r>
      <w:r w:rsidR="00AC088F" w:rsidRPr="00045500">
        <w:t xml:space="preserve">considered the </w:t>
      </w:r>
      <w:r w:rsidR="00AC088F">
        <w:t xml:space="preserve">demonstrated improvements in </w:t>
      </w:r>
      <w:r w:rsidR="00AC088F" w:rsidRPr="00045500">
        <w:t xml:space="preserve">surrogate outcomes, such as immune cell changes, provide a representation of the underlying disease activity for APDS, </w:t>
      </w:r>
      <w:r w:rsidR="00AC088F">
        <w:t>and are therefore likely to result in improvements</w:t>
      </w:r>
      <w:r w:rsidR="00AC088F" w:rsidRPr="00045500">
        <w:t xml:space="preserve"> </w:t>
      </w:r>
      <w:r w:rsidR="00AC088F" w:rsidRPr="00804ABE">
        <w:rPr>
          <w:rFonts w:eastAsia="Times New Roman" w:cs="Arial"/>
          <w:snapToGrid w:val="0"/>
          <w:szCs w:val="24"/>
          <w:lang w:val="en-GB"/>
        </w:rPr>
        <w:t>in patient-relevant outcomes such as infections, lung disease</w:t>
      </w:r>
      <w:r w:rsidR="00480405" w:rsidRPr="00804ABE">
        <w:rPr>
          <w:rFonts w:eastAsia="Times New Roman" w:cs="Arial"/>
          <w:snapToGrid w:val="0"/>
          <w:szCs w:val="24"/>
          <w:lang w:val="en-GB"/>
        </w:rPr>
        <w:t xml:space="preserve"> (bronchiectasis)</w:t>
      </w:r>
      <w:r w:rsidR="00AC088F" w:rsidRPr="00804ABE">
        <w:rPr>
          <w:rFonts w:eastAsia="Times New Roman" w:cs="Arial"/>
          <w:snapToGrid w:val="0"/>
          <w:szCs w:val="24"/>
          <w:lang w:val="en-GB"/>
        </w:rPr>
        <w:t>, lymphadenopathy and risk of lymphoma</w:t>
      </w:r>
      <w:r w:rsidR="00AC088F" w:rsidRPr="00045500">
        <w:t>.</w:t>
      </w:r>
      <w:r w:rsidR="001E7C27">
        <w:t xml:space="preserve"> The PBAC noted </w:t>
      </w:r>
      <w:r w:rsidR="00183CA7">
        <w:t>the limitations of the evidence including</w:t>
      </w:r>
      <w:r w:rsidR="00EC21A5">
        <w:t xml:space="preserve"> the potential bias in some of the analyses presented </w:t>
      </w:r>
      <w:r w:rsidR="00B364EE">
        <w:t xml:space="preserve">and the short duration of the comparative </w:t>
      </w:r>
      <w:r w:rsidR="00EB1ACE">
        <w:t>study but</w:t>
      </w:r>
      <w:r w:rsidR="007E7E13">
        <w:t xml:space="preserve"> acknowledged the difficulty of obtaining high quality clinical evidence in APDS</w:t>
      </w:r>
      <w:r w:rsidR="00183CA7">
        <w:t xml:space="preserve">. The PBAC </w:t>
      </w:r>
      <w:r w:rsidR="007E7E13">
        <w:t xml:space="preserve">considered </w:t>
      </w:r>
      <w:r w:rsidR="00EC21A5">
        <w:t xml:space="preserve">the </w:t>
      </w:r>
      <w:r w:rsidR="00C1198E">
        <w:t xml:space="preserve">availability </w:t>
      </w:r>
      <w:r w:rsidR="00514C55">
        <w:t xml:space="preserve">of </w:t>
      </w:r>
      <w:r w:rsidR="0071147A">
        <w:t xml:space="preserve">comparative data </w:t>
      </w:r>
      <w:r w:rsidR="009C2862">
        <w:t xml:space="preserve">provided </w:t>
      </w:r>
      <w:r w:rsidR="00503D14">
        <w:t xml:space="preserve">confidence </w:t>
      </w:r>
      <w:r w:rsidR="00CE2769">
        <w:t xml:space="preserve">in the clinical claim </w:t>
      </w:r>
      <w:r w:rsidR="007E7E13">
        <w:t xml:space="preserve">of superior comparative effectiveness </w:t>
      </w:r>
      <w:r w:rsidR="003B12A9">
        <w:t xml:space="preserve">of leniolisib </w:t>
      </w:r>
      <w:r w:rsidR="007E7E13">
        <w:t>o</w:t>
      </w:r>
      <w:r w:rsidR="003B12A9">
        <w:t>ver</w:t>
      </w:r>
      <w:r w:rsidR="007E7E13">
        <w:t xml:space="preserve"> SoC. </w:t>
      </w:r>
    </w:p>
    <w:p w14:paraId="62EEAE00" w14:textId="4D2A744E" w:rsidR="00DD22E1" w:rsidRPr="00CE42B4" w:rsidRDefault="003E067B" w:rsidP="00DD22E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w:t>
      </w:r>
      <w:r w:rsidR="00A87055" w:rsidRPr="007764B0">
        <w:rPr>
          <w:snapToGrid w:val="0"/>
        </w:rPr>
        <w:t xml:space="preserve">that the claim of non-inferior comparative safety over SoC was uncertain </w:t>
      </w:r>
      <w:r w:rsidR="00A87055" w:rsidRPr="007764B0">
        <w:rPr>
          <w:bCs/>
        </w:rPr>
        <w:t xml:space="preserve">as there are limited comparative data available. The PBAC noted the TGA Delegate considered it likely that long term treatment with leniolisib will lead to the emergence of rarer adverse events associated with PI3Kδ inhibition in some patients. </w:t>
      </w:r>
      <w:r w:rsidR="00A87055" w:rsidRPr="007764B0">
        <w:rPr>
          <w:snapToGrid w:val="0"/>
        </w:rPr>
        <w:t xml:space="preserve">However, </w:t>
      </w:r>
      <w:r w:rsidR="00A87055" w:rsidRPr="0031419F">
        <w:t xml:space="preserve">based on available evidence as presented in the submission, the incremental </w:t>
      </w:r>
      <w:r w:rsidR="000F59E2">
        <w:t>adverse events</w:t>
      </w:r>
      <w:r w:rsidR="00A87055" w:rsidRPr="0031419F">
        <w:t xml:space="preserve"> for patients receiving leniolisib appear to be manageable.</w:t>
      </w:r>
    </w:p>
    <w:p w14:paraId="3505449D" w14:textId="10E17F73" w:rsidR="002E1505" w:rsidRPr="002E1505" w:rsidRDefault="007C0AD0" w:rsidP="004056B7">
      <w:pPr>
        <w:widowControl w:val="0"/>
        <w:numPr>
          <w:ilvl w:val="1"/>
          <w:numId w:val="1"/>
        </w:numPr>
        <w:spacing w:after="120"/>
        <w:rPr>
          <w:rFonts w:asciiTheme="minorHAnsi" w:hAnsiTheme="minorHAnsi"/>
          <w:snapToGrid w:val="0"/>
          <w:lang w:val="en-GB"/>
        </w:rPr>
      </w:pPr>
      <w:r w:rsidRPr="004F0DDF">
        <w:rPr>
          <w:rFonts w:asciiTheme="minorHAnsi" w:hAnsiTheme="minorHAnsi"/>
          <w:snapToGrid w:val="0"/>
          <w:lang w:val="en-GB"/>
        </w:rPr>
        <w:t xml:space="preserve">The </w:t>
      </w:r>
      <w:r w:rsidR="002D0BE5" w:rsidRPr="004F0DDF">
        <w:rPr>
          <w:rFonts w:asciiTheme="minorHAnsi" w:hAnsiTheme="minorHAnsi"/>
          <w:snapToGrid w:val="0"/>
          <w:lang w:val="en-GB"/>
        </w:rPr>
        <w:t xml:space="preserve">submission presented a cost-utility analysis for the economic evaluation, based on the results of </w:t>
      </w:r>
      <w:r w:rsidR="002C793F" w:rsidRPr="006562D8">
        <w:t>Study 2201 Part II</w:t>
      </w:r>
      <w:r w:rsidR="002C793F" w:rsidRPr="0031419F">
        <w:t xml:space="preserve"> </w:t>
      </w:r>
      <w:r w:rsidR="00DF31E2" w:rsidRPr="0031419F">
        <w:t>with additional clinical data from Study 2201E, the leniolisib EAP and the ESID-APDS registry</w:t>
      </w:r>
      <w:r w:rsidR="00D147C4">
        <w:t xml:space="preserve">. </w:t>
      </w:r>
      <w:r w:rsidR="00E85865" w:rsidRPr="004F0DDF">
        <w:rPr>
          <w:rFonts w:asciiTheme="minorHAnsi" w:hAnsiTheme="minorHAnsi"/>
          <w:snapToGrid w:val="0"/>
          <w:lang w:val="en-GB"/>
        </w:rPr>
        <w:t xml:space="preserve">The PBAC noted the </w:t>
      </w:r>
      <w:r w:rsidR="006036C6" w:rsidRPr="004F0DDF">
        <w:rPr>
          <w:rFonts w:asciiTheme="minorHAnsi" w:hAnsiTheme="minorHAnsi"/>
          <w:snapToGrid w:val="0"/>
          <w:lang w:val="en-GB"/>
        </w:rPr>
        <w:t xml:space="preserve">submission’s base case ICER </w:t>
      </w:r>
      <w:r w:rsidR="006036C6" w:rsidRPr="004F0DDF">
        <w:rPr>
          <w:bCs/>
        </w:rPr>
        <w:t xml:space="preserve">for leniolisib + SoC versus SoC was </w:t>
      </w:r>
      <w:r w:rsidR="00582DD9" w:rsidRPr="00582DD9">
        <w:rPr>
          <w:bCs/>
        </w:rPr>
        <w:t>$855,000 to &lt; $955,000</w:t>
      </w:r>
      <w:r w:rsidR="006036C6" w:rsidRPr="004F0DDF">
        <w:rPr>
          <w:bCs/>
        </w:rPr>
        <w:t>/QALY gained.</w:t>
      </w:r>
      <w:r w:rsidR="00DD22E1" w:rsidRPr="004F0DDF">
        <w:rPr>
          <w:rFonts w:asciiTheme="minorHAnsi" w:hAnsiTheme="minorHAnsi"/>
          <w:snapToGrid w:val="0"/>
          <w:lang w:val="en-GB"/>
        </w:rPr>
        <w:t xml:space="preserve"> </w:t>
      </w:r>
      <w:r w:rsidR="00817D6F" w:rsidRPr="004F0DDF">
        <w:rPr>
          <w:rFonts w:asciiTheme="minorHAnsi" w:hAnsiTheme="minorHAnsi"/>
          <w:snapToGrid w:val="0"/>
          <w:lang w:val="en-GB"/>
        </w:rPr>
        <w:t>The pre-PBAC response proposed a</w:t>
      </w:r>
      <w:r w:rsidR="00B56EAC" w:rsidRPr="004F0DDF">
        <w:rPr>
          <w:rFonts w:asciiTheme="minorHAnsi" w:hAnsiTheme="minorHAnsi"/>
          <w:snapToGrid w:val="0"/>
          <w:lang w:val="en-GB"/>
        </w:rPr>
        <w:t xml:space="preserve">n </w:t>
      </w:r>
      <w:r w:rsidR="001F60D7" w:rsidRPr="0053609D">
        <w:rPr>
          <w:rFonts w:asciiTheme="minorHAnsi" w:hAnsiTheme="minorHAnsi"/>
          <w:snapToGrid w:val="0"/>
          <w:color w:val="000000"/>
          <w:w w:val="15"/>
          <w:shd w:val="solid" w:color="000000" w:fill="000000"/>
          <w:fitText w:val="-20" w:id="-629967347"/>
          <w:lang w:val="en-GB"/>
          <w14:textFill>
            <w14:solidFill>
              <w14:srgbClr w14:val="000000">
                <w14:alpha w14:val="100000"/>
              </w14:srgbClr>
            </w14:solidFill>
          </w14:textFill>
        </w:rPr>
        <w:t xml:space="preserve">|  </w:t>
      </w:r>
      <w:r w:rsidR="001F60D7" w:rsidRPr="0053609D">
        <w:rPr>
          <w:rFonts w:asciiTheme="minorHAnsi" w:hAnsiTheme="minorHAnsi"/>
          <w:snapToGrid w:val="0"/>
          <w:color w:val="000000"/>
          <w:spacing w:val="-69"/>
          <w:w w:val="15"/>
          <w:shd w:val="solid" w:color="000000" w:fill="000000"/>
          <w:fitText w:val="-20" w:id="-629967347"/>
          <w:lang w:val="en-GB"/>
          <w14:textFill>
            <w14:solidFill>
              <w14:srgbClr w14:val="000000">
                <w14:alpha w14:val="100000"/>
              </w14:srgbClr>
            </w14:solidFill>
          </w14:textFill>
        </w:rPr>
        <w:t>|</w:t>
      </w:r>
      <w:r w:rsidR="00B56EAC" w:rsidRPr="004F0DDF">
        <w:rPr>
          <w:rFonts w:asciiTheme="minorHAnsi" w:hAnsiTheme="minorHAnsi"/>
          <w:snapToGrid w:val="0"/>
          <w:lang w:val="en-GB"/>
        </w:rPr>
        <w:t>%</w:t>
      </w:r>
      <w:r w:rsidR="00817D6F" w:rsidRPr="004F0DDF">
        <w:rPr>
          <w:rFonts w:asciiTheme="minorHAnsi" w:hAnsiTheme="minorHAnsi"/>
          <w:snapToGrid w:val="0"/>
          <w:lang w:val="en-GB"/>
        </w:rPr>
        <w:t xml:space="preserve"> reduction in the </w:t>
      </w:r>
      <w:r w:rsidR="00B56EAC" w:rsidRPr="004F0DDF">
        <w:rPr>
          <w:rFonts w:asciiTheme="minorHAnsi" w:hAnsiTheme="minorHAnsi"/>
          <w:snapToGrid w:val="0"/>
          <w:lang w:val="en-GB"/>
        </w:rPr>
        <w:t xml:space="preserve">effective </w:t>
      </w:r>
      <w:r w:rsidR="00817D6F" w:rsidRPr="004F0DDF">
        <w:rPr>
          <w:rFonts w:asciiTheme="minorHAnsi" w:hAnsiTheme="minorHAnsi"/>
          <w:snapToGrid w:val="0"/>
          <w:lang w:val="en-GB"/>
        </w:rPr>
        <w:t>price for leniolisib</w:t>
      </w:r>
      <w:r w:rsidR="00B56EAC" w:rsidRPr="004F0DDF">
        <w:rPr>
          <w:rFonts w:asciiTheme="minorHAnsi" w:hAnsiTheme="minorHAnsi"/>
          <w:snapToGrid w:val="0"/>
          <w:lang w:val="en-GB"/>
        </w:rPr>
        <w:t xml:space="preserve"> </w:t>
      </w:r>
      <w:r w:rsidR="007F3F8F" w:rsidRPr="004F0DDF">
        <w:rPr>
          <w:rFonts w:asciiTheme="minorHAnsi" w:hAnsiTheme="minorHAnsi"/>
          <w:snapToGrid w:val="0"/>
          <w:lang w:val="en-GB"/>
        </w:rPr>
        <w:t xml:space="preserve">which reduced the ICER to </w:t>
      </w:r>
      <w:r w:rsidR="00A451F7" w:rsidRPr="00A451F7">
        <w:rPr>
          <w:rFonts w:asciiTheme="minorHAnsi" w:hAnsiTheme="minorHAnsi"/>
          <w:snapToGrid w:val="0"/>
          <w:lang w:val="en-GB"/>
        </w:rPr>
        <w:t>$755,000 to &lt; $855,000</w:t>
      </w:r>
      <w:r w:rsidR="007F3F8F" w:rsidRPr="004F0DDF">
        <w:rPr>
          <w:rFonts w:asciiTheme="minorHAnsi" w:hAnsiTheme="minorHAnsi"/>
          <w:snapToGrid w:val="0"/>
          <w:lang w:val="en-GB"/>
        </w:rPr>
        <w:t>$</w:t>
      </w:r>
      <w:r w:rsidR="006960AD" w:rsidRPr="004F0DDF">
        <w:rPr>
          <w:rFonts w:asciiTheme="minorHAnsi" w:hAnsiTheme="minorHAnsi"/>
          <w:snapToGrid w:val="0"/>
          <w:lang w:val="en-GB"/>
        </w:rPr>
        <w:t xml:space="preserve">/QALY gained. </w:t>
      </w:r>
      <w:r w:rsidR="00674FFA" w:rsidRPr="004F0DDF">
        <w:rPr>
          <w:rFonts w:asciiTheme="minorHAnsi" w:hAnsiTheme="minorHAnsi"/>
          <w:snapToGrid w:val="0"/>
          <w:lang w:val="en-GB"/>
        </w:rPr>
        <w:t xml:space="preserve">The PBAC noted that there was a </w:t>
      </w:r>
      <w:r w:rsidR="004F0DDF" w:rsidRPr="004F0DDF">
        <w:rPr>
          <w:rFonts w:asciiTheme="minorHAnsi" w:hAnsiTheme="minorHAnsi"/>
          <w:snapToGrid w:val="0"/>
          <w:lang w:val="en-GB"/>
        </w:rPr>
        <w:t xml:space="preserve">very </w:t>
      </w:r>
      <w:r w:rsidR="00674FFA" w:rsidRPr="004F0DDF">
        <w:rPr>
          <w:rFonts w:asciiTheme="minorHAnsi" w:hAnsiTheme="minorHAnsi"/>
          <w:snapToGrid w:val="0"/>
          <w:lang w:val="en-GB"/>
        </w:rPr>
        <w:t xml:space="preserve">high level of uncertainty associated with the ICER </w:t>
      </w:r>
      <w:r w:rsidR="00E528C2" w:rsidRPr="004F0DDF">
        <w:rPr>
          <w:rFonts w:asciiTheme="minorHAnsi" w:hAnsiTheme="minorHAnsi"/>
          <w:snapToGrid w:val="0"/>
          <w:lang w:val="en-GB"/>
        </w:rPr>
        <w:t xml:space="preserve">due to </w:t>
      </w:r>
      <w:r w:rsidR="004F0DDF" w:rsidRPr="004F0DDF">
        <w:rPr>
          <w:rFonts w:asciiTheme="minorHAnsi" w:hAnsiTheme="minorHAnsi"/>
          <w:snapToGrid w:val="0"/>
          <w:lang w:val="en-GB"/>
        </w:rPr>
        <w:t>assumptions</w:t>
      </w:r>
      <w:r w:rsidR="00E528C2" w:rsidRPr="004F0DDF">
        <w:rPr>
          <w:rFonts w:asciiTheme="minorHAnsi" w:hAnsiTheme="minorHAnsi"/>
          <w:snapToGrid w:val="0"/>
          <w:lang w:val="en-GB"/>
        </w:rPr>
        <w:t xml:space="preserve"> regarding the frequency and resolution of manifestations, </w:t>
      </w:r>
      <w:r w:rsidR="00055899">
        <w:rPr>
          <w:rFonts w:asciiTheme="minorHAnsi" w:hAnsiTheme="minorHAnsi"/>
          <w:snapToGrid w:val="0"/>
          <w:lang w:val="en-GB"/>
        </w:rPr>
        <w:t xml:space="preserve">the </w:t>
      </w:r>
      <w:r w:rsidR="00E528C2" w:rsidRPr="004F0DDF">
        <w:rPr>
          <w:rFonts w:asciiTheme="minorHAnsi" w:hAnsiTheme="minorHAnsi"/>
          <w:snapToGrid w:val="0"/>
          <w:lang w:val="en-GB"/>
        </w:rPr>
        <w:t xml:space="preserve">impacts of manifestations on </w:t>
      </w:r>
      <w:r w:rsidR="00573CF5" w:rsidRPr="004F0DDF">
        <w:rPr>
          <w:rFonts w:asciiTheme="minorHAnsi" w:hAnsiTheme="minorHAnsi"/>
          <w:snapToGrid w:val="0"/>
          <w:lang w:val="en-GB"/>
        </w:rPr>
        <w:t>QoL</w:t>
      </w:r>
      <w:r w:rsidR="00AE779D">
        <w:rPr>
          <w:rFonts w:asciiTheme="minorHAnsi" w:hAnsiTheme="minorHAnsi"/>
          <w:snapToGrid w:val="0"/>
          <w:lang w:val="en-GB"/>
        </w:rPr>
        <w:t>,</w:t>
      </w:r>
      <w:r w:rsidR="00573CF5" w:rsidRPr="004F0DDF">
        <w:rPr>
          <w:rFonts w:asciiTheme="minorHAnsi" w:hAnsiTheme="minorHAnsi"/>
          <w:snapToGrid w:val="0"/>
          <w:lang w:val="en-GB"/>
        </w:rPr>
        <w:t xml:space="preserve"> and treatment discontinuation and on</w:t>
      </w:r>
      <w:r w:rsidR="004F0DDF" w:rsidRPr="004F0DDF">
        <w:rPr>
          <w:rFonts w:asciiTheme="minorHAnsi" w:hAnsiTheme="minorHAnsi"/>
          <w:snapToGrid w:val="0"/>
          <w:lang w:val="en-GB"/>
        </w:rPr>
        <w:t xml:space="preserve">going treatment effect. </w:t>
      </w:r>
      <w:r w:rsidR="00055899">
        <w:rPr>
          <w:rFonts w:asciiTheme="minorHAnsi" w:hAnsiTheme="minorHAnsi"/>
          <w:snapToGrid w:val="0"/>
          <w:lang w:val="en-GB"/>
        </w:rPr>
        <w:t xml:space="preserve">Further the PBAC </w:t>
      </w:r>
      <w:r w:rsidR="00711598" w:rsidRPr="004F0DDF">
        <w:rPr>
          <w:rFonts w:asciiTheme="minorHAnsi" w:hAnsiTheme="minorHAnsi"/>
          <w:snapToGrid w:val="0"/>
          <w:lang w:val="en-GB"/>
        </w:rPr>
        <w:t xml:space="preserve">noted the Sub-Committees’ </w:t>
      </w:r>
      <w:r w:rsidR="007E7F98" w:rsidRPr="004F0DDF">
        <w:rPr>
          <w:rFonts w:asciiTheme="minorHAnsi" w:hAnsiTheme="minorHAnsi"/>
          <w:snapToGrid w:val="0"/>
          <w:lang w:val="en-GB"/>
        </w:rPr>
        <w:t xml:space="preserve">advice that the model structure was not reliable for decision-making, </w:t>
      </w:r>
      <w:r w:rsidR="00711598" w:rsidRPr="004F0DDF">
        <w:rPr>
          <w:rFonts w:asciiTheme="minorHAnsi" w:hAnsiTheme="minorHAnsi"/>
          <w:snapToGrid w:val="0"/>
          <w:lang w:val="en-GB"/>
        </w:rPr>
        <w:t>and the base case ICER was likely heavily biased towards leniolisib.</w:t>
      </w:r>
      <w:r w:rsidR="0017313C" w:rsidRPr="004F0DDF">
        <w:rPr>
          <w:rFonts w:asciiTheme="minorHAnsi" w:hAnsiTheme="minorHAnsi"/>
          <w:snapToGrid w:val="0"/>
          <w:lang w:val="en-GB"/>
        </w:rPr>
        <w:t xml:space="preserve"> </w:t>
      </w:r>
      <w:r w:rsidR="00EC24C7">
        <w:rPr>
          <w:rFonts w:asciiTheme="minorHAnsi" w:hAnsiTheme="minorHAnsi"/>
          <w:snapToGrid w:val="0"/>
          <w:lang w:val="en-GB"/>
        </w:rPr>
        <w:t xml:space="preserve">However, </w:t>
      </w:r>
      <w:r w:rsidR="000C1604" w:rsidRPr="000C1604">
        <w:rPr>
          <w:rFonts w:asciiTheme="minorHAnsi" w:hAnsiTheme="minorHAnsi"/>
          <w:snapToGrid w:val="0"/>
        </w:rPr>
        <w:t xml:space="preserve">given the paucity of data available for this rare condition, </w:t>
      </w:r>
      <w:r w:rsidR="000C1604">
        <w:rPr>
          <w:rFonts w:asciiTheme="minorHAnsi" w:hAnsiTheme="minorHAnsi"/>
          <w:snapToGrid w:val="0"/>
        </w:rPr>
        <w:t xml:space="preserve">the PBAC acknowledged that revising the </w:t>
      </w:r>
      <w:r w:rsidR="00BB7C03">
        <w:rPr>
          <w:rFonts w:asciiTheme="minorHAnsi" w:hAnsiTheme="minorHAnsi"/>
          <w:snapToGrid w:val="0"/>
        </w:rPr>
        <w:t xml:space="preserve">model </w:t>
      </w:r>
      <w:r w:rsidR="000C1604" w:rsidRPr="000C1604">
        <w:rPr>
          <w:rFonts w:asciiTheme="minorHAnsi" w:hAnsiTheme="minorHAnsi"/>
          <w:snapToGrid w:val="0"/>
        </w:rPr>
        <w:t xml:space="preserve">structure </w:t>
      </w:r>
      <w:r w:rsidR="00BB7C03">
        <w:rPr>
          <w:rFonts w:asciiTheme="minorHAnsi" w:hAnsiTheme="minorHAnsi"/>
          <w:snapToGrid w:val="0"/>
        </w:rPr>
        <w:t xml:space="preserve">or inputs is </w:t>
      </w:r>
      <w:r w:rsidR="005D17D7">
        <w:rPr>
          <w:rFonts w:asciiTheme="minorHAnsi" w:hAnsiTheme="minorHAnsi"/>
          <w:snapToGrid w:val="0"/>
        </w:rPr>
        <w:t xml:space="preserve">unlikely to </w:t>
      </w:r>
      <w:r w:rsidR="000C1604" w:rsidRPr="000C1604">
        <w:rPr>
          <w:rFonts w:asciiTheme="minorHAnsi" w:hAnsiTheme="minorHAnsi"/>
          <w:snapToGrid w:val="0"/>
        </w:rPr>
        <w:t xml:space="preserve">resolve the uncertainty associated with the modelled outcomes. </w:t>
      </w:r>
      <w:r w:rsidR="00921187" w:rsidRPr="006425A8">
        <w:t xml:space="preserve">The PBAC considered that </w:t>
      </w:r>
      <w:r w:rsidR="00921187">
        <w:t xml:space="preserve">the value proposition was difficult to assess with </w:t>
      </w:r>
      <w:r w:rsidR="00921187" w:rsidRPr="006425A8">
        <w:t xml:space="preserve">a traditional </w:t>
      </w:r>
      <w:r w:rsidR="00452C4C">
        <w:t>ICER</w:t>
      </w:r>
      <w:r w:rsidR="00921187" w:rsidRPr="006425A8">
        <w:t xml:space="preserve"> due to the limited long-term clinical data </w:t>
      </w:r>
      <w:r w:rsidR="00921187">
        <w:t>and lack of long</w:t>
      </w:r>
      <w:r w:rsidR="00452C4C">
        <w:t>-</w:t>
      </w:r>
      <w:r w:rsidR="00921187">
        <w:t xml:space="preserve">term patient-relevant outcomes </w:t>
      </w:r>
      <w:r w:rsidR="00921187" w:rsidRPr="006425A8">
        <w:t xml:space="preserve">to inform the model, the small number of patients included in the trial, and the highly individualised </w:t>
      </w:r>
      <w:r w:rsidR="009248B3">
        <w:t xml:space="preserve">manifestations of </w:t>
      </w:r>
      <w:r w:rsidR="00502BFF">
        <w:t>APDS</w:t>
      </w:r>
      <w:r w:rsidR="00921187" w:rsidRPr="006425A8">
        <w:t>.</w:t>
      </w:r>
      <w:r w:rsidR="00502BFF">
        <w:t xml:space="preserve"> </w:t>
      </w:r>
    </w:p>
    <w:p w14:paraId="50DCDB40" w14:textId="17722BCE" w:rsidR="004B5CA4" w:rsidRPr="004F0DDF" w:rsidRDefault="006F7F85" w:rsidP="004056B7">
      <w:pPr>
        <w:widowControl w:val="0"/>
        <w:numPr>
          <w:ilvl w:val="1"/>
          <w:numId w:val="1"/>
        </w:numPr>
        <w:spacing w:after="120"/>
        <w:rPr>
          <w:rFonts w:asciiTheme="minorHAnsi" w:hAnsiTheme="minorHAnsi"/>
          <w:snapToGrid w:val="0"/>
          <w:lang w:val="en-GB"/>
        </w:rPr>
      </w:pPr>
      <w:r>
        <w:t xml:space="preserve">The PBAC reflected on previous determinations made for other rare diseases where no effective alternative therapies were available. </w:t>
      </w:r>
      <w:r w:rsidRPr="00E824B6">
        <w:rPr>
          <w:color w:val="000000" w:themeColor="text1"/>
        </w:rPr>
        <w:t xml:space="preserve">The PBAC compared the </w:t>
      </w:r>
      <w:r w:rsidR="004B5CA4" w:rsidRPr="00E824B6">
        <w:rPr>
          <w:color w:val="000000" w:themeColor="text1"/>
        </w:rPr>
        <w:t xml:space="preserve">available evidence, </w:t>
      </w:r>
      <w:r w:rsidRPr="00E824B6">
        <w:rPr>
          <w:color w:val="000000" w:themeColor="text1"/>
        </w:rPr>
        <w:t>nature of the benefits, ICERs, numbers of patients expected to be treated, and the cost per patient per year for leniolisib at the proposed price, with other high</w:t>
      </w:r>
      <w:r w:rsidRPr="00E824B6">
        <w:rPr>
          <w:color w:val="000000" w:themeColor="text1"/>
        </w:rPr>
        <w:softHyphen/>
      </w:r>
      <w:r w:rsidRPr="00E824B6">
        <w:rPr>
          <w:color w:val="000000" w:themeColor="text1"/>
        </w:rPr>
        <w:softHyphen/>
        <w:t xml:space="preserve">-cost treatments </w:t>
      </w:r>
      <w:r>
        <w:t xml:space="preserve">for rare diseases funded on the PBS. </w:t>
      </w:r>
      <w:r w:rsidR="002E1505" w:rsidRPr="00E824B6">
        <w:rPr>
          <w:rFonts w:asciiTheme="minorHAnsi" w:hAnsiTheme="minorHAnsi"/>
          <w:snapToGrid w:val="0"/>
          <w:lang w:val="en-GB"/>
        </w:rPr>
        <w:t>The PBAC considered that i</w:t>
      </w:r>
      <w:r w:rsidR="0017313C" w:rsidRPr="00E824B6">
        <w:rPr>
          <w:snapToGrid w:val="0"/>
          <w:lang w:val="en-GB"/>
        </w:rPr>
        <w:t xml:space="preserve">n the context of this rare and life-limiting disease, leniolisib would be considered acceptably cost-effective </w:t>
      </w:r>
      <w:r w:rsidR="00DA783A" w:rsidRPr="00E824B6">
        <w:rPr>
          <w:snapToGrid w:val="0"/>
          <w:lang w:val="en-GB"/>
        </w:rPr>
        <w:t xml:space="preserve">at </w:t>
      </w:r>
      <w:r w:rsidR="00256D1D" w:rsidRPr="00E824B6">
        <w:rPr>
          <w:snapToGrid w:val="0"/>
          <w:lang w:val="en-GB"/>
        </w:rPr>
        <w:t xml:space="preserve">a </w:t>
      </w:r>
      <w:r w:rsidR="00A469DA" w:rsidRPr="00E824B6">
        <w:rPr>
          <w:snapToGrid w:val="0"/>
          <w:lang w:val="en-GB"/>
        </w:rPr>
        <w:t xml:space="preserve">cost of </w:t>
      </w:r>
      <w:r w:rsidR="001A03ED">
        <w:rPr>
          <w:snapToGrid w:val="0"/>
          <w:lang w:val="en-GB"/>
        </w:rPr>
        <w:t xml:space="preserve">not more than </w:t>
      </w:r>
      <w:r w:rsidR="00DA783A" w:rsidRPr="00E824B6">
        <w:rPr>
          <w:snapToGrid w:val="0"/>
          <w:lang w:val="en-GB"/>
        </w:rPr>
        <w:t>$</w:t>
      </w:r>
      <w:r w:rsidR="001F60D7" w:rsidRPr="00C740B8">
        <w:rPr>
          <w:snapToGrid w:val="0"/>
          <w:color w:val="000000"/>
          <w:w w:val="15"/>
          <w:shd w:val="solid" w:color="000000" w:fill="000000"/>
          <w:fitText w:val="-20" w:id="-629967346"/>
          <w:lang w:val="en-GB"/>
          <w14:textFill>
            <w14:solidFill>
              <w14:srgbClr w14:val="000000">
                <w14:alpha w14:val="100000"/>
              </w14:srgbClr>
            </w14:solidFill>
          </w14:textFill>
        </w:rPr>
        <w:t xml:space="preserve">|  </w:t>
      </w:r>
      <w:r w:rsidR="001F60D7" w:rsidRPr="00C740B8">
        <w:rPr>
          <w:snapToGrid w:val="0"/>
          <w:color w:val="000000"/>
          <w:spacing w:val="-69"/>
          <w:w w:val="15"/>
          <w:shd w:val="solid" w:color="000000" w:fill="000000"/>
          <w:fitText w:val="-20" w:id="-629967346"/>
          <w:lang w:val="en-GB"/>
          <w14:textFill>
            <w14:solidFill>
              <w14:srgbClr w14:val="000000">
                <w14:alpha w14:val="100000"/>
              </w14:srgbClr>
            </w14:solidFill>
          </w14:textFill>
        </w:rPr>
        <w:t>|</w:t>
      </w:r>
      <w:r w:rsidR="00DA783A" w:rsidRPr="00E824B6">
        <w:rPr>
          <w:snapToGrid w:val="0"/>
          <w:lang w:val="en-GB"/>
        </w:rPr>
        <w:t xml:space="preserve"> </w:t>
      </w:r>
      <w:r w:rsidR="0017313C" w:rsidRPr="00E824B6">
        <w:rPr>
          <w:snapToGrid w:val="0"/>
          <w:lang w:val="en-GB"/>
        </w:rPr>
        <w:t xml:space="preserve">per patient per year. </w:t>
      </w:r>
      <w:r w:rsidR="002F4A56">
        <w:rPr>
          <w:snapToGrid w:val="0"/>
          <w:lang w:val="en-GB"/>
        </w:rPr>
        <w:t>In providing this advice</w:t>
      </w:r>
      <w:r w:rsidR="004E3A3A">
        <w:rPr>
          <w:snapToGrid w:val="0"/>
          <w:lang w:val="en-GB"/>
        </w:rPr>
        <w:t xml:space="preserve">, the PBAC acknowledged </w:t>
      </w:r>
      <w:r w:rsidR="00E93725">
        <w:rPr>
          <w:snapToGrid w:val="0"/>
          <w:lang w:val="en-GB"/>
        </w:rPr>
        <w:t xml:space="preserve">that patients with </w:t>
      </w:r>
      <w:r w:rsidR="00EF2DE1">
        <w:rPr>
          <w:snapToGrid w:val="0"/>
          <w:lang w:val="en-GB"/>
        </w:rPr>
        <w:t xml:space="preserve">less severe disease manifestation than those included in the economic model </w:t>
      </w:r>
      <w:r w:rsidR="00B42118">
        <w:rPr>
          <w:snapToGrid w:val="0"/>
          <w:lang w:val="en-GB"/>
        </w:rPr>
        <w:t xml:space="preserve">may </w:t>
      </w:r>
      <w:r w:rsidR="00EF2DE1">
        <w:rPr>
          <w:snapToGrid w:val="0"/>
          <w:lang w:val="en-GB"/>
        </w:rPr>
        <w:t xml:space="preserve">be identified as a result of increasing </w:t>
      </w:r>
      <w:r w:rsidR="00EC0EC3">
        <w:rPr>
          <w:snapToGrid w:val="0"/>
          <w:lang w:val="en-GB"/>
        </w:rPr>
        <w:t>awareness and diagnosis of APDS, as assumed in the financial estimates</w:t>
      </w:r>
      <w:r w:rsidR="00C05682">
        <w:rPr>
          <w:snapToGrid w:val="0"/>
          <w:lang w:val="en-GB"/>
        </w:rPr>
        <w:t xml:space="preserve"> (see paragraph </w:t>
      </w:r>
      <w:r w:rsidR="00C05682">
        <w:rPr>
          <w:snapToGrid w:val="0"/>
          <w:lang w:val="en-GB"/>
        </w:rPr>
        <w:fldChar w:fldCharType="begin" w:fldLock="1"/>
      </w:r>
      <w:r w:rsidR="00C05682">
        <w:rPr>
          <w:snapToGrid w:val="0"/>
          <w:lang w:val="en-GB"/>
        </w:rPr>
        <w:instrText xml:space="preserve"> REF _Ref204597130 \r \h </w:instrText>
      </w:r>
      <w:r w:rsidR="00C05682">
        <w:rPr>
          <w:snapToGrid w:val="0"/>
          <w:lang w:val="en-GB"/>
        </w:rPr>
      </w:r>
      <w:r w:rsidR="00C05682">
        <w:rPr>
          <w:snapToGrid w:val="0"/>
          <w:lang w:val="en-GB"/>
        </w:rPr>
        <w:fldChar w:fldCharType="separate"/>
      </w:r>
      <w:r w:rsidR="00C05682">
        <w:rPr>
          <w:snapToGrid w:val="0"/>
          <w:lang w:val="en-GB"/>
        </w:rPr>
        <w:t>7.15</w:t>
      </w:r>
      <w:r w:rsidR="00C05682">
        <w:rPr>
          <w:snapToGrid w:val="0"/>
          <w:lang w:val="en-GB"/>
        </w:rPr>
        <w:fldChar w:fldCharType="end"/>
      </w:r>
      <w:r w:rsidR="00C05682">
        <w:rPr>
          <w:snapToGrid w:val="0"/>
          <w:lang w:val="en-GB"/>
        </w:rPr>
        <w:t>)</w:t>
      </w:r>
      <w:r w:rsidR="00EC0EC3">
        <w:rPr>
          <w:snapToGrid w:val="0"/>
          <w:lang w:val="en-GB"/>
        </w:rPr>
        <w:t>.</w:t>
      </w:r>
    </w:p>
    <w:p w14:paraId="0C6363E6" w14:textId="4BFEFCAF" w:rsidR="00D37D54" w:rsidRPr="00355891" w:rsidRDefault="00E054C2" w:rsidP="004056B7">
      <w:pPr>
        <w:widowControl w:val="0"/>
        <w:numPr>
          <w:ilvl w:val="1"/>
          <w:numId w:val="1"/>
        </w:numPr>
        <w:spacing w:after="120"/>
        <w:rPr>
          <w:snapToGrid w:val="0"/>
          <w:lang w:val="en-GB"/>
        </w:rPr>
      </w:pPr>
      <w:bookmarkStart w:id="66" w:name="_Ref204597130"/>
      <w:r w:rsidRPr="00355891">
        <w:rPr>
          <w:snapToGrid w:val="0"/>
          <w:lang w:val="en-GB"/>
        </w:rPr>
        <w:t xml:space="preserve">The PBAC noted the submission used an epidemiological approach to estimate the financial impact of listing leniolisib. </w:t>
      </w:r>
      <w:r w:rsidR="00E24B92" w:rsidRPr="00355891">
        <w:rPr>
          <w:snapToGrid w:val="0"/>
          <w:lang w:val="en-GB"/>
        </w:rPr>
        <w:t xml:space="preserve">The PBAC considered the </w:t>
      </w:r>
      <w:r w:rsidR="003567A5" w:rsidRPr="00355891">
        <w:rPr>
          <w:snapToGrid w:val="0"/>
          <w:lang w:val="en-GB"/>
        </w:rPr>
        <w:t xml:space="preserve">financial estimates </w:t>
      </w:r>
      <w:r w:rsidR="000D5D02" w:rsidRPr="00355891">
        <w:rPr>
          <w:snapToGrid w:val="0"/>
          <w:lang w:val="en-GB"/>
        </w:rPr>
        <w:t xml:space="preserve">relatively </w:t>
      </w:r>
      <w:r w:rsidR="003567A5" w:rsidRPr="00355891">
        <w:rPr>
          <w:snapToGrid w:val="0"/>
          <w:lang w:val="en-GB"/>
        </w:rPr>
        <w:t xml:space="preserve">certain given the </w:t>
      </w:r>
      <w:r w:rsidR="00E24B92" w:rsidRPr="00355891">
        <w:rPr>
          <w:snapToGrid w:val="0"/>
          <w:lang w:val="en-GB"/>
        </w:rPr>
        <w:t xml:space="preserve">diagnosis of APDS is </w:t>
      </w:r>
      <w:r w:rsidR="000D5D02" w:rsidRPr="00355891">
        <w:rPr>
          <w:snapToGrid w:val="0"/>
          <w:lang w:val="en-GB"/>
        </w:rPr>
        <w:t>well-defined</w:t>
      </w:r>
      <w:r w:rsidR="003567A5" w:rsidRPr="00355891">
        <w:rPr>
          <w:snapToGrid w:val="0"/>
          <w:lang w:val="en-GB"/>
        </w:rPr>
        <w:t>,</w:t>
      </w:r>
      <w:r w:rsidR="00E24B92" w:rsidRPr="00355891">
        <w:rPr>
          <w:snapToGrid w:val="0"/>
          <w:lang w:val="en-GB"/>
        </w:rPr>
        <w:t xml:space="preserve"> the </w:t>
      </w:r>
      <w:r w:rsidR="002C5C4D">
        <w:rPr>
          <w:snapToGrid w:val="0"/>
          <w:lang w:val="en-GB"/>
        </w:rPr>
        <w:t xml:space="preserve">number of </w:t>
      </w:r>
      <w:r w:rsidR="00E24B92" w:rsidRPr="00355891">
        <w:rPr>
          <w:snapToGrid w:val="0"/>
          <w:lang w:val="en-GB"/>
        </w:rPr>
        <w:t>patient</w:t>
      </w:r>
      <w:r w:rsidR="002C5C4D">
        <w:rPr>
          <w:snapToGrid w:val="0"/>
          <w:lang w:val="en-GB"/>
        </w:rPr>
        <w:t>s</w:t>
      </w:r>
      <w:r w:rsidR="00E24B92" w:rsidRPr="00355891">
        <w:rPr>
          <w:snapToGrid w:val="0"/>
          <w:lang w:val="en-GB"/>
        </w:rPr>
        <w:t xml:space="preserve"> is known</w:t>
      </w:r>
      <w:r w:rsidR="004A1F7D" w:rsidRPr="00355891">
        <w:rPr>
          <w:snapToGrid w:val="0"/>
          <w:lang w:val="en-GB"/>
        </w:rPr>
        <w:t xml:space="preserve"> due to the </w:t>
      </w:r>
      <w:r w:rsidR="00EB1ACE" w:rsidRPr="00355891">
        <w:rPr>
          <w:snapToGrid w:val="0"/>
          <w:lang w:val="en-GB"/>
        </w:rPr>
        <w:t>registry,</w:t>
      </w:r>
      <w:r w:rsidR="00E24B92" w:rsidRPr="00355891">
        <w:rPr>
          <w:snapToGrid w:val="0"/>
          <w:lang w:val="en-GB"/>
        </w:rPr>
        <w:t xml:space="preserve"> and </w:t>
      </w:r>
      <w:r w:rsidR="004A1F7D" w:rsidRPr="00355891">
        <w:rPr>
          <w:snapToGrid w:val="0"/>
          <w:lang w:val="en-GB"/>
        </w:rPr>
        <w:t xml:space="preserve">it is highly likely </w:t>
      </w:r>
      <w:r w:rsidR="003567A5" w:rsidRPr="00355891">
        <w:rPr>
          <w:snapToGrid w:val="0"/>
          <w:lang w:val="en-GB"/>
        </w:rPr>
        <w:t xml:space="preserve">patients </w:t>
      </w:r>
      <w:r w:rsidR="004A1F7D" w:rsidRPr="00355891">
        <w:rPr>
          <w:snapToGrid w:val="0"/>
          <w:lang w:val="en-GB"/>
        </w:rPr>
        <w:t xml:space="preserve">will </w:t>
      </w:r>
      <w:r w:rsidR="009009ED">
        <w:rPr>
          <w:snapToGrid w:val="0"/>
          <w:lang w:val="en-GB"/>
        </w:rPr>
        <w:t>remain</w:t>
      </w:r>
      <w:r w:rsidR="009009ED" w:rsidRPr="00355891">
        <w:rPr>
          <w:snapToGrid w:val="0"/>
          <w:lang w:val="en-GB"/>
        </w:rPr>
        <w:t xml:space="preserve"> </w:t>
      </w:r>
      <w:r w:rsidR="00E24B92" w:rsidRPr="00355891">
        <w:rPr>
          <w:snapToGrid w:val="0"/>
          <w:lang w:val="en-GB"/>
        </w:rPr>
        <w:t xml:space="preserve">on treatment. </w:t>
      </w:r>
      <w:r w:rsidR="00081D59" w:rsidRPr="00355891">
        <w:rPr>
          <w:snapToGrid w:val="0"/>
          <w:lang w:val="en-GB"/>
        </w:rPr>
        <w:t>The PBAC noted the</w:t>
      </w:r>
      <w:r w:rsidR="00E60608" w:rsidRPr="00355891">
        <w:rPr>
          <w:snapToGrid w:val="0"/>
          <w:lang w:val="en-GB"/>
        </w:rPr>
        <w:t xml:space="preserve"> </w:t>
      </w:r>
      <w:r w:rsidR="00CA423B" w:rsidRPr="00355891">
        <w:rPr>
          <w:snapToGrid w:val="0"/>
          <w:lang w:val="en-GB"/>
        </w:rPr>
        <w:t xml:space="preserve">estimated </w:t>
      </w:r>
      <w:r w:rsidR="00AF4D38" w:rsidRPr="00355891">
        <w:rPr>
          <w:snapToGrid w:val="0"/>
          <w:lang w:val="en-GB"/>
        </w:rPr>
        <w:t xml:space="preserve">number of </w:t>
      </w:r>
      <w:r w:rsidR="00CA423B" w:rsidRPr="00355891">
        <w:rPr>
          <w:snapToGrid w:val="0"/>
          <w:lang w:val="en-GB"/>
        </w:rPr>
        <w:t>patient</w:t>
      </w:r>
      <w:r w:rsidR="00AF4D38" w:rsidRPr="00355891">
        <w:rPr>
          <w:snapToGrid w:val="0"/>
          <w:lang w:val="en-GB"/>
        </w:rPr>
        <w:t>s</w:t>
      </w:r>
      <w:r w:rsidR="00CA423B" w:rsidRPr="00355891">
        <w:rPr>
          <w:snapToGrid w:val="0"/>
          <w:lang w:val="en-GB"/>
        </w:rPr>
        <w:t xml:space="preserve"> in year 1 </w:t>
      </w:r>
      <w:r w:rsidR="00AF4D38" w:rsidRPr="00355891">
        <w:rPr>
          <w:snapToGrid w:val="0"/>
          <w:lang w:val="en-GB"/>
        </w:rPr>
        <w:t xml:space="preserve">of the listing </w:t>
      </w:r>
      <w:r w:rsidR="00CA423B" w:rsidRPr="00355891">
        <w:rPr>
          <w:snapToGrid w:val="0"/>
          <w:lang w:val="en-GB"/>
        </w:rPr>
        <w:t>w</w:t>
      </w:r>
      <w:r w:rsidR="00AF4D38" w:rsidRPr="00355891">
        <w:rPr>
          <w:snapToGrid w:val="0"/>
          <w:lang w:val="en-GB"/>
        </w:rPr>
        <w:t>as</w:t>
      </w:r>
      <w:r w:rsidR="00CA423B" w:rsidRPr="00355891">
        <w:rPr>
          <w:snapToGrid w:val="0"/>
          <w:lang w:val="en-GB"/>
        </w:rPr>
        <w:t xml:space="preserve"> higher than the </w:t>
      </w:r>
      <w:r w:rsidR="00AF4D38" w:rsidRPr="00355891">
        <w:rPr>
          <w:snapToGrid w:val="0"/>
          <w:lang w:val="en-GB"/>
        </w:rPr>
        <w:t xml:space="preserve">number of known Australian APDS </w:t>
      </w:r>
      <w:r w:rsidR="00EB1ACE" w:rsidRPr="00355891">
        <w:rPr>
          <w:snapToGrid w:val="0"/>
          <w:lang w:val="en-GB"/>
        </w:rPr>
        <w:t>patients but</w:t>
      </w:r>
      <w:r w:rsidR="00AF4D38" w:rsidRPr="00355891">
        <w:rPr>
          <w:snapToGrid w:val="0"/>
          <w:lang w:val="en-GB"/>
        </w:rPr>
        <w:t xml:space="preserve"> was consistent with </w:t>
      </w:r>
      <w:r w:rsidR="00837793" w:rsidRPr="00355891">
        <w:rPr>
          <w:snapToGrid w:val="0"/>
          <w:lang w:val="en-GB"/>
        </w:rPr>
        <w:t xml:space="preserve">estimates that included patients </w:t>
      </w:r>
      <w:r w:rsidR="00837793" w:rsidRPr="00126A1B">
        <w:t>suspected of having APDS</w:t>
      </w:r>
      <w:r w:rsidR="002E7ED6">
        <w:t xml:space="preserve">. </w:t>
      </w:r>
      <w:r w:rsidR="00D37D54" w:rsidRPr="00355891">
        <w:rPr>
          <w:snapToGrid w:val="0"/>
          <w:lang w:val="en-GB"/>
        </w:rPr>
        <w:t>The PBAC considered that with greater awareness and testing of the disease and the likely identification of less severe cases, usage could increase over the forward years, as was captured in the submission’s prevalence assumptions.</w:t>
      </w:r>
      <w:r w:rsidR="002E7ED6" w:rsidRPr="00355891">
        <w:rPr>
          <w:snapToGrid w:val="0"/>
          <w:lang w:val="en-GB"/>
        </w:rPr>
        <w:t xml:space="preserve"> The PBAC considered that the </w:t>
      </w:r>
      <w:r w:rsidR="00FD5227" w:rsidRPr="00355891">
        <w:rPr>
          <w:snapToGrid w:val="0"/>
          <w:lang w:val="en-GB"/>
        </w:rPr>
        <w:t xml:space="preserve">submission’s estimated patient numbers were reasonable. </w:t>
      </w:r>
      <w:r w:rsidR="00006873" w:rsidRPr="00355891">
        <w:rPr>
          <w:snapToGrid w:val="0"/>
          <w:lang w:val="en-GB"/>
        </w:rPr>
        <w:t xml:space="preserve">The PBAC noted that </w:t>
      </w:r>
      <w:r w:rsidR="00040D4B" w:rsidRPr="00355891">
        <w:rPr>
          <w:snapToGrid w:val="0"/>
          <w:lang w:val="en-GB"/>
        </w:rPr>
        <w:t xml:space="preserve">the </w:t>
      </w:r>
      <w:r w:rsidR="004E6564" w:rsidRPr="00355891">
        <w:rPr>
          <w:snapToGrid w:val="0"/>
          <w:lang w:val="en-GB"/>
        </w:rPr>
        <w:t xml:space="preserve">financial </w:t>
      </w:r>
      <w:r w:rsidR="00040D4B" w:rsidRPr="00355891">
        <w:rPr>
          <w:snapToGrid w:val="0"/>
          <w:lang w:val="en-GB"/>
        </w:rPr>
        <w:t xml:space="preserve">estimates require </w:t>
      </w:r>
      <w:r w:rsidR="00006873" w:rsidRPr="00355891">
        <w:rPr>
          <w:snapToGrid w:val="0"/>
          <w:lang w:val="en-GB"/>
        </w:rPr>
        <w:t xml:space="preserve">corrections </w:t>
      </w:r>
      <w:r w:rsidR="00A206D0">
        <w:rPr>
          <w:snapToGrid w:val="0"/>
          <w:lang w:val="en-GB"/>
        </w:rPr>
        <w:t>(</w:t>
      </w:r>
      <w:r w:rsidR="00A206D0">
        <w:t xml:space="preserve">as per paragraph </w:t>
      </w:r>
      <w:r w:rsidR="00A206D0">
        <w:fldChar w:fldCharType="begin" w:fldLock="1"/>
      </w:r>
      <w:r w:rsidR="00A206D0">
        <w:instrText xml:space="preserve"> REF _Ref204247048 \r \h </w:instrText>
      </w:r>
      <w:r w:rsidR="00A206D0">
        <w:fldChar w:fldCharType="separate"/>
      </w:r>
      <w:r w:rsidR="00301861">
        <w:t>6.80</w:t>
      </w:r>
      <w:r w:rsidR="00A206D0">
        <w:fldChar w:fldCharType="end"/>
      </w:r>
      <w:r w:rsidR="00A206D0">
        <w:t xml:space="preserve">) </w:t>
      </w:r>
      <w:r w:rsidR="00040D4B" w:rsidRPr="00355891">
        <w:rPr>
          <w:snapToGrid w:val="0"/>
          <w:lang w:val="en-GB"/>
        </w:rPr>
        <w:t>to t</w:t>
      </w:r>
      <w:r w:rsidR="00FD5759" w:rsidRPr="00FE7861">
        <w:t xml:space="preserve">he </w:t>
      </w:r>
      <w:r w:rsidR="00040D4B">
        <w:t xml:space="preserve">application of the </w:t>
      </w:r>
      <w:r w:rsidR="00FD5759" w:rsidRPr="00FE7861">
        <w:t>annual discontinuation rate</w:t>
      </w:r>
      <w:r w:rsidR="003E519A">
        <w:t xml:space="preserve"> and </w:t>
      </w:r>
      <w:r w:rsidR="00040D4B">
        <w:t>u</w:t>
      </w:r>
      <w:r w:rsidR="00FD5759" w:rsidRPr="00FE7861">
        <w:t>ptake rates</w:t>
      </w:r>
      <w:r w:rsidR="004E6564">
        <w:t xml:space="preserve">, </w:t>
      </w:r>
      <w:r w:rsidR="00A206D0">
        <w:t xml:space="preserve">and </w:t>
      </w:r>
      <w:r w:rsidR="003E519A">
        <w:t>year 1 utilisation should be increased from 50% to 100%</w:t>
      </w:r>
      <w:r w:rsidR="00DD103F">
        <w:t>. In addition</w:t>
      </w:r>
      <w:r w:rsidR="00A206D0">
        <w:t>,</w:t>
      </w:r>
      <w:r w:rsidR="003E519A">
        <w:t xml:space="preserve"> </w:t>
      </w:r>
      <w:r w:rsidR="00355891">
        <w:t xml:space="preserve">the format of the </w:t>
      </w:r>
      <w:r w:rsidR="00DD103F">
        <w:t xml:space="preserve">calculations </w:t>
      </w:r>
      <w:r w:rsidR="00185F3D">
        <w:t xml:space="preserve">should be revised to conform to </w:t>
      </w:r>
      <w:r w:rsidR="00701B23">
        <w:t xml:space="preserve">standard </w:t>
      </w:r>
      <w:r w:rsidR="00185F3D">
        <w:t>requirement</w:t>
      </w:r>
      <w:r w:rsidR="00701B23">
        <w:t>s.</w:t>
      </w:r>
      <w:bookmarkEnd w:id="66"/>
      <w:r w:rsidR="00FD5759" w:rsidRPr="00FE7861">
        <w:t xml:space="preserve"> </w:t>
      </w:r>
    </w:p>
    <w:p w14:paraId="52BDC598" w14:textId="66C97EAA" w:rsidR="008D5B1D" w:rsidRDefault="008D5B1D" w:rsidP="00E84E7D">
      <w:pPr>
        <w:pStyle w:val="3-BodyText"/>
      </w:pPr>
      <w:r>
        <w:rPr>
          <w:snapToGrid w:val="0"/>
          <w:lang w:val="en-GB"/>
        </w:rPr>
        <w:t xml:space="preserve">The PBAC considered that, with the amendments to the restriction criteria outlined in </w:t>
      </w:r>
      <w:r w:rsidR="001D7091">
        <w:rPr>
          <w:snapToGrid w:val="0"/>
          <w:lang w:val="en-GB"/>
        </w:rPr>
        <w:t>Section 3</w:t>
      </w:r>
      <w:r>
        <w:rPr>
          <w:snapToGrid w:val="0"/>
          <w:lang w:val="en-GB"/>
        </w:rPr>
        <w:t>, there was minimal risk of use outside the proposed patient population and a risk sharing arrangement was not required</w:t>
      </w:r>
      <w:r w:rsidR="00FA1449">
        <w:rPr>
          <w:snapToGrid w:val="0"/>
          <w:lang w:val="en-GB"/>
        </w:rPr>
        <w:t xml:space="preserve"> where the cost of </w:t>
      </w:r>
      <w:r w:rsidR="002C1192">
        <w:rPr>
          <w:snapToGrid w:val="0"/>
          <w:lang w:val="en-GB"/>
        </w:rPr>
        <w:t xml:space="preserve">leniolisib is </w:t>
      </w:r>
      <w:r w:rsidR="00982B1C">
        <w:rPr>
          <w:snapToGrid w:val="0"/>
          <w:lang w:val="en-GB"/>
        </w:rPr>
        <w:t xml:space="preserve">reduced </w:t>
      </w:r>
      <w:r w:rsidR="004A2FA8">
        <w:rPr>
          <w:snapToGrid w:val="0"/>
          <w:lang w:val="en-GB"/>
        </w:rPr>
        <w:t>to an acceptably cost-effective</w:t>
      </w:r>
      <w:r w:rsidR="007738BE">
        <w:rPr>
          <w:snapToGrid w:val="0"/>
          <w:lang w:val="en-GB"/>
        </w:rPr>
        <w:t xml:space="preserve"> level</w:t>
      </w:r>
      <w:r>
        <w:rPr>
          <w:snapToGrid w:val="0"/>
          <w:lang w:val="en-GB"/>
        </w:rPr>
        <w:t xml:space="preserve">. </w:t>
      </w:r>
      <w:r w:rsidR="007A75B6">
        <w:rPr>
          <w:snapToGrid w:val="0"/>
          <w:lang w:val="en-GB"/>
        </w:rPr>
        <w:t>However, t</w:t>
      </w:r>
      <w:r w:rsidR="007A75B6" w:rsidRPr="00997561">
        <w:rPr>
          <w:snapToGrid w:val="0"/>
          <w:lang w:val="en-GB"/>
        </w:rPr>
        <w:t xml:space="preserve">he PBAC </w:t>
      </w:r>
      <w:r w:rsidR="007A75B6">
        <w:rPr>
          <w:snapToGrid w:val="0"/>
          <w:lang w:val="en-GB"/>
        </w:rPr>
        <w:t xml:space="preserve">advised </w:t>
      </w:r>
      <w:r w:rsidR="007A75B6" w:rsidRPr="00997561">
        <w:rPr>
          <w:snapToGrid w:val="0"/>
          <w:lang w:val="en-GB"/>
        </w:rPr>
        <w:t xml:space="preserve">that the utilisation of leniolisib should be reviewed once listed on the PBS to ensure patient </w:t>
      </w:r>
      <w:r w:rsidR="007A75B6" w:rsidRPr="00E84E7D">
        <w:t>numbers reflect the estimates in the submission</w:t>
      </w:r>
      <w:r w:rsidR="00F702FC">
        <w:t>, given that the estimates assumed increasing prevalence, and there is potential for identification and treatment of patients with less severe disease</w:t>
      </w:r>
      <w:r w:rsidR="007A75B6" w:rsidRPr="00E84E7D">
        <w:t>.</w:t>
      </w:r>
      <w:r w:rsidR="005703A2">
        <w:t xml:space="preserve"> The PBAC considered more defined restriction criteria for</w:t>
      </w:r>
      <w:r w:rsidR="00624C92">
        <w:t xml:space="preserve"> initiation and continuation of treatment may be required if utilisation leniolisib is substantially above the estimates.</w:t>
      </w:r>
      <w:r w:rsidR="005703A2">
        <w:t xml:space="preserve"> </w:t>
      </w:r>
      <w:r w:rsidRPr="00E84E7D">
        <w:t xml:space="preserve"> </w:t>
      </w:r>
    </w:p>
    <w:p w14:paraId="05AD96C0" w14:textId="468668DD" w:rsidR="00DD22E1" w:rsidRPr="00E84E7D" w:rsidRDefault="00DD22E1" w:rsidP="00E84E7D">
      <w:pPr>
        <w:pStyle w:val="3-BodyText"/>
      </w:pPr>
      <w:r w:rsidRPr="00E84E7D">
        <w:t xml:space="preserve">The PBAC recommended that </w:t>
      </w:r>
      <w:r w:rsidR="001D4FBD" w:rsidRPr="00E84E7D">
        <w:t>leniolisib</w:t>
      </w:r>
      <w:r w:rsidRPr="00E84E7D">
        <w:t xml:space="preserve"> should </w:t>
      </w:r>
      <w:r w:rsidR="001D4FBD" w:rsidRPr="00E84E7D">
        <w:t xml:space="preserve">not </w:t>
      </w:r>
      <w:r w:rsidRPr="00E84E7D">
        <w:t xml:space="preserve">be treated as interchangeable on an individual patient basis with </w:t>
      </w:r>
      <w:r w:rsidR="00843764" w:rsidRPr="00E84E7D">
        <w:t>any other drugs</w:t>
      </w:r>
      <w:r w:rsidR="00C24152">
        <w:t xml:space="preserve"> </w:t>
      </w:r>
      <w:r w:rsidR="00C24152" w:rsidRPr="001C25C2">
        <w:rPr>
          <w:color w:val="000000" w:themeColor="text1"/>
        </w:rPr>
        <w:t xml:space="preserve">under Section 101 (3BA) of the </w:t>
      </w:r>
      <w:r w:rsidR="00C24152" w:rsidRPr="001C25C2">
        <w:rPr>
          <w:i/>
          <w:color w:val="000000" w:themeColor="text1"/>
        </w:rPr>
        <w:t>National Health Act 1953</w:t>
      </w:r>
      <w:r w:rsidRPr="00E84E7D">
        <w:t>.</w:t>
      </w:r>
    </w:p>
    <w:p w14:paraId="51BC2217" w14:textId="32F19C97" w:rsidR="004F7B59" w:rsidRPr="00115A47" w:rsidRDefault="00DD22E1" w:rsidP="00E84E7D">
      <w:pPr>
        <w:pStyle w:val="3-BodyText"/>
      </w:pPr>
      <w:r w:rsidRPr="00E84E7D">
        <w:t xml:space="preserve">The PBAC advised that </w:t>
      </w:r>
      <w:r w:rsidR="002E1953" w:rsidRPr="00E84E7D">
        <w:t>leniolisib</w:t>
      </w:r>
      <w:r w:rsidRPr="00E84E7D">
        <w:t xml:space="preserve"> is not suitable for prescribing by nurse practitioners. </w:t>
      </w:r>
      <w:r w:rsidR="00F574E2" w:rsidRPr="00D8553E">
        <w:rPr>
          <w:bCs/>
          <w:snapToGrid w:val="0"/>
          <w:lang w:val="en-GB"/>
        </w:rPr>
        <w:t xml:space="preserve">The PBAC advised that </w:t>
      </w:r>
      <w:r w:rsidR="00F574E2">
        <w:rPr>
          <w:bCs/>
          <w:snapToGrid w:val="0"/>
          <w:lang w:val="en-GB"/>
        </w:rPr>
        <w:t>leniolisib</w:t>
      </w:r>
      <w:r w:rsidR="00F574E2" w:rsidRPr="00D8553E">
        <w:rPr>
          <w:bCs/>
          <w:snapToGrid w:val="0"/>
          <w:lang w:val="en-GB"/>
        </w:rPr>
        <w:t xml:space="preserve"> is suitable</w:t>
      </w:r>
      <w:r w:rsidR="00F574E2">
        <w:rPr>
          <w:bCs/>
          <w:snapToGrid w:val="0"/>
          <w:lang w:val="en-GB"/>
        </w:rPr>
        <w:t xml:space="preserve"> for prescribing by medical practitioners only.</w:t>
      </w:r>
    </w:p>
    <w:p w14:paraId="0ACC3A69" w14:textId="77777777" w:rsidR="00115A47" w:rsidRPr="00E84E7D" w:rsidRDefault="00115A47" w:rsidP="00115A47">
      <w:pPr>
        <w:pStyle w:val="3-BodyText"/>
      </w:pPr>
      <w:r>
        <w:t>The PBAC advised the Early Supply Rule should not apply to leniolisib.</w:t>
      </w:r>
    </w:p>
    <w:p w14:paraId="029E1C20" w14:textId="07889062" w:rsidR="00DD22E1" w:rsidRPr="004F7B59" w:rsidRDefault="00DD22E1" w:rsidP="004F7B59">
      <w:pPr>
        <w:widowControl w:val="0"/>
        <w:numPr>
          <w:ilvl w:val="1"/>
          <w:numId w:val="1"/>
        </w:numPr>
        <w:spacing w:after="120"/>
        <w:rPr>
          <w:rFonts w:asciiTheme="minorHAnsi" w:hAnsiTheme="minorHAnsi"/>
          <w:bCs/>
          <w:snapToGrid w:val="0"/>
          <w:lang w:val="en-GB"/>
        </w:rPr>
      </w:pPr>
      <w:r w:rsidRPr="004F7B59">
        <w:rPr>
          <w:rFonts w:asciiTheme="minorHAnsi" w:hAnsiTheme="minorHAnsi" w:cstheme="minorHAnsi"/>
          <w:lang w:val="en-GB"/>
        </w:rPr>
        <w:t xml:space="preserve">The PBAC found that the criteria prescribed by the </w:t>
      </w:r>
      <w:r w:rsidRPr="004F7B59">
        <w:rPr>
          <w:rFonts w:asciiTheme="minorHAnsi" w:hAnsiTheme="minorHAnsi" w:cstheme="minorHAnsi"/>
          <w:i/>
          <w:lang w:val="en-GB"/>
        </w:rPr>
        <w:t>National Health (Pharmaceuticals and Vaccines – Cost Recovery) Regulations 2022</w:t>
      </w:r>
      <w:r w:rsidRPr="004F7B59">
        <w:rPr>
          <w:rFonts w:asciiTheme="minorHAnsi" w:hAnsiTheme="minorHAnsi" w:cstheme="minorHAnsi"/>
          <w:lang w:val="en-GB"/>
        </w:rPr>
        <w:t xml:space="preserve"> for Pricing Pathway A were met. </w:t>
      </w:r>
      <w:r w:rsidR="00EB1ACE" w:rsidRPr="004F7B59">
        <w:rPr>
          <w:rFonts w:asciiTheme="minorHAnsi" w:hAnsiTheme="minorHAnsi" w:cstheme="minorHAnsi"/>
          <w:lang w:val="en-GB"/>
        </w:rPr>
        <w:t>Specifically,</w:t>
      </w:r>
      <w:r w:rsidRPr="004F7B59">
        <w:rPr>
          <w:rFonts w:asciiTheme="minorHAnsi" w:hAnsiTheme="minorHAnsi" w:cstheme="minorHAnsi"/>
          <w:lang w:val="en-GB"/>
        </w:rPr>
        <w:t xml:space="preserve"> the PBAC found that in the circumstances of its recommendation for </w:t>
      </w:r>
      <w:r w:rsidR="004F7B59">
        <w:rPr>
          <w:rFonts w:asciiTheme="minorHAnsi" w:hAnsiTheme="minorHAnsi" w:cstheme="minorHAnsi"/>
          <w:lang w:val="en-GB"/>
        </w:rPr>
        <w:t>leniolisib</w:t>
      </w:r>
      <w:r w:rsidRPr="004F7B59">
        <w:rPr>
          <w:rFonts w:asciiTheme="minorHAnsi" w:hAnsiTheme="minorHAnsi" w:cstheme="minorHAnsi"/>
          <w:lang w:val="en-GB"/>
        </w:rPr>
        <w:t>:</w:t>
      </w:r>
    </w:p>
    <w:p w14:paraId="06A9B6F1" w14:textId="7373E0A6" w:rsidR="00DD22E1" w:rsidRPr="00763DFB" w:rsidRDefault="00DD22E1" w:rsidP="002F61DF">
      <w:pPr>
        <w:widowControl w:val="0"/>
        <w:numPr>
          <w:ilvl w:val="1"/>
          <w:numId w:val="25"/>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expected </w:t>
      </w:r>
      <w:r w:rsidR="00741AC6">
        <w:rPr>
          <w:rFonts w:asciiTheme="minorHAnsi" w:hAnsiTheme="minorHAnsi" w:cstheme="minorHAnsi"/>
          <w:lang w:val="en-GB"/>
        </w:rPr>
        <w:t xml:space="preserve">to </w:t>
      </w:r>
      <w:r w:rsidR="00F857ED" w:rsidRPr="002C1723">
        <w:rPr>
          <w:snapToGrid w:val="0"/>
          <w:lang w:val="en-GB"/>
        </w:rPr>
        <w:t xml:space="preserve">result in </w:t>
      </w:r>
      <w:r w:rsidR="00741AC6">
        <w:rPr>
          <w:snapToGrid w:val="0"/>
          <w:lang w:val="en-GB"/>
        </w:rPr>
        <w:t xml:space="preserve">substantial and </w:t>
      </w:r>
      <w:r w:rsidR="00F857ED" w:rsidRPr="002C1723">
        <w:rPr>
          <w:snapToGrid w:val="0"/>
          <w:lang w:val="en-GB"/>
        </w:rPr>
        <w:t xml:space="preserve">clinically meaningful improvements </w:t>
      </w:r>
      <w:r w:rsidR="00162342" w:rsidRPr="00763DFB">
        <w:rPr>
          <w:rFonts w:asciiTheme="minorHAnsi" w:hAnsiTheme="minorHAnsi" w:cstheme="minorHAnsi"/>
          <w:lang w:val="en-GB"/>
        </w:rPr>
        <w:t>over</w:t>
      </w:r>
      <w:r w:rsidR="00162342">
        <w:rPr>
          <w:rFonts w:asciiTheme="minorHAnsi" w:hAnsiTheme="minorHAnsi" w:cstheme="minorHAnsi"/>
          <w:lang w:val="en-GB"/>
        </w:rPr>
        <w:t xml:space="preserve"> SoC</w:t>
      </w:r>
      <w:r w:rsidR="00162342" w:rsidRPr="002C1723">
        <w:rPr>
          <w:snapToGrid w:val="0"/>
          <w:lang w:val="en-GB"/>
        </w:rPr>
        <w:t xml:space="preserve"> </w:t>
      </w:r>
      <w:r w:rsidR="00F857ED" w:rsidRPr="002C1723">
        <w:rPr>
          <w:snapToGrid w:val="0"/>
          <w:lang w:val="en-GB"/>
        </w:rPr>
        <w:t>in patient-relevant outcomes such as infections, lung disease, lymphadenopathy and risk of lymphoma</w:t>
      </w:r>
      <w:r w:rsidRPr="00763DFB">
        <w:rPr>
          <w:rFonts w:asciiTheme="minorHAnsi" w:hAnsiTheme="minorHAnsi" w:cstheme="minorHAnsi"/>
          <w:lang w:val="en-GB"/>
        </w:rPr>
        <w:t xml:space="preserve">; </w:t>
      </w:r>
    </w:p>
    <w:p w14:paraId="37DC01B0" w14:textId="0FADE840" w:rsidR="00DD22E1" w:rsidRPr="00763DFB" w:rsidRDefault="00DD22E1" w:rsidP="002F61DF">
      <w:pPr>
        <w:widowControl w:val="0"/>
        <w:numPr>
          <w:ilvl w:val="1"/>
          <w:numId w:val="25"/>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sidR="00342BF6" w:rsidRPr="00342BF6">
        <w:rPr>
          <w:rFonts w:asciiTheme="minorHAnsi" w:hAnsiTheme="minorHAnsi" w:cstheme="minorHAnsi"/>
        </w:rPr>
        <w:t xml:space="preserve">as there are currently no </w:t>
      </w:r>
      <w:r w:rsidR="00581A4E">
        <w:rPr>
          <w:rFonts w:asciiTheme="minorHAnsi" w:hAnsiTheme="minorHAnsi" w:cstheme="minorHAnsi"/>
        </w:rPr>
        <w:t>disease-modifying</w:t>
      </w:r>
      <w:r w:rsidR="00E60413">
        <w:rPr>
          <w:rFonts w:asciiTheme="minorHAnsi" w:hAnsiTheme="minorHAnsi" w:cstheme="minorHAnsi"/>
        </w:rPr>
        <w:t xml:space="preserve"> therapies available</w:t>
      </w:r>
      <w:r w:rsidRPr="00763DFB">
        <w:rPr>
          <w:rFonts w:asciiTheme="minorHAnsi" w:hAnsiTheme="minorHAnsi" w:cstheme="minorHAnsi"/>
          <w:lang w:val="en-GB"/>
        </w:rPr>
        <w:t>;</w:t>
      </w:r>
    </w:p>
    <w:p w14:paraId="319FFBCF" w14:textId="26E10458" w:rsidR="00DD22E1" w:rsidRPr="00596CB1" w:rsidRDefault="00DD22E1" w:rsidP="002F61DF">
      <w:pPr>
        <w:widowControl w:val="0"/>
        <w:numPr>
          <w:ilvl w:val="1"/>
          <w:numId w:val="25"/>
        </w:numPr>
        <w:spacing w:after="120"/>
        <w:rPr>
          <w:rFonts w:asciiTheme="minorHAnsi" w:hAnsiTheme="minorHAnsi" w:cstheme="minorHAnsi"/>
          <w:lang w:val="en-GB"/>
        </w:rPr>
      </w:pPr>
      <w:r w:rsidRPr="00596CB1">
        <w:rPr>
          <w:rFonts w:asciiTheme="minorHAnsi" w:hAnsiTheme="minorHAnsi" w:cstheme="minorHAnsi"/>
          <w:lang w:val="en-GB"/>
        </w:rPr>
        <w:t>It would be in the public interest for the subsequent pricing application to be progressed under Pricing Pathway A on the basis of the preceding findings.</w:t>
      </w:r>
    </w:p>
    <w:p w14:paraId="71EE33EC" w14:textId="1A0D2E2A" w:rsidR="00DD22E1" w:rsidRPr="00F95CA2" w:rsidRDefault="00DD22E1" w:rsidP="00DD22E1">
      <w:pPr>
        <w:widowControl w:val="0"/>
        <w:numPr>
          <w:ilvl w:val="1"/>
          <w:numId w:val="1"/>
        </w:numPr>
        <w:spacing w:after="120"/>
        <w:rPr>
          <w:rFonts w:asciiTheme="minorHAnsi" w:hAnsiTheme="minorHAnsi"/>
          <w:bCs/>
          <w:i/>
          <w:snapToGrid w:val="0"/>
          <w:lang w:val="en-GB"/>
        </w:rPr>
      </w:pPr>
      <w:r w:rsidRPr="004A4D7D">
        <w:rPr>
          <w:rFonts w:asciiTheme="minorHAnsi" w:hAnsiTheme="minorHAnsi"/>
          <w:bCs/>
          <w:snapToGrid w:val="0"/>
          <w:lang w:val="en-GB"/>
        </w:rPr>
        <w:t>The PBAC noted that this submission is not eligible for an Independent Review</w:t>
      </w:r>
      <w:r w:rsidR="00B80571">
        <w:rPr>
          <w:rFonts w:asciiTheme="minorHAnsi" w:hAnsiTheme="minorHAnsi"/>
          <w:bCs/>
          <w:snapToGrid w:val="0"/>
          <w:lang w:val="en-GB"/>
        </w:rPr>
        <w:t xml:space="preserve"> as it received a positive PBAC recommendation</w:t>
      </w:r>
      <w:r w:rsidRPr="004A4D7D">
        <w:rPr>
          <w:rFonts w:asciiTheme="minorHAnsi" w:hAnsiTheme="minorHAnsi"/>
          <w:bCs/>
          <w:snapToGrid w:val="0"/>
          <w:lang w:val="en-GB"/>
        </w:rPr>
        <w:t>.</w:t>
      </w:r>
    </w:p>
    <w:p w14:paraId="5A4AC757" w14:textId="77777777" w:rsidR="00DD22E1" w:rsidRPr="00525B39" w:rsidRDefault="00DD22E1" w:rsidP="00DD22E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1CE2FF2" w14:textId="19CFDAB1" w:rsidR="00DD22E1" w:rsidRPr="00525B39" w:rsidRDefault="00DD22E1" w:rsidP="00DD22E1">
      <w:pPr>
        <w:rPr>
          <w:rFonts w:asciiTheme="minorHAnsi" w:hAnsiTheme="minorHAnsi"/>
          <w:bCs/>
          <w:snapToGrid w:val="0"/>
          <w:lang w:val="en-GB"/>
        </w:rPr>
      </w:pPr>
      <w:r w:rsidRPr="00525B39">
        <w:rPr>
          <w:rFonts w:asciiTheme="minorHAnsi" w:hAnsiTheme="minorHAnsi"/>
          <w:bCs/>
          <w:snapToGrid w:val="0"/>
          <w:lang w:val="en-GB"/>
        </w:rPr>
        <w:t>Recommended</w:t>
      </w:r>
    </w:p>
    <w:p w14:paraId="5E121A7F" w14:textId="77777777" w:rsidR="00DD22E1" w:rsidRPr="00525B39" w:rsidRDefault="00DD22E1" w:rsidP="00DD22E1">
      <w:pPr>
        <w:widowControl w:val="0"/>
        <w:rPr>
          <w:rFonts w:asciiTheme="minorHAnsi" w:hAnsiTheme="minorHAnsi"/>
          <w:b/>
          <w:bCs/>
          <w:snapToGrid w:val="0"/>
        </w:rPr>
      </w:pPr>
    </w:p>
    <w:bookmarkEnd w:id="63"/>
    <w:p w14:paraId="4A5B8145" w14:textId="77777777" w:rsidR="00DD22E1" w:rsidRPr="00907671" w:rsidRDefault="00DD22E1" w:rsidP="00DD22E1">
      <w:pPr>
        <w:pStyle w:val="2-SectionHeading"/>
        <w:numPr>
          <w:ilvl w:val="0"/>
          <w:numId w:val="1"/>
        </w:numPr>
      </w:pPr>
      <w:r w:rsidRPr="00907671">
        <w:t>Recommended listing</w:t>
      </w:r>
    </w:p>
    <w:p w14:paraId="22BA41CF" w14:textId="74A73DE3" w:rsidR="00746E37" w:rsidRDefault="00F31252" w:rsidP="00746E37">
      <w:pPr>
        <w:pStyle w:val="3-BodyText"/>
        <w:spacing w:before="0" w:after="120"/>
      </w:pPr>
      <w:r w:rsidRPr="00F31252">
        <w:rPr>
          <w:bCs/>
          <w:snapToGrid w:val="0"/>
        </w:rPr>
        <w:t>Add new item</w:t>
      </w:r>
      <w:r w:rsidR="00746E37">
        <w:rPr>
          <w:bCs/>
          <w:snapToGrid w:val="0"/>
        </w:rPr>
        <w:t>.</w:t>
      </w:r>
    </w:p>
    <w:p w14:paraId="112AC1F8" w14:textId="7BFCAFD0" w:rsidR="00DD22E1" w:rsidRPr="00F31252" w:rsidRDefault="00DD22E1" w:rsidP="00A94C17">
      <w:pPr>
        <w:pStyle w:val="3-BodyText"/>
        <w:numPr>
          <w:ilvl w:val="0"/>
          <w:numId w:val="0"/>
        </w:numPr>
        <w:tabs>
          <w:tab w:val="left" w:pos="2022"/>
        </w:tabs>
        <w:ind w:left="720"/>
        <w:rPr>
          <w:snapToGrid w:val="0"/>
        </w:rPr>
      </w:pP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600"/>
        <w:gridCol w:w="2127"/>
        <w:gridCol w:w="1431"/>
        <w:gridCol w:w="929"/>
        <w:gridCol w:w="797"/>
        <w:gridCol w:w="795"/>
        <w:gridCol w:w="1713"/>
      </w:tblGrid>
      <w:tr w:rsidR="00CA60F8" w:rsidRPr="00585568" w14:paraId="396ACBEF" w14:textId="77777777" w:rsidTr="144B819C">
        <w:trPr>
          <w:trHeight w:val="15"/>
        </w:trPr>
        <w:tc>
          <w:tcPr>
            <w:tcW w:w="3256" w:type="dxa"/>
            <w:gridSpan w:val="3"/>
            <w:tcBorders>
              <w:top w:val="single" w:sz="4" w:space="0" w:color="auto"/>
              <w:left w:val="single" w:sz="4" w:space="0" w:color="auto"/>
              <w:bottom w:val="single" w:sz="4" w:space="0" w:color="auto"/>
              <w:right w:val="single" w:sz="4" w:space="0" w:color="auto"/>
            </w:tcBorders>
            <w:hideMark/>
          </w:tcPr>
          <w:p w14:paraId="6C8DF1EB" w14:textId="77777777" w:rsidR="00CA60F8" w:rsidRPr="003B5EF5" w:rsidRDefault="00CA60F8" w:rsidP="004056B7">
            <w:pPr>
              <w:ind w:left="275"/>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MEDICINAL PRODUCT</w:t>
            </w:r>
            <w:r w:rsidRPr="003B5EF5">
              <w:rPr>
                <w:rFonts w:ascii="Arial Narrow" w:hAnsi="Arial Narrow" w:cs="Segoe UI"/>
                <w:color w:val="000000"/>
                <w:sz w:val="20"/>
                <w:szCs w:val="20"/>
                <w:lang w:val="en-US"/>
              </w:rPr>
              <w:t> </w:t>
            </w:r>
          </w:p>
          <w:p w14:paraId="1C86B571" w14:textId="77777777" w:rsidR="00CA60F8" w:rsidRPr="003B5EF5" w:rsidRDefault="00CA60F8" w:rsidP="004056B7">
            <w:pPr>
              <w:ind w:left="275"/>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medicinal product pack</w:t>
            </w:r>
            <w:r w:rsidRPr="003B5EF5">
              <w:rPr>
                <w:rFonts w:ascii="Arial Narrow" w:hAnsi="Arial Narrow" w:cs="Segoe UI"/>
                <w:color w:val="000000"/>
                <w:sz w:val="20"/>
                <w:szCs w:val="20"/>
                <w:lang w:val="en-US"/>
              </w:rPr>
              <w:t> </w:t>
            </w:r>
          </w:p>
        </w:tc>
        <w:tc>
          <w:tcPr>
            <w:tcW w:w="1431" w:type="dxa"/>
            <w:tcBorders>
              <w:top w:val="single" w:sz="4" w:space="0" w:color="auto"/>
              <w:left w:val="single" w:sz="4" w:space="0" w:color="auto"/>
              <w:bottom w:val="single" w:sz="4" w:space="0" w:color="auto"/>
              <w:right w:val="single" w:sz="4" w:space="0" w:color="auto"/>
            </w:tcBorders>
            <w:hideMark/>
          </w:tcPr>
          <w:p w14:paraId="76EB6745"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PBS item code</w:t>
            </w:r>
            <w:r w:rsidRPr="003B5EF5">
              <w:rPr>
                <w:rFonts w:ascii="Arial Narrow" w:hAnsi="Arial Narrow" w:cs="Segoe UI"/>
                <w:color w:val="000000"/>
                <w:sz w:val="20"/>
                <w:szCs w:val="20"/>
                <w:lang w:val="en-US"/>
              </w:rPr>
              <w:t> </w:t>
            </w:r>
          </w:p>
        </w:tc>
        <w:tc>
          <w:tcPr>
            <w:tcW w:w="929" w:type="dxa"/>
            <w:tcBorders>
              <w:top w:val="single" w:sz="4" w:space="0" w:color="auto"/>
              <w:left w:val="single" w:sz="4" w:space="0" w:color="auto"/>
              <w:bottom w:val="single" w:sz="4" w:space="0" w:color="auto"/>
              <w:right w:val="single" w:sz="4" w:space="0" w:color="auto"/>
            </w:tcBorders>
            <w:hideMark/>
          </w:tcPr>
          <w:p w14:paraId="3FE5BD40"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Max. qty packs</w:t>
            </w:r>
            <w:r w:rsidRPr="003B5EF5">
              <w:rPr>
                <w:rFonts w:ascii="Arial Narrow" w:hAnsi="Arial Narrow" w:cs="Segoe UI"/>
                <w:color w:val="000000"/>
                <w:sz w:val="20"/>
                <w:szCs w:val="20"/>
                <w:lang w:val="en-US"/>
              </w:rPr>
              <w:t> </w:t>
            </w:r>
          </w:p>
        </w:tc>
        <w:tc>
          <w:tcPr>
            <w:tcW w:w="797" w:type="dxa"/>
            <w:tcBorders>
              <w:top w:val="single" w:sz="4" w:space="0" w:color="auto"/>
              <w:left w:val="single" w:sz="4" w:space="0" w:color="auto"/>
              <w:bottom w:val="single" w:sz="4" w:space="0" w:color="auto"/>
              <w:right w:val="single" w:sz="4" w:space="0" w:color="auto"/>
            </w:tcBorders>
            <w:hideMark/>
          </w:tcPr>
          <w:p w14:paraId="6B9A0B67" w14:textId="77777777" w:rsidR="00CA60F8" w:rsidRPr="003B5EF5" w:rsidRDefault="00CA60F8" w:rsidP="004056B7">
            <w:pPr>
              <w:jc w:val="center"/>
              <w:textAlignment w:val="baseline"/>
              <w:rPr>
                <w:rFonts w:ascii="Arial Narrow" w:hAnsi="Arial Narrow" w:cs="Segoe UI"/>
                <w:b/>
                <w:bCs/>
                <w:color w:val="000000"/>
                <w:sz w:val="20"/>
                <w:szCs w:val="20"/>
              </w:rPr>
            </w:pPr>
            <w:r w:rsidRPr="003B5EF5">
              <w:rPr>
                <w:rFonts w:ascii="Arial Narrow" w:hAnsi="Arial Narrow" w:cs="Segoe UI"/>
                <w:b/>
                <w:bCs/>
                <w:color w:val="000000"/>
                <w:sz w:val="20"/>
                <w:szCs w:val="20"/>
              </w:rPr>
              <w:t xml:space="preserve">Max. qty </w:t>
            </w:r>
          </w:p>
          <w:p w14:paraId="0FB44F61"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units</w:t>
            </w:r>
            <w:r w:rsidRPr="003B5EF5">
              <w:rPr>
                <w:rFonts w:ascii="Arial Narrow" w:hAnsi="Arial Narrow" w:cs="Segoe UI"/>
                <w:color w:val="000000"/>
                <w:sz w:val="20"/>
                <w:szCs w:val="20"/>
                <w:lang w:val="en-US"/>
              </w:rPr>
              <w:t> </w:t>
            </w:r>
          </w:p>
        </w:tc>
        <w:tc>
          <w:tcPr>
            <w:tcW w:w="795" w:type="dxa"/>
            <w:tcBorders>
              <w:top w:val="single" w:sz="4" w:space="0" w:color="auto"/>
              <w:left w:val="single" w:sz="4" w:space="0" w:color="auto"/>
              <w:bottom w:val="single" w:sz="4" w:space="0" w:color="auto"/>
              <w:right w:val="single" w:sz="4" w:space="0" w:color="auto"/>
            </w:tcBorders>
            <w:vAlign w:val="center"/>
            <w:hideMark/>
          </w:tcPr>
          <w:p w14:paraId="1355F184" w14:textId="57818AF1" w:rsidR="00CA60F8" w:rsidRPr="003B5EF5" w:rsidRDefault="00EB1ACE"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 of</w:t>
            </w:r>
            <w:r w:rsidR="00CA60F8">
              <w:rPr>
                <w:rFonts w:ascii="Arial Narrow" w:hAnsi="Arial Narrow" w:cs="Segoe UI"/>
                <w:b/>
                <w:bCs/>
                <w:color w:val="000000"/>
                <w:sz w:val="20"/>
                <w:szCs w:val="20"/>
              </w:rPr>
              <w:t xml:space="preserve"> </w:t>
            </w:r>
            <w:r w:rsidR="00CA60F8" w:rsidRPr="003B5EF5">
              <w:rPr>
                <w:rFonts w:ascii="Arial Narrow" w:hAnsi="Arial Narrow" w:cs="Segoe UI"/>
                <w:b/>
                <w:bCs/>
                <w:color w:val="000000"/>
                <w:sz w:val="20"/>
                <w:szCs w:val="20"/>
              </w:rPr>
              <w:t>Rpts</w:t>
            </w:r>
          </w:p>
        </w:tc>
        <w:tc>
          <w:tcPr>
            <w:tcW w:w="1713" w:type="dxa"/>
            <w:tcBorders>
              <w:top w:val="single" w:sz="4" w:space="0" w:color="auto"/>
              <w:left w:val="single" w:sz="4" w:space="0" w:color="auto"/>
              <w:bottom w:val="single" w:sz="4" w:space="0" w:color="auto"/>
              <w:right w:val="single" w:sz="4" w:space="0" w:color="auto"/>
            </w:tcBorders>
            <w:vAlign w:val="center"/>
            <w:hideMark/>
          </w:tcPr>
          <w:p w14:paraId="631F0E0C"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Available brands</w:t>
            </w:r>
          </w:p>
        </w:tc>
      </w:tr>
      <w:tr w:rsidR="00CA60F8" w:rsidRPr="00585568" w14:paraId="1663D4F5" w14:textId="77777777" w:rsidTr="144B819C">
        <w:trPr>
          <w:trHeight w:val="15"/>
        </w:trPr>
        <w:tc>
          <w:tcPr>
            <w:tcW w:w="8921" w:type="dxa"/>
            <w:gridSpan w:val="8"/>
            <w:tcBorders>
              <w:top w:val="single" w:sz="4" w:space="0" w:color="auto"/>
              <w:left w:val="single" w:sz="4" w:space="0" w:color="auto"/>
              <w:bottom w:val="single" w:sz="4" w:space="0" w:color="auto"/>
              <w:right w:val="single" w:sz="4" w:space="0" w:color="auto"/>
            </w:tcBorders>
            <w:hideMark/>
          </w:tcPr>
          <w:p w14:paraId="511E670A" w14:textId="554689DA" w:rsidR="00CA60F8" w:rsidRPr="003B5EF5" w:rsidRDefault="00CA60F8" w:rsidP="004056B7">
            <w:pPr>
              <w:ind w:left="133"/>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LENIOLISIB</w:t>
            </w:r>
          </w:p>
        </w:tc>
      </w:tr>
      <w:tr w:rsidR="00CA60F8" w:rsidRPr="00585568" w14:paraId="1575E80C" w14:textId="77777777" w:rsidTr="144B819C">
        <w:trPr>
          <w:trHeight w:val="15"/>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0EED8B2E" w14:textId="1195D934" w:rsidR="00CA60F8" w:rsidRPr="003B5EF5" w:rsidRDefault="00CA60F8" w:rsidP="004056B7">
            <w:pPr>
              <w:ind w:left="133"/>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leniolisib 70 mg tablet, 60</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A0124D3" w14:textId="73A7AB8C"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NEW</w:t>
            </w:r>
            <w:r w:rsidR="00286F95">
              <w:rPr>
                <w:rFonts w:ascii="Arial Narrow" w:hAnsi="Arial Narrow" w:cs="Segoe UI"/>
                <w:color w:val="000000"/>
                <w:sz w:val="20"/>
                <w:szCs w:val="20"/>
              </w:rPr>
              <w:t xml:space="preserve">/ </w:t>
            </w:r>
            <w:r>
              <w:rPr>
                <w:rFonts w:ascii="Arial Narrow" w:hAnsi="Arial Narrow" w:cs="Segoe UI"/>
                <w:color w:val="000000"/>
                <w:sz w:val="20"/>
                <w:szCs w:val="20"/>
              </w:rPr>
              <w:t>Public</w:t>
            </w:r>
          </w:p>
          <w:p w14:paraId="28EE8693"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vertAlign w:val="subscript"/>
              </w:rPr>
              <w:t>MP</w:t>
            </w:r>
          </w:p>
        </w:tc>
        <w:tc>
          <w:tcPr>
            <w:tcW w:w="929" w:type="dxa"/>
            <w:tcBorders>
              <w:top w:val="single" w:sz="4" w:space="0" w:color="auto"/>
              <w:left w:val="single" w:sz="4" w:space="0" w:color="auto"/>
              <w:bottom w:val="single" w:sz="4" w:space="0" w:color="auto"/>
              <w:right w:val="single" w:sz="4" w:space="0" w:color="auto"/>
            </w:tcBorders>
            <w:vAlign w:val="center"/>
            <w:hideMark/>
          </w:tcPr>
          <w:p w14:paraId="61AD79A9"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7213471"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60</w:t>
            </w:r>
          </w:p>
        </w:tc>
        <w:tc>
          <w:tcPr>
            <w:tcW w:w="795" w:type="dxa"/>
            <w:tcBorders>
              <w:top w:val="single" w:sz="4" w:space="0" w:color="auto"/>
              <w:left w:val="single" w:sz="4" w:space="0" w:color="auto"/>
              <w:bottom w:val="single" w:sz="4" w:space="0" w:color="auto"/>
              <w:right w:val="single" w:sz="4" w:space="0" w:color="auto"/>
            </w:tcBorders>
            <w:vAlign w:val="center"/>
            <w:hideMark/>
          </w:tcPr>
          <w:p w14:paraId="2FE5AA0B"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5</w:t>
            </w:r>
          </w:p>
        </w:tc>
        <w:tc>
          <w:tcPr>
            <w:tcW w:w="1713" w:type="dxa"/>
            <w:tcBorders>
              <w:top w:val="single" w:sz="4" w:space="0" w:color="auto"/>
              <w:left w:val="single" w:sz="4" w:space="0" w:color="auto"/>
              <w:bottom w:val="single" w:sz="4" w:space="0" w:color="auto"/>
              <w:right w:val="single" w:sz="4" w:space="0" w:color="auto"/>
            </w:tcBorders>
            <w:vAlign w:val="center"/>
            <w:hideMark/>
          </w:tcPr>
          <w:p w14:paraId="18B93D6B" w14:textId="2C2EB725" w:rsidR="00CA60F8" w:rsidRPr="003B5EF5" w:rsidRDefault="00CA60F8" w:rsidP="004056B7">
            <w:pPr>
              <w:jc w:val="center"/>
              <w:textAlignment w:val="baseline"/>
              <w:rPr>
                <w:rFonts w:ascii="Arial Narrow" w:hAnsi="Arial Narrow" w:cs="Segoe UI"/>
                <w:color w:val="000000"/>
                <w:sz w:val="20"/>
                <w:szCs w:val="20"/>
                <w:lang w:val="en-US"/>
              </w:rPr>
            </w:pPr>
            <w:r>
              <w:rPr>
                <w:rFonts w:ascii="Arial Narrow" w:hAnsi="Arial Narrow" w:cs="Segoe UI"/>
                <w:color w:val="000000"/>
                <w:sz w:val="20"/>
                <w:szCs w:val="20"/>
              </w:rPr>
              <w:t>J</w:t>
            </w:r>
            <w:r w:rsidRPr="003B5EF5">
              <w:rPr>
                <w:rFonts w:ascii="Arial Narrow" w:hAnsi="Arial Narrow" w:cs="Segoe UI"/>
                <w:color w:val="000000"/>
                <w:sz w:val="20"/>
                <w:szCs w:val="20"/>
              </w:rPr>
              <w:t>oenja</w:t>
            </w:r>
          </w:p>
        </w:tc>
      </w:tr>
      <w:tr w:rsidR="00CA60F8" w:rsidRPr="00585568" w14:paraId="56B74A10" w14:textId="77777777" w:rsidTr="144B819C">
        <w:trPr>
          <w:trHeight w:val="15"/>
        </w:trPr>
        <w:tc>
          <w:tcPr>
            <w:tcW w:w="3256" w:type="dxa"/>
            <w:gridSpan w:val="3"/>
            <w:tcBorders>
              <w:top w:val="single" w:sz="4" w:space="0" w:color="auto"/>
              <w:left w:val="single" w:sz="4" w:space="0" w:color="auto"/>
              <w:bottom w:val="single" w:sz="4" w:space="0" w:color="auto"/>
              <w:right w:val="single" w:sz="4" w:space="0" w:color="auto"/>
            </w:tcBorders>
            <w:vAlign w:val="center"/>
          </w:tcPr>
          <w:p w14:paraId="6753D459" w14:textId="101DB138" w:rsidR="00CA60F8" w:rsidRPr="003B5EF5" w:rsidRDefault="00CA60F8" w:rsidP="004056B7">
            <w:pPr>
              <w:ind w:left="133"/>
              <w:textAlignment w:val="baseline"/>
              <w:rPr>
                <w:rFonts w:ascii="Arial Narrow" w:hAnsi="Arial Narrow" w:cs="Segoe UI"/>
                <w:color w:val="000000"/>
                <w:sz w:val="20"/>
                <w:szCs w:val="20"/>
              </w:rPr>
            </w:pPr>
            <w:r w:rsidRPr="003B5EF5">
              <w:rPr>
                <w:rFonts w:ascii="Arial Narrow" w:hAnsi="Arial Narrow" w:cs="Segoe UI"/>
                <w:color w:val="000000"/>
                <w:sz w:val="20"/>
                <w:szCs w:val="20"/>
              </w:rPr>
              <w:t>leniolisib 70 mg tablet, 60</w:t>
            </w:r>
          </w:p>
        </w:tc>
        <w:tc>
          <w:tcPr>
            <w:tcW w:w="1431" w:type="dxa"/>
            <w:tcBorders>
              <w:top w:val="single" w:sz="4" w:space="0" w:color="auto"/>
              <w:left w:val="single" w:sz="4" w:space="0" w:color="auto"/>
              <w:bottom w:val="single" w:sz="4" w:space="0" w:color="auto"/>
              <w:right w:val="single" w:sz="4" w:space="0" w:color="auto"/>
            </w:tcBorders>
            <w:vAlign w:val="center"/>
          </w:tcPr>
          <w:p w14:paraId="160638D2" w14:textId="026D1F50"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NEW</w:t>
            </w:r>
            <w:r w:rsidR="00286F95">
              <w:rPr>
                <w:rFonts w:ascii="Arial Narrow" w:hAnsi="Arial Narrow" w:cs="Segoe UI"/>
                <w:color w:val="000000"/>
                <w:sz w:val="20"/>
                <w:szCs w:val="20"/>
              </w:rPr>
              <w:t xml:space="preserve">/ </w:t>
            </w:r>
            <w:r>
              <w:rPr>
                <w:rFonts w:ascii="Arial Narrow" w:hAnsi="Arial Narrow" w:cs="Segoe UI"/>
                <w:color w:val="000000"/>
                <w:sz w:val="20"/>
                <w:szCs w:val="20"/>
              </w:rPr>
              <w:t>Private</w:t>
            </w:r>
          </w:p>
          <w:p w14:paraId="07BE85A4" w14:textId="77777777" w:rsidR="00CA60F8" w:rsidRPr="003B5EF5" w:rsidRDefault="00CA60F8" w:rsidP="004056B7">
            <w:pPr>
              <w:jc w:val="center"/>
              <w:textAlignment w:val="baseline"/>
              <w:rPr>
                <w:rFonts w:ascii="Arial Narrow" w:hAnsi="Arial Narrow" w:cs="Segoe UI"/>
                <w:strike/>
                <w:color w:val="000000"/>
                <w:sz w:val="20"/>
                <w:szCs w:val="20"/>
              </w:rPr>
            </w:pPr>
            <w:r w:rsidRPr="003B5EF5">
              <w:rPr>
                <w:rFonts w:ascii="Arial Narrow" w:hAnsi="Arial Narrow" w:cs="Segoe UI"/>
                <w:color w:val="000000"/>
                <w:sz w:val="20"/>
                <w:szCs w:val="20"/>
                <w:vertAlign w:val="subscript"/>
              </w:rPr>
              <w:t>MP</w:t>
            </w:r>
          </w:p>
        </w:tc>
        <w:tc>
          <w:tcPr>
            <w:tcW w:w="929" w:type="dxa"/>
            <w:tcBorders>
              <w:top w:val="single" w:sz="4" w:space="0" w:color="auto"/>
              <w:left w:val="single" w:sz="4" w:space="0" w:color="auto"/>
              <w:bottom w:val="single" w:sz="4" w:space="0" w:color="auto"/>
              <w:right w:val="single" w:sz="4" w:space="0" w:color="auto"/>
            </w:tcBorders>
            <w:vAlign w:val="center"/>
          </w:tcPr>
          <w:p w14:paraId="3319A4A5" w14:textId="77777777" w:rsidR="00CA60F8" w:rsidRPr="003B5EF5" w:rsidRDefault="00CA60F8" w:rsidP="004056B7">
            <w:pPr>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1</w:t>
            </w:r>
          </w:p>
        </w:tc>
        <w:tc>
          <w:tcPr>
            <w:tcW w:w="797" w:type="dxa"/>
            <w:tcBorders>
              <w:top w:val="single" w:sz="4" w:space="0" w:color="auto"/>
              <w:left w:val="single" w:sz="4" w:space="0" w:color="auto"/>
              <w:bottom w:val="single" w:sz="4" w:space="0" w:color="auto"/>
              <w:right w:val="single" w:sz="4" w:space="0" w:color="auto"/>
            </w:tcBorders>
            <w:vAlign w:val="center"/>
          </w:tcPr>
          <w:p w14:paraId="79CE0D07" w14:textId="77777777" w:rsidR="00CA60F8" w:rsidRPr="003B5EF5" w:rsidRDefault="00CA60F8" w:rsidP="004056B7">
            <w:pPr>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60</w:t>
            </w:r>
          </w:p>
        </w:tc>
        <w:tc>
          <w:tcPr>
            <w:tcW w:w="795" w:type="dxa"/>
            <w:tcBorders>
              <w:top w:val="single" w:sz="4" w:space="0" w:color="auto"/>
              <w:left w:val="single" w:sz="4" w:space="0" w:color="auto"/>
              <w:bottom w:val="single" w:sz="4" w:space="0" w:color="auto"/>
              <w:right w:val="single" w:sz="4" w:space="0" w:color="auto"/>
            </w:tcBorders>
            <w:vAlign w:val="center"/>
          </w:tcPr>
          <w:p w14:paraId="70D6C37F" w14:textId="77777777" w:rsidR="00CA60F8" w:rsidRPr="003B5EF5" w:rsidRDefault="00CA60F8" w:rsidP="004056B7">
            <w:pPr>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5</w:t>
            </w:r>
          </w:p>
        </w:tc>
        <w:tc>
          <w:tcPr>
            <w:tcW w:w="1713" w:type="dxa"/>
            <w:tcBorders>
              <w:top w:val="single" w:sz="4" w:space="0" w:color="auto"/>
              <w:left w:val="single" w:sz="4" w:space="0" w:color="auto"/>
              <w:bottom w:val="single" w:sz="4" w:space="0" w:color="auto"/>
              <w:right w:val="single" w:sz="4" w:space="0" w:color="auto"/>
            </w:tcBorders>
            <w:vAlign w:val="center"/>
          </w:tcPr>
          <w:p w14:paraId="7A16C603" w14:textId="097D6F97" w:rsidR="00CA60F8" w:rsidRDefault="00CA60F8" w:rsidP="004056B7">
            <w:pPr>
              <w:jc w:val="center"/>
              <w:textAlignment w:val="baseline"/>
              <w:rPr>
                <w:rFonts w:ascii="Arial Narrow" w:hAnsi="Arial Narrow" w:cs="Segoe UI"/>
                <w:color w:val="000000"/>
                <w:sz w:val="20"/>
                <w:szCs w:val="20"/>
              </w:rPr>
            </w:pPr>
            <w:r>
              <w:rPr>
                <w:rFonts w:ascii="Arial Narrow" w:hAnsi="Arial Narrow" w:cs="Segoe UI"/>
                <w:color w:val="000000"/>
                <w:sz w:val="20"/>
                <w:szCs w:val="20"/>
              </w:rPr>
              <w:t>J</w:t>
            </w:r>
            <w:r w:rsidRPr="003B5EF5">
              <w:rPr>
                <w:rFonts w:ascii="Arial Narrow" w:hAnsi="Arial Narrow" w:cs="Segoe UI"/>
                <w:color w:val="000000"/>
                <w:sz w:val="20"/>
                <w:szCs w:val="20"/>
              </w:rPr>
              <w:t>oenja</w:t>
            </w:r>
          </w:p>
        </w:tc>
      </w:tr>
      <w:tr w:rsidR="00CA60F8" w:rsidRPr="00585568" w14:paraId="5357F586" w14:textId="77777777" w:rsidTr="144B819C">
        <w:trPr>
          <w:trHeight w:val="15"/>
        </w:trPr>
        <w:tc>
          <w:tcPr>
            <w:tcW w:w="8921" w:type="dxa"/>
            <w:gridSpan w:val="8"/>
            <w:tcBorders>
              <w:top w:val="single" w:sz="4" w:space="0" w:color="auto"/>
              <w:left w:val="single" w:sz="4" w:space="0" w:color="auto"/>
              <w:bottom w:val="single" w:sz="4" w:space="0" w:color="auto"/>
              <w:right w:val="single" w:sz="4" w:space="0" w:color="auto"/>
            </w:tcBorders>
            <w:vAlign w:val="center"/>
          </w:tcPr>
          <w:p w14:paraId="50A13415" w14:textId="77777777" w:rsidR="00CA60F8" w:rsidRPr="003B5EF5" w:rsidRDefault="00CA60F8" w:rsidP="004056B7">
            <w:pPr>
              <w:ind w:left="-10"/>
              <w:textAlignment w:val="baseline"/>
              <w:rPr>
                <w:rFonts w:ascii="Arial Narrow" w:hAnsi="Arial Narrow" w:cs="Segoe UI"/>
                <w:b/>
                <w:bCs/>
                <w:color w:val="000000"/>
                <w:sz w:val="20"/>
                <w:szCs w:val="20"/>
              </w:rPr>
            </w:pPr>
          </w:p>
        </w:tc>
      </w:tr>
      <w:tr w:rsidR="00CA60F8" w:rsidRPr="00585568" w14:paraId="07976DBF" w14:textId="77777777" w:rsidTr="144B819C">
        <w:trPr>
          <w:trHeight w:val="15"/>
        </w:trPr>
        <w:tc>
          <w:tcPr>
            <w:tcW w:w="8921" w:type="dxa"/>
            <w:gridSpan w:val="8"/>
            <w:tcBorders>
              <w:top w:val="single" w:sz="4" w:space="0" w:color="auto"/>
              <w:left w:val="single" w:sz="4" w:space="0" w:color="auto"/>
              <w:bottom w:val="single" w:sz="4" w:space="0" w:color="auto"/>
              <w:right w:val="single" w:sz="4" w:space="0" w:color="auto"/>
            </w:tcBorders>
            <w:vAlign w:val="center"/>
            <w:hideMark/>
          </w:tcPr>
          <w:p w14:paraId="70730518" w14:textId="63333FFF" w:rsidR="00CA60F8" w:rsidRPr="003B5EF5" w:rsidRDefault="00CA60F8" w:rsidP="004056B7">
            <w:pPr>
              <w:ind w:left="133"/>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Restriction</w:t>
            </w:r>
            <w:r w:rsidRPr="003B5EF5">
              <w:rPr>
                <w:rFonts w:ascii="Arial Narrow" w:hAnsi="Arial Narrow" w:cs="Segoe UI"/>
                <w:b/>
                <w:bCs/>
                <w:color w:val="000000"/>
                <w:sz w:val="20"/>
                <w:szCs w:val="20"/>
                <w:lang w:val="en-GB"/>
              </w:rPr>
              <w:t xml:space="preserve"> Summary </w:t>
            </w:r>
            <w:r w:rsidRPr="007E53D3">
              <w:rPr>
                <w:rFonts w:ascii="Arial Narrow" w:hAnsi="Arial Narrow" w:cs="Segoe UI"/>
                <w:b/>
                <w:bCs/>
                <w:color w:val="000000"/>
                <w:sz w:val="20"/>
                <w:szCs w:val="20"/>
                <w:lang w:val="en-GB"/>
              </w:rPr>
              <w:t>[new1]</w:t>
            </w:r>
            <w:r w:rsidRPr="003B5EF5">
              <w:rPr>
                <w:rFonts w:ascii="Arial Narrow" w:hAnsi="Arial Narrow" w:cs="Segoe UI"/>
                <w:i/>
                <w:iCs/>
                <w:color w:val="000000"/>
                <w:sz w:val="20"/>
                <w:szCs w:val="20"/>
                <w:lang w:val="en-GB"/>
              </w:rPr>
              <w:t xml:space="preserve"> </w:t>
            </w:r>
            <w:r w:rsidRPr="003B5EF5">
              <w:rPr>
                <w:rFonts w:ascii="Arial Narrow" w:hAnsi="Arial Narrow" w:cs="Segoe UI"/>
                <w:b/>
                <w:bCs/>
                <w:color w:val="000000"/>
                <w:sz w:val="20"/>
                <w:szCs w:val="20"/>
                <w:lang w:val="en-GB"/>
              </w:rPr>
              <w:t>/ Treatment of Concept</w:t>
            </w:r>
            <w:r w:rsidRPr="005C448B">
              <w:rPr>
                <w:rFonts w:ascii="Arial Narrow" w:hAnsi="Arial Narrow" w:cs="Segoe UI"/>
                <w:b/>
                <w:bCs/>
                <w:color w:val="000000"/>
                <w:sz w:val="20"/>
                <w:szCs w:val="20"/>
                <w:lang w:val="en-GB"/>
              </w:rPr>
              <w:t xml:space="preserve">: </w:t>
            </w:r>
            <w:r w:rsidRPr="007E53D3">
              <w:rPr>
                <w:rFonts w:ascii="Arial Narrow" w:hAnsi="Arial Narrow" w:cs="Segoe UI"/>
                <w:b/>
                <w:bCs/>
                <w:color w:val="000000"/>
                <w:sz w:val="20"/>
                <w:szCs w:val="20"/>
                <w:lang w:val="en-GB"/>
              </w:rPr>
              <w:t>[new1]:</w:t>
            </w:r>
          </w:p>
        </w:tc>
      </w:tr>
      <w:tr w:rsidR="00CA60F8" w:rsidRPr="00585568" w14:paraId="6AB34497" w14:textId="77777777" w:rsidTr="144B819C">
        <w:trPr>
          <w:trHeight w:val="15"/>
        </w:trPr>
        <w:tc>
          <w:tcPr>
            <w:tcW w:w="1129" w:type="dxa"/>
            <w:gridSpan w:val="2"/>
            <w:vMerge w:val="restart"/>
            <w:tcBorders>
              <w:top w:val="single" w:sz="4" w:space="0" w:color="auto"/>
              <w:left w:val="single" w:sz="4" w:space="0" w:color="auto"/>
              <w:right w:val="single" w:sz="4" w:space="0" w:color="auto"/>
            </w:tcBorders>
            <w:vAlign w:val="center"/>
          </w:tcPr>
          <w:p w14:paraId="5759EDF6" w14:textId="77777777" w:rsidR="00CA60F8" w:rsidRPr="003B5EF5" w:rsidRDefault="00CA60F8" w:rsidP="004056B7">
            <w:pPr>
              <w:ind w:left="133"/>
              <w:textAlignment w:val="baseline"/>
              <w:rPr>
                <w:rFonts w:ascii="Arial Narrow" w:hAnsi="Arial Narrow" w:cs="Segoe UI"/>
                <w:color w:val="000000"/>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300ACB56" w14:textId="77777777" w:rsidR="00CA60F8" w:rsidRPr="00A63A78" w:rsidRDefault="00CA60F8" w:rsidP="004056B7">
            <w:pPr>
              <w:keepLines/>
              <w:ind w:left="69"/>
              <w:rPr>
                <w:rFonts w:ascii="Arial Narrow" w:hAnsi="Arial Narrow"/>
                <w:b/>
                <w:sz w:val="20"/>
                <w:szCs w:val="20"/>
              </w:rPr>
            </w:pPr>
            <w:r w:rsidRPr="00A63A78">
              <w:rPr>
                <w:rFonts w:ascii="Arial Narrow" w:hAnsi="Arial Narrow"/>
                <w:b/>
                <w:sz w:val="20"/>
                <w:szCs w:val="20"/>
              </w:rPr>
              <w:t>Category / Program:</w:t>
            </w:r>
          </w:p>
          <w:p w14:paraId="29277B55" w14:textId="77777777" w:rsidR="00CA60F8" w:rsidRPr="00A63A78" w:rsidRDefault="00CA60F8" w:rsidP="004056B7">
            <w:pPr>
              <w:keepLines/>
              <w:ind w:left="69"/>
              <w:rPr>
                <w:rFonts w:ascii="Arial Narrow" w:hAnsi="Arial Narrow" w:cs="Segoe UI"/>
                <w:b/>
                <w:bCs/>
                <w:color w:val="000000"/>
                <w:sz w:val="20"/>
                <w:szCs w:val="20"/>
              </w:rPr>
            </w:pPr>
            <w:r w:rsidRPr="00A63A78">
              <w:rPr>
                <w:rFonts w:ascii="Arial Narrow" w:eastAsia="Calibri" w:hAnsi="Arial Narrow"/>
                <w:sz w:val="20"/>
                <w:szCs w:val="20"/>
              </w:rPr>
              <w:fldChar w:fldCharType="begin" w:fldLock="1">
                <w:ffData>
                  <w:name w:val=""/>
                  <w:enabled/>
                  <w:calcOnExit w:val="0"/>
                  <w:checkBox>
                    <w:sizeAuto/>
                    <w:default w:val="1"/>
                  </w:checkBox>
                </w:ffData>
              </w:fldChar>
            </w:r>
            <w:r w:rsidRPr="00A63A78">
              <w:rPr>
                <w:rFonts w:ascii="Arial Narrow" w:eastAsia="Calibri" w:hAnsi="Arial Narrow"/>
                <w:sz w:val="20"/>
                <w:szCs w:val="20"/>
              </w:rPr>
              <w:instrText xml:space="preserve"> FORMCHECKBOX </w:instrText>
            </w:r>
            <w:r w:rsidRPr="00A63A78">
              <w:rPr>
                <w:rFonts w:ascii="Arial Narrow" w:eastAsia="Calibri" w:hAnsi="Arial Narrow"/>
                <w:sz w:val="20"/>
                <w:szCs w:val="20"/>
              </w:rPr>
            </w:r>
            <w:r w:rsidRPr="00A63A78">
              <w:rPr>
                <w:rFonts w:ascii="Arial Narrow" w:eastAsia="Calibri" w:hAnsi="Arial Narrow"/>
                <w:sz w:val="20"/>
                <w:szCs w:val="20"/>
              </w:rPr>
              <w:fldChar w:fldCharType="separate"/>
            </w:r>
            <w:r w:rsidRPr="00A63A78">
              <w:rPr>
                <w:rFonts w:ascii="Arial Narrow" w:eastAsia="Calibri" w:hAnsi="Arial Narrow"/>
                <w:sz w:val="20"/>
                <w:szCs w:val="20"/>
              </w:rPr>
              <w:fldChar w:fldCharType="end"/>
            </w:r>
            <w:r w:rsidRPr="00A63A78">
              <w:rPr>
                <w:rFonts w:ascii="Arial Narrow" w:eastAsia="Calibri" w:hAnsi="Arial Narrow"/>
                <w:sz w:val="20"/>
                <w:szCs w:val="20"/>
              </w:rPr>
              <w:t xml:space="preserve"> Section 100 – Highly Specialised Drugs Program – Public (Code HB)</w:t>
            </w:r>
            <w:r w:rsidRPr="00A63A78">
              <w:rPr>
                <w:rFonts w:ascii="Arial Narrow" w:eastAsia="Calibri" w:hAnsi="Arial Narrow"/>
                <w:color w:val="FF0000"/>
                <w:sz w:val="20"/>
                <w:szCs w:val="20"/>
              </w:rPr>
              <w:t xml:space="preserve"> </w:t>
            </w:r>
            <w:r w:rsidRPr="00A63A78">
              <w:rPr>
                <w:rFonts w:ascii="Arial Narrow" w:eastAsia="Calibri" w:hAnsi="Arial Narrow"/>
                <w:sz w:val="20"/>
                <w:szCs w:val="20"/>
              </w:rPr>
              <w:t>/ Private (Code HS)</w:t>
            </w:r>
          </w:p>
        </w:tc>
      </w:tr>
      <w:tr w:rsidR="00CA60F8" w:rsidRPr="00585568" w14:paraId="4D56631F" w14:textId="77777777" w:rsidTr="144B819C">
        <w:trPr>
          <w:trHeight w:val="15"/>
        </w:trPr>
        <w:tc>
          <w:tcPr>
            <w:tcW w:w="1129" w:type="dxa"/>
            <w:gridSpan w:val="2"/>
            <w:vMerge/>
            <w:vAlign w:val="center"/>
          </w:tcPr>
          <w:p w14:paraId="7A5B5774"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1D36EDFC" w14:textId="77777777" w:rsidR="00CA60F8" w:rsidRPr="00A63A78" w:rsidRDefault="00CA60F8" w:rsidP="004056B7">
            <w:pPr>
              <w:keepLines/>
              <w:ind w:left="69"/>
              <w:rPr>
                <w:rFonts w:ascii="Arial Narrow" w:hAnsi="Arial Narrow"/>
                <w:sz w:val="20"/>
                <w:szCs w:val="20"/>
              </w:rPr>
            </w:pPr>
            <w:r w:rsidRPr="00A63A78">
              <w:rPr>
                <w:rFonts w:ascii="Arial Narrow" w:hAnsi="Arial Narrow"/>
                <w:b/>
                <w:sz w:val="20"/>
                <w:szCs w:val="20"/>
              </w:rPr>
              <w:t>Prescriber type:</w:t>
            </w:r>
            <w:r w:rsidRPr="00A63A78">
              <w:rPr>
                <w:rFonts w:ascii="Arial Narrow" w:hAnsi="Arial Narrow"/>
                <w:sz w:val="20"/>
                <w:szCs w:val="20"/>
              </w:rPr>
              <w:t xml:space="preserve"> </w:t>
            </w:r>
          </w:p>
          <w:p w14:paraId="5F54A54D" w14:textId="77777777" w:rsidR="00CA60F8" w:rsidRPr="00A63A78" w:rsidRDefault="00CA60F8" w:rsidP="004056B7">
            <w:pPr>
              <w:keepLines/>
              <w:ind w:left="69"/>
              <w:rPr>
                <w:rFonts w:ascii="Arial Narrow" w:hAnsi="Arial Narrow" w:cs="Segoe UI"/>
                <w:b/>
                <w:bCs/>
                <w:color w:val="000000"/>
                <w:sz w:val="20"/>
                <w:szCs w:val="20"/>
              </w:rPr>
            </w:pPr>
            <w:r w:rsidRPr="00A63A78">
              <w:rPr>
                <w:rFonts w:ascii="Arial Narrow" w:hAnsi="Arial Narrow"/>
                <w:sz w:val="20"/>
                <w:szCs w:val="20"/>
              </w:rPr>
              <w:fldChar w:fldCharType="begin" w:fldLock="1">
                <w:ffData>
                  <w:name w:val=""/>
                  <w:enabled/>
                  <w:calcOnExit w:val="0"/>
                  <w:checkBox>
                    <w:sizeAuto/>
                    <w:default w:val="1"/>
                  </w:checkBox>
                </w:ffData>
              </w:fldChar>
            </w:r>
            <w:r w:rsidRPr="00A63A78">
              <w:rPr>
                <w:rFonts w:ascii="Arial Narrow" w:hAnsi="Arial Narrow"/>
                <w:sz w:val="20"/>
                <w:szCs w:val="20"/>
              </w:rPr>
              <w:instrText xml:space="preserve"> FORMCHECKBOX </w:instrText>
            </w:r>
            <w:r w:rsidRPr="00A63A78">
              <w:rPr>
                <w:rFonts w:ascii="Arial Narrow" w:hAnsi="Arial Narrow"/>
                <w:sz w:val="20"/>
                <w:szCs w:val="20"/>
              </w:rPr>
            </w:r>
            <w:r w:rsidRPr="00A63A78">
              <w:rPr>
                <w:rFonts w:ascii="Arial Narrow" w:hAnsi="Arial Narrow"/>
                <w:sz w:val="20"/>
                <w:szCs w:val="20"/>
              </w:rPr>
              <w:fldChar w:fldCharType="separate"/>
            </w:r>
            <w:r w:rsidRPr="00A63A78">
              <w:rPr>
                <w:rFonts w:ascii="Arial Narrow" w:hAnsi="Arial Narrow"/>
                <w:sz w:val="20"/>
                <w:szCs w:val="20"/>
              </w:rPr>
              <w:fldChar w:fldCharType="end"/>
            </w:r>
            <w:r w:rsidRPr="00A63A78">
              <w:rPr>
                <w:rFonts w:ascii="Arial Narrow" w:hAnsi="Arial Narrow"/>
                <w:sz w:val="20"/>
                <w:szCs w:val="20"/>
              </w:rPr>
              <w:t xml:space="preserve">Medical Practitioners </w:t>
            </w:r>
          </w:p>
        </w:tc>
      </w:tr>
      <w:tr w:rsidR="00CA60F8" w:rsidRPr="00585568" w14:paraId="73EFEBFC" w14:textId="77777777" w:rsidTr="144B819C">
        <w:trPr>
          <w:trHeight w:val="15"/>
        </w:trPr>
        <w:tc>
          <w:tcPr>
            <w:tcW w:w="1129" w:type="dxa"/>
            <w:gridSpan w:val="2"/>
            <w:vMerge/>
            <w:vAlign w:val="center"/>
          </w:tcPr>
          <w:p w14:paraId="06258889"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68F3B54D" w14:textId="77777777" w:rsidR="00CA60F8" w:rsidRPr="00A63A78" w:rsidRDefault="00CA60F8" w:rsidP="004056B7">
            <w:pPr>
              <w:keepLines/>
              <w:ind w:left="69"/>
              <w:rPr>
                <w:rFonts w:ascii="Arial Narrow" w:hAnsi="Arial Narrow"/>
                <w:b/>
                <w:sz w:val="20"/>
                <w:szCs w:val="20"/>
              </w:rPr>
            </w:pPr>
            <w:r w:rsidRPr="00A63A78">
              <w:rPr>
                <w:rFonts w:ascii="Arial Narrow" w:hAnsi="Arial Narrow"/>
                <w:b/>
                <w:sz w:val="20"/>
                <w:szCs w:val="20"/>
              </w:rPr>
              <w:t xml:space="preserve">Restriction type: </w:t>
            </w:r>
          </w:p>
          <w:p w14:paraId="687F3A64" w14:textId="7D074905" w:rsidR="00CA60F8" w:rsidRPr="00A63A78" w:rsidRDefault="00CA60F8" w:rsidP="004056B7">
            <w:pPr>
              <w:keepLines/>
              <w:ind w:left="69"/>
              <w:rPr>
                <w:rFonts w:ascii="Arial Narrow" w:hAnsi="Arial Narrow" w:cs="Segoe UI"/>
                <w:b/>
                <w:bCs/>
                <w:color w:val="000000"/>
                <w:sz w:val="20"/>
                <w:szCs w:val="20"/>
              </w:rPr>
            </w:pPr>
            <w:r w:rsidRPr="00A63A78">
              <w:rPr>
                <w:rFonts w:ascii="Arial Narrow" w:eastAsia="Calibri" w:hAnsi="Arial Narrow"/>
                <w:sz w:val="20"/>
                <w:szCs w:val="20"/>
              </w:rPr>
              <w:fldChar w:fldCharType="begin" w:fldLock="1">
                <w:ffData>
                  <w:name w:val=""/>
                  <w:enabled/>
                  <w:calcOnExit w:val="0"/>
                  <w:checkBox>
                    <w:sizeAuto/>
                    <w:default w:val="1"/>
                  </w:checkBox>
                </w:ffData>
              </w:fldChar>
            </w:r>
            <w:r w:rsidRPr="00A63A78">
              <w:rPr>
                <w:rFonts w:ascii="Arial Narrow" w:eastAsia="Calibri" w:hAnsi="Arial Narrow"/>
                <w:sz w:val="20"/>
                <w:szCs w:val="20"/>
              </w:rPr>
              <w:instrText xml:space="preserve"> FORMCHECKBOX </w:instrText>
            </w:r>
            <w:r w:rsidRPr="00A63A78">
              <w:rPr>
                <w:rFonts w:ascii="Arial Narrow" w:eastAsia="Calibri" w:hAnsi="Arial Narrow"/>
                <w:sz w:val="20"/>
                <w:szCs w:val="20"/>
              </w:rPr>
            </w:r>
            <w:r w:rsidRPr="00A63A78">
              <w:rPr>
                <w:rFonts w:ascii="Arial Narrow" w:eastAsia="Calibri" w:hAnsi="Arial Narrow"/>
                <w:sz w:val="20"/>
                <w:szCs w:val="20"/>
              </w:rPr>
              <w:fldChar w:fldCharType="separate"/>
            </w:r>
            <w:r w:rsidRPr="00A63A78">
              <w:rPr>
                <w:rFonts w:ascii="Arial Narrow" w:eastAsia="Calibri" w:hAnsi="Arial Narrow"/>
                <w:sz w:val="20"/>
                <w:szCs w:val="20"/>
              </w:rPr>
              <w:fldChar w:fldCharType="end"/>
            </w:r>
            <w:r w:rsidRPr="00A63A78">
              <w:rPr>
                <w:rFonts w:ascii="Arial Narrow" w:eastAsia="Calibri" w:hAnsi="Arial Narrow"/>
                <w:sz w:val="20"/>
                <w:szCs w:val="20"/>
              </w:rPr>
              <w:t xml:space="preserve">Authority Required (FULL assessment) in writing only via </w:t>
            </w:r>
            <w:r w:rsidR="00A61CB7" w:rsidRPr="00D7482A">
              <w:rPr>
                <w:rFonts w:ascii="Arial Narrow" w:eastAsia="Calibri" w:hAnsi="Arial Narrow"/>
                <w:sz w:val="20"/>
                <w:szCs w:val="20"/>
              </w:rPr>
              <w:t>OPA/</w:t>
            </w:r>
            <w:r w:rsidRPr="00A63A78">
              <w:rPr>
                <w:rFonts w:ascii="Arial Narrow" w:eastAsia="Calibri" w:hAnsi="Arial Narrow"/>
                <w:sz w:val="20"/>
                <w:szCs w:val="20"/>
              </w:rPr>
              <w:t xml:space="preserve">post/HPOS upload) </w:t>
            </w:r>
          </w:p>
        </w:tc>
      </w:tr>
      <w:tr w:rsidR="00CA60F8" w:rsidRPr="00585568" w14:paraId="0EE636A8" w14:textId="77777777" w:rsidTr="000D4ADC">
        <w:trPr>
          <w:cantSplit/>
          <w:trHeight w:val="15"/>
        </w:trPr>
        <w:tc>
          <w:tcPr>
            <w:tcW w:w="1129" w:type="dxa"/>
            <w:gridSpan w:val="2"/>
            <w:vMerge/>
            <w:tcBorders>
              <w:bottom w:val="single" w:sz="4" w:space="0" w:color="auto"/>
            </w:tcBorders>
            <w:vAlign w:val="center"/>
          </w:tcPr>
          <w:p w14:paraId="563D24B2"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02B5AE23" w14:textId="77777777" w:rsidR="00CA60F8" w:rsidRPr="00A63A78" w:rsidRDefault="00CA60F8" w:rsidP="004056B7">
            <w:pPr>
              <w:keepLines/>
              <w:ind w:left="69"/>
              <w:rPr>
                <w:rFonts w:ascii="Arial Narrow" w:hAnsi="Arial Narrow" w:cs="Segoe UI"/>
                <w:b/>
                <w:bCs/>
                <w:color w:val="000000"/>
                <w:sz w:val="20"/>
                <w:szCs w:val="20"/>
              </w:rPr>
            </w:pPr>
            <w:r w:rsidRPr="00A63A78">
              <w:rPr>
                <w:rFonts w:ascii="Arial Narrow" w:hAnsi="Arial Narrow"/>
                <w:b/>
                <w:sz w:val="20"/>
                <w:szCs w:val="20"/>
              </w:rPr>
              <w:t xml:space="preserve">Authority type: </w:t>
            </w:r>
            <w:r w:rsidRPr="00A63A78">
              <w:rPr>
                <w:rFonts w:ascii="Arial Narrow" w:eastAsia="Calibri" w:hAnsi="Arial Narrow"/>
                <w:sz w:val="20"/>
                <w:szCs w:val="20"/>
              </w:rPr>
              <w:fldChar w:fldCharType="begin" w:fldLock="1">
                <w:ffData>
                  <w:name w:val=""/>
                  <w:enabled/>
                  <w:calcOnExit w:val="0"/>
                  <w:checkBox>
                    <w:sizeAuto/>
                    <w:default w:val="1"/>
                  </w:checkBox>
                </w:ffData>
              </w:fldChar>
            </w:r>
            <w:r w:rsidRPr="00A63A78">
              <w:rPr>
                <w:rFonts w:ascii="Arial Narrow" w:eastAsia="Calibri" w:hAnsi="Arial Narrow"/>
                <w:sz w:val="20"/>
                <w:szCs w:val="20"/>
              </w:rPr>
              <w:instrText xml:space="preserve"> FORMCHECKBOX </w:instrText>
            </w:r>
            <w:r w:rsidRPr="00A63A78">
              <w:rPr>
                <w:rFonts w:ascii="Arial Narrow" w:eastAsia="Calibri" w:hAnsi="Arial Narrow"/>
                <w:sz w:val="20"/>
                <w:szCs w:val="20"/>
              </w:rPr>
            </w:r>
            <w:r w:rsidRPr="00A63A78">
              <w:rPr>
                <w:rFonts w:ascii="Arial Narrow" w:eastAsia="Calibri" w:hAnsi="Arial Narrow"/>
                <w:sz w:val="20"/>
                <w:szCs w:val="20"/>
              </w:rPr>
              <w:fldChar w:fldCharType="separate"/>
            </w:r>
            <w:r w:rsidRPr="00A63A78">
              <w:rPr>
                <w:rFonts w:ascii="Arial Narrow" w:eastAsia="Calibri" w:hAnsi="Arial Narrow"/>
                <w:sz w:val="20"/>
                <w:szCs w:val="20"/>
              </w:rPr>
              <w:fldChar w:fldCharType="end"/>
            </w:r>
            <w:r w:rsidRPr="00A63A78">
              <w:rPr>
                <w:rFonts w:ascii="Arial Narrow" w:eastAsia="Calibri" w:hAnsi="Arial Narrow"/>
                <w:sz w:val="20"/>
                <w:szCs w:val="20"/>
              </w:rPr>
              <w:t xml:space="preserve"> Complex Authority Required (CAR)</w:t>
            </w:r>
          </w:p>
        </w:tc>
      </w:tr>
      <w:tr w:rsidR="0024606F" w:rsidRPr="00585568" w14:paraId="58BA305A" w14:textId="77777777" w:rsidTr="000D4ADC">
        <w:trPr>
          <w:trHeight w:val="300"/>
        </w:trPr>
        <w:tc>
          <w:tcPr>
            <w:tcW w:w="52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0CB7884" w14:textId="77777777" w:rsidR="00CA60F8" w:rsidRPr="003B5EF5" w:rsidRDefault="00CA60F8" w:rsidP="004056B7">
            <w:pPr>
              <w:ind w:left="133" w:right="113"/>
              <w:jc w:val="center"/>
              <w:textAlignment w:val="baseline"/>
              <w:rPr>
                <w:rFonts w:ascii="Arial Narrow" w:hAnsi="Arial Narrow" w:cs="Segoe UI"/>
                <w:color w:val="000000"/>
                <w:sz w:val="20"/>
                <w:szCs w:val="20"/>
              </w:rPr>
            </w:pPr>
            <w:r w:rsidRPr="001922CF">
              <w:rPr>
                <w:rFonts w:ascii="Arial Narrow" w:hAnsi="Arial Narrow" w:cs="Segoe UI"/>
                <w:color w:val="000000"/>
                <w:sz w:val="20"/>
                <w:szCs w:val="20"/>
              </w:rPr>
              <w:t>Prescribing rule level</w:t>
            </w:r>
          </w:p>
        </w:tc>
        <w:tc>
          <w:tcPr>
            <w:tcW w:w="600" w:type="dxa"/>
            <w:tcBorders>
              <w:top w:val="single" w:sz="4" w:space="0" w:color="auto"/>
              <w:bottom w:val="single" w:sz="4" w:space="0" w:color="auto"/>
              <w:right w:val="single" w:sz="4" w:space="0" w:color="auto"/>
            </w:tcBorders>
            <w:vAlign w:val="center"/>
          </w:tcPr>
          <w:p w14:paraId="08DB3440" w14:textId="27F1ACC9" w:rsidR="00CA60F8" w:rsidRPr="00A33A96" w:rsidRDefault="00CA60F8" w:rsidP="00A33A96">
            <w:pPr>
              <w:jc w:val="center"/>
              <w:textAlignment w:val="baseline"/>
              <w:rPr>
                <w:rFonts w:ascii="Arial Narrow" w:hAnsi="Arial Narrow" w:cs="Segoe UI"/>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5C703BFD" w14:textId="77777777" w:rsidR="00CA60F8" w:rsidRPr="00A33A96" w:rsidRDefault="00CA60F8" w:rsidP="004056B7">
            <w:pPr>
              <w:ind w:left="69"/>
              <w:textAlignment w:val="baseline"/>
              <w:rPr>
                <w:rFonts w:ascii="Arial Narrow" w:hAnsi="Arial Narrow" w:cs="Segoe UI"/>
                <w:b/>
                <w:bCs/>
                <w:sz w:val="20"/>
                <w:szCs w:val="20"/>
              </w:rPr>
            </w:pPr>
            <w:r w:rsidRPr="00A33A96">
              <w:rPr>
                <w:rFonts w:ascii="Arial Narrow" w:hAnsi="Arial Narrow"/>
                <w:b/>
                <w:bCs/>
                <w:sz w:val="20"/>
                <w:szCs w:val="20"/>
              </w:rPr>
              <w:t xml:space="preserve">Administrative Advice: </w:t>
            </w:r>
            <w:r w:rsidRPr="00A33A96">
              <w:rPr>
                <w:rFonts w:ascii="Arial Narrow" w:hAnsi="Arial Narrow"/>
                <w:bCs/>
                <w:sz w:val="20"/>
                <w:szCs w:val="20"/>
              </w:rPr>
              <w:t>No increase in the maximum quantity or number of units may be authorised.</w:t>
            </w:r>
          </w:p>
        </w:tc>
      </w:tr>
      <w:tr w:rsidR="00CA60F8" w:rsidRPr="00585568" w14:paraId="5EAAF182" w14:textId="77777777" w:rsidTr="000D4ADC">
        <w:trPr>
          <w:cantSplit/>
          <w:trHeight w:val="300"/>
        </w:trPr>
        <w:tc>
          <w:tcPr>
            <w:tcW w:w="529" w:type="dxa"/>
            <w:vMerge/>
            <w:tcBorders>
              <w:top w:val="single" w:sz="4" w:space="0" w:color="auto"/>
              <w:left w:val="single" w:sz="4" w:space="0" w:color="auto"/>
              <w:bottom w:val="single" w:sz="4" w:space="0" w:color="auto"/>
              <w:right w:val="single" w:sz="4" w:space="0" w:color="auto"/>
            </w:tcBorders>
            <w:vAlign w:val="center"/>
          </w:tcPr>
          <w:p w14:paraId="79DDC58F"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4BF0E91F" w14:textId="7D7E55FC" w:rsidR="00CA60F8" w:rsidRPr="00A33A96" w:rsidRDefault="00CA60F8" w:rsidP="00A33A96">
            <w:pPr>
              <w:jc w:val="center"/>
              <w:textAlignment w:val="baseline"/>
              <w:rPr>
                <w:rFonts w:ascii="Arial Narrow" w:hAnsi="Arial Narrow" w:cs="Segoe UI"/>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742C32EF" w14:textId="77777777" w:rsidR="00CA60F8" w:rsidRPr="00A33A96" w:rsidRDefault="00CA60F8" w:rsidP="004056B7">
            <w:pPr>
              <w:ind w:left="69"/>
              <w:textAlignment w:val="baseline"/>
              <w:rPr>
                <w:rFonts w:ascii="Arial Narrow" w:hAnsi="Arial Narrow" w:cs="Segoe UI"/>
                <w:b/>
                <w:bCs/>
                <w:sz w:val="20"/>
                <w:szCs w:val="20"/>
              </w:rPr>
            </w:pPr>
            <w:r w:rsidRPr="00A33A96">
              <w:rPr>
                <w:rFonts w:ascii="Arial Narrow" w:hAnsi="Arial Narrow"/>
                <w:b/>
                <w:bCs/>
                <w:sz w:val="20"/>
                <w:szCs w:val="20"/>
              </w:rPr>
              <w:t xml:space="preserve">Administrative Advice: </w:t>
            </w:r>
            <w:r w:rsidRPr="00A33A96">
              <w:rPr>
                <w:rFonts w:ascii="Arial Narrow" w:hAnsi="Arial Narrow"/>
                <w:bCs/>
                <w:sz w:val="20"/>
                <w:szCs w:val="20"/>
              </w:rPr>
              <w:t>No increase in the maximum number of repeats may be authorised.</w:t>
            </w:r>
          </w:p>
        </w:tc>
      </w:tr>
      <w:tr w:rsidR="00CA60F8" w:rsidRPr="00585568" w14:paraId="7730EC68" w14:textId="77777777" w:rsidTr="000D4ADC">
        <w:trPr>
          <w:cantSplit/>
          <w:trHeight w:val="300"/>
        </w:trPr>
        <w:tc>
          <w:tcPr>
            <w:tcW w:w="529" w:type="dxa"/>
            <w:vMerge/>
            <w:tcBorders>
              <w:top w:val="single" w:sz="4" w:space="0" w:color="auto"/>
            </w:tcBorders>
            <w:vAlign w:val="center"/>
          </w:tcPr>
          <w:p w14:paraId="5EFFFDA3"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7780388C" w14:textId="43881EA4" w:rsidR="00CA60F8" w:rsidRPr="00286F95" w:rsidRDefault="00CA60F8" w:rsidP="00D7482A">
            <w:pPr>
              <w:ind w:right="-79"/>
              <w:rPr>
                <w:rFonts w:ascii="Arial Narrow" w:hAnsi="Arial Narrow"/>
                <w:bCs/>
                <w:strike/>
                <w:sz w:val="20"/>
                <w:szCs w:val="20"/>
              </w:rPr>
            </w:pPr>
          </w:p>
          <w:p w14:paraId="0D064D5F" w14:textId="1F92B851" w:rsidR="00906BE2" w:rsidRPr="00906BE2" w:rsidRDefault="00906BE2" w:rsidP="00A33A96">
            <w:pPr>
              <w:jc w:val="center"/>
              <w:textAlignment w:val="baseline"/>
              <w:rPr>
                <w:rFonts w:ascii="Arial Narrow" w:hAnsi="Arial Narrow"/>
                <w:bCs/>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72E65863" w14:textId="39AF0455" w:rsidR="00906BE2" w:rsidRPr="00D7482A" w:rsidRDefault="00906BE2" w:rsidP="00906BE2">
            <w:pPr>
              <w:ind w:left="68" w:right="-79"/>
              <w:rPr>
                <w:rFonts w:ascii="Arial Narrow" w:hAnsi="Arial Narrow"/>
                <w:b/>
                <w:bCs/>
                <w:sz w:val="20"/>
                <w:szCs w:val="20"/>
              </w:rPr>
            </w:pPr>
            <w:r w:rsidRPr="00D7482A">
              <w:rPr>
                <w:rFonts w:ascii="Arial Narrow" w:hAnsi="Arial Narrow"/>
                <w:b/>
                <w:bCs/>
                <w:sz w:val="20"/>
                <w:szCs w:val="20"/>
              </w:rPr>
              <w:t>Administrative Advice:</w:t>
            </w:r>
          </w:p>
          <w:p w14:paraId="7E626599" w14:textId="69656BD2"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Any queries concerning the arrangements to prescribe may be directed to Services Australia on 1800 700 270 (hours of operation 8 a.m. to 5 p.m. Monday to Friday).</w:t>
            </w:r>
          </w:p>
          <w:p w14:paraId="0057F6DE" w14:textId="77777777" w:rsidR="00906BE2" w:rsidRPr="00D7482A" w:rsidRDefault="00906BE2" w:rsidP="00906BE2">
            <w:pPr>
              <w:ind w:left="68" w:right="-79"/>
              <w:rPr>
                <w:rFonts w:ascii="Arial Narrow" w:hAnsi="Arial Narrow"/>
                <w:sz w:val="20"/>
                <w:szCs w:val="20"/>
              </w:rPr>
            </w:pPr>
          </w:p>
          <w:p w14:paraId="1FE09E0A" w14:textId="60163387"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7" w:history="1">
              <w:r w:rsidRPr="00D7482A">
                <w:rPr>
                  <w:rStyle w:val="Hyperlink"/>
                  <w:rFonts w:ascii="Arial Narrow" w:hAnsi="Arial Narrow"/>
                  <w:sz w:val="20"/>
                  <w:szCs w:val="20"/>
                </w:rPr>
                <w:t>www.servicesaustralia.gov.au</w:t>
              </w:r>
            </w:hyperlink>
          </w:p>
          <w:p w14:paraId="6DA9180D" w14:textId="77777777" w:rsidR="00906BE2" w:rsidRPr="00D7482A" w:rsidRDefault="00906BE2" w:rsidP="00906BE2">
            <w:pPr>
              <w:ind w:left="68" w:right="-79"/>
              <w:rPr>
                <w:rFonts w:ascii="Arial Narrow" w:hAnsi="Arial Narrow"/>
                <w:sz w:val="20"/>
                <w:szCs w:val="20"/>
              </w:rPr>
            </w:pPr>
          </w:p>
          <w:p w14:paraId="071B9810" w14:textId="7E7B8EC5"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 xml:space="preserve">Applications for authorisation under this restriction should be made using the Online PBS Authorities system (see </w:t>
            </w:r>
            <w:hyperlink r:id="rId18" w:history="1">
              <w:r w:rsidR="00FD3AA9" w:rsidRPr="00D7482A">
                <w:rPr>
                  <w:rStyle w:val="Hyperlink"/>
                  <w:rFonts w:ascii="Arial Narrow" w:hAnsi="Arial Narrow"/>
                  <w:sz w:val="20"/>
                  <w:szCs w:val="20"/>
                </w:rPr>
                <w:t>www.servicesaustralia.gov.au/hpos</w:t>
              </w:r>
            </w:hyperlink>
            <w:r w:rsidRPr="00D7482A">
              <w:rPr>
                <w:rFonts w:ascii="Arial Narrow" w:hAnsi="Arial Narrow"/>
                <w:sz w:val="20"/>
                <w:szCs w:val="20"/>
              </w:rPr>
              <w:t>)</w:t>
            </w:r>
          </w:p>
          <w:p w14:paraId="11BA83D9" w14:textId="77777777" w:rsidR="00FD3AA9" w:rsidRPr="00D7482A" w:rsidRDefault="00FD3AA9" w:rsidP="00906BE2">
            <w:pPr>
              <w:ind w:left="68" w:right="-79"/>
              <w:rPr>
                <w:rFonts w:ascii="Arial Narrow" w:hAnsi="Arial Narrow"/>
                <w:sz w:val="20"/>
                <w:szCs w:val="20"/>
              </w:rPr>
            </w:pPr>
          </w:p>
          <w:p w14:paraId="48A55AA7" w14:textId="77777777"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Alternatively applications for authority to prescribe can be submitted online using the form upload facility in Health Professional Online Services (HPOS) at www.servicesaustralia.gov.au/hpos</w:t>
            </w:r>
          </w:p>
          <w:p w14:paraId="0A93A564" w14:textId="77777777"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Or mailed to:</w:t>
            </w:r>
          </w:p>
          <w:p w14:paraId="5D3CB64F" w14:textId="77777777"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Services Australia</w:t>
            </w:r>
          </w:p>
          <w:p w14:paraId="7D2ACB63" w14:textId="77777777"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Complex Drugs</w:t>
            </w:r>
          </w:p>
          <w:p w14:paraId="6DC99B3C" w14:textId="77777777" w:rsidR="00906BE2" w:rsidRPr="00D7482A" w:rsidRDefault="00906BE2" w:rsidP="00906BE2">
            <w:pPr>
              <w:ind w:left="68" w:right="-79"/>
              <w:rPr>
                <w:rFonts w:ascii="Arial Narrow" w:hAnsi="Arial Narrow"/>
                <w:sz w:val="20"/>
                <w:szCs w:val="20"/>
              </w:rPr>
            </w:pPr>
            <w:r w:rsidRPr="00D7482A">
              <w:rPr>
                <w:rFonts w:ascii="Arial Narrow" w:hAnsi="Arial Narrow"/>
                <w:sz w:val="20"/>
                <w:szCs w:val="20"/>
              </w:rPr>
              <w:t>Reply Paid 9826</w:t>
            </w:r>
          </w:p>
          <w:p w14:paraId="2C529528" w14:textId="32625B9F" w:rsidR="00286F95" w:rsidRPr="00D7482A" w:rsidRDefault="00906BE2" w:rsidP="00D7482A">
            <w:pPr>
              <w:ind w:left="68" w:right="-79"/>
              <w:rPr>
                <w:rFonts w:ascii="Arial Narrow" w:hAnsi="Arial Narrow"/>
                <w:sz w:val="20"/>
                <w:szCs w:val="20"/>
              </w:rPr>
            </w:pPr>
            <w:r w:rsidRPr="00D7482A">
              <w:rPr>
                <w:rFonts w:ascii="Arial Narrow" w:hAnsi="Arial Narrow"/>
                <w:sz w:val="20"/>
                <w:szCs w:val="20"/>
              </w:rPr>
              <w:t>HOBART TAS 7001</w:t>
            </w:r>
          </w:p>
        </w:tc>
      </w:tr>
      <w:tr w:rsidR="00CA60F8" w:rsidRPr="00585568" w14:paraId="2FB1FF40" w14:textId="77777777" w:rsidTr="144B819C">
        <w:trPr>
          <w:trHeight w:val="15"/>
        </w:trPr>
        <w:tc>
          <w:tcPr>
            <w:tcW w:w="1129" w:type="dxa"/>
            <w:gridSpan w:val="2"/>
            <w:vMerge w:val="restart"/>
            <w:tcBorders>
              <w:top w:val="single" w:sz="4" w:space="0" w:color="auto"/>
              <w:left w:val="single" w:sz="4" w:space="0" w:color="auto"/>
              <w:right w:val="single" w:sz="4" w:space="0" w:color="auto"/>
            </w:tcBorders>
            <w:vAlign w:val="center"/>
          </w:tcPr>
          <w:p w14:paraId="2AEA398F"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76AEEC73" w14:textId="77777777" w:rsidR="00CA60F8" w:rsidRPr="007E53D3" w:rsidRDefault="00CA60F8" w:rsidP="004056B7">
            <w:pPr>
              <w:ind w:left="133"/>
              <w:textAlignment w:val="baseline"/>
              <w:rPr>
                <w:rFonts w:ascii="Arial Narrow" w:hAnsi="Arial Narrow" w:cs="Segoe UI"/>
                <w:b/>
                <w:bCs/>
                <w:color w:val="BFBFBF" w:themeColor="background1" w:themeShade="BF"/>
                <w:sz w:val="20"/>
                <w:szCs w:val="20"/>
              </w:rPr>
            </w:pPr>
            <w:r w:rsidRPr="007E53D3">
              <w:rPr>
                <w:rFonts w:ascii="Arial Narrow" w:hAnsi="Arial Narrow"/>
                <w:b/>
                <w:bCs/>
                <w:color w:val="BFBFBF" w:themeColor="background1" w:themeShade="BF"/>
                <w:sz w:val="20"/>
                <w:szCs w:val="20"/>
              </w:rPr>
              <w:t xml:space="preserve">Episodicity: </w:t>
            </w:r>
            <w:r w:rsidRPr="007E53D3">
              <w:rPr>
                <w:rFonts w:ascii="Arial Narrow" w:hAnsi="Arial Narrow"/>
                <w:bCs/>
                <w:color w:val="BFBFBF" w:themeColor="background1" w:themeShade="BF"/>
                <w:sz w:val="20"/>
                <w:szCs w:val="20"/>
              </w:rPr>
              <w:t xml:space="preserve">[blank] </w:t>
            </w:r>
          </w:p>
        </w:tc>
      </w:tr>
      <w:tr w:rsidR="00CA60F8" w:rsidRPr="00585568" w14:paraId="362E8F2C" w14:textId="77777777" w:rsidTr="144B819C">
        <w:trPr>
          <w:trHeight w:val="15"/>
        </w:trPr>
        <w:tc>
          <w:tcPr>
            <w:tcW w:w="1129" w:type="dxa"/>
            <w:gridSpan w:val="2"/>
            <w:vMerge/>
            <w:vAlign w:val="center"/>
          </w:tcPr>
          <w:p w14:paraId="5A99FD4F"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6097AF57" w14:textId="77777777" w:rsidR="00CA60F8" w:rsidRPr="007E53D3" w:rsidRDefault="00CA60F8" w:rsidP="004056B7">
            <w:pPr>
              <w:ind w:left="133"/>
              <w:textAlignment w:val="baseline"/>
              <w:rPr>
                <w:rFonts w:ascii="Arial Narrow" w:hAnsi="Arial Narrow" w:cs="Segoe UI"/>
                <w:b/>
                <w:bCs/>
                <w:color w:val="BFBFBF" w:themeColor="background1" w:themeShade="BF"/>
                <w:sz w:val="20"/>
                <w:szCs w:val="20"/>
              </w:rPr>
            </w:pPr>
            <w:r w:rsidRPr="007E53D3">
              <w:rPr>
                <w:rFonts w:ascii="Arial Narrow" w:hAnsi="Arial Narrow"/>
                <w:b/>
                <w:bCs/>
                <w:color w:val="BFBFBF" w:themeColor="background1" w:themeShade="BF"/>
                <w:sz w:val="20"/>
                <w:szCs w:val="20"/>
              </w:rPr>
              <w:t xml:space="preserve">Severity: </w:t>
            </w:r>
            <w:r w:rsidRPr="007E53D3">
              <w:rPr>
                <w:rFonts w:ascii="Arial Narrow" w:hAnsi="Arial Narrow"/>
                <w:bCs/>
                <w:color w:val="BFBFBF" w:themeColor="background1" w:themeShade="BF"/>
                <w:sz w:val="20"/>
                <w:szCs w:val="20"/>
              </w:rPr>
              <w:t xml:space="preserve">[blank] </w:t>
            </w:r>
          </w:p>
        </w:tc>
      </w:tr>
      <w:tr w:rsidR="00CA60F8" w:rsidRPr="00585568" w14:paraId="69F3FEBD" w14:textId="77777777" w:rsidTr="144B819C">
        <w:trPr>
          <w:trHeight w:val="15"/>
        </w:trPr>
        <w:tc>
          <w:tcPr>
            <w:tcW w:w="1129" w:type="dxa"/>
            <w:gridSpan w:val="2"/>
            <w:vMerge/>
            <w:vAlign w:val="center"/>
          </w:tcPr>
          <w:p w14:paraId="33375A69"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6D94364C" w14:textId="1A977027" w:rsidR="00CA60F8" w:rsidRPr="00A33A96" w:rsidRDefault="00CA60F8" w:rsidP="004056B7">
            <w:pPr>
              <w:textAlignment w:val="baseline"/>
              <w:rPr>
                <w:rFonts w:ascii="Arial Narrow" w:hAnsi="Arial Narrow" w:cs="Segoe UI"/>
                <w:b/>
                <w:bCs/>
                <w:color w:val="000000"/>
                <w:sz w:val="20"/>
                <w:szCs w:val="20"/>
              </w:rPr>
            </w:pPr>
            <w:r>
              <w:rPr>
                <w:rFonts w:ascii="Arial Narrow" w:hAnsi="Arial Narrow"/>
                <w:b/>
                <w:bCs/>
                <w:color w:val="333333"/>
                <w:sz w:val="20"/>
                <w:szCs w:val="20"/>
              </w:rPr>
              <w:t xml:space="preserve"> </w:t>
            </w:r>
            <w:r w:rsidRPr="00A33A96">
              <w:rPr>
                <w:rFonts w:ascii="Arial Narrow" w:hAnsi="Arial Narrow"/>
                <w:b/>
                <w:bCs/>
                <w:color w:val="333333"/>
                <w:sz w:val="20"/>
                <w:szCs w:val="20"/>
              </w:rPr>
              <w:t xml:space="preserve">Condition: </w:t>
            </w:r>
            <w:r w:rsidRPr="00A33A96">
              <w:rPr>
                <w:rFonts w:ascii="Arial Narrow" w:hAnsi="Arial Narrow"/>
                <w:bCs/>
                <w:color w:val="333333"/>
                <w:sz w:val="20"/>
                <w:szCs w:val="20"/>
              </w:rPr>
              <w:t>Activated phosphoinositide 3-kinase delta (PI3Kδ) syndrome (APDS)</w:t>
            </w:r>
          </w:p>
        </w:tc>
      </w:tr>
      <w:tr w:rsidR="00CA60F8" w:rsidRPr="00585568" w14:paraId="1D1FC022"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0807FB0" w14:textId="5AB5D14B" w:rsidR="00CA60F8" w:rsidRPr="000B4CAE" w:rsidRDefault="00CA60F8" w:rsidP="004056B7">
            <w:pPr>
              <w:ind w:left="133"/>
              <w:jc w:val="center"/>
              <w:textAlignment w:val="baseline"/>
              <w:rPr>
                <w:rFonts w:ascii="Arial Narrow" w:hAnsi="Arial Narrow" w:cs="Segoe UI"/>
                <w:color w:val="000000"/>
                <w:sz w:val="20"/>
                <w:szCs w:val="20"/>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6CAF5368" w14:textId="34BCBFE9" w:rsidR="00CA60F8" w:rsidRPr="003B5EF5" w:rsidRDefault="00CA60F8" w:rsidP="004056B7">
            <w:pPr>
              <w:ind w:left="69"/>
              <w:textAlignment w:val="baseline"/>
              <w:rPr>
                <w:rFonts w:ascii="Arial Narrow" w:hAnsi="Arial Narrow" w:cs="Segoe UI"/>
                <w:b/>
                <w:bCs/>
                <w:color w:val="000000"/>
                <w:sz w:val="20"/>
                <w:szCs w:val="20"/>
              </w:rPr>
            </w:pPr>
            <w:r w:rsidRPr="003B5EF5">
              <w:rPr>
                <w:rFonts w:ascii="Arial Narrow" w:hAnsi="Arial Narrow" w:cs="Segoe UI"/>
                <w:b/>
                <w:bCs/>
                <w:color w:val="000000"/>
                <w:sz w:val="20"/>
                <w:szCs w:val="20"/>
              </w:rPr>
              <w:t>Indication:</w:t>
            </w:r>
            <w:r w:rsidRPr="003B5EF5">
              <w:rPr>
                <w:rFonts w:ascii="Arial Narrow" w:hAnsi="Arial Narrow" w:cs="Segoe UI"/>
                <w:color w:val="000000"/>
                <w:sz w:val="20"/>
                <w:szCs w:val="20"/>
              </w:rPr>
              <w:t xml:space="preserve"> Activated phosphoinositide 3-kinase delta (PI3Kδ) syndrome (APDS)</w:t>
            </w:r>
          </w:p>
        </w:tc>
      </w:tr>
      <w:tr w:rsidR="00CA60F8" w:rsidRPr="00585568" w14:paraId="3FF05EEE" w14:textId="77777777" w:rsidTr="003E634D">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661A9BDC" w14:textId="32815BDD"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hideMark/>
          </w:tcPr>
          <w:p w14:paraId="25DA3A03" w14:textId="636C4B10" w:rsidR="00CA60F8" w:rsidRPr="003B5EF5" w:rsidRDefault="00CA60F8" w:rsidP="004056B7">
            <w:pPr>
              <w:ind w:left="69"/>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Treatment Phase:</w:t>
            </w:r>
            <w:r w:rsidRPr="003B5EF5">
              <w:rPr>
                <w:rFonts w:ascii="Arial Narrow" w:hAnsi="Arial Narrow" w:cs="Segoe UI"/>
                <w:color w:val="000000"/>
                <w:sz w:val="20"/>
                <w:szCs w:val="20"/>
              </w:rPr>
              <w:t xml:space="preserve"> </w:t>
            </w:r>
            <w:r w:rsidRPr="00A33A96">
              <w:rPr>
                <w:rFonts w:ascii="Arial Narrow" w:hAnsi="Arial Narrow" w:cs="Segoe UI"/>
                <w:color w:val="000000"/>
                <w:sz w:val="20"/>
                <w:szCs w:val="20"/>
                <w:lang w:val="en-US"/>
              </w:rPr>
              <w:t>Initial treatment</w:t>
            </w:r>
            <w:r w:rsidRPr="003B5EF5">
              <w:rPr>
                <w:rFonts w:ascii="Arial Narrow" w:hAnsi="Arial Narrow" w:cs="Segoe UI"/>
                <w:color w:val="000000"/>
                <w:sz w:val="20"/>
                <w:szCs w:val="20"/>
                <w:lang w:val="en-US"/>
              </w:rPr>
              <w:t xml:space="preserve"> </w:t>
            </w:r>
          </w:p>
        </w:tc>
      </w:tr>
      <w:tr w:rsidR="00CA60F8" w:rsidRPr="00585568" w14:paraId="6393FEE3"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AF368EE" w14:textId="0C2B0A3C"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470D481B" w14:textId="29A27E05"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theme="minorHAnsi"/>
                <w:b/>
                <w:bCs/>
                <w:sz w:val="20"/>
                <w:szCs w:val="20"/>
                <w:lang w:val="en-US"/>
              </w:rPr>
              <w:t>Clinical criteria:</w:t>
            </w:r>
          </w:p>
        </w:tc>
      </w:tr>
      <w:tr w:rsidR="00CA60F8" w:rsidRPr="00585568" w14:paraId="70D377E5"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3FA62474" w14:textId="6A34470F"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63D155BF" w14:textId="77777777"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theme="minorHAnsi"/>
                <w:sz w:val="20"/>
                <w:szCs w:val="20"/>
                <w:lang w:val="en-US"/>
              </w:rPr>
              <w:t>Patient must not have previously received PBS-subsidised treatment with this drug for this condition.</w:t>
            </w:r>
          </w:p>
        </w:tc>
      </w:tr>
      <w:tr w:rsidR="00CA60F8" w:rsidRPr="00585568" w14:paraId="58AB1ED8"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7BAB8187" w14:textId="77777777" w:rsidR="00CA60F8" w:rsidRPr="000B4CAE" w:rsidRDefault="00CA60F8" w:rsidP="004056B7">
            <w:pPr>
              <w:jc w:val="center"/>
              <w:textAlignment w:val="baseline"/>
              <w:rPr>
                <w:rFonts w:ascii="Arial Narrow" w:hAnsi="Arial Narrow" w:cstheme="minorHAnsi"/>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7D950343" w14:textId="77777777" w:rsidR="00CA60F8" w:rsidRPr="000B4CAE" w:rsidRDefault="00CA60F8" w:rsidP="004056B7">
            <w:pPr>
              <w:ind w:left="69"/>
              <w:textAlignment w:val="baseline"/>
              <w:rPr>
                <w:rFonts w:ascii="Arial Narrow" w:hAnsi="Arial Narrow" w:cstheme="minorHAnsi"/>
                <w:b/>
                <w:bCs/>
                <w:sz w:val="20"/>
                <w:szCs w:val="20"/>
                <w:lang w:val="en-US"/>
              </w:rPr>
            </w:pPr>
            <w:r w:rsidRPr="000B4CAE">
              <w:rPr>
                <w:rFonts w:ascii="Arial Narrow" w:hAnsi="Arial Narrow" w:cstheme="minorHAnsi"/>
                <w:b/>
                <w:bCs/>
                <w:sz w:val="20"/>
                <w:szCs w:val="20"/>
                <w:lang w:val="en-US"/>
              </w:rPr>
              <w:t>AND</w:t>
            </w:r>
          </w:p>
        </w:tc>
      </w:tr>
      <w:tr w:rsidR="00CA60F8" w:rsidRPr="00585568" w14:paraId="64D59DE7"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37CB27E6" w14:textId="7296EB2E"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07C67DD2" w14:textId="77777777" w:rsidR="00CA60F8" w:rsidRPr="0006444C" w:rsidRDefault="00CA60F8" w:rsidP="004056B7">
            <w:pPr>
              <w:ind w:left="69"/>
              <w:textAlignment w:val="baseline"/>
              <w:rPr>
                <w:rFonts w:ascii="Arial Narrow" w:hAnsi="Arial Narrow" w:cs="Segoe UI"/>
                <w:b/>
                <w:bCs/>
                <w:color w:val="000000"/>
                <w:sz w:val="20"/>
                <w:szCs w:val="20"/>
              </w:rPr>
            </w:pPr>
            <w:r w:rsidRPr="0006444C">
              <w:rPr>
                <w:rFonts w:ascii="Arial Narrow" w:hAnsi="Arial Narrow" w:cs="Segoe UI"/>
                <w:b/>
                <w:bCs/>
                <w:color w:val="000000"/>
                <w:sz w:val="20"/>
                <w:szCs w:val="20"/>
              </w:rPr>
              <w:t xml:space="preserve">Clinical </w:t>
            </w:r>
            <w:r w:rsidRPr="003B5EF5">
              <w:rPr>
                <w:rFonts w:ascii="Arial Narrow" w:hAnsi="Arial Narrow" w:cs="Segoe UI"/>
                <w:b/>
                <w:bCs/>
                <w:color w:val="000000"/>
                <w:sz w:val="20"/>
                <w:szCs w:val="20"/>
              </w:rPr>
              <w:t>criteria:</w:t>
            </w:r>
            <w:r w:rsidRPr="003B5EF5">
              <w:rPr>
                <w:rFonts w:ascii="Arial Narrow" w:hAnsi="Arial Narrow" w:cs="Segoe UI"/>
                <w:color w:val="000000"/>
                <w:sz w:val="20"/>
                <w:szCs w:val="20"/>
                <w:lang w:val="en-US"/>
              </w:rPr>
              <w:t> </w:t>
            </w:r>
          </w:p>
        </w:tc>
      </w:tr>
      <w:tr w:rsidR="00CA60F8" w:rsidRPr="00585568" w14:paraId="0A7C7C3F" w14:textId="77777777" w:rsidTr="003E634D">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7217A518" w14:textId="22C930A9"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hideMark/>
          </w:tcPr>
          <w:p w14:paraId="1025856E" w14:textId="6C4B2178" w:rsidR="00CA60F8" w:rsidRPr="003B5EF5" w:rsidRDefault="00CA60F8" w:rsidP="004056B7">
            <w:pPr>
              <w:ind w:left="69"/>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 xml:space="preserve">Patient must have a </w:t>
            </w:r>
            <w:r w:rsidRPr="00206459">
              <w:rPr>
                <w:rFonts w:ascii="Arial Narrow" w:hAnsi="Arial Narrow" w:cs="Segoe UI"/>
                <w:color w:val="000000"/>
                <w:sz w:val="20"/>
                <w:szCs w:val="20"/>
              </w:rPr>
              <w:t>diagnosis of APDS, confirmed by genomic or genetic testing demonstrating a pathogenic or likely pathogenic gain-of-function variant in the PIK3CD gene or a pathogenic or likely pathogenic loss-of-function variant in the PIK3R1 gene</w:t>
            </w:r>
          </w:p>
        </w:tc>
      </w:tr>
      <w:tr w:rsidR="00D919A8" w:rsidRPr="00585568" w14:paraId="668C5A4D"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2318EFD5" w14:textId="77777777" w:rsidR="00D919A8" w:rsidRPr="000B4CAE" w:rsidRDefault="00D919A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0EB5911A" w14:textId="3E3E8FEC" w:rsidR="00D919A8" w:rsidRPr="00C72DA4" w:rsidRDefault="002359C4" w:rsidP="004056B7">
            <w:pPr>
              <w:ind w:left="69"/>
              <w:textAlignment w:val="baseline"/>
              <w:rPr>
                <w:rFonts w:ascii="Arial Narrow" w:hAnsi="Arial Narrow" w:cs="Segoe UI"/>
                <w:b/>
                <w:bCs/>
                <w:color w:val="000000"/>
                <w:sz w:val="20"/>
                <w:szCs w:val="20"/>
              </w:rPr>
            </w:pPr>
            <w:r w:rsidRPr="00C72DA4">
              <w:rPr>
                <w:rFonts w:ascii="Arial Narrow" w:hAnsi="Arial Narrow" w:cs="Segoe UI"/>
                <w:b/>
                <w:bCs/>
                <w:color w:val="000000"/>
                <w:sz w:val="20"/>
                <w:szCs w:val="20"/>
              </w:rPr>
              <w:t>AND</w:t>
            </w:r>
          </w:p>
        </w:tc>
      </w:tr>
      <w:tr w:rsidR="00C72DA4" w:rsidRPr="00585568" w14:paraId="2CB42E2E"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4F52E16F" w14:textId="1B5C7B12" w:rsidR="00C72DA4" w:rsidRPr="000B4CAE" w:rsidRDefault="00C72DA4"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399F3B56" w14:textId="53E83724" w:rsidR="00C72DA4" w:rsidRPr="00C72DA4" w:rsidRDefault="00C72DA4" w:rsidP="004056B7">
            <w:pPr>
              <w:ind w:left="69"/>
              <w:textAlignment w:val="baseline"/>
              <w:rPr>
                <w:rFonts w:ascii="Arial Narrow" w:hAnsi="Arial Narrow" w:cs="Segoe UI"/>
                <w:b/>
                <w:bCs/>
                <w:color w:val="000000"/>
                <w:sz w:val="20"/>
                <w:szCs w:val="20"/>
              </w:rPr>
            </w:pPr>
            <w:r w:rsidRPr="0006444C">
              <w:rPr>
                <w:rFonts w:ascii="Arial Narrow" w:hAnsi="Arial Narrow" w:cs="Segoe UI"/>
                <w:b/>
                <w:bCs/>
                <w:color w:val="000000"/>
                <w:sz w:val="20"/>
                <w:szCs w:val="20"/>
              </w:rPr>
              <w:t xml:space="preserve">Clinical </w:t>
            </w:r>
            <w:r w:rsidRPr="003B5EF5">
              <w:rPr>
                <w:rFonts w:ascii="Arial Narrow" w:hAnsi="Arial Narrow" w:cs="Segoe UI"/>
                <w:b/>
                <w:bCs/>
                <w:color w:val="000000"/>
                <w:sz w:val="20"/>
                <w:szCs w:val="20"/>
              </w:rPr>
              <w:t>criteria:</w:t>
            </w:r>
            <w:r w:rsidRPr="003B5EF5">
              <w:rPr>
                <w:rFonts w:ascii="Arial Narrow" w:hAnsi="Arial Narrow" w:cs="Segoe UI"/>
                <w:color w:val="000000"/>
                <w:sz w:val="20"/>
                <w:szCs w:val="20"/>
                <w:lang w:val="en-US"/>
              </w:rPr>
              <w:t> </w:t>
            </w:r>
          </w:p>
        </w:tc>
      </w:tr>
      <w:tr w:rsidR="00D919A8" w:rsidRPr="00585568" w14:paraId="4539717E"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1C6EFED0" w14:textId="45EA1371" w:rsidR="00D919A8" w:rsidRPr="000B4CAE" w:rsidRDefault="00D919A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0A2E0299" w14:textId="28B1ACBB" w:rsidR="00D919A8" w:rsidRPr="00624C92" w:rsidRDefault="00D919A8" w:rsidP="004056B7">
            <w:pPr>
              <w:ind w:left="69"/>
              <w:textAlignment w:val="baseline"/>
              <w:rPr>
                <w:rFonts w:ascii="Arial Narrow" w:hAnsi="Arial Narrow" w:cs="Segoe UI"/>
                <w:color w:val="000000"/>
                <w:sz w:val="20"/>
                <w:szCs w:val="20"/>
              </w:rPr>
            </w:pPr>
          </w:p>
          <w:p w14:paraId="69322EC7" w14:textId="2FC1DA9C" w:rsidR="00624C92" w:rsidRPr="00624C92" w:rsidRDefault="00624C92" w:rsidP="004056B7">
            <w:pPr>
              <w:ind w:left="69"/>
              <w:textAlignment w:val="baseline"/>
              <w:rPr>
                <w:rFonts w:ascii="Arial Narrow" w:hAnsi="Arial Narrow" w:cs="Segoe UI"/>
                <w:color w:val="000000"/>
                <w:sz w:val="20"/>
                <w:szCs w:val="20"/>
              </w:rPr>
            </w:pPr>
            <w:r w:rsidRPr="00624C92">
              <w:rPr>
                <w:rFonts w:ascii="Arial Narrow" w:hAnsi="Arial Narrow" w:cs="Segoe UI"/>
                <w:color w:val="000000"/>
                <w:sz w:val="20"/>
                <w:szCs w:val="20"/>
              </w:rPr>
              <w:t xml:space="preserve">Patient must </w:t>
            </w:r>
            <w:r>
              <w:rPr>
                <w:rFonts w:ascii="Arial Narrow" w:hAnsi="Arial Narrow" w:cs="Segoe UI"/>
                <w:color w:val="000000"/>
                <w:sz w:val="20"/>
                <w:szCs w:val="20"/>
              </w:rPr>
              <w:t>have</w:t>
            </w:r>
            <w:r w:rsidRPr="00624C92">
              <w:rPr>
                <w:rFonts w:ascii="Arial Narrow" w:hAnsi="Arial Narrow" w:cs="Segoe UI"/>
                <w:color w:val="000000"/>
                <w:sz w:val="20"/>
                <w:szCs w:val="20"/>
              </w:rPr>
              <w:t xml:space="preserve"> symptomatic </w:t>
            </w:r>
            <w:r>
              <w:rPr>
                <w:rFonts w:ascii="Arial Narrow" w:hAnsi="Arial Narrow" w:cs="Segoe UI"/>
                <w:color w:val="000000"/>
                <w:sz w:val="20"/>
                <w:szCs w:val="20"/>
              </w:rPr>
              <w:t xml:space="preserve">APDS </w:t>
            </w:r>
            <w:r w:rsidRPr="00624C92">
              <w:rPr>
                <w:rFonts w:ascii="Arial Narrow" w:hAnsi="Arial Narrow" w:cs="Segoe UI"/>
                <w:color w:val="000000"/>
                <w:sz w:val="20"/>
                <w:szCs w:val="20"/>
              </w:rPr>
              <w:t>prior to initiating treatment with this drug</w:t>
            </w:r>
          </w:p>
        </w:tc>
      </w:tr>
      <w:tr w:rsidR="00CA60F8" w:rsidRPr="00585568" w14:paraId="79C0826D"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3D42E071" w14:textId="3FF8AED7"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tcPr>
          <w:p w14:paraId="49A92A17" w14:textId="76AAAF3F" w:rsidR="00CA60F8" w:rsidRPr="003B5EF5" w:rsidRDefault="00CA60F8" w:rsidP="004056B7">
            <w:pPr>
              <w:ind w:left="69"/>
              <w:textAlignment w:val="baseline"/>
              <w:rPr>
                <w:rFonts w:ascii="Arial Narrow" w:hAnsi="Arial Narrow" w:cs="Segoe UI"/>
                <w:color w:val="000000"/>
                <w:sz w:val="20"/>
                <w:szCs w:val="20"/>
              </w:rPr>
            </w:pPr>
            <w:r w:rsidRPr="003B5EF5">
              <w:rPr>
                <w:rFonts w:ascii="Arial Narrow" w:hAnsi="Arial Narrow" w:cs="Segoe UI"/>
                <w:b/>
                <w:bCs/>
                <w:color w:val="000000"/>
                <w:sz w:val="20"/>
                <w:szCs w:val="20"/>
              </w:rPr>
              <w:t>Treatment criteria</w:t>
            </w:r>
            <w:r>
              <w:rPr>
                <w:rFonts w:ascii="Arial Narrow" w:hAnsi="Arial Narrow" w:cs="Segoe UI"/>
                <w:b/>
                <w:bCs/>
                <w:color w:val="000000"/>
                <w:sz w:val="20"/>
                <w:szCs w:val="20"/>
              </w:rPr>
              <w:t>:</w:t>
            </w:r>
          </w:p>
        </w:tc>
      </w:tr>
      <w:tr w:rsidR="00CA60F8" w:rsidRPr="00585568" w14:paraId="2B72C29D"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69589A23" w14:textId="42585150" w:rsidR="00CA60F8" w:rsidRPr="000B4CAE"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tcPr>
          <w:p w14:paraId="071E2B60" w14:textId="64B790C3"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color w:val="000000"/>
                <w:sz w:val="20"/>
                <w:szCs w:val="20"/>
              </w:rPr>
              <w:t>Patient must be treated by a clinical immunologist or in consultation with a clinical immunologist with expertise in managing patients with primary immunodeficiencies or APDS specifically.</w:t>
            </w:r>
          </w:p>
        </w:tc>
      </w:tr>
      <w:tr w:rsidR="00CA60F8" w:rsidRPr="00585568" w14:paraId="1B59C3AC"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1D6C3B4E" w14:textId="5134306B"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tcPr>
          <w:p w14:paraId="5C2BE76A" w14:textId="016AE852"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b/>
                <w:bCs/>
                <w:color w:val="000000"/>
                <w:sz w:val="20"/>
                <w:szCs w:val="20"/>
              </w:rPr>
              <w:t>Treatment criteria:</w:t>
            </w:r>
          </w:p>
        </w:tc>
      </w:tr>
      <w:tr w:rsidR="00CA60F8" w:rsidRPr="00585568" w14:paraId="62B474FB"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DB4621E" w14:textId="5A326837"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6C25016C" w14:textId="1F362018"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color w:val="000000"/>
                <w:sz w:val="20"/>
                <w:szCs w:val="20"/>
              </w:rPr>
              <w:t>Patient must not be undergoing concomitant treatment with any of the following: (i) rituximab (ii) mTOR inhibitors</w:t>
            </w:r>
          </w:p>
        </w:tc>
      </w:tr>
      <w:tr w:rsidR="00CA60F8" w:rsidRPr="00585568" w14:paraId="25FA3E1B"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3FF8BEFD" w14:textId="5AD4DCAC"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44C3C8C6" w14:textId="725B1420"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b/>
                <w:bCs/>
                <w:color w:val="000000"/>
                <w:sz w:val="20"/>
                <w:szCs w:val="20"/>
              </w:rPr>
              <w:t>Population criteria:</w:t>
            </w:r>
          </w:p>
        </w:tc>
      </w:tr>
      <w:tr w:rsidR="00CA60F8" w:rsidRPr="00585568" w14:paraId="4C2D54A7"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0C2D540C" w14:textId="33229265"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tcPr>
          <w:p w14:paraId="41FE19B7" w14:textId="08534481"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color w:val="000000"/>
                <w:sz w:val="20"/>
                <w:szCs w:val="20"/>
              </w:rPr>
              <w:t>Patients must be aged 12 years or over</w:t>
            </w:r>
          </w:p>
        </w:tc>
      </w:tr>
      <w:tr w:rsidR="00CA60F8" w:rsidRPr="00585568" w14:paraId="51FB43F8" w14:textId="77777777" w:rsidTr="003E634D">
        <w:trPr>
          <w:trHeight w:val="137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31687283" w14:textId="5056F359"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vAlign w:val="center"/>
            <w:hideMark/>
          </w:tcPr>
          <w:p w14:paraId="0EFDD001" w14:textId="2C0ED9F5" w:rsidR="00CA60F8" w:rsidRPr="003B5EF5" w:rsidRDefault="00CA60F8" w:rsidP="004056B7">
            <w:pPr>
              <w:ind w:left="69"/>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Prescribing instructions:</w:t>
            </w:r>
          </w:p>
          <w:p w14:paraId="3A21639F" w14:textId="77726B42" w:rsidR="00CA60F8" w:rsidRPr="00012559" w:rsidRDefault="00CA60F8" w:rsidP="004056B7">
            <w:pPr>
              <w:ind w:left="69"/>
              <w:textAlignment w:val="baseline"/>
              <w:rPr>
                <w:rFonts w:ascii="Arial Narrow" w:hAnsi="Arial Narrow" w:cs="Segoe UI"/>
                <w:color w:val="000000"/>
                <w:sz w:val="20"/>
                <w:szCs w:val="20"/>
                <w:lang w:val="en-US"/>
              </w:rPr>
            </w:pPr>
            <w:r w:rsidRPr="00012559">
              <w:rPr>
                <w:rFonts w:ascii="Arial Narrow" w:hAnsi="Arial Narrow" w:cs="Segoe UI"/>
                <w:color w:val="000000"/>
                <w:sz w:val="20"/>
                <w:szCs w:val="20"/>
              </w:rPr>
              <w:t>If the</w:t>
            </w:r>
            <w:r w:rsidR="00012559" w:rsidRPr="00012559">
              <w:rPr>
                <w:rFonts w:ascii="Arial Narrow" w:hAnsi="Arial Narrow" w:cs="Segoe UI"/>
                <w:color w:val="000000"/>
                <w:sz w:val="20"/>
                <w:szCs w:val="20"/>
              </w:rPr>
              <w:t xml:space="preserve"> </w:t>
            </w:r>
            <w:r w:rsidRPr="00012559">
              <w:rPr>
                <w:rFonts w:ascii="Arial Narrow" w:hAnsi="Arial Narrow" w:cs="Segoe UI"/>
                <w:color w:val="000000"/>
                <w:sz w:val="20"/>
                <w:szCs w:val="20"/>
              </w:rPr>
              <w:t>application</w:t>
            </w:r>
            <w:r w:rsidR="00012559" w:rsidRPr="00012559">
              <w:rPr>
                <w:rFonts w:ascii="Arial Narrow" w:hAnsi="Arial Narrow" w:cs="Segoe UI"/>
                <w:color w:val="000000"/>
                <w:sz w:val="20"/>
                <w:szCs w:val="20"/>
              </w:rPr>
              <w:t xml:space="preserve"> </w:t>
            </w:r>
            <w:r w:rsidRPr="00012559">
              <w:rPr>
                <w:rFonts w:ascii="Arial Narrow" w:hAnsi="Arial Narrow" w:cs="Segoe UI"/>
                <w:color w:val="000000"/>
                <w:sz w:val="20"/>
                <w:szCs w:val="20"/>
              </w:rPr>
              <w:t>is submitted through HPOS form upload or mail, it must include:</w:t>
            </w:r>
          </w:p>
          <w:p w14:paraId="2DF79983" w14:textId="3554DAE7" w:rsidR="00CA60F8" w:rsidRPr="00012559" w:rsidRDefault="00CA60F8" w:rsidP="004056B7">
            <w:pPr>
              <w:ind w:left="69"/>
              <w:textAlignment w:val="baseline"/>
              <w:rPr>
                <w:rFonts w:ascii="Arial Narrow" w:hAnsi="Arial Narrow" w:cs="Segoe UI"/>
                <w:color w:val="000000"/>
                <w:sz w:val="20"/>
                <w:szCs w:val="20"/>
                <w:lang w:val="en-US"/>
              </w:rPr>
            </w:pPr>
            <w:r w:rsidRPr="00012559">
              <w:rPr>
                <w:rFonts w:ascii="Arial Narrow" w:hAnsi="Arial Narrow" w:cs="Segoe UI"/>
                <w:color w:val="000000"/>
                <w:sz w:val="20"/>
                <w:szCs w:val="20"/>
              </w:rPr>
              <w:t>(1) details of the proposed prescription; and</w:t>
            </w:r>
          </w:p>
          <w:p w14:paraId="0EC90CC3" w14:textId="4CA664B5" w:rsidR="00CA60F8" w:rsidRPr="00C17815" w:rsidRDefault="00CA60F8" w:rsidP="004056B7">
            <w:pPr>
              <w:ind w:left="69"/>
              <w:textAlignment w:val="baseline"/>
              <w:rPr>
                <w:rFonts w:ascii="Arial Narrow" w:hAnsi="Arial Narrow" w:cs="Segoe UI"/>
                <w:i/>
                <w:iCs/>
                <w:color w:val="000000"/>
                <w:sz w:val="20"/>
                <w:szCs w:val="20"/>
              </w:rPr>
            </w:pPr>
            <w:r w:rsidRPr="00012559">
              <w:rPr>
                <w:rFonts w:ascii="Arial Narrow" w:hAnsi="Arial Narrow" w:cs="Segoe UI"/>
                <w:color w:val="000000"/>
                <w:sz w:val="20"/>
                <w:szCs w:val="20"/>
              </w:rPr>
              <w:t>(2) a completed authority application form relevant to the indication and treatment phase (the</w:t>
            </w:r>
            <w:r w:rsidR="000B4CAE">
              <w:rPr>
                <w:rFonts w:ascii="Arial Narrow" w:hAnsi="Arial Narrow" w:cs="Segoe UI"/>
                <w:color w:val="000000"/>
                <w:sz w:val="20"/>
                <w:szCs w:val="20"/>
              </w:rPr>
              <w:t xml:space="preserve"> </w:t>
            </w:r>
            <w:r w:rsidRPr="00012559">
              <w:rPr>
                <w:rFonts w:ascii="Arial Narrow" w:hAnsi="Arial Narrow" w:cs="Segoe UI"/>
                <w:color w:val="000000"/>
                <w:sz w:val="20"/>
                <w:szCs w:val="20"/>
              </w:rPr>
              <w:t>latest version is located on the website specified in the Administrative Advice).</w:t>
            </w:r>
            <w:r w:rsidRPr="00ED7A8F">
              <w:rPr>
                <w:rFonts w:ascii="Arial Narrow" w:hAnsi="Arial Narrow" w:cs="Segoe UI"/>
                <w:i/>
                <w:iCs/>
                <w:color w:val="000000"/>
                <w:sz w:val="20"/>
                <w:szCs w:val="20"/>
              </w:rPr>
              <w:t xml:space="preserve"> </w:t>
            </w:r>
          </w:p>
        </w:tc>
      </w:tr>
      <w:tr w:rsidR="00CA60F8" w:rsidRPr="00585568" w14:paraId="4EC44DA8"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2F6B649A" w14:textId="32C28230"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tcPr>
          <w:p w14:paraId="45FF23D0" w14:textId="77777777"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Segoe UI"/>
                <w:b/>
                <w:bCs/>
                <w:color w:val="000000"/>
                <w:sz w:val="20"/>
                <w:szCs w:val="20"/>
              </w:rPr>
              <w:t>Prescribing instructions:</w:t>
            </w:r>
          </w:p>
          <w:p w14:paraId="680DC16B" w14:textId="45FD4328" w:rsidR="00CA60F8" w:rsidRPr="00012559" w:rsidRDefault="00CA60F8" w:rsidP="004056B7">
            <w:pPr>
              <w:ind w:left="69"/>
              <w:textAlignment w:val="baseline"/>
              <w:rPr>
                <w:rFonts w:ascii="Arial Narrow" w:hAnsi="Arial Narrow" w:cs="Segoe UI"/>
                <w:color w:val="000000"/>
                <w:sz w:val="20"/>
                <w:szCs w:val="20"/>
                <w:lang w:val="en-US"/>
              </w:rPr>
            </w:pPr>
            <w:r w:rsidRPr="00012559">
              <w:rPr>
                <w:rFonts w:ascii="Arial Narrow" w:hAnsi="Arial Narrow" w:cs="Segoe UI"/>
                <w:color w:val="000000"/>
                <w:sz w:val="20"/>
                <w:szCs w:val="20"/>
              </w:rPr>
              <w:t xml:space="preserve"> In the relevant PBS Authority Application form, specify the following:</w:t>
            </w:r>
          </w:p>
          <w:p w14:paraId="72C2246C" w14:textId="237E9B5B" w:rsidR="00CA60F8" w:rsidRPr="00012559" w:rsidRDefault="00CA60F8" w:rsidP="004056B7">
            <w:pPr>
              <w:ind w:left="353" w:hanging="270"/>
              <w:textAlignment w:val="baseline"/>
              <w:rPr>
                <w:rFonts w:ascii="Arial Narrow" w:hAnsi="Arial Narrow" w:cs="Segoe UI"/>
                <w:color w:val="000000"/>
                <w:sz w:val="20"/>
                <w:szCs w:val="20"/>
                <w:lang w:val="en-US"/>
              </w:rPr>
            </w:pPr>
            <w:r w:rsidRPr="00012559">
              <w:rPr>
                <w:rFonts w:ascii="Arial Narrow" w:hAnsi="Arial Narrow" w:cs="Segoe UI"/>
                <w:color w:val="000000"/>
                <w:sz w:val="20"/>
                <w:szCs w:val="20"/>
              </w:rPr>
              <w:t>(i) Report confirming evidence of APDS with genetic diagnosis (as outlined under Clinical criteria) for gain of function mutations around PIK3CD and PIK3R1</w:t>
            </w:r>
          </w:p>
          <w:p w14:paraId="13805F33" w14:textId="77777777"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color w:val="000000"/>
                <w:sz w:val="20"/>
                <w:szCs w:val="20"/>
              </w:rPr>
              <w:t>Confirm that genetic testing has been completed to demonstrate the following in support of an APDS diagnosis:</w:t>
            </w:r>
          </w:p>
          <w:p w14:paraId="3ED0ED83" w14:textId="77777777" w:rsidR="00CA60F8" w:rsidRPr="00012559" w:rsidRDefault="00CA60F8" w:rsidP="002F61DF">
            <w:pPr>
              <w:pStyle w:val="ListParagraph"/>
              <w:numPr>
                <w:ilvl w:val="1"/>
                <w:numId w:val="24"/>
              </w:numPr>
              <w:spacing w:after="0"/>
              <w:ind w:left="495" w:hanging="284"/>
              <w:contextualSpacing/>
              <w:textAlignment w:val="baseline"/>
              <w:rPr>
                <w:rFonts w:ascii="Arial Narrow" w:hAnsi="Arial Narrow" w:cs="Segoe UI"/>
                <w:color w:val="000000"/>
                <w:sz w:val="20"/>
                <w:szCs w:val="20"/>
              </w:rPr>
            </w:pPr>
            <w:r w:rsidRPr="00012559">
              <w:rPr>
                <w:rFonts w:ascii="Arial Narrow" w:hAnsi="Arial Narrow" w:cs="Segoe UI"/>
                <w:color w:val="000000"/>
                <w:sz w:val="20"/>
                <w:szCs w:val="20"/>
              </w:rPr>
              <w:t xml:space="preserve">demonstrating a pathogenic or likely pathogenic gain-of-function variant in the PIK3CD gene; or </w:t>
            </w:r>
          </w:p>
          <w:p w14:paraId="70348717" w14:textId="3C1BA066" w:rsidR="00CA60F8" w:rsidRPr="00012559" w:rsidRDefault="00CA60F8" w:rsidP="002F61DF">
            <w:pPr>
              <w:pStyle w:val="ListParagraph"/>
              <w:numPr>
                <w:ilvl w:val="1"/>
                <w:numId w:val="24"/>
              </w:numPr>
              <w:spacing w:after="0"/>
              <w:ind w:left="495" w:hanging="284"/>
              <w:contextualSpacing/>
              <w:textAlignment w:val="baseline"/>
              <w:rPr>
                <w:rFonts w:ascii="Arial Narrow" w:hAnsi="Arial Narrow" w:cs="Segoe UI"/>
                <w:color w:val="000000"/>
                <w:sz w:val="20"/>
                <w:szCs w:val="20"/>
              </w:rPr>
            </w:pPr>
            <w:r w:rsidRPr="00012559">
              <w:rPr>
                <w:rFonts w:ascii="Arial Narrow" w:hAnsi="Arial Narrow" w:cs="Segoe UI"/>
                <w:color w:val="000000"/>
                <w:sz w:val="20"/>
                <w:szCs w:val="20"/>
              </w:rPr>
              <w:t>demonstrating a pathogenic or likely pathogenic loss-of-function variant in the PIK3R1 gene</w:t>
            </w:r>
          </w:p>
          <w:p w14:paraId="77CEACB3" w14:textId="2F76CBF3" w:rsidR="00CA60F8" w:rsidRPr="003B5EF5" w:rsidRDefault="00CA60F8" w:rsidP="004056B7">
            <w:pPr>
              <w:ind w:left="69"/>
              <w:textAlignment w:val="baseline"/>
              <w:rPr>
                <w:rFonts w:ascii="Arial Narrow" w:hAnsi="Arial Narrow" w:cs="Segoe UI"/>
                <w:b/>
                <w:bCs/>
                <w:i/>
                <w:iCs/>
                <w:color w:val="000000"/>
                <w:sz w:val="20"/>
                <w:szCs w:val="20"/>
              </w:rPr>
            </w:pPr>
            <w:r w:rsidRPr="00012559">
              <w:rPr>
                <w:rFonts w:ascii="Arial Narrow" w:hAnsi="Arial Narrow" w:cs="Segoe UI"/>
                <w:color w:val="000000"/>
                <w:sz w:val="20"/>
                <w:szCs w:val="20"/>
              </w:rPr>
              <w:t>Quote the date, pathology provider name and any unique identifying serial number/code that links the genetic test</w:t>
            </w:r>
            <w:r w:rsidR="000B4CAE">
              <w:rPr>
                <w:rFonts w:ascii="Arial Narrow" w:hAnsi="Arial Narrow" w:cs="Segoe UI"/>
                <w:color w:val="000000"/>
                <w:sz w:val="20"/>
                <w:szCs w:val="20"/>
              </w:rPr>
              <w:t xml:space="preserve"> </w:t>
            </w:r>
            <w:r w:rsidRPr="00012559">
              <w:rPr>
                <w:rFonts w:ascii="Arial Narrow" w:hAnsi="Arial Narrow" w:cs="Segoe UI"/>
                <w:color w:val="000000"/>
                <w:sz w:val="20"/>
                <w:szCs w:val="20"/>
              </w:rPr>
              <w:t>result to the patient.</w:t>
            </w:r>
          </w:p>
        </w:tc>
      </w:tr>
      <w:tr w:rsidR="00CA60F8" w:rsidRPr="00585568" w14:paraId="031E77A8" w14:textId="77777777" w:rsidTr="003E634D">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BE3FEF8" w14:textId="6B0931A5"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hideMark/>
          </w:tcPr>
          <w:p w14:paraId="54B9613C" w14:textId="77777777"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Segoe UI"/>
                <w:b/>
                <w:bCs/>
                <w:color w:val="000000"/>
                <w:sz w:val="20"/>
                <w:szCs w:val="20"/>
              </w:rPr>
              <w:t>Prescribing instructions:</w:t>
            </w:r>
          </w:p>
          <w:p w14:paraId="6540D454" w14:textId="0599AA3A" w:rsidR="00CA60F8" w:rsidRPr="00012559" w:rsidRDefault="00CA60F8" w:rsidP="00012559">
            <w:pPr>
              <w:ind w:left="69"/>
              <w:textAlignment w:val="baseline"/>
              <w:rPr>
                <w:rFonts w:ascii="Arial Narrow" w:hAnsi="Arial Narrow" w:cs="Segoe UI"/>
                <w:strike/>
                <w:color w:val="000000"/>
                <w:sz w:val="20"/>
                <w:szCs w:val="20"/>
                <w:lang w:val="en-US"/>
              </w:rPr>
            </w:pPr>
            <w:r w:rsidRPr="00012559">
              <w:rPr>
                <w:rFonts w:ascii="Arial Narrow" w:hAnsi="Arial Narrow" w:cs="Segoe UI"/>
                <w:color w:val="000000"/>
                <w:sz w:val="20"/>
                <w:szCs w:val="20"/>
              </w:rPr>
              <w:t>An assessment of a patient’s response to an initial course of treatment must be conducted following a minimum of 5 months of therapy</w:t>
            </w:r>
            <w:r w:rsidR="001E44BC">
              <w:rPr>
                <w:rFonts w:ascii="Arial Narrow" w:hAnsi="Arial Narrow" w:cs="Segoe UI"/>
                <w:color w:val="000000"/>
                <w:sz w:val="20"/>
                <w:szCs w:val="20"/>
              </w:rPr>
              <w:t xml:space="preserve"> </w:t>
            </w:r>
            <w:r w:rsidR="005D03CC">
              <w:rPr>
                <w:rFonts w:ascii="Arial Narrow" w:hAnsi="Arial Narrow" w:cs="Segoe UI"/>
                <w:color w:val="000000"/>
                <w:sz w:val="20"/>
                <w:szCs w:val="20"/>
              </w:rPr>
              <w:t>and no</w:t>
            </w:r>
            <w:r w:rsidRPr="00012559">
              <w:rPr>
                <w:rFonts w:ascii="Arial Narrow" w:hAnsi="Arial Narrow" w:cs="Segoe UI"/>
                <w:color w:val="000000"/>
                <w:sz w:val="20"/>
                <w:szCs w:val="20"/>
              </w:rPr>
              <w:t xml:space="preserve"> later than 4 weeks from the date of completion of the most recent course of treatment. This will enable ongoing treatment for those who meet the continuing restriction for PBS-subsidised treatment after 6 months of the initial treatment course.</w:t>
            </w:r>
          </w:p>
        </w:tc>
      </w:tr>
      <w:tr w:rsidR="00CA60F8" w:rsidRPr="00585568" w14:paraId="54F96686"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42E1130A" w14:textId="5AC26859"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tcPr>
          <w:p w14:paraId="4FA44A84" w14:textId="77777777"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Segoe UI"/>
                <w:b/>
                <w:bCs/>
                <w:color w:val="000000"/>
                <w:sz w:val="20"/>
                <w:szCs w:val="20"/>
              </w:rPr>
              <w:t>Prescribing instructions:</w:t>
            </w:r>
          </w:p>
          <w:p w14:paraId="6CCB794D" w14:textId="7B815A3B" w:rsidR="00CA60F8" w:rsidRPr="00012559" w:rsidRDefault="00CA60F8" w:rsidP="004056B7">
            <w:pPr>
              <w:ind w:left="69"/>
              <w:textAlignment w:val="baseline"/>
              <w:rPr>
                <w:rFonts w:ascii="Arial Narrow" w:hAnsi="Arial Narrow" w:cs="Segoe UI"/>
                <w:color w:val="000000"/>
                <w:sz w:val="20"/>
                <w:szCs w:val="20"/>
              </w:rPr>
            </w:pPr>
            <w:r w:rsidRPr="00012559">
              <w:rPr>
                <w:rFonts w:ascii="Arial Narrow" w:hAnsi="Arial Narrow" w:cs="Segoe UI"/>
                <w:color w:val="000000"/>
                <w:sz w:val="20"/>
                <w:szCs w:val="20"/>
              </w:rPr>
              <w:t>The assessment of response</w:t>
            </w:r>
            <w:r w:rsidR="000B4CAE">
              <w:rPr>
                <w:rFonts w:ascii="Arial Narrow" w:hAnsi="Arial Narrow" w:cs="Segoe UI"/>
                <w:color w:val="000000"/>
                <w:sz w:val="20"/>
                <w:szCs w:val="20"/>
              </w:rPr>
              <w:t xml:space="preserve"> </w:t>
            </w:r>
            <w:r w:rsidRPr="00012559">
              <w:rPr>
                <w:rFonts w:ascii="Arial Narrow" w:hAnsi="Arial Narrow" w:cs="Segoe UI"/>
                <w:color w:val="000000"/>
                <w:sz w:val="20"/>
                <w:szCs w:val="20"/>
              </w:rPr>
              <w:t>to treatment must be documented in the patient's medical records.</w:t>
            </w:r>
          </w:p>
        </w:tc>
      </w:tr>
      <w:tr w:rsidR="00CA60F8" w:rsidRPr="00585568" w14:paraId="285B2BAA" w14:textId="77777777" w:rsidTr="144B819C">
        <w:trPr>
          <w:trHeight w:val="15"/>
        </w:trPr>
        <w:tc>
          <w:tcPr>
            <w:tcW w:w="1129" w:type="dxa"/>
            <w:gridSpan w:val="2"/>
            <w:tcBorders>
              <w:top w:val="single" w:sz="4" w:space="0" w:color="auto"/>
              <w:left w:val="single" w:sz="4" w:space="0" w:color="auto"/>
              <w:bottom w:val="single" w:sz="4" w:space="0" w:color="auto"/>
              <w:right w:val="single" w:sz="4" w:space="0" w:color="auto"/>
            </w:tcBorders>
            <w:vAlign w:val="center"/>
          </w:tcPr>
          <w:p w14:paraId="07A5F6CA" w14:textId="6F29FD43" w:rsidR="00CA60F8" w:rsidRPr="00012559" w:rsidRDefault="00CA60F8" w:rsidP="004056B7">
            <w:pPr>
              <w:jc w:val="center"/>
              <w:textAlignment w:val="baseline"/>
              <w:rPr>
                <w:rFonts w:ascii="Arial Narrow" w:hAnsi="Arial Narrow" w:cs="Segoe UI"/>
                <w:color w:val="000000"/>
                <w:sz w:val="20"/>
                <w:szCs w:val="20"/>
                <w:lang w:val="en-US"/>
              </w:rPr>
            </w:pPr>
          </w:p>
        </w:tc>
        <w:tc>
          <w:tcPr>
            <w:tcW w:w="7792" w:type="dxa"/>
            <w:gridSpan w:val="6"/>
            <w:tcBorders>
              <w:top w:val="single" w:sz="4" w:space="0" w:color="auto"/>
              <w:left w:val="single" w:sz="4" w:space="0" w:color="auto"/>
              <w:bottom w:val="single" w:sz="4" w:space="0" w:color="auto"/>
              <w:right w:val="single" w:sz="4" w:space="0" w:color="auto"/>
            </w:tcBorders>
          </w:tcPr>
          <w:p w14:paraId="04F94661" w14:textId="77777777" w:rsidR="00CA60F8" w:rsidRPr="00012559" w:rsidRDefault="00CA60F8" w:rsidP="004056B7">
            <w:pPr>
              <w:ind w:left="69"/>
              <w:textAlignment w:val="baseline"/>
              <w:rPr>
                <w:rFonts w:ascii="Arial Narrow" w:hAnsi="Arial Narrow" w:cs="Segoe UI"/>
                <w:b/>
                <w:bCs/>
                <w:color w:val="000000"/>
                <w:sz w:val="20"/>
                <w:szCs w:val="20"/>
                <w:lang w:val="en-US"/>
              </w:rPr>
            </w:pPr>
            <w:r w:rsidRPr="00012559">
              <w:rPr>
                <w:rFonts w:ascii="Arial Narrow" w:hAnsi="Arial Narrow" w:cs="Segoe UI"/>
                <w:b/>
                <w:bCs/>
                <w:color w:val="000000"/>
                <w:sz w:val="20"/>
                <w:szCs w:val="20"/>
                <w:lang w:val="en-US"/>
              </w:rPr>
              <w:t>Administrative Advice:</w:t>
            </w:r>
          </w:p>
          <w:p w14:paraId="6A0DA40B" w14:textId="77777777"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Segoe UI"/>
                <w:color w:val="000000"/>
                <w:sz w:val="20"/>
                <w:szCs w:val="20"/>
                <w:lang w:val="en-US"/>
              </w:rPr>
              <w:t>An outcome on the authority application is not immediate but will follow in due course. Electronic upload is encouraged to reduce processing time.</w:t>
            </w:r>
          </w:p>
        </w:tc>
      </w:tr>
    </w:tbl>
    <w:p w14:paraId="4CA6E14A" w14:textId="77777777" w:rsidR="00CA60F8" w:rsidRDefault="00CA60F8" w:rsidP="00CA60F8">
      <w:pPr>
        <w:rPr>
          <w:rFonts w:asciiTheme="minorHAnsi" w:hAnsiTheme="minorHAnsi" w:cstheme="minorHAnsi"/>
          <w:color w:val="365F91" w:themeColor="accent1" w:themeShade="BF"/>
        </w:rPr>
      </w:pP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530"/>
        <w:gridCol w:w="2055"/>
        <w:gridCol w:w="1573"/>
        <w:gridCol w:w="929"/>
        <w:gridCol w:w="797"/>
        <w:gridCol w:w="795"/>
        <w:gridCol w:w="1713"/>
      </w:tblGrid>
      <w:tr w:rsidR="00CA60F8" w:rsidRPr="00585568" w14:paraId="50AB1F90" w14:textId="77777777" w:rsidTr="004056B7">
        <w:trPr>
          <w:trHeight w:val="15"/>
        </w:trPr>
        <w:tc>
          <w:tcPr>
            <w:tcW w:w="3114" w:type="dxa"/>
            <w:gridSpan w:val="3"/>
            <w:tcBorders>
              <w:top w:val="single" w:sz="4" w:space="0" w:color="auto"/>
              <w:left w:val="single" w:sz="4" w:space="0" w:color="auto"/>
              <w:bottom w:val="single" w:sz="4" w:space="0" w:color="auto"/>
              <w:right w:val="single" w:sz="4" w:space="0" w:color="auto"/>
            </w:tcBorders>
            <w:hideMark/>
          </w:tcPr>
          <w:p w14:paraId="391DA721" w14:textId="77777777" w:rsidR="00CA60F8" w:rsidRPr="003B5EF5" w:rsidRDefault="00CA60F8" w:rsidP="004056B7">
            <w:pPr>
              <w:ind w:left="275"/>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MEDICINAL PRODUCT</w:t>
            </w:r>
            <w:r w:rsidRPr="003B5EF5">
              <w:rPr>
                <w:rFonts w:ascii="Arial Narrow" w:hAnsi="Arial Narrow" w:cs="Segoe UI"/>
                <w:color w:val="000000"/>
                <w:sz w:val="20"/>
                <w:szCs w:val="20"/>
                <w:lang w:val="en-US"/>
              </w:rPr>
              <w:t> </w:t>
            </w:r>
          </w:p>
          <w:p w14:paraId="41A16F43" w14:textId="77777777" w:rsidR="00CA60F8" w:rsidRPr="003B5EF5" w:rsidRDefault="00CA60F8" w:rsidP="004056B7">
            <w:pPr>
              <w:ind w:left="275"/>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medicinal product pack</w:t>
            </w:r>
            <w:r w:rsidRPr="003B5EF5">
              <w:rPr>
                <w:rFonts w:ascii="Arial Narrow" w:hAnsi="Arial Narrow" w:cs="Segoe UI"/>
                <w:color w:val="000000"/>
                <w:sz w:val="20"/>
                <w:szCs w:val="20"/>
                <w:lang w:val="en-US"/>
              </w:rPr>
              <w:t> </w:t>
            </w:r>
          </w:p>
        </w:tc>
        <w:tc>
          <w:tcPr>
            <w:tcW w:w="1573" w:type="dxa"/>
            <w:tcBorders>
              <w:top w:val="single" w:sz="4" w:space="0" w:color="auto"/>
              <w:left w:val="single" w:sz="4" w:space="0" w:color="auto"/>
              <w:bottom w:val="single" w:sz="4" w:space="0" w:color="auto"/>
              <w:right w:val="single" w:sz="4" w:space="0" w:color="auto"/>
            </w:tcBorders>
            <w:hideMark/>
          </w:tcPr>
          <w:p w14:paraId="693621BF"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PBS item code</w:t>
            </w:r>
            <w:r w:rsidRPr="003B5EF5">
              <w:rPr>
                <w:rFonts w:ascii="Arial Narrow" w:hAnsi="Arial Narrow" w:cs="Segoe UI"/>
                <w:color w:val="000000"/>
                <w:sz w:val="20"/>
                <w:szCs w:val="20"/>
                <w:lang w:val="en-US"/>
              </w:rPr>
              <w:t> </w:t>
            </w:r>
          </w:p>
        </w:tc>
        <w:tc>
          <w:tcPr>
            <w:tcW w:w="929" w:type="dxa"/>
            <w:tcBorders>
              <w:top w:val="single" w:sz="4" w:space="0" w:color="auto"/>
              <w:left w:val="single" w:sz="4" w:space="0" w:color="auto"/>
              <w:bottom w:val="single" w:sz="4" w:space="0" w:color="auto"/>
              <w:right w:val="single" w:sz="4" w:space="0" w:color="auto"/>
            </w:tcBorders>
            <w:hideMark/>
          </w:tcPr>
          <w:p w14:paraId="5CB9965E"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Max. qty packs</w:t>
            </w:r>
            <w:r w:rsidRPr="003B5EF5">
              <w:rPr>
                <w:rFonts w:ascii="Arial Narrow" w:hAnsi="Arial Narrow" w:cs="Segoe UI"/>
                <w:color w:val="000000"/>
                <w:sz w:val="20"/>
                <w:szCs w:val="20"/>
                <w:lang w:val="en-US"/>
              </w:rPr>
              <w:t> </w:t>
            </w:r>
          </w:p>
        </w:tc>
        <w:tc>
          <w:tcPr>
            <w:tcW w:w="797" w:type="dxa"/>
            <w:tcBorders>
              <w:top w:val="single" w:sz="4" w:space="0" w:color="auto"/>
              <w:left w:val="single" w:sz="4" w:space="0" w:color="auto"/>
              <w:bottom w:val="single" w:sz="4" w:space="0" w:color="auto"/>
              <w:right w:val="single" w:sz="4" w:space="0" w:color="auto"/>
            </w:tcBorders>
            <w:hideMark/>
          </w:tcPr>
          <w:p w14:paraId="56CA8943" w14:textId="77777777" w:rsidR="00CA60F8" w:rsidRPr="003B5EF5" w:rsidRDefault="00CA60F8" w:rsidP="004056B7">
            <w:pPr>
              <w:jc w:val="center"/>
              <w:textAlignment w:val="baseline"/>
              <w:rPr>
                <w:rFonts w:ascii="Arial Narrow" w:hAnsi="Arial Narrow" w:cs="Segoe UI"/>
                <w:b/>
                <w:bCs/>
                <w:color w:val="000000"/>
                <w:sz w:val="20"/>
                <w:szCs w:val="20"/>
              </w:rPr>
            </w:pPr>
            <w:r w:rsidRPr="003B5EF5">
              <w:rPr>
                <w:rFonts w:ascii="Arial Narrow" w:hAnsi="Arial Narrow" w:cs="Segoe UI"/>
                <w:b/>
                <w:bCs/>
                <w:color w:val="000000"/>
                <w:sz w:val="20"/>
                <w:szCs w:val="20"/>
              </w:rPr>
              <w:t xml:space="preserve">Max. qty </w:t>
            </w:r>
          </w:p>
          <w:p w14:paraId="3300A582"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units</w:t>
            </w:r>
            <w:r w:rsidRPr="003B5EF5">
              <w:rPr>
                <w:rFonts w:ascii="Arial Narrow" w:hAnsi="Arial Narrow" w:cs="Segoe UI"/>
                <w:color w:val="000000"/>
                <w:sz w:val="20"/>
                <w:szCs w:val="20"/>
                <w:lang w:val="en-US"/>
              </w:rPr>
              <w:t> </w:t>
            </w:r>
          </w:p>
        </w:tc>
        <w:tc>
          <w:tcPr>
            <w:tcW w:w="795" w:type="dxa"/>
            <w:tcBorders>
              <w:top w:val="single" w:sz="4" w:space="0" w:color="auto"/>
              <w:left w:val="single" w:sz="4" w:space="0" w:color="auto"/>
              <w:bottom w:val="single" w:sz="4" w:space="0" w:color="auto"/>
              <w:right w:val="single" w:sz="4" w:space="0" w:color="auto"/>
            </w:tcBorders>
            <w:vAlign w:val="center"/>
            <w:hideMark/>
          </w:tcPr>
          <w:p w14:paraId="3ADA41B8"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№.of</w:t>
            </w:r>
            <w:r>
              <w:rPr>
                <w:rFonts w:ascii="Arial Narrow" w:hAnsi="Arial Narrow" w:cs="Segoe UI"/>
                <w:b/>
                <w:bCs/>
                <w:color w:val="000000"/>
                <w:sz w:val="20"/>
                <w:szCs w:val="20"/>
              </w:rPr>
              <w:t xml:space="preserve"> </w:t>
            </w:r>
            <w:r w:rsidRPr="003B5EF5">
              <w:rPr>
                <w:rFonts w:ascii="Arial Narrow" w:hAnsi="Arial Narrow" w:cs="Segoe UI"/>
                <w:b/>
                <w:bCs/>
                <w:color w:val="000000"/>
                <w:sz w:val="20"/>
                <w:szCs w:val="20"/>
              </w:rPr>
              <w:t>Rpts</w:t>
            </w:r>
          </w:p>
        </w:tc>
        <w:tc>
          <w:tcPr>
            <w:tcW w:w="1713" w:type="dxa"/>
            <w:tcBorders>
              <w:top w:val="single" w:sz="4" w:space="0" w:color="auto"/>
              <w:left w:val="single" w:sz="4" w:space="0" w:color="auto"/>
              <w:bottom w:val="single" w:sz="4" w:space="0" w:color="auto"/>
              <w:right w:val="single" w:sz="4" w:space="0" w:color="auto"/>
            </w:tcBorders>
            <w:vAlign w:val="center"/>
            <w:hideMark/>
          </w:tcPr>
          <w:p w14:paraId="62181359"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Available brands</w:t>
            </w:r>
          </w:p>
        </w:tc>
      </w:tr>
      <w:tr w:rsidR="00CA60F8" w:rsidRPr="00585568" w14:paraId="60E78E2C" w14:textId="77777777" w:rsidTr="004056B7">
        <w:trPr>
          <w:trHeight w:val="15"/>
        </w:trPr>
        <w:tc>
          <w:tcPr>
            <w:tcW w:w="8921" w:type="dxa"/>
            <w:gridSpan w:val="8"/>
            <w:tcBorders>
              <w:top w:val="single" w:sz="4" w:space="0" w:color="auto"/>
              <w:left w:val="single" w:sz="4" w:space="0" w:color="auto"/>
              <w:bottom w:val="single" w:sz="4" w:space="0" w:color="auto"/>
              <w:right w:val="single" w:sz="4" w:space="0" w:color="auto"/>
            </w:tcBorders>
            <w:hideMark/>
          </w:tcPr>
          <w:p w14:paraId="4FE6B62C" w14:textId="3AD71C53" w:rsidR="00CA60F8" w:rsidRPr="003B5EF5" w:rsidRDefault="00CA60F8" w:rsidP="004056B7">
            <w:pPr>
              <w:ind w:left="133"/>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LENIOLISIB</w:t>
            </w:r>
          </w:p>
        </w:tc>
      </w:tr>
      <w:tr w:rsidR="00CA60F8" w:rsidRPr="00585568" w14:paraId="39D7F8DE" w14:textId="77777777" w:rsidTr="004056B7">
        <w:trPr>
          <w:trHeight w:val="15"/>
        </w:trPr>
        <w:tc>
          <w:tcPr>
            <w:tcW w:w="3114" w:type="dxa"/>
            <w:gridSpan w:val="3"/>
            <w:tcBorders>
              <w:top w:val="single" w:sz="4" w:space="0" w:color="auto"/>
              <w:left w:val="single" w:sz="4" w:space="0" w:color="auto"/>
              <w:bottom w:val="single" w:sz="4" w:space="0" w:color="auto"/>
              <w:right w:val="single" w:sz="4" w:space="0" w:color="auto"/>
            </w:tcBorders>
            <w:vAlign w:val="center"/>
            <w:hideMark/>
          </w:tcPr>
          <w:p w14:paraId="2E46262C" w14:textId="5FBB4E9E" w:rsidR="00CA60F8" w:rsidRPr="003B5EF5" w:rsidRDefault="00CA60F8" w:rsidP="004056B7">
            <w:pPr>
              <w:ind w:left="133"/>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leniolisib 70 mg tablet, 60</w:t>
            </w:r>
          </w:p>
        </w:tc>
        <w:tc>
          <w:tcPr>
            <w:tcW w:w="1573" w:type="dxa"/>
            <w:tcBorders>
              <w:top w:val="single" w:sz="4" w:space="0" w:color="auto"/>
              <w:left w:val="single" w:sz="4" w:space="0" w:color="auto"/>
              <w:bottom w:val="single" w:sz="4" w:space="0" w:color="auto"/>
              <w:right w:val="single" w:sz="4" w:space="0" w:color="auto"/>
            </w:tcBorders>
            <w:vAlign w:val="center"/>
            <w:hideMark/>
          </w:tcPr>
          <w:p w14:paraId="543326F2" w14:textId="4A2C270C"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NEW</w:t>
            </w:r>
            <w:r>
              <w:rPr>
                <w:rFonts w:ascii="Arial Narrow" w:hAnsi="Arial Narrow" w:cs="Segoe UI"/>
                <w:color w:val="000000"/>
                <w:sz w:val="20"/>
                <w:szCs w:val="20"/>
              </w:rPr>
              <w:t xml:space="preserve"> Public</w:t>
            </w:r>
          </w:p>
          <w:p w14:paraId="4969FE43"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vertAlign w:val="subscript"/>
              </w:rPr>
              <w:t>MP</w:t>
            </w:r>
          </w:p>
        </w:tc>
        <w:tc>
          <w:tcPr>
            <w:tcW w:w="929" w:type="dxa"/>
            <w:tcBorders>
              <w:top w:val="single" w:sz="4" w:space="0" w:color="auto"/>
              <w:left w:val="single" w:sz="4" w:space="0" w:color="auto"/>
              <w:bottom w:val="single" w:sz="4" w:space="0" w:color="auto"/>
              <w:right w:val="single" w:sz="4" w:space="0" w:color="auto"/>
            </w:tcBorders>
            <w:vAlign w:val="center"/>
            <w:hideMark/>
          </w:tcPr>
          <w:p w14:paraId="024C1CD9"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3CFB4F67"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60</w:t>
            </w:r>
          </w:p>
        </w:tc>
        <w:tc>
          <w:tcPr>
            <w:tcW w:w="795" w:type="dxa"/>
            <w:tcBorders>
              <w:top w:val="single" w:sz="4" w:space="0" w:color="auto"/>
              <w:left w:val="single" w:sz="4" w:space="0" w:color="auto"/>
              <w:bottom w:val="single" w:sz="4" w:space="0" w:color="auto"/>
              <w:right w:val="single" w:sz="4" w:space="0" w:color="auto"/>
            </w:tcBorders>
            <w:vAlign w:val="center"/>
            <w:hideMark/>
          </w:tcPr>
          <w:p w14:paraId="10220075"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5</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378516A" w14:textId="49BEB695" w:rsidR="00CA60F8" w:rsidRPr="003B5EF5" w:rsidRDefault="00CA60F8" w:rsidP="004056B7">
            <w:pPr>
              <w:jc w:val="center"/>
              <w:textAlignment w:val="baseline"/>
              <w:rPr>
                <w:rFonts w:ascii="Arial Narrow" w:hAnsi="Arial Narrow" w:cs="Segoe UI"/>
                <w:color w:val="000000"/>
                <w:sz w:val="20"/>
                <w:szCs w:val="20"/>
                <w:lang w:val="en-US"/>
              </w:rPr>
            </w:pPr>
            <w:r>
              <w:rPr>
                <w:rFonts w:ascii="Arial Narrow" w:hAnsi="Arial Narrow" w:cs="Segoe UI"/>
                <w:color w:val="000000"/>
                <w:sz w:val="20"/>
                <w:szCs w:val="20"/>
              </w:rPr>
              <w:t>J</w:t>
            </w:r>
            <w:r w:rsidRPr="003B5EF5">
              <w:rPr>
                <w:rFonts w:ascii="Arial Narrow" w:hAnsi="Arial Narrow" w:cs="Segoe UI"/>
                <w:color w:val="000000"/>
                <w:sz w:val="20"/>
                <w:szCs w:val="20"/>
              </w:rPr>
              <w:t>oenja</w:t>
            </w:r>
          </w:p>
        </w:tc>
      </w:tr>
      <w:tr w:rsidR="00CA60F8" w:rsidRPr="00585568" w14:paraId="46081634" w14:textId="77777777" w:rsidTr="004056B7">
        <w:trPr>
          <w:trHeight w:val="15"/>
        </w:trPr>
        <w:tc>
          <w:tcPr>
            <w:tcW w:w="3114" w:type="dxa"/>
            <w:gridSpan w:val="3"/>
            <w:tcBorders>
              <w:top w:val="single" w:sz="4" w:space="0" w:color="auto"/>
              <w:left w:val="single" w:sz="4" w:space="0" w:color="auto"/>
              <w:bottom w:val="single" w:sz="4" w:space="0" w:color="auto"/>
              <w:right w:val="single" w:sz="4" w:space="0" w:color="auto"/>
            </w:tcBorders>
            <w:vAlign w:val="center"/>
          </w:tcPr>
          <w:p w14:paraId="2D7340AE" w14:textId="1522167F" w:rsidR="00CA60F8" w:rsidRPr="003B5EF5" w:rsidRDefault="00CA60F8" w:rsidP="004056B7">
            <w:pPr>
              <w:ind w:left="133"/>
              <w:textAlignment w:val="baseline"/>
              <w:rPr>
                <w:rFonts w:ascii="Arial Narrow" w:hAnsi="Arial Narrow" w:cs="Segoe UI"/>
                <w:color w:val="000000"/>
                <w:sz w:val="20"/>
                <w:szCs w:val="20"/>
              </w:rPr>
            </w:pPr>
            <w:r w:rsidRPr="003B5EF5">
              <w:rPr>
                <w:rFonts w:ascii="Arial Narrow" w:hAnsi="Arial Narrow" w:cs="Segoe UI"/>
                <w:color w:val="000000"/>
                <w:sz w:val="20"/>
                <w:szCs w:val="20"/>
              </w:rPr>
              <w:t>leniolisib 70 mg tablet, 60</w:t>
            </w:r>
          </w:p>
        </w:tc>
        <w:tc>
          <w:tcPr>
            <w:tcW w:w="1573" w:type="dxa"/>
            <w:tcBorders>
              <w:top w:val="single" w:sz="4" w:space="0" w:color="auto"/>
              <w:left w:val="single" w:sz="4" w:space="0" w:color="auto"/>
              <w:bottom w:val="single" w:sz="4" w:space="0" w:color="auto"/>
              <w:right w:val="single" w:sz="4" w:space="0" w:color="auto"/>
            </w:tcBorders>
            <w:vAlign w:val="center"/>
          </w:tcPr>
          <w:p w14:paraId="3985197F" w14:textId="2292F67D"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rPr>
              <w:t>NEW</w:t>
            </w:r>
            <w:r>
              <w:rPr>
                <w:rFonts w:ascii="Arial Narrow" w:hAnsi="Arial Narrow" w:cs="Segoe UI"/>
                <w:color w:val="000000"/>
                <w:sz w:val="20"/>
                <w:szCs w:val="20"/>
              </w:rPr>
              <w:t xml:space="preserve"> Private</w:t>
            </w:r>
          </w:p>
          <w:p w14:paraId="422FDF26" w14:textId="77777777" w:rsidR="00CA60F8" w:rsidRPr="003B5EF5" w:rsidRDefault="00CA60F8" w:rsidP="004056B7">
            <w:pPr>
              <w:jc w:val="center"/>
              <w:textAlignment w:val="baseline"/>
              <w:rPr>
                <w:rFonts w:ascii="Arial Narrow" w:hAnsi="Arial Narrow" w:cs="Segoe UI"/>
                <w:strike/>
                <w:color w:val="000000"/>
                <w:sz w:val="20"/>
                <w:szCs w:val="20"/>
              </w:rPr>
            </w:pPr>
            <w:r w:rsidRPr="003B5EF5">
              <w:rPr>
                <w:rFonts w:ascii="Arial Narrow" w:hAnsi="Arial Narrow" w:cs="Segoe UI"/>
                <w:color w:val="000000"/>
                <w:sz w:val="20"/>
                <w:szCs w:val="20"/>
                <w:vertAlign w:val="subscript"/>
              </w:rPr>
              <w:t>MP</w:t>
            </w:r>
          </w:p>
        </w:tc>
        <w:tc>
          <w:tcPr>
            <w:tcW w:w="929" w:type="dxa"/>
            <w:tcBorders>
              <w:top w:val="single" w:sz="4" w:space="0" w:color="auto"/>
              <w:left w:val="single" w:sz="4" w:space="0" w:color="auto"/>
              <w:bottom w:val="single" w:sz="4" w:space="0" w:color="auto"/>
              <w:right w:val="single" w:sz="4" w:space="0" w:color="auto"/>
            </w:tcBorders>
            <w:vAlign w:val="center"/>
          </w:tcPr>
          <w:p w14:paraId="41908F9E" w14:textId="77777777" w:rsidR="00CA60F8" w:rsidRPr="003B5EF5" w:rsidRDefault="00CA60F8" w:rsidP="004056B7">
            <w:pPr>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1</w:t>
            </w:r>
          </w:p>
        </w:tc>
        <w:tc>
          <w:tcPr>
            <w:tcW w:w="797" w:type="dxa"/>
            <w:tcBorders>
              <w:top w:val="single" w:sz="4" w:space="0" w:color="auto"/>
              <w:left w:val="single" w:sz="4" w:space="0" w:color="auto"/>
              <w:bottom w:val="single" w:sz="4" w:space="0" w:color="auto"/>
              <w:right w:val="single" w:sz="4" w:space="0" w:color="auto"/>
            </w:tcBorders>
            <w:vAlign w:val="center"/>
          </w:tcPr>
          <w:p w14:paraId="61E27FEE" w14:textId="77777777" w:rsidR="00CA60F8" w:rsidRPr="003B5EF5" w:rsidRDefault="00CA60F8" w:rsidP="004056B7">
            <w:pPr>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60</w:t>
            </w:r>
          </w:p>
        </w:tc>
        <w:tc>
          <w:tcPr>
            <w:tcW w:w="795" w:type="dxa"/>
            <w:tcBorders>
              <w:top w:val="single" w:sz="4" w:space="0" w:color="auto"/>
              <w:left w:val="single" w:sz="4" w:space="0" w:color="auto"/>
              <w:bottom w:val="single" w:sz="4" w:space="0" w:color="auto"/>
              <w:right w:val="single" w:sz="4" w:space="0" w:color="auto"/>
            </w:tcBorders>
            <w:vAlign w:val="center"/>
          </w:tcPr>
          <w:p w14:paraId="4952BE01" w14:textId="77777777" w:rsidR="00CA60F8" w:rsidRPr="003B5EF5" w:rsidRDefault="00CA60F8" w:rsidP="004056B7">
            <w:pPr>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5</w:t>
            </w:r>
          </w:p>
        </w:tc>
        <w:tc>
          <w:tcPr>
            <w:tcW w:w="1713" w:type="dxa"/>
            <w:tcBorders>
              <w:top w:val="single" w:sz="4" w:space="0" w:color="auto"/>
              <w:left w:val="single" w:sz="4" w:space="0" w:color="auto"/>
              <w:bottom w:val="single" w:sz="4" w:space="0" w:color="auto"/>
              <w:right w:val="single" w:sz="4" w:space="0" w:color="auto"/>
            </w:tcBorders>
            <w:vAlign w:val="center"/>
          </w:tcPr>
          <w:p w14:paraId="064FFF76" w14:textId="1FC0149B" w:rsidR="00CA60F8" w:rsidRDefault="00CA60F8" w:rsidP="004056B7">
            <w:pPr>
              <w:jc w:val="center"/>
              <w:textAlignment w:val="baseline"/>
              <w:rPr>
                <w:rFonts w:ascii="Arial Narrow" w:hAnsi="Arial Narrow" w:cs="Segoe UI"/>
                <w:color w:val="000000"/>
                <w:sz w:val="20"/>
                <w:szCs w:val="20"/>
              </w:rPr>
            </w:pPr>
            <w:r>
              <w:rPr>
                <w:rFonts w:ascii="Arial Narrow" w:hAnsi="Arial Narrow" w:cs="Segoe UI"/>
                <w:color w:val="000000"/>
                <w:sz w:val="20"/>
                <w:szCs w:val="20"/>
              </w:rPr>
              <w:t>J</w:t>
            </w:r>
            <w:r w:rsidRPr="003B5EF5">
              <w:rPr>
                <w:rFonts w:ascii="Arial Narrow" w:hAnsi="Arial Narrow" w:cs="Segoe UI"/>
                <w:color w:val="000000"/>
                <w:sz w:val="20"/>
                <w:szCs w:val="20"/>
              </w:rPr>
              <w:t>oenja</w:t>
            </w:r>
          </w:p>
        </w:tc>
      </w:tr>
      <w:tr w:rsidR="00CA60F8" w:rsidRPr="00585568" w14:paraId="5E9DC85E" w14:textId="77777777" w:rsidTr="004056B7">
        <w:trPr>
          <w:trHeight w:val="15"/>
        </w:trPr>
        <w:tc>
          <w:tcPr>
            <w:tcW w:w="8921" w:type="dxa"/>
            <w:gridSpan w:val="8"/>
            <w:tcBorders>
              <w:top w:val="single" w:sz="4" w:space="0" w:color="auto"/>
              <w:left w:val="single" w:sz="4" w:space="0" w:color="auto"/>
              <w:bottom w:val="single" w:sz="4" w:space="0" w:color="auto"/>
              <w:right w:val="single" w:sz="4" w:space="0" w:color="auto"/>
            </w:tcBorders>
            <w:vAlign w:val="center"/>
          </w:tcPr>
          <w:p w14:paraId="3F48958B" w14:textId="77777777" w:rsidR="00CA60F8" w:rsidRPr="003B5EF5" w:rsidRDefault="00CA60F8" w:rsidP="004056B7">
            <w:pPr>
              <w:ind w:left="-10"/>
              <w:textAlignment w:val="baseline"/>
              <w:rPr>
                <w:rFonts w:ascii="Arial Narrow" w:hAnsi="Arial Narrow" w:cs="Segoe UI"/>
                <w:b/>
                <w:bCs/>
                <w:color w:val="000000"/>
                <w:sz w:val="20"/>
                <w:szCs w:val="20"/>
              </w:rPr>
            </w:pPr>
          </w:p>
        </w:tc>
      </w:tr>
      <w:tr w:rsidR="00CA60F8" w:rsidRPr="00585568" w14:paraId="71645D90" w14:textId="77777777" w:rsidTr="004056B7">
        <w:trPr>
          <w:trHeight w:val="15"/>
        </w:trPr>
        <w:tc>
          <w:tcPr>
            <w:tcW w:w="8921" w:type="dxa"/>
            <w:gridSpan w:val="8"/>
            <w:tcBorders>
              <w:top w:val="single" w:sz="4" w:space="0" w:color="auto"/>
              <w:left w:val="single" w:sz="4" w:space="0" w:color="auto"/>
              <w:bottom w:val="single" w:sz="4" w:space="0" w:color="auto"/>
              <w:right w:val="single" w:sz="4" w:space="0" w:color="auto"/>
            </w:tcBorders>
            <w:vAlign w:val="center"/>
            <w:hideMark/>
          </w:tcPr>
          <w:p w14:paraId="661C93F0" w14:textId="29F2E8A1" w:rsidR="00CA60F8" w:rsidRPr="003B5EF5" w:rsidRDefault="00CA60F8" w:rsidP="004056B7">
            <w:pPr>
              <w:ind w:left="133"/>
              <w:textAlignment w:val="baseline"/>
              <w:rPr>
                <w:rFonts w:ascii="Arial Narrow" w:hAnsi="Arial Narrow" w:cs="Segoe UI"/>
                <w:color w:val="000000"/>
                <w:sz w:val="20"/>
                <w:szCs w:val="20"/>
                <w:lang w:val="en-US"/>
              </w:rPr>
            </w:pPr>
            <w:r w:rsidRPr="003B5EF5">
              <w:rPr>
                <w:rFonts w:ascii="Arial Narrow" w:hAnsi="Arial Narrow" w:cs="Segoe UI"/>
                <w:b/>
                <w:bCs/>
                <w:color w:val="000000"/>
                <w:sz w:val="20"/>
                <w:szCs w:val="20"/>
              </w:rPr>
              <w:t>Restriction</w:t>
            </w:r>
            <w:r w:rsidRPr="003B5EF5">
              <w:rPr>
                <w:rFonts w:ascii="Arial Narrow" w:hAnsi="Arial Narrow" w:cs="Segoe UI"/>
                <w:b/>
                <w:bCs/>
                <w:color w:val="000000"/>
                <w:sz w:val="20"/>
                <w:szCs w:val="20"/>
                <w:lang w:val="en-GB"/>
              </w:rPr>
              <w:t xml:space="preserve"> Summary </w:t>
            </w:r>
            <w:r w:rsidRPr="007E53D3">
              <w:rPr>
                <w:rFonts w:ascii="Arial Narrow" w:hAnsi="Arial Narrow" w:cs="Segoe UI"/>
                <w:b/>
                <w:bCs/>
                <w:color w:val="000000"/>
                <w:sz w:val="20"/>
                <w:szCs w:val="20"/>
                <w:lang w:val="en-GB"/>
              </w:rPr>
              <w:t>[new</w:t>
            </w:r>
            <w:r>
              <w:rPr>
                <w:rFonts w:ascii="Arial Narrow" w:hAnsi="Arial Narrow" w:cs="Segoe UI"/>
                <w:b/>
                <w:bCs/>
                <w:color w:val="000000"/>
                <w:sz w:val="20"/>
                <w:szCs w:val="20"/>
                <w:lang w:val="en-GB"/>
              </w:rPr>
              <w:t>2</w:t>
            </w:r>
            <w:r w:rsidRPr="007E53D3">
              <w:rPr>
                <w:rFonts w:ascii="Arial Narrow" w:hAnsi="Arial Narrow" w:cs="Segoe UI"/>
                <w:b/>
                <w:bCs/>
                <w:color w:val="000000"/>
                <w:sz w:val="20"/>
                <w:szCs w:val="20"/>
                <w:lang w:val="en-GB"/>
              </w:rPr>
              <w:t>]</w:t>
            </w:r>
            <w:r w:rsidRPr="003B5EF5">
              <w:rPr>
                <w:rFonts w:ascii="Arial Narrow" w:hAnsi="Arial Narrow" w:cs="Segoe UI"/>
                <w:i/>
                <w:iCs/>
                <w:color w:val="000000"/>
                <w:sz w:val="20"/>
                <w:szCs w:val="20"/>
                <w:lang w:val="en-GB"/>
              </w:rPr>
              <w:t xml:space="preserve"> </w:t>
            </w:r>
            <w:r w:rsidRPr="003B5EF5">
              <w:rPr>
                <w:rFonts w:ascii="Arial Narrow" w:hAnsi="Arial Narrow" w:cs="Segoe UI"/>
                <w:b/>
                <w:bCs/>
                <w:color w:val="000000"/>
                <w:sz w:val="20"/>
                <w:szCs w:val="20"/>
                <w:lang w:val="en-GB"/>
              </w:rPr>
              <w:t>/ Treatment of Concept</w:t>
            </w:r>
            <w:r w:rsidRPr="005C448B">
              <w:rPr>
                <w:rFonts w:ascii="Arial Narrow" w:hAnsi="Arial Narrow" w:cs="Segoe UI"/>
                <w:b/>
                <w:bCs/>
                <w:color w:val="000000"/>
                <w:sz w:val="20"/>
                <w:szCs w:val="20"/>
                <w:lang w:val="en-GB"/>
              </w:rPr>
              <w:t xml:space="preserve">: </w:t>
            </w:r>
            <w:r w:rsidRPr="007E53D3">
              <w:rPr>
                <w:rFonts w:ascii="Arial Narrow" w:hAnsi="Arial Narrow" w:cs="Segoe UI"/>
                <w:b/>
                <w:bCs/>
                <w:color w:val="000000"/>
                <w:sz w:val="20"/>
                <w:szCs w:val="20"/>
                <w:lang w:val="en-GB"/>
              </w:rPr>
              <w:t>[new</w:t>
            </w:r>
            <w:r>
              <w:rPr>
                <w:rFonts w:ascii="Arial Narrow" w:hAnsi="Arial Narrow" w:cs="Segoe UI"/>
                <w:b/>
                <w:bCs/>
                <w:color w:val="000000"/>
                <w:sz w:val="20"/>
                <w:szCs w:val="20"/>
                <w:lang w:val="en-GB"/>
              </w:rPr>
              <w:t>2</w:t>
            </w:r>
            <w:r w:rsidRPr="007E53D3">
              <w:rPr>
                <w:rFonts w:ascii="Arial Narrow" w:hAnsi="Arial Narrow" w:cs="Segoe UI"/>
                <w:b/>
                <w:bCs/>
                <w:color w:val="000000"/>
                <w:sz w:val="20"/>
                <w:szCs w:val="20"/>
                <w:lang w:val="en-GB"/>
              </w:rPr>
              <w:t>]:</w:t>
            </w:r>
          </w:p>
        </w:tc>
      </w:tr>
      <w:tr w:rsidR="00CA60F8" w:rsidRPr="00585568" w14:paraId="4F08A131" w14:textId="77777777" w:rsidTr="004056B7">
        <w:trPr>
          <w:trHeight w:val="15"/>
        </w:trPr>
        <w:tc>
          <w:tcPr>
            <w:tcW w:w="1059" w:type="dxa"/>
            <w:gridSpan w:val="2"/>
            <w:vMerge w:val="restart"/>
            <w:tcBorders>
              <w:top w:val="single" w:sz="4" w:space="0" w:color="auto"/>
              <w:left w:val="single" w:sz="4" w:space="0" w:color="auto"/>
              <w:right w:val="single" w:sz="4" w:space="0" w:color="auto"/>
            </w:tcBorders>
            <w:vAlign w:val="center"/>
          </w:tcPr>
          <w:p w14:paraId="3266556C" w14:textId="5A867A2D" w:rsidR="00CA60F8" w:rsidRPr="003B5EF5" w:rsidRDefault="00CA60F8" w:rsidP="004056B7">
            <w:pPr>
              <w:ind w:left="133"/>
              <w:jc w:val="center"/>
              <w:textAlignment w:val="baseline"/>
              <w:rPr>
                <w:rFonts w:ascii="Arial Narrow" w:hAnsi="Arial Narrow" w:cs="Segoe UI"/>
                <w:color w:val="000000"/>
                <w:sz w:val="20"/>
                <w:szCs w:val="20"/>
              </w:rPr>
            </w:pPr>
            <w:r w:rsidRPr="003B5EF5">
              <w:rPr>
                <w:rFonts w:ascii="Arial Narrow" w:hAnsi="Arial Narrow" w:cs="Segoe UI"/>
                <w:color w:val="000000"/>
                <w:sz w:val="20"/>
                <w:szCs w:val="20"/>
              </w:rPr>
              <w:t>This column – for Dept. use</w:t>
            </w: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1AE7F0AB" w14:textId="77777777" w:rsidR="00CA60F8" w:rsidRPr="00012559" w:rsidRDefault="00CA60F8" w:rsidP="004056B7">
            <w:pPr>
              <w:keepLines/>
              <w:ind w:left="69"/>
              <w:rPr>
                <w:rFonts w:ascii="Arial Narrow" w:hAnsi="Arial Narrow" w:cs="Segoe UI"/>
                <w:b/>
                <w:bCs/>
                <w:color w:val="000000"/>
                <w:sz w:val="20"/>
                <w:szCs w:val="20"/>
              </w:rPr>
            </w:pPr>
            <w:r w:rsidRPr="00012559">
              <w:rPr>
                <w:rFonts w:ascii="Arial Narrow" w:hAnsi="Arial Narrow"/>
                <w:b/>
                <w:sz w:val="20"/>
                <w:szCs w:val="20"/>
              </w:rPr>
              <w:t>Category / Program:</w:t>
            </w:r>
            <w:r w:rsidRPr="00012559">
              <w:rPr>
                <w:rFonts w:ascii="Arial Narrow" w:eastAsia="Calibri" w:hAnsi="Arial Narrow"/>
                <w:sz w:val="20"/>
                <w:szCs w:val="20"/>
              </w:rPr>
              <w:t>)</w:t>
            </w:r>
            <w:r w:rsidRPr="00012559">
              <w:rPr>
                <w:rFonts w:ascii="Arial Narrow" w:eastAsia="Calibri" w:hAnsi="Arial Narrow"/>
                <w:sz w:val="20"/>
                <w:szCs w:val="20"/>
              </w:rPr>
              <w:fldChar w:fldCharType="begin" w:fldLock="1">
                <w:ffData>
                  <w:name w:val=""/>
                  <w:enabled/>
                  <w:calcOnExit w:val="0"/>
                  <w:checkBox>
                    <w:sizeAuto/>
                    <w:default w:val="1"/>
                  </w:checkBox>
                </w:ffData>
              </w:fldChar>
            </w:r>
            <w:r w:rsidRPr="00012559">
              <w:rPr>
                <w:rFonts w:ascii="Arial Narrow" w:eastAsia="Calibri" w:hAnsi="Arial Narrow"/>
                <w:sz w:val="20"/>
                <w:szCs w:val="20"/>
              </w:rPr>
              <w:instrText xml:space="preserve"> FORMCHECKBOX </w:instrText>
            </w:r>
            <w:r w:rsidRPr="00012559">
              <w:rPr>
                <w:rFonts w:ascii="Arial Narrow" w:eastAsia="Calibri" w:hAnsi="Arial Narrow"/>
                <w:sz w:val="20"/>
                <w:szCs w:val="20"/>
              </w:rPr>
            </w:r>
            <w:r w:rsidRPr="00012559">
              <w:rPr>
                <w:rFonts w:ascii="Arial Narrow" w:eastAsia="Calibri" w:hAnsi="Arial Narrow"/>
                <w:sz w:val="20"/>
                <w:szCs w:val="20"/>
              </w:rPr>
              <w:fldChar w:fldCharType="separate"/>
            </w:r>
            <w:r w:rsidRPr="00012559">
              <w:rPr>
                <w:rFonts w:ascii="Arial Narrow" w:eastAsia="Calibri" w:hAnsi="Arial Narrow"/>
                <w:sz w:val="20"/>
                <w:szCs w:val="20"/>
              </w:rPr>
              <w:fldChar w:fldCharType="end"/>
            </w:r>
            <w:r w:rsidRPr="00012559">
              <w:rPr>
                <w:rFonts w:ascii="Arial Narrow" w:eastAsia="Calibri" w:hAnsi="Arial Narrow"/>
                <w:sz w:val="20"/>
                <w:szCs w:val="20"/>
              </w:rPr>
              <w:t xml:space="preserve"> Section 100 – Highly Specialised Drugs Program – Public (Code HB)</w:t>
            </w:r>
            <w:r w:rsidRPr="00012559">
              <w:rPr>
                <w:rFonts w:ascii="Arial Narrow" w:eastAsia="Calibri" w:hAnsi="Arial Narrow"/>
                <w:color w:val="FF0000"/>
                <w:sz w:val="20"/>
                <w:szCs w:val="20"/>
              </w:rPr>
              <w:t xml:space="preserve"> </w:t>
            </w:r>
            <w:r w:rsidRPr="00012559">
              <w:rPr>
                <w:rFonts w:ascii="Arial Narrow" w:eastAsia="Calibri" w:hAnsi="Arial Narrow"/>
                <w:sz w:val="20"/>
                <w:szCs w:val="20"/>
              </w:rPr>
              <w:t>/ Private (Code HS)</w:t>
            </w:r>
          </w:p>
        </w:tc>
      </w:tr>
      <w:tr w:rsidR="00CA60F8" w:rsidRPr="00585568" w14:paraId="420215AE" w14:textId="77777777" w:rsidTr="004056B7">
        <w:trPr>
          <w:trHeight w:val="15"/>
        </w:trPr>
        <w:tc>
          <w:tcPr>
            <w:tcW w:w="1059" w:type="dxa"/>
            <w:gridSpan w:val="2"/>
            <w:vMerge/>
            <w:tcBorders>
              <w:left w:val="single" w:sz="4" w:space="0" w:color="auto"/>
              <w:right w:val="single" w:sz="4" w:space="0" w:color="auto"/>
            </w:tcBorders>
            <w:vAlign w:val="center"/>
          </w:tcPr>
          <w:p w14:paraId="191CC32C"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7F7837D0" w14:textId="77777777" w:rsidR="00CA60F8" w:rsidRPr="00012559" w:rsidRDefault="00CA60F8" w:rsidP="004056B7">
            <w:pPr>
              <w:keepLines/>
              <w:ind w:left="69"/>
              <w:rPr>
                <w:rFonts w:ascii="Arial Narrow" w:hAnsi="Arial Narrow" w:cs="Segoe UI"/>
                <w:b/>
                <w:bCs/>
                <w:color w:val="000000"/>
                <w:sz w:val="20"/>
                <w:szCs w:val="20"/>
              </w:rPr>
            </w:pPr>
            <w:r w:rsidRPr="00012559">
              <w:rPr>
                <w:rFonts w:ascii="Arial Narrow" w:hAnsi="Arial Narrow"/>
                <w:b/>
                <w:sz w:val="20"/>
                <w:szCs w:val="20"/>
              </w:rPr>
              <w:t>Prescriber type:</w:t>
            </w:r>
            <w:r w:rsidRPr="00012559">
              <w:rPr>
                <w:rFonts w:ascii="Arial Narrow" w:hAnsi="Arial Narrow"/>
                <w:sz w:val="20"/>
                <w:szCs w:val="20"/>
              </w:rPr>
              <w:t xml:space="preserve"> </w:t>
            </w:r>
            <w:r w:rsidRPr="00012559">
              <w:rPr>
                <w:rFonts w:ascii="Arial Narrow" w:hAnsi="Arial Narrow"/>
                <w:sz w:val="20"/>
                <w:szCs w:val="20"/>
              </w:rPr>
              <w:fldChar w:fldCharType="begin" w:fldLock="1">
                <w:ffData>
                  <w:name w:val=""/>
                  <w:enabled/>
                  <w:calcOnExit w:val="0"/>
                  <w:checkBox>
                    <w:sizeAuto/>
                    <w:default w:val="1"/>
                  </w:checkBox>
                </w:ffData>
              </w:fldChar>
            </w:r>
            <w:r w:rsidRPr="00012559">
              <w:rPr>
                <w:rFonts w:ascii="Arial Narrow" w:hAnsi="Arial Narrow"/>
                <w:sz w:val="20"/>
                <w:szCs w:val="20"/>
              </w:rPr>
              <w:instrText xml:space="preserve"> FORMCHECKBOX </w:instrText>
            </w:r>
            <w:r w:rsidRPr="00012559">
              <w:rPr>
                <w:rFonts w:ascii="Arial Narrow" w:hAnsi="Arial Narrow"/>
                <w:sz w:val="20"/>
                <w:szCs w:val="20"/>
              </w:rPr>
            </w:r>
            <w:r w:rsidRPr="00012559">
              <w:rPr>
                <w:rFonts w:ascii="Arial Narrow" w:hAnsi="Arial Narrow"/>
                <w:sz w:val="20"/>
                <w:szCs w:val="20"/>
              </w:rPr>
              <w:fldChar w:fldCharType="separate"/>
            </w:r>
            <w:r w:rsidRPr="00012559">
              <w:rPr>
                <w:rFonts w:ascii="Arial Narrow" w:hAnsi="Arial Narrow"/>
                <w:sz w:val="20"/>
                <w:szCs w:val="20"/>
              </w:rPr>
              <w:fldChar w:fldCharType="end"/>
            </w:r>
            <w:r w:rsidRPr="00012559">
              <w:rPr>
                <w:rFonts w:ascii="Arial Narrow" w:hAnsi="Arial Narrow"/>
                <w:sz w:val="20"/>
                <w:szCs w:val="20"/>
              </w:rPr>
              <w:t xml:space="preserve">Medical Practitioners </w:t>
            </w:r>
          </w:p>
        </w:tc>
      </w:tr>
      <w:tr w:rsidR="00CA60F8" w:rsidRPr="00585568" w14:paraId="705C1916" w14:textId="77777777" w:rsidTr="004056B7">
        <w:trPr>
          <w:trHeight w:val="15"/>
        </w:trPr>
        <w:tc>
          <w:tcPr>
            <w:tcW w:w="1059" w:type="dxa"/>
            <w:gridSpan w:val="2"/>
            <w:vMerge/>
            <w:tcBorders>
              <w:left w:val="single" w:sz="4" w:space="0" w:color="auto"/>
              <w:right w:val="single" w:sz="4" w:space="0" w:color="auto"/>
            </w:tcBorders>
            <w:vAlign w:val="center"/>
          </w:tcPr>
          <w:p w14:paraId="65069C6F"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49AC4190" w14:textId="77777777" w:rsidR="00CA60F8" w:rsidRPr="00012559" w:rsidRDefault="00CA60F8" w:rsidP="004056B7">
            <w:pPr>
              <w:keepLines/>
              <w:ind w:left="69"/>
              <w:rPr>
                <w:rFonts w:ascii="Arial Narrow" w:hAnsi="Arial Narrow" w:cs="Segoe UI"/>
                <w:b/>
                <w:bCs/>
                <w:color w:val="000000"/>
                <w:sz w:val="20"/>
                <w:szCs w:val="20"/>
              </w:rPr>
            </w:pPr>
            <w:r w:rsidRPr="00012559">
              <w:rPr>
                <w:rFonts w:ascii="Arial Narrow" w:hAnsi="Arial Narrow"/>
                <w:b/>
                <w:sz w:val="20"/>
                <w:szCs w:val="20"/>
              </w:rPr>
              <w:t xml:space="preserve">Restriction type: </w:t>
            </w:r>
            <w:r w:rsidRPr="00012559">
              <w:rPr>
                <w:rFonts w:ascii="Arial Narrow" w:eastAsia="Calibri" w:hAnsi="Arial Narrow"/>
                <w:sz w:val="20"/>
                <w:szCs w:val="20"/>
              </w:rPr>
              <w:fldChar w:fldCharType="begin" w:fldLock="1">
                <w:ffData>
                  <w:name w:val=""/>
                  <w:enabled/>
                  <w:calcOnExit w:val="0"/>
                  <w:checkBox>
                    <w:sizeAuto/>
                    <w:default w:val="1"/>
                  </w:checkBox>
                </w:ffData>
              </w:fldChar>
            </w:r>
            <w:r w:rsidRPr="00012559">
              <w:rPr>
                <w:rFonts w:ascii="Arial Narrow" w:eastAsia="Calibri" w:hAnsi="Arial Narrow"/>
                <w:sz w:val="20"/>
                <w:szCs w:val="20"/>
              </w:rPr>
              <w:instrText xml:space="preserve"> FORMCHECKBOX </w:instrText>
            </w:r>
            <w:r w:rsidRPr="00012559">
              <w:rPr>
                <w:rFonts w:ascii="Arial Narrow" w:eastAsia="Calibri" w:hAnsi="Arial Narrow"/>
                <w:sz w:val="20"/>
                <w:szCs w:val="20"/>
              </w:rPr>
            </w:r>
            <w:r w:rsidRPr="00012559">
              <w:rPr>
                <w:rFonts w:ascii="Arial Narrow" w:eastAsia="Calibri" w:hAnsi="Arial Narrow"/>
                <w:sz w:val="20"/>
                <w:szCs w:val="20"/>
              </w:rPr>
              <w:fldChar w:fldCharType="separate"/>
            </w:r>
            <w:r w:rsidRPr="00012559">
              <w:rPr>
                <w:rFonts w:ascii="Arial Narrow" w:eastAsia="Calibri" w:hAnsi="Arial Narrow"/>
                <w:sz w:val="20"/>
                <w:szCs w:val="20"/>
              </w:rPr>
              <w:fldChar w:fldCharType="end"/>
            </w:r>
            <w:r w:rsidRPr="00012559">
              <w:rPr>
                <w:rFonts w:ascii="Arial Narrow" w:eastAsia="Calibri" w:hAnsi="Arial Narrow"/>
                <w:sz w:val="20"/>
                <w:szCs w:val="20"/>
              </w:rPr>
              <w:t>Authority Required (immediate assessment)</w:t>
            </w:r>
          </w:p>
        </w:tc>
      </w:tr>
      <w:tr w:rsidR="00CA60F8" w:rsidRPr="00585568" w14:paraId="5B473113" w14:textId="77777777" w:rsidTr="004056B7">
        <w:trPr>
          <w:trHeight w:val="15"/>
        </w:trPr>
        <w:tc>
          <w:tcPr>
            <w:tcW w:w="1059" w:type="dxa"/>
            <w:gridSpan w:val="2"/>
            <w:vMerge/>
            <w:tcBorders>
              <w:left w:val="single" w:sz="4" w:space="0" w:color="auto"/>
              <w:bottom w:val="single" w:sz="4" w:space="0" w:color="auto"/>
              <w:right w:val="single" w:sz="4" w:space="0" w:color="auto"/>
            </w:tcBorders>
            <w:vAlign w:val="center"/>
          </w:tcPr>
          <w:p w14:paraId="183B50CA"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36970929" w14:textId="77777777" w:rsidR="00CA60F8" w:rsidRPr="00012559" w:rsidRDefault="00CA60F8" w:rsidP="004056B7">
            <w:pPr>
              <w:keepLines/>
              <w:ind w:left="69"/>
              <w:rPr>
                <w:rFonts w:ascii="Arial Narrow" w:hAnsi="Arial Narrow" w:cs="Segoe UI"/>
                <w:b/>
                <w:bCs/>
                <w:color w:val="000000"/>
                <w:sz w:val="20"/>
                <w:szCs w:val="20"/>
              </w:rPr>
            </w:pPr>
            <w:r w:rsidRPr="00012559">
              <w:rPr>
                <w:rFonts w:ascii="Arial Narrow" w:hAnsi="Arial Narrow"/>
                <w:b/>
                <w:sz w:val="20"/>
                <w:szCs w:val="20"/>
              </w:rPr>
              <w:t xml:space="preserve">Authority type: </w:t>
            </w:r>
            <w:r w:rsidRPr="00012559">
              <w:rPr>
                <w:rFonts w:ascii="Arial Narrow" w:eastAsia="Calibri" w:hAnsi="Arial Narrow"/>
                <w:sz w:val="20"/>
                <w:szCs w:val="20"/>
              </w:rPr>
              <w:fldChar w:fldCharType="begin" w:fldLock="1">
                <w:ffData>
                  <w:name w:val=""/>
                  <w:enabled/>
                  <w:calcOnExit w:val="0"/>
                  <w:checkBox>
                    <w:sizeAuto/>
                    <w:default w:val="1"/>
                  </w:checkBox>
                </w:ffData>
              </w:fldChar>
            </w:r>
            <w:r w:rsidRPr="00012559">
              <w:rPr>
                <w:rFonts w:ascii="Arial Narrow" w:eastAsia="Calibri" w:hAnsi="Arial Narrow"/>
                <w:sz w:val="20"/>
                <w:szCs w:val="20"/>
              </w:rPr>
              <w:instrText xml:space="preserve"> FORMCHECKBOX </w:instrText>
            </w:r>
            <w:r w:rsidRPr="00012559">
              <w:rPr>
                <w:rFonts w:ascii="Arial Narrow" w:eastAsia="Calibri" w:hAnsi="Arial Narrow"/>
                <w:sz w:val="20"/>
                <w:szCs w:val="20"/>
              </w:rPr>
            </w:r>
            <w:r w:rsidRPr="00012559">
              <w:rPr>
                <w:rFonts w:ascii="Arial Narrow" w:eastAsia="Calibri" w:hAnsi="Arial Narrow"/>
                <w:sz w:val="20"/>
                <w:szCs w:val="20"/>
              </w:rPr>
              <w:fldChar w:fldCharType="separate"/>
            </w:r>
            <w:r w:rsidRPr="00012559">
              <w:rPr>
                <w:rFonts w:ascii="Arial Narrow" w:eastAsia="Calibri" w:hAnsi="Arial Narrow"/>
                <w:sz w:val="20"/>
                <w:szCs w:val="20"/>
              </w:rPr>
              <w:fldChar w:fldCharType="end"/>
            </w:r>
            <w:r w:rsidRPr="00012559">
              <w:rPr>
                <w:rFonts w:ascii="Arial Narrow" w:eastAsia="Calibri" w:hAnsi="Arial Narrow"/>
                <w:sz w:val="20"/>
                <w:szCs w:val="20"/>
              </w:rPr>
              <w:t xml:space="preserve"> Complex Authority Required (CAR)</w:t>
            </w:r>
          </w:p>
        </w:tc>
      </w:tr>
      <w:tr w:rsidR="00CA60F8" w:rsidRPr="00585568" w14:paraId="54D1C44D" w14:textId="77777777" w:rsidTr="00376D12">
        <w:trPr>
          <w:trHeight w:val="20"/>
        </w:trPr>
        <w:tc>
          <w:tcPr>
            <w:tcW w:w="529" w:type="dxa"/>
            <w:vMerge w:val="restart"/>
            <w:tcBorders>
              <w:top w:val="single" w:sz="4" w:space="0" w:color="auto"/>
              <w:left w:val="single" w:sz="4" w:space="0" w:color="auto"/>
              <w:right w:val="single" w:sz="4" w:space="0" w:color="auto"/>
            </w:tcBorders>
            <w:textDirection w:val="btLr"/>
            <w:vAlign w:val="center"/>
          </w:tcPr>
          <w:p w14:paraId="5532952B" w14:textId="77777777" w:rsidR="00CA60F8" w:rsidRPr="003B5EF5" w:rsidRDefault="00CA60F8" w:rsidP="004056B7">
            <w:pPr>
              <w:ind w:left="133" w:right="113"/>
              <w:jc w:val="center"/>
              <w:textAlignment w:val="baseline"/>
              <w:rPr>
                <w:rFonts w:ascii="Arial Narrow" w:hAnsi="Arial Narrow" w:cs="Segoe UI"/>
                <w:color w:val="000000"/>
                <w:sz w:val="20"/>
                <w:szCs w:val="20"/>
              </w:rPr>
            </w:pPr>
            <w:r w:rsidRPr="001922CF">
              <w:rPr>
                <w:rFonts w:ascii="Arial Narrow" w:hAnsi="Arial Narrow" w:cs="Segoe UI"/>
                <w:color w:val="000000"/>
                <w:sz w:val="20"/>
                <w:szCs w:val="20"/>
              </w:rPr>
              <w:t>Prescribing rule level</w:t>
            </w:r>
          </w:p>
        </w:tc>
        <w:tc>
          <w:tcPr>
            <w:tcW w:w="530" w:type="dxa"/>
            <w:tcBorders>
              <w:top w:val="single" w:sz="4" w:space="0" w:color="auto"/>
              <w:bottom w:val="single" w:sz="4" w:space="0" w:color="auto"/>
              <w:right w:val="single" w:sz="4" w:space="0" w:color="auto"/>
            </w:tcBorders>
            <w:vAlign w:val="center"/>
          </w:tcPr>
          <w:p w14:paraId="109188B6" w14:textId="38E5F8DD" w:rsidR="00CA60F8" w:rsidRPr="000B4CAE" w:rsidRDefault="00CA60F8" w:rsidP="004056B7">
            <w:pPr>
              <w:ind w:left="133"/>
              <w:textAlignment w:val="baseline"/>
              <w:rPr>
                <w:rFonts w:ascii="Arial Narrow" w:hAnsi="Arial Narrow" w:cs="Segoe UI"/>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3A366BC9" w14:textId="77777777" w:rsidR="00CA60F8" w:rsidRPr="00012559" w:rsidRDefault="00CA60F8" w:rsidP="004056B7">
            <w:pPr>
              <w:ind w:left="69"/>
              <w:textAlignment w:val="baseline"/>
              <w:rPr>
                <w:rFonts w:ascii="Arial Narrow" w:hAnsi="Arial Narrow" w:cs="Segoe UI"/>
                <w:b/>
                <w:bCs/>
                <w:sz w:val="20"/>
                <w:szCs w:val="20"/>
              </w:rPr>
            </w:pPr>
            <w:r w:rsidRPr="00012559">
              <w:rPr>
                <w:rFonts w:ascii="Arial Narrow" w:hAnsi="Arial Narrow"/>
                <w:b/>
                <w:bCs/>
                <w:sz w:val="20"/>
                <w:szCs w:val="20"/>
              </w:rPr>
              <w:t xml:space="preserve">Administrative Advice: </w:t>
            </w:r>
            <w:r w:rsidRPr="00012559">
              <w:rPr>
                <w:rFonts w:ascii="Arial Narrow" w:hAnsi="Arial Narrow"/>
                <w:bCs/>
                <w:sz w:val="20"/>
                <w:szCs w:val="20"/>
              </w:rPr>
              <w:t>No increase in the maximum quantity or number of units may be authorised.</w:t>
            </w:r>
          </w:p>
        </w:tc>
      </w:tr>
      <w:tr w:rsidR="00CA60F8" w:rsidRPr="00585568" w14:paraId="15037A01" w14:textId="77777777" w:rsidTr="00376D12">
        <w:trPr>
          <w:trHeight w:val="20"/>
        </w:trPr>
        <w:tc>
          <w:tcPr>
            <w:tcW w:w="529" w:type="dxa"/>
            <w:vMerge/>
            <w:tcBorders>
              <w:left w:val="single" w:sz="4" w:space="0" w:color="auto"/>
              <w:right w:val="single" w:sz="4" w:space="0" w:color="auto"/>
            </w:tcBorders>
            <w:vAlign w:val="center"/>
          </w:tcPr>
          <w:p w14:paraId="0E64A65A"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530" w:type="dxa"/>
            <w:tcBorders>
              <w:top w:val="single" w:sz="4" w:space="0" w:color="auto"/>
              <w:bottom w:val="single" w:sz="4" w:space="0" w:color="auto"/>
              <w:right w:val="single" w:sz="4" w:space="0" w:color="auto"/>
            </w:tcBorders>
            <w:vAlign w:val="center"/>
          </w:tcPr>
          <w:p w14:paraId="464E7F25" w14:textId="69890422" w:rsidR="00CA60F8" w:rsidRPr="000B4CAE" w:rsidRDefault="00CA60F8" w:rsidP="004056B7">
            <w:pPr>
              <w:ind w:left="133"/>
              <w:textAlignment w:val="baseline"/>
              <w:rPr>
                <w:rFonts w:ascii="Arial Narrow" w:hAnsi="Arial Narrow" w:cs="Segoe UI"/>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4C708DF9" w14:textId="77777777" w:rsidR="00CA60F8" w:rsidRPr="00012559" w:rsidRDefault="00CA60F8" w:rsidP="004056B7">
            <w:pPr>
              <w:ind w:left="69"/>
              <w:textAlignment w:val="baseline"/>
              <w:rPr>
                <w:rFonts w:ascii="Arial Narrow" w:hAnsi="Arial Narrow" w:cs="Segoe UI"/>
                <w:b/>
                <w:bCs/>
                <w:sz w:val="20"/>
                <w:szCs w:val="20"/>
              </w:rPr>
            </w:pPr>
            <w:r w:rsidRPr="00012559">
              <w:rPr>
                <w:rFonts w:ascii="Arial Narrow" w:hAnsi="Arial Narrow"/>
                <w:b/>
                <w:bCs/>
                <w:sz w:val="20"/>
                <w:szCs w:val="20"/>
              </w:rPr>
              <w:t xml:space="preserve">Administrative Advice: </w:t>
            </w:r>
            <w:r w:rsidRPr="00012559">
              <w:rPr>
                <w:rFonts w:ascii="Arial Narrow" w:hAnsi="Arial Narrow"/>
                <w:bCs/>
                <w:sz w:val="20"/>
                <w:szCs w:val="20"/>
              </w:rPr>
              <w:t>No increase in the maximum number of repeats may be authorised.</w:t>
            </w:r>
          </w:p>
        </w:tc>
      </w:tr>
      <w:tr w:rsidR="00CA60F8" w:rsidRPr="00585568" w14:paraId="2CEADCA0" w14:textId="77777777" w:rsidTr="004056B7">
        <w:trPr>
          <w:trHeight w:val="548"/>
        </w:trPr>
        <w:tc>
          <w:tcPr>
            <w:tcW w:w="529" w:type="dxa"/>
            <w:vMerge/>
            <w:tcBorders>
              <w:left w:val="single" w:sz="4" w:space="0" w:color="auto"/>
              <w:right w:val="single" w:sz="4" w:space="0" w:color="auto"/>
            </w:tcBorders>
            <w:vAlign w:val="center"/>
          </w:tcPr>
          <w:p w14:paraId="416C2519" w14:textId="77777777" w:rsidR="00CA60F8" w:rsidRPr="003B5EF5" w:rsidRDefault="00CA60F8" w:rsidP="004056B7">
            <w:pPr>
              <w:ind w:left="133"/>
              <w:jc w:val="center"/>
              <w:textAlignment w:val="baseline"/>
              <w:rPr>
                <w:rFonts w:ascii="Arial Narrow" w:hAnsi="Arial Narrow" w:cs="Segoe UI"/>
                <w:color w:val="000000"/>
                <w:sz w:val="20"/>
                <w:szCs w:val="20"/>
              </w:rPr>
            </w:pPr>
          </w:p>
        </w:tc>
        <w:tc>
          <w:tcPr>
            <w:tcW w:w="530" w:type="dxa"/>
            <w:tcBorders>
              <w:top w:val="single" w:sz="4" w:space="0" w:color="auto"/>
              <w:bottom w:val="single" w:sz="4" w:space="0" w:color="auto"/>
              <w:right w:val="single" w:sz="4" w:space="0" w:color="auto"/>
            </w:tcBorders>
            <w:vAlign w:val="center"/>
          </w:tcPr>
          <w:p w14:paraId="6CD7F46A" w14:textId="487081FD" w:rsidR="00CA60F8" w:rsidRPr="000B4CAE" w:rsidRDefault="00CA60F8" w:rsidP="004056B7">
            <w:pPr>
              <w:ind w:left="38"/>
              <w:textAlignment w:val="baseline"/>
              <w:rPr>
                <w:rFonts w:ascii="Arial Narrow" w:hAnsi="Arial Narrow"/>
                <w:bCs/>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33C87986" w14:textId="405F6B8A" w:rsidR="00CA60F8" w:rsidRPr="00012559" w:rsidRDefault="00CA60F8" w:rsidP="004056B7">
            <w:pPr>
              <w:ind w:left="69"/>
              <w:rPr>
                <w:rFonts w:ascii="Arial Narrow" w:hAnsi="Arial Narrow"/>
                <w:bCs/>
                <w:sz w:val="20"/>
                <w:szCs w:val="20"/>
              </w:rPr>
            </w:pPr>
            <w:r w:rsidRPr="00012559">
              <w:rPr>
                <w:rFonts w:ascii="Arial Narrow" w:hAnsi="Arial Narrow"/>
                <w:b/>
                <w:bCs/>
                <w:sz w:val="20"/>
                <w:szCs w:val="20"/>
              </w:rPr>
              <w:t xml:space="preserve">Administrative Advice: </w:t>
            </w:r>
            <w:r w:rsidRPr="00012559">
              <w:rPr>
                <w:rFonts w:ascii="Arial Narrow" w:hAnsi="Arial Narrow"/>
                <w:bCs/>
                <w:sz w:val="20"/>
                <w:szCs w:val="20"/>
              </w:rPr>
              <w:t xml:space="preserve">Applications for authorisation under this restriction may be made in real time using the Online PBS Authorities system (see </w:t>
            </w:r>
            <w:hyperlink r:id="rId19" w:history="1">
              <w:r w:rsidRPr="00012559">
                <w:rPr>
                  <w:rStyle w:val="Hyperlink"/>
                  <w:rFonts w:ascii="Arial Narrow" w:hAnsi="Arial Narrow"/>
                  <w:bCs/>
                  <w:sz w:val="20"/>
                  <w:szCs w:val="20"/>
                </w:rPr>
                <w:t>www.servicesaustralia.gov.au/HPOS</w:t>
              </w:r>
            </w:hyperlink>
            <w:r w:rsidRPr="00012559">
              <w:rPr>
                <w:rFonts w:ascii="Arial Narrow" w:hAnsi="Arial Narrow"/>
                <w:bCs/>
                <w:sz w:val="20"/>
                <w:szCs w:val="20"/>
              </w:rPr>
              <w:t>) or by telephone by contacting Services Australia on 1800 700 270 (hours of operation 8 a.m. to 5 p.m. Monday to Friday).</w:t>
            </w:r>
          </w:p>
        </w:tc>
      </w:tr>
      <w:tr w:rsidR="00CA60F8" w:rsidRPr="00585568" w14:paraId="4BB5C28B" w14:textId="77777777" w:rsidTr="004056B7">
        <w:trPr>
          <w:trHeight w:val="15"/>
        </w:trPr>
        <w:tc>
          <w:tcPr>
            <w:tcW w:w="1059" w:type="dxa"/>
            <w:gridSpan w:val="2"/>
            <w:vMerge w:val="restart"/>
            <w:tcBorders>
              <w:top w:val="single" w:sz="4" w:space="0" w:color="auto"/>
              <w:left w:val="single" w:sz="4" w:space="0" w:color="auto"/>
              <w:right w:val="single" w:sz="4" w:space="0" w:color="auto"/>
            </w:tcBorders>
            <w:vAlign w:val="center"/>
          </w:tcPr>
          <w:p w14:paraId="491EC2E3" w14:textId="77777777" w:rsidR="00CA60F8" w:rsidRPr="00012559" w:rsidRDefault="00CA60F8" w:rsidP="004056B7">
            <w:pPr>
              <w:ind w:left="133"/>
              <w:jc w:val="center"/>
              <w:textAlignment w:val="baseline"/>
              <w:rPr>
                <w:rFonts w:ascii="Arial Narrow" w:hAnsi="Arial Narrow" w:cs="Segoe UI"/>
                <w:color w:val="000000"/>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3C27535C" w14:textId="77777777" w:rsidR="00CA60F8" w:rsidRPr="00012559" w:rsidRDefault="00CA60F8" w:rsidP="004056B7">
            <w:pPr>
              <w:ind w:left="133"/>
              <w:textAlignment w:val="baseline"/>
              <w:rPr>
                <w:rFonts w:ascii="Arial Narrow" w:hAnsi="Arial Narrow" w:cs="Segoe UI"/>
                <w:b/>
                <w:bCs/>
                <w:color w:val="BFBFBF" w:themeColor="background1" w:themeShade="BF"/>
                <w:sz w:val="20"/>
                <w:szCs w:val="20"/>
              </w:rPr>
            </w:pPr>
            <w:r w:rsidRPr="00012559">
              <w:rPr>
                <w:rFonts w:ascii="Arial Narrow" w:hAnsi="Arial Narrow"/>
                <w:b/>
                <w:bCs/>
                <w:color w:val="BFBFBF" w:themeColor="background1" w:themeShade="BF"/>
                <w:sz w:val="20"/>
                <w:szCs w:val="20"/>
              </w:rPr>
              <w:t xml:space="preserve">Episodicity: </w:t>
            </w:r>
            <w:r w:rsidRPr="00012559">
              <w:rPr>
                <w:rFonts w:ascii="Arial Narrow" w:hAnsi="Arial Narrow"/>
                <w:bCs/>
                <w:color w:val="BFBFBF" w:themeColor="background1" w:themeShade="BF"/>
                <w:sz w:val="20"/>
                <w:szCs w:val="20"/>
              </w:rPr>
              <w:t xml:space="preserve">[blank] </w:t>
            </w:r>
          </w:p>
        </w:tc>
      </w:tr>
      <w:tr w:rsidR="00CA60F8" w:rsidRPr="00585568" w14:paraId="5C434206" w14:textId="77777777" w:rsidTr="004056B7">
        <w:trPr>
          <w:trHeight w:val="15"/>
        </w:trPr>
        <w:tc>
          <w:tcPr>
            <w:tcW w:w="1059" w:type="dxa"/>
            <w:gridSpan w:val="2"/>
            <w:vMerge/>
            <w:tcBorders>
              <w:left w:val="single" w:sz="4" w:space="0" w:color="auto"/>
              <w:right w:val="single" w:sz="4" w:space="0" w:color="auto"/>
            </w:tcBorders>
            <w:vAlign w:val="center"/>
          </w:tcPr>
          <w:p w14:paraId="16F52B56" w14:textId="77777777" w:rsidR="00CA60F8" w:rsidRPr="00012559" w:rsidRDefault="00CA60F8" w:rsidP="004056B7">
            <w:pPr>
              <w:ind w:left="133"/>
              <w:jc w:val="center"/>
              <w:textAlignment w:val="baseline"/>
              <w:rPr>
                <w:rFonts w:ascii="Arial Narrow" w:hAnsi="Arial Narrow" w:cs="Segoe UI"/>
                <w:color w:val="000000"/>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568C37BD" w14:textId="77777777" w:rsidR="00CA60F8" w:rsidRPr="00012559" w:rsidRDefault="00CA60F8" w:rsidP="004056B7">
            <w:pPr>
              <w:ind w:left="133"/>
              <w:textAlignment w:val="baseline"/>
              <w:rPr>
                <w:rFonts w:ascii="Arial Narrow" w:hAnsi="Arial Narrow" w:cs="Segoe UI"/>
                <w:b/>
                <w:bCs/>
                <w:color w:val="BFBFBF" w:themeColor="background1" w:themeShade="BF"/>
                <w:sz w:val="20"/>
                <w:szCs w:val="20"/>
              </w:rPr>
            </w:pPr>
            <w:r w:rsidRPr="00012559">
              <w:rPr>
                <w:rFonts w:ascii="Arial Narrow" w:hAnsi="Arial Narrow"/>
                <w:b/>
                <w:bCs/>
                <w:color w:val="BFBFBF" w:themeColor="background1" w:themeShade="BF"/>
                <w:sz w:val="20"/>
                <w:szCs w:val="20"/>
              </w:rPr>
              <w:t xml:space="preserve">Severity: </w:t>
            </w:r>
            <w:r w:rsidRPr="00012559">
              <w:rPr>
                <w:rFonts w:ascii="Arial Narrow" w:hAnsi="Arial Narrow"/>
                <w:bCs/>
                <w:color w:val="BFBFBF" w:themeColor="background1" w:themeShade="BF"/>
                <w:sz w:val="20"/>
                <w:szCs w:val="20"/>
              </w:rPr>
              <w:t xml:space="preserve">[blank] </w:t>
            </w:r>
          </w:p>
        </w:tc>
      </w:tr>
      <w:tr w:rsidR="00CA60F8" w:rsidRPr="00585568" w14:paraId="385FE8E1" w14:textId="77777777" w:rsidTr="004056B7">
        <w:trPr>
          <w:trHeight w:val="15"/>
        </w:trPr>
        <w:tc>
          <w:tcPr>
            <w:tcW w:w="1059" w:type="dxa"/>
            <w:gridSpan w:val="2"/>
            <w:vMerge/>
            <w:tcBorders>
              <w:left w:val="single" w:sz="4" w:space="0" w:color="auto"/>
              <w:bottom w:val="single" w:sz="4" w:space="0" w:color="auto"/>
              <w:right w:val="single" w:sz="4" w:space="0" w:color="auto"/>
            </w:tcBorders>
            <w:vAlign w:val="center"/>
          </w:tcPr>
          <w:p w14:paraId="1B48BD65" w14:textId="77777777" w:rsidR="00CA60F8" w:rsidRPr="00012559" w:rsidRDefault="00CA60F8" w:rsidP="004056B7">
            <w:pPr>
              <w:ind w:left="133"/>
              <w:jc w:val="center"/>
              <w:textAlignment w:val="baseline"/>
              <w:rPr>
                <w:rFonts w:ascii="Arial Narrow" w:hAnsi="Arial Narrow" w:cs="Segoe UI"/>
                <w:color w:val="000000"/>
                <w:sz w:val="20"/>
                <w:szCs w:val="20"/>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50967DAB" w14:textId="6A1B9CE8" w:rsidR="00CA60F8" w:rsidRPr="00012559" w:rsidRDefault="00CA60F8" w:rsidP="004056B7">
            <w:pPr>
              <w:textAlignment w:val="baseline"/>
              <w:rPr>
                <w:rFonts w:ascii="Arial Narrow" w:hAnsi="Arial Narrow" w:cs="Segoe UI"/>
                <w:b/>
                <w:bCs/>
                <w:color w:val="000000"/>
                <w:sz w:val="20"/>
                <w:szCs w:val="20"/>
              </w:rPr>
            </w:pPr>
            <w:r w:rsidRPr="00012559">
              <w:rPr>
                <w:rFonts w:ascii="Arial Narrow" w:hAnsi="Arial Narrow"/>
                <w:b/>
                <w:bCs/>
                <w:color w:val="333333"/>
                <w:sz w:val="20"/>
                <w:szCs w:val="20"/>
              </w:rPr>
              <w:t xml:space="preserve"> Condition: </w:t>
            </w:r>
            <w:r w:rsidRPr="00012559">
              <w:rPr>
                <w:rFonts w:ascii="Arial Narrow" w:hAnsi="Arial Narrow"/>
                <w:bCs/>
                <w:color w:val="333333"/>
                <w:sz w:val="20"/>
                <w:szCs w:val="20"/>
              </w:rPr>
              <w:t>Activated phosphoinositide 3-kinase delta (PI3Kδ) syndrome (APDS)</w:t>
            </w:r>
          </w:p>
        </w:tc>
      </w:tr>
      <w:tr w:rsidR="00CA60F8" w:rsidRPr="00585568" w14:paraId="76AB9A6C"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5275DED2" w14:textId="77777777" w:rsidR="00CA60F8" w:rsidRPr="00012559" w:rsidRDefault="00CA60F8" w:rsidP="004056B7">
            <w:pPr>
              <w:ind w:left="133"/>
              <w:jc w:val="center"/>
              <w:textAlignment w:val="baseline"/>
              <w:rPr>
                <w:rFonts w:ascii="Arial Narrow" w:hAnsi="Arial Narrow" w:cs="Segoe UI"/>
                <w:color w:val="000000"/>
                <w:sz w:val="20"/>
                <w:szCs w:val="20"/>
              </w:rPr>
            </w:pPr>
            <w:r w:rsidRPr="00012559">
              <w:rPr>
                <w:rFonts w:ascii="Arial Narrow" w:hAnsi="Arial Narrow" w:cs="Segoe UI"/>
                <w:color w:val="000000"/>
                <w:sz w:val="20"/>
                <w:szCs w:val="20"/>
              </w:rPr>
              <w:t>New I1</w:t>
            </w: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0EF20B63" w14:textId="541058EB" w:rsidR="00CA60F8" w:rsidRPr="00012559" w:rsidRDefault="00CA60F8" w:rsidP="004056B7">
            <w:pPr>
              <w:ind w:left="69"/>
              <w:textAlignment w:val="baseline"/>
              <w:rPr>
                <w:rFonts w:ascii="Arial Narrow" w:hAnsi="Arial Narrow" w:cs="Segoe UI"/>
                <w:b/>
                <w:bCs/>
                <w:color w:val="000000"/>
                <w:sz w:val="20"/>
                <w:szCs w:val="20"/>
              </w:rPr>
            </w:pPr>
            <w:r w:rsidRPr="00012559">
              <w:rPr>
                <w:rFonts w:ascii="Arial Narrow" w:hAnsi="Arial Narrow" w:cs="Segoe UI"/>
                <w:b/>
                <w:bCs/>
                <w:color w:val="000000"/>
                <w:sz w:val="20"/>
                <w:szCs w:val="20"/>
              </w:rPr>
              <w:t>Indication:</w:t>
            </w:r>
            <w:r w:rsidRPr="00012559">
              <w:rPr>
                <w:rFonts w:ascii="Arial Narrow" w:hAnsi="Arial Narrow" w:cs="Segoe UI"/>
                <w:color w:val="000000"/>
                <w:sz w:val="20"/>
                <w:szCs w:val="20"/>
              </w:rPr>
              <w:t xml:space="preserve"> Activated phosphoinositide 3-kinase delta (PI3Kδ) syndrome (APDS)</w:t>
            </w:r>
          </w:p>
        </w:tc>
      </w:tr>
      <w:tr w:rsidR="00CA60F8" w:rsidRPr="00585568" w14:paraId="02D31E37"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305009B0" w14:textId="77777777" w:rsidR="00CA60F8" w:rsidRPr="003B5EF5" w:rsidRDefault="00CA60F8" w:rsidP="004056B7">
            <w:pPr>
              <w:jc w:val="center"/>
              <w:textAlignment w:val="baseline"/>
              <w:rPr>
                <w:rFonts w:ascii="Arial Narrow" w:hAnsi="Arial Narrow" w:cs="Segoe UI"/>
                <w:color w:val="000000"/>
                <w:sz w:val="20"/>
                <w:szCs w:val="20"/>
                <w:lang w:val="en-US"/>
              </w:rPr>
            </w:pPr>
            <w:r w:rsidRPr="003B5EF5">
              <w:rPr>
                <w:rFonts w:ascii="Arial Narrow" w:hAnsi="Arial Narrow" w:cs="Segoe UI"/>
                <w:color w:val="000000"/>
                <w:sz w:val="20"/>
                <w:szCs w:val="20"/>
                <w:lang w:val="en-US"/>
              </w:rPr>
              <w:t> </w:t>
            </w:r>
          </w:p>
        </w:tc>
        <w:tc>
          <w:tcPr>
            <w:tcW w:w="7862" w:type="dxa"/>
            <w:gridSpan w:val="6"/>
            <w:tcBorders>
              <w:top w:val="single" w:sz="4" w:space="0" w:color="auto"/>
              <w:left w:val="single" w:sz="4" w:space="0" w:color="auto"/>
              <w:bottom w:val="single" w:sz="4" w:space="0" w:color="auto"/>
              <w:right w:val="single" w:sz="4" w:space="0" w:color="auto"/>
            </w:tcBorders>
            <w:vAlign w:val="center"/>
            <w:hideMark/>
          </w:tcPr>
          <w:p w14:paraId="09906082" w14:textId="04F0EFFD" w:rsidR="00CA60F8" w:rsidRPr="00095469" w:rsidRDefault="00CA60F8" w:rsidP="004056B7">
            <w:pPr>
              <w:ind w:left="69"/>
              <w:textAlignment w:val="baseline"/>
              <w:rPr>
                <w:rFonts w:ascii="Arial Narrow" w:hAnsi="Arial Narrow" w:cs="Segoe UI"/>
                <w:i/>
                <w:color w:val="000000"/>
                <w:sz w:val="20"/>
                <w:szCs w:val="20"/>
                <w:lang w:val="en-US"/>
              </w:rPr>
            </w:pPr>
            <w:r w:rsidRPr="003B5EF5">
              <w:rPr>
                <w:rFonts w:ascii="Arial Narrow" w:hAnsi="Arial Narrow" w:cs="Segoe UI"/>
                <w:b/>
                <w:bCs/>
                <w:color w:val="000000"/>
                <w:sz w:val="20"/>
                <w:szCs w:val="20"/>
              </w:rPr>
              <w:t>Treatment Phase:</w:t>
            </w:r>
            <w:r w:rsidRPr="003B5EF5">
              <w:rPr>
                <w:rFonts w:ascii="Arial Narrow" w:hAnsi="Arial Narrow" w:cs="Segoe UI"/>
                <w:color w:val="000000"/>
                <w:sz w:val="20"/>
                <w:szCs w:val="20"/>
              </w:rPr>
              <w:t xml:space="preserve"> </w:t>
            </w:r>
            <w:r w:rsidRPr="00A31096">
              <w:rPr>
                <w:rFonts w:ascii="Arial Narrow" w:hAnsi="Arial Narrow" w:cs="Segoe UI"/>
                <w:color w:val="000000"/>
                <w:sz w:val="20"/>
                <w:szCs w:val="20"/>
                <w:lang w:val="en-US"/>
              </w:rPr>
              <w:t>Continuing treatment</w:t>
            </w:r>
            <w:r w:rsidRPr="003B5EF5">
              <w:rPr>
                <w:rFonts w:ascii="Arial Narrow" w:hAnsi="Arial Narrow" w:cs="Segoe UI"/>
                <w:color w:val="000000"/>
                <w:sz w:val="20"/>
                <w:szCs w:val="20"/>
                <w:lang w:val="en-US"/>
              </w:rPr>
              <w:t xml:space="preserve"> </w:t>
            </w:r>
            <w:r w:rsidR="00095469" w:rsidRPr="0070268E">
              <w:rPr>
                <w:rFonts w:ascii="Arial Narrow" w:hAnsi="Arial Narrow" w:cs="Segoe UI"/>
                <w:color w:val="000000"/>
                <w:sz w:val="20"/>
                <w:szCs w:val="20"/>
                <w:lang w:val="en-US"/>
              </w:rPr>
              <w:t>or reinitiation after a break in therapy</w:t>
            </w:r>
          </w:p>
        </w:tc>
      </w:tr>
      <w:tr w:rsidR="00CA60F8" w:rsidRPr="00585568" w14:paraId="28F0D793"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11B1AB1F" w14:textId="1F37A77F" w:rsidR="00CA60F8" w:rsidRPr="00A31096"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67FE7C3B" w14:textId="77777777" w:rsidR="00CA60F8" w:rsidRPr="00A31096" w:rsidRDefault="00CA60F8" w:rsidP="004056B7">
            <w:pPr>
              <w:ind w:left="69"/>
              <w:textAlignment w:val="baseline"/>
              <w:rPr>
                <w:rFonts w:ascii="Arial Narrow" w:hAnsi="Arial Narrow" w:cs="Segoe UI"/>
                <w:b/>
                <w:bCs/>
                <w:color w:val="000000"/>
                <w:sz w:val="20"/>
                <w:szCs w:val="20"/>
              </w:rPr>
            </w:pPr>
            <w:r w:rsidRPr="00A31096">
              <w:rPr>
                <w:rFonts w:ascii="Arial Narrow" w:hAnsi="Arial Narrow" w:cstheme="minorHAnsi"/>
                <w:b/>
                <w:bCs/>
                <w:sz w:val="20"/>
                <w:szCs w:val="20"/>
                <w:lang w:val="en-US"/>
              </w:rPr>
              <w:t>Clinical criteria:</w:t>
            </w:r>
          </w:p>
        </w:tc>
      </w:tr>
      <w:tr w:rsidR="00CA60F8" w:rsidRPr="00585568" w14:paraId="5B4D4970"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3A8AEAB5" w14:textId="35216BC9" w:rsidR="00CA60F8" w:rsidRPr="000B4CA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05139524" w14:textId="00193CF6" w:rsidR="00CA60F8" w:rsidRPr="00A31096" w:rsidRDefault="00CA60F8" w:rsidP="004056B7">
            <w:pPr>
              <w:ind w:left="69"/>
              <w:textAlignment w:val="baseline"/>
              <w:rPr>
                <w:rFonts w:ascii="Arial Narrow" w:hAnsi="Arial Narrow" w:cs="Segoe UI"/>
                <w:b/>
                <w:bCs/>
                <w:color w:val="000000"/>
                <w:sz w:val="20"/>
                <w:szCs w:val="20"/>
              </w:rPr>
            </w:pPr>
            <w:r w:rsidRPr="00A31096">
              <w:rPr>
                <w:rFonts w:ascii="Arial Narrow" w:hAnsi="Arial Narrow" w:cstheme="minorHAnsi"/>
                <w:sz w:val="20"/>
                <w:szCs w:val="20"/>
              </w:rPr>
              <w:t>Patient must have previously received PBS-subsidised treatment with this drug for this condition</w:t>
            </w:r>
          </w:p>
        </w:tc>
      </w:tr>
      <w:tr w:rsidR="00CA60F8" w:rsidRPr="00585568" w14:paraId="46E2B65C"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3F0732D7" w14:textId="77777777" w:rsidR="00CA60F8" w:rsidRPr="000B4CAE" w:rsidRDefault="00CA60F8" w:rsidP="004056B7">
            <w:pPr>
              <w:jc w:val="center"/>
              <w:textAlignment w:val="baseline"/>
              <w:rPr>
                <w:rFonts w:ascii="Arial Narrow" w:hAnsi="Arial Narrow" w:cstheme="minorHAnsi"/>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12364431" w14:textId="77777777" w:rsidR="00CA60F8" w:rsidRPr="000B4CAE" w:rsidRDefault="00CA60F8" w:rsidP="004056B7">
            <w:pPr>
              <w:ind w:left="69"/>
              <w:textAlignment w:val="baseline"/>
              <w:rPr>
                <w:rFonts w:ascii="Arial Narrow" w:hAnsi="Arial Narrow" w:cstheme="minorHAnsi"/>
                <w:b/>
                <w:bCs/>
                <w:sz w:val="20"/>
                <w:szCs w:val="20"/>
                <w:lang w:val="en-US"/>
              </w:rPr>
            </w:pPr>
            <w:r w:rsidRPr="000B4CAE">
              <w:rPr>
                <w:rFonts w:ascii="Arial Narrow" w:hAnsi="Arial Narrow" w:cstheme="minorHAnsi"/>
                <w:b/>
                <w:bCs/>
                <w:sz w:val="20"/>
                <w:szCs w:val="20"/>
                <w:lang w:val="en-US"/>
              </w:rPr>
              <w:t>AND</w:t>
            </w:r>
          </w:p>
        </w:tc>
      </w:tr>
      <w:tr w:rsidR="00CA60F8" w:rsidRPr="00585568" w14:paraId="511627DC"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027AC7DC" w14:textId="5E30BDC8" w:rsidR="00CA60F8" w:rsidRPr="000B4CA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3B51EDA2" w14:textId="2306F01F" w:rsidR="00CA60F8" w:rsidRPr="0006444C" w:rsidRDefault="00CA60F8" w:rsidP="004056B7">
            <w:pPr>
              <w:ind w:left="69"/>
              <w:textAlignment w:val="baseline"/>
              <w:rPr>
                <w:rFonts w:ascii="Arial Narrow" w:hAnsi="Arial Narrow" w:cs="Segoe UI"/>
                <w:b/>
                <w:bCs/>
                <w:color w:val="000000"/>
                <w:sz w:val="20"/>
                <w:szCs w:val="20"/>
              </w:rPr>
            </w:pPr>
            <w:r w:rsidRPr="0006444C">
              <w:rPr>
                <w:rFonts w:ascii="Arial Narrow" w:hAnsi="Arial Narrow" w:cs="Segoe UI"/>
                <w:b/>
                <w:bCs/>
                <w:color w:val="000000"/>
                <w:sz w:val="20"/>
                <w:szCs w:val="20"/>
              </w:rPr>
              <w:t xml:space="preserve">Clinical </w:t>
            </w:r>
            <w:r w:rsidRPr="003B5EF5">
              <w:rPr>
                <w:rFonts w:ascii="Arial Narrow" w:hAnsi="Arial Narrow" w:cs="Segoe UI"/>
                <w:b/>
                <w:bCs/>
                <w:color w:val="000000"/>
                <w:sz w:val="20"/>
                <w:szCs w:val="20"/>
              </w:rPr>
              <w:t>criteria:</w:t>
            </w:r>
          </w:p>
        </w:tc>
      </w:tr>
      <w:tr w:rsidR="00CA60F8" w:rsidRPr="00585568" w14:paraId="364B93A2" w14:textId="77777777" w:rsidTr="003E634D">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5A0402C1" w14:textId="0EED919A" w:rsidR="00CA60F8" w:rsidRPr="000B4CA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hideMark/>
          </w:tcPr>
          <w:p w14:paraId="4F10103B" w14:textId="0B5A6CDB" w:rsidR="00CA60F8" w:rsidRPr="00D66CEE" w:rsidRDefault="00CA60F8" w:rsidP="004056B7">
            <w:pPr>
              <w:ind w:left="69"/>
              <w:textAlignment w:val="baseline"/>
              <w:rPr>
                <w:rFonts w:ascii="Arial Narrow" w:hAnsi="Arial Narrow" w:cs="Segoe UI"/>
                <w:color w:val="000000"/>
                <w:sz w:val="20"/>
                <w:szCs w:val="20"/>
                <w:lang w:val="en-US"/>
              </w:rPr>
            </w:pPr>
            <w:r w:rsidRPr="00D66CEE">
              <w:rPr>
                <w:rFonts w:ascii="Arial Narrow" w:hAnsi="Arial Narrow" w:cs="Segoe UI"/>
                <w:color w:val="000000"/>
                <w:sz w:val="20"/>
                <w:szCs w:val="20"/>
              </w:rPr>
              <w:t>Patient must have</w:t>
            </w:r>
            <w:r w:rsidR="00A31096" w:rsidRPr="00D66CEE">
              <w:rPr>
                <w:rFonts w:ascii="Arial Narrow" w:hAnsi="Arial Narrow" w:cs="Segoe UI"/>
                <w:color w:val="000000"/>
                <w:sz w:val="20"/>
                <w:szCs w:val="20"/>
              </w:rPr>
              <w:t xml:space="preserve"> </w:t>
            </w:r>
            <w:r w:rsidRPr="00D66CEE">
              <w:rPr>
                <w:rFonts w:ascii="Arial Narrow" w:hAnsi="Arial Narrow" w:cs="Segoe UI"/>
                <w:color w:val="000000"/>
                <w:sz w:val="20"/>
                <w:szCs w:val="20"/>
              </w:rPr>
              <w:t>stable or responding disease</w:t>
            </w:r>
            <w:r w:rsidR="00376D12">
              <w:rPr>
                <w:rFonts w:ascii="Arial Narrow" w:hAnsi="Arial Narrow" w:cs="Segoe UI"/>
                <w:color w:val="000000"/>
                <w:sz w:val="20"/>
                <w:szCs w:val="20"/>
              </w:rPr>
              <w:t xml:space="preserve"> </w:t>
            </w:r>
            <w:r w:rsidR="00707C8F" w:rsidRPr="009918B9">
              <w:rPr>
                <w:rFonts w:ascii="Arial Narrow" w:hAnsi="Arial Narrow" w:cs="Segoe UI"/>
                <w:i/>
                <w:iCs/>
                <w:color w:val="000000"/>
                <w:sz w:val="20"/>
                <w:szCs w:val="20"/>
              </w:rPr>
              <w:t>t</w:t>
            </w:r>
            <w:r w:rsidR="00707C8F" w:rsidRPr="00433E37">
              <w:rPr>
                <w:rFonts w:ascii="Arial Narrow" w:hAnsi="Arial Narrow" w:cs="Segoe UI"/>
                <w:color w:val="000000"/>
                <w:sz w:val="20"/>
                <w:szCs w:val="20"/>
              </w:rPr>
              <w:t>o PBS</w:t>
            </w:r>
            <w:r w:rsidR="00F764A7" w:rsidRPr="00433E37">
              <w:rPr>
                <w:rFonts w:ascii="Arial Narrow" w:hAnsi="Arial Narrow" w:cs="Segoe UI"/>
                <w:color w:val="000000"/>
                <w:sz w:val="20"/>
                <w:szCs w:val="20"/>
              </w:rPr>
              <w:t>-</w:t>
            </w:r>
            <w:r w:rsidR="009918B9" w:rsidRPr="00433E37">
              <w:rPr>
                <w:rFonts w:ascii="Arial Narrow" w:hAnsi="Arial Narrow" w:cs="Segoe UI"/>
                <w:color w:val="000000"/>
                <w:sz w:val="20"/>
                <w:szCs w:val="20"/>
              </w:rPr>
              <w:t>subsidised treatment with this drug for this condition under the initial treatment restriction if the patient has not had a treatment break</w:t>
            </w:r>
            <w:r w:rsidR="009918B9" w:rsidRPr="009918B9">
              <w:rPr>
                <w:rFonts w:ascii="Arial Narrow" w:hAnsi="Arial Narrow" w:cs="Segoe UI"/>
                <w:i/>
                <w:iCs/>
                <w:color w:val="000000"/>
                <w:sz w:val="20"/>
                <w:szCs w:val="20"/>
              </w:rPr>
              <w:t>;</w:t>
            </w:r>
          </w:p>
        </w:tc>
      </w:tr>
      <w:tr w:rsidR="00971CC9" w:rsidRPr="00585568" w14:paraId="54AA4ED9"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3E95CE19" w14:textId="77777777" w:rsidR="00971CC9" w:rsidRPr="000B4CAE" w:rsidRDefault="00971CC9"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14106974" w14:textId="0C02F2CA" w:rsidR="00971CC9" w:rsidRPr="003073D6" w:rsidRDefault="00971CC9" w:rsidP="004056B7">
            <w:pPr>
              <w:ind w:left="69"/>
              <w:textAlignment w:val="baseline"/>
              <w:rPr>
                <w:rFonts w:ascii="Arial Narrow" w:hAnsi="Arial Narrow" w:cs="Segoe UI"/>
                <w:b/>
                <w:color w:val="000000"/>
                <w:sz w:val="20"/>
                <w:szCs w:val="20"/>
              </w:rPr>
            </w:pPr>
            <w:r w:rsidRPr="003073D6">
              <w:rPr>
                <w:rFonts w:ascii="Arial Narrow" w:hAnsi="Arial Narrow" w:cs="Segoe UI"/>
                <w:b/>
                <w:color w:val="000000"/>
                <w:sz w:val="20"/>
                <w:szCs w:val="20"/>
              </w:rPr>
              <w:t>OR</w:t>
            </w:r>
          </w:p>
        </w:tc>
      </w:tr>
      <w:tr w:rsidR="00971CC9" w:rsidRPr="00585568" w14:paraId="51754BEE" w14:textId="77777777" w:rsidTr="00747743">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7E5C7762" w14:textId="4AF782A8" w:rsidR="00971CC9" w:rsidRPr="00D66CEE" w:rsidRDefault="00971CC9" w:rsidP="00747743">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vAlign w:val="center"/>
            <w:hideMark/>
          </w:tcPr>
          <w:p w14:paraId="3C5CDC1E" w14:textId="68827E47" w:rsidR="00971CC9" w:rsidRPr="00D66CEE" w:rsidRDefault="00971CC9" w:rsidP="00747743">
            <w:pPr>
              <w:ind w:left="69"/>
              <w:textAlignment w:val="baseline"/>
              <w:rPr>
                <w:rFonts w:ascii="Arial Narrow" w:hAnsi="Arial Narrow" w:cs="Segoe UI"/>
                <w:strike/>
                <w:color w:val="000000"/>
                <w:sz w:val="20"/>
                <w:szCs w:val="20"/>
              </w:rPr>
            </w:pPr>
            <w:r w:rsidRPr="00D66CEE">
              <w:rPr>
                <w:rFonts w:ascii="Arial Narrow" w:hAnsi="Arial Narrow" w:cs="Segoe UI"/>
                <w:color w:val="000000"/>
                <w:sz w:val="20"/>
                <w:szCs w:val="20"/>
              </w:rPr>
              <w:t>Patient must have</w:t>
            </w:r>
            <w:r>
              <w:rPr>
                <w:rFonts w:ascii="Arial Narrow" w:hAnsi="Arial Narrow" w:cs="Segoe UI"/>
                <w:color w:val="000000"/>
                <w:sz w:val="20"/>
                <w:szCs w:val="20"/>
              </w:rPr>
              <w:t xml:space="preserve"> </w:t>
            </w:r>
            <w:r w:rsidRPr="00D66CEE">
              <w:rPr>
                <w:rFonts w:ascii="Arial Narrow" w:hAnsi="Arial Narrow" w:cs="Segoe UI"/>
                <w:color w:val="000000"/>
                <w:sz w:val="20"/>
                <w:szCs w:val="20"/>
              </w:rPr>
              <w:t xml:space="preserve">stable </w:t>
            </w:r>
            <w:r>
              <w:rPr>
                <w:rFonts w:ascii="Arial Narrow" w:hAnsi="Arial Narrow" w:cs="Segoe UI"/>
                <w:color w:val="000000"/>
                <w:sz w:val="20"/>
                <w:szCs w:val="20"/>
              </w:rPr>
              <w:t xml:space="preserve">or </w:t>
            </w:r>
            <w:r w:rsidRPr="00D66CEE">
              <w:rPr>
                <w:rFonts w:ascii="Arial Narrow" w:hAnsi="Arial Narrow" w:cs="Segoe UI"/>
                <w:color w:val="000000"/>
                <w:sz w:val="20"/>
                <w:szCs w:val="20"/>
              </w:rPr>
              <w:t xml:space="preserve">responding </w:t>
            </w:r>
            <w:r w:rsidRPr="00CD298A">
              <w:rPr>
                <w:rFonts w:ascii="Arial Narrow" w:hAnsi="Arial Narrow" w:cs="Segoe UI"/>
                <w:color w:val="000000"/>
                <w:sz w:val="20"/>
                <w:szCs w:val="20"/>
              </w:rPr>
              <w:t xml:space="preserve">disease </w:t>
            </w:r>
            <w:r w:rsidR="00413DCB" w:rsidRPr="00CD298A">
              <w:rPr>
                <w:rFonts w:ascii="Arial Narrow" w:hAnsi="Arial Narrow" w:cs="Segoe UI"/>
                <w:color w:val="000000"/>
                <w:sz w:val="20"/>
                <w:szCs w:val="20"/>
              </w:rPr>
              <w:t>to the most recent</w:t>
            </w:r>
            <w:r w:rsidR="00FB013C" w:rsidRPr="00CD298A">
              <w:rPr>
                <w:rFonts w:ascii="Arial Narrow" w:hAnsi="Arial Narrow" w:cs="Segoe UI"/>
                <w:color w:val="000000"/>
                <w:sz w:val="20"/>
                <w:szCs w:val="20"/>
              </w:rPr>
              <w:t xml:space="preserve"> PBS-subsidised treatment with this drug </w:t>
            </w:r>
            <w:r w:rsidR="003A5F9E" w:rsidRPr="00CD298A">
              <w:rPr>
                <w:rFonts w:ascii="Arial Narrow" w:hAnsi="Arial Narrow" w:cs="Segoe UI"/>
                <w:color w:val="000000"/>
                <w:sz w:val="20"/>
                <w:szCs w:val="20"/>
              </w:rPr>
              <w:t xml:space="preserve">for this condition </w:t>
            </w:r>
            <w:r w:rsidR="008147BC" w:rsidRPr="00CD298A">
              <w:rPr>
                <w:rFonts w:ascii="Arial Narrow" w:hAnsi="Arial Narrow" w:cs="Segoe UI"/>
                <w:color w:val="000000"/>
                <w:sz w:val="20"/>
                <w:szCs w:val="20"/>
              </w:rPr>
              <w:t xml:space="preserve">prior to a </w:t>
            </w:r>
            <w:r w:rsidR="0028491E" w:rsidRPr="00CD298A">
              <w:rPr>
                <w:rFonts w:ascii="Arial Narrow" w:hAnsi="Arial Narrow" w:cs="Segoe UI"/>
                <w:color w:val="000000"/>
                <w:sz w:val="20"/>
                <w:szCs w:val="20"/>
              </w:rPr>
              <w:t>treatment break</w:t>
            </w:r>
            <w:r w:rsidR="008147BC" w:rsidRPr="008147BC">
              <w:rPr>
                <w:rFonts w:ascii="Arial Narrow" w:hAnsi="Arial Narrow" w:cs="Segoe UI"/>
                <w:i/>
                <w:iCs/>
                <w:color w:val="000000"/>
                <w:sz w:val="20"/>
                <w:szCs w:val="20"/>
              </w:rPr>
              <w:t xml:space="preserve"> </w:t>
            </w:r>
          </w:p>
        </w:tc>
      </w:tr>
      <w:tr w:rsidR="00CA60F8" w:rsidRPr="00585568" w14:paraId="5F6033A5"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0C6B6C6C" w14:textId="145C4C56" w:rsidR="00CA60F8" w:rsidRPr="000B4CA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tcPr>
          <w:p w14:paraId="102B120D" w14:textId="5E5BE5E5" w:rsidR="00CA60F8" w:rsidRPr="00D66CEE" w:rsidRDefault="00CA60F8" w:rsidP="004056B7">
            <w:pPr>
              <w:ind w:left="69"/>
              <w:textAlignment w:val="baseline"/>
              <w:rPr>
                <w:rFonts w:ascii="Arial Narrow" w:hAnsi="Arial Narrow" w:cs="Segoe UI"/>
                <w:color w:val="000000"/>
                <w:sz w:val="20"/>
                <w:szCs w:val="20"/>
              </w:rPr>
            </w:pPr>
            <w:r w:rsidRPr="00D66CEE">
              <w:rPr>
                <w:rFonts w:ascii="Arial Narrow" w:hAnsi="Arial Narrow" w:cs="Segoe UI"/>
                <w:b/>
                <w:bCs/>
                <w:color w:val="000000"/>
                <w:sz w:val="20"/>
                <w:szCs w:val="20"/>
              </w:rPr>
              <w:t>Treatment criteria:</w:t>
            </w:r>
          </w:p>
        </w:tc>
      </w:tr>
      <w:tr w:rsidR="00CA60F8" w:rsidRPr="00585568" w14:paraId="0E756DED"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08AA2041" w14:textId="33E948E6" w:rsidR="00CA60F8" w:rsidRPr="00D66CE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tcPr>
          <w:p w14:paraId="01A412E4" w14:textId="32A032C2" w:rsidR="00CA60F8" w:rsidRPr="00D66CEE" w:rsidRDefault="00CA60F8" w:rsidP="004056B7">
            <w:pPr>
              <w:ind w:left="69"/>
              <w:textAlignment w:val="baseline"/>
              <w:rPr>
                <w:rFonts w:ascii="Arial Narrow" w:hAnsi="Arial Narrow" w:cs="Segoe UI"/>
                <w:color w:val="000000"/>
                <w:sz w:val="20"/>
                <w:szCs w:val="20"/>
              </w:rPr>
            </w:pPr>
            <w:r w:rsidRPr="00D66CEE">
              <w:rPr>
                <w:rFonts w:ascii="Arial Narrow" w:hAnsi="Arial Narrow" w:cs="Segoe UI"/>
                <w:color w:val="000000"/>
                <w:sz w:val="20"/>
                <w:szCs w:val="20"/>
              </w:rPr>
              <w:t>Must be treated by a clinical immunologist or in consultation with an immunologist with expertise in managing patients with primary immunodeficiencies, or APDS specifically.</w:t>
            </w:r>
          </w:p>
        </w:tc>
      </w:tr>
      <w:tr w:rsidR="00CA60F8" w:rsidRPr="00585568" w14:paraId="7153F070"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4A06E04F" w14:textId="179E683D" w:rsidR="00CA60F8" w:rsidRPr="00D66CE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tcPr>
          <w:p w14:paraId="04D8196C" w14:textId="4FEFBB40" w:rsidR="00CA60F8" w:rsidRPr="00D66CEE" w:rsidRDefault="00CA60F8" w:rsidP="004056B7">
            <w:pPr>
              <w:ind w:left="69"/>
              <w:textAlignment w:val="baseline"/>
              <w:rPr>
                <w:rFonts w:ascii="Arial Narrow" w:hAnsi="Arial Narrow" w:cs="Segoe UI"/>
                <w:color w:val="000000"/>
                <w:sz w:val="20"/>
                <w:szCs w:val="20"/>
              </w:rPr>
            </w:pPr>
            <w:r w:rsidRPr="00D66CEE">
              <w:rPr>
                <w:rFonts w:ascii="Arial Narrow" w:hAnsi="Arial Narrow" w:cs="Segoe UI"/>
                <w:b/>
                <w:bCs/>
                <w:color w:val="000000"/>
                <w:sz w:val="20"/>
                <w:szCs w:val="20"/>
              </w:rPr>
              <w:t>Treatment criteria:</w:t>
            </w:r>
          </w:p>
        </w:tc>
      </w:tr>
      <w:tr w:rsidR="00CA60F8" w:rsidRPr="00585568" w14:paraId="1971BE5C"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3C3BFF56" w14:textId="06ED5098" w:rsidR="00CA60F8" w:rsidRPr="00D66CEE" w:rsidRDefault="00CA60F8" w:rsidP="004056B7">
            <w:pPr>
              <w:jc w:val="center"/>
              <w:textAlignment w:val="baseline"/>
              <w:rPr>
                <w:rFonts w:ascii="Arial Narrow" w:hAnsi="Arial Narrow" w:cs="Segoe UI"/>
                <w:color w:val="000000"/>
                <w:sz w:val="20"/>
                <w:szCs w:val="20"/>
                <w:lang w:val="en-US"/>
              </w:rPr>
            </w:pPr>
            <w:r w:rsidRPr="00D66CEE">
              <w:rPr>
                <w:rFonts w:ascii="Arial Narrow" w:hAnsi="Arial Narrow" w:cs="Segoe UI"/>
                <w:color w:val="000000"/>
                <w:sz w:val="20"/>
                <w:szCs w:val="20"/>
                <w:lang w:val="en-US"/>
              </w:rPr>
              <w:t>New TC2.1</w:t>
            </w:r>
          </w:p>
        </w:tc>
        <w:tc>
          <w:tcPr>
            <w:tcW w:w="7862" w:type="dxa"/>
            <w:gridSpan w:val="6"/>
            <w:tcBorders>
              <w:top w:val="single" w:sz="4" w:space="0" w:color="auto"/>
              <w:left w:val="single" w:sz="4" w:space="0" w:color="auto"/>
              <w:bottom w:val="single" w:sz="4" w:space="0" w:color="auto"/>
              <w:right w:val="single" w:sz="4" w:space="0" w:color="auto"/>
            </w:tcBorders>
            <w:vAlign w:val="center"/>
          </w:tcPr>
          <w:p w14:paraId="64BF4973" w14:textId="3803F36A" w:rsidR="00CA60F8" w:rsidRPr="00D66CEE" w:rsidRDefault="00CA60F8" w:rsidP="004056B7">
            <w:pPr>
              <w:ind w:left="69"/>
              <w:textAlignment w:val="baseline"/>
              <w:rPr>
                <w:rFonts w:ascii="Arial Narrow" w:hAnsi="Arial Narrow" w:cs="Segoe UI"/>
                <w:color w:val="000000"/>
                <w:sz w:val="20"/>
                <w:szCs w:val="20"/>
              </w:rPr>
            </w:pPr>
            <w:r w:rsidRPr="00D66CEE">
              <w:rPr>
                <w:rFonts w:ascii="Arial Narrow" w:hAnsi="Arial Narrow" w:cs="Segoe UI"/>
                <w:color w:val="000000"/>
                <w:sz w:val="20"/>
                <w:szCs w:val="20"/>
              </w:rPr>
              <w:t>Patient must not be undergoing concomitant treatment with any of the following: (i) rituximab; (ii) mTOR inhibitors</w:t>
            </w:r>
          </w:p>
        </w:tc>
      </w:tr>
      <w:tr w:rsidR="00CA60F8" w:rsidRPr="00585568" w14:paraId="4C5C7A25" w14:textId="77777777" w:rsidTr="003E634D">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0052BBAD" w14:textId="3311A6FB" w:rsidR="00CA60F8" w:rsidRPr="00D66CE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hideMark/>
          </w:tcPr>
          <w:p w14:paraId="00F6971F" w14:textId="77777777" w:rsidR="00CA60F8" w:rsidRPr="00D66CEE" w:rsidRDefault="00CA60F8" w:rsidP="004056B7">
            <w:pPr>
              <w:ind w:left="69"/>
              <w:textAlignment w:val="baseline"/>
              <w:rPr>
                <w:rFonts w:ascii="Arial Narrow" w:hAnsi="Arial Narrow" w:cs="Segoe UI"/>
                <w:b/>
                <w:bCs/>
                <w:color w:val="000000"/>
                <w:sz w:val="20"/>
                <w:szCs w:val="20"/>
              </w:rPr>
            </w:pPr>
            <w:r w:rsidRPr="00D66CEE">
              <w:rPr>
                <w:rFonts w:ascii="Arial Narrow" w:hAnsi="Arial Narrow" w:cs="Segoe UI"/>
                <w:b/>
                <w:bCs/>
                <w:color w:val="000000"/>
                <w:sz w:val="20"/>
                <w:szCs w:val="20"/>
              </w:rPr>
              <w:t>Prescribing instructions:</w:t>
            </w:r>
          </w:p>
          <w:p w14:paraId="5987DE00" w14:textId="15F58AF5" w:rsidR="00CA60F8" w:rsidRPr="00D66CEE" w:rsidRDefault="00CA60F8" w:rsidP="00D66CEE">
            <w:pPr>
              <w:ind w:left="69"/>
              <w:textAlignment w:val="baseline"/>
              <w:rPr>
                <w:rFonts w:ascii="Arial Narrow" w:hAnsi="Arial Narrow" w:cs="Segoe UI"/>
                <w:strike/>
                <w:color w:val="000000"/>
                <w:sz w:val="20"/>
                <w:szCs w:val="20"/>
                <w:lang w:val="en-US"/>
              </w:rPr>
            </w:pPr>
            <w:r w:rsidRPr="00D66CEE">
              <w:rPr>
                <w:rFonts w:ascii="Arial Narrow" w:hAnsi="Arial Narrow" w:cs="Segoe UI"/>
                <w:color w:val="000000"/>
                <w:sz w:val="20"/>
                <w:szCs w:val="20"/>
              </w:rPr>
              <w:t>An assessment of a patient’s response to an initial course of treatment must be conducted following a minimum of 5 months of therapy</w:t>
            </w:r>
            <w:r w:rsidR="009F30BF">
              <w:rPr>
                <w:rFonts w:ascii="Arial Narrow" w:hAnsi="Arial Narrow" w:cs="Segoe UI"/>
                <w:color w:val="000000"/>
                <w:sz w:val="20"/>
                <w:szCs w:val="20"/>
              </w:rPr>
              <w:t xml:space="preserve"> and</w:t>
            </w:r>
            <w:r w:rsidRPr="00D66CEE">
              <w:rPr>
                <w:rFonts w:ascii="Arial Narrow" w:hAnsi="Arial Narrow" w:cs="Segoe UI"/>
                <w:color w:val="000000"/>
                <w:sz w:val="20"/>
                <w:szCs w:val="20"/>
              </w:rPr>
              <w:t xml:space="preserve"> no later than 4 weeks from the date of completion of the most recent course of treatment. This will enable ongoing treatment for those who meet the continuing restriction for PBS-subsidised treatment after 6 months of the initial treatment course.</w:t>
            </w:r>
          </w:p>
        </w:tc>
      </w:tr>
      <w:tr w:rsidR="00CA60F8" w:rsidRPr="00585568" w14:paraId="45E83E2E" w14:textId="77777777" w:rsidTr="004056B7">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12C6B69C" w14:textId="473FB536" w:rsidR="00CA60F8" w:rsidRPr="00D66CE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tcPr>
          <w:p w14:paraId="6C5837FD" w14:textId="77777777" w:rsidR="00CA60F8" w:rsidRPr="00D66CEE" w:rsidRDefault="00CA60F8" w:rsidP="004056B7">
            <w:pPr>
              <w:ind w:left="69"/>
              <w:textAlignment w:val="baseline"/>
              <w:rPr>
                <w:rFonts w:ascii="Arial Narrow" w:hAnsi="Arial Narrow" w:cs="Segoe UI"/>
                <w:b/>
                <w:bCs/>
                <w:color w:val="000000"/>
                <w:sz w:val="20"/>
                <w:szCs w:val="20"/>
              </w:rPr>
            </w:pPr>
            <w:r w:rsidRPr="00D66CEE">
              <w:rPr>
                <w:rFonts w:ascii="Arial Narrow" w:hAnsi="Arial Narrow" w:cs="Segoe UI"/>
                <w:b/>
                <w:bCs/>
                <w:color w:val="000000"/>
                <w:sz w:val="20"/>
                <w:szCs w:val="20"/>
              </w:rPr>
              <w:t>Prescribing instructions:</w:t>
            </w:r>
          </w:p>
          <w:p w14:paraId="0F68E364" w14:textId="6E771162" w:rsidR="00CA60F8" w:rsidRPr="00D66CEE" w:rsidRDefault="00CA60F8" w:rsidP="004056B7">
            <w:pPr>
              <w:ind w:left="69"/>
              <w:textAlignment w:val="baseline"/>
              <w:rPr>
                <w:rFonts w:ascii="Arial Narrow" w:hAnsi="Arial Narrow" w:cs="Segoe UI"/>
                <w:color w:val="000000"/>
                <w:sz w:val="20"/>
                <w:szCs w:val="20"/>
              </w:rPr>
            </w:pPr>
            <w:r w:rsidRPr="00D66CEE">
              <w:rPr>
                <w:rFonts w:ascii="Arial Narrow" w:hAnsi="Arial Narrow" w:cs="Segoe UI"/>
                <w:color w:val="000000"/>
                <w:sz w:val="20"/>
                <w:szCs w:val="20"/>
              </w:rPr>
              <w:t>The assessment of response</w:t>
            </w:r>
            <w:r w:rsidR="000B4CAE">
              <w:rPr>
                <w:rFonts w:ascii="Arial Narrow" w:hAnsi="Arial Narrow" w:cs="Segoe UI"/>
                <w:color w:val="000000"/>
                <w:sz w:val="20"/>
                <w:szCs w:val="20"/>
              </w:rPr>
              <w:t xml:space="preserve"> </w:t>
            </w:r>
            <w:r w:rsidRPr="00D66CEE">
              <w:rPr>
                <w:rFonts w:ascii="Arial Narrow" w:hAnsi="Arial Narrow" w:cs="Segoe UI"/>
                <w:color w:val="000000"/>
                <w:sz w:val="20"/>
                <w:szCs w:val="20"/>
              </w:rPr>
              <w:t>to treatment must be documented in the patient's medical records.</w:t>
            </w:r>
          </w:p>
        </w:tc>
      </w:tr>
      <w:tr w:rsidR="00CA60F8" w:rsidRPr="00585568" w14:paraId="6AB5FE49" w14:textId="77777777" w:rsidTr="003E634D">
        <w:trPr>
          <w:trHeight w:val="15"/>
        </w:trPr>
        <w:tc>
          <w:tcPr>
            <w:tcW w:w="1059" w:type="dxa"/>
            <w:gridSpan w:val="2"/>
            <w:tcBorders>
              <w:top w:val="single" w:sz="4" w:space="0" w:color="auto"/>
              <w:left w:val="single" w:sz="4" w:space="0" w:color="auto"/>
              <w:bottom w:val="single" w:sz="4" w:space="0" w:color="auto"/>
              <w:right w:val="single" w:sz="4" w:space="0" w:color="auto"/>
            </w:tcBorders>
            <w:vAlign w:val="center"/>
          </w:tcPr>
          <w:p w14:paraId="79A65628" w14:textId="7217C423" w:rsidR="00CA60F8" w:rsidRPr="00D66CEE" w:rsidRDefault="00CA60F8" w:rsidP="004056B7">
            <w:pPr>
              <w:jc w:val="center"/>
              <w:textAlignment w:val="baseline"/>
              <w:rPr>
                <w:rFonts w:ascii="Arial Narrow" w:hAnsi="Arial Narrow" w:cs="Segoe UI"/>
                <w:color w:val="000000"/>
                <w:sz w:val="20"/>
                <w:szCs w:val="20"/>
                <w:lang w:val="en-US"/>
              </w:rPr>
            </w:pPr>
          </w:p>
        </w:tc>
        <w:tc>
          <w:tcPr>
            <w:tcW w:w="7862" w:type="dxa"/>
            <w:gridSpan w:val="6"/>
            <w:tcBorders>
              <w:top w:val="single" w:sz="4" w:space="0" w:color="auto"/>
              <w:left w:val="single" w:sz="4" w:space="0" w:color="auto"/>
              <w:bottom w:val="single" w:sz="4" w:space="0" w:color="auto"/>
              <w:right w:val="single" w:sz="4" w:space="0" w:color="auto"/>
            </w:tcBorders>
            <w:hideMark/>
          </w:tcPr>
          <w:p w14:paraId="7D442880" w14:textId="77777777" w:rsidR="00CA60F8" w:rsidRPr="00D66CEE" w:rsidRDefault="00CA60F8" w:rsidP="004056B7">
            <w:pPr>
              <w:ind w:left="69"/>
              <w:textAlignment w:val="baseline"/>
              <w:rPr>
                <w:rFonts w:ascii="Arial Narrow" w:hAnsi="Arial Narrow" w:cs="Segoe UI"/>
                <w:b/>
                <w:bCs/>
                <w:color w:val="000000"/>
                <w:sz w:val="20"/>
                <w:szCs w:val="20"/>
              </w:rPr>
            </w:pPr>
            <w:r w:rsidRPr="00D66CEE">
              <w:rPr>
                <w:rFonts w:ascii="Arial Narrow" w:hAnsi="Arial Narrow" w:cs="Segoe UI"/>
                <w:b/>
                <w:bCs/>
                <w:color w:val="000000"/>
                <w:sz w:val="20"/>
                <w:szCs w:val="20"/>
              </w:rPr>
              <w:t>Prescribing instructions:</w:t>
            </w:r>
          </w:p>
          <w:p w14:paraId="3F4239F3" w14:textId="485A9645" w:rsidR="00CA60F8" w:rsidRPr="00D66CEE" w:rsidRDefault="00CA60F8" w:rsidP="00D66CEE">
            <w:pPr>
              <w:ind w:left="69"/>
              <w:textAlignment w:val="baseline"/>
              <w:rPr>
                <w:rFonts w:ascii="Arial Narrow" w:hAnsi="Arial Narrow" w:cs="Segoe UI"/>
                <w:color w:val="000000"/>
                <w:sz w:val="20"/>
                <w:szCs w:val="20"/>
              </w:rPr>
            </w:pPr>
            <w:r w:rsidRPr="00D66CEE">
              <w:rPr>
                <w:rFonts w:ascii="Arial Narrow" w:hAnsi="Arial Narrow" w:cs="Segoe UI"/>
                <w:color w:val="000000"/>
                <w:sz w:val="20"/>
                <w:szCs w:val="20"/>
              </w:rPr>
              <w:t>If intolerance to treatment develops during the relevant period of use, which is of a severity necessitating permanent treatment withdrawal, details of this toxicity must be documented in the patient's medical records.</w:t>
            </w:r>
          </w:p>
        </w:tc>
      </w:tr>
    </w:tbl>
    <w:p w14:paraId="3ECCBAEF" w14:textId="77777777" w:rsidR="00B47CC9" w:rsidRPr="00525B39" w:rsidRDefault="00B47CC9" w:rsidP="00B47CC9">
      <w:pPr>
        <w:widowControl w:val="0"/>
        <w:contextualSpacing/>
        <w:rPr>
          <w:rFonts w:asciiTheme="minorHAnsi" w:hAnsiTheme="minorHAnsi"/>
          <w:bCs/>
          <w:snapToGrid w:val="0"/>
        </w:rPr>
      </w:pPr>
    </w:p>
    <w:p w14:paraId="218D3AD8" w14:textId="458F2A3C" w:rsidR="003D1923" w:rsidRDefault="00DD22E1" w:rsidP="00D5231D">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w:t>
      </w:r>
      <w:bookmarkEnd w:id="64"/>
      <w:r w:rsidR="00D5231D">
        <w:rPr>
          <w:rFonts w:asciiTheme="minorHAnsi" w:hAnsiTheme="minorHAnsi"/>
          <w:b/>
          <w:i/>
          <w:iCs/>
          <w:snapToGrid w:val="0"/>
          <w:lang w:val="en-GB"/>
        </w:rPr>
        <w:t>d</w:t>
      </w:r>
      <w:bookmarkEnd w:id="62"/>
      <w:r w:rsidR="001B1E1C">
        <w:rPr>
          <w:rFonts w:asciiTheme="minorHAnsi" w:hAnsiTheme="minorHAnsi"/>
          <w:b/>
          <w:i/>
          <w:iCs/>
          <w:snapToGrid w:val="0"/>
          <w:lang w:val="en-GB"/>
        </w:rPr>
        <w:t>.</w:t>
      </w:r>
    </w:p>
    <w:p w14:paraId="1B914988" w14:textId="77777777" w:rsidR="00AD0A34" w:rsidRPr="00AD0A34" w:rsidRDefault="00AD0A34" w:rsidP="00AD0A34">
      <w:pPr>
        <w:pStyle w:val="2-SectionHeading"/>
        <w:numPr>
          <w:ilvl w:val="0"/>
          <w:numId w:val="1"/>
        </w:numPr>
      </w:pPr>
      <w:r w:rsidRPr="00AD0A34">
        <w:t>Context for Decision</w:t>
      </w:r>
    </w:p>
    <w:p w14:paraId="2FBEA5B9" w14:textId="77777777" w:rsidR="00AD0A34" w:rsidRPr="00AD0A34" w:rsidRDefault="00AD0A34" w:rsidP="00AD0A34">
      <w:pPr>
        <w:spacing w:after="120"/>
        <w:ind w:left="720"/>
        <w:rPr>
          <w:rFonts w:asciiTheme="minorHAnsi" w:hAnsiTheme="minorHAnsi"/>
          <w:bCs/>
          <w:lang w:val="en-GB"/>
        </w:rPr>
      </w:pPr>
      <w:r w:rsidRPr="00AD0A34">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E87057" w14:textId="77777777" w:rsidR="00AD0A34" w:rsidRPr="00AD0A34" w:rsidRDefault="00AD0A34" w:rsidP="005608B9">
      <w:pPr>
        <w:pStyle w:val="2-SectionHeading"/>
        <w:numPr>
          <w:ilvl w:val="0"/>
          <w:numId w:val="1"/>
        </w:numPr>
      </w:pPr>
      <w:r w:rsidRPr="00AD0A34">
        <w:t>Sponsor’s Comment</w:t>
      </w:r>
    </w:p>
    <w:p w14:paraId="566566AD" w14:textId="3284808A" w:rsidR="00B82A2B" w:rsidRPr="00B9592F" w:rsidRDefault="000628D2" w:rsidP="00B9592F">
      <w:pPr>
        <w:spacing w:after="120"/>
        <w:ind w:left="720"/>
        <w:rPr>
          <w:rFonts w:asciiTheme="minorHAnsi" w:hAnsiTheme="minorHAnsi"/>
          <w:bCs/>
          <w:lang w:val="en-GB"/>
        </w:rPr>
      </w:pPr>
      <w:r w:rsidRPr="00B9592F">
        <w:rPr>
          <w:rFonts w:asciiTheme="minorHAnsi" w:hAnsiTheme="minorHAnsi"/>
          <w:bCs/>
          <w:lang w:val="en-GB"/>
        </w:rPr>
        <w:t>Pharming Australia Pty Ltd and the Australian APDS community acknowledge the comprehensive evaluation of this submission by the PBAC and its sub committees, and the constructive recommendations of the committee to enable APDS patients and their clinicians potential access to the first TGA approved and PBAC recognised, targeted and disease modifying medicine Joenja® (leniolisib) for this devastating disease via the PBS, Section 100 – HSDP.  The sponsor has formally notified the Department of Health, Disability and Ageing of our intent to work with all Australian Government to ensure a prompt listing based on these PBAC recommendations.</w:t>
      </w:r>
    </w:p>
    <w:sectPr w:rsidR="00B82A2B" w:rsidRPr="00B9592F" w:rsidSect="00126A1B">
      <w:headerReference w:type="even" r:id="rId20"/>
      <w:headerReference w:type="default" r:id="rId21"/>
      <w:footerReference w:type="even" r:id="rId22"/>
      <w:footerReference w:type="default" r:id="rId23"/>
      <w:headerReference w:type="first" r:id="rId24"/>
      <w:footerReference w:type="first" r:id="rId25"/>
      <w:pgSz w:w="11906" w:h="16838"/>
      <w:pgMar w:top="1440" w:right="1558"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CCA4" w14:textId="77777777" w:rsidR="00A97412" w:rsidRPr="00601118" w:rsidRDefault="00A97412" w:rsidP="00124A51">
      <w:r w:rsidRPr="00601118">
        <w:separator/>
      </w:r>
    </w:p>
    <w:p w14:paraId="44487A6E" w14:textId="77777777" w:rsidR="00A97412" w:rsidRPr="00601118" w:rsidRDefault="00A97412"/>
  </w:endnote>
  <w:endnote w:type="continuationSeparator" w:id="0">
    <w:p w14:paraId="770EB6C0" w14:textId="77777777" w:rsidR="00A97412" w:rsidRPr="00601118" w:rsidRDefault="00A97412" w:rsidP="00124A51">
      <w:r w:rsidRPr="00601118">
        <w:continuationSeparator/>
      </w:r>
    </w:p>
    <w:p w14:paraId="0A85DA24" w14:textId="77777777" w:rsidR="00A97412" w:rsidRPr="00601118" w:rsidRDefault="00A97412"/>
  </w:endnote>
  <w:endnote w:type="continuationNotice" w:id="1">
    <w:p w14:paraId="5B437BC6" w14:textId="77777777" w:rsidR="00A97412" w:rsidRDefault="00A97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orBi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9C59" w14:textId="7A281B5C" w:rsidR="001F60D7" w:rsidRDefault="005D75EA">
    <w:pPr>
      <w:pStyle w:val="Footer"/>
    </w:pPr>
    <w:r>
      <w:rPr>
        <w:noProof/>
      </w:rPr>
      <mc:AlternateContent>
        <mc:Choice Requires="wps">
          <w:drawing>
            <wp:anchor distT="0" distB="0" distL="0" distR="0" simplePos="0" relativeHeight="251658244" behindDoc="0" locked="0" layoutInCell="1" allowOverlap="1" wp14:anchorId="6FAE9EFE" wp14:editId="018937C9">
              <wp:simplePos x="635" y="635"/>
              <wp:positionH relativeFrom="page">
                <wp:align>center</wp:align>
              </wp:positionH>
              <wp:positionV relativeFrom="page">
                <wp:align>bottom</wp:align>
              </wp:positionV>
              <wp:extent cx="551815" cy="376555"/>
              <wp:effectExtent l="0" t="0" r="635" b="0"/>
              <wp:wrapNone/>
              <wp:docPr id="8539492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0CB7D5" w14:textId="12F53595" w:rsidR="005D75EA" w:rsidRPr="005D75EA" w:rsidRDefault="005D75EA" w:rsidP="005D75EA">
                          <w:pPr>
                            <w:rPr>
                              <w:rFonts w:eastAsia="Calibri" w:cs="Calibri"/>
                              <w:noProof/>
                              <w:color w:val="FF0000"/>
                            </w:rPr>
                          </w:pPr>
                          <w:r w:rsidRPr="005D75E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E9EF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00CB7D5" w14:textId="12F53595" w:rsidR="005D75EA" w:rsidRPr="005D75EA" w:rsidRDefault="005D75EA" w:rsidP="005D75EA">
                    <w:pPr>
                      <w:rPr>
                        <w:rFonts w:eastAsia="Calibri" w:cs="Calibri"/>
                        <w:noProof/>
                        <w:color w:val="FF0000"/>
                      </w:rPr>
                    </w:pPr>
                    <w:r w:rsidRPr="005D75EA">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7282" w14:textId="6067F05A" w:rsidR="00B41BBB" w:rsidRDefault="005D75EA">
    <w:pPr>
      <w:pStyle w:val="Footer"/>
      <w:jc w:val="center"/>
    </w:pPr>
    <w:r>
      <w:rPr>
        <w:noProof/>
      </w:rPr>
      <mc:AlternateContent>
        <mc:Choice Requires="wps">
          <w:drawing>
            <wp:anchor distT="0" distB="0" distL="0" distR="0" simplePos="0" relativeHeight="251658245" behindDoc="0" locked="0" layoutInCell="1" allowOverlap="1" wp14:anchorId="0E7C9004" wp14:editId="5AC28063">
              <wp:simplePos x="635" y="635"/>
              <wp:positionH relativeFrom="page">
                <wp:align>center</wp:align>
              </wp:positionH>
              <wp:positionV relativeFrom="page">
                <wp:align>bottom</wp:align>
              </wp:positionV>
              <wp:extent cx="551815" cy="376555"/>
              <wp:effectExtent l="0" t="0" r="635" b="0"/>
              <wp:wrapNone/>
              <wp:docPr id="4268180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B450FB" w14:textId="009387A0" w:rsidR="005D75EA" w:rsidRPr="005D75EA" w:rsidRDefault="005D75EA" w:rsidP="005D75EA">
                          <w:pPr>
                            <w:rPr>
                              <w:rFonts w:eastAsia="Calibri" w:cs="Calibri"/>
                              <w:noProof/>
                              <w:color w:val="FF0000"/>
                            </w:rPr>
                          </w:pPr>
                          <w:r w:rsidRPr="005D75E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C900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0B450FB" w14:textId="009387A0" w:rsidR="005D75EA" w:rsidRPr="005D75EA" w:rsidRDefault="005D75EA" w:rsidP="005D75EA">
                    <w:pPr>
                      <w:rPr>
                        <w:rFonts w:eastAsia="Calibri" w:cs="Calibri"/>
                        <w:noProof/>
                        <w:color w:val="FF0000"/>
                      </w:rPr>
                    </w:pPr>
                    <w:r w:rsidRPr="005D75EA">
                      <w:rPr>
                        <w:rFonts w:eastAsia="Calibri" w:cs="Calibri"/>
                        <w:noProof/>
                        <w:color w:val="FF0000"/>
                      </w:rPr>
                      <w:t>OFFICIAL</w:t>
                    </w:r>
                  </w:p>
                </w:txbxContent>
              </v:textbox>
              <w10:wrap anchorx="page" anchory="page"/>
            </v:shape>
          </w:pict>
        </mc:Fallback>
      </mc:AlternateContent>
    </w:r>
  </w:p>
  <w:sdt>
    <w:sdtPr>
      <w:rPr>
        <w:b/>
        <w:bCs/>
      </w:rPr>
      <w:id w:val="-378399545"/>
      <w:docPartObj>
        <w:docPartGallery w:val="Page Numbers (Bottom of Page)"/>
        <w:docPartUnique/>
      </w:docPartObj>
    </w:sdtPr>
    <w:sdtEndPr>
      <w:rPr>
        <w:noProof/>
      </w:rPr>
    </w:sdtEndPr>
    <w:sdtContent>
      <w:p w14:paraId="45860113" w14:textId="375B224B" w:rsidR="00B41BBB" w:rsidRPr="00B41BBB" w:rsidRDefault="00B41BBB">
        <w:pPr>
          <w:pStyle w:val="Footer"/>
          <w:jc w:val="center"/>
          <w:rPr>
            <w:b/>
            <w:bCs/>
          </w:rPr>
        </w:pPr>
        <w:r w:rsidRPr="00B41BBB">
          <w:rPr>
            <w:b/>
            <w:bCs/>
          </w:rPr>
          <w:fldChar w:fldCharType="begin"/>
        </w:r>
        <w:r w:rsidRPr="00B41BBB">
          <w:rPr>
            <w:b/>
            <w:bCs/>
          </w:rPr>
          <w:instrText xml:space="preserve"> PAGE   \* MERGEFORMAT </w:instrText>
        </w:r>
        <w:r w:rsidRPr="00B41BBB">
          <w:rPr>
            <w:b/>
            <w:bCs/>
          </w:rPr>
          <w:fldChar w:fldCharType="separate"/>
        </w:r>
        <w:r w:rsidRPr="00B41BBB">
          <w:rPr>
            <w:b/>
            <w:bCs/>
            <w:noProof/>
          </w:rPr>
          <w:t>2</w:t>
        </w:r>
        <w:r w:rsidRPr="00B41BBB">
          <w:rPr>
            <w:b/>
            <w:bCs/>
            <w:noProof/>
          </w:rPr>
          <w:fldChar w:fldCharType="end"/>
        </w:r>
      </w:p>
    </w:sdtContent>
  </w:sdt>
  <w:p w14:paraId="781A800F" w14:textId="45F43AF1" w:rsidR="00EF6CA5" w:rsidRPr="0061263E" w:rsidRDefault="00EF6CA5" w:rsidP="000F416B">
    <w:pPr>
      <w:pStyle w:val="Foote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0A58" w14:textId="3E7EAC4E" w:rsidR="001F60D7" w:rsidRDefault="005D75EA">
    <w:pPr>
      <w:pStyle w:val="Footer"/>
    </w:pPr>
    <w:r>
      <w:rPr>
        <w:noProof/>
      </w:rPr>
      <mc:AlternateContent>
        <mc:Choice Requires="wps">
          <w:drawing>
            <wp:anchor distT="0" distB="0" distL="0" distR="0" simplePos="0" relativeHeight="251658243" behindDoc="0" locked="0" layoutInCell="1" allowOverlap="1" wp14:anchorId="1CA506ED" wp14:editId="33E033EE">
              <wp:simplePos x="635" y="635"/>
              <wp:positionH relativeFrom="page">
                <wp:align>center</wp:align>
              </wp:positionH>
              <wp:positionV relativeFrom="page">
                <wp:align>bottom</wp:align>
              </wp:positionV>
              <wp:extent cx="551815" cy="376555"/>
              <wp:effectExtent l="0" t="0" r="635" b="0"/>
              <wp:wrapNone/>
              <wp:docPr id="12375024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4BA483" w14:textId="3EF2F534" w:rsidR="005D75EA" w:rsidRPr="005D75EA" w:rsidRDefault="005D75EA" w:rsidP="005D75EA">
                          <w:pPr>
                            <w:rPr>
                              <w:rFonts w:eastAsia="Calibri" w:cs="Calibri"/>
                              <w:noProof/>
                              <w:color w:val="FF0000"/>
                            </w:rPr>
                          </w:pPr>
                          <w:r w:rsidRPr="005D75E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506ED"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64BA483" w14:textId="3EF2F534" w:rsidR="005D75EA" w:rsidRPr="005D75EA" w:rsidRDefault="005D75EA" w:rsidP="005D75EA">
                    <w:pPr>
                      <w:rPr>
                        <w:rFonts w:eastAsia="Calibri" w:cs="Calibri"/>
                        <w:noProof/>
                        <w:color w:val="FF0000"/>
                      </w:rPr>
                    </w:pPr>
                    <w:r w:rsidRPr="005D75EA">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7E3B" w14:textId="77777777" w:rsidR="00A97412" w:rsidRPr="00601118" w:rsidRDefault="00A97412" w:rsidP="00124A51">
      <w:r w:rsidRPr="00601118">
        <w:separator/>
      </w:r>
    </w:p>
    <w:p w14:paraId="203A6CA3" w14:textId="77777777" w:rsidR="00A97412" w:rsidRPr="00601118" w:rsidRDefault="00A97412"/>
  </w:footnote>
  <w:footnote w:type="continuationSeparator" w:id="0">
    <w:p w14:paraId="7DF6245B" w14:textId="77777777" w:rsidR="00A97412" w:rsidRPr="00601118" w:rsidRDefault="00A97412" w:rsidP="00124A51">
      <w:r w:rsidRPr="00601118">
        <w:continuationSeparator/>
      </w:r>
    </w:p>
    <w:p w14:paraId="66DDC33F" w14:textId="77777777" w:rsidR="00A97412" w:rsidRPr="00601118" w:rsidRDefault="00A97412"/>
  </w:footnote>
  <w:footnote w:type="continuationNotice" w:id="1">
    <w:p w14:paraId="4037F5DB" w14:textId="77777777" w:rsidR="00A97412" w:rsidRDefault="00A97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CD81" w14:textId="4CA127D9" w:rsidR="001F60D7" w:rsidRDefault="005D75EA">
    <w:pPr>
      <w:pStyle w:val="Header"/>
    </w:pPr>
    <w:r>
      <w:rPr>
        <w:noProof/>
      </w:rPr>
      <mc:AlternateContent>
        <mc:Choice Requires="wps">
          <w:drawing>
            <wp:anchor distT="0" distB="0" distL="0" distR="0" simplePos="0" relativeHeight="251658241" behindDoc="0" locked="0" layoutInCell="1" allowOverlap="1" wp14:anchorId="5D828360" wp14:editId="46D35629">
              <wp:simplePos x="635" y="635"/>
              <wp:positionH relativeFrom="page">
                <wp:align>center</wp:align>
              </wp:positionH>
              <wp:positionV relativeFrom="page">
                <wp:align>top</wp:align>
              </wp:positionV>
              <wp:extent cx="551815" cy="376555"/>
              <wp:effectExtent l="0" t="0" r="635" b="4445"/>
              <wp:wrapNone/>
              <wp:docPr id="78926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01FB01" w14:textId="7C071CFE" w:rsidR="005D75EA" w:rsidRPr="005D75EA" w:rsidRDefault="005D75EA" w:rsidP="005D75EA">
                          <w:pPr>
                            <w:rPr>
                              <w:rFonts w:eastAsia="Calibri" w:cs="Calibri"/>
                              <w:noProof/>
                              <w:color w:val="FF0000"/>
                            </w:rPr>
                          </w:pPr>
                          <w:r w:rsidRPr="005D75E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82836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901FB01" w14:textId="7C071CFE" w:rsidR="005D75EA" w:rsidRPr="005D75EA" w:rsidRDefault="005D75EA" w:rsidP="005D75EA">
                    <w:pPr>
                      <w:rPr>
                        <w:rFonts w:eastAsia="Calibri" w:cs="Calibri"/>
                        <w:noProof/>
                        <w:color w:val="FF0000"/>
                      </w:rPr>
                    </w:pPr>
                    <w:r w:rsidRPr="005D75EA">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C466" w14:textId="0E5DF36A" w:rsidR="00EF6CA5" w:rsidRDefault="005D75EA">
    <w:pPr>
      <w:pStyle w:val="Header"/>
    </w:pPr>
    <w:r>
      <w:rPr>
        <w:noProof/>
      </w:rPr>
      <mc:AlternateContent>
        <mc:Choice Requires="wps">
          <w:drawing>
            <wp:anchor distT="0" distB="0" distL="0" distR="0" simplePos="0" relativeHeight="251658242" behindDoc="0" locked="0" layoutInCell="1" allowOverlap="1" wp14:anchorId="454FD677" wp14:editId="2054E2BD">
              <wp:simplePos x="635" y="635"/>
              <wp:positionH relativeFrom="page">
                <wp:align>center</wp:align>
              </wp:positionH>
              <wp:positionV relativeFrom="page">
                <wp:align>top</wp:align>
              </wp:positionV>
              <wp:extent cx="551815" cy="376555"/>
              <wp:effectExtent l="0" t="0" r="635" b="4445"/>
              <wp:wrapNone/>
              <wp:docPr id="8954528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262AE1" w14:textId="5547EB54" w:rsidR="005D75EA" w:rsidRPr="005D75EA" w:rsidRDefault="005D75EA" w:rsidP="005D75EA">
                          <w:pPr>
                            <w:rPr>
                              <w:rFonts w:eastAsia="Calibri" w:cs="Calibri"/>
                              <w:noProof/>
                              <w:color w:val="FF0000"/>
                            </w:rPr>
                          </w:pPr>
                          <w:r w:rsidRPr="005D75E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FD67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A262AE1" w14:textId="5547EB54" w:rsidR="005D75EA" w:rsidRPr="005D75EA" w:rsidRDefault="005D75EA" w:rsidP="005D75EA">
                    <w:pPr>
                      <w:rPr>
                        <w:rFonts w:eastAsia="Calibri" w:cs="Calibri"/>
                        <w:noProof/>
                        <w:color w:val="FF0000"/>
                      </w:rPr>
                    </w:pPr>
                    <w:r w:rsidRPr="005D75EA">
                      <w:rPr>
                        <w:rFonts w:eastAsia="Calibri" w:cs="Calibri"/>
                        <w:noProof/>
                        <w:color w:val="FF0000"/>
                      </w:rPr>
                      <w:t>OFFICIAL</w:t>
                    </w:r>
                  </w:p>
                </w:txbxContent>
              </v:textbox>
              <w10:wrap anchorx="page" anchory="page"/>
            </v:shape>
          </w:pict>
        </mc:Fallback>
      </mc:AlternateContent>
    </w:r>
    <w:r w:rsidR="00CA67D0" w:rsidRPr="00CA67D0">
      <w:t>Public Summary Document</w:t>
    </w:r>
    <w:r w:rsidR="000F6202">
      <w:t xml:space="preserve"> - </w:t>
    </w:r>
    <w:r w:rsidR="00EF6CA5">
      <w:t xml:space="preserve">July </w:t>
    </w:r>
    <w:r w:rsidR="001837C7">
      <w:t>2025 PBAC meeting</w:t>
    </w:r>
  </w:p>
  <w:p w14:paraId="57E30E08" w14:textId="77777777" w:rsidR="001837C7" w:rsidRDefault="0018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6619" w14:textId="5DC68B3A" w:rsidR="001F60D7" w:rsidRDefault="005D75EA">
    <w:pPr>
      <w:pStyle w:val="Header"/>
    </w:pPr>
    <w:r>
      <w:rPr>
        <w:noProof/>
      </w:rPr>
      <mc:AlternateContent>
        <mc:Choice Requires="wps">
          <w:drawing>
            <wp:anchor distT="0" distB="0" distL="0" distR="0" simplePos="0" relativeHeight="251658240" behindDoc="0" locked="0" layoutInCell="1" allowOverlap="1" wp14:anchorId="24D81AC5" wp14:editId="76C19827">
              <wp:simplePos x="635" y="635"/>
              <wp:positionH relativeFrom="page">
                <wp:align>center</wp:align>
              </wp:positionH>
              <wp:positionV relativeFrom="page">
                <wp:align>top</wp:align>
              </wp:positionV>
              <wp:extent cx="551815" cy="376555"/>
              <wp:effectExtent l="0" t="0" r="635" b="4445"/>
              <wp:wrapNone/>
              <wp:docPr id="12693276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40F2C6" w14:textId="7DAE6EF1" w:rsidR="005D75EA" w:rsidRPr="005D75EA" w:rsidRDefault="005D75EA" w:rsidP="005D75EA">
                          <w:pPr>
                            <w:rPr>
                              <w:rFonts w:eastAsia="Calibri" w:cs="Calibri"/>
                              <w:noProof/>
                              <w:color w:val="FF0000"/>
                            </w:rPr>
                          </w:pPr>
                          <w:r w:rsidRPr="005D75E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81AC5"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340F2C6" w14:textId="7DAE6EF1" w:rsidR="005D75EA" w:rsidRPr="005D75EA" w:rsidRDefault="005D75EA" w:rsidP="005D75EA">
                    <w:pPr>
                      <w:rPr>
                        <w:rFonts w:eastAsia="Calibri" w:cs="Calibri"/>
                        <w:noProof/>
                        <w:color w:val="FF0000"/>
                      </w:rPr>
                    </w:pPr>
                    <w:r w:rsidRPr="005D75EA">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05A53"/>
    <w:multiLevelType w:val="hybridMultilevel"/>
    <w:tmpl w:val="BD7CF2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29762F"/>
    <w:multiLevelType w:val="hybridMultilevel"/>
    <w:tmpl w:val="918055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B82D9E"/>
    <w:multiLevelType w:val="hybridMultilevel"/>
    <w:tmpl w:val="E4485FA4"/>
    <w:lvl w:ilvl="0" w:tplc="B928CA8C">
      <w:start w:val="1"/>
      <w:numFmt w:val="bullet"/>
      <w:pStyle w:val="2ndBullet"/>
      <w:lvlText w:val="o"/>
      <w:lvlJc w:val="left"/>
      <w:pPr>
        <w:ind w:left="360" w:hanging="360"/>
      </w:pPr>
      <w:rPr>
        <w:rFonts w:ascii="Courier New" w:hAnsi="Courier New" w:cs="Courier New"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8C1DA6"/>
    <w:multiLevelType w:val="hybridMultilevel"/>
    <w:tmpl w:val="403A688A"/>
    <w:lvl w:ilvl="0" w:tplc="4B3801E0">
      <w:start w:val="1"/>
      <w:numFmt w:val="bullet"/>
      <w:pStyle w:val="Tablesub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09246A4"/>
    <w:multiLevelType w:val="hybridMultilevel"/>
    <w:tmpl w:val="66B4996E"/>
    <w:styleLink w:val="Heading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B13146"/>
    <w:multiLevelType w:val="hybridMultilevel"/>
    <w:tmpl w:val="374CCF0A"/>
    <w:lvl w:ilvl="0" w:tplc="88F0FDAA">
      <w:start w:val="1"/>
      <w:numFmt w:val="bullet"/>
      <w:lvlText w:val=""/>
      <w:lvlJc w:val="left"/>
      <w:pPr>
        <w:ind w:left="360" w:hanging="360"/>
      </w:pPr>
      <w:rPr>
        <w:rFonts w:ascii="Symbol" w:hAnsi="Symbol" w:hint="default"/>
        <w:color w:val="004186"/>
      </w:rPr>
    </w:lvl>
    <w:lvl w:ilvl="1" w:tplc="5EEE43C6">
      <w:start w:val="1"/>
      <w:numFmt w:val="bullet"/>
      <w:pStyle w:val="Level2Bullet"/>
      <w:lvlText w:val="-"/>
      <w:lvlJc w:val="left"/>
      <w:pPr>
        <w:ind w:left="1080" w:hanging="360"/>
      </w:pPr>
      <w:rPr>
        <w:rFonts w:ascii="Courier New" w:hAnsi="Courier New" w:hint="default"/>
        <w:color w:val="1F4E79"/>
      </w:rPr>
    </w:lvl>
    <w:lvl w:ilvl="2" w:tplc="CFCA3274">
      <w:start w:val="1"/>
      <w:numFmt w:val="bullet"/>
      <w:pStyle w:val="Level3Bullet"/>
      <w:lvlText w:val=""/>
      <w:lvlJc w:val="left"/>
      <w:pPr>
        <w:ind w:left="1800" w:hanging="360"/>
      </w:pPr>
      <w:rPr>
        <w:rFonts w:ascii="Symbol" w:hAnsi="Symbol" w:hint="default"/>
        <w:color w:val="C0504D" w:themeColor="accen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46AD7"/>
    <w:multiLevelType w:val="hybridMultilevel"/>
    <w:tmpl w:val="0B7C16FA"/>
    <w:lvl w:ilvl="0" w:tplc="CFBE442A">
      <w:start w:val="1"/>
      <w:numFmt w:val="bullet"/>
      <w:pStyle w:val="ListParagraph"/>
      <w:lvlText w:val=""/>
      <w:lvlJc w:val="left"/>
      <w:pPr>
        <w:ind w:left="1440" w:hanging="360"/>
      </w:pPr>
      <w:rPr>
        <w:rFonts w:ascii="Symbol" w:hAnsi="Symbol" w:hint="default"/>
      </w:rPr>
    </w:lvl>
    <w:lvl w:ilvl="1" w:tplc="7048EAC6">
      <w:numFmt w:val="bullet"/>
      <w:lvlText w:val="•"/>
      <w:lvlJc w:val="left"/>
      <w:pPr>
        <w:ind w:left="2520" w:hanging="720"/>
      </w:pPr>
      <w:rPr>
        <w:rFonts w:ascii="Arial Narrow" w:eastAsiaTheme="majorEastAsia" w:hAnsi="Arial Narrow" w:cstheme="maj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81F0E"/>
    <w:multiLevelType w:val="hybridMultilevel"/>
    <w:tmpl w:val="0972B988"/>
    <w:lvl w:ilvl="0" w:tplc="FE6CFBF8">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E456D"/>
    <w:multiLevelType w:val="hybridMultilevel"/>
    <w:tmpl w:val="507C1DF8"/>
    <w:lvl w:ilvl="0" w:tplc="07C0C904">
      <w:start w:val="1"/>
      <w:numFmt w:val="bullet"/>
      <w:pStyle w:val="1stBullet"/>
      <w:lvlText w:val=""/>
      <w:lvlJc w:val="left"/>
      <w:pPr>
        <w:ind w:left="360"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 w15:restartNumberingAfterBreak="0">
    <w:nsid w:val="4ABD783C"/>
    <w:multiLevelType w:val="hybridMultilevel"/>
    <w:tmpl w:val="23A0264C"/>
    <w:lvl w:ilvl="0" w:tplc="3EB632AE">
      <w:start w:val="1"/>
      <w:numFmt w:val="upperRoman"/>
      <w:pStyle w:val="Appendixlevel2"/>
      <w:lvlText w:val="%1"/>
      <w:lvlJc w:val="left"/>
      <w:pPr>
        <w:tabs>
          <w:tab w:val="num" w:pos="1134"/>
        </w:tabs>
        <w:ind w:left="1134" w:hanging="567"/>
      </w:pPr>
      <w:rPr>
        <w:rFonts w:hint="default"/>
      </w:rPr>
    </w:lvl>
    <w:lvl w:ilvl="1" w:tplc="84BA42FC" w:tentative="1">
      <w:start w:val="1"/>
      <w:numFmt w:val="lowerLetter"/>
      <w:lvlText w:val="%2."/>
      <w:lvlJc w:val="left"/>
      <w:pPr>
        <w:tabs>
          <w:tab w:val="num" w:pos="1440"/>
        </w:tabs>
        <w:ind w:left="1440" w:hanging="360"/>
      </w:pPr>
    </w:lvl>
    <w:lvl w:ilvl="2" w:tplc="4680F6D6" w:tentative="1">
      <w:start w:val="1"/>
      <w:numFmt w:val="lowerRoman"/>
      <w:lvlText w:val="%3."/>
      <w:lvlJc w:val="right"/>
      <w:pPr>
        <w:tabs>
          <w:tab w:val="num" w:pos="2160"/>
        </w:tabs>
        <w:ind w:left="2160" w:hanging="180"/>
      </w:pPr>
    </w:lvl>
    <w:lvl w:ilvl="3" w:tplc="0EBEE88C" w:tentative="1">
      <w:start w:val="1"/>
      <w:numFmt w:val="decimal"/>
      <w:lvlText w:val="%4."/>
      <w:lvlJc w:val="left"/>
      <w:pPr>
        <w:tabs>
          <w:tab w:val="num" w:pos="2880"/>
        </w:tabs>
        <w:ind w:left="2880" w:hanging="360"/>
      </w:pPr>
    </w:lvl>
    <w:lvl w:ilvl="4" w:tplc="E29ADCC2" w:tentative="1">
      <w:start w:val="1"/>
      <w:numFmt w:val="lowerLetter"/>
      <w:lvlText w:val="%5."/>
      <w:lvlJc w:val="left"/>
      <w:pPr>
        <w:tabs>
          <w:tab w:val="num" w:pos="3600"/>
        </w:tabs>
        <w:ind w:left="3600" w:hanging="360"/>
      </w:pPr>
    </w:lvl>
    <w:lvl w:ilvl="5" w:tplc="B06A534E" w:tentative="1">
      <w:start w:val="1"/>
      <w:numFmt w:val="lowerRoman"/>
      <w:lvlText w:val="%6."/>
      <w:lvlJc w:val="right"/>
      <w:pPr>
        <w:tabs>
          <w:tab w:val="num" w:pos="4320"/>
        </w:tabs>
        <w:ind w:left="4320" w:hanging="180"/>
      </w:pPr>
    </w:lvl>
    <w:lvl w:ilvl="6" w:tplc="680ABDAC" w:tentative="1">
      <w:start w:val="1"/>
      <w:numFmt w:val="decimal"/>
      <w:lvlText w:val="%7."/>
      <w:lvlJc w:val="left"/>
      <w:pPr>
        <w:tabs>
          <w:tab w:val="num" w:pos="5040"/>
        </w:tabs>
        <w:ind w:left="5040" w:hanging="360"/>
      </w:pPr>
    </w:lvl>
    <w:lvl w:ilvl="7" w:tplc="ED10380A" w:tentative="1">
      <w:start w:val="1"/>
      <w:numFmt w:val="lowerLetter"/>
      <w:lvlText w:val="%8."/>
      <w:lvlJc w:val="left"/>
      <w:pPr>
        <w:tabs>
          <w:tab w:val="num" w:pos="5760"/>
        </w:tabs>
        <w:ind w:left="5760" w:hanging="360"/>
      </w:pPr>
    </w:lvl>
    <w:lvl w:ilvl="8" w:tplc="2CF40088" w:tentative="1">
      <w:start w:val="1"/>
      <w:numFmt w:val="lowerRoman"/>
      <w:lvlText w:val="%9."/>
      <w:lvlJc w:val="right"/>
      <w:pPr>
        <w:tabs>
          <w:tab w:val="num" w:pos="6480"/>
        </w:tabs>
        <w:ind w:left="6480" w:hanging="180"/>
      </w:pPr>
    </w:lvl>
  </w:abstractNum>
  <w:abstractNum w:abstractNumId="12" w15:restartNumberingAfterBreak="0">
    <w:nsid w:val="4B1E70C3"/>
    <w:multiLevelType w:val="hybridMultilevel"/>
    <w:tmpl w:val="4A02B230"/>
    <w:styleLink w:val="Vitaccessbullets"/>
    <w:lvl w:ilvl="0" w:tplc="FFFFFFFF">
      <w:start w:val="1"/>
      <w:numFmt w:val="bullet"/>
      <w:lvlText w:val=""/>
      <w:lvlJc w:val="left"/>
      <w:pPr>
        <w:ind w:left="720" w:hanging="360"/>
      </w:pPr>
      <w:rPr>
        <w:rFonts w:ascii="Symbol" w:hAnsi="Symbol" w:hint="default"/>
        <w:color w:val="1F497D"/>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CF7DF7"/>
    <w:multiLevelType w:val="multilevel"/>
    <w:tmpl w:val="12A4862C"/>
    <w:lvl w:ilvl="0">
      <w:start w:val="2"/>
      <w:numFmt w:val="decimal"/>
      <w:lvlText w:val="%1."/>
      <w:lvlJc w:val="left"/>
      <w:pPr>
        <w:tabs>
          <w:tab w:val="num" w:pos="720"/>
        </w:tabs>
        <w:ind w:left="720" w:hanging="360"/>
      </w:pPr>
      <w:rPr>
        <w:i/>
        <w:iCs/>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565A9"/>
    <w:multiLevelType w:val="hybridMultilevel"/>
    <w:tmpl w:val="FACACBD0"/>
    <w:lvl w:ilvl="0" w:tplc="FFFFFFFF">
      <w:start w:val="1"/>
      <w:numFmt w:val="bullet"/>
      <w:pStyle w:val="TableBullets"/>
      <w:lvlText w:val="·"/>
      <w:lvlJc w:val="left"/>
      <w:pPr>
        <w:ind w:left="360" w:hanging="360"/>
      </w:pPr>
      <w:rPr>
        <w:rFonts w:ascii="Symbol" w:hAnsi="Symbol" w:hint="default"/>
        <w:color w:val="1F497D"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3D796C"/>
    <w:multiLevelType w:val="hybridMultilevel"/>
    <w:tmpl w:val="17F8FF28"/>
    <w:styleLink w:val="LFO2"/>
    <w:lvl w:ilvl="0" w:tplc="E88E1650">
      <w:start w:val="1"/>
      <w:numFmt w:val="bullet"/>
      <w:lvlText w:val=""/>
      <w:lvlJc w:val="left"/>
      <w:pPr>
        <w:ind w:left="360" w:hanging="360"/>
      </w:pPr>
      <w:rPr>
        <w:rFonts w:ascii="Symbol" w:hAnsi="Symbol" w:hint="default"/>
        <w:color w:val="1F497D"/>
      </w:rPr>
    </w:lvl>
    <w:lvl w:ilvl="1" w:tplc="43546DA4">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4F143FB"/>
    <w:multiLevelType w:val="hybridMultilevel"/>
    <w:tmpl w:val="60A29B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5053DEA"/>
    <w:multiLevelType w:val="hybridMultilevel"/>
    <w:tmpl w:val="6178B0C6"/>
    <w:lvl w:ilvl="0" w:tplc="5492FC1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E390B"/>
    <w:multiLevelType w:val="hybridMultilevel"/>
    <w:tmpl w:val="789454C8"/>
    <w:lvl w:ilvl="0" w:tplc="0C090001">
      <w:start w:val="1"/>
      <w:numFmt w:val="bullet"/>
      <w:lvlText w:val=""/>
      <w:lvlJc w:val="left"/>
      <w:pPr>
        <w:ind w:left="1134" w:hanging="360"/>
      </w:pPr>
      <w:rPr>
        <w:rFonts w:ascii="Symbol" w:hAnsi="Symbol" w:hint="default"/>
      </w:rPr>
    </w:lvl>
    <w:lvl w:ilvl="1" w:tplc="0C090003">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6A117C"/>
    <w:multiLevelType w:val="hybridMultilevel"/>
    <w:tmpl w:val="AF249FAC"/>
    <w:lvl w:ilvl="0" w:tplc="23A286AC">
      <w:start w:val="1"/>
      <w:numFmt w:val="bullet"/>
      <w:pStyle w:val="Tablebullets0"/>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4D033C"/>
    <w:multiLevelType w:val="multilevel"/>
    <w:tmpl w:val="04987DC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003" w:hanging="720"/>
      </w:pPr>
      <w:rPr>
        <w:rFonts w:asciiTheme="minorHAnsi" w:hAnsiTheme="minorHAnsi" w:cstheme="minorHAnsi" w:hint="default"/>
        <w:b w:val="0"/>
        <w:bCs/>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DA62DC"/>
    <w:multiLevelType w:val="hybridMultilevel"/>
    <w:tmpl w:val="DB40D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6186631">
    <w:abstractNumId w:val="22"/>
  </w:num>
  <w:num w:numId="2" w16cid:durableId="917793048">
    <w:abstractNumId w:val="8"/>
  </w:num>
  <w:num w:numId="3" w16cid:durableId="263461728">
    <w:abstractNumId w:val="0"/>
  </w:num>
  <w:num w:numId="4" w16cid:durableId="220360847">
    <w:abstractNumId w:val="16"/>
  </w:num>
  <w:num w:numId="5" w16cid:durableId="268196418">
    <w:abstractNumId w:val="7"/>
  </w:num>
  <w:num w:numId="6" w16cid:durableId="1048839230">
    <w:abstractNumId w:val="22"/>
  </w:num>
  <w:num w:numId="7" w16cid:durableId="429542557">
    <w:abstractNumId w:val="14"/>
  </w:num>
  <w:num w:numId="8" w16cid:durableId="1315526685">
    <w:abstractNumId w:val="21"/>
  </w:num>
  <w:num w:numId="9" w16cid:durableId="1480919530">
    <w:abstractNumId w:val="23"/>
  </w:num>
  <w:num w:numId="10" w16cid:durableId="1978488024">
    <w:abstractNumId w:val="5"/>
  </w:num>
  <w:num w:numId="11" w16cid:durableId="589313700">
    <w:abstractNumId w:val="15"/>
  </w:num>
  <w:num w:numId="12" w16cid:durableId="739444840">
    <w:abstractNumId w:val="12"/>
  </w:num>
  <w:num w:numId="13" w16cid:durableId="732508462">
    <w:abstractNumId w:val="10"/>
  </w:num>
  <w:num w:numId="14" w16cid:durableId="1548568997">
    <w:abstractNumId w:val="11"/>
  </w:num>
  <w:num w:numId="15" w16cid:durableId="879585425">
    <w:abstractNumId w:val="3"/>
  </w:num>
  <w:num w:numId="16" w16cid:durableId="1136949611">
    <w:abstractNumId w:val="6"/>
  </w:num>
  <w:num w:numId="17" w16cid:durableId="1541743588">
    <w:abstractNumId w:val="1"/>
  </w:num>
  <w:num w:numId="18" w16cid:durableId="709720198">
    <w:abstractNumId w:val="9"/>
  </w:num>
  <w:num w:numId="19" w16cid:durableId="392168281">
    <w:abstractNumId w:val="4"/>
  </w:num>
  <w:num w:numId="20" w16cid:durableId="620309370">
    <w:abstractNumId w:val="18"/>
  </w:num>
  <w:num w:numId="21" w16cid:durableId="682902234">
    <w:abstractNumId w:val="19"/>
  </w:num>
  <w:num w:numId="22" w16cid:durableId="1646163632">
    <w:abstractNumId w:val="2"/>
  </w:num>
  <w:num w:numId="23" w16cid:durableId="617493666">
    <w:abstractNumId w:val="17"/>
  </w:num>
  <w:num w:numId="24" w16cid:durableId="796870513">
    <w:abstractNumId w:val="13"/>
  </w:num>
  <w:num w:numId="25" w16cid:durableId="20999720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F95"/>
    <w:rsid w:val="0000110B"/>
    <w:rsid w:val="000013C5"/>
    <w:rsid w:val="00001498"/>
    <w:rsid w:val="000014D4"/>
    <w:rsid w:val="000014F0"/>
    <w:rsid w:val="00001794"/>
    <w:rsid w:val="0000179C"/>
    <w:rsid w:val="00001B02"/>
    <w:rsid w:val="00001BC5"/>
    <w:rsid w:val="00001CDC"/>
    <w:rsid w:val="0000225F"/>
    <w:rsid w:val="0000275A"/>
    <w:rsid w:val="00002B3B"/>
    <w:rsid w:val="00002B83"/>
    <w:rsid w:val="00002B90"/>
    <w:rsid w:val="00002C0B"/>
    <w:rsid w:val="00002F4B"/>
    <w:rsid w:val="000032F7"/>
    <w:rsid w:val="00003499"/>
    <w:rsid w:val="000034F6"/>
    <w:rsid w:val="00003517"/>
    <w:rsid w:val="000035F5"/>
    <w:rsid w:val="0000369C"/>
    <w:rsid w:val="000037AD"/>
    <w:rsid w:val="000039B7"/>
    <w:rsid w:val="00003A8A"/>
    <w:rsid w:val="00004373"/>
    <w:rsid w:val="00004736"/>
    <w:rsid w:val="0000487D"/>
    <w:rsid w:val="00004882"/>
    <w:rsid w:val="00004884"/>
    <w:rsid w:val="000056B9"/>
    <w:rsid w:val="00006192"/>
    <w:rsid w:val="0000639A"/>
    <w:rsid w:val="00006435"/>
    <w:rsid w:val="00006873"/>
    <w:rsid w:val="00006DAF"/>
    <w:rsid w:val="00007167"/>
    <w:rsid w:val="00007803"/>
    <w:rsid w:val="000078E2"/>
    <w:rsid w:val="000079E0"/>
    <w:rsid w:val="00007B92"/>
    <w:rsid w:val="0001046F"/>
    <w:rsid w:val="0001061C"/>
    <w:rsid w:val="00010758"/>
    <w:rsid w:val="0001080F"/>
    <w:rsid w:val="00010E8B"/>
    <w:rsid w:val="00012559"/>
    <w:rsid w:val="000125BA"/>
    <w:rsid w:val="00012BDF"/>
    <w:rsid w:val="00013247"/>
    <w:rsid w:val="00013482"/>
    <w:rsid w:val="000134C7"/>
    <w:rsid w:val="0001387C"/>
    <w:rsid w:val="0001388A"/>
    <w:rsid w:val="00013935"/>
    <w:rsid w:val="00013C5E"/>
    <w:rsid w:val="00013D14"/>
    <w:rsid w:val="000140EF"/>
    <w:rsid w:val="000143EE"/>
    <w:rsid w:val="00014946"/>
    <w:rsid w:val="00014ABB"/>
    <w:rsid w:val="00014D00"/>
    <w:rsid w:val="00014D74"/>
    <w:rsid w:val="000151EB"/>
    <w:rsid w:val="00015301"/>
    <w:rsid w:val="00015886"/>
    <w:rsid w:val="000162EF"/>
    <w:rsid w:val="00016E08"/>
    <w:rsid w:val="0001714B"/>
    <w:rsid w:val="00017189"/>
    <w:rsid w:val="000171A8"/>
    <w:rsid w:val="00017602"/>
    <w:rsid w:val="00017D57"/>
    <w:rsid w:val="0002043D"/>
    <w:rsid w:val="000207C9"/>
    <w:rsid w:val="0002165C"/>
    <w:rsid w:val="000219C9"/>
    <w:rsid w:val="00021C7A"/>
    <w:rsid w:val="0002225F"/>
    <w:rsid w:val="000224A2"/>
    <w:rsid w:val="00022C65"/>
    <w:rsid w:val="00023305"/>
    <w:rsid w:val="00023763"/>
    <w:rsid w:val="00023849"/>
    <w:rsid w:val="00023CF5"/>
    <w:rsid w:val="00024565"/>
    <w:rsid w:val="00024CA3"/>
    <w:rsid w:val="00024EB5"/>
    <w:rsid w:val="00025083"/>
    <w:rsid w:val="000257D3"/>
    <w:rsid w:val="00025BA4"/>
    <w:rsid w:val="00025C2E"/>
    <w:rsid w:val="000260BE"/>
    <w:rsid w:val="00026CFC"/>
    <w:rsid w:val="00026F6C"/>
    <w:rsid w:val="000274B8"/>
    <w:rsid w:val="00027973"/>
    <w:rsid w:val="00027B67"/>
    <w:rsid w:val="00027CE2"/>
    <w:rsid w:val="00030257"/>
    <w:rsid w:val="00030290"/>
    <w:rsid w:val="00030325"/>
    <w:rsid w:val="00030412"/>
    <w:rsid w:val="0003081E"/>
    <w:rsid w:val="00030A20"/>
    <w:rsid w:val="00031057"/>
    <w:rsid w:val="000311ED"/>
    <w:rsid w:val="00032277"/>
    <w:rsid w:val="000327D8"/>
    <w:rsid w:val="00032A83"/>
    <w:rsid w:val="00032F5D"/>
    <w:rsid w:val="00033446"/>
    <w:rsid w:val="00033537"/>
    <w:rsid w:val="00033863"/>
    <w:rsid w:val="000339F6"/>
    <w:rsid w:val="00033F5E"/>
    <w:rsid w:val="000348C9"/>
    <w:rsid w:val="00034ABD"/>
    <w:rsid w:val="00034D3A"/>
    <w:rsid w:val="0003518D"/>
    <w:rsid w:val="00035878"/>
    <w:rsid w:val="00035A1B"/>
    <w:rsid w:val="00035C5A"/>
    <w:rsid w:val="00035DC0"/>
    <w:rsid w:val="00035DE0"/>
    <w:rsid w:val="000362F6"/>
    <w:rsid w:val="00036829"/>
    <w:rsid w:val="00036D68"/>
    <w:rsid w:val="0003767C"/>
    <w:rsid w:val="00037DF0"/>
    <w:rsid w:val="00040895"/>
    <w:rsid w:val="000409D2"/>
    <w:rsid w:val="00040B0D"/>
    <w:rsid w:val="00040D4B"/>
    <w:rsid w:val="0004104C"/>
    <w:rsid w:val="000410A0"/>
    <w:rsid w:val="0004143E"/>
    <w:rsid w:val="0004180E"/>
    <w:rsid w:val="00041E1E"/>
    <w:rsid w:val="00042593"/>
    <w:rsid w:val="000426FB"/>
    <w:rsid w:val="00042836"/>
    <w:rsid w:val="00042B08"/>
    <w:rsid w:val="00042C09"/>
    <w:rsid w:val="000431A2"/>
    <w:rsid w:val="000434B9"/>
    <w:rsid w:val="000435EE"/>
    <w:rsid w:val="00043C37"/>
    <w:rsid w:val="00044668"/>
    <w:rsid w:val="000448CA"/>
    <w:rsid w:val="00045017"/>
    <w:rsid w:val="00045186"/>
    <w:rsid w:val="00045500"/>
    <w:rsid w:val="0004558F"/>
    <w:rsid w:val="0004559E"/>
    <w:rsid w:val="00045A2B"/>
    <w:rsid w:val="00045DBB"/>
    <w:rsid w:val="00046853"/>
    <w:rsid w:val="0004698F"/>
    <w:rsid w:val="00046A6D"/>
    <w:rsid w:val="00046C72"/>
    <w:rsid w:val="00046D64"/>
    <w:rsid w:val="00046F87"/>
    <w:rsid w:val="000476D5"/>
    <w:rsid w:val="00047709"/>
    <w:rsid w:val="000477B6"/>
    <w:rsid w:val="0005013E"/>
    <w:rsid w:val="00050781"/>
    <w:rsid w:val="000508C2"/>
    <w:rsid w:val="00050AB3"/>
    <w:rsid w:val="00050E02"/>
    <w:rsid w:val="00051BDE"/>
    <w:rsid w:val="000522B2"/>
    <w:rsid w:val="00052ACB"/>
    <w:rsid w:val="00053269"/>
    <w:rsid w:val="00053371"/>
    <w:rsid w:val="00053556"/>
    <w:rsid w:val="000538F3"/>
    <w:rsid w:val="000539D0"/>
    <w:rsid w:val="00053C8F"/>
    <w:rsid w:val="00053EEF"/>
    <w:rsid w:val="00054274"/>
    <w:rsid w:val="00054621"/>
    <w:rsid w:val="000546D7"/>
    <w:rsid w:val="00054A8D"/>
    <w:rsid w:val="0005500C"/>
    <w:rsid w:val="000551D4"/>
    <w:rsid w:val="00055335"/>
    <w:rsid w:val="00055382"/>
    <w:rsid w:val="000556CC"/>
    <w:rsid w:val="00055899"/>
    <w:rsid w:val="0005594F"/>
    <w:rsid w:val="00055B01"/>
    <w:rsid w:val="00055B14"/>
    <w:rsid w:val="00055C47"/>
    <w:rsid w:val="00055F04"/>
    <w:rsid w:val="000563B1"/>
    <w:rsid w:val="000568E1"/>
    <w:rsid w:val="00056C8C"/>
    <w:rsid w:val="00056D1F"/>
    <w:rsid w:val="00056ECF"/>
    <w:rsid w:val="00057164"/>
    <w:rsid w:val="00057950"/>
    <w:rsid w:val="000579AE"/>
    <w:rsid w:val="00057B42"/>
    <w:rsid w:val="000601E9"/>
    <w:rsid w:val="000603B5"/>
    <w:rsid w:val="000604DF"/>
    <w:rsid w:val="00060662"/>
    <w:rsid w:val="000616E1"/>
    <w:rsid w:val="00062324"/>
    <w:rsid w:val="00062731"/>
    <w:rsid w:val="000627CA"/>
    <w:rsid w:val="000628D2"/>
    <w:rsid w:val="00063009"/>
    <w:rsid w:val="00063372"/>
    <w:rsid w:val="00063469"/>
    <w:rsid w:val="0006354A"/>
    <w:rsid w:val="00064BDA"/>
    <w:rsid w:val="00064CEA"/>
    <w:rsid w:val="00064ECC"/>
    <w:rsid w:val="000653B5"/>
    <w:rsid w:val="00065979"/>
    <w:rsid w:val="000659C5"/>
    <w:rsid w:val="00065D60"/>
    <w:rsid w:val="00065D8A"/>
    <w:rsid w:val="00065F92"/>
    <w:rsid w:val="00066360"/>
    <w:rsid w:val="00066669"/>
    <w:rsid w:val="0006680C"/>
    <w:rsid w:val="00066AF8"/>
    <w:rsid w:val="00066D01"/>
    <w:rsid w:val="00067245"/>
    <w:rsid w:val="00067461"/>
    <w:rsid w:val="0006791E"/>
    <w:rsid w:val="000679CA"/>
    <w:rsid w:val="00067B57"/>
    <w:rsid w:val="00067B5C"/>
    <w:rsid w:val="00067C66"/>
    <w:rsid w:val="00067DDA"/>
    <w:rsid w:val="00067E24"/>
    <w:rsid w:val="00071248"/>
    <w:rsid w:val="000713F7"/>
    <w:rsid w:val="0007165E"/>
    <w:rsid w:val="000719DD"/>
    <w:rsid w:val="000720B9"/>
    <w:rsid w:val="000722C0"/>
    <w:rsid w:val="00072BA5"/>
    <w:rsid w:val="00072C27"/>
    <w:rsid w:val="00073029"/>
    <w:rsid w:val="000734E2"/>
    <w:rsid w:val="00073573"/>
    <w:rsid w:val="000737F7"/>
    <w:rsid w:val="00073F66"/>
    <w:rsid w:val="00074589"/>
    <w:rsid w:val="00074995"/>
    <w:rsid w:val="00075198"/>
    <w:rsid w:val="000754BC"/>
    <w:rsid w:val="000759AF"/>
    <w:rsid w:val="00075EA0"/>
    <w:rsid w:val="0007658C"/>
    <w:rsid w:val="0007672F"/>
    <w:rsid w:val="00076768"/>
    <w:rsid w:val="00076B54"/>
    <w:rsid w:val="00076C33"/>
    <w:rsid w:val="000774F0"/>
    <w:rsid w:val="000775C5"/>
    <w:rsid w:val="000777DB"/>
    <w:rsid w:val="00077CF2"/>
    <w:rsid w:val="00077FA9"/>
    <w:rsid w:val="00080909"/>
    <w:rsid w:val="00081087"/>
    <w:rsid w:val="000812CA"/>
    <w:rsid w:val="00081631"/>
    <w:rsid w:val="00081A0F"/>
    <w:rsid w:val="00081D59"/>
    <w:rsid w:val="00081E63"/>
    <w:rsid w:val="0008258D"/>
    <w:rsid w:val="00082FA1"/>
    <w:rsid w:val="0008336B"/>
    <w:rsid w:val="0008343E"/>
    <w:rsid w:val="00083773"/>
    <w:rsid w:val="00083804"/>
    <w:rsid w:val="0008395A"/>
    <w:rsid w:val="00083CB0"/>
    <w:rsid w:val="00083D7C"/>
    <w:rsid w:val="00083E99"/>
    <w:rsid w:val="00084295"/>
    <w:rsid w:val="0008430B"/>
    <w:rsid w:val="0008438E"/>
    <w:rsid w:val="00084810"/>
    <w:rsid w:val="00084A6C"/>
    <w:rsid w:val="00084FA8"/>
    <w:rsid w:val="00085464"/>
    <w:rsid w:val="000856C5"/>
    <w:rsid w:val="00085C31"/>
    <w:rsid w:val="00085DB7"/>
    <w:rsid w:val="00085EBF"/>
    <w:rsid w:val="00085F62"/>
    <w:rsid w:val="000860F1"/>
    <w:rsid w:val="000864D8"/>
    <w:rsid w:val="000867A8"/>
    <w:rsid w:val="0008735E"/>
    <w:rsid w:val="000876C6"/>
    <w:rsid w:val="000902D9"/>
    <w:rsid w:val="000903CE"/>
    <w:rsid w:val="00090B72"/>
    <w:rsid w:val="00090C7E"/>
    <w:rsid w:val="000911AC"/>
    <w:rsid w:val="0009198E"/>
    <w:rsid w:val="00091F5B"/>
    <w:rsid w:val="00092237"/>
    <w:rsid w:val="00092351"/>
    <w:rsid w:val="00092600"/>
    <w:rsid w:val="0009262B"/>
    <w:rsid w:val="000926FA"/>
    <w:rsid w:val="00093310"/>
    <w:rsid w:val="000934EF"/>
    <w:rsid w:val="00093761"/>
    <w:rsid w:val="00093DCD"/>
    <w:rsid w:val="000940BE"/>
    <w:rsid w:val="0009427C"/>
    <w:rsid w:val="0009445C"/>
    <w:rsid w:val="0009446D"/>
    <w:rsid w:val="000950C7"/>
    <w:rsid w:val="000950F8"/>
    <w:rsid w:val="00095200"/>
    <w:rsid w:val="00095469"/>
    <w:rsid w:val="0009567A"/>
    <w:rsid w:val="00095FE5"/>
    <w:rsid w:val="00096284"/>
    <w:rsid w:val="00096307"/>
    <w:rsid w:val="000965ED"/>
    <w:rsid w:val="00096970"/>
    <w:rsid w:val="00096AB9"/>
    <w:rsid w:val="00096B01"/>
    <w:rsid w:val="00097BB6"/>
    <w:rsid w:val="00097E92"/>
    <w:rsid w:val="00097F4F"/>
    <w:rsid w:val="000A0F45"/>
    <w:rsid w:val="000A10F1"/>
    <w:rsid w:val="000A11F2"/>
    <w:rsid w:val="000A1BC0"/>
    <w:rsid w:val="000A2F9E"/>
    <w:rsid w:val="000A2FDD"/>
    <w:rsid w:val="000A3841"/>
    <w:rsid w:val="000A3E47"/>
    <w:rsid w:val="000A4747"/>
    <w:rsid w:val="000A4C54"/>
    <w:rsid w:val="000A4E38"/>
    <w:rsid w:val="000A4FD3"/>
    <w:rsid w:val="000A522B"/>
    <w:rsid w:val="000A5688"/>
    <w:rsid w:val="000A5BE2"/>
    <w:rsid w:val="000A5C91"/>
    <w:rsid w:val="000A6039"/>
    <w:rsid w:val="000A6161"/>
    <w:rsid w:val="000A65DE"/>
    <w:rsid w:val="000A6AE7"/>
    <w:rsid w:val="000A6FE6"/>
    <w:rsid w:val="000A70BA"/>
    <w:rsid w:val="000A70DC"/>
    <w:rsid w:val="000A7363"/>
    <w:rsid w:val="000A7453"/>
    <w:rsid w:val="000A75DD"/>
    <w:rsid w:val="000A76F2"/>
    <w:rsid w:val="000A790F"/>
    <w:rsid w:val="000A7D08"/>
    <w:rsid w:val="000A7DEA"/>
    <w:rsid w:val="000B0121"/>
    <w:rsid w:val="000B020D"/>
    <w:rsid w:val="000B02D9"/>
    <w:rsid w:val="000B0670"/>
    <w:rsid w:val="000B06E5"/>
    <w:rsid w:val="000B0B3C"/>
    <w:rsid w:val="000B0E75"/>
    <w:rsid w:val="000B0F06"/>
    <w:rsid w:val="000B10CC"/>
    <w:rsid w:val="000B1318"/>
    <w:rsid w:val="000B1AD6"/>
    <w:rsid w:val="000B1BB9"/>
    <w:rsid w:val="000B2496"/>
    <w:rsid w:val="000B2A22"/>
    <w:rsid w:val="000B2B92"/>
    <w:rsid w:val="000B2DCB"/>
    <w:rsid w:val="000B2EB1"/>
    <w:rsid w:val="000B2F63"/>
    <w:rsid w:val="000B2FEA"/>
    <w:rsid w:val="000B3028"/>
    <w:rsid w:val="000B31A2"/>
    <w:rsid w:val="000B3512"/>
    <w:rsid w:val="000B3C80"/>
    <w:rsid w:val="000B4467"/>
    <w:rsid w:val="000B497C"/>
    <w:rsid w:val="000B4CAE"/>
    <w:rsid w:val="000B501B"/>
    <w:rsid w:val="000B511B"/>
    <w:rsid w:val="000B54BE"/>
    <w:rsid w:val="000B5607"/>
    <w:rsid w:val="000B576F"/>
    <w:rsid w:val="000B57B4"/>
    <w:rsid w:val="000B5C76"/>
    <w:rsid w:val="000B5CE0"/>
    <w:rsid w:val="000B5E0D"/>
    <w:rsid w:val="000B627F"/>
    <w:rsid w:val="000B6CAC"/>
    <w:rsid w:val="000B7612"/>
    <w:rsid w:val="000B784A"/>
    <w:rsid w:val="000B78AE"/>
    <w:rsid w:val="000C025A"/>
    <w:rsid w:val="000C02A0"/>
    <w:rsid w:val="000C0700"/>
    <w:rsid w:val="000C0B67"/>
    <w:rsid w:val="000C0BF3"/>
    <w:rsid w:val="000C0D3B"/>
    <w:rsid w:val="000C0E09"/>
    <w:rsid w:val="000C1094"/>
    <w:rsid w:val="000C1604"/>
    <w:rsid w:val="000C1CE0"/>
    <w:rsid w:val="000C24F9"/>
    <w:rsid w:val="000C2DF5"/>
    <w:rsid w:val="000C3DF9"/>
    <w:rsid w:val="000C42B3"/>
    <w:rsid w:val="000C438F"/>
    <w:rsid w:val="000C4719"/>
    <w:rsid w:val="000C495C"/>
    <w:rsid w:val="000C4ACC"/>
    <w:rsid w:val="000C4CF2"/>
    <w:rsid w:val="000C548B"/>
    <w:rsid w:val="000C5DC4"/>
    <w:rsid w:val="000C6015"/>
    <w:rsid w:val="000C6317"/>
    <w:rsid w:val="000C644F"/>
    <w:rsid w:val="000C6713"/>
    <w:rsid w:val="000C6AFE"/>
    <w:rsid w:val="000C7257"/>
    <w:rsid w:val="000C73C5"/>
    <w:rsid w:val="000C75B1"/>
    <w:rsid w:val="000C7FD0"/>
    <w:rsid w:val="000D0C4D"/>
    <w:rsid w:val="000D0CEE"/>
    <w:rsid w:val="000D0F64"/>
    <w:rsid w:val="000D0F6F"/>
    <w:rsid w:val="000D13B7"/>
    <w:rsid w:val="000D1435"/>
    <w:rsid w:val="000D1B9F"/>
    <w:rsid w:val="000D1BFC"/>
    <w:rsid w:val="000D1D5D"/>
    <w:rsid w:val="000D24E4"/>
    <w:rsid w:val="000D281A"/>
    <w:rsid w:val="000D2848"/>
    <w:rsid w:val="000D28F5"/>
    <w:rsid w:val="000D2CFF"/>
    <w:rsid w:val="000D2DB7"/>
    <w:rsid w:val="000D2EF7"/>
    <w:rsid w:val="000D326A"/>
    <w:rsid w:val="000D4ADC"/>
    <w:rsid w:val="000D508E"/>
    <w:rsid w:val="000D51FB"/>
    <w:rsid w:val="000D5D02"/>
    <w:rsid w:val="000D66D0"/>
    <w:rsid w:val="000D68A2"/>
    <w:rsid w:val="000D6E8A"/>
    <w:rsid w:val="000D6F53"/>
    <w:rsid w:val="000D700D"/>
    <w:rsid w:val="000D7EBD"/>
    <w:rsid w:val="000D7FA7"/>
    <w:rsid w:val="000E00EE"/>
    <w:rsid w:val="000E01FD"/>
    <w:rsid w:val="000E0640"/>
    <w:rsid w:val="000E075E"/>
    <w:rsid w:val="000E0C43"/>
    <w:rsid w:val="000E135D"/>
    <w:rsid w:val="000E1B90"/>
    <w:rsid w:val="000E2E1F"/>
    <w:rsid w:val="000E2FF8"/>
    <w:rsid w:val="000E347B"/>
    <w:rsid w:val="000E37F9"/>
    <w:rsid w:val="000E3A46"/>
    <w:rsid w:val="000E3C80"/>
    <w:rsid w:val="000E4A53"/>
    <w:rsid w:val="000E5078"/>
    <w:rsid w:val="000E5461"/>
    <w:rsid w:val="000E54E1"/>
    <w:rsid w:val="000E558B"/>
    <w:rsid w:val="000E5AB0"/>
    <w:rsid w:val="000E5B58"/>
    <w:rsid w:val="000E5CE2"/>
    <w:rsid w:val="000E6900"/>
    <w:rsid w:val="000E6CBC"/>
    <w:rsid w:val="000E6DDA"/>
    <w:rsid w:val="000E7038"/>
    <w:rsid w:val="000E7673"/>
    <w:rsid w:val="000E7AD4"/>
    <w:rsid w:val="000E7AEE"/>
    <w:rsid w:val="000E7BDC"/>
    <w:rsid w:val="000F00BA"/>
    <w:rsid w:val="000F040B"/>
    <w:rsid w:val="000F06E0"/>
    <w:rsid w:val="000F07CF"/>
    <w:rsid w:val="000F07E7"/>
    <w:rsid w:val="000F09A9"/>
    <w:rsid w:val="000F174D"/>
    <w:rsid w:val="000F1EA2"/>
    <w:rsid w:val="000F2437"/>
    <w:rsid w:val="000F24D6"/>
    <w:rsid w:val="000F259B"/>
    <w:rsid w:val="000F25F2"/>
    <w:rsid w:val="000F27D9"/>
    <w:rsid w:val="000F28E5"/>
    <w:rsid w:val="000F316A"/>
    <w:rsid w:val="000F3172"/>
    <w:rsid w:val="000F37A7"/>
    <w:rsid w:val="000F3C74"/>
    <w:rsid w:val="000F416B"/>
    <w:rsid w:val="000F420C"/>
    <w:rsid w:val="000F4470"/>
    <w:rsid w:val="000F4BB8"/>
    <w:rsid w:val="000F4FA9"/>
    <w:rsid w:val="000F53FB"/>
    <w:rsid w:val="000F541E"/>
    <w:rsid w:val="000F59E2"/>
    <w:rsid w:val="000F5D2A"/>
    <w:rsid w:val="000F6202"/>
    <w:rsid w:val="000F6504"/>
    <w:rsid w:val="000F6E3C"/>
    <w:rsid w:val="000F70C2"/>
    <w:rsid w:val="000F7127"/>
    <w:rsid w:val="000F76EA"/>
    <w:rsid w:val="000F77FB"/>
    <w:rsid w:val="000F7901"/>
    <w:rsid w:val="000F7960"/>
    <w:rsid w:val="000F799A"/>
    <w:rsid w:val="000F7B54"/>
    <w:rsid w:val="000F7BBE"/>
    <w:rsid w:val="000F7DB6"/>
    <w:rsid w:val="001000B3"/>
    <w:rsid w:val="00100148"/>
    <w:rsid w:val="00100515"/>
    <w:rsid w:val="00100ED0"/>
    <w:rsid w:val="00100EE6"/>
    <w:rsid w:val="00100F8A"/>
    <w:rsid w:val="00101A8C"/>
    <w:rsid w:val="00102B80"/>
    <w:rsid w:val="00102ECD"/>
    <w:rsid w:val="00102EF9"/>
    <w:rsid w:val="00102F52"/>
    <w:rsid w:val="00103002"/>
    <w:rsid w:val="001034CD"/>
    <w:rsid w:val="001042D6"/>
    <w:rsid w:val="0010452E"/>
    <w:rsid w:val="00104B15"/>
    <w:rsid w:val="00104DF2"/>
    <w:rsid w:val="001055A9"/>
    <w:rsid w:val="00105828"/>
    <w:rsid w:val="00105AE2"/>
    <w:rsid w:val="00105C1F"/>
    <w:rsid w:val="001060C6"/>
    <w:rsid w:val="00106B80"/>
    <w:rsid w:val="00107011"/>
    <w:rsid w:val="001079A5"/>
    <w:rsid w:val="001079E2"/>
    <w:rsid w:val="00107E32"/>
    <w:rsid w:val="00107F7B"/>
    <w:rsid w:val="00110047"/>
    <w:rsid w:val="0011032E"/>
    <w:rsid w:val="00110568"/>
    <w:rsid w:val="0011056E"/>
    <w:rsid w:val="001108D6"/>
    <w:rsid w:val="00110C19"/>
    <w:rsid w:val="001115A4"/>
    <w:rsid w:val="0011177C"/>
    <w:rsid w:val="00111BD0"/>
    <w:rsid w:val="00111F8E"/>
    <w:rsid w:val="00112208"/>
    <w:rsid w:val="00112265"/>
    <w:rsid w:val="00112448"/>
    <w:rsid w:val="0011320B"/>
    <w:rsid w:val="00113372"/>
    <w:rsid w:val="0011348B"/>
    <w:rsid w:val="00113B1D"/>
    <w:rsid w:val="00113FDF"/>
    <w:rsid w:val="00113FF7"/>
    <w:rsid w:val="001144E8"/>
    <w:rsid w:val="001145E6"/>
    <w:rsid w:val="00114C9D"/>
    <w:rsid w:val="00115982"/>
    <w:rsid w:val="00115A47"/>
    <w:rsid w:val="0011605B"/>
    <w:rsid w:val="00116146"/>
    <w:rsid w:val="00116537"/>
    <w:rsid w:val="00116611"/>
    <w:rsid w:val="00116C53"/>
    <w:rsid w:val="00116DEB"/>
    <w:rsid w:val="00116E16"/>
    <w:rsid w:val="0011799F"/>
    <w:rsid w:val="00117B8F"/>
    <w:rsid w:val="00117F64"/>
    <w:rsid w:val="0012031A"/>
    <w:rsid w:val="00120B5A"/>
    <w:rsid w:val="00120DE1"/>
    <w:rsid w:val="00121149"/>
    <w:rsid w:val="00121629"/>
    <w:rsid w:val="00121799"/>
    <w:rsid w:val="001222FC"/>
    <w:rsid w:val="00122D5D"/>
    <w:rsid w:val="00122EAC"/>
    <w:rsid w:val="001232EB"/>
    <w:rsid w:val="00123902"/>
    <w:rsid w:val="0012487A"/>
    <w:rsid w:val="00124A51"/>
    <w:rsid w:val="00124BCF"/>
    <w:rsid w:val="00124D7B"/>
    <w:rsid w:val="0012510B"/>
    <w:rsid w:val="001252A3"/>
    <w:rsid w:val="00125966"/>
    <w:rsid w:val="00125CAE"/>
    <w:rsid w:val="00126053"/>
    <w:rsid w:val="0012625C"/>
    <w:rsid w:val="0012647A"/>
    <w:rsid w:val="001265EB"/>
    <w:rsid w:val="00126621"/>
    <w:rsid w:val="001267D9"/>
    <w:rsid w:val="0012683C"/>
    <w:rsid w:val="00126A1B"/>
    <w:rsid w:val="00126B1D"/>
    <w:rsid w:val="00126BD7"/>
    <w:rsid w:val="00126C19"/>
    <w:rsid w:val="0012748D"/>
    <w:rsid w:val="001277F8"/>
    <w:rsid w:val="001278CD"/>
    <w:rsid w:val="001301E9"/>
    <w:rsid w:val="001302E6"/>
    <w:rsid w:val="0013031E"/>
    <w:rsid w:val="0013035A"/>
    <w:rsid w:val="00130383"/>
    <w:rsid w:val="00130BEE"/>
    <w:rsid w:val="00131344"/>
    <w:rsid w:val="00131629"/>
    <w:rsid w:val="00131BF7"/>
    <w:rsid w:val="00131C57"/>
    <w:rsid w:val="00131D82"/>
    <w:rsid w:val="00131DCE"/>
    <w:rsid w:val="00132261"/>
    <w:rsid w:val="00132561"/>
    <w:rsid w:val="001326EF"/>
    <w:rsid w:val="001327FA"/>
    <w:rsid w:val="00132B22"/>
    <w:rsid w:val="00132CFD"/>
    <w:rsid w:val="0013309C"/>
    <w:rsid w:val="00133AEE"/>
    <w:rsid w:val="00133C14"/>
    <w:rsid w:val="00133CB9"/>
    <w:rsid w:val="00133D36"/>
    <w:rsid w:val="00134ED4"/>
    <w:rsid w:val="001352C1"/>
    <w:rsid w:val="0013550F"/>
    <w:rsid w:val="00135839"/>
    <w:rsid w:val="00135906"/>
    <w:rsid w:val="0013594B"/>
    <w:rsid w:val="00135BF4"/>
    <w:rsid w:val="00137645"/>
    <w:rsid w:val="00137BEE"/>
    <w:rsid w:val="00137F7B"/>
    <w:rsid w:val="0014007B"/>
    <w:rsid w:val="0014015A"/>
    <w:rsid w:val="00140441"/>
    <w:rsid w:val="001406C2"/>
    <w:rsid w:val="00140E99"/>
    <w:rsid w:val="001419EB"/>
    <w:rsid w:val="00141F1C"/>
    <w:rsid w:val="00141F6E"/>
    <w:rsid w:val="00142055"/>
    <w:rsid w:val="00142218"/>
    <w:rsid w:val="00142453"/>
    <w:rsid w:val="001424A1"/>
    <w:rsid w:val="00142515"/>
    <w:rsid w:val="00142528"/>
    <w:rsid w:val="00142E4F"/>
    <w:rsid w:val="001430DA"/>
    <w:rsid w:val="001431EB"/>
    <w:rsid w:val="001437B5"/>
    <w:rsid w:val="00143E26"/>
    <w:rsid w:val="00143F67"/>
    <w:rsid w:val="00144903"/>
    <w:rsid w:val="00145234"/>
    <w:rsid w:val="001452DC"/>
    <w:rsid w:val="00145490"/>
    <w:rsid w:val="00145540"/>
    <w:rsid w:val="0014557E"/>
    <w:rsid w:val="001456B0"/>
    <w:rsid w:val="00146296"/>
    <w:rsid w:val="00146A9D"/>
    <w:rsid w:val="00146B7A"/>
    <w:rsid w:val="00146EA1"/>
    <w:rsid w:val="00147077"/>
    <w:rsid w:val="001473D1"/>
    <w:rsid w:val="00147D1D"/>
    <w:rsid w:val="00147F09"/>
    <w:rsid w:val="00150228"/>
    <w:rsid w:val="00150315"/>
    <w:rsid w:val="00150499"/>
    <w:rsid w:val="001505AE"/>
    <w:rsid w:val="0015086D"/>
    <w:rsid w:val="00151210"/>
    <w:rsid w:val="001512B3"/>
    <w:rsid w:val="00151507"/>
    <w:rsid w:val="0015156F"/>
    <w:rsid w:val="001516FC"/>
    <w:rsid w:val="00151A06"/>
    <w:rsid w:val="001526F4"/>
    <w:rsid w:val="00153055"/>
    <w:rsid w:val="0015334C"/>
    <w:rsid w:val="0015339F"/>
    <w:rsid w:val="001533CE"/>
    <w:rsid w:val="00153A13"/>
    <w:rsid w:val="00153AB5"/>
    <w:rsid w:val="00153B1E"/>
    <w:rsid w:val="00153B3E"/>
    <w:rsid w:val="00153F21"/>
    <w:rsid w:val="0015415F"/>
    <w:rsid w:val="001547AB"/>
    <w:rsid w:val="00154A05"/>
    <w:rsid w:val="0015505D"/>
    <w:rsid w:val="0015622E"/>
    <w:rsid w:val="00156445"/>
    <w:rsid w:val="0015677B"/>
    <w:rsid w:val="0015693F"/>
    <w:rsid w:val="001569B7"/>
    <w:rsid w:val="00156ED0"/>
    <w:rsid w:val="00156F1F"/>
    <w:rsid w:val="00156F47"/>
    <w:rsid w:val="00156F8F"/>
    <w:rsid w:val="00156FF1"/>
    <w:rsid w:val="00157130"/>
    <w:rsid w:val="001576B1"/>
    <w:rsid w:val="00157799"/>
    <w:rsid w:val="001577AF"/>
    <w:rsid w:val="00157B85"/>
    <w:rsid w:val="00157C09"/>
    <w:rsid w:val="00157C9D"/>
    <w:rsid w:val="0016004F"/>
    <w:rsid w:val="0016047B"/>
    <w:rsid w:val="001604D2"/>
    <w:rsid w:val="00160529"/>
    <w:rsid w:val="00160A4C"/>
    <w:rsid w:val="00161535"/>
    <w:rsid w:val="001616F0"/>
    <w:rsid w:val="00161E05"/>
    <w:rsid w:val="00161E96"/>
    <w:rsid w:val="0016211B"/>
    <w:rsid w:val="00162169"/>
    <w:rsid w:val="00162342"/>
    <w:rsid w:val="00162913"/>
    <w:rsid w:val="00162C29"/>
    <w:rsid w:val="001631A9"/>
    <w:rsid w:val="00163322"/>
    <w:rsid w:val="001633E9"/>
    <w:rsid w:val="0016379D"/>
    <w:rsid w:val="00163A2E"/>
    <w:rsid w:val="00163B1A"/>
    <w:rsid w:val="00163C67"/>
    <w:rsid w:val="00163EFF"/>
    <w:rsid w:val="00163F66"/>
    <w:rsid w:val="001642D2"/>
    <w:rsid w:val="00164696"/>
    <w:rsid w:val="0016478E"/>
    <w:rsid w:val="00164F23"/>
    <w:rsid w:val="0016519B"/>
    <w:rsid w:val="001654B3"/>
    <w:rsid w:val="00165D88"/>
    <w:rsid w:val="00165DD1"/>
    <w:rsid w:val="00165EC4"/>
    <w:rsid w:val="001661FB"/>
    <w:rsid w:val="0016626C"/>
    <w:rsid w:val="0016650A"/>
    <w:rsid w:val="001666A4"/>
    <w:rsid w:val="001669C3"/>
    <w:rsid w:val="00166EE9"/>
    <w:rsid w:val="001671A0"/>
    <w:rsid w:val="0016750B"/>
    <w:rsid w:val="0016767F"/>
    <w:rsid w:val="00167686"/>
    <w:rsid w:val="00167AA9"/>
    <w:rsid w:val="001704D9"/>
    <w:rsid w:val="001705BF"/>
    <w:rsid w:val="00170909"/>
    <w:rsid w:val="00170958"/>
    <w:rsid w:val="00170BCB"/>
    <w:rsid w:val="00170FE1"/>
    <w:rsid w:val="001711C5"/>
    <w:rsid w:val="001715F1"/>
    <w:rsid w:val="00171808"/>
    <w:rsid w:val="00171917"/>
    <w:rsid w:val="001719A1"/>
    <w:rsid w:val="00171A58"/>
    <w:rsid w:val="00171F64"/>
    <w:rsid w:val="00171FC7"/>
    <w:rsid w:val="0017207B"/>
    <w:rsid w:val="001721EC"/>
    <w:rsid w:val="00172C1F"/>
    <w:rsid w:val="0017313C"/>
    <w:rsid w:val="0017333B"/>
    <w:rsid w:val="00173565"/>
    <w:rsid w:val="001736C1"/>
    <w:rsid w:val="00173788"/>
    <w:rsid w:val="00173B07"/>
    <w:rsid w:val="00173C93"/>
    <w:rsid w:val="001751FA"/>
    <w:rsid w:val="001754CF"/>
    <w:rsid w:val="001756F1"/>
    <w:rsid w:val="00175AA2"/>
    <w:rsid w:val="00175B80"/>
    <w:rsid w:val="00176067"/>
    <w:rsid w:val="0017658F"/>
    <w:rsid w:val="001769CD"/>
    <w:rsid w:val="00176BCE"/>
    <w:rsid w:val="00177355"/>
    <w:rsid w:val="00177417"/>
    <w:rsid w:val="00177A48"/>
    <w:rsid w:val="00177CD9"/>
    <w:rsid w:val="00177E2F"/>
    <w:rsid w:val="00177E36"/>
    <w:rsid w:val="00177E65"/>
    <w:rsid w:val="00177E9D"/>
    <w:rsid w:val="00177F36"/>
    <w:rsid w:val="0018006F"/>
    <w:rsid w:val="001801C8"/>
    <w:rsid w:val="00180402"/>
    <w:rsid w:val="00180A37"/>
    <w:rsid w:val="00180D05"/>
    <w:rsid w:val="00180E77"/>
    <w:rsid w:val="001811F7"/>
    <w:rsid w:val="00181532"/>
    <w:rsid w:val="001815D8"/>
    <w:rsid w:val="00181A19"/>
    <w:rsid w:val="00181C10"/>
    <w:rsid w:val="00181D03"/>
    <w:rsid w:val="00181D9C"/>
    <w:rsid w:val="00181FCF"/>
    <w:rsid w:val="001826CC"/>
    <w:rsid w:val="00182802"/>
    <w:rsid w:val="00182E4C"/>
    <w:rsid w:val="001832B0"/>
    <w:rsid w:val="001837C7"/>
    <w:rsid w:val="001837D0"/>
    <w:rsid w:val="001837FF"/>
    <w:rsid w:val="00183902"/>
    <w:rsid w:val="00183CA7"/>
    <w:rsid w:val="00183FD0"/>
    <w:rsid w:val="00184318"/>
    <w:rsid w:val="001845D7"/>
    <w:rsid w:val="00184B0E"/>
    <w:rsid w:val="00184BC3"/>
    <w:rsid w:val="00184CB3"/>
    <w:rsid w:val="00185C13"/>
    <w:rsid w:val="00185CAA"/>
    <w:rsid w:val="00185F3D"/>
    <w:rsid w:val="00185F66"/>
    <w:rsid w:val="00186033"/>
    <w:rsid w:val="00186545"/>
    <w:rsid w:val="00186713"/>
    <w:rsid w:val="00186DC7"/>
    <w:rsid w:val="0018752F"/>
    <w:rsid w:val="00187835"/>
    <w:rsid w:val="00187964"/>
    <w:rsid w:val="00187F42"/>
    <w:rsid w:val="00190F88"/>
    <w:rsid w:val="00191163"/>
    <w:rsid w:val="00191819"/>
    <w:rsid w:val="001921DB"/>
    <w:rsid w:val="00192295"/>
    <w:rsid w:val="00192301"/>
    <w:rsid w:val="00192A92"/>
    <w:rsid w:val="00192DED"/>
    <w:rsid w:val="00193834"/>
    <w:rsid w:val="00193838"/>
    <w:rsid w:val="00193C1B"/>
    <w:rsid w:val="00194283"/>
    <w:rsid w:val="0019447D"/>
    <w:rsid w:val="00194956"/>
    <w:rsid w:val="00194AD8"/>
    <w:rsid w:val="00194BFD"/>
    <w:rsid w:val="00194F1D"/>
    <w:rsid w:val="00194F88"/>
    <w:rsid w:val="00195222"/>
    <w:rsid w:val="0019535B"/>
    <w:rsid w:val="00195452"/>
    <w:rsid w:val="0019576A"/>
    <w:rsid w:val="001959B7"/>
    <w:rsid w:val="00196624"/>
    <w:rsid w:val="0019680F"/>
    <w:rsid w:val="00196AA7"/>
    <w:rsid w:val="00196AF9"/>
    <w:rsid w:val="00196BA3"/>
    <w:rsid w:val="00197033"/>
    <w:rsid w:val="001975D8"/>
    <w:rsid w:val="0019760C"/>
    <w:rsid w:val="0019784E"/>
    <w:rsid w:val="00197A80"/>
    <w:rsid w:val="00197E27"/>
    <w:rsid w:val="001A03ED"/>
    <w:rsid w:val="001A08DD"/>
    <w:rsid w:val="001A0AF6"/>
    <w:rsid w:val="001A0DFD"/>
    <w:rsid w:val="001A0F19"/>
    <w:rsid w:val="001A126E"/>
    <w:rsid w:val="001A178E"/>
    <w:rsid w:val="001A24F2"/>
    <w:rsid w:val="001A253D"/>
    <w:rsid w:val="001A3127"/>
    <w:rsid w:val="001A313A"/>
    <w:rsid w:val="001A38FF"/>
    <w:rsid w:val="001A3BA3"/>
    <w:rsid w:val="001A3FC3"/>
    <w:rsid w:val="001A4315"/>
    <w:rsid w:val="001A43FA"/>
    <w:rsid w:val="001A47C5"/>
    <w:rsid w:val="001A485A"/>
    <w:rsid w:val="001A4F7A"/>
    <w:rsid w:val="001A5133"/>
    <w:rsid w:val="001A5147"/>
    <w:rsid w:val="001A5241"/>
    <w:rsid w:val="001A59FB"/>
    <w:rsid w:val="001A5A48"/>
    <w:rsid w:val="001A5E9E"/>
    <w:rsid w:val="001A6354"/>
    <w:rsid w:val="001A6366"/>
    <w:rsid w:val="001A761A"/>
    <w:rsid w:val="001A79F7"/>
    <w:rsid w:val="001A7AE8"/>
    <w:rsid w:val="001A7ECF"/>
    <w:rsid w:val="001B0883"/>
    <w:rsid w:val="001B0DC6"/>
    <w:rsid w:val="001B1525"/>
    <w:rsid w:val="001B1BA2"/>
    <w:rsid w:val="001B1E1C"/>
    <w:rsid w:val="001B2022"/>
    <w:rsid w:val="001B204E"/>
    <w:rsid w:val="001B2372"/>
    <w:rsid w:val="001B2861"/>
    <w:rsid w:val="001B29C8"/>
    <w:rsid w:val="001B2D3E"/>
    <w:rsid w:val="001B2DB2"/>
    <w:rsid w:val="001B337C"/>
    <w:rsid w:val="001B3443"/>
    <w:rsid w:val="001B35A2"/>
    <w:rsid w:val="001B372E"/>
    <w:rsid w:val="001B3BE3"/>
    <w:rsid w:val="001B3F22"/>
    <w:rsid w:val="001B4139"/>
    <w:rsid w:val="001B4250"/>
    <w:rsid w:val="001B4278"/>
    <w:rsid w:val="001B43FC"/>
    <w:rsid w:val="001B440E"/>
    <w:rsid w:val="001B4558"/>
    <w:rsid w:val="001B4D20"/>
    <w:rsid w:val="001B525E"/>
    <w:rsid w:val="001B5287"/>
    <w:rsid w:val="001B5E87"/>
    <w:rsid w:val="001B67C5"/>
    <w:rsid w:val="001B7610"/>
    <w:rsid w:val="001B779C"/>
    <w:rsid w:val="001B7F14"/>
    <w:rsid w:val="001B7F84"/>
    <w:rsid w:val="001C001A"/>
    <w:rsid w:val="001C00D8"/>
    <w:rsid w:val="001C0150"/>
    <w:rsid w:val="001C0335"/>
    <w:rsid w:val="001C035E"/>
    <w:rsid w:val="001C0A2A"/>
    <w:rsid w:val="001C0F33"/>
    <w:rsid w:val="001C1A28"/>
    <w:rsid w:val="001C1D44"/>
    <w:rsid w:val="001C24A0"/>
    <w:rsid w:val="001C2A9B"/>
    <w:rsid w:val="001C2DE4"/>
    <w:rsid w:val="001C3079"/>
    <w:rsid w:val="001C34F7"/>
    <w:rsid w:val="001C3734"/>
    <w:rsid w:val="001C379E"/>
    <w:rsid w:val="001C3DD6"/>
    <w:rsid w:val="001C4299"/>
    <w:rsid w:val="001C43EE"/>
    <w:rsid w:val="001C4748"/>
    <w:rsid w:val="001C482D"/>
    <w:rsid w:val="001C4874"/>
    <w:rsid w:val="001C4D4D"/>
    <w:rsid w:val="001C530F"/>
    <w:rsid w:val="001C56FF"/>
    <w:rsid w:val="001C570B"/>
    <w:rsid w:val="001C57B3"/>
    <w:rsid w:val="001C5F94"/>
    <w:rsid w:val="001C61F0"/>
    <w:rsid w:val="001C6E66"/>
    <w:rsid w:val="001C742A"/>
    <w:rsid w:val="001C7619"/>
    <w:rsid w:val="001C76B1"/>
    <w:rsid w:val="001C7849"/>
    <w:rsid w:val="001C78CD"/>
    <w:rsid w:val="001C7A6D"/>
    <w:rsid w:val="001C7B2A"/>
    <w:rsid w:val="001D0206"/>
    <w:rsid w:val="001D0215"/>
    <w:rsid w:val="001D0A60"/>
    <w:rsid w:val="001D1100"/>
    <w:rsid w:val="001D1391"/>
    <w:rsid w:val="001D1E4C"/>
    <w:rsid w:val="001D1F37"/>
    <w:rsid w:val="001D22C4"/>
    <w:rsid w:val="001D25D7"/>
    <w:rsid w:val="001D265C"/>
    <w:rsid w:val="001D343C"/>
    <w:rsid w:val="001D3809"/>
    <w:rsid w:val="001D3A8C"/>
    <w:rsid w:val="001D4668"/>
    <w:rsid w:val="001D4AE9"/>
    <w:rsid w:val="001D4FBD"/>
    <w:rsid w:val="001D50B2"/>
    <w:rsid w:val="001D54F4"/>
    <w:rsid w:val="001D5C2B"/>
    <w:rsid w:val="001D5FE2"/>
    <w:rsid w:val="001D626F"/>
    <w:rsid w:val="001D64AF"/>
    <w:rsid w:val="001D6C50"/>
    <w:rsid w:val="001D6C8A"/>
    <w:rsid w:val="001D7091"/>
    <w:rsid w:val="001D71F4"/>
    <w:rsid w:val="001D7645"/>
    <w:rsid w:val="001D7986"/>
    <w:rsid w:val="001D7BAB"/>
    <w:rsid w:val="001E01B8"/>
    <w:rsid w:val="001E028F"/>
    <w:rsid w:val="001E0827"/>
    <w:rsid w:val="001E0E0B"/>
    <w:rsid w:val="001E1057"/>
    <w:rsid w:val="001E1AB0"/>
    <w:rsid w:val="001E1CA3"/>
    <w:rsid w:val="001E1E86"/>
    <w:rsid w:val="001E218A"/>
    <w:rsid w:val="001E238E"/>
    <w:rsid w:val="001E2483"/>
    <w:rsid w:val="001E2B1E"/>
    <w:rsid w:val="001E2CFF"/>
    <w:rsid w:val="001E2E74"/>
    <w:rsid w:val="001E2F24"/>
    <w:rsid w:val="001E30D4"/>
    <w:rsid w:val="001E31DE"/>
    <w:rsid w:val="001E34DF"/>
    <w:rsid w:val="001E37CB"/>
    <w:rsid w:val="001E44BC"/>
    <w:rsid w:val="001E4759"/>
    <w:rsid w:val="001E52EB"/>
    <w:rsid w:val="001E546D"/>
    <w:rsid w:val="001E61D2"/>
    <w:rsid w:val="001E6405"/>
    <w:rsid w:val="001E6880"/>
    <w:rsid w:val="001E6CDF"/>
    <w:rsid w:val="001E6D2C"/>
    <w:rsid w:val="001E735A"/>
    <w:rsid w:val="001E740C"/>
    <w:rsid w:val="001E744A"/>
    <w:rsid w:val="001E7540"/>
    <w:rsid w:val="001E799F"/>
    <w:rsid w:val="001E7C27"/>
    <w:rsid w:val="001E7CD5"/>
    <w:rsid w:val="001F02E8"/>
    <w:rsid w:val="001F060F"/>
    <w:rsid w:val="001F08F5"/>
    <w:rsid w:val="001F0E48"/>
    <w:rsid w:val="001F0F91"/>
    <w:rsid w:val="001F1235"/>
    <w:rsid w:val="001F143E"/>
    <w:rsid w:val="001F16D2"/>
    <w:rsid w:val="001F1CB3"/>
    <w:rsid w:val="001F1E24"/>
    <w:rsid w:val="001F1FD2"/>
    <w:rsid w:val="001F1FE5"/>
    <w:rsid w:val="001F2843"/>
    <w:rsid w:val="001F29C4"/>
    <w:rsid w:val="001F2A99"/>
    <w:rsid w:val="001F2F1C"/>
    <w:rsid w:val="001F3508"/>
    <w:rsid w:val="001F3523"/>
    <w:rsid w:val="001F38B5"/>
    <w:rsid w:val="001F390B"/>
    <w:rsid w:val="001F3A07"/>
    <w:rsid w:val="001F3CCB"/>
    <w:rsid w:val="001F4081"/>
    <w:rsid w:val="001F456C"/>
    <w:rsid w:val="001F46FA"/>
    <w:rsid w:val="001F4789"/>
    <w:rsid w:val="001F4B4A"/>
    <w:rsid w:val="001F4F35"/>
    <w:rsid w:val="001F5A92"/>
    <w:rsid w:val="001F603F"/>
    <w:rsid w:val="001F60D7"/>
    <w:rsid w:val="001F6189"/>
    <w:rsid w:val="001F6426"/>
    <w:rsid w:val="001F7361"/>
    <w:rsid w:val="001F738D"/>
    <w:rsid w:val="001F7B91"/>
    <w:rsid w:val="002001FD"/>
    <w:rsid w:val="00200542"/>
    <w:rsid w:val="00200760"/>
    <w:rsid w:val="00200819"/>
    <w:rsid w:val="00200AAD"/>
    <w:rsid w:val="00200B49"/>
    <w:rsid w:val="00200E52"/>
    <w:rsid w:val="0020118D"/>
    <w:rsid w:val="002011B0"/>
    <w:rsid w:val="002019B4"/>
    <w:rsid w:val="00201D54"/>
    <w:rsid w:val="0020268E"/>
    <w:rsid w:val="00202B99"/>
    <w:rsid w:val="00203181"/>
    <w:rsid w:val="002035C2"/>
    <w:rsid w:val="00203783"/>
    <w:rsid w:val="002037B9"/>
    <w:rsid w:val="0020385F"/>
    <w:rsid w:val="00203CCC"/>
    <w:rsid w:val="00203F57"/>
    <w:rsid w:val="002040FA"/>
    <w:rsid w:val="002042CB"/>
    <w:rsid w:val="0020432C"/>
    <w:rsid w:val="002046D8"/>
    <w:rsid w:val="0020553C"/>
    <w:rsid w:val="00205955"/>
    <w:rsid w:val="00205963"/>
    <w:rsid w:val="00205E1C"/>
    <w:rsid w:val="00205F2D"/>
    <w:rsid w:val="00205FD1"/>
    <w:rsid w:val="00206082"/>
    <w:rsid w:val="00206120"/>
    <w:rsid w:val="00206260"/>
    <w:rsid w:val="002062B2"/>
    <w:rsid w:val="00206719"/>
    <w:rsid w:val="002068A0"/>
    <w:rsid w:val="00206AF3"/>
    <w:rsid w:val="00207021"/>
    <w:rsid w:val="0020732F"/>
    <w:rsid w:val="00207711"/>
    <w:rsid w:val="002079E9"/>
    <w:rsid w:val="00207D00"/>
    <w:rsid w:val="002101B9"/>
    <w:rsid w:val="00210400"/>
    <w:rsid w:val="002105C1"/>
    <w:rsid w:val="002106AD"/>
    <w:rsid w:val="002106BF"/>
    <w:rsid w:val="00211251"/>
    <w:rsid w:val="002116FD"/>
    <w:rsid w:val="0021171F"/>
    <w:rsid w:val="00211B69"/>
    <w:rsid w:val="00212969"/>
    <w:rsid w:val="00212BBD"/>
    <w:rsid w:val="00213574"/>
    <w:rsid w:val="0021386B"/>
    <w:rsid w:val="00213EF5"/>
    <w:rsid w:val="00213F20"/>
    <w:rsid w:val="00214171"/>
    <w:rsid w:val="0021417B"/>
    <w:rsid w:val="00214411"/>
    <w:rsid w:val="00214582"/>
    <w:rsid w:val="002148F4"/>
    <w:rsid w:val="00214BAD"/>
    <w:rsid w:val="00214C38"/>
    <w:rsid w:val="00214F12"/>
    <w:rsid w:val="00214F93"/>
    <w:rsid w:val="002153F8"/>
    <w:rsid w:val="0021560A"/>
    <w:rsid w:val="00215EBD"/>
    <w:rsid w:val="002165A2"/>
    <w:rsid w:val="00216712"/>
    <w:rsid w:val="00216BF5"/>
    <w:rsid w:val="0021717C"/>
    <w:rsid w:val="002176CC"/>
    <w:rsid w:val="00217718"/>
    <w:rsid w:val="00217967"/>
    <w:rsid w:val="00220CE9"/>
    <w:rsid w:val="00220FD7"/>
    <w:rsid w:val="00221196"/>
    <w:rsid w:val="002214EC"/>
    <w:rsid w:val="00221940"/>
    <w:rsid w:val="0022206E"/>
    <w:rsid w:val="00222C5D"/>
    <w:rsid w:val="00222FC5"/>
    <w:rsid w:val="0022303F"/>
    <w:rsid w:val="002231E1"/>
    <w:rsid w:val="0022350B"/>
    <w:rsid w:val="00223A85"/>
    <w:rsid w:val="00223B46"/>
    <w:rsid w:val="00223B49"/>
    <w:rsid w:val="00223D5A"/>
    <w:rsid w:val="00223FB7"/>
    <w:rsid w:val="00223FE9"/>
    <w:rsid w:val="00224166"/>
    <w:rsid w:val="00224224"/>
    <w:rsid w:val="0022432C"/>
    <w:rsid w:val="00224711"/>
    <w:rsid w:val="0022477F"/>
    <w:rsid w:val="002247D0"/>
    <w:rsid w:val="00224DD4"/>
    <w:rsid w:val="002253C3"/>
    <w:rsid w:val="00225861"/>
    <w:rsid w:val="002259AE"/>
    <w:rsid w:val="0022639C"/>
    <w:rsid w:val="002269E7"/>
    <w:rsid w:val="0022700C"/>
    <w:rsid w:val="002278A0"/>
    <w:rsid w:val="00227986"/>
    <w:rsid w:val="00227B84"/>
    <w:rsid w:val="00227C3D"/>
    <w:rsid w:val="00227C6A"/>
    <w:rsid w:val="00227F31"/>
    <w:rsid w:val="002309CC"/>
    <w:rsid w:val="00230C5D"/>
    <w:rsid w:val="00230CA9"/>
    <w:rsid w:val="002317E5"/>
    <w:rsid w:val="00231BA9"/>
    <w:rsid w:val="00231BF8"/>
    <w:rsid w:val="0023209F"/>
    <w:rsid w:val="00232197"/>
    <w:rsid w:val="00232500"/>
    <w:rsid w:val="00232891"/>
    <w:rsid w:val="002328E3"/>
    <w:rsid w:val="00232AE5"/>
    <w:rsid w:val="00232F37"/>
    <w:rsid w:val="0023326C"/>
    <w:rsid w:val="00233963"/>
    <w:rsid w:val="002339C6"/>
    <w:rsid w:val="00233C01"/>
    <w:rsid w:val="00233D18"/>
    <w:rsid w:val="0023413C"/>
    <w:rsid w:val="002344FC"/>
    <w:rsid w:val="002346F0"/>
    <w:rsid w:val="0023499B"/>
    <w:rsid w:val="00234A1A"/>
    <w:rsid w:val="002354D0"/>
    <w:rsid w:val="002359C4"/>
    <w:rsid w:val="00235A6F"/>
    <w:rsid w:val="00235D9B"/>
    <w:rsid w:val="00235EB1"/>
    <w:rsid w:val="00235F5D"/>
    <w:rsid w:val="0023629D"/>
    <w:rsid w:val="00236430"/>
    <w:rsid w:val="00236AD4"/>
    <w:rsid w:val="00236F37"/>
    <w:rsid w:val="00237255"/>
    <w:rsid w:val="00237903"/>
    <w:rsid w:val="0023798A"/>
    <w:rsid w:val="002379B8"/>
    <w:rsid w:val="0024016E"/>
    <w:rsid w:val="00240381"/>
    <w:rsid w:val="00240D1A"/>
    <w:rsid w:val="002413A4"/>
    <w:rsid w:val="0024143E"/>
    <w:rsid w:val="002419C8"/>
    <w:rsid w:val="00241BB0"/>
    <w:rsid w:val="00242034"/>
    <w:rsid w:val="002421B0"/>
    <w:rsid w:val="0024243F"/>
    <w:rsid w:val="002424AF"/>
    <w:rsid w:val="00242554"/>
    <w:rsid w:val="002425AC"/>
    <w:rsid w:val="00243741"/>
    <w:rsid w:val="002439DC"/>
    <w:rsid w:val="00243AE9"/>
    <w:rsid w:val="002441D2"/>
    <w:rsid w:val="00244677"/>
    <w:rsid w:val="00244D1F"/>
    <w:rsid w:val="00244DC8"/>
    <w:rsid w:val="002450D9"/>
    <w:rsid w:val="00245518"/>
    <w:rsid w:val="002458BA"/>
    <w:rsid w:val="00245AB8"/>
    <w:rsid w:val="00245AD1"/>
    <w:rsid w:val="00245CE9"/>
    <w:rsid w:val="0024606F"/>
    <w:rsid w:val="00246211"/>
    <w:rsid w:val="0024636C"/>
    <w:rsid w:val="002463D8"/>
    <w:rsid w:val="0024677E"/>
    <w:rsid w:val="002468EB"/>
    <w:rsid w:val="00246943"/>
    <w:rsid w:val="0024708F"/>
    <w:rsid w:val="002478E8"/>
    <w:rsid w:val="00247925"/>
    <w:rsid w:val="00250015"/>
    <w:rsid w:val="00250210"/>
    <w:rsid w:val="002506BA"/>
    <w:rsid w:val="0025089A"/>
    <w:rsid w:val="00250B8A"/>
    <w:rsid w:val="00251006"/>
    <w:rsid w:val="0025120E"/>
    <w:rsid w:val="00251591"/>
    <w:rsid w:val="00251DC0"/>
    <w:rsid w:val="00251E01"/>
    <w:rsid w:val="00251F27"/>
    <w:rsid w:val="0025242E"/>
    <w:rsid w:val="002524D5"/>
    <w:rsid w:val="00252537"/>
    <w:rsid w:val="0025271C"/>
    <w:rsid w:val="00253179"/>
    <w:rsid w:val="00253B1D"/>
    <w:rsid w:val="00253B3A"/>
    <w:rsid w:val="00253EF9"/>
    <w:rsid w:val="002543C6"/>
    <w:rsid w:val="002545E7"/>
    <w:rsid w:val="00254AD4"/>
    <w:rsid w:val="00254DCF"/>
    <w:rsid w:val="00255033"/>
    <w:rsid w:val="00255210"/>
    <w:rsid w:val="0025534B"/>
    <w:rsid w:val="002556BD"/>
    <w:rsid w:val="00255BB7"/>
    <w:rsid w:val="00256499"/>
    <w:rsid w:val="0025694F"/>
    <w:rsid w:val="00256A17"/>
    <w:rsid w:val="00256D1D"/>
    <w:rsid w:val="00256EBA"/>
    <w:rsid w:val="00256EFF"/>
    <w:rsid w:val="0025706A"/>
    <w:rsid w:val="00257530"/>
    <w:rsid w:val="00257541"/>
    <w:rsid w:val="0025787A"/>
    <w:rsid w:val="002579B1"/>
    <w:rsid w:val="00257A39"/>
    <w:rsid w:val="00257AC4"/>
    <w:rsid w:val="00257BBE"/>
    <w:rsid w:val="00257F63"/>
    <w:rsid w:val="00260022"/>
    <w:rsid w:val="00260CAE"/>
    <w:rsid w:val="00260FAD"/>
    <w:rsid w:val="0026196D"/>
    <w:rsid w:val="00261A48"/>
    <w:rsid w:val="00261AAF"/>
    <w:rsid w:val="00261C01"/>
    <w:rsid w:val="00261D70"/>
    <w:rsid w:val="00261EEF"/>
    <w:rsid w:val="002623C0"/>
    <w:rsid w:val="002626EA"/>
    <w:rsid w:val="00262A1A"/>
    <w:rsid w:val="00262A38"/>
    <w:rsid w:val="00262A87"/>
    <w:rsid w:val="00262E2D"/>
    <w:rsid w:val="00263014"/>
    <w:rsid w:val="0026303B"/>
    <w:rsid w:val="00263823"/>
    <w:rsid w:val="00263B43"/>
    <w:rsid w:val="00263EC9"/>
    <w:rsid w:val="00264789"/>
    <w:rsid w:val="00264888"/>
    <w:rsid w:val="00264D26"/>
    <w:rsid w:val="0026537D"/>
    <w:rsid w:val="00265A58"/>
    <w:rsid w:val="00265DB2"/>
    <w:rsid w:val="00266121"/>
    <w:rsid w:val="002672E8"/>
    <w:rsid w:val="00267642"/>
    <w:rsid w:val="00267AEA"/>
    <w:rsid w:val="00267F7D"/>
    <w:rsid w:val="002700E6"/>
    <w:rsid w:val="002701F2"/>
    <w:rsid w:val="002706E9"/>
    <w:rsid w:val="00270B17"/>
    <w:rsid w:val="002713DB"/>
    <w:rsid w:val="00271757"/>
    <w:rsid w:val="00272495"/>
    <w:rsid w:val="002727B5"/>
    <w:rsid w:val="0027294B"/>
    <w:rsid w:val="00273129"/>
    <w:rsid w:val="002733BE"/>
    <w:rsid w:val="002736D2"/>
    <w:rsid w:val="00273EB4"/>
    <w:rsid w:val="00273EFC"/>
    <w:rsid w:val="00274682"/>
    <w:rsid w:val="00274DA8"/>
    <w:rsid w:val="00274F7A"/>
    <w:rsid w:val="00275158"/>
    <w:rsid w:val="00275590"/>
    <w:rsid w:val="002755B3"/>
    <w:rsid w:val="00275691"/>
    <w:rsid w:val="00275864"/>
    <w:rsid w:val="00275A11"/>
    <w:rsid w:val="00275C5A"/>
    <w:rsid w:val="00275FBA"/>
    <w:rsid w:val="002765C4"/>
    <w:rsid w:val="00276BBB"/>
    <w:rsid w:val="002773BB"/>
    <w:rsid w:val="00277816"/>
    <w:rsid w:val="00277F47"/>
    <w:rsid w:val="00280189"/>
    <w:rsid w:val="00280901"/>
    <w:rsid w:val="00281014"/>
    <w:rsid w:val="0028106E"/>
    <w:rsid w:val="0028115C"/>
    <w:rsid w:val="00281B29"/>
    <w:rsid w:val="00281DAE"/>
    <w:rsid w:val="0028214B"/>
    <w:rsid w:val="0028271A"/>
    <w:rsid w:val="0028286E"/>
    <w:rsid w:val="00282AB5"/>
    <w:rsid w:val="00282C1E"/>
    <w:rsid w:val="002830BE"/>
    <w:rsid w:val="00283D7F"/>
    <w:rsid w:val="00284397"/>
    <w:rsid w:val="00284668"/>
    <w:rsid w:val="0028491E"/>
    <w:rsid w:val="00285556"/>
    <w:rsid w:val="002855D0"/>
    <w:rsid w:val="00285BCE"/>
    <w:rsid w:val="002863F3"/>
    <w:rsid w:val="00286609"/>
    <w:rsid w:val="0028665D"/>
    <w:rsid w:val="00286EC7"/>
    <w:rsid w:val="00286F95"/>
    <w:rsid w:val="00287222"/>
    <w:rsid w:val="00287719"/>
    <w:rsid w:val="00287E24"/>
    <w:rsid w:val="00290173"/>
    <w:rsid w:val="0029080F"/>
    <w:rsid w:val="00290DA8"/>
    <w:rsid w:val="0029135A"/>
    <w:rsid w:val="002915C6"/>
    <w:rsid w:val="00291BB5"/>
    <w:rsid w:val="002926C8"/>
    <w:rsid w:val="0029298B"/>
    <w:rsid w:val="00292E83"/>
    <w:rsid w:val="00293051"/>
    <w:rsid w:val="002930B3"/>
    <w:rsid w:val="0029332E"/>
    <w:rsid w:val="002934F4"/>
    <w:rsid w:val="002935ED"/>
    <w:rsid w:val="002936E8"/>
    <w:rsid w:val="00294428"/>
    <w:rsid w:val="002948EB"/>
    <w:rsid w:val="00294CD0"/>
    <w:rsid w:val="00294F8A"/>
    <w:rsid w:val="0029505A"/>
    <w:rsid w:val="00295684"/>
    <w:rsid w:val="0029581D"/>
    <w:rsid w:val="00296DD9"/>
    <w:rsid w:val="0029734C"/>
    <w:rsid w:val="002974EB"/>
    <w:rsid w:val="00297610"/>
    <w:rsid w:val="0029779B"/>
    <w:rsid w:val="00297902"/>
    <w:rsid w:val="0029793F"/>
    <w:rsid w:val="002A0640"/>
    <w:rsid w:val="002A082D"/>
    <w:rsid w:val="002A0947"/>
    <w:rsid w:val="002A1088"/>
    <w:rsid w:val="002A1108"/>
    <w:rsid w:val="002A14AB"/>
    <w:rsid w:val="002A2013"/>
    <w:rsid w:val="002A2ADE"/>
    <w:rsid w:val="002A2F50"/>
    <w:rsid w:val="002A2F99"/>
    <w:rsid w:val="002A3174"/>
    <w:rsid w:val="002A35A0"/>
    <w:rsid w:val="002A36D8"/>
    <w:rsid w:val="002A3BE8"/>
    <w:rsid w:val="002A41E8"/>
    <w:rsid w:val="002A428B"/>
    <w:rsid w:val="002A45B4"/>
    <w:rsid w:val="002A471D"/>
    <w:rsid w:val="002A4ED8"/>
    <w:rsid w:val="002A51CB"/>
    <w:rsid w:val="002A51CC"/>
    <w:rsid w:val="002A5A08"/>
    <w:rsid w:val="002A5CDD"/>
    <w:rsid w:val="002A5E83"/>
    <w:rsid w:val="002A6070"/>
    <w:rsid w:val="002A659F"/>
    <w:rsid w:val="002A695D"/>
    <w:rsid w:val="002A714C"/>
    <w:rsid w:val="002A755B"/>
    <w:rsid w:val="002A7943"/>
    <w:rsid w:val="002A7ADB"/>
    <w:rsid w:val="002A7EDA"/>
    <w:rsid w:val="002B02E9"/>
    <w:rsid w:val="002B05A1"/>
    <w:rsid w:val="002B069A"/>
    <w:rsid w:val="002B09A4"/>
    <w:rsid w:val="002B0D64"/>
    <w:rsid w:val="002B141E"/>
    <w:rsid w:val="002B1B48"/>
    <w:rsid w:val="002B1C1F"/>
    <w:rsid w:val="002B2484"/>
    <w:rsid w:val="002B25A1"/>
    <w:rsid w:val="002B29B9"/>
    <w:rsid w:val="002B2B2F"/>
    <w:rsid w:val="002B3306"/>
    <w:rsid w:val="002B3735"/>
    <w:rsid w:val="002B39EA"/>
    <w:rsid w:val="002B3BB6"/>
    <w:rsid w:val="002B3FE6"/>
    <w:rsid w:val="002B4177"/>
    <w:rsid w:val="002B423C"/>
    <w:rsid w:val="002B4326"/>
    <w:rsid w:val="002B432F"/>
    <w:rsid w:val="002B498A"/>
    <w:rsid w:val="002B4FED"/>
    <w:rsid w:val="002B50FD"/>
    <w:rsid w:val="002B57B0"/>
    <w:rsid w:val="002B5D08"/>
    <w:rsid w:val="002B5E13"/>
    <w:rsid w:val="002B5F60"/>
    <w:rsid w:val="002B62B3"/>
    <w:rsid w:val="002B6754"/>
    <w:rsid w:val="002B6CCE"/>
    <w:rsid w:val="002B7628"/>
    <w:rsid w:val="002B7923"/>
    <w:rsid w:val="002C043A"/>
    <w:rsid w:val="002C04D8"/>
    <w:rsid w:val="002C0580"/>
    <w:rsid w:val="002C09F8"/>
    <w:rsid w:val="002C0C0A"/>
    <w:rsid w:val="002C1192"/>
    <w:rsid w:val="002C16F5"/>
    <w:rsid w:val="002C1723"/>
    <w:rsid w:val="002C19C4"/>
    <w:rsid w:val="002C1D3B"/>
    <w:rsid w:val="002C1E3C"/>
    <w:rsid w:val="002C2499"/>
    <w:rsid w:val="002C2510"/>
    <w:rsid w:val="002C2775"/>
    <w:rsid w:val="002C27C1"/>
    <w:rsid w:val="002C34F0"/>
    <w:rsid w:val="002C366B"/>
    <w:rsid w:val="002C36E3"/>
    <w:rsid w:val="002C3980"/>
    <w:rsid w:val="002C3998"/>
    <w:rsid w:val="002C3A7A"/>
    <w:rsid w:val="002C40A4"/>
    <w:rsid w:val="002C501B"/>
    <w:rsid w:val="002C5099"/>
    <w:rsid w:val="002C51AE"/>
    <w:rsid w:val="002C5889"/>
    <w:rsid w:val="002C591B"/>
    <w:rsid w:val="002C5C4D"/>
    <w:rsid w:val="002C5CA5"/>
    <w:rsid w:val="002C6117"/>
    <w:rsid w:val="002C64EA"/>
    <w:rsid w:val="002C6882"/>
    <w:rsid w:val="002C6B34"/>
    <w:rsid w:val="002C6BF5"/>
    <w:rsid w:val="002C6C1E"/>
    <w:rsid w:val="002C6C58"/>
    <w:rsid w:val="002C713B"/>
    <w:rsid w:val="002C71CE"/>
    <w:rsid w:val="002C793F"/>
    <w:rsid w:val="002C7DA4"/>
    <w:rsid w:val="002C7EA0"/>
    <w:rsid w:val="002D08F8"/>
    <w:rsid w:val="002D0BC6"/>
    <w:rsid w:val="002D0BE5"/>
    <w:rsid w:val="002D0C18"/>
    <w:rsid w:val="002D0C49"/>
    <w:rsid w:val="002D157B"/>
    <w:rsid w:val="002D1728"/>
    <w:rsid w:val="002D17FC"/>
    <w:rsid w:val="002D1FEA"/>
    <w:rsid w:val="002D2087"/>
    <w:rsid w:val="002D269F"/>
    <w:rsid w:val="002D298F"/>
    <w:rsid w:val="002D307E"/>
    <w:rsid w:val="002D311C"/>
    <w:rsid w:val="002D3F0A"/>
    <w:rsid w:val="002D42BF"/>
    <w:rsid w:val="002D4548"/>
    <w:rsid w:val="002D4603"/>
    <w:rsid w:val="002D4FA6"/>
    <w:rsid w:val="002D4FDF"/>
    <w:rsid w:val="002D577C"/>
    <w:rsid w:val="002D5E73"/>
    <w:rsid w:val="002D6300"/>
    <w:rsid w:val="002D6618"/>
    <w:rsid w:val="002D6737"/>
    <w:rsid w:val="002D6C0E"/>
    <w:rsid w:val="002D728F"/>
    <w:rsid w:val="002D73D9"/>
    <w:rsid w:val="002D7832"/>
    <w:rsid w:val="002D78CA"/>
    <w:rsid w:val="002D7ABE"/>
    <w:rsid w:val="002D7CAA"/>
    <w:rsid w:val="002E0A11"/>
    <w:rsid w:val="002E1071"/>
    <w:rsid w:val="002E1505"/>
    <w:rsid w:val="002E15B9"/>
    <w:rsid w:val="002E1895"/>
    <w:rsid w:val="002E189C"/>
    <w:rsid w:val="002E1953"/>
    <w:rsid w:val="002E1CD7"/>
    <w:rsid w:val="002E2158"/>
    <w:rsid w:val="002E229D"/>
    <w:rsid w:val="002E258E"/>
    <w:rsid w:val="002E2873"/>
    <w:rsid w:val="002E3042"/>
    <w:rsid w:val="002E31F5"/>
    <w:rsid w:val="002E3320"/>
    <w:rsid w:val="002E35BA"/>
    <w:rsid w:val="002E362D"/>
    <w:rsid w:val="002E4F02"/>
    <w:rsid w:val="002E5411"/>
    <w:rsid w:val="002E5988"/>
    <w:rsid w:val="002E6144"/>
    <w:rsid w:val="002E67E5"/>
    <w:rsid w:val="002E690E"/>
    <w:rsid w:val="002E7026"/>
    <w:rsid w:val="002E702F"/>
    <w:rsid w:val="002E7722"/>
    <w:rsid w:val="002E7922"/>
    <w:rsid w:val="002E7ED6"/>
    <w:rsid w:val="002F0526"/>
    <w:rsid w:val="002F07BA"/>
    <w:rsid w:val="002F0DA9"/>
    <w:rsid w:val="002F1014"/>
    <w:rsid w:val="002F1B35"/>
    <w:rsid w:val="002F1E3B"/>
    <w:rsid w:val="002F2647"/>
    <w:rsid w:val="002F28A0"/>
    <w:rsid w:val="002F28F9"/>
    <w:rsid w:val="002F2DF4"/>
    <w:rsid w:val="002F339B"/>
    <w:rsid w:val="002F33CC"/>
    <w:rsid w:val="002F3BC4"/>
    <w:rsid w:val="002F4870"/>
    <w:rsid w:val="002F4906"/>
    <w:rsid w:val="002F4A56"/>
    <w:rsid w:val="002F4CC3"/>
    <w:rsid w:val="002F50C9"/>
    <w:rsid w:val="002F5164"/>
    <w:rsid w:val="002F5A88"/>
    <w:rsid w:val="002F6127"/>
    <w:rsid w:val="002F61DF"/>
    <w:rsid w:val="002F620C"/>
    <w:rsid w:val="002F643C"/>
    <w:rsid w:val="002F6452"/>
    <w:rsid w:val="002F66FA"/>
    <w:rsid w:val="002F7170"/>
    <w:rsid w:val="002F71C0"/>
    <w:rsid w:val="002F74F1"/>
    <w:rsid w:val="002F7BBB"/>
    <w:rsid w:val="0030035F"/>
    <w:rsid w:val="003009CB"/>
    <w:rsid w:val="00301017"/>
    <w:rsid w:val="00301169"/>
    <w:rsid w:val="0030118E"/>
    <w:rsid w:val="00301271"/>
    <w:rsid w:val="0030155F"/>
    <w:rsid w:val="00301861"/>
    <w:rsid w:val="00301885"/>
    <w:rsid w:val="00301A85"/>
    <w:rsid w:val="00301D43"/>
    <w:rsid w:val="00301DA2"/>
    <w:rsid w:val="00302873"/>
    <w:rsid w:val="003029E6"/>
    <w:rsid w:val="00302AF7"/>
    <w:rsid w:val="00302AFD"/>
    <w:rsid w:val="00302C75"/>
    <w:rsid w:val="00303CD2"/>
    <w:rsid w:val="00303E09"/>
    <w:rsid w:val="00304278"/>
    <w:rsid w:val="003044E5"/>
    <w:rsid w:val="00304774"/>
    <w:rsid w:val="003047D4"/>
    <w:rsid w:val="00304CFB"/>
    <w:rsid w:val="00305497"/>
    <w:rsid w:val="003057A8"/>
    <w:rsid w:val="0030587B"/>
    <w:rsid w:val="00305CE7"/>
    <w:rsid w:val="00305D36"/>
    <w:rsid w:val="00305EFF"/>
    <w:rsid w:val="0030613B"/>
    <w:rsid w:val="00306D98"/>
    <w:rsid w:val="003073D6"/>
    <w:rsid w:val="00307693"/>
    <w:rsid w:val="0030786C"/>
    <w:rsid w:val="00307EA7"/>
    <w:rsid w:val="0031021F"/>
    <w:rsid w:val="0031031A"/>
    <w:rsid w:val="0031079E"/>
    <w:rsid w:val="003107E9"/>
    <w:rsid w:val="00310981"/>
    <w:rsid w:val="003109B1"/>
    <w:rsid w:val="00310A41"/>
    <w:rsid w:val="0031100C"/>
    <w:rsid w:val="00311112"/>
    <w:rsid w:val="00311259"/>
    <w:rsid w:val="00311530"/>
    <w:rsid w:val="003115A5"/>
    <w:rsid w:val="00311734"/>
    <w:rsid w:val="00311D9B"/>
    <w:rsid w:val="003122A7"/>
    <w:rsid w:val="0031234B"/>
    <w:rsid w:val="003123D8"/>
    <w:rsid w:val="003124D9"/>
    <w:rsid w:val="00312594"/>
    <w:rsid w:val="0031268E"/>
    <w:rsid w:val="00312AF8"/>
    <w:rsid w:val="00312BE1"/>
    <w:rsid w:val="00313654"/>
    <w:rsid w:val="003136D1"/>
    <w:rsid w:val="00313E70"/>
    <w:rsid w:val="0031419F"/>
    <w:rsid w:val="00314CF2"/>
    <w:rsid w:val="00315025"/>
    <w:rsid w:val="00315498"/>
    <w:rsid w:val="00316474"/>
    <w:rsid w:val="003166A4"/>
    <w:rsid w:val="0031676F"/>
    <w:rsid w:val="00316937"/>
    <w:rsid w:val="00316AE5"/>
    <w:rsid w:val="00317036"/>
    <w:rsid w:val="00317896"/>
    <w:rsid w:val="00317AF6"/>
    <w:rsid w:val="00317B19"/>
    <w:rsid w:val="00317DC3"/>
    <w:rsid w:val="0032019A"/>
    <w:rsid w:val="00320400"/>
    <w:rsid w:val="0032068A"/>
    <w:rsid w:val="00320740"/>
    <w:rsid w:val="003207BE"/>
    <w:rsid w:val="003209CA"/>
    <w:rsid w:val="003214B8"/>
    <w:rsid w:val="0032185D"/>
    <w:rsid w:val="00321955"/>
    <w:rsid w:val="00322107"/>
    <w:rsid w:val="003222A5"/>
    <w:rsid w:val="00322355"/>
    <w:rsid w:val="00322846"/>
    <w:rsid w:val="003228BB"/>
    <w:rsid w:val="00322AB6"/>
    <w:rsid w:val="00322BFD"/>
    <w:rsid w:val="00322CC0"/>
    <w:rsid w:val="0032349D"/>
    <w:rsid w:val="0032412C"/>
    <w:rsid w:val="003244DD"/>
    <w:rsid w:val="00324A2E"/>
    <w:rsid w:val="00324B2C"/>
    <w:rsid w:val="00324E47"/>
    <w:rsid w:val="0032517F"/>
    <w:rsid w:val="0032541D"/>
    <w:rsid w:val="003254AA"/>
    <w:rsid w:val="00325656"/>
    <w:rsid w:val="00325679"/>
    <w:rsid w:val="0032604F"/>
    <w:rsid w:val="0032617F"/>
    <w:rsid w:val="003261DD"/>
    <w:rsid w:val="00326B6F"/>
    <w:rsid w:val="00326DA7"/>
    <w:rsid w:val="00326E02"/>
    <w:rsid w:val="003270E4"/>
    <w:rsid w:val="00327730"/>
    <w:rsid w:val="0032784F"/>
    <w:rsid w:val="00327AA6"/>
    <w:rsid w:val="00327F79"/>
    <w:rsid w:val="003300C5"/>
    <w:rsid w:val="003307C6"/>
    <w:rsid w:val="00330B03"/>
    <w:rsid w:val="00330BA8"/>
    <w:rsid w:val="00330C1B"/>
    <w:rsid w:val="00330DAA"/>
    <w:rsid w:val="00330F2D"/>
    <w:rsid w:val="00330F5C"/>
    <w:rsid w:val="0033134C"/>
    <w:rsid w:val="003318D4"/>
    <w:rsid w:val="003325EC"/>
    <w:rsid w:val="00332822"/>
    <w:rsid w:val="003328A0"/>
    <w:rsid w:val="00332F4D"/>
    <w:rsid w:val="003332FD"/>
    <w:rsid w:val="00333A49"/>
    <w:rsid w:val="00333C96"/>
    <w:rsid w:val="00333E16"/>
    <w:rsid w:val="003348B1"/>
    <w:rsid w:val="003361EE"/>
    <w:rsid w:val="00336549"/>
    <w:rsid w:val="003366C9"/>
    <w:rsid w:val="003367CD"/>
    <w:rsid w:val="00336A12"/>
    <w:rsid w:val="00336B76"/>
    <w:rsid w:val="003371B0"/>
    <w:rsid w:val="00337FCF"/>
    <w:rsid w:val="00340414"/>
    <w:rsid w:val="003409B8"/>
    <w:rsid w:val="00340A43"/>
    <w:rsid w:val="00340DF1"/>
    <w:rsid w:val="00340E34"/>
    <w:rsid w:val="00341346"/>
    <w:rsid w:val="00342363"/>
    <w:rsid w:val="003426DC"/>
    <w:rsid w:val="00342BF6"/>
    <w:rsid w:val="003431C5"/>
    <w:rsid w:val="003432F3"/>
    <w:rsid w:val="00343E97"/>
    <w:rsid w:val="0034526F"/>
    <w:rsid w:val="00345343"/>
    <w:rsid w:val="00345BBE"/>
    <w:rsid w:val="00345E90"/>
    <w:rsid w:val="00346168"/>
    <w:rsid w:val="003464D8"/>
    <w:rsid w:val="003465C3"/>
    <w:rsid w:val="00346717"/>
    <w:rsid w:val="00346775"/>
    <w:rsid w:val="003468C3"/>
    <w:rsid w:val="00346A0B"/>
    <w:rsid w:val="00346CED"/>
    <w:rsid w:val="00347E10"/>
    <w:rsid w:val="00347E71"/>
    <w:rsid w:val="003507D9"/>
    <w:rsid w:val="00350C31"/>
    <w:rsid w:val="003517EB"/>
    <w:rsid w:val="003517F9"/>
    <w:rsid w:val="0035193B"/>
    <w:rsid w:val="003519E5"/>
    <w:rsid w:val="00351BA9"/>
    <w:rsid w:val="00351C3D"/>
    <w:rsid w:val="00352796"/>
    <w:rsid w:val="00352D0E"/>
    <w:rsid w:val="00352EB2"/>
    <w:rsid w:val="00353235"/>
    <w:rsid w:val="0035324B"/>
    <w:rsid w:val="00353742"/>
    <w:rsid w:val="00354683"/>
    <w:rsid w:val="00354BCE"/>
    <w:rsid w:val="00354F64"/>
    <w:rsid w:val="00355532"/>
    <w:rsid w:val="00355891"/>
    <w:rsid w:val="00355BB6"/>
    <w:rsid w:val="00355EC4"/>
    <w:rsid w:val="0035620E"/>
    <w:rsid w:val="003565E1"/>
    <w:rsid w:val="003567A5"/>
    <w:rsid w:val="00357172"/>
    <w:rsid w:val="003573A7"/>
    <w:rsid w:val="003575BE"/>
    <w:rsid w:val="00357CEE"/>
    <w:rsid w:val="003601BB"/>
    <w:rsid w:val="0036031C"/>
    <w:rsid w:val="00360345"/>
    <w:rsid w:val="0036079E"/>
    <w:rsid w:val="003611BD"/>
    <w:rsid w:val="00361840"/>
    <w:rsid w:val="00361A05"/>
    <w:rsid w:val="00362385"/>
    <w:rsid w:val="003624C4"/>
    <w:rsid w:val="00362CAF"/>
    <w:rsid w:val="00362D0D"/>
    <w:rsid w:val="00362EA9"/>
    <w:rsid w:val="00362F91"/>
    <w:rsid w:val="00363040"/>
    <w:rsid w:val="003635F0"/>
    <w:rsid w:val="00363961"/>
    <w:rsid w:val="00363B00"/>
    <w:rsid w:val="00363E19"/>
    <w:rsid w:val="00363F94"/>
    <w:rsid w:val="00363FAC"/>
    <w:rsid w:val="003643FD"/>
    <w:rsid w:val="003646F2"/>
    <w:rsid w:val="0036498D"/>
    <w:rsid w:val="00364A40"/>
    <w:rsid w:val="00364BBD"/>
    <w:rsid w:val="00365115"/>
    <w:rsid w:val="003652B6"/>
    <w:rsid w:val="003654AC"/>
    <w:rsid w:val="003655BF"/>
    <w:rsid w:val="003657C1"/>
    <w:rsid w:val="00365E35"/>
    <w:rsid w:val="00367025"/>
    <w:rsid w:val="003670D5"/>
    <w:rsid w:val="003674F8"/>
    <w:rsid w:val="003678D3"/>
    <w:rsid w:val="00370223"/>
    <w:rsid w:val="0037061D"/>
    <w:rsid w:val="00370E07"/>
    <w:rsid w:val="00370E66"/>
    <w:rsid w:val="003710CF"/>
    <w:rsid w:val="00371785"/>
    <w:rsid w:val="00371B81"/>
    <w:rsid w:val="00372223"/>
    <w:rsid w:val="00372826"/>
    <w:rsid w:val="00372B64"/>
    <w:rsid w:val="00372CF6"/>
    <w:rsid w:val="00373483"/>
    <w:rsid w:val="003734B4"/>
    <w:rsid w:val="0037358A"/>
    <w:rsid w:val="003736D3"/>
    <w:rsid w:val="003741F6"/>
    <w:rsid w:val="003747F4"/>
    <w:rsid w:val="00374A13"/>
    <w:rsid w:val="00374A57"/>
    <w:rsid w:val="003750C1"/>
    <w:rsid w:val="003750F6"/>
    <w:rsid w:val="00375260"/>
    <w:rsid w:val="00375A91"/>
    <w:rsid w:val="00375BC8"/>
    <w:rsid w:val="00375E3A"/>
    <w:rsid w:val="003760FC"/>
    <w:rsid w:val="0037610C"/>
    <w:rsid w:val="003762A3"/>
    <w:rsid w:val="003769EE"/>
    <w:rsid w:val="00376C24"/>
    <w:rsid w:val="00376C44"/>
    <w:rsid w:val="00376D12"/>
    <w:rsid w:val="00377091"/>
    <w:rsid w:val="00377435"/>
    <w:rsid w:val="003779F4"/>
    <w:rsid w:val="00377F93"/>
    <w:rsid w:val="003802BA"/>
    <w:rsid w:val="00380874"/>
    <w:rsid w:val="00381218"/>
    <w:rsid w:val="003812DC"/>
    <w:rsid w:val="00381773"/>
    <w:rsid w:val="00381D8C"/>
    <w:rsid w:val="00381E6E"/>
    <w:rsid w:val="00381EEA"/>
    <w:rsid w:val="0038233C"/>
    <w:rsid w:val="00382B15"/>
    <w:rsid w:val="00382E4A"/>
    <w:rsid w:val="0038365C"/>
    <w:rsid w:val="0038368A"/>
    <w:rsid w:val="0038369B"/>
    <w:rsid w:val="00383907"/>
    <w:rsid w:val="003839DC"/>
    <w:rsid w:val="00383B78"/>
    <w:rsid w:val="00383DA3"/>
    <w:rsid w:val="00383DB8"/>
    <w:rsid w:val="0038406D"/>
    <w:rsid w:val="003843EA"/>
    <w:rsid w:val="003846C2"/>
    <w:rsid w:val="00384BB1"/>
    <w:rsid w:val="00385290"/>
    <w:rsid w:val="003854B1"/>
    <w:rsid w:val="00385609"/>
    <w:rsid w:val="0038573D"/>
    <w:rsid w:val="00385A9D"/>
    <w:rsid w:val="00385BAB"/>
    <w:rsid w:val="00385DA0"/>
    <w:rsid w:val="00385F01"/>
    <w:rsid w:val="0038694F"/>
    <w:rsid w:val="003870ED"/>
    <w:rsid w:val="00387121"/>
    <w:rsid w:val="003902B1"/>
    <w:rsid w:val="003906D6"/>
    <w:rsid w:val="00390C59"/>
    <w:rsid w:val="0039179C"/>
    <w:rsid w:val="00391D8A"/>
    <w:rsid w:val="00392E88"/>
    <w:rsid w:val="00393254"/>
    <w:rsid w:val="0039331A"/>
    <w:rsid w:val="00393B05"/>
    <w:rsid w:val="00394707"/>
    <w:rsid w:val="00394A97"/>
    <w:rsid w:val="00394ADE"/>
    <w:rsid w:val="00394E07"/>
    <w:rsid w:val="003950C8"/>
    <w:rsid w:val="003956CF"/>
    <w:rsid w:val="003963B9"/>
    <w:rsid w:val="003967B6"/>
    <w:rsid w:val="00396896"/>
    <w:rsid w:val="00396FD0"/>
    <w:rsid w:val="00397753"/>
    <w:rsid w:val="0039780E"/>
    <w:rsid w:val="00397946"/>
    <w:rsid w:val="00397968"/>
    <w:rsid w:val="00397C63"/>
    <w:rsid w:val="003A0110"/>
    <w:rsid w:val="003A077C"/>
    <w:rsid w:val="003A0821"/>
    <w:rsid w:val="003A0A45"/>
    <w:rsid w:val="003A0C36"/>
    <w:rsid w:val="003A1151"/>
    <w:rsid w:val="003A1167"/>
    <w:rsid w:val="003A16B4"/>
    <w:rsid w:val="003A1859"/>
    <w:rsid w:val="003A19A7"/>
    <w:rsid w:val="003A1A7A"/>
    <w:rsid w:val="003A1E82"/>
    <w:rsid w:val="003A1EB9"/>
    <w:rsid w:val="003A1FD7"/>
    <w:rsid w:val="003A2392"/>
    <w:rsid w:val="003A2494"/>
    <w:rsid w:val="003A259F"/>
    <w:rsid w:val="003A2603"/>
    <w:rsid w:val="003A2831"/>
    <w:rsid w:val="003A298F"/>
    <w:rsid w:val="003A2A88"/>
    <w:rsid w:val="003A2C76"/>
    <w:rsid w:val="003A32B3"/>
    <w:rsid w:val="003A3CB6"/>
    <w:rsid w:val="003A3CE2"/>
    <w:rsid w:val="003A3ED1"/>
    <w:rsid w:val="003A44DB"/>
    <w:rsid w:val="003A4976"/>
    <w:rsid w:val="003A4B77"/>
    <w:rsid w:val="003A4C14"/>
    <w:rsid w:val="003A5733"/>
    <w:rsid w:val="003A5DCB"/>
    <w:rsid w:val="003A5F9E"/>
    <w:rsid w:val="003A6832"/>
    <w:rsid w:val="003A685D"/>
    <w:rsid w:val="003A7610"/>
    <w:rsid w:val="003A7B28"/>
    <w:rsid w:val="003A7BCF"/>
    <w:rsid w:val="003A7FD8"/>
    <w:rsid w:val="003B053C"/>
    <w:rsid w:val="003B053F"/>
    <w:rsid w:val="003B09BD"/>
    <w:rsid w:val="003B106D"/>
    <w:rsid w:val="003B1121"/>
    <w:rsid w:val="003B12A9"/>
    <w:rsid w:val="003B1D0C"/>
    <w:rsid w:val="003B2AF5"/>
    <w:rsid w:val="003B2F73"/>
    <w:rsid w:val="003B3193"/>
    <w:rsid w:val="003B3971"/>
    <w:rsid w:val="003B3DCB"/>
    <w:rsid w:val="003B3FBA"/>
    <w:rsid w:val="003B4160"/>
    <w:rsid w:val="003B4775"/>
    <w:rsid w:val="003B4CBE"/>
    <w:rsid w:val="003B55D1"/>
    <w:rsid w:val="003B57F5"/>
    <w:rsid w:val="003B5B61"/>
    <w:rsid w:val="003B5C57"/>
    <w:rsid w:val="003B5C6B"/>
    <w:rsid w:val="003B5E08"/>
    <w:rsid w:val="003B60B7"/>
    <w:rsid w:val="003B64B6"/>
    <w:rsid w:val="003B674E"/>
    <w:rsid w:val="003B6871"/>
    <w:rsid w:val="003B7233"/>
    <w:rsid w:val="003B7582"/>
    <w:rsid w:val="003B774A"/>
    <w:rsid w:val="003B7A97"/>
    <w:rsid w:val="003B7BEF"/>
    <w:rsid w:val="003B7D54"/>
    <w:rsid w:val="003B7FAB"/>
    <w:rsid w:val="003C0068"/>
    <w:rsid w:val="003C04DC"/>
    <w:rsid w:val="003C05C6"/>
    <w:rsid w:val="003C1482"/>
    <w:rsid w:val="003C1654"/>
    <w:rsid w:val="003C1A80"/>
    <w:rsid w:val="003C1F76"/>
    <w:rsid w:val="003C24A1"/>
    <w:rsid w:val="003C273A"/>
    <w:rsid w:val="003C27EC"/>
    <w:rsid w:val="003C2D23"/>
    <w:rsid w:val="003C4A7F"/>
    <w:rsid w:val="003C540D"/>
    <w:rsid w:val="003C5542"/>
    <w:rsid w:val="003C59BC"/>
    <w:rsid w:val="003C5CFA"/>
    <w:rsid w:val="003C5E1B"/>
    <w:rsid w:val="003C5E5D"/>
    <w:rsid w:val="003C61FF"/>
    <w:rsid w:val="003C6916"/>
    <w:rsid w:val="003C713A"/>
    <w:rsid w:val="003C719C"/>
    <w:rsid w:val="003C75C3"/>
    <w:rsid w:val="003C7C15"/>
    <w:rsid w:val="003C7D19"/>
    <w:rsid w:val="003C7D2F"/>
    <w:rsid w:val="003D031A"/>
    <w:rsid w:val="003D0C5A"/>
    <w:rsid w:val="003D0D11"/>
    <w:rsid w:val="003D102F"/>
    <w:rsid w:val="003D1406"/>
    <w:rsid w:val="003D142C"/>
    <w:rsid w:val="003D17B9"/>
    <w:rsid w:val="003D1828"/>
    <w:rsid w:val="003D1923"/>
    <w:rsid w:val="003D1DE4"/>
    <w:rsid w:val="003D1E9A"/>
    <w:rsid w:val="003D2032"/>
    <w:rsid w:val="003D23B4"/>
    <w:rsid w:val="003D2422"/>
    <w:rsid w:val="003D28B7"/>
    <w:rsid w:val="003D2D2B"/>
    <w:rsid w:val="003D3052"/>
    <w:rsid w:val="003D327F"/>
    <w:rsid w:val="003D3536"/>
    <w:rsid w:val="003D39A1"/>
    <w:rsid w:val="003D3AB7"/>
    <w:rsid w:val="003D3C5A"/>
    <w:rsid w:val="003D3FBF"/>
    <w:rsid w:val="003D487B"/>
    <w:rsid w:val="003D4911"/>
    <w:rsid w:val="003D4A30"/>
    <w:rsid w:val="003D4DA7"/>
    <w:rsid w:val="003D4EFB"/>
    <w:rsid w:val="003D6742"/>
    <w:rsid w:val="003D6833"/>
    <w:rsid w:val="003D725C"/>
    <w:rsid w:val="003D7452"/>
    <w:rsid w:val="003D79BB"/>
    <w:rsid w:val="003D7AD9"/>
    <w:rsid w:val="003D7C98"/>
    <w:rsid w:val="003D7D9D"/>
    <w:rsid w:val="003E0543"/>
    <w:rsid w:val="003E067B"/>
    <w:rsid w:val="003E07C6"/>
    <w:rsid w:val="003E084B"/>
    <w:rsid w:val="003E09E4"/>
    <w:rsid w:val="003E0D31"/>
    <w:rsid w:val="003E15F0"/>
    <w:rsid w:val="003E1D00"/>
    <w:rsid w:val="003E1F34"/>
    <w:rsid w:val="003E3133"/>
    <w:rsid w:val="003E3D99"/>
    <w:rsid w:val="003E4288"/>
    <w:rsid w:val="003E4A9C"/>
    <w:rsid w:val="003E4AC8"/>
    <w:rsid w:val="003E4EC6"/>
    <w:rsid w:val="003E519A"/>
    <w:rsid w:val="003E53A0"/>
    <w:rsid w:val="003E5419"/>
    <w:rsid w:val="003E5603"/>
    <w:rsid w:val="003E56DA"/>
    <w:rsid w:val="003E5AD8"/>
    <w:rsid w:val="003E5DD4"/>
    <w:rsid w:val="003E634D"/>
    <w:rsid w:val="003E6537"/>
    <w:rsid w:val="003E67F5"/>
    <w:rsid w:val="003E749E"/>
    <w:rsid w:val="003F0730"/>
    <w:rsid w:val="003F0CF4"/>
    <w:rsid w:val="003F0D63"/>
    <w:rsid w:val="003F0EE0"/>
    <w:rsid w:val="003F14FA"/>
    <w:rsid w:val="003F189E"/>
    <w:rsid w:val="003F1ED0"/>
    <w:rsid w:val="003F2117"/>
    <w:rsid w:val="003F2543"/>
    <w:rsid w:val="003F2678"/>
    <w:rsid w:val="003F27DC"/>
    <w:rsid w:val="003F2BF5"/>
    <w:rsid w:val="003F2CF5"/>
    <w:rsid w:val="003F3083"/>
    <w:rsid w:val="003F325A"/>
    <w:rsid w:val="003F352F"/>
    <w:rsid w:val="003F36E0"/>
    <w:rsid w:val="003F3E8C"/>
    <w:rsid w:val="003F4156"/>
    <w:rsid w:val="003F46E4"/>
    <w:rsid w:val="003F4789"/>
    <w:rsid w:val="003F4849"/>
    <w:rsid w:val="003F4895"/>
    <w:rsid w:val="003F4961"/>
    <w:rsid w:val="003F4DCC"/>
    <w:rsid w:val="003F53EF"/>
    <w:rsid w:val="003F5ADF"/>
    <w:rsid w:val="003F67D4"/>
    <w:rsid w:val="003F6D3C"/>
    <w:rsid w:val="003F6E9E"/>
    <w:rsid w:val="003F6F3F"/>
    <w:rsid w:val="003F7529"/>
    <w:rsid w:val="003F7EA9"/>
    <w:rsid w:val="004005E5"/>
    <w:rsid w:val="00400904"/>
    <w:rsid w:val="00400B29"/>
    <w:rsid w:val="00400C68"/>
    <w:rsid w:val="004019CA"/>
    <w:rsid w:val="00402093"/>
    <w:rsid w:val="0040209E"/>
    <w:rsid w:val="0040234C"/>
    <w:rsid w:val="00402558"/>
    <w:rsid w:val="00402812"/>
    <w:rsid w:val="00402D81"/>
    <w:rsid w:val="00402F97"/>
    <w:rsid w:val="004031E2"/>
    <w:rsid w:val="0040347A"/>
    <w:rsid w:val="00403BC1"/>
    <w:rsid w:val="00404102"/>
    <w:rsid w:val="0040454F"/>
    <w:rsid w:val="00404CFA"/>
    <w:rsid w:val="00404D4A"/>
    <w:rsid w:val="0040504B"/>
    <w:rsid w:val="004050E0"/>
    <w:rsid w:val="00405486"/>
    <w:rsid w:val="004056B7"/>
    <w:rsid w:val="004059F4"/>
    <w:rsid w:val="00406175"/>
    <w:rsid w:val="004063F2"/>
    <w:rsid w:val="00406947"/>
    <w:rsid w:val="00406E48"/>
    <w:rsid w:val="00406EB1"/>
    <w:rsid w:val="0040716E"/>
    <w:rsid w:val="00407FE5"/>
    <w:rsid w:val="004100C9"/>
    <w:rsid w:val="004101B0"/>
    <w:rsid w:val="00410326"/>
    <w:rsid w:val="004105A4"/>
    <w:rsid w:val="00410708"/>
    <w:rsid w:val="00410816"/>
    <w:rsid w:val="00410EC7"/>
    <w:rsid w:val="00410EE2"/>
    <w:rsid w:val="00410FBC"/>
    <w:rsid w:val="004110B3"/>
    <w:rsid w:val="00411B37"/>
    <w:rsid w:val="00411B39"/>
    <w:rsid w:val="00412116"/>
    <w:rsid w:val="004127A7"/>
    <w:rsid w:val="0041285B"/>
    <w:rsid w:val="00412A39"/>
    <w:rsid w:val="00412CE9"/>
    <w:rsid w:val="00413130"/>
    <w:rsid w:val="004132BD"/>
    <w:rsid w:val="004133BF"/>
    <w:rsid w:val="00413411"/>
    <w:rsid w:val="004136A5"/>
    <w:rsid w:val="004136AA"/>
    <w:rsid w:val="00413A1E"/>
    <w:rsid w:val="00413DCB"/>
    <w:rsid w:val="00414171"/>
    <w:rsid w:val="00414476"/>
    <w:rsid w:val="004146C5"/>
    <w:rsid w:val="004148AC"/>
    <w:rsid w:val="00414B3B"/>
    <w:rsid w:val="00414C2E"/>
    <w:rsid w:val="00414FF8"/>
    <w:rsid w:val="004151CF"/>
    <w:rsid w:val="00415531"/>
    <w:rsid w:val="00415B6B"/>
    <w:rsid w:val="00416364"/>
    <w:rsid w:val="004163BD"/>
    <w:rsid w:val="00416671"/>
    <w:rsid w:val="004169D4"/>
    <w:rsid w:val="00416B41"/>
    <w:rsid w:val="00416C8A"/>
    <w:rsid w:val="00416CAB"/>
    <w:rsid w:val="00417606"/>
    <w:rsid w:val="00417F3B"/>
    <w:rsid w:val="004202B9"/>
    <w:rsid w:val="0042047F"/>
    <w:rsid w:val="004204B6"/>
    <w:rsid w:val="0042094A"/>
    <w:rsid w:val="00420AA6"/>
    <w:rsid w:val="00420B9F"/>
    <w:rsid w:val="00421000"/>
    <w:rsid w:val="0042192C"/>
    <w:rsid w:val="00421946"/>
    <w:rsid w:val="00422260"/>
    <w:rsid w:val="00422512"/>
    <w:rsid w:val="004226D9"/>
    <w:rsid w:val="00422743"/>
    <w:rsid w:val="0042283C"/>
    <w:rsid w:val="00422A90"/>
    <w:rsid w:val="00422ABC"/>
    <w:rsid w:val="00422AE8"/>
    <w:rsid w:val="00422FBD"/>
    <w:rsid w:val="004233DF"/>
    <w:rsid w:val="00423740"/>
    <w:rsid w:val="00423B4C"/>
    <w:rsid w:val="00423C1B"/>
    <w:rsid w:val="0042413F"/>
    <w:rsid w:val="00425CD2"/>
    <w:rsid w:val="00425DAF"/>
    <w:rsid w:val="00425ED5"/>
    <w:rsid w:val="00425F40"/>
    <w:rsid w:val="0042608B"/>
    <w:rsid w:val="0042608C"/>
    <w:rsid w:val="004260C8"/>
    <w:rsid w:val="004262C7"/>
    <w:rsid w:val="00426CC6"/>
    <w:rsid w:val="00426F48"/>
    <w:rsid w:val="00427624"/>
    <w:rsid w:val="00430147"/>
    <w:rsid w:val="00430926"/>
    <w:rsid w:val="004311F1"/>
    <w:rsid w:val="00431236"/>
    <w:rsid w:val="00431367"/>
    <w:rsid w:val="004319F8"/>
    <w:rsid w:val="00431E55"/>
    <w:rsid w:val="00431ECE"/>
    <w:rsid w:val="00431F58"/>
    <w:rsid w:val="004321F6"/>
    <w:rsid w:val="00432491"/>
    <w:rsid w:val="00432A5D"/>
    <w:rsid w:val="00432B48"/>
    <w:rsid w:val="00432C74"/>
    <w:rsid w:val="00433044"/>
    <w:rsid w:val="00433162"/>
    <w:rsid w:val="00433351"/>
    <w:rsid w:val="00433764"/>
    <w:rsid w:val="00433B02"/>
    <w:rsid w:val="00433E37"/>
    <w:rsid w:val="00434088"/>
    <w:rsid w:val="00434E6C"/>
    <w:rsid w:val="00435C95"/>
    <w:rsid w:val="0043677C"/>
    <w:rsid w:val="00437088"/>
    <w:rsid w:val="004372AC"/>
    <w:rsid w:val="00437338"/>
    <w:rsid w:val="004375B9"/>
    <w:rsid w:val="004379AB"/>
    <w:rsid w:val="004404F0"/>
    <w:rsid w:val="00441373"/>
    <w:rsid w:val="004418A4"/>
    <w:rsid w:val="0044230F"/>
    <w:rsid w:val="004428D0"/>
    <w:rsid w:val="00442E1E"/>
    <w:rsid w:val="00442F63"/>
    <w:rsid w:val="004430DB"/>
    <w:rsid w:val="004431A2"/>
    <w:rsid w:val="004431F8"/>
    <w:rsid w:val="00443438"/>
    <w:rsid w:val="00443CD5"/>
    <w:rsid w:val="00444185"/>
    <w:rsid w:val="00444271"/>
    <w:rsid w:val="004443A7"/>
    <w:rsid w:val="0044442C"/>
    <w:rsid w:val="0044464C"/>
    <w:rsid w:val="0044481D"/>
    <w:rsid w:val="00445941"/>
    <w:rsid w:val="00446153"/>
    <w:rsid w:val="004464EB"/>
    <w:rsid w:val="004467EA"/>
    <w:rsid w:val="00446F54"/>
    <w:rsid w:val="00447603"/>
    <w:rsid w:val="0044766E"/>
    <w:rsid w:val="0044769F"/>
    <w:rsid w:val="00447B61"/>
    <w:rsid w:val="00447D26"/>
    <w:rsid w:val="00447DFC"/>
    <w:rsid w:val="00447F95"/>
    <w:rsid w:val="004504A8"/>
    <w:rsid w:val="00450ABF"/>
    <w:rsid w:val="00451500"/>
    <w:rsid w:val="0045155C"/>
    <w:rsid w:val="004515FB"/>
    <w:rsid w:val="0045163C"/>
    <w:rsid w:val="00451C64"/>
    <w:rsid w:val="0045236A"/>
    <w:rsid w:val="00452400"/>
    <w:rsid w:val="004526E0"/>
    <w:rsid w:val="00452A2E"/>
    <w:rsid w:val="00452C4C"/>
    <w:rsid w:val="00452E09"/>
    <w:rsid w:val="00453069"/>
    <w:rsid w:val="00453184"/>
    <w:rsid w:val="00453A1B"/>
    <w:rsid w:val="00454644"/>
    <w:rsid w:val="00454B52"/>
    <w:rsid w:val="00454C34"/>
    <w:rsid w:val="00455111"/>
    <w:rsid w:val="0045583C"/>
    <w:rsid w:val="00455967"/>
    <w:rsid w:val="00455AFC"/>
    <w:rsid w:val="00455CE0"/>
    <w:rsid w:val="00455D45"/>
    <w:rsid w:val="00455E15"/>
    <w:rsid w:val="0045610E"/>
    <w:rsid w:val="00456B56"/>
    <w:rsid w:val="00456C10"/>
    <w:rsid w:val="00456E4C"/>
    <w:rsid w:val="00457439"/>
    <w:rsid w:val="004576A0"/>
    <w:rsid w:val="0045772B"/>
    <w:rsid w:val="00457B4D"/>
    <w:rsid w:val="00460593"/>
    <w:rsid w:val="00460C79"/>
    <w:rsid w:val="004615B5"/>
    <w:rsid w:val="00461C9C"/>
    <w:rsid w:val="004620EB"/>
    <w:rsid w:val="0046217F"/>
    <w:rsid w:val="00462C32"/>
    <w:rsid w:val="00462E71"/>
    <w:rsid w:val="00462F58"/>
    <w:rsid w:val="0046316E"/>
    <w:rsid w:val="0046345C"/>
    <w:rsid w:val="00463DC8"/>
    <w:rsid w:val="00463F5B"/>
    <w:rsid w:val="00463FAB"/>
    <w:rsid w:val="00464248"/>
    <w:rsid w:val="004642B6"/>
    <w:rsid w:val="00464595"/>
    <w:rsid w:val="004647F2"/>
    <w:rsid w:val="0046483A"/>
    <w:rsid w:val="00464CDC"/>
    <w:rsid w:val="004655F7"/>
    <w:rsid w:val="0046564E"/>
    <w:rsid w:val="0046568D"/>
    <w:rsid w:val="004658B5"/>
    <w:rsid w:val="00466223"/>
    <w:rsid w:val="00466365"/>
    <w:rsid w:val="00466785"/>
    <w:rsid w:val="00466A9B"/>
    <w:rsid w:val="0046728A"/>
    <w:rsid w:val="0047050B"/>
    <w:rsid w:val="00470663"/>
    <w:rsid w:val="004707F6"/>
    <w:rsid w:val="00470CC9"/>
    <w:rsid w:val="0047147F"/>
    <w:rsid w:val="004716B0"/>
    <w:rsid w:val="00471E43"/>
    <w:rsid w:val="00471E5E"/>
    <w:rsid w:val="00471EA5"/>
    <w:rsid w:val="0047217A"/>
    <w:rsid w:val="004722FD"/>
    <w:rsid w:val="0047279E"/>
    <w:rsid w:val="00472A29"/>
    <w:rsid w:val="00472A79"/>
    <w:rsid w:val="0047338C"/>
    <w:rsid w:val="00473925"/>
    <w:rsid w:val="00473EF0"/>
    <w:rsid w:val="00473F19"/>
    <w:rsid w:val="00474164"/>
    <w:rsid w:val="00474AEE"/>
    <w:rsid w:val="00474C6C"/>
    <w:rsid w:val="00475E22"/>
    <w:rsid w:val="00475F21"/>
    <w:rsid w:val="00475FE5"/>
    <w:rsid w:val="004763BA"/>
    <w:rsid w:val="00476475"/>
    <w:rsid w:val="00476653"/>
    <w:rsid w:val="00476827"/>
    <w:rsid w:val="00476AA0"/>
    <w:rsid w:val="00477517"/>
    <w:rsid w:val="004779D6"/>
    <w:rsid w:val="00480405"/>
    <w:rsid w:val="0048088E"/>
    <w:rsid w:val="00480D24"/>
    <w:rsid w:val="00480F2B"/>
    <w:rsid w:val="004811B0"/>
    <w:rsid w:val="004818F3"/>
    <w:rsid w:val="00481EAC"/>
    <w:rsid w:val="00481EFA"/>
    <w:rsid w:val="00482380"/>
    <w:rsid w:val="004824F3"/>
    <w:rsid w:val="004826E3"/>
    <w:rsid w:val="00482720"/>
    <w:rsid w:val="00482807"/>
    <w:rsid w:val="004828C8"/>
    <w:rsid w:val="00482991"/>
    <w:rsid w:val="00482D63"/>
    <w:rsid w:val="00483064"/>
    <w:rsid w:val="004835E7"/>
    <w:rsid w:val="00483701"/>
    <w:rsid w:val="00483B99"/>
    <w:rsid w:val="004841D0"/>
    <w:rsid w:val="00484D9B"/>
    <w:rsid w:val="00485198"/>
    <w:rsid w:val="004859E1"/>
    <w:rsid w:val="004867E2"/>
    <w:rsid w:val="00486869"/>
    <w:rsid w:val="00486F09"/>
    <w:rsid w:val="004871E7"/>
    <w:rsid w:val="00487E2D"/>
    <w:rsid w:val="0049001C"/>
    <w:rsid w:val="004908D3"/>
    <w:rsid w:val="00490B17"/>
    <w:rsid w:val="00491012"/>
    <w:rsid w:val="004910B7"/>
    <w:rsid w:val="00491558"/>
    <w:rsid w:val="00491665"/>
    <w:rsid w:val="00491B3A"/>
    <w:rsid w:val="00491D3D"/>
    <w:rsid w:val="00492110"/>
    <w:rsid w:val="004926CD"/>
    <w:rsid w:val="00492B4F"/>
    <w:rsid w:val="00492CFD"/>
    <w:rsid w:val="00492DF2"/>
    <w:rsid w:val="00492E58"/>
    <w:rsid w:val="00492ECD"/>
    <w:rsid w:val="0049320D"/>
    <w:rsid w:val="00493235"/>
    <w:rsid w:val="004939B0"/>
    <w:rsid w:val="00493B19"/>
    <w:rsid w:val="004941F3"/>
    <w:rsid w:val="00494207"/>
    <w:rsid w:val="00494DC3"/>
    <w:rsid w:val="00494DD5"/>
    <w:rsid w:val="00495373"/>
    <w:rsid w:val="00495765"/>
    <w:rsid w:val="004958DA"/>
    <w:rsid w:val="00495A19"/>
    <w:rsid w:val="004962D2"/>
    <w:rsid w:val="004963A3"/>
    <w:rsid w:val="004969F4"/>
    <w:rsid w:val="004972D5"/>
    <w:rsid w:val="00497533"/>
    <w:rsid w:val="0049764A"/>
    <w:rsid w:val="00497A19"/>
    <w:rsid w:val="00497ABD"/>
    <w:rsid w:val="00497DBC"/>
    <w:rsid w:val="00497FB1"/>
    <w:rsid w:val="004A0881"/>
    <w:rsid w:val="004A0950"/>
    <w:rsid w:val="004A0D82"/>
    <w:rsid w:val="004A0DA1"/>
    <w:rsid w:val="004A11DC"/>
    <w:rsid w:val="004A129D"/>
    <w:rsid w:val="004A13D6"/>
    <w:rsid w:val="004A1F7D"/>
    <w:rsid w:val="004A228E"/>
    <w:rsid w:val="004A230E"/>
    <w:rsid w:val="004A2ED4"/>
    <w:rsid w:val="004A2FA8"/>
    <w:rsid w:val="004A303E"/>
    <w:rsid w:val="004A32D3"/>
    <w:rsid w:val="004A3554"/>
    <w:rsid w:val="004A3F62"/>
    <w:rsid w:val="004A4832"/>
    <w:rsid w:val="004A4D7D"/>
    <w:rsid w:val="004A50F9"/>
    <w:rsid w:val="004A51BC"/>
    <w:rsid w:val="004A5232"/>
    <w:rsid w:val="004A52E9"/>
    <w:rsid w:val="004A53AF"/>
    <w:rsid w:val="004A54D2"/>
    <w:rsid w:val="004A5BBA"/>
    <w:rsid w:val="004A5C10"/>
    <w:rsid w:val="004A6040"/>
    <w:rsid w:val="004A6597"/>
    <w:rsid w:val="004A6673"/>
    <w:rsid w:val="004A6D09"/>
    <w:rsid w:val="004A70EE"/>
    <w:rsid w:val="004A71C2"/>
    <w:rsid w:val="004A72B4"/>
    <w:rsid w:val="004A7848"/>
    <w:rsid w:val="004A793B"/>
    <w:rsid w:val="004A7AAD"/>
    <w:rsid w:val="004A7C32"/>
    <w:rsid w:val="004B01D1"/>
    <w:rsid w:val="004B0AA7"/>
    <w:rsid w:val="004B0EFC"/>
    <w:rsid w:val="004B19A8"/>
    <w:rsid w:val="004B1CB4"/>
    <w:rsid w:val="004B27F4"/>
    <w:rsid w:val="004B2A6A"/>
    <w:rsid w:val="004B2DAA"/>
    <w:rsid w:val="004B2F18"/>
    <w:rsid w:val="004B2FC1"/>
    <w:rsid w:val="004B30BF"/>
    <w:rsid w:val="004B314D"/>
    <w:rsid w:val="004B3168"/>
    <w:rsid w:val="004B3289"/>
    <w:rsid w:val="004B33D5"/>
    <w:rsid w:val="004B3A7A"/>
    <w:rsid w:val="004B3DDB"/>
    <w:rsid w:val="004B3DE8"/>
    <w:rsid w:val="004B3E71"/>
    <w:rsid w:val="004B3EAE"/>
    <w:rsid w:val="004B4224"/>
    <w:rsid w:val="004B42A7"/>
    <w:rsid w:val="004B44FD"/>
    <w:rsid w:val="004B463A"/>
    <w:rsid w:val="004B4954"/>
    <w:rsid w:val="004B4B0D"/>
    <w:rsid w:val="004B5CA4"/>
    <w:rsid w:val="004B5CFC"/>
    <w:rsid w:val="004B5E89"/>
    <w:rsid w:val="004B6CDB"/>
    <w:rsid w:val="004B6E32"/>
    <w:rsid w:val="004B6F79"/>
    <w:rsid w:val="004B7379"/>
    <w:rsid w:val="004B774D"/>
    <w:rsid w:val="004B7AA9"/>
    <w:rsid w:val="004C03FD"/>
    <w:rsid w:val="004C1433"/>
    <w:rsid w:val="004C146B"/>
    <w:rsid w:val="004C166E"/>
    <w:rsid w:val="004C202A"/>
    <w:rsid w:val="004C20CE"/>
    <w:rsid w:val="004C24AC"/>
    <w:rsid w:val="004C2A14"/>
    <w:rsid w:val="004C2A60"/>
    <w:rsid w:val="004C2AC2"/>
    <w:rsid w:val="004C316F"/>
    <w:rsid w:val="004C3349"/>
    <w:rsid w:val="004C347E"/>
    <w:rsid w:val="004C3B02"/>
    <w:rsid w:val="004C3F91"/>
    <w:rsid w:val="004C4864"/>
    <w:rsid w:val="004C4AED"/>
    <w:rsid w:val="004C508B"/>
    <w:rsid w:val="004C6299"/>
    <w:rsid w:val="004C62F7"/>
    <w:rsid w:val="004C638D"/>
    <w:rsid w:val="004C738D"/>
    <w:rsid w:val="004C782C"/>
    <w:rsid w:val="004C7B0E"/>
    <w:rsid w:val="004D0798"/>
    <w:rsid w:val="004D0902"/>
    <w:rsid w:val="004D0A41"/>
    <w:rsid w:val="004D1903"/>
    <w:rsid w:val="004D19BF"/>
    <w:rsid w:val="004D1AEB"/>
    <w:rsid w:val="004D1BC6"/>
    <w:rsid w:val="004D213B"/>
    <w:rsid w:val="004D286B"/>
    <w:rsid w:val="004D28A2"/>
    <w:rsid w:val="004D2A48"/>
    <w:rsid w:val="004D2AB4"/>
    <w:rsid w:val="004D2C2D"/>
    <w:rsid w:val="004D2CB0"/>
    <w:rsid w:val="004D301B"/>
    <w:rsid w:val="004D31C1"/>
    <w:rsid w:val="004D3769"/>
    <w:rsid w:val="004D3DB7"/>
    <w:rsid w:val="004D484B"/>
    <w:rsid w:val="004D4F29"/>
    <w:rsid w:val="004D521B"/>
    <w:rsid w:val="004D6248"/>
    <w:rsid w:val="004D6708"/>
    <w:rsid w:val="004D69B5"/>
    <w:rsid w:val="004D6D4A"/>
    <w:rsid w:val="004D6F34"/>
    <w:rsid w:val="004D704F"/>
    <w:rsid w:val="004D71CD"/>
    <w:rsid w:val="004D7227"/>
    <w:rsid w:val="004D7B5E"/>
    <w:rsid w:val="004E001F"/>
    <w:rsid w:val="004E0E7F"/>
    <w:rsid w:val="004E0EB8"/>
    <w:rsid w:val="004E101C"/>
    <w:rsid w:val="004E1487"/>
    <w:rsid w:val="004E18E9"/>
    <w:rsid w:val="004E20A2"/>
    <w:rsid w:val="004E22B8"/>
    <w:rsid w:val="004E29B7"/>
    <w:rsid w:val="004E2ADC"/>
    <w:rsid w:val="004E2D04"/>
    <w:rsid w:val="004E2D88"/>
    <w:rsid w:val="004E2F89"/>
    <w:rsid w:val="004E2FDE"/>
    <w:rsid w:val="004E31E5"/>
    <w:rsid w:val="004E36C1"/>
    <w:rsid w:val="004E3770"/>
    <w:rsid w:val="004E3A3A"/>
    <w:rsid w:val="004E3A5B"/>
    <w:rsid w:val="004E3FA3"/>
    <w:rsid w:val="004E418F"/>
    <w:rsid w:val="004E43B2"/>
    <w:rsid w:val="004E4A9E"/>
    <w:rsid w:val="004E51CF"/>
    <w:rsid w:val="004E53FD"/>
    <w:rsid w:val="004E5828"/>
    <w:rsid w:val="004E58D8"/>
    <w:rsid w:val="004E5A43"/>
    <w:rsid w:val="004E5E27"/>
    <w:rsid w:val="004E5F0E"/>
    <w:rsid w:val="004E613F"/>
    <w:rsid w:val="004E6564"/>
    <w:rsid w:val="004E6B69"/>
    <w:rsid w:val="004E7415"/>
    <w:rsid w:val="004E75D6"/>
    <w:rsid w:val="004F01BB"/>
    <w:rsid w:val="004F04C2"/>
    <w:rsid w:val="004F0581"/>
    <w:rsid w:val="004F05D7"/>
    <w:rsid w:val="004F0DDF"/>
    <w:rsid w:val="004F12F6"/>
    <w:rsid w:val="004F1330"/>
    <w:rsid w:val="004F1D02"/>
    <w:rsid w:val="004F2393"/>
    <w:rsid w:val="004F2679"/>
    <w:rsid w:val="004F2690"/>
    <w:rsid w:val="004F2CD2"/>
    <w:rsid w:val="004F2F21"/>
    <w:rsid w:val="004F3261"/>
    <w:rsid w:val="004F3681"/>
    <w:rsid w:val="004F3A77"/>
    <w:rsid w:val="004F3DE5"/>
    <w:rsid w:val="004F3EF3"/>
    <w:rsid w:val="004F612F"/>
    <w:rsid w:val="004F684B"/>
    <w:rsid w:val="004F6913"/>
    <w:rsid w:val="004F6A76"/>
    <w:rsid w:val="004F6C25"/>
    <w:rsid w:val="004F7784"/>
    <w:rsid w:val="004F7865"/>
    <w:rsid w:val="004F7B59"/>
    <w:rsid w:val="004F7D6C"/>
    <w:rsid w:val="004F7F25"/>
    <w:rsid w:val="00500384"/>
    <w:rsid w:val="0050174E"/>
    <w:rsid w:val="00501854"/>
    <w:rsid w:val="005018BB"/>
    <w:rsid w:val="00501E59"/>
    <w:rsid w:val="00502007"/>
    <w:rsid w:val="00502068"/>
    <w:rsid w:val="0050219B"/>
    <w:rsid w:val="00502BFF"/>
    <w:rsid w:val="00502CB9"/>
    <w:rsid w:val="005037E4"/>
    <w:rsid w:val="00503D14"/>
    <w:rsid w:val="00503F17"/>
    <w:rsid w:val="00503F3A"/>
    <w:rsid w:val="005041BE"/>
    <w:rsid w:val="00504A4B"/>
    <w:rsid w:val="00504B38"/>
    <w:rsid w:val="00504E62"/>
    <w:rsid w:val="00504F75"/>
    <w:rsid w:val="0050525D"/>
    <w:rsid w:val="0050533B"/>
    <w:rsid w:val="00505777"/>
    <w:rsid w:val="0050583A"/>
    <w:rsid w:val="00505DBD"/>
    <w:rsid w:val="00505FB0"/>
    <w:rsid w:val="005061A3"/>
    <w:rsid w:val="0050648F"/>
    <w:rsid w:val="005064FD"/>
    <w:rsid w:val="005066C1"/>
    <w:rsid w:val="00506928"/>
    <w:rsid w:val="005069B4"/>
    <w:rsid w:val="005069BB"/>
    <w:rsid w:val="00507108"/>
    <w:rsid w:val="005077EF"/>
    <w:rsid w:val="005078CB"/>
    <w:rsid w:val="00507AF6"/>
    <w:rsid w:val="005104B4"/>
    <w:rsid w:val="00510B7F"/>
    <w:rsid w:val="0051104A"/>
    <w:rsid w:val="00511AD5"/>
    <w:rsid w:val="00511DC7"/>
    <w:rsid w:val="005125C2"/>
    <w:rsid w:val="00512FA8"/>
    <w:rsid w:val="00512FE1"/>
    <w:rsid w:val="00513BFC"/>
    <w:rsid w:val="00513DB4"/>
    <w:rsid w:val="005142C5"/>
    <w:rsid w:val="00514C55"/>
    <w:rsid w:val="0051501B"/>
    <w:rsid w:val="00515171"/>
    <w:rsid w:val="00515236"/>
    <w:rsid w:val="005152B5"/>
    <w:rsid w:val="00515349"/>
    <w:rsid w:val="00515886"/>
    <w:rsid w:val="00515C02"/>
    <w:rsid w:val="00515E3F"/>
    <w:rsid w:val="005160D5"/>
    <w:rsid w:val="0051615D"/>
    <w:rsid w:val="005161EF"/>
    <w:rsid w:val="0051774E"/>
    <w:rsid w:val="00517BD5"/>
    <w:rsid w:val="00520589"/>
    <w:rsid w:val="0052068D"/>
    <w:rsid w:val="00520939"/>
    <w:rsid w:val="00520CB2"/>
    <w:rsid w:val="0052123C"/>
    <w:rsid w:val="00521319"/>
    <w:rsid w:val="0052142B"/>
    <w:rsid w:val="0052145C"/>
    <w:rsid w:val="00522BC8"/>
    <w:rsid w:val="00523C28"/>
    <w:rsid w:val="00523F93"/>
    <w:rsid w:val="00524241"/>
    <w:rsid w:val="0052426E"/>
    <w:rsid w:val="00524626"/>
    <w:rsid w:val="005249C4"/>
    <w:rsid w:val="00524B76"/>
    <w:rsid w:val="00524E62"/>
    <w:rsid w:val="00525268"/>
    <w:rsid w:val="00525438"/>
    <w:rsid w:val="00526077"/>
    <w:rsid w:val="005264CE"/>
    <w:rsid w:val="0052687C"/>
    <w:rsid w:val="00526ECF"/>
    <w:rsid w:val="0052717F"/>
    <w:rsid w:val="0052729C"/>
    <w:rsid w:val="00527327"/>
    <w:rsid w:val="005274F5"/>
    <w:rsid w:val="0052766E"/>
    <w:rsid w:val="00527B4A"/>
    <w:rsid w:val="00527CBF"/>
    <w:rsid w:val="00530164"/>
    <w:rsid w:val="005306C7"/>
    <w:rsid w:val="00530FEE"/>
    <w:rsid w:val="0053122C"/>
    <w:rsid w:val="0053158B"/>
    <w:rsid w:val="0053176B"/>
    <w:rsid w:val="00531898"/>
    <w:rsid w:val="00531A01"/>
    <w:rsid w:val="00531B1A"/>
    <w:rsid w:val="00531DD6"/>
    <w:rsid w:val="005327DC"/>
    <w:rsid w:val="0053293B"/>
    <w:rsid w:val="00532950"/>
    <w:rsid w:val="005330CC"/>
    <w:rsid w:val="00533380"/>
    <w:rsid w:val="0053346C"/>
    <w:rsid w:val="00533731"/>
    <w:rsid w:val="005338AC"/>
    <w:rsid w:val="0053397E"/>
    <w:rsid w:val="005341B3"/>
    <w:rsid w:val="0053426E"/>
    <w:rsid w:val="0053500C"/>
    <w:rsid w:val="00535440"/>
    <w:rsid w:val="00535501"/>
    <w:rsid w:val="00535514"/>
    <w:rsid w:val="0053609D"/>
    <w:rsid w:val="0053634C"/>
    <w:rsid w:val="00536706"/>
    <w:rsid w:val="00536B6F"/>
    <w:rsid w:val="00536F42"/>
    <w:rsid w:val="00537076"/>
    <w:rsid w:val="00537182"/>
    <w:rsid w:val="005372B0"/>
    <w:rsid w:val="005373C8"/>
    <w:rsid w:val="00537412"/>
    <w:rsid w:val="0053769D"/>
    <w:rsid w:val="005377EA"/>
    <w:rsid w:val="00537957"/>
    <w:rsid w:val="00537C25"/>
    <w:rsid w:val="00537C52"/>
    <w:rsid w:val="005406E2"/>
    <w:rsid w:val="0054077C"/>
    <w:rsid w:val="00540BD7"/>
    <w:rsid w:val="00540DC2"/>
    <w:rsid w:val="00540DD9"/>
    <w:rsid w:val="00540DFF"/>
    <w:rsid w:val="0054168F"/>
    <w:rsid w:val="005418F7"/>
    <w:rsid w:val="00541A1F"/>
    <w:rsid w:val="00541E60"/>
    <w:rsid w:val="00541EDD"/>
    <w:rsid w:val="00541FAF"/>
    <w:rsid w:val="00542171"/>
    <w:rsid w:val="005421A9"/>
    <w:rsid w:val="005422BE"/>
    <w:rsid w:val="00542743"/>
    <w:rsid w:val="00542954"/>
    <w:rsid w:val="00542C2D"/>
    <w:rsid w:val="00542FE8"/>
    <w:rsid w:val="0054305C"/>
    <w:rsid w:val="00543517"/>
    <w:rsid w:val="00543562"/>
    <w:rsid w:val="00543842"/>
    <w:rsid w:val="00543A75"/>
    <w:rsid w:val="0054479D"/>
    <w:rsid w:val="00544B48"/>
    <w:rsid w:val="00544B50"/>
    <w:rsid w:val="00544D27"/>
    <w:rsid w:val="0054552A"/>
    <w:rsid w:val="005455DC"/>
    <w:rsid w:val="00545879"/>
    <w:rsid w:val="005458DD"/>
    <w:rsid w:val="00545997"/>
    <w:rsid w:val="00545AB3"/>
    <w:rsid w:val="005461D6"/>
    <w:rsid w:val="00546370"/>
    <w:rsid w:val="00546609"/>
    <w:rsid w:val="00547474"/>
    <w:rsid w:val="005477D3"/>
    <w:rsid w:val="005478BD"/>
    <w:rsid w:val="005478C1"/>
    <w:rsid w:val="00547960"/>
    <w:rsid w:val="005479E3"/>
    <w:rsid w:val="00547E92"/>
    <w:rsid w:val="00550502"/>
    <w:rsid w:val="0055066C"/>
    <w:rsid w:val="00550B3B"/>
    <w:rsid w:val="00551985"/>
    <w:rsid w:val="00551E7E"/>
    <w:rsid w:val="005523BA"/>
    <w:rsid w:val="005524E2"/>
    <w:rsid w:val="00552BD3"/>
    <w:rsid w:val="00552DE7"/>
    <w:rsid w:val="005532A0"/>
    <w:rsid w:val="005534FE"/>
    <w:rsid w:val="00555109"/>
    <w:rsid w:val="005555C3"/>
    <w:rsid w:val="005559D3"/>
    <w:rsid w:val="00555DD6"/>
    <w:rsid w:val="005565CF"/>
    <w:rsid w:val="005569AF"/>
    <w:rsid w:val="005569E1"/>
    <w:rsid w:val="00556B35"/>
    <w:rsid w:val="00556D1D"/>
    <w:rsid w:val="0055708D"/>
    <w:rsid w:val="00557331"/>
    <w:rsid w:val="0055741A"/>
    <w:rsid w:val="00557BA9"/>
    <w:rsid w:val="00557BEA"/>
    <w:rsid w:val="005608B9"/>
    <w:rsid w:val="005611B7"/>
    <w:rsid w:val="0056123C"/>
    <w:rsid w:val="005615EE"/>
    <w:rsid w:val="005616BD"/>
    <w:rsid w:val="0056179C"/>
    <w:rsid w:val="005617BD"/>
    <w:rsid w:val="005618D4"/>
    <w:rsid w:val="005619E6"/>
    <w:rsid w:val="00561B49"/>
    <w:rsid w:val="00561F54"/>
    <w:rsid w:val="00562567"/>
    <w:rsid w:val="00562603"/>
    <w:rsid w:val="005627AB"/>
    <w:rsid w:val="00562A80"/>
    <w:rsid w:val="0056388D"/>
    <w:rsid w:val="00564302"/>
    <w:rsid w:val="00564441"/>
    <w:rsid w:val="00564867"/>
    <w:rsid w:val="00564C5A"/>
    <w:rsid w:val="00564E86"/>
    <w:rsid w:val="0056571E"/>
    <w:rsid w:val="00565974"/>
    <w:rsid w:val="00565A67"/>
    <w:rsid w:val="00565C79"/>
    <w:rsid w:val="00565DF0"/>
    <w:rsid w:val="00565F53"/>
    <w:rsid w:val="00566081"/>
    <w:rsid w:val="00566198"/>
    <w:rsid w:val="005662FB"/>
    <w:rsid w:val="005666D9"/>
    <w:rsid w:val="005668A2"/>
    <w:rsid w:val="0056696F"/>
    <w:rsid w:val="00566AA2"/>
    <w:rsid w:val="00567438"/>
    <w:rsid w:val="00567A20"/>
    <w:rsid w:val="00567ABA"/>
    <w:rsid w:val="00567B90"/>
    <w:rsid w:val="00567DF7"/>
    <w:rsid w:val="005703A2"/>
    <w:rsid w:val="005707B5"/>
    <w:rsid w:val="00570849"/>
    <w:rsid w:val="00571568"/>
    <w:rsid w:val="00571CC1"/>
    <w:rsid w:val="00571D1D"/>
    <w:rsid w:val="00571D5E"/>
    <w:rsid w:val="00571E33"/>
    <w:rsid w:val="00572269"/>
    <w:rsid w:val="0057239A"/>
    <w:rsid w:val="0057244A"/>
    <w:rsid w:val="00572654"/>
    <w:rsid w:val="005727BC"/>
    <w:rsid w:val="00572F26"/>
    <w:rsid w:val="0057348F"/>
    <w:rsid w:val="00573A35"/>
    <w:rsid w:val="00573CF5"/>
    <w:rsid w:val="00573E43"/>
    <w:rsid w:val="00573FF5"/>
    <w:rsid w:val="0057424E"/>
    <w:rsid w:val="00574813"/>
    <w:rsid w:val="00574A9A"/>
    <w:rsid w:val="00574BE5"/>
    <w:rsid w:val="00574F2D"/>
    <w:rsid w:val="005750C5"/>
    <w:rsid w:val="005752DE"/>
    <w:rsid w:val="005759AF"/>
    <w:rsid w:val="00575B6A"/>
    <w:rsid w:val="00575D60"/>
    <w:rsid w:val="00575D8D"/>
    <w:rsid w:val="00575FE6"/>
    <w:rsid w:val="00576972"/>
    <w:rsid w:val="00576D32"/>
    <w:rsid w:val="00577177"/>
    <w:rsid w:val="00577248"/>
    <w:rsid w:val="00577464"/>
    <w:rsid w:val="005774F1"/>
    <w:rsid w:val="0057755B"/>
    <w:rsid w:val="005777F6"/>
    <w:rsid w:val="00580554"/>
    <w:rsid w:val="00580D39"/>
    <w:rsid w:val="00580DBF"/>
    <w:rsid w:val="0058195F"/>
    <w:rsid w:val="00581A4E"/>
    <w:rsid w:val="005827D0"/>
    <w:rsid w:val="00582B72"/>
    <w:rsid w:val="00582D35"/>
    <w:rsid w:val="00582DD9"/>
    <w:rsid w:val="00583699"/>
    <w:rsid w:val="005836F7"/>
    <w:rsid w:val="005837C9"/>
    <w:rsid w:val="00583CAF"/>
    <w:rsid w:val="00584607"/>
    <w:rsid w:val="00584D27"/>
    <w:rsid w:val="005851EE"/>
    <w:rsid w:val="0058524C"/>
    <w:rsid w:val="00585261"/>
    <w:rsid w:val="0058587D"/>
    <w:rsid w:val="00585CDD"/>
    <w:rsid w:val="00585FC0"/>
    <w:rsid w:val="005861EC"/>
    <w:rsid w:val="00586308"/>
    <w:rsid w:val="00586755"/>
    <w:rsid w:val="00587058"/>
    <w:rsid w:val="005874ED"/>
    <w:rsid w:val="00587A62"/>
    <w:rsid w:val="00587AC4"/>
    <w:rsid w:val="00587FE1"/>
    <w:rsid w:val="005909FA"/>
    <w:rsid w:val="00590D63"/>
    <w:rsid w:val="00591254"/>
    <w:rsid w:val="00591957"/>
    <w:rsid w:val="00592076"/>
    <w:rsid w:val="005924C1"/>
    <w:rsid w:val="0059289B"/>
    <w:rsid w:val="00592B55"/>
    <w:rsid w:val="00592D47"/>
    <w:rsid w:val="00592DC2"/>
    <w:rsid w:val="00593E20"/>
    <w:rsid w:val="0059416F"/>
    <w:rsid w:val="00594332"/>
    <w:rsid w:val="00594681"/>
    <w:rsid w:val="0059550B"/>
    <w:rsid w:val="00595FB0"/>
    <w:rsid w:val="005963E3"/>
    <w:rsid w:val="00596489"/>
    <w:rsid w:val="00596CB1"/>
    <w:rsid w:val="00596DD5"/>
    <w:rsid w:val="00596ED3"/>
    <w:rsid w:val="00597278"/>
    <w:rsid w:val="005974A3"/>
    <w:rsid w:val="00597658"/>
    <w:rsid w:val="00597BF9"/>
    <w:rsid w:val="00597EF4"/>
    <w:rsid w:val="00597F5F"/>
    <w:rsid w:val="005A08B8"/>
    <w:rsid w:val="005A0C11"/>
    <w:rsid w:val="005A1013"/>
    <w:rsid w:val="005A1514"/>
    <w:rsid w:val="005A16AF"/>
    <w:rsid w:val="005A1911"/>
    <w:rsid w:val="005A1CEC"/>
    <w:rsid w:val="005A2C4C"/>
    <w:rsid w:val="005A2D77"/>
    <w:rsid w:val="005A2E6D"/>
    <w:rsid w:val="005A2F56"/>
    <w:rsid w:val="005A309A"/>
    <w:rsid w:val="005A3421"/>
    <w:rsid w:val="005A345C"/>
    <w:rsid w:val="005A373D"/>
    <w:rsid w:val="005A3BDD"/>
    <w:rsid w:val="005A3C32"/>
    <w:rsid w:val="005A415F"/>
    <w:rsid w:val="005A41CB"/>
    <w:rsid w:val="005A42A1"/>
    <w:rsid w:val="005A42E9"/>
    <w:rsid w:val="005A43CB"/>
    <w:rsid w:val="005A457F"/>
    <w:rsid w:val="005A4D8A"/>
    <w:rsid w:val="005A50D4"/>
    <w:rsid w:val="005A50FB"/>
    <w:rsid w:val="005A565E"/>
    <w:rsid w:val="005A605F"/>
    <w:rsid w:val="005A65F0"/>
    <w:rsid w:val="005A6BED"/>
    <w:rsid w:val="005A6D1C"/>
    <w:rsid w:val="005A759B"/>
    <w:rsid w:val="005A7A99"/>
    <w:rsid w:val="005A7B62"/>
    <w:rsid w:val="005B03FA"/>
    <w:rsid w:val="005B0ADA"/>
    <w:rsid w:val="005B0B58"/>
    <w:rsid w:val="005B0C77"/>
    <w:rsid w:val="005B0EDC"/>
    <w:rsid w:val="005B14B9"/>
    <w:rsid w:val="005B1B18"/>
    <w:rsid w:val="005B1FCD"/>
    <w:rsid w:val="005B2A6A"/>
    <w:rsid w:val="005B30EA"/>
    <w:rsid w:val="005B335A"/>
    <w:rsid w:val="005B34DC"/>
    <w:rsid w:val="005B470C"/>
    <w:rsid w:val="005B499E"/>
    <w:rsid w:val="005B4A2D"/>
    <w:rsid w:val="005B4C37"/>
    <w:rsid w:val="005B4E53"/>
    <w:rsid w:val="005B5785"/>
    <w:rsid w:val="005B5857"/>
    <w:rsid w:val="005B5AF1"/>
    <w:rsid w:val="005B5B2D"/>
    <w:rsid w:val="005B5C6C"/>
    <w:rsid w:val="005B65DF"/>
    <w:rsid w:val="005B6695"/>
    <w:rsid w:val="005B6D47"/>
    <w:rsid w:val="005B72C3"/>
    <w:rsid w:val="005B7678"/>
    <w:rsid w:val="005B788B"/>
    <w:rsid w:val="005B78C3"/>
    <w:rsid w:val="005B7CC4"/>
    <w:rsid w:val="005C01C8"/>
    <w:rsid w:val="005C055F"/>
    <w:rsid w:val="005C0EEC"/>
    <w:rsid w:val="005C18D2"/>
    <w:rsid w:val="005C19C4"/>
    <w:rsid w:val="005C1B83"/>
    <w:rsid w:val="005C1E46"/>
    <w:rsid w:val="005C25FF"/>
    <w:rsid w:val="005C269C"/>
    <w:rsid w:val="005C2D55"/>
    <w:rsid w:val="005C346B"/>
    <w:rsid w:val="005C35D4"/>
    <w:rsid w:val="005C39F5"/>
    <w:rsid w:val="005C3E19"/>
    <w:rsid w:val="005C3FC8"/>
    <w:rsid w:val="005C45FE"/>
    <w:rsid w:val="005C564A"/>
    <w:rsid w:val="005C5ABC"/>
    <w:rsid w:val="005C5D30"/>
    <w:rsid w:val="005C6165"/>
    <w:rsid w:val="005C651A"/>
    <w:rsid w:val="005C684A"/>
    <w:rsid w:val="005C6F50"/>
    <w:rsid w:val="005C7412"/>
    <w:rsid w:val="005C7779"/>
    <w:rsid w:val="005C78F7"/>
    <w:rsid w:val="005D0146"/>
    <w:rsid w:val="005D03CC"/>
    <w:rsid w:val="005D044D"/>
    <w:rsid w:val="005D0492"/>
    <w:rsid w:val="005D0622"/>
    <w:rsid w:val="005D0ABD"/>
    <w:rsid w:val="005D0CBF"/>
    <w:rsid w:val="005D12FF"/>
    <w:rsid w:val="005D17D7"/>
    <w:rsid w:val="005D18AD"/>
    <w:rsid w:val="005D26B4"/>
    <w:rsid w:val="005D28E1"/>
    <w:rsid w:val="005D2E59"/>
    <w:rsid w:val="005D3938"/>
    <w:rsid w:val="005D405A"/>
    <w:rsid w:val="005D46B8"/>
    <w:rsid w:val="005D4E4B"/>
    <w:rsid w:val="005D5C02"/>
    <w:rsid w:val="005D5F77"/>
    <w:rsid w:val="005D6FFC"/>
    <w:rsid w:val="005D7200"/>
    <w:rsid w:val="005D7255"/>
    <w:rsid w:val="005D74AE"/>
    <w:rsid w:val="005D75EA"/>
    <w:rsid w:val="005D7CC1"/>
    <w:rsid w:val="005D7FD1"/>
    <w:rsid w:val="005E00C2"/>
    <w:rsid w:val="005E02F2"/>
    <w:rsid w:val="005E1429"/>
    <w:rsid w:val="005E1995"/>
    <w:rsid w:val="005E1B16"/>
    <w:rsid w:val="005E2053"/>
    <w:rsid w:val="005E20A5"/>
    <w:rsid w:val="005E2BB7"/>
    <w:rsid w:val="005E352E"/>
    <w:rsid w:val="005E369E"/>
    <w:rsid w:val="005E3EBC"/>
    <w:rsid w:val="005E3F96"/>
    <w:rsid w:val="005E4056"/>
    <w:rsid w:val="005E40D1"/>
    <w:rsid w:val="005E42D7"/>
    <w:rsid w:val="005E46A5"/>
    <w:rsid w:val="005E4C00"/>
    <w:rsid w:val="005E52A6"/>
    <w:rsid w:val="005E5B4E"/>
    <w:rsid w:val="005E645C"/>
    <w:rsid w:val="005E6817"/>
    <w:rsid w:val="005E6832"/>
    <w:rsid w:val="005E698E"/>
    <w:rsid w:val="005E6CBC"/>
    <w:rsid w:val="005E72FF"/>
    <w:rsid w:val="005E73C0"/>
    <w:rsid w:val="005E7470"/>
    <w:rsid w:val="005E74C8"/>
    <w:rsid w:val="005E7C42"/>
    <w:rsid w:val="005E7F9B"/>
    <w:rsid w:val="005F0130"/>
    <w:rsid w:val="005F02B0"/>
    <w:rsid w:val="005F0621"/>
    <w:rsid w:val="005F07ED"/>
    <w:rsid w:val="005F0850"/>
    <w:rsid w:val="005F0DD3"/>
    <w:rsid w:val="005F175C"/>
    <w:rsid w:val="005F1914"/>
    <w:rsid w:val="005F2406"/>
    <w:rsid w:val="005F24A0"/>
    <w:rsid w:val="005F250B"/>
    <w:rsid w:val="005F2706"/>
    <w:rsid w:val="005F271D"/>
    <w:rsid w:val="005F2CB8"/>
    <w:rsid w:val="005F2E8F"/>
    <w:rsid w:val="005F3CB5"/>
    <w:rsid w:val="005F3D42"/>
    <w:rsid w:val="005F43FC"/>
    <w:rsid w:val="005F4A1E"/>
    <w:rsid w:val="005F6964"/>
    <w:rsid w:val="005F6A8F"/>
    <w:rsid w:val="005F6BB7"/>
    <w:rsid w:val="005F7588"/>
    <w:rsid w:val="005F7A86"/>
    <w:rsid w:val="00600750"/>
    <w:rsid w:val="00600945"/>
    <w:rsid w:val="00600B07"/>
    <w:rsid w:val="006010FD"/>
    <w:rsid w:val="00601118"/>
    <w:rsid w:val="00601304"/>
    <w:rsid w:val="006013FF"/>
    <w:rsid w:val="00601758"/>
    <w:rsid w:val="006019C1"/>
    <w:rsid w:val="00601C6D"/>
    <w:rsid w:val="00602835"/>
    <w:rsid w:val="006028D3"/>
    <w:rsid w:val="00602B63"/>
    <w:rsid w:val="00602BD9"/>
    <w:rsid w:val="00602DF6"/>
    <w:rsid w:val="00602FCD"/>
    <w:rsid w:val="00603509"/>
    <w:rsid w:val="006036C6"/>
    <w:rsid w:val="0060382C"/>
    <w:rsid w:val="00603AE1"/>
    <w:rsid w:val="00603CA8"/>
    <w:rsid w:val="00603DB9"/>
    <w:rsid w:val="00603F0E"/>
    <w:rsid w:val="00604283"/>
    <w:rsid w:val="0060474B"/>
    <w:rsid w:val="00604CC6"/>
    <w:rsid w:val="00605008"/>
    <w:rsid w:val="00605626"/>
    <w:rsid w:val="0060572F"/>
    <w:rsid w:val="006059D0"/>
    <w:rsid w:val="006059FF"/>
    <w:rsid w:val="00605DE5"/>
    <w:rsid w:val="00605E64"/>
    <w:rsid w:val="00606243"/>
    <w:rsid w:val="006066EE"/>
    <w:rsid w:val="00606B48"/>
    <w:rsid w:val="00606FBA"/>
    <w:rsid w:val="0060725A"/>
    <w:rsid w:val="0060726F"/>
    <w:rsid w:val="00607388"/>
    <w:rsid w:val="006075D6"/>
    <w:rsid w:val="00607669"/>
    <w:rsid w:val="006076B1"/>
    <w:rsid w:val="006076F4"/>
    <w:rsid w:val="006079B9"/>
    <w:rsid w:val="00607AFD"/>
    <w:rsid w:val="00607E39"/>
    <w:rsid w:val="0061025D"/>
    <w:rsid w:val="00610C79"/>
    <w:rsid w:val="00610C85"/>
    <w:rsid w:val="006119D0"/>
    <w:rsid w:val="00611B12"/>
    <w:rsid w:val="0061234D"/>
    <w:rsid w:val="00612529"/>
    <w:rsid w:val="0061263E"/>
    <w:rsid w:val="00612B5F"/>
    <w:rsid w:val="00612F97"/>
    <w:rsid w:val="0061345D"/>
    <w:rsid w:val="00613786"/>
    <w:rsid w:val="006141E5"/>
    <w:rsid w:val="0061432E"/>
    <w:rsid w:val="00614E4D"/>
    <w:rsid w:val="00615425"/>
    <w:rsid w:val="0061549B"/>
    <w:rsid w:val="006155AD"/>
    <w:rsid w:val="006159D2"/>
    <w:rsid w:val="00616802"/>
    <w:rsid w:val="006168ED"/>
    <w:rsid w:val="00616AEF"/>
    <w:rsid w:val="006170C9"/>
    <w:rsid w:val="00617219"/>
    <w:rsid w:val="00617BE1"/>
    <w:rsid w:val="00617BFF"/>
    <w:rsid w:val="00617DA9"/>
    <w:rsid w:val="00617E12"/>
    <w:rsid w:val="0062011D"/>
    <w:rsid w:val="00620632"/>
    <w:rsid w:val="00620AF9"/>
    <w:rsid w:val="00620C25"/>
    <w:rsid w:val="00620C8B"/>
    <w:rsid w:val="006212A5"/>
    <w:rsid w:val="00621477"/>
    <w:rsid w:val="00621496"/>
    <w:rsid w:val="00621639"/>
    <w:rsid w:val="006219AB"/>
    <w:rsid w:val="00621A4F"/>
    <w:rsid w:val="00621ADA"/>
    <w:rsid w:val="00621BC4"/>
    <w:rsid w:val="00621EA3"/>
    <w:rsid w:val="0062204D"/>
    <w:rsid w:val="00622373"/>
    <w:rsid w:val="00622E29"/>
    <w:rsid w:val="00623E9D"/>
    <w:rsid w:val="00623F7B"/>
    <w:rsid w:val="00624709"/>
    <w:rsid w:val="00624BD4"/>
    <w:rsid w:val="00624C17"/>
    <w:rsid w:val="00624C92"/>
    <w:rsid w:val="006251D6"/>
    <w:rsid w:val="00625C65"/>
    <w:rsid w:val="00625EBB"/>
    <w:rsid w:val="00626191"/>
    <w:rsid w:val="00626481"/>
    <w:rsid w:val="006264CD"/>
    <w:rsid w:val="006265AE"/>
    <w:rsid w:val="00626E60"/>
    <w:rsid w:val="00630512"/>
    <w:rsid w:val="006307FD"/>
    <w:rsid w:val="00630C23"/>
    <w:rsid w:val="00630C9F"/>
    <w:rsid w:val="006312A1"/>
    <w:rsid w:val="00631300"/>
    <w:rsid w:val="0063158F"/>
    <w:rsid w:val="0063159D"/>
    <w:rsid w:val="0063189A"/>
    <w:rsid w:val="00631D6B"/>
    <w:rsid w:val="00631F9C"/>
    <w:rsid w:val="00632005"/>
    <w:rsid w:val="00632183"/>
    <w:rsid w:val="0063270E"/>
    <w:rsid w:val="00632FCD"/>
    <w:rsid w:val="00633054"/>
    <w:rsid w:val="006330A1"/>
    <w:rsid w:val="00633A06"/>
    <w:rsid w:val="00633ED7"/>
    <w:rsid w:val="00633F66"/>
    <w:rsid w:val="0063479F"/>
    <w:rsid w:val="00634D01"/>
    <w:rsid w:val="00634D7F"/>
    <w:rsid w:val="006353F0"/>
    <w:rsid w:val="006357B5"/>
    <w:rsid w:val="00635ABE"/>
    <w:rsid w:val="0063634D"/>
    <w:rsid w:val="006364A1"/>
    <w:rsid w:val="0063678E"/>
    <w:rsid w:val="00636B71"/>
    <w:rsid w:val="00636C6B"/>
    <w:rsid w:val="006371DE"/>
    <w:rsid w:val="006379FF"/>
    <w:rsid w:val="00637BFD"/>
    <w:rsid w:val="00637C5C"/>
    <w:rsid w:val="00637CCB"/>
    <w:rsid w:val="00637EB8"/>
    <w:rsid w:val="00640981"/>
    <w:rsid w:val="00640A6B"/>
    <w:rsid w:val="00640D41"/>
    <w:rsid w:val="00641BB6"/>
    <w:rsid w:val="00641C4E"/>
    <w:rsid w:val="00641EC8"/>
    <w:rsid w:val="00641FB3"/>
    <w:rsid w:val="00642075"/>
    <w:rsid w:val="00642F0E"/>
    <w:rsid w:val="006430B1"/>
    <w:rsid w:val="0064355F"/>
    <w:rsid w:val="00643591"/>
    <w:rsid w:val="00643A66"/>
    <w:rsid w:val="00643E1D"/>
    <w:rsid w:val="00643FF6"/>
    <w:rsid w:val="0064434C"/>
    <w:rsid w:val="006451C1"/>
    <w:rsid w:val="006452A0"/>
    <w:rsid w:val="00645A29"/>
    <w:rsid w:val="00645AF1"/>
    <w:rsid w:val="00645B8B"/>
    <w:rsid w:val="00645C7A"/>
    <w:rsid w:val="00646085"/>
    <w:rsid w:val="00646CB7"/>
    <w:rsid w:val="006471CC"/>
    <w:rsid w:val="00647218"/>
    <w:rsid w:val="006472E2"/>
    <w:rsid w:val="006472FE"/>
    <w:rsid w:val="00647A29"/>
    <w:rsid w:val="00647AC0"/>
    <w:rsid w:val="00647BB4"/>
    <w:rsid w:val="00647E71"/>
    <w:rsid w:val="0065033B"/>
    <w:rsid w:val="0065079F"/>
    <w:rsid w:val="00651794"/>
    <w:rsid w:val="00651819"/>
    <w:rsid w:val="00651AC0"/>
    <w:rsid w:val="00651AD3"/>
    <w:rsid w:val="00651B69"/>
    <w:rsid w:val="00651EA4"/>
    <w:rsid w:val="006529A8"/>
    <w:rsid w:val="00652A28"/>
    <w:rsid w:val="00652CF1"/>
    <w:rsid w:val="00652EF2"/>
    <w:rsid w:val="0065353F"/>
    <w:rsid w:val="0065379F"/>
    <w:rsid w:val="00653DC0"/>
    <w:rsid w:val="006547C3"/>
    <w:rsid w:val="00654D07"/>
    <w:rsid w:val="006552A6"/>
    <w:rsid w:val="0065575D"/>
    <w:rsid w:val="00656122"/>
    <w:rsid w:val="00656188"/>
    <w:rsid w:val="0065626C"/>
    <w:rsid w:val="006562D8"/>
    <w:rsid w:val="00656B0E"/>
    <w:rsid w:val="00656B72"/>
    <w:rsid w:val="0065715A"/>
    <w:rsid w:val="00657915"/>
    <w:rsid w:val="00657CAB"/>
    <w:rsid w:val="006603B1"/>
    <w:rsid w:val="00660572"/>
    <w:rsid w:val="006605D4"/>
    <w:rsid w:val="00660744"/>
    <w:rsid w:val="006608DE"/>
    <w:rsid w:val="00660BAC"/>
    <w:rsid w:val="006610F1"/>
    <w:rsid w:val="006617BD"/>
    <w:rsid w:val="00661C6B"/>
    <w:rsid w:val="00661F8D"/>
    <w:rsid w:val="00661FA2"/>
    <w:rsid w:val="00662D3E"/>
    <w:rsid w:val="00662E1D"/>
    <w:rsid w:val="006631E4"/>
    <w:rsid w:val="0066330C"/>
    <w:rsid w:val="006637CB"/>
    <w:rsid w:val="00663827"/>
    <w:rsid w:val="00663881"/>
    <w:rsid w:val="00663CBE"/>
    <w:rsid w:val="0066428A"/>
    <w:rsid w:val="00664DA7"/>
    <w:rsid w:val="006651C0"/>
    <w:rsid w:val="0066589D"/>
    <w:rsid w:val="00665DC5"/>
    <w:rsid w:val="0066617C"/>
    <w:rsid w:val="00666301"/>
    <w:rsid w:val="00666B11"/>
    <w:rsid w:val="00666E64"/>
    <w:rsid w:val="0066772A"/>
    <w:rsid w:val="00667BE3"/>
    <w:rsid w:val="00667E56"/>
    <w:rsid w:val="00670108"/>
    <w:rsid w:val="006702AF"/>
    <w:rsid w:val="0067031C"/>
    <w:rsid w:val="0067036A"/>
    <w:rsid w:val="006703A1"/>
    <w:rsid w:val="006709F3"/>
    <w:rsid w:val="00670A89"/>
    <w:rsid w:val="00671004"/>
    <w:rsid w:val="0067128E"/>
    <w:rsid w:val="00671B6E"/>
    <w:rsid w:val="00672637"/>
    <w:rsid w:val="00672646"/>
    <w:rsid w:val="0067313B"/>
    <w:rsid w:val="006732A9"/>
    <w:rsid w:val="00673504"/>
    <w:rsid w:val="00673551"/>
    <w:rsid w:val="006746D5"/>
    <w:rsid w:val="006749EC"/>
    <w:rsid w:val="00674A46"/>
    <w:rsid w:val="00674AAC"/>
    <w:rsid w:val="00674E42"/>
    <w:rsid w:val="00674E53"/>
    <w:rsid w:val="00674FFA"/>
    <w:rsid w:val="00675503"/>
    <w:rsid w:val="00675722"/>
    <w:rsid w:val="00675B3A"/>
    <w:rsid w:val="00675D05"/>
    <w:rsid w:val="00675D98"/>
    <w:rsid w:val="00676563"/>
    <w:rsid w:val="006765E2"/>
    <w:rsid w:val="00676762"/>
    <w:rsid w:val="00676A6C"/>
    <w:rsid w:val="00676CC2"/>
    <w:rsid w:val="00676D38"/>
    <w:rsid w:val="006772A4"/>
    <w:rsid w:val="006777A4"/>
    <w:rsid w:val="00677A95"/>
    <w:rsid w:val="00677F1F"/>
    <w:rsid w:val="006801E6"/>
    <w:rsid w:val="0068067B"/>
    <w:rsid w:val="00680853"/>
    <w:rsid w:val="00680922"/>
    <w:rsid w:val="0068093B"/>
    <w:rsid w:val="00680EEC"/>
    <w:rsid w:val="006810DD"/>
    <w:rsid w:val="006813F8"/>
    <w:rsid w:val="00681CB5"/>
    <w:rsid w:val="00681E65"/>
    <w:rsid w:val="00682112"/>
    <w:rsid w:val="00682448"/>
    <w:rsid w:val="0068244E"/>
    <w:rsid w:val="00682BA6"/>
    <w:rsid w:val="00682DEB"/>
    <w:rsid w:val="006839E0"/>
    <w:rsid w:val="00683B8A"/>
    <w:rsid w:val="00684672"/>
    <w:rsid w:val="006849CC"/>
    <w:rsid w:val="00685058"/>
    <w:rsid w:val="006855C2"/>
    <w:rsid w:val="0068608B"/>
    <w:rsid w:val="0068618E"/>
    <w:rsid w:val="006865FF"/>
    <w:rsid w:val="0068687C"/>
    <w:rsid w:val="006868BC"/>
    <w:rsid w:val="00686957"/>
    <w:rsid w:val="00686A0B"/>
    <w:rsid w:val="006872BA"/>
    <w:rsid w:val="0068767B"/>
    <w:rsid w:val="00690795"/>
    <w:rsid w:val="00691648"/>
    <w:rsid w:val="006917D7"/>
    <w:rsid w:val="00691AC2"/>
    <w:rsid w:val="00691DE4"/>
    <w:rsid w:val="0069313A"/>
    <w:rsid w:val="006931A3"/>
    <w:rsid w:val="006931A9"/>
    <w:rsid w:val="00693A50"/>
    <w:rsid w:val="00693ACD"/>
    <w:rsid w:val="00693FE8"/>
    <w:rsid w:val="006942E8"/>
    <w:rsid w:val="0069434C"/>
    <w:rsid w:val="00694A48"/>
    <w:rsid w:val="00694AC3"/>
    <w:rsid w:val="00694F44"/>
    <w:rsid w:val="006950C7"/>
    <w:rsid w:val="00695A66"/>
    <w:rsid w:val="006960AD"/>
    <w:rsid w:val="00696615"/>
    <w:rsid w:val="00696AAB"/>
    <w:rsid w:val="00696B18"/>
    <w:rsid w:val="00696EF9"/>
    <w:rsid w:val="00696F51"/>
    <w:rsid w:val="006973ED"/>
    <w:rsid w:val="0069748C"/>
    <w:rsid w:val="0069771B"/>
    <w:rsid w:val="0069779A"/>
    <w:rsid w:val="006979A5"/>
    <w:rsid w:val="00697A37"/>
    <w:rsid w:val="00697B4C"/>
    <w:rsid w:val="00697C0B"/>
    <w:rsid w:val="00697D7B"/>
    <w:rsid w:val="00697DD7"/>
    <w:rsid w:val="00697E9E"/>
    <w:rsid w:val="006A016F"/>
    <w:rsid w:val="006A027F"/>
    <w:rsid w:val="006A055D"/>
    <w:rsid w:val="006A0B08"/>
    <w:rsid w:val="006A0B17"/>
    <w:rsid w:val="006A0DF7"/>
    <w:rsid w:val="006A10AF"/>
    <w:rsid w:val="006A15B3"/>
    <w:rsid w:val="006A1A25"/>
    <w:rsid w:val="006A2108"/>
    <w:rsid w:val="006A21CE"/>
    <w:rsid w:val="006A22C8"/>
    <w:rsid w:val="006A248F"/>
    <w:rsid w:val="006A2B99"/>
    <w:rsid w:val="006A390D"/>
    <w:rsid w:val="006A4321"/>
    <w:rsid w:val="006A43D9"/>
    <w:rsid w:val="006A5948"/>
    <w:rsid w:val="006A595F"/>
    <w:rsid w:val="006A6102"/>
    <w:rsid w:val="006A62F4"/>
    <w:rsid w:val="006A644D"/>
    <w:rsid w:val="006A6505"/>
    <w:rsid w:val="006A6875"/>
    <w:rsid w:val="006A6B99"/>
    <w:rsid w:val="006A6C55"/>
    <w:rsid w:val="006A7440"/>
    <w:rsid w:val="006A79ED"/>
    <w:rsid w:val="006A7CFA"/>
    <w:rsid w:val="006A7E5F"/>
    <w:rsid w:val="006B077A"/>
    <w:rsid w:val="006B14B5"/>
    <w:rsid w:val="006B1CB5"/>
    <w:rsid w:val="006B1D13"/>
    <w:rsid w:val="006B1DD9"/>
    <w:rsid w:val="006B213E"/>
    <w:rsid w:val="006B2599"/>
    <w:rsid w:val="006B261B"/>
    <w:rsid w:val="006B2C90"/>
    <w:rsid w:val="006B349F"/>
    <w:rsid w:val="006B34B1"/>
    <w:rsid w:val="006B34C5"/>
    <w:rsid w:val="006B3538"/>
    <w:rsid w:val="006B35E6"/>
    <w:rsid w:val="006B3B04"/>
    <w:rsid w:val="006B3D4E"/>
    <w:rsid w:val="006B45C1"/>
    <w:rsid w:val="006B465A"/>
    <w:rsid w:val="006B4D4F"/>
    <w:rsid w:val="006B4D95"/>
    <w:rsid w:val="006B4E0F"/>
    <w:rsid w:val="006B4FE4"/>
    <w:rsid w:val="006B51A1"/>
    <w:rsid w:val="006B5A70"/>
    <w:rsid w:val="006B5F10"/>
    <w:rsid w:val="006B6803"/>
    <w:rsid w:val="006B6DD0"/>
    <w:rsid w:val="006B75EB"/>
    <w:rsid w:val="006B7669"/>
    <w:rsid w:val="006B7D23"/>
    <w:rsid w:val="006B7EBE"/>
    <w:rsid w:val="006C0399"/>
    <w:rsid w:val="006C0432"/>
    <w:rsid w:val="006C0839"/>
    <w:rsid w:val="006C0AAA"/>
    <w:rsid w:val="006C0BAE"/>
    <w:rsid w:val="006C109B"/>
    <w:rsid w:val="006C12B5"/>
    <w:rsid w:val="006C1332"/>
    <w:rsid w:val="006C1359"/>
    <w:rsid w:val="006C1507"/>
    <w:rsid w:val="006C166A"/>
    <w:rsid w:val="006C1D9B"/>
    <w:rsid w:val="006C235E"/>
    <w:rsid w:val="006C2367"/>
    <w:rsid w:val="006C28CC"/>
    <w:rsid w:val="006C2A8E"/>
    <w:rsid w:val="006C2F27"/>
    <w:rsid w:val="006C3255"/>
    <w:rsid w:val="006C3731"/>
    <w:rsid w:val="006C3AAD"/>
    <w:rsid w:val="006C3C00"/>
    <w:rsid w:val="006C3C43"/>
    <w:rsid w:val="006C3CB5"/>
    <w:rsid w:val="006C3DED"/>
    <w:rsid w:val="006C3E38"/>
    <w:rsid w:val="006C3E57"/>
    <w:rsid w:val="006C3F26"/>
    <w:rsid w:val="006C3F32"/>
    <w:rsid w:val="006C42F5"/>
    <w:rsid w:val="006C4877"/>
    <w:rsid w:val="006C4D01"/>
    <w:rsid w:val="006C4D53"/>
    <w:rsid w:val="006C543F"/>
    <w:rsid w:val="006C55CE"/>
    <w:rsid w:val="006C5930"/>
    <w:rsid w:val="006C638A"/>
    <w:rsid w:val="006C6969"/>
    <w:rsid w:val="006C6B34"/>
    <w:rsid w:val="006C6EA1"/>
    <w:rsid w:val="006C7661"/>
    <w:rsid w:val="006C790C"/>
    <w:rsid w:val="006C7D76"/>
    <w:rsid w:val="006D0018"/>
    <w:rsid w:val="006D0216"/>
    <w:rsid w:val="006D05D2"/>
    <w:rsid w:val="006D08B2"/>
    <w:rsid w:val="006D0A81"/>
    <w:rsid w:val="006D0D17"/>
    <w:rsid w:val="006D1720"/>
    <w:rsid w:val="006D1929"/>
    <w:rsid w:val="006D19B9"/>
    <w:rsid w:val="006D20F3"/>
    <w:rsid w:val="006D227C"/>
    <w:rsid w:val="006D2377"/>
    <w:rsid w:val="006D26D2"/>
    <w:rsid w:val="006D277F"/>
    <w:rsid w:val="006D27F5"/>
    <w:rsid w:val="006D2A7C"/>
    <w:rsid w:val="006D37F5"/>
    <w:rsid w:val="006D3C7D"/>
    <w:rsid w:val="006D3EA9"/>
    <w:rsid w:val="006D4050"/>
    <w:rsid w:val="006D45DC"/>
    <w:rsid w:val="006D4659"/>
    <w:rsid w:val="006D497D"/>
    <w:rsid w:val="006D4F15"/>
    <w:rsid w:val="006D510C"/>
    <w:rsid w:val="006D5191"/>
    <w:rsid w:val="006D51CD"/>
    <w:rsid w:val="006D5409"/>
    <w:rsid w:val="006D56F4"/>
    <w:rsid w:val="006D5BC9"/>
    <w:rsid w:val="006D5D5F"/>
    <w:rsid w:val="006D637A"/>
    <w:rsid w:val="006D649D"/>
    <w:rsid w:val="006D659D"/>
    <w:rsid w:val="006D68FB"/>
    <w:rsid w:val="006D6B01"/>
    <w:rsid w:val="006D6F71"/>
    <w:rsid w:val="006D739B"/>
    <w:rsid w:val="006D7C2C"/>
    <w:rsid w:val="006D7E13"/>
    <w:rsid w:val="006E00D9"/>
    <w:rsid w:val="006E0865"/>
    <w:rsid w:val="006E0C7C"/>
    <w:rsid w:val="006E12E4"/>
    <w:rsid w:val="006E15FB"/>
    <w:rsid w:val="006E1720"/>
    <w:rsid w:val="006E19B7"/>
    <w:rsid w:val="006E1E91"/>
    <w:rsid w:val="006E2868"/>
    <w:rsid w:val="006E3813"/>
    <w:rsid w:val="006E38FC"/>
    <w:rsid w:val="006E3A43"/>
    <w:rsid w:val="006E43BA"/>
    <w:rsid w:val="006E4896"/>
    <w:rsid w:val="006E4D60"/>
    <w:rsid w:val="006E4ED5"/>
    <w:rsid w:val="006E4FB6"/>
    <w:rsid w:val="006E5750"/>
    <w:rsid w:val="006E587E"/>
    <w:rsid w:val="006E6285"/>
    <w:rsid w:val="006E645D"/>
    <w:rsid w:val="006E663D"/>
    <w:rsid w:val="006E677C"/>
    <w:rsid w:val="006E67F5"/>
    <w:rsid w:val="006E6A99"/>
    <w:rsid w:val="006E6B4E"/>
    <w:rsid w:val="006E738F"/>
    <w:rsid w:val="006F0358"/>
    <w:rsid w:val="006F08EE"/>
    <w:rsid w:val="006F09D5"/>
    <w:rsid w:val="006F1A2B"/>
    <w:rsid w:val="006F1A64"/>
    <w:rsid w:val="006F1ED5"/>
    <w:rsid w:val="006F1F01"/>
    <w:rsid w:val="006F20A2"/>
    <w:rsid w:val="006F306C"/>
    <w:rsid w:val="006F3CC0"/>
    <w:rsid w:val="006F4E61"/>
    <w:rsid w:val="006F553D"/>
    <w:rsid w:val="006F5D33"/>
    <w:rsid w:val="006F5EF9"/>
    <w:rsid w:val="006F63A5"/>
    <w:rsid w:val="006F67B5"/>
    <w:rsid w:val="006F6F68"/>
    <w:rsid w:val="006F71BD"/>
    <w:rsid w:val="006F7EA9"/>
    <w:rsid w:val="006F7F85"/>
    <w:rsid w:val="0070079F"/>
    <w:rsid w:val="00700B4A"/>
    <w:rsid w:val="00701421"/>
    <w:rsid w:val="0070142B"/>
    <w:rsid w:val="00701AA4"/>
    <w:rsid w:val="00701B23"/>
    <w:rsid w:val="00701CE9"/>
    <w:rsid w:val="007020C4"/>
    <w:rsid w:val="007020E9"/>
    <w:rsid w:val="007024CB"/>
    <w:rsid w:val="0070268E"/>
    <w:rsid w:val="0070276E"/>
    <w:rsid w:val="0070285A"/>
    <w:rsid w:val="00702CB2"/>
    <w:rsid w:val="00702F8F"/>
    <w:rsid w:val="007031D0"/>
    <w:rsid w:val="007034BB"/>
    <w:rsid w:val="0070406D"/>
    <w:rsid w:val="0070469D"/>
    <w:rsid w:val="00705628"/>
    <w:rsid w:val="00705FAB"/>
    <w:rsid w:val="00706294"/>
    <w:rsid w:val="00706697"/>
    <w:rsid w:val="00706F65"/>
    <w:rsid w:val="00707293"/>
    <w:rsid w:val="00707477"/>
    <w:rsid w:val="0070790B"/>
    <w:rsid w:val="007079FC"/>
    <w:rsid w:val="00707B6E"/>
    <w:rsid w:val="00707B83"/>
    <w:rsid w:val="00707C8F"/>
    <w:rsid w:val="00707D4E"/>
    <w:rsid w:val="007102B8"/>
    <w:rsid w:val="007102E2"/>
    <w:rsid w:val="0071030F"/>
    <w:rsid w:val="00710360"/>
    <w:rsid w:val="007106F5"/>
    <w:rsid w:val="00710A14"/>
    <w:rsid w:val="00710DD4"/>
    <w:rsid w:val="0071147A"/>
    <w:rsid w:val="00711506"/>
    <w:rsid w:val="00711598"/>
    <w:rsid w:val="00711601"/>
    <w:rsid w:val="00711A36"/>
    <w:rsid w:val="00711AE2"/>
    <w:rsid w:val="00711BA0"/>
    <w:rsid w:val="007125D3"/>
    <w:rsid w:val="007126B3"/>
    <w:rsid w:val="007126C1"/>
    <w:rsid w:val="0071270F"/>
    <w:rsid w:val="007128A3"/>
    <w:rsid w:val="00712F5F"/>
    <w:rsid w:val="00712FFD"/>
    <w:rsid w:val="007130B9"/>
    <w:rsid w:val="00713103"/>
    <w:rsid w:val="00713382"/>
    <w:rsid w:val="00713A5A"/>
    <w:rsid w:val="00713B0B"/>
    <w:rsid w:val="00714427"/>
    <w:rsid w:val="0071448C"/>
    <w:rsid w:val="00714C26"/>
    <w:rsid w:val="0071529C"/>
    <w:rsid w:val="00715461"/>
    <w:rsid w:val="007155FE"/>
    <w:rsid w:val="007156D1"/>
    <w:rsid w:val="00715764"/>
    <w:rsid w:val="0071624D"/>
    <w:rsid w:val="007170DA"/>
    <w:rsid w:val="007172AD"/>
    <w:rsid w:val="00717324"/>
    <w:rsid w:val="00717546"/>
    <w:rsid w:val="00717736"/>
    <w:rsid w:val="00717C0E"/>
    <w:rsid w:val="00717FEF"/>
    <w:rsid w:val="007201F0"/>
    <w:rsid w:val="007204E9"/>
    <w:rsid w:val="00720801"/>
    <w:rsid w:val="00720F92"/>
    <w:rsid w:val="007210E3"/>
    <w:rsid w:val="0072125A"/>
    <w:rsid w:val="00721310"/>
    <w:rsid w:val="007220B4"/>
    <w:rsid w:val="00722335"/>
    <w:rsid w:val="007224FE"/>
    <w:rsid w:val="00722888"/>
    <w:rsid w:val="00722B1B"/>
    <w:rsid w:val="00722FA7"/>
    <w:rsid w:val="00723713"/>
    <w:rsid w:val="007237B9"/>
    <w:rsid w:val="0072416F"/>
    <w:rsid w:val="007241E0"/>
    <w:rsid w:val="007245F7"/>
    <w:rsid w:val="007246FB"/>
    <w:rsid w:val="00724772"/>
    <w:rsid w:val="00724F8F"/>
    <w:rsid w:val="00725BBB"/>
    <w:rsid w:val="00725F5B"/>
    <w:rsid w:val="00725F8D"/>
    <w:rsid w:val="00725FD5"/>
    <w:rsid w:val="007260BB"/>
    <w:rsid w:val="007263A9"/>
    <w:rsid w:val="00726549"/>
    <w:rsid w:val="00726ADD"/>
    <w:rsid w:val="007272B6"/>
    <w:rsid w:val="007278E7"/>
    <w:rsid w:val="00727A32"/>
    <w:rsid w:val="00727AF6"/>
    <w:rsid w:val="00727C94"/>
    <w:rsid w:val="00730549"/>
    <w:rsid w:val="00730A85"/>
    <w:rsid w:val="00730D44"/>
    <w:rsid w:val="0073137A"/>
    <w:rsid w:val="007313B9"/>
    <w:rsid w:val="007313E0"/>
    <w:rsid w:val="00731AD9"/>
    <w:rsid w:val="00731B0A"/>
    <w:rsid w:val="00731EAE"/>
    <w:rsid w:val="00732978"/>
    <w:rsid w:val="0073299A"/>
    <w:rsid w:val="00732D2F"/>
    <w:rsid w:val="00732E54"/>
    <w:rsid w:val="00733073"/>
    <w:rsid w:val="00733369"/>
    <w:rsid w:val="00733841"/>
    <w:rsid w:val="007348DF"/>
    <w:rsid w:val="00734E11"/>
    <w:rsid w:val="00735033"/>
    <w:rsid w:val="00735328"/>
    <w:rsid w:val="0073566F"/>
    <w:rsid w:val="00735C2A"/>
    <w:rsid w:val="0073611F"/>
    <w:rsid w:val="00736554"/>
    <w:rsid w:val="007366B1"/>
    <w:rsid w:val="0073685B"/>
    <w:rsid w:val="00736900"/>
    <w:rsid w:val="00736A31"/>
    <w:rsid w:val="00736E64"/>
    <w:rsid w:val="00736EC8"/>
    <w:rsid w:val="00736FCC"/>
    <w:rsid w:val="007370BA"/>
    <w:rsid w:val="00737241"/>
    <w:rsid w:val="007372C9"/>
    <w:rsid w:val="0073759A"/>
    <w:rsid w:val="007375EE"/>
    <w:rsid w:val="00737C84"/>
    <w:rsid w:val="00737DEA"/>
    <w:rsid w:val="0074084D"/>
    <w:rsid w:val="00740D0E"/>
    <w:rsid w:val="00741537"/>
    <w:rsid w:val="0074166B"/>
    <w:rsid w:val="00741803"/>
    <w:rsid w:val="00741AC6"/>
    <w:rsid w:val="00741AC8"/>
    <w:rsid w:val="00741F6E"/>
    <w:rsid w:val="00742246"/>
    <w:rsid w:val="00742A6B"/>
    <w:rsid w:val="00742AD2"/>
    <w:rsid w:val="007432E6"/>
    <w:rsid w:val="00743973"/>
    <w:rsid w:val="0074455A"/>
    <w:rsid w:val="007446FC"/>
    <w:rsid w:val="007449BF"/>
    <w:rsid w:val="00744E81"/>
    <w:rsid w:val="00745157"/>
    <w:rsid w:val="007452D4"/>
    <w:rsid w:val="007454AA"/>
    <w:rsid w:val="007457DD"/>
    <w:rsid w:val="00745B0B"/>
    <w:rsid w:val="007463FE"/>
    <w:rsid w:val="00746509"/>
    <w:rsid w:val="00746675"/>
    <w:rsid w:val="00746973"/>
    <w:rsid w:val="00746BC0"/>
    <w:rsid w:val="00746C52"/>
    <w:rsid w:val="00746E37"/>
    <w:rsid w:val="00746EDC"/>
    <w:rsid w:val="00746F10"/>
    <w:rsid w:val="00747255"/>
    <w:rsid w:val="00747588"/>
    <w:rsid w:val="0074776D"/>
    <w:rsid w:val="007478F4"/>
    <w:rsid w:val="00747B1F"/>
    <w:rsid w:val="00747DF2"/>
    <w:rsid w:val="00747E1E"/>
    <w:rsid w:val="00747E68"/>
    <w:rsid w:val="00747F5B"/>
    <w:rsid w:val="007506B5"/>
    <w:rsid w:val="00750977"/>
    <w:rsid w:val="00750D8A"/>
    <w:rsid w:val="00751021"/>
    <w:rsid w:val="007510B4"/>
    <w:rsid w:val="007510C3"/>
    <w:rsid w:val="00751461"/>
    <w:rsid w:val="00751A0A"/>
    <w:rsid w:val="00751BF2"/>
    <w:rsid w:val="00751FAF"/>
    <w:rsid w:val="00751FB7"/>
    <w:rsid w:val="00752142"/>
    <w:rsid w:val="007523F9"/>
    <w:rsid w:val="0075357E"/>
    <w:rsid w:val="007537CC"/>
    <w:rsid w:val="007538EC"/>
    <w:rsid w:val="00753B29"/>
    <w:rsid w:val="00753BFF"/>
    <w:rsid w:val="00754771"/>
    <w:rsid w:val="007552DF"/>
    <w:rsid w:val="00755DBE"/>
    <w:rsid w:val="00755EF7"/>
    <w:rsid w:val="00756112"/>
    <w:rsid w:val="007564B5"/>
    <w:rsid w:val="00756788"/>
    <w:rsid w:val="00756BC6"/>
    <w:rsid w:val="007573E8"/>
    <w:rsid w:val="00757854"/>
    <w:rsid w:val="00757D01"/>
    <w:rsid w:val="00757FE8"/>
    <w:rsid w:val="00760729"/>
    <w:rsid w:val="00760C4E"/>
    <w:rsid w:val="00760F9E"/>
    <w:rsid w:val="00760FC6"/>
    <w:rsid w:val="00761079"/>
    <w:rsid w:val="0076141B"/>
    <w:rsid w:val="007616E6"/>
    <w:rsid w:val="00761713"/>
    <w:rsid w:val="00762479"/>
    <w:rsid w:val="007625C1"/>
    <w:rsid w:val="007627BE"/>
    <w:rsid w:val="00762940"/>
    <w:rsid w:val="00763CAA"/>
    <w:rsid w:val="00763D32"/>
    <w:rsid w:val="00763EB7"/>
    <w:rsid w:val="007640C9"/>
    <w:rsid w:val="007642B6"/>
    <w:rsid w:val="007645F3"/>
    <w:rsid w:val="00764659"/>
    <w:rsid w:val="00764AAB"/>
    <w:rsid w:val="00764ED0"/>
    <w:rsid w:val="00764F03"/>
    <w:rsid w:val="0076508B"/>
    <w:rsid w:val="00765714"/>
    <w:rsid w:val="00765908"/>
    <w:rsid w:val="00765B1A"/>
    <w:rsid w:val="00765DC1"/>
    <w:rsid w:val="0076617C"/>
    <w:rsid w:val="0076621C"/>
    <w:rsid w:val="00766787"/>
    <w:rsid w:val="007667DC"/>
    <w:rsid w:val="00766D31"/>
    <w:rsid w:val="00767292"/>
    <w:rsid w:val="00767978"/>
    <w:rsid w:val="00767C14"/>
    <w:rsid w:val="00767C8F"/>
    <w:rsid w:val="007700B4"/>
    <w:rsid w:val="00770560"/>
    <w:rsid w:val="007709CD"/>
    <w:rsid w:val="00770E96"/>
    <w:rsid w:val="007711FF"/>
    <w:rsid w:val="007714B5"/>
    <w:rsid w:val="00771F99"/>
    <w:rsid w:val="0077263D"/>
    <w:rsid w:val="00772A0C"/>
    <w:rsid w:val="00772AAD"/>
    <w:rsid w:val="00772C1F"/>
    <w:rsid w:val="0077374C"/>
    <w:rsid w:val="007738BE"/>
    <w:rsid w:val="00773B33"/>
    <w:rsid w:val="00773E94"/>
    <w:rsid w:val="00773FFB"/>
    <w:rsid w:val="0077403B"/>
    <w:rsid w:val="007742D7"/>
    <w:rsid w:val="00774304"/>
    <w:rsid w:val="007744B8"/>
    <w:rsid w:val="007749F8"/>
    <w:rsid w:val="00774BF9"/>
    <w:rsid w:val="00774F91"/>
    <w:rsid w:val="00775D2B"/>
    <w:rsid w:val="007764B0"/>
    <w:rsid w:val="00776A29"/>
    <w:rsid w:val="00776B07"/>
    <w:rsid w:val="00776C37"/>
    <w:rsid w:val="00777056"/>
    <w:rsid w:val="00777148"/>
    <w:rsid w:val="00777335"/>
    <w:rsid w:val="0077736C"/>
    <w:rsid w:val="0077767A"/>
    <w:rsid w:val="00777F5A"/>
    <w:rsid w:val="0078105E"/>
    <w:rsid w:val="007815DC"/>
    <w:rsid w:val="007815DD"/>
    <w:rsid w:val="0078169A"/>
    <w:rsid w:val="007819F2"/>
    <w:rsid w:val="007820A9"/>
    <w:rsid w:val="007820C0"/>
    <w:rsid w:val="007820F9"/>
    <w:rsid w:val="007821EB"/>
    <w:rsid w:val="0078229E"/>
    <w:rsid w:val="00782A49"/>
    <w:rsid w:val="00782BFE"/>
    <w:rsid w:val="00782FCF"/>
    <w:rsid w:val="0078318C"/>
    <w:rsid w:val="007834FB"/>
    <w:rsid w:val="007838D0"/>
    <w:rsid w:val="00783ED7"/>
    <w:rsid w:val="00784227"/>
    <w:rsid w:val="007842DC"/>
    <w:rsid w:val="007843F2"/>
    <w:rsid w:val="007846FA"/>
    <w:rsid w:val="0078513A"/>
    <w:rsid w:val="0078537E"/>
    <w:rsid w:val="0078565C"/>
    <w:rsid w:val="007859AF"/>
    <w:rsid w:val="00785A67"/>
    <w:rsid w:val="00785A9F"/>
    <w:rsid w:val="00785B7C"/>
    <w:rsid w:val="00785C21"/>
    <w:rsid w:val="00785D6C"/>
    <w:rsid w:val="00785D6D"/>
    <w:rsid w:val="00785F58"/>
    <w:rsid w:val="00786423"/>
    <w:rsid w:val="00786A1F"/>
    <w:rsid w:val="00786B82"/>
    <w:rsid w:val="00786D1B"/>
    <w:rsid w:val="00786EF6"/>
    <w:rsid w:val="0078707E"/>
    <w:rsid w:val="00787659"/>
    <w:rsid w:val="00787E14"/>
    <w:rsid w:val="00787FCC"/>
    <w:rsid w:val="00790283"/>
    <w:rsid w:val="007903B8"/>
    <w:rsid w:val="00790656"/>
    <w:rsid w:val="00790AFA"/>
    <w:rsid w:val="007912AC"/>
    <w:rsid w:val="007912BD"/>
    <w:rsid w:val="00791AD4"/>
    <w:rsid w:val="00791FBA"/>
    <w:rsid w:val="007925DF"/>
    <w:rsid w:val="00792944"/>
    <w:rsid w:val="00792F02"/>
    <w:rsid w:val="00794468"/>
    <w:rsid w:val="007948F9"/>
    <w:rsid w:val="00795907"/>
    <w:rsid w:val="00795D5D"/>
    <w:rsid w:val="00795F7D"/>
    <w:rsid w:val="00796133"/>
    <w:rsid w:val="0079613D"/>
    <w:rsid w:val="00796482"/>
    <w:rsid w:val="007A0414"/>
    <w:rsid w:val="007A076D"/>
    <w:rsid w:val="007A08AA"/>
    <w:rsid w:val="007A0A12"/>
    <w:rsid w:val="007A132D"/>
    <w:rsid w:val="007A1345"/>
    <w:rsid w:val="007A1510"/>
    <w:rsid w:val="007A15FE"/>
    <w:rsid w:val="007A195F"/>
    <w:rsid w:val="007A1AB2"/>
    <w:rsid w:val="007A1BD4"/>
    <w:rsid w:val="007A2153"/>
    <w:rsid w:val="007A23F4"/>
    <w:rsid w:val="007A2A24"/>
    <w:rsid w:val="007A2DDB"/>
    <w:rsid w:val="007A30FB"/>
    <w:rsid w:val="007A3B6B"/>
    <w:rsid w:val="007A3BEB"/>
    <w:rsid w:val="007A4690"/>
    <w:rsid w:val="007A4F0A"/>
    <w:rsid w:val="007A5179"/>
    <w:rsid w:val="007A51CA"/>
    <w:rsid w:val="007A5276"/>
    <w:rsid w:val="007A54FB"/>
    <w:rsid w:val="007A5CC4"/>
    <w:rsid w:val="007A5FED"/>
    <w:rsid w:val="007A6438"/>
    <w:rsid w:val="007A66D0"/>
    <w:rsid w:val="007A6BCD"/>
    <w:rsid w:val="007A6C46"/>
    <w:rsid w:val="007A6E23"/>
    <w:rsid w:val="007A70BA"/>
    <w:rsid w:val="007A75B6"/>
    <w:rsid w:val="007B0287"/>
    <w:rsid w:val="007B03E9"/>
    <w:rsid w:val="007B0572"/>
    <w:rsid w:val="007B0D68"/>
    <w:rsid w:val="007B15AD"/>
    <w:rsid w:val="007B18AA"/>
    <w:rsid w:val="007B24E9"/>
    <w:rsid w:val="007B251D"/>
    <w:rsid w:val="007B26F4"/>
    <w:rsid w:val="007B275D"/>
    <w:rsid w:val="007B27E5"/>
    <w:rsid w:val="007B2922"/>
    <w:rsid w:val="007B2E71"/>
    <w:rsid w:val="007B3533"/>
    <w:rsid w:val="007B3569"/>
    <w:rsid w:val="007B3F6F"/>
    <w:rsid w:val="007B42F2"/>
    <w:rsid w:val="007B4D7F"/>
    <w:rsid w:val="007B4DF5"/>
    <w:rsid w:val="007B4F58"/>
    <w:rsid w:val="007B528D"/>
    <w:rsid w:val="007B52E0"/>
    <w:rsid w:val="007B544D"/>
    <w:rsid w:val="007B59DD"/>
    <w:rsid w:val="007B5A04"/>
    <w:rsid w:val="007B5B04"/>
    <w:rsid w:val="007B5DEF"/>
    <w:rsid w:val="007B608E"/>
    <w:rsid w:val="007B63CA"/>
    <w:rsid w:val="007B71B7"/>
    <w:rsid w:val="007B71C1"/>
    <w:rsid w:val="007B761F"/>
    <w:rsid w:val="007B77D1"/>
    <w:rsid w:val="007C040A"/>
    <w:rsid w:val="007C0502"/>
    <w:rsid w:val="007C07C7"/>
    <w:rsid w:val="007C0AD0"/>
    <w:rsid w:val="007C10A3"/>
    <w:rsid w:val="007C14B2"/>
    <w:rsid w:val="007C1817"/>
    <w:rsid w:val="007C1CD9"/>
    <w:rsid w:val="007C1E1C"/>
    <w:rsid w:val="007C2932"/>
    <w:rsid w:val="007C2B6E"/>
    <w:rsid w:val="007C32EF"/>
    <w:rsid w:val="007C361D"/>
    <w:rsid w:val="007C389A"/>
    <w:rsid w:val="007C3A23"/>
    <w:rsid w:val="007C3B42"/>
    <w:rsid w:val="007C4292"/>
    <w:rsid w:val="007C493E"/>
    <w:rsid w:val="007C4B84"/>
    <w:rsid w:val="007C4BCF"/>
    <w:rsid w:val="007C4CDD"/>
    <w:rsid w:val="007C5133"/>
    <w:rsid w:val="007C527C"/>
    <w:rsid w:val="007C5327"/>
    <w:rsid w:val="007C57AA"/>
    <w:rsid w:val="007C5849"/>
    <w:rsid w:val="007C5C4E"/>
    <w:rsid w:val="007C5F85"/>
    <w:rsid w:val="007C6214"/>
    <w:rsid w:val="007C6D09"/>
    <w:rsid w:val="007C6F5E"/>
    <w:rsid w:val="007C70FF"/>
    <w:rsid w:val="007C75E6"/>
    <w:rsid w:val="007C7C25"/>
    <w:rsid w:val="007C7DDF"/>
    <w:rsid w:val="007D004F"/>
    <w:rsid w:val="007D035F"/>
    <w:rsid w:val="007D0407"/>
    <w:rsid w:val="007D06B2"/>
    <w:rsid w:val="007D076A"/>
    <w:rsid w:val="007D0B38"/>
    <w:rsid w:val="007D0BDC"/>
    <w:rsid w:val="007D0CF3"/>
    <w:rsid w:val="007D1079"/>
    <w:rsid w:val="007D10E6"/>
    <w:rsid w:val="007D21C1"/>
    <w:rsid w:val="007D252B"/>
    <w:rsid w:val="007D2A30"/>
    <w:rsid w:val="007D2B5E"/>
    <w:rsid w:val="007D2D06"/>
    <w:rsid w:val="007D3214"/>
    <w:rsid w:val="007D3EBF"/>
    <w:rsid w:val="007D4B31"/>
    <w:rsid w:val="007D4B35"/>
    <w:rsid w:val="007D4C73"/>
    <w:rsid w:val="007D516D"/>
    <w:rsid w:val="007D5440"/>
    <w:rsid w:val="007D548F"/>
    <w:rsid w:val="007D57E7"/>
    <w:rsid w:val="007D58FB"/>
    <w:rsid w:val="007D649B"/>
    <w:rsid w:val="007D65A1"/>
    <w:rsid w:val="007D69EB"/>
    <w:rsid w:val="007D7149"/>
    <w:rsid w:val="007D73F2"/>
    <w:rsid w:val="007D77C0"/>
    <w:rsid w:val="007D77DF"/>
    <w:rsid w:val="007D7869"/>
    <w:rsid w:val="007D7AB1"/>
    <w:rsid w:val="007D7EA4"/>
    <w:rsid w:val="007D7F63"/>
    <w:rsid w:val="007E0482"/>
    <w:rsid w:val="007E08F4"/>
    <w:rsid w:val="007E09BD"/>
    <w:rsid w:val="007E128F"/>
    <w:rsid w:val="007E14C7"/>
    <w:rsid w:val="007E17A4"/>
    <w:rsid w:val="007E1CC2"/>
    <w:rsid w:val="007E1D2C"/>
    <w:rsid w:val="007E1DFA"/>
    <w:rsid w:val="007E1F85"/>
    <w:rsid w:val="007E2503"/>
    <w:rsid w:val="007E2607"/>
    <w:rsid w:val="007E2CBD"/>
    <w:rsid w:val="007E3582"/>
    <w:rsid w:val="007E4313"/>
    <w:rsid w:val="007E4E98"/>
    <w:rsid w:val="007E5151"/>
    <w:rsid w:val="007E553B"/>
    <w:rsid w:val="007E5661"/>
    <w:rsid w:val="007E5FF1"/>
    <w:rsid w:val="007E6253"/>
    <w:rsid w:val="007E65E9"/>
    <w:rsid w:val="007E6723"/>
    <w:rsid w:val="007E6837"/>
    <w:rsid w:val="007E6E16"/>
    <w:rsid w:val="007E76D6"/>
    <w:rsid w:val="007E7D7F"/>
    <w:rsid w:val="007E7E13"/>
    <w:rsid w:val="007E7F98"/>
    <w:rsid w:val="007F0011"/>
    <w:rsid w:val="007F032E"/>
    <w:rsid w:val="007F0349"/>
    <w:rsid w:val="007F03B3"/>
    <w:rsid w:val="007F0879"/>
    <w:rsid w:val="007F0F85"/>
    <w:rsid w:val="007F1017"/>
    <w:rsid w:val="007F101C"/>
    <w:rsid w:val="007F1151"/>
    <w:rsid w:val="007F15FF"/>
    <w:rsid w:val="007F16AC"/>
    <w:rsid w:val="007F1A3F"/>
    <w:rsid w:val="007F1C4E"/>
    <w:rsid w:val="007F1E31"/>
    <w:rsid w:val="007F2011"/>
    <w:rsid w:val="007F2508"/>
    <w:rsid w:val="007F260B"/>
    <w:rsid w:val="007F29E7"/>
    <w:rsid w:val="007F2B14"/>
    <w:rsid w:val="007F3013"/>
    <w:rsid w:val="007F34A4"/>
    <w:rsid w:val="007F37E6"/>
    <w:rsid w:val="007F3B13"/>
    <w:rsid w:val="007F3B3C"/>
    <w:rsid w:val="007F3DA3"/>
    <w:rsid w:val="007F3F30"/>
    <w:rsid w:val="007F3F8F"/>
    <w:rsid w:val="007F3FDA"/>
    <w:rsid w:val="007F478D"/>
    <w:rsid w:val="007F4984"/>
    <w:rsid w:val="007F49D3"/>
    <w:rsid w:val="007F4A3F"/>
    <w:rsid w:val="007F4A61"/>
    <w:rsid w:val="007F5255"/>
    <w:rsid w:val="007F56CC"/>
    <w:rsid w:val="007F6152"/>
    <w:rsid w:val="007F61C2"/>
    <w:rsid w:val="007F68A1"/>
    <w:rsid w:val="007F6C78"/>
    <w:rsid w:val="007F6DAF"/>
    <w:rsid w:val="007F764A"/>
    <w:rsid w:val="007F7A5E"/>
    <w:rsid w:val="007F7FC5"/>
    <w:rsid w:val="00800006"/>
    <w:rsid w:val="008006FD"/>
    <w:rsid w:val="00800706"/>
    <w:rsid w:val="00800B09"/>
    <w:rsid w:val="00800B86"/>
    <w:rsid w:val="00800BC6"/>
    <w:rsid w:val="008010E5"/>
    <w:rsid w:val="0080143F"/>
    <w:rsid w:val="00801C3C"/>
    <w:rsid w:val="00803CC5"/>
    <w:rsid w:val="00803E2A"/>
    <w:rsid w:val="00804825"/>
    <w:rsid w:val="0080483A"/>
    <w:rsid w:val="00804ABE"/>
    <w:rsid w:val="00804BCC"/>
    <w:rsid w:val="00804CFC"/>
    <w:rsid w:val="00805142"/>
    <w:rsid w:val="00805372"/>
    <w:rsid w:val="008053AF"/>
    <w:rsid w:val="0080566B"/>
    <w:rsid w:val="008057C1"/>
    <w:rsid w:val="00805FCE"/>
    <w:rsid w:val="008064B5"/>
    <w:rsid w:val="00806784"/>
    <w:rsid w:val="008068B6"/>
    <w:rsid w:val="00806A41"/>
    <w:rsid w:val="00806C20"/>
    <w:rsid w:val="00806C2F"/>
    <w:rsid w:val="00806DD6"/>
    <w:rsid w:val="00806FE6"/>
    <w:rsid w:val="00807439"/>
    <w:rsid w:val="00807A8B"/>
    <w:rsid w:val="00807C79"/>
    <w:rsid w:val="00807CB7"/>
    <w:rsid w:val="008103BD"/>
    <w:rsid w:val="00810610"/>
    <w:rsid w:val="008108AA"/>
    <w:rsid w:val="00810929"/>
    <w:rsid w:val="00811383"/>
    <w:rsid w:val="00811B8E"/>
    <w:rsid w:val="00811CEB"/>
    <w:rsid w:val="00811D8D"/>
    <w:rsid w:val="00812149"/>
    <w:rsid w:val="00812485"/>
    <w:rsid w:val="00812971"/>
    <w:rsid w:val="00812CAC"/>
    <w:rsid w:val="0081322F"/>
    <w:rsid w:val="00813827"/>
    <w:rsid w:val="00813AAF"/>
    <w:rsid w:val="00813B2D"/>
    <w:rsid w:val="008143CE"/>
    <w:rsid w:val="008147BC"/>
    <w:rsid w:val="0081502F"/>
    <w:rsid w:val="008156D7"/>
    <w:rsid w:val="0081574E"/>
    <w:rsid w:val="00815ACD"/>
    <w:rsid w:val="00815E2C"/>
    <w:rsid w:val="008162ED"/>
    <w:rsid w:val="00816361"/>
    <w:rsid w:val="0081636C"/>
    <w:rsid w:val="008166EF"/>
    <w:rsid w:val="00816FEF"/>
    <w:rsid w:val="0081772F"/>
    <w:rsid w:val="008178B9"/>
    <w:rsid w:val="00817D6F"/>
    <w:rsid w:val="00817E3B"/>
    <w:rsid w:val="00820271"/>
    <w:rsid w:val="008207C9"/>
    <w:rsid w:val="008209FA"/>
    <w:rsid w:val="00820A8C"/>
    <w:rsid w:val="00820B5B"/>
    <w:rsid w:val="00821280"/>
    <w:rsid w:val="008215FB"/>
    <w:rsid w:val="00821639"/>
    <w:rsid w:val="00821662"/>
    <w:rsid w:val="00821C5C"/>
    <w:rsid w:val="008220CC"/>
    <w:rsid w:val="008223EA"/>
    <w:rsid w:val="008225C5"/>
    <w:rsid w:val="00822D52"/>
    <w:rsid w:val="00822FE5"/>
    <w:rsid w:val="00822FF6"/>
    <w:rsid w:val="0082307F"/>
    <w:rsid w:val="00823174"/>
    <w:rsid w:val="0082317D"/>
    <w:rsid w:val="00824443"/>
    <w:rsid w:val="00824BA5"/>
    <w:rsid w:val="00825004"/>
    <w:rsid w:val="00825128"/>
    <w:rsid w:val="00825751"/>
    <w:rsid w:val="00825A46"/>
    <w:rsid w:val="00825D41"/>
    <w:rsid w:val="008264EB"/>
    <w:rsid w:val="008268CE"/>
    <w:rsid w:val="00827C23"/>
    <w:rsid w:val="0083015E"/>
    <w:rsid w:val="008305D8"/>
    <w:rsid w:val="0083073F"/>
    <w:rsid w:val="00830F11"/>
    <w:rsid w:val="008313E3"/>
    <w:rsid w:val="00831859"/>
    <w:rsid w:val="00831FE6"/>
    <w:rsid w:val="008326F3"/>
    <w:rsid w:val="00832A96"/>
    <w:rsid w:val="00832BAE"/>
    <w:rsid w:val="00832E9A"/>
    <w:rsid w:val="00832EDC"/>
    <w:rsid w:val="00833316"/>
    <w:rsid w:val="0083336E"/>
    <w:rsid w:val="008337DF"/>
    <w:rsid w:val="00833A88"/>
    <w:rsid w:val="00833B05"/>
    <w:rsid w:val="00833B27"/>
    <w:rsid w:val="00834534"/>
    <w:rsid w:val="00834A9F"/>
    <w:rsid w:val="00834DFE"/>
    <w:rsid w:val="008351FE"/>
    <w:rsid w:val="00835DA1"/>
    <w:rsid w:val="00835E9F"/>
    <w:rsid w:val="00836063"/>
    <w:rsid w:val="008360DB"/>
    <w:rsid w:val="008362B4"/>
    <w:rsid w:val="0083663A"/>
    <w:rsid w:val="00837087"/>
    <w:rsid w:val="00837197"/>
    <w:rsid w:val="00837370"/>
    <w:rsid w:val="00837793"/>
    <w:rsid w:val="00837F7C"/>
    <w:rsid w:val="0084045D"/>
    <w:rsid w:val="0084078A"/>
    <w:rsid w:val="00840CA2"/>
    <w:rsid w:val="00840CD5"/>
    <w:rsid w:val="00840DA0"/>
    <w:rsid w:val="00840FF3"/>
    <w:rsid w:val="00842939"/>
    <w:rsid w:val="0084303F"/>
    <w:rsid w:val="008432C4"/>
    <w:rsid w:val="0084374F"/>
    <w:rsid w:val="00843764"/>
    <w:rsid w:val="00843EF3"/>
    <w:rsid w:val="008444BB"/>
    <w:rsid w:val="00844910"/>
    <w:rsid w:val="00844A22"/>
    <w:rsid w:val="0084561B"/>
    <w:rsid w:val="008458BA"/>
    <w:rsid w:val="00846083"/>
    <w:rsid w:val="008463C1"/>
    <w:rsid w:val="00846826"/>
    <w:rsid w:val="00846A4C"/>
    <w:rsid w:val="00846C27"/>
    <w:rsid w:val="00846E2C"/>
    <w:rsid w:val="00847703"/>
    <w:rsid w:val="00847DF5"/>
    <w:rsid w:val="00850023"/>
    <w:rsid w:val="00850C2C"/>
    <w:rsid w:val="00850F64"/>
    <w:rsid w:val="00851417"/>
    <w:rsid w:val="008516B1"/>
    <w:rsid w:val="00851CA6"/>
    <w:rsid w:val="0085225E"/>
    <w:rsid w:val="0085248D"/>
    <w:rsid w:val="008526D5"/>
    <w:rsid w:val="008527F2"/>
    <w:rsid w:val="00852B4C"/>
    <w:rsid w:val="0085309D"/>
    <w:rsid w:val="00853600"/>
    <w:rsid w:val="00853B7D"/>
    <w:rsid w:val="00853DE5"/>
    <w:rsid w:val="0085423C"/>
    <w:rsid w:val="008548AD"/>
    <w:rsid w:val="00854B2F"/>
    <w:rsid w:val="0085528D"/>
    <w:rsid w:val="00855368"/>
    <w:rsid w:val="00856046"/>
    <w:rsid w:val="00856176"/>
    <w:rsid w:val="0085638F"/>
    <w:rsid w:val="008567CC"/>
    <w:rsid w:val="00856897"/>
    <w:rsid w:val="008568FA"/>
    <w:rsid w:val="00856BCF"/>
    <w:rsid w:val="00856E9A"/>
    <w:rsid w:val="0085733D"/>
    <w:rsid w:val="00857547"/>
    <w:rsid w:val="0086018D"/>
    <w:rsid w:val="00860262"/>
    <w:rsid w:val="0086075D"/>
    <w:rsid w:val="008616D4"/>
    <w:rsid w:val="00861FD0"/>
    <w:rsid w:val="00862502"/>
    <w:rsid w:val="00862536"/>
    <w:rsid w:val="00862721"/>
    <w:rsid w:val="008629D5"/>
    <w:rsid w:val="00862A99"/>
    <w:rsid w:val="00862C22"/>
    <w:rsid w:val="00862CC1"/>
    <w:rsid w:val="00863216"/>
    <w:rsid w:val="00863445"/>
    <w:rsid w:val="00863462"/>
    <w:rsid w:val="00863777"/>
    <w:rsid w:val="0086392C"/>
    <w:rsid w:val="00863936"/>
    <w:rsid w:val="00863D7A"/>
    <w:rsid w:val="00864137"/>
    <w:rsid w:val="008642A7"/>
    <w:rsid w:val="00864D2C"/>
    <w:rsid w:val="00865AF4"/>
    <w:rsid w:val="008660D4"/>
    <w:rsid w:val="0086656F"/>
    <w:rsid w:val="00866ED3"/>
    <w:rsid w:val="00867346"/>
    <w:rsid w:val="0086745C"/>
    <w:rsid w:val="0086747B"/>
    <w:rsid w:val="0086793B"/>
    <w:rsid w:val="00870C7E"/>
    <w:rsid w:val="00870D72"/>
    <w:rsid w:val="00870E84"/>
    <w:rsid w:val="008710CE"/>
    <w:rsid w:val="008711DA"/>
    <w:rsid w:val="008716B7"/>
    <w:rsid w:val="00871FA9"/>
    <w:rsid w:val="008724DE"/>
    <w:rsid w:val="008725F7"/>
    <w:rsid w:val="0087269E"/>
    <w:rsid w:val="008728E9"/>
    <w:rsid w:val="00873660"/>
    <w:rsid w:val="008736CF"/>
    <w:rsid w:val="00873A2A"/>
    <w:rsid w:val="00873DE9"/>
    <w:rsid w:val="0087440D"/>
    <w:rsid w:val="008746CF"/>
    <w:rsid w:val="0087478D"/>
    <w:rsid w:val="00874E9F"/>
    <w:rsid w:val="00874FAE"/>
    <w:rsid w:val="00875566"/>
    <w:rsid w:val="00875F0A"/>
    <w:rsid w:val="00876AF3"/>
    <w:rsid w:val="00876BE6"/>
    <w:rsid w:val="00876EDC"/>
    <w:rsid w:val="00876FB8"/>
    <w:rsid w:val="00877708"/>
    <w:rsid w:val="00877B02"/>
    <w:rsid w:val="008800C8"/>
    <w:rsid w:val="00880313"/>
    <w:rsid w:val="00880424"/>
    <w:rsid w:val="0088059F"/>
    <w:rsid w:val="00880A67"/>
    <w:rsid w:val="00880A68"/>
    <w:rsid w:val="00880AC8"/>
    <w:rsid w:val="00881B77"/>
    <w:rsid w:val="00881E83"/>
    <w:rsid w:val="008820B8"/>
    <w:rsid w:val="0088224C"/>
    <w:rsid w:val="0088239C"/>
    <w:rsid w:val="0088266E"/>
    <w:rsid w:val="00882874"/>
    <w:rsid w:val="00882C74"/>
    <w:rsid w:val="00882E3C"/>
    <w:rsid w:val="0088308A"/>
    <w:rsid w:val="00883374"/>
    <w:rsid w:val="00883610"/>
    <w:rsid w:val="00883655"/>
    <w:rsid w:val="00883787"/>
    <w:rsid w:val="008838EA"/>
    <w:rsid w:val="00884109"/>
    <w:rsid w:val="00884232"/>
    <w:rsid w:val="0088452F"/>
    <w:rsid w:val="00884B83"/>
    <w:rsid w:val="00885171"/>
    <w:rsid w:val="008855E4"/>
    <w:rsid w:val="008857EA"/>
    <w:rsid w:val="0088594E"/>
    <w:rsid w:val="00885D8E"/>
    <w:rsid w:val="00885F07"/>
    <w:rsid w:val="0088600F"/>
    <w:rsid w:val="00886AC7"/>
    <w:rsid w:val="00886ADA"/>
    <w:rsid w:val="00886CD2"/>
    <w:rsid w:val="00886F90"/>
    <w:rsid w:val="0088777D"/>
    <w:rsid w:val="0088784F"/>
    <w:rsid w:val="00887E41"/>
    <w:rsid w:val="00887EED"/>
    <w:rsid w:val="008901C6"/>
    <w:rsid w:val="008902CC"/>
    <w:rsid w:val="008906BB"/>
    <w:rsid w:val="00891057"/>
    <w:rsid w:val="008912E9"/>
    <w:rsid w:val="00891DD5"/>
    <w:rsid w:val="00891E6F"/>
    <w:rsid w:val="00891EE5"/>
    <w:rsid w:val="008921FA"/>
    <w:rsid w:val="0089275D"/>
    <w:rsid w:val="00892A36"/>
    <w:rsid w:val="008930B8"/>
    <w:rsid w:val="00893239"/>
    <w:rsid w:val="00893264"/>
    <w:rsid w:val="0089332D"/>
    <w:rsid w:val="00893FD0"/>
    <w:rsid w:val="0089420E"/>
    <w:rsid w:val="008942FF"/>
    <w:rsid w:val="00894489"/>
    <w:rsid w:val="00894500"/>
    <w:rsid w:val="008948C4"/>
    <w:rsid w:val="00894995"/>
    <w:rsid w:val="00894CD6"/>
    <w:rsid w:val="008952B5"/>
    <w:rsid w:val="00895C4B"/>
    <w:rsid w:val="00895DBE"/>
    <w:rsid w:val="0089607B"/>
    <w:rsid w:val="0089639C"/>
    <w:rsid w:val="008963A5"/>
    <w:rsid w:val="00896D5D"/>
    <w:rsid w:val="00896EA6"/>
    <w:rsid w:val="00896F6B"/>
    <w:rsid w:val="00896F88"/>
    <w:rsid w:val="008A0195"/>
    <w:rsid w:val="008A0463"/>
    <w:rsid w:val="008A0C46"/>
    <w:rsid w:val="008A0D58"/>
    <w:rsid w:val="008A10DF"/>
    <w:rsid w:val="008A16A4"/>
    <w:rsid w:val="008A1A24"/>
    <w:rsid w:val="008A1A59"/>
    <w:rsid w:val="008A1CDA"/>
    <w:rsid w:val="008A2496"/>
    <w:rsid w:val="008A2748"/>
    <w:rsid w:val="008A2DF8"/>
    <w:rsid w:val="008A2F70"/>
    <w:rsid w:val="008A3158"/>
    <w:rsid w:val="008A3363"/>
    <w:rsid w:val="008A3371"/>
    <w:rsid w:val="008A3BFC"/>
    <w:rsid w:val="008A3C3E"/>
    <w:rsid w:val="008A3FA2"/>
    <w:rsid w:val="008A443A"/>
    <w:rsid w:val="008A4A06"/>
    <w:rsid w:val="008A4B6E"/>
    <w:rsid w:val="008A5237"/>
    <w:rsid w:val="008A57F4"/>
    <w:rsid w:val="008A596C"/>
    <w:rsid w:val="008A6267"/>
    <w:rsid w:val="008A6B4C"/>
    <w:rsid w:val="008A6C06"/>
    <w:rsid w:val="008A6E4B"/>
    <w:rsid w:val="008A6F74"/>
    <w:rsid w:val="008A719C"/>
    <w:rsid w:val="008A75E0"/>
    <w:rsid w:val="008A7797"/>
    <w:rsid w:val="008A79DE"/>
    <w:rsid w:val="008A7F8D"/>
    <w:rsid w:val="008B04A5"/>
    <w:rsid w:val="008B0643"/>
    <w:rsid w:val="008B0665"/>
    <w:rsid w:val="008B08FE"/>
    <w:rsid w:val="008B0C26"/>
    <w:rsid w:val="008B110F"/>
    <w:rsid w:val="008B1757"/>
    <w:rsid w:val="008B17CE"/>
    <w:rsid w:val="008B189F"/>
    <w:rsid w:val="008B1C33"/>
    <w:rsid w:val="008B202E"/>
    <w:rsid w:val="008B29BF"/>
    <w:rsid w:val="008B2F0D"/>
    <w:rsid w:val="008B306E"/>
    <w:rsid w:val="008B35EC"/>
    <w:rsid w:val="008B38C4"/>
    <w:rsid w:val="008B4191"/>
    <w:rsid w:val="008B433C"/>
    <w:rsid w:val="008B47A7"/>
    <w:rsid w:val="008B4B6F"/>
    <w:rsid w:val="008B4E34"/>
    <w:rsid w:val="008B5C61"/>
    <w:rsid w:val="008B629D"/>
    <w:rsid w:val="008B6345"/>
    <w:rsid w:val="008B6782"/>
    <w:rsid w:val="008B6FD2"/>
    <w:rsid w:val="008B70C7"/>
    <w:rsid w:val="008B7162"/>
    <w:rsid w:val="008B7992"/>
    <w:rsid w:val="008B7AB4"/>
    <w:rsid w:val="008B7D7E"/>
    <w:rsid w:val="008B7FF3"/>
    <w:rsid w:val="008C001D"/>
    <w:rsid w:val="008C0061"/>
    <w:rsid w:val="008C0697"/>
    <w:rsid w:val="008C1300"/>
    <w:rsid w:val="008C149C"/>
    <w:rsid w:val="008C14B0"/>
    <w:rsid w:val="008C17ED"/>
    <w:rsid w:val="008C19E2"/>
    <w:rsid w:val="008C1A35"/>
    <w:rsid w:val="008C2319"/>
    <w:rsid w:val="008C288C"/>
    <w:rsid w:val="008C31FC"/>
    <w:rsid w:val="008C34B7"/>
    <w:rsid w:val="008C396E"/>
    <w:rsid w:val="008C3C9B"/>
    <w:rsid w:val="008C485C"/>
    <w:rsid w:val="008C4C69"/>
    <w:rsid w:val="008C4D9B"/>
    <w:rsid w:val="008C550B"/>
    <w:rsid w:val="008C5610"/>
    <w:rsid w:val="008C5739"/>
    <w:rsid w:val="008C5CF2"/>
    <w:rsid w:val="008C68B4"/>
    <w:rsid w:val="008C6B60"/>
    <w:rsid w:val="008C7282"/>
    <w:rsid w:val="008C7976"/>
    <w:rsid w:val="008C7EBD"/>
    <w:rsid w:val="008C7ECB"/>
    <w:rsid w:val="008D012F"/>
    <w:rsid w:val="008D0154"/>
    <w:rsid w:val="008D0398"/>
    <w:rsid w:val="008D07A9"/>
    <w:rsid w:val="008D08E5"/>
    <w:rsid w:val="008D0CB1"/>
    <w:rsid w:val="008D130B"/>
    <w:rsid w:val="008D1358"/>
    <w:rsid w:val="008D166F"/>
    <w:rsid w:val="008D198D"/>
    <w:rsid w:val="008D2143"/>
    <w:rsid w:val="008D259F"/>
    <w:rsid w:val="008D2B09"/>
    <w:rsid w:val="008D34B3"/>
    <w:rsid w:val="008D3817"/>
    <w:rsid w:val="008D3B86"/>
    <w:rsid w:val="008D3DA6"/>
    <w:rsid w:val="008D3F8F"/>
    <w:rsid w:val="008D4196"/>
    <w:rsid w:val="008D420D"/>
    <w:rsid w:val="008D43FD"/>
    <w:rsid w:val="008D4755"/>
    <w:rsid w:val="008D4C3D"/>
    <w:rsid w:val="008D5198"/>
    <w:rsid w:val="008D5316"/>
    <w:rsid w:val="008D59F2"/>
    <w:rsid w:val="008D5B1D"/>
    <w:rsid w:val="008D6128"/>
    <w:rsid w:val="008D61F9"/>
    <w:rsid w:val="008D6331"/>
    <w:rsid w:val="008D7303"/>
    <w:rsid w:val="008D743C"/>
    <w:rsid w:val="008D75DB"/>
    <w:rsid w:val="008E0039"/>
    <w:rsid w:val="008E05F2"/>
    <w:rsid w:val="008E08A1"/>
    <w:rsid w:val="008E094B"/>
    <w:rsid w:val="008E0D07"/>
    <w:rsid w:val="008E0D3C"/>
    <w:rsid w:val="008E1541"/>
    <w:rsid w:val="008E1B9E"/>
    <w:rsid w:val="008E1D77"/>
    <w:rsid w:val="008E1EB4"/>
    <w:rsid w:val="008E2013"/>
    <w:rsid w:val="008E2D58"/>
    <w:rsid w:val="008E34C6"/>
    <w:rsid w:val="008E3769"/>
    <w:rsid w:val="008E38EC"/>
    <w:rsid w:val="008E3A10"/>
    <w:rsid w:val="008E3A6B"/>
    <w:rsid w:val="008E3E39"/>
    <w:rsid w:val="008E3EB2"/>
    <w:rsid w:val="008E3FB3"/>
    <w:rsid w:val="008E4086"/>
    <w:rsid w:val="008E429A"/>
    <w:rsid w:val="008E42E0"/>
    <w:rsid w:val="008E460A"/>
    <w:rsid w:val="008E47E9"/>
    <w:rsid w:val="008E4941"/>
    <w:rsid w:val="008E499C"/>
    <w:rsid w:val="008E4A8D"/>
    <w:rsid w:val="008E4A8E"/>
    <w:rsid w:val="008E4AF9"/>
    <w:rsid w:val="008E4E5E"/>
    <w:rsid w:val="008E52F1"/>
    <w:rsid w:val="008E52FA"/>
    <w:rsid w:val="008E55AB"/>
    <w:rsid w:val="008E5CC2"/>
    <w:rsid w:val="008E6381"/>
    <w:rsid w:val="008E6C76"/>
    <w:rsid w:val="008E6F50"/>
    <w:rsid w:val="008E7E48"/>
    <w:rsid w:val="008F0889"/>
    <w:rsid w:val="008F0978"/>
    <w:rsid w:val="008F0DD8"/>
    <w:rsid w:val="008F0FCB"/>
    <w:rsid w:val="008F120A"/>
    <w:rsid w:val="008F1C06"/>
    <w:rsid w:val="008F1D60"/>
    <w:rsid w:val="008F22F7"/>
    <w:rsid w:val="008F27E0"/>
    <w:rsid w:val="008F3315"/>
    <w:rsid w:val="008F3751"/>
    <w:rsid w:val="008F3FEC"/>
    <w:rsid w:val="008F41FC"/>
    <w:rsid w:val="008F4210"/>
    <w:rsid w:val="008F4871"/>
    <w:rsid w:val="008F48EB"/>
    <w:rsid w:val="008F4935"/>
    <w:rsid w:val="008F4B81"/>
    <w:rsid w:val="008F4F0B"/>
    <w:rsid w:val="008F5102"/>
    <w:rsid w:val="008F566B"/>
    <w:rsid w:val="008F59B0"/>
    <w:rsid w:val="008F60BD"/>
    <w:rsid w:val="008F677A"/>
    <w:rsid w:val="008F6A0B"/>
    <w:rsid w:val="008F6B59"/>
    <w:rsid w:val="008F6BD3"/>
    <w:rsid w:val="008F6E0E"/>
    <w:rsid w:val="008F7175"/>
    <w:rsid w:val="008F742F"/>
    <w:rsid w:val="008F764D"/>
    <w:rsid w:val="008F77C3"/>
    <w:rsid w:val="008F7CAF"/>
    <w:rsid w:val="00900856"/>
    <w:rsid w:val="00900879"/>
    <w:rsid w:val="009009ED"/>
    <w:rsid w:val="00901376"/>
    <w:rsid w:val="00901421"/>
    <w:rsid w:val="00901442"/>
    <w:rsid w:val="00901BCE"/>
    <w:rsid w:val="00901C76"/>
    <w:rsid w:val="00902027"/>
    <w:rsid w:val="0090251B"/>
    <w:rsid w:val="00902545"/>
    <w:rsid w:val="00902616"/>
    <w:rsid w:val="00902C4F"/>
    <w:rsid w:val="0090350F"/>
    <w:rsid w:val="00903589"/>
    <w:rsid w:val="009035E1"/>
    <w:rsid w:val="00903FA3"/>
    <w:rsid w:val="0090453B"/>
    <w:rsid w:val="009046C4"/>
    <w:rsid w:val="0090471D"/>
    <w:rsid w:val="009047EE"/>
    <w:rsid w:val="009049A1"/>
    <w:rsid w:val="00904D9A"/>
    <w:rsid w:val="00905446"/>
    <w:rsid w:val="009056B5"/>
    <w:rsid w:val="0090579C"/>
    <w:rsid w:val="00905847"/>
    <w:rsid w:val="00905C8F"/>
    <w:rsid w:val="00905E63"/>
    <w:rsid w:val="009062A5"/>
    <w:rsid w:val="00906BE2"/>
    <w:rsid w:val="00906C2A"/>
    <w:rsid w:val="00907699"/>
    <w:rsid w:val="00907C9A"/>
    <w:rsid w:val="00907E23"/>
    <w:rsid w:val="00907F26"/>
    <w:rsid w:val="0091019B"/>
    <w:rsid w:val="009103A5"/>
    <w:rsid w:val="009106E1"/>
    <w:rsid w:val="00910C00"/>
    <w:rsid w:val="00910F85"/>
    <w:rsid w:val="00910FA7"/>
    <w:rsid w:val="00911272"/>
    <w:rsid w:val="00911339"/>
    <w:rsid w:val="009119FE"/>
    <w:rsid w:val="009126A3"/>
    <w:rsid w:val="00912BBA"/>
    <w:rsid w:val="00912DCA"/>
    <w:rsid w:val="009135A0"/>
    <w:rsid w:val="009135BE"/>
    <w:rsid w:val="009135D6"/>
    <w:rsid w:val="00913AD6"/>
    <w:rsid w:val="009143C8"/>
    <w:rsid w:val="00914B4B"/>
    <w:rsid w:val="00914B9A"/>
    <w:rsid w:val="00914C77"/>
    <w:rsid w:val="00915321"/>
    <w:rsid w:val="009153AD"/>
    <w:rsid w:val="00915517"/>
    <w:rsid w:val="00915C9F"/>
    <w:rsid w:val="00915F07"/>
    <w:rsid w:val="00916C2E"/>
    <w:rsid w:val="0091709C"/>
    <w:rsid w:val="0091755C"/>
    <w:rsid w:val="00917657"/>
    <w:rsid w:val="00917BB4"/>
    <w:rsid w:val="00920B52"/>
    <w:rsid w:val="00920DC6"/>
    <w:rsid w:val="00921187"/>
    <w:rsid w:val="0092121A"/>
    <w:rsid w:val="009217B3"/>
    <w:rsid w:val="00921ACB"/>
    <w:rsid w:val="00921D1D"/>
    <w:rsid w:val="0092207A"/>
    <w:rsid w:val="009228DC"/>
    <w:rsid w:val="009229AB"/>
    <w:rsid w:val="00922B5F"/>
    <w:rsid w:val="00922F65"/>
    <w:rsid w:val="00923053"/>
    <w:rsid w:val="00923571"/>
    <w:rsid w:val="00923653"/>
    <w:rsid w:val="0092369B"/>
    <w:rsid w:val="0092376E"/>
    <w:rsid w:val="009237D2"/>
    <w:rsid w:val="0092386D"/>
    <w:rsid w:val="00923C76"/>
    <w:rsid w:val="00923D71"/>
    <w:rsid w:val="00924180"/>
    <w:rsid w:val="009245C6"/>
    <w:rsid w:val="009248B3"/>
    <w:rsid w:val="00924A7E"/>
    <w:rsid w:val="00924F94"/>
    <w:rsid w:val="0092569C"/>
    <w:rsid w:val="00925F06"/>
    <w:rsid w:val="00926320"/>
    <w:rsid w:val="0092683C"/>
    <w:rsid w:val="0092698C"/>
    <w:rsid w:val="00926A8A"/>
    <w:rsid w:val="0092715B"/>
    <w:rsid w:val="00927477"/>
    <w:rsid w:val="009275F3"/>
    <w:rsid w:val="009276B7"/>
    <w:rsid w:val="00927CAC"/>
    <w:rsid w:val="009309CD"/>
    <w:rsid w:val="00930C41"/>
    <w:rsid w:val="00931419"/>
    <w:rsid w:val="00931445"/>
    <w:rsid w:val="009326C3"/>
    <w:rsid w:val="00932BAC"/>
    <w:rsid w:val="00932D70"/>
    <w:rsid w:val="00934988"/>
    <w:rsid w:val="00935BF9"/>
    <w:rsid w:val="00935C67"/>
    <w:rsid w:val="00936B17"/>
    <w:rsid w:val="00936CB4"/>
    <w:rsid w:val="00936E0E"/>
    <w:rsid w:val="00937089"/>
    <w:rsid w:val="00937193"/>
    <w:rsid w:val="00937AF1"/>
    <w:rsid w:val="00937AFD"/>
    <w:rsid w:val="00937E58"/>
    <w:rsid w:val="00937FA8"/>
    <w:rsid w:val="0094026C"/>
    <w:rsid w:val="00940377"/>
    <w:rsid w:val="00940B6E"/>
    <w:rsid w:val="00940CC6"/>
    <w:rsid w:val="00940F52"/>
    <w:rsid w:val="009410DB"/>
    <w:rsid w:val="0094184C"/>
    <w:rsid w:val="00941F65"/>
    <w:rsid w:val="00942188"/>
    <w:rsid w:val="009422BC"/>
    <w:rsid w:val="009423CB"/>
    <w:rsid w:val="00942A8B"/>
    <w:rsid w:val="00942C6F"/>
    <w:rsid w:val="00942E16"/>
    <w:rsid w:val="00943233"/>
    <w:rsid w:val="00944291"/>
    <w:rsid w:val="00944F8A"/>
    <w:rsid w:val="00945519"/>
    <w:rsid w:val="00945ACB"/>
    <w:rsid w:val="0094672B"/>
    <w:rsid w:val="00946C94"/>
    <w:rsid w:val="00946F3D"/>
    <w:rsid w:val="009472D2"/>
    <w:rsid w:val="009473EA"/>
    <w:rsid w:val="00947495"/>
    <w:rsid w:val="00947DB6"/>
    <w:rsid w:val="009502FD"/>
    <w:rsid w:val="0095059B"/>
    <w:rsid w:val="00950B34"/>
    <w:rsid w:val="00950EB3"/>
    <w:rsid w:val="0095100E"/>
    <w:rsid w:val="009510A2"/>
    <w:rsid w:val="00951DC2"/>
    <w:rsid w:val="00951E29"/>
    <w:rsid w:val="00953257"/>
    <w:rsid w:val="009534CB"/>
    <w:rsid w:val="009537F1"/>
    <w:rsid w:val="009538AE"/>
    <w:rsid w:val="00953944"/>
    <w:rsid w:val="00953C70"/>
    <w:rsid w:val="00953D95"/>
    <w:rsid w:val="00953F2F"/>
    <w:rsid w:val="00953FC7"/>
    <w:rsid w:val="0095474C"/>
    <w:rsid w:val="009549FB"/>
    <w:rsid w:val="00954B01"/>
    <w:rsid w:val="00954B5D"/>
    <w:rsid w:val="00954F16"/>
    <w:rsid w:val="0095539E"/>
    <w:rsid w:val="009559FA"/>
    <w:rsid w:val="00956043"/>
    <w:rsid w:val="0095632B"/>
    <w:rsid w:val="00956440"/>
    <w:rsid w:val="00956D66"/>
    <w:rsid w:val="00956FE5"/>
    <w:rsid w:val="009572C8"/>
    <w:rsid w:val="00957376"/>
    <w:rsid w:val="00957D92"/>
    <w:rsid w:val="00957D96"/>
    <w:rsid w:val="00960453"/>
    <w:rsid w:val="00960890"/>
    <w:rsid w:val="009608DB"/>
    <w:rsid w:val="009609F5"/>
    <w:rsid w:val="00960B7F"/>
    <w:rsid w:val="00960C58"/>
    <w:rsid w:val="009611AF"/>
    <w:rsid w:val="00961386"/>
    <w:rsid w:val="009615E8"/>
    <w:rsid w:val="00961664"/>
    <w:rsid w:val="009616EF"/>
    <w:rsid w:val="00961ADE"/>
    <w:rsid w:val="00962CB9"/>
    <w:rsid w:val="00962DA4"/>
    <w:rsid w:val="00962DA5"/>
    <w:rsid w:val="00963399"/>
    <w:rsid w:val="009633F2"/>
    <w:rsid w:val="00963F1E"/>
    <w:rsid w:val="009640DB"/>
    <w:rsid w:val="00964312"/>
    <w:rsid w:val="00964889"/>
    <w:rsid w:val="00965163"/>
    <w:rsid w:val="009651F0"/>
    <w:rsid w:val="009654AE"/>
    <w:rsid w:val="0096572B"/>
    <w:rsid w:val="00965A4F"/>
    <w:rsid w:val="00965B8A"/>
    <w:rsid w:val="00965C68"/>
    <w:rsid w:val="00965EB4"/>
    <w:rsid w:val="00966175"/>
    <w:rsid w:val="0096770F"/>
    <w:rsid w:val="0096790A"/>
    <w:rsid w:val="00967F2F"/>
    <w:rsid w:val="009702FB"/>
    <w:rsid w:val="009703BA"/>
    <w:rsid w:val="0097071F"/>
    <w:rsid w:val="00970784"/>
    <w:rsid w:val="00970969"/>
    <w:rsid w:val="009710B5"/>
    <w:rsid w:val="009712FA"/>
    <w:rsid w:val="009717AC"/>
    <w:rsid w:val="00971836"/>
    <w:rsid w:val="009718DF"/>
    <w:rsid w:val="00971CC9"/>
    <w:rsid w:val="00971EDA"/>
    <w:rsid w:val="00971F59"/>
    <w:rsid w:val="00972047"/>
    <w:rsid w:val="00972716"/>
    <w:rsid w:val="00972731"/>
    <w:rsid w:val="009727C9"/>
    <w:rsid w:val="00972F4B"/>
    <w:rsid w:val="00973651"/>
    <w:rsid w:val="00973C71"/>
    <w:rsid w:val="00973D29"/>
    <w:rsid w:val="00974110"/>
    <w:rsid w:val="00974253"/>
    <w:rsid w:val="00974405"/>
    <w:rsid w:val="009745DA"/>
    <w:rsid w:val="009746B3"/>
    <w:rsid w:val="00974D24"/>
    <w:rsid w:val="00975016"/>
    <w:rsid w:val="00975087"/>
    <w:rsid w:val="009751C1"/>
    <w:rsid w:val="00975CE4"/>
    <w:rsid w:val="00975FD7"/>
    <w:rsid w:val="0097702A"/>
    <w:rsid w:val="00977109"/>
    <w:rsid w:val="0097755E"/>
    <w:rsid w:val="00977695"/>
    <w:rsid w:val="0098015B"/>
    <w:rsid w:val="00980A77"/>
    <w:rsid w:val="00980CF9"/>
    <w:rsid w:val="009811F1"/>
    <w:rsid w:val="00981360"/>
    <w:rsid w:val="0098185F"/>
    <w:rsid w:val="00981C67"/>
    <w:rsid w:val="00981F55"/>
    <w:rsid w:val="009822A9"/>
    <w:rsid w:val="0098262F"/>
    <w:rsid w:val="00982994"/>
    <w:rsid w:val="009829D5"/>
    <w:rsid w:val="009829D7"/>
    <w:rsid w:val="00982B1C"/>
    <w:rsid w:val="00983424"/>
    <w:rsid w:val="00983AE8"/>
    <w:rsid w:val="00983C26"/>
    <w:rsid w:val="00983E57"/>
    <w:rsid w:val="00983FE0"/>
    <w:rsid w:val="0098438B"/>
    <w:rsid w:val="009844D6"/>
    <w:rsid w:val="00984BD2"/>
    <w:rsid w:val="00985DE2"/>
    <w:rsid w:val="00985DF6"/>
    <w:rsid w:val="00985E82"/>
    <w:rsid w:val="00985F2B"/>
    <w:rsid w:val="009864C2"/>
    <w:rsid w:val="0098675D"/>
    <w:rsid w:val="00986825"/>
    <w:rsid w:val="00986932"/>
    <w:rsid w:val="00986CE8"/>
    <w:rsid w:val="00986EA8"/>
    <w:rsid w:val="00986F44"/>
    <w:rsid w:val="009870C9"/>
    <w:rsid w:val="00987A15"/>
    <w:rsid w:val="00987BA4"/>
    <w:rsid w:val="00987EA3"/>
    <w:rsid w:val="00990D5C"/>
    <w:rsid w:val="0099101E"/>
    <w:rsid w:val="009913B9"/>
    <w:rsid w:val="009918B9"/>
    <w:rsid w:val="00991C82"/>
    <w:rsid w:val="00991DF4"/>
    <w:rsid w:val="009920BA"/>
    <w:rsid w:val="009923A3"/>
    <w:rsid w:val="009923F8"/>
    <w:rsid w:val="00992460"/>
    <w:rsid w:val="009926E0"/>
    <w:rsid w:val="00992AA1"/>
    <w:rsid w:val="00993316"/>
    <w:rsid w:val="009933D9"/>
    <w:rsid w:val="00993436"/>
    <w:rsid w:val="00993B5E"/>
    <w:rsid w:val="00993C2E"/>
    <w:rsid w:val="00993FE8"/>
    <w:rsid w:val="0099440E"/>
    <w:rsid w:val="0099451E"/>
    <w:rsid w:val="00995606"/>
    <w:rsid w:val="00995BFB"/>
    <w:rsid w:val="0099644A"/>
    <w:rsid w:val="0099685D"/>
    <w:rsid w:val="00996ADE"/>
    <w:rsid w:val="00996B1A"/>
    <w:rsid w:val="00996CC7"/>
    <w:rsid w:val="00997313"/>
    <w:rsid w:val="0099743E"/>
    <w:rsid w:val="00997561"/>
    <w:rsid w:val="009976C3"/>
    <w:rsid w:val="009A0106"/>
    <w:rsid w:val="009A02FB"/>
    <w:rsid w:val="009A05B2"/>
    <w:rsid w:val="009A082E"/>
    <w:rsid w:val="009A0910"/>
    <w:rsid w:val="009A0C13"/>
    <w:rsid w:val="009A1148"/>
    <w:rsid w:val="009A1597"/>
    <w:rsid w:val="009A1661"/>
    <w:rsid w:val="009A18F6"/>
    <w:rsid w:val="009A193B"/>
    <w:rsid w:val="009A1BE4"/>
    <w:rsid w:val="009A1F45"/>
    <w:rsid w:val="009A1F9A"/>
    <w:rsid w:val="009A2032"/>
    <w:rsid w:val="009A2092"/>
    <w:rsid w:val="009A22FD"/>
    <w:rsid w:val="009A2DCC"/>
    <w:rsid w:val="009A2F65"/>
    <w:rsid w:val="009A2F6B"/>
    <w:rsid w:val="009A31CE"/>
    <w:rsid w:val="009A4252"/>
    <w:rsid w:val="009A4CDC"/>
    <w:rsid w:val="009A505A"/>
    <w:rsid w:val="009A52F9"/>
    <w:rsid w:val="009A5637"/>
    <w:rsid w:val="009A5892"/>
    <w:rsid w:val="009A5ABC"/>
    <w:rsid w:val="009A62EC"/>
    <w:rsid w:val="009A6391"/>
    <w:rsid w:val="009A687C"/>
    <w:rsid w:val="009A6972"/>
    <w:rsid w:val="009A7F10"/>
    <w:rsid w:val="009B0170"/>
    <w:rsid w:val="009B0421"/>
    <w:rsid w:val="009B0F1C"/>
    <w:rsid w:val="009B1224"/>
    <w:rsid w:val="009B157D"/>
    <w:rsid w:val="009B16E0"/>
    <w:rsid w:val="009B1724"/>
    <w:rsid w:val="009B1C4B"/>
    <w:rsid w:val="009B3791"/>
    <w:rsid w:val="009B3924"/>
    <w:rsid w:val="009B3E26"/>
    <w:rsid w:val="009B42EF"/>
    <w:rsid w:val="009B4441"/>
    <w:rsid w:val="009B4885"/>
    <w:rsid w:val="009B4D55"/>
    <w:rsid w:val="009B4FB9"/>
    <w:rsid w:val="009B521F"/>
    <w:rsid w:val="009B5480"/>
    <w:rsid w:val="009B5558"/>
    <w:rsid w:val="009B5BEB"/>
    <w:rsid w:val="009B5DE0"/>
    <w:rsid w:val="009B6A5C"/>
    <w:rsid w:val="009B6D47"/>
    <w:rsid w:val="009B6F33"/>
    <w:rsid w:val="009C1271"/>
    <w:rsid w:val="009C14BD"/>
    <w:rsid w:val="009C1B22"/>
    <w:rsid w:val="009C1F82"/>
    <w:rsid w:val="009C22F8"/>
    <w:rsid w:val="009C2862"/>
    <w:rsid w:val="009C2BF4"/>
    <w:rsid w:val="009C2CF8"/>
    <w:rsid w:val="009C323F"/>
    <w:rsid w:val="009C3706"/>
    <w:rsid w:val="009C384C"/>
    <w:rsid w:val="009C3A3A"/>
    <w:rsid w:val="009C3E27"/>
    <w:rsid w:val="009C404C"/>
    <w:rsid w:val="009C41F4"/>
    <w:rsid w:val="009C426B"/>
    <w:rsid w:val="009C443D"/>
    <w:rsid w:val="009C4A9E"/>
    <w:rsid w:val="009C5392"/>
    <w:rsid w:val="009C551C"/>
    <w:rsid w:val="009C563A"/>
    <w:rsid w:val="009C5ECF"/>
    <w:rsid w:val="009C61B6"/>
    <w:rsid w:val="009C6CEA"/>
    <w:rsid w:val="009C6F31"/>
    <w:rsid w:val="009C6F64"/>
    <w:rsid w:val="009C74FC"/>
    <w:rsid w:val="009C782D"/>
    <w:rsid w:val="009C7B85"/>
    <w:rsid w:val="009C7C1F"/>
    <w:rsid w:val="009D0254"/>
    <w:rsid w:val="009D0AC6"/>
    <w:rsid w:val="009D12D4"/>
    <w:rsid w:val="009D16A7"/>
    <w:rsid w:val="009D170E"/>
    <w:rsid w:val="009D1937"/>
    <w:rsid w:val="009D1A64"/>
    <w:rsid w:val="009D1F1D"/>
    <w:rsid w:val="009D2239"/>
    <w:rsid w:val="009D251A"/>
    <w:rsid w:val="009D2822"/>
    <w:rsid w:val="009D2912"/>
    <w:rsid w:val="009D2BB2"/>
    <w:rsid w:val="009D2CC4"/>
    <w:rsid w:val="009D323D"/>
    <w:rsid w:val="009D3B27"/>
    <w:rsid w:val="009D3EEB"/>
    <w:rsid w:val="009D3F45"/>
    <w:rsid w:val="009D47AF"/>
    <w:rsid w:val="009D5A1B"/>
    <w:rsid w:val="009D5B91"/>
    <w:rsid w:val="009D6819"/>
    <w:rsid w:val="009D70A0"/>
    <w:rsid w:val="009D7230"/>
    <w:rsid w:val="009D75E8"/>
    <w:rsid w:val="009D792E"/>
    <w:rsid w:val="009D7A9F"/>
    <w:rsid w:val="009D7C5A"/>
    <w:rsid w:val="009E02CC"/>
    <w:rsid w:val="009E0DFE"/>
    <w:rsid w:val="009E15D6"/>
    <w:rsid w:val="009E18B5"/>
    <w:rsid w:val="009E1DFD"/>
    <w:rsid w:val="009E1E9C"/>
    <w:rsid w:val="009E23AF"/>
    <w:rsid w:val="009E2884"/>
    <w:rsid w:val="009E31F6"/>
    <w:rsid w:val="009E37FA"/>
    <w:rsid w:val="009E3FAB"/>
    <w:rsid w:val="009E4123"/>
    <w:rsid w:val="009E4269"/>
    <w:rsid w:val="009E4374"/>
    <w:rsid w:val="009E439A"/>
    <w:rsid w:val="009E45C6"/>
    <w:rsid w:val="009E4BE9"/>
    <w:rsid w:val="009E4C07"/>
    <w:rsid w:val="009E4F3E"/>
    <w:rsid w:val="009E532A"/>
    <w:rsid w:val="009E53BC"/>
    <w:rsid w:val="009E546F"/>
    <w:rsid w:val="009E5606"/>
    <w:rsid w:val="009E596F"/>
    <w:rsid w:val="009E6673"/>
    <w:rsid w:val="009E69C5"/>
    <w:rsid w:val="009E6DED"/>
    <w:rsid w:val="009E6F07"/>
    <w:rsid w:val="009E6FAA"/>
    <w:rsid w:val="009E7278"/>
    <w:rsid w:val="009E72C0"/>
    <w:rsid w:val="009E777F"/>
    <w:rsid w:val="009E78C4"/>
    <w:rsid w:val="009E7C71"/>
    <w:rsid w:val="009E7C92"/>
    <w:rsid w:val="009E7FA3"/>
    <w:rsid w:val="009F08F8"/>
    <w:rsid w:val="009F0AAF"/>
    <w:rsid w:val="009F0D49"/>
    <w:rsid w:val="009F10A5"/>
    <w:rsid w:val="009F1B5F"/>
    <w:rsid w:val="009F29DD"/>
    <w:rsid w:val="009F30BF"/>
    <w:rsid w:val="009F3367"/>
    <w:rsid w:val="009F3928"/>
    <w:rsid w:val="009F3E4B"/>
    <w:rsid w:val="009F4830"/>
    <w:rsid w:val="009F4A88"/>
    <w:rsid w:val="009F4C14"/>
    <w:rsid w:val="009F4FAB"/>
    <w:rsid w:val="009F5050"/>
    <w:rsid w:val="009F5148"/>
    <w:rsid w:val="009F5CCC"/>
    <w:rsid w:val="009F5E53"/>
    <w:rsid w:val="009F60A0"/>
    <w:rsid w:val="009F6120"/>
    <w:rsid w:val="009F675E"/>
    <w:rsid w:val="009F6F81"/>
    <w:rsid w:val="009F716F"/>
    <w:rsid w:val="009F7180"/>
    <w:rsid w:val="009F7371"/>
    <w:rsid w:val="00A0009F"/>
    <w:rsid w:val="00A00452"/>
    <w:rsid w:val="00A00BC4"/>
    <w:rsid w:val="00A00D07"/>
    <w:rsid w:val="00A00D76"/>
    <w:rsid w:val="00A00FCB"/>
    <w:rsid w:val="00A01184"/>
    <w:rsid w:val="00A0143F"/>
    <w:rsid w:val="00A01449"/>
    <w:rsid w:val="00A01600"/>
    <w:rsid w:val="00A01901"/>
    <w:rsid w:val="00A02D51"/>
    <w:rsid w:val="00A03007"/>
    <w:rsid w:val="00A033C1"/>
    <w:rsid w:val="00A036A9"/>
    <w:rsid w:val="00A037C2"/>
    <w:rsid w:val="00A0392A"/>
    <w:rsid w:val="00A03C98"/>
    <w:rsid w:val="00A03D1B"/>
    <w:rsid w:val="00A03D43"/>
    <w:rsid w:val="00A04380"/>
    <w:rsid w:val="00A04447"/>
    <w:rsid w:val="00A044C0"/>
    <w:rsid w:val="00A04786"/>
    <w:rsid w:val="00A05472"/>
    <w:rsid w:val="00A054D7"/>
    <w:rsid w:val="00A05812"/>
    <w:rsid w:val="00A05C32"/>
    <w:rsid w:val="00A05E47"/>
    <w:rsid w:val="00A05E5E"/>
    <w:rsid w:val="00A05FDA"/>
    <w:rsid w:val="00A0617A"/>
    <w:rsid w:val="00A0625E"/>
    <w:rsid w:val="00A0629F"/>
    <w:rsid w:val="00A062EC"/>
    <w:rsid w:val="00A06497"/>
    <w:rsid w:val="00A0653F"/>
    <w:rsid w:val="00A068B7"/>
    <w:rsid w:val="00A06BB7"/>
    <w:rsid w:val="00A06FB7"/>
    <w:rsid w:val="00A0738D"/>
    <w:rsid w:val="00A076E4"/>
    <w:rsid w:val="00A077D7"/>
    <w:rsid w:val="00A10148"/>
    <w:rsid w:val="00A1113C"/>
    <w:rsid w:val="00A111FA"/>
    <w:rsid w:val="00A1153F"/>
    <w:rsid w:val="00A117B3"/>
    <w:rsid w:val="00A11CD0"/>
    <w:rsid w:val="00A11D1C"/>
    <w:rsid w:val="00A124A2"/>
    <w:rsid w:val="00A12616"/>
    <w:rsid w:val="00A126DC"/>
    <w:rsid w:val="00A12B48"/>
    <w:rsid w:val="00A12BC9"/>
    <w:rsid w:val="00A1309B"/>
    <w:rsid w:val="00A135A0"/>
    <w:rsid w:val="00A13837"/>
    <w:rsid w:val="00A13948"/>
    <w:rsid w:val="00A142E1"/>
    <w:rsid w:val="00A14332"/>
    <w:rsid w:val="00A14340"/>
    <w:rsid w:val="00A14B85"/>
    <w:rsid w:val="00A14C45"/>
    <w:rsid w:val="00A14CAB"/>
    <w:rsid w:val="00A153A0"/>
    <w:rsid w:val="00A1555B"/>
    <w:rsid w:val="00A155C5"/>
    <w:rsid w:val="00A1560F"/>
    <w:rsid w:val="00A15D39"/>
    <w:rsid w:val="00A15ECE"/>
    <w:rsid w:val="00A1608B"/>
    <w:rsid w:val="00A16606"/>
    <w:rsid w:val="00A16950"/>
    <w:rsid w:val="00A16AD8"/>
    <w:rsid w:val="00A16EB4"/>
    <w:rsid w:val="00A17B4D"/>
    <w:rsid w:val="00A17D7D"/>
    <w:rsid w:val="00A2016B"/>
    <w:rsid w:val="00A2021E"/>
    <w:rsid w:val="00A20619"/>
    <w:rsid w:val="00A206D0"/>
    <w:rsid w:val="00A20F13"/>
    <w:rsid w:val="00A213A5"/>
    <w:rsid w:val="00A21434"/>
    <w:rsid w:val="00A21952"/>
    <w:rsid w:val="00A21C95"/>
    <w:rsid w:val="00A21CF3"/>
    <w:rsid w:val="00A22347"/>
    <w:rsid w:val="00A22533"/>
    <w:rsid w:val="00A2330D"/>
    <w:rsid w:val="00A236E1"/>
    <w:rsid w:val="00A23C75"/>
    <w:rsid w:val="00A240AE"/>
    <w:rsid w:val="00A243C4"/>
    <w:rsid w:val="00A24481"/>
    <w:rsid w:val="00A24813"/>
    <w:rsid w:val="00A24BB1"/>
    <w:rsid w:val="00A24F5E"/>
    <w:rsid w:val="00A2511B"/>
    <w:rsid w:val="00A251A6"/>
    <w:rsid w:val="00A2673D"/>
    <w:rsid w:val="00A2699B"/>
    <w:rsid w:val="00A26E19"/>
    <w:rsid w:val="00A26FFE"/>
    <w:rsid w:val="00A27309"/>
    <w:rsid w:val="00A27AEC"/>
    <w:rsid w:val="00A27B43"/>
    <w:rsid w:val="00A27CB1"/>
    <w:rsid w:val="00A27DD9"/>
    <w:rsid w:val="00A301E4"/>
    <w:rsid w:val="00A30567"/>
    <w:rsid w:val="00A30AD1"/>
    <w:rsid w:val="00A31096"/>
    <w:rsid w:val="00A314D2"/>
    <w:rsid w:val="00A31740"/>
    <w:rsid w:val="00A31791"/>
    <w:rsid w:val="00A320DB"/>
    <w:rsid w:val="00A322A5"/>
    <w:rsid w:val="00A32339"/>
    <w:rsid w:val="00A3293B"/>
    <w:rsid w:val="00A33121"/>
    <w:rsid w:val="00A33A96"/>
    <w:rsid w:val="00A33AAC"/>
    <w:rsid w:val="00A33AB4"/>
    <w:rsid w:val="00A347C9"/>
    <w:rsid w:val="00A34C43"/>
    <w:rsid w:val="00A353F1"/>
    <w:rsid w:val="00A3543E"/>
    <w:rsid w:val="00A355EF"/>
    <w:rsid w:val="00A35669"/>
    <w:rsid w:val="00A358F6"/>
    <w:rsid w:val="00A35B23"/>
    <w:rsid w:val="00A35D16"/>
    <w:rsid w:val="00A3692D"/>
    <w:rsid w:val="00A3736D"/>
    <w:rsid w:val="00A37704"/>
    <w:rsid w:val="00A37789"/>
    <w:rsid w:val="00A37BCD"/>
    <w:rsid w:val="00A37D4D"/>
    <w:rsid w:val="00A37D7B"/>
    <w:rsid w:val="00A40B1C"/>
    <w:rsid w:val="00A4101F"/>
    <w:rsid w:val="00A41689"/>
    <w:rsid w:val="00A41BC1"/>
    <w:rsid w:val="00A41D25"/>
    <w:rsid w:val="00A41D56"/>
    <w:rsid w:val="00A42066"/>
    <w:rsid w:val="00A42088"/>
    <w:rsid w:val="00A422AA"/>
    <w:rsid w:val="00A42481"/>
    <w:rsid w:val="00A42592"/>
    <w:rsid w:val="00A425A7"/>
    <w:rsid w:val="00A4263D"/>
    <w:rsid w:val="00A42D17"/>
    <w:rsid w:val="00A42DB7"/>
    <w:rsid w:val="00A42EDF"/>
    <w:rsid w:val="00A42FF2"/>
    <w:rsid w:val="00A43507"/>
    <w:rsid w:val="00A43C25"/>
    <w:rsid w:val="00A43C59"/>
    <w:rsid w:val="00A440CE"/>
    <w:rsid w:val="00A4509F"/>
    <w:rsid w:val="00A451F7"/>
    <w:rsid w:val="00A4527E"/>
    <w:rsid w:val="00A4529D"/>
    <w:rsid w:val="00A45C4E"/>
    <w:rsid w:val="00A45EF5"/>
    <w:rsid w:val="00A45FC4"/>
    <w:rsid w:val="00A461AF"/>
    <w:rsid w:val="00A46487"/>
    <w:rsid w:val="00A466CD"/>
    <w:rsid w:val="00A46763"/>
    <w:rsid w:val="00A469DA"/>
    <w:rsid w:val="00A46A2C"/>
    <w:rsid w:val="00A46AA8"/>
    <w:rsid w:val="00A46EBB"/>
    <w:rsid w:val="00A4722D"/>
    <w:rsid w:val="00A474D1"/>
    <w:rsid w:val="00A47679"/>
    <w:rsid w:val="00A47C2A"/>
    <w:rsid w:val="00A47E33"/>
    <w:rsid w:val="00A50521"/>
    <w:rsid w:val="00A50ECD"/>
    <w:rsid w:val="00A51466"/>
    <w:rsid w:val="00A518F3"/>
    <w:rsid w:val="00A524A7"/>
    <w:rsid w:val="00A52729"/>
    <w:rsid w:val="00A52A63"/>
    <w:rsid w:val="00A52D6D"/>
    <w:rsid w:val="00A5336B"/>
    <w:rsid w:val="00A534AA"/>
    <w:rsid w:val="00A53675"/>
    <w:rsid w:val="00A53B91"/>
    <w:rsid w:val="00A53BC9"/>
    <w:rsid w:val="00A548D7"/>
    <w:rsid w:val="00A549EA"/>
    <w:rsid w:val="00A5549C"/>
    <w:rsid w:val="00A554A2"/>
    <w:rsid w:val="00A554DF"/>
    <w:rsid w:val="00A5567D"/>
    <w:rsid w:val="00A559B4"/>
    <w:rsid w:val="00A55B8D"/>
    <w:rsid w:val="00A55CAD"/>
    <w:rsid w:val="00A56136"/>
    <w:rsid w:val="00A561B9"/>
    <w:rsid w:val="00A56420"/>
    <w:rsid w:val="00A564D7"/>
    <w:rsid w:val="00A56508"/>
    <w:rsid w:val="00A56537"/>
    <w:rsid w:val="00A56B6A"/>
    <w:rsid w:val="00A56E36"/>
    <w:rsid w:val="00A570D3"/>
    <w:rsid w:val="00A571D1"/>
    <w:rsid w:val="00A57328"/>
    <w:rsid w:val="00A5744C"/>
    <w:rsid w:val="00A5746B"/>
    <w:rsid w:val="00A578DC"/>
    <w:rsid w:val="00A57E30"/>
    <w:rsid w:val="00A57F28"/>
    <w:rsid w:val="00A60751"/>
    <w:rsid w:val="00A6077B"/>
    <w:rsid w:val="00A607BE"/>
    <w:rsid w:val="00A60F77"/>
    <w:rsid w:val="00A61430"/>
    <w:rsid w:val="00A617F8"/>
    <w:rsid w:val="00A61CA0"/>
    <w:rsid w:val="00A61CB7"/>
    <w:rsid w:val="00A622A3"/>
    <w:rsid w:val="00A62803"/>
    <w:rsid w:val="00A629C1"/>
    <w:rsid w:val="00A62A32"/>
    <w:rsid w:val="00A62B53"/>
    <w:rsid w:val="00A62F44"/>
    <w:rsid w:val="00A630B6"/>
    <w:rsid w:val="00A63894"/>
    <w:rsid w:val="00A63A78"/>
    <w:rsid w:val="00A63B6C"/>
    <w:rsid w:val="00A63D51"/>
    <w:rsid w:val="00A640E2"/>
    <w:rsid w:val="00A64D65"/>
    <w:rsid w:val="00A64E0E"/>
    <w:rsid w:val="00A651D4"/>
    <w:rsid w:val="00A65291"/>
    <w:rsid w:val="00A661B1"/>
    <w:rsid w:val="00A66361"/>
    <w:rsid w:val="00A664F9"/>
    <w:rsid w:val="00A66D04"/>
    <w:rsid w:val="00A66F65"/>
    <w:rsid w:val="00A670FE"/>
    <w:rsid w:val="00A6725B"/>
    <w:rsid w:val="00A67931"/>
    <w:rsid w:val="00A67C09"/>
    <w:rsid w:val="00A70288"/>
    <w:rsid w:val="00A705AC"/>
    <w:rsid w:val="00A70605"/>
    <w:rsid w:val="00A70B52"/>
    <w:rsid w:val="00A70D1E"/>
    <w:rsid w:val="00A7193B"/>
    <w:rsid w:val="00A71A94"/>
    <w:rsid w:val="00A71F5B"/>
    <w:rsid w:val="00A7262E"/>
    <w:rsid w:val="00A727F6"/>
    <w:rsid w:val="00A73134"/>
    <w:rsid w:val="00A7365A"/>
    <w:rsid w:val="00A737E1"/>
    <w:rsid w:val="00A73A50"/>
    <w:rsid w:val="00A73B4D"/>
    <w:rsid w:val="00A73C6A"/>
    <w:rsid w:val="00A74418"/>
    <w:rsid w:val="00A74970"/>
    <w:rsid w:val="00A74E3F"/>
    <w:rsid w:val="00A74E48"/>
    <w:rsid w:val="00A74FC6"/>
    <w:rsid w:val="00A74FFC"/>
    <w:rsid w:val="00A7507F"/>
    <w:rsid w:val="00A75F66"/>
    <w:rsid w:val="00A76001"/>
    <w:rsid w:val="00A762D3"/>
    <w:rsid w:val="00A768BE"/>
    <w:rsid w:val="00A76BE8"/>
    <w:rsid w:val="00A76C37"/>
    <w:rsid w:val="00A76CE9"/>
    <w:rsid w:val="00A777B2"/>
    <w:rsid w:val="00A7790F"/>
    <w:rsid w:val="00A77A25"/>
    <w:rsid w:val="00A77A81"/>
    <w:rsid w:val="00A80291"/>
    <w:rsid w:val="00A802E7"/>
    <w:rsid w:val="00A80AB6"/>
    <w:rsid w:val="00A80BE8"/>
    <w:rsid w:val="00A81072"/>
    <w:rsid w:val="00A8133A"/>
    <w:rsid w:val="00A8155C"/>
    <w:rsid w:val="00A81581"/>
    <w:rsid w:val="00A8177E"/>
    <w:rsid w:val="00A81B68"/>
    <w:rsid w:val="00A81C3D"/>
    <w:rsid w:val="00A81C7A"/>
    <w:rsid w:val="00A8233A"/>
    <w:rsid w:val="00A825D4"/>
    <w:rsid w:val="00A828F6"/>
    <w:rsid w:val="00A82B73"/>
    <w:rsid w:val="00A82C6E"/>
    <w:rsid w:val="00A82ED9"/>
    <w:rsid w:val="00A8350E"/>
    <w:rsid w:val="00A83E42"/>
    <w:rsid w:val="00A83E71"/>
    <w:rsid w:val="00A84042"/>
    <w:rsid w:val="00A844B8"/>
    <w:rsid w:val="00A84812"/>
    <w:rsid w:val="00A84C82"/>
    <w:rsid w:val="00A84D9F"/>
    <w:rsid w:val="00A8520E"/>
    <w:rsid w:val="00A8526F"/>
    <w:rsid w:val="00A85426"/>
    <w:rsid w:val="00A85552"/>
    <w:rsid w:val="00A85721"/>
    <w:rsid w:val="00A85A51"/>
    <w:rsid w:val="00A85CBF"/>
    <w:rsid w:val="00A85F3E"/>
    <w:rsid w:val="00A866A3"/>
    <w:rsid w:val="00A86BD1"/>
    <w:rsid w:val="00A86C2A"/>
    <w:rsid w:val="00A86E8B"/>
    <w:rsid w:val="00A87055"/>
    <w:rsid w:val="00A87164"/>
    <w:rsid w:val="00A871A9"/>
    <w:rsid w:val="00A879FF"/>
    <w:rsid w:val="00A87BDD"/>
    <w:rsid w:val="00A87C4C"/>
    <w:rsid w:val="00A87D49"/>
    <w:rsid w:val="00A87EFC"/>
    <w:rsid w:val="00A909C3"/>
    <w:rsid w:val="00A91311"/>
    <w:rsid w:val="00A915B1"/>
    <w:rsid w:val="00A91841"/>
    <w:rsid w:val="00A922AA"/>
    <w:rsid w:val="00A92805"/>
    <w:rsid w:val="00A92A34"/>
    <w:rsid w:val="00A92FD8"/>
    <w:rsid w:val="00A93036"/>
    <w:rsid w:val="00A93072"/>
    <w:rsid w:val="00A938BD"/>
    <w:rsid w:val="00A93953"/>
    <w:rsid w:val="00A93A16"/>
    <w:rsid w:val="00A93B20"/>
    <w:rsid w:val="00A93C31"/>
    <w:rsid w:val="00A940DF"/>
    <w:rsid w:val="00A942C3"/>
    <w:rsid w:val="00A949A8"/>
    <w:rsid w:val="00A94A03"/>
    <w:rsid w:val="00A94C17"/>
    <w:rsid w:val="00A94C75"/>
    <w:rsid w:val="00A94CE2"/>
    <w:rsid w:val="00A952AF"/>
    <w:rsid w:val="00A956C2"/>
    <w:rsid w:val="00A959D8"/>
    <w:rsid w:val="00A95BAC"/>
    <w:rsid w:val="00A964E6"/>
    <w:rsid w:val="00A96552"/>
    <w:rsid w:val="00A96A23"/>
    <w:rsid w:val="00A96A30"/>
    <w:rsid w:val="00A96F6E"/>
    <w:rsid w:val="00A97396"/>
    <w:rsid w:val="00A97412"/>
    <w:rsid w:val="00A978BB"/>
    <w:rsid w:val="00AA0865"/>
    <w:rsid w:val="00AA0D46"/>
    <w:rsid w:val="00AA0E62"/>
    <w:rsid w:val="00AA0F79"/>
    <w:rsid w:val="00AA113D"/>
    <w:rsid w:val="00AA137E"/>
    <w:rsid w:val="00AA16C7"/>
    <w:rsid w:val="00AA17A0"/>
    <w:rsid w:val="00AA1BB3"/>
    <w:rsid w:val="00AA2208"/>
    <w:rsid w:val="00AA2ECB"/>
    <w:rsid w:val="00AA380A"/>
    <w:rsid w:val="00AA4673"/>
    <w:rsid w:val="00AA484C"/>
    <w:rsid w:val="00AA5886"/>
    <w:rsid w:val="00AA6BD5"/>
    <w:rsid w:val="00AA6BD8"/>
    <w:rsid w:val="00AA6C7D"/>
    <w:rsid w:val="00AA701D"/>
    <w:rsid w:val="00AA7BBC"/>
    <w:rsid w:val="00AA7FBF"/>
    <w:rsid w:val="00AA7FD6"/>
    <w:rsid w:val="00AB02E6"/>
    <w:rsid w:val="00AB042A"/>
    <w:rsid w:val="00AB045C"/>
    <w:rsid w:val="00AB0534"/>
    <w:rsid w:val="00AB05AB"/>
    <w:rsid w:val="00AB0A63"/>
    <w:rsid w:val="00AB0A8C"/>
    <w:rsid w:val="00AB11AD"/>
    <w:rsid w:val="00AB19EF"/>
    <w:rsid w:val="00AB1A8D"/>
    <w:rsid w:val="00AB2495"/>
    <w:rsid w:val="00AB25DD"/>
    <w:rsid w:val="00AB2BB5"/>
    <w:rsid w:val="00AB2D34"/>
    <w:rsid w:val="00AB318A"/>
    <w:rsid w:val="00AB3238"/>
    <w:rsid w:val="00AB3430"/>
    <w:rsid w:val="00AB37B9"/>
    <w:rsid w:val="00AB391B"/>
    <w:rsid w:val="00AB3925"/>
    <w:rsid w:val="00AB409F"/>
    <w:rsid w:val="00AB4259"/>
    <w:rsid w:val="00AB4AD1"/>
    <w:rsid w:val="00AB5317"/>
    <w:rsid w:val="00AB53CD"/>
    <w:rsid w:val="00AB5531"/>
    <w:rsid w:val="00AB55C2"/>
    <w:rsid w:val="00AB56AA"/>
    <w:rsid w:val="00AB57AB"/>
    <w:rsid w:val="00AB5B9F"/>
    <w:rsid w:val="00AB5BE4"/>
    <w:rsid w:val="00AB5E07"/>
    <w:rsid w:val="00AB6449"/>
    <w:rsid w:val="00AB64AB"/>
    <w:rsid w:val="00AB6513"/>
    <w:rsid w:val="00AB7965"/>
    <w:rsid w:val="00AB7BF7"/>
    <w:rsid w:val="00AB7CFA"/>
    <w:rsid w:val="00AB7D2D"/>
    <w:rsid w:val="00AB7EDD"/>
    <w:rsid w:val="00AC07ED"/>
    <w:rsid w:val="00AC0828"/>
    <w:rsid w:val="00AC088F"/>
    <w:rsid w:val="00AC0FCC"/>
    <w:rsid w:val="00AC13AE"/>
    <w:rsid w:val="00AC15E7"/>
    <w:rsid w:val="00AC18B3"/>
    <w:rsid w:val="00AC26C6"/>
    <w:rsid w:val="00AC2938"/>
    <w:rsid w:val="00AC2B2C"/>
    <w:rsid w:val="00AC2C7D"/>
    <w:rsid w:val="00AC2C9F"/>
    <w:rsid w:val="00AC3312"/>
    <w:rsid w:val="00AC403E"/>
    <w:rsid w:val="00AC4065"/>
    <w:rsid w:val="00AC40F6"/>
    <w:rsid w:val="00AC465E"/>
    <w:rsid w:val="00AC4AA9"/>
    <w:rsid w:val="00AC4F5B"/>
    <w:rsid w:val="00AC561F"/>
    <w:rsid w:val="00AC5B42"/>
    <w:rsid w:val="00AC5B48"/>
    <w:rsid w:val="00AC63D2"/>
    <w:rsid w:val="00AC63EB"/>
    <w:rsid w:val="00AC6457"/>
    <w:rsid w:val="00AC647F"/>
    <w:rsid w:val="00AC6A27"/>
    <w:rsid w:val="00AC72F5"/>
    <w:rsid w:val="00AC770A"/>
    <w:rsid w:val="00AD064E"/>
    <w:rsid w:val="00AD076E"/>
    <w:rsid w:val="00AD0A34"/>
    <w:rsid w:val="00AD11CD"/>
    <w:rsid w:val="00AD1450"/>
    <w:rsid w:val="00AD15E8"/>
    <w:rsid w:val="00AD1784"/>
    <w:rsid w:val="00AD181A"/>
    <w:rsid w:val="00AD2760"/>
    <w:rsid w:val="00AD27A3"/>
    <w:rsid w:val="00AD28F1"/>
    <w:rsid w:val="00AD2A5D"/>
    <w:rsid w:val="00AD2B99"/>
    <w:rsid w:val="00AD356D"/>
    <w:rsid w:val="00AD386B"/>
    <w:rsid w:val="00AD3F28"/>
    <w:rsid w:val="00AD4949"/>
    <w:rsid w:val="00AD4C84"/>
    <w:rsid w:val="00AD4D65"/>
    <w:rsid w:val="00AD54CD"/>
    <w:rsid w:val="00AD5B1F"/>
    <w:rsid w:val="00AD5D04"/>
    <w:rsid w:val="00AD5DA5"/>
    <w:rsid w:val="00AD6259"/>
    <w:rsid w:val="00AD6502"/>
    <w:rsid w:val="00AD6525"/>
    <w:rsid w:val="00AD6735"/>
    <w:rsid w:val="00AD68AC"/>
    <w:rsid w:val="00AD68B4"/>
    <w:rsid w:val="00AD6976"/>
    <w:rsid w:val="00AD69D4"/>
    <w:rsid w:val="00AD6C51"/>
    <w:rsid w:val="00AD6C55"/>
    <w:rsid w:val="00AD6F8B"/>
    <w:rsid w:val="00AD706B"/>
    <w:rsid w:val="00AD7B5C"/>
    <w:rsid w:val="00AE063F"/>
    <w:rsid w:val="00AE0695"/>
    <w:rsid w:val="00AE06FB"/>
    <w:rsid w:val="00AE07F4"/>
    <w:rsid w:val="00AE0AAE"/>
    <w:rsid w:val="00AE0CB3"/>
    <w:rsid w:val="00AE10E0"/>
    <w:rsid w:val="00AE29F7"/>
    <w:rsid w:val="00AE29F8"/>
    <w:rsid w:val="00AE2B0D"/>
    <w:rsid w:val="00AE34F1"/>
    <w:rsid w:val="00AE362F"/>
    <w:rsid w:val="00AE37EB"/>
    <w:rsid w:val="00AE3D6E"/>
    <w:rsid w:val="00AE3E7E"/>
    <w:rsid w:val="00AE4102"/>
    <w:rsid w:val="00AE47D1"/>
    <w:rsid w:val="00AE5308"/>
    <w:rsid w:val="00AE54DD"/>
    <w:rsid w:val="00AE5AFB"/>
    <w:rsid w:val="00AE5B94"/>
    <w:rsid w:val="00AE721F"/>
    <w:rsid w:val="00AE749B"/>
    <w:rsid w:val="00AE779D"/>
    <w:rsid w:val="00AE77EA"/>
    <w:rsid w:val="00AE7D92"/>
    <w:rsid w:val="00AE7E53"/>
    <w:rsid w:val="00AE7EDB"/>
    <w:rsid w:val="00AF0183"/>
    <w:rsid w:val="00AF05E5"/>
    <w:rsid w:val="00AF09BE"/>
    <w:rsid w:val="00AF0FFE"/>
    <w:rsid w:val="00AF1315"/>
    <w:rsid w:val="00AF1877"/>
    <w:rsid w:val="00AF19BF"/>
    <w:rsid w:val="00AF19EC"/>
    <w:rsid w:val="00AF1B5A"/>
    <w:rsid w:val="00AF2149"/>
    <w:rsid w:val="00AF2612"/>
    <w:rsid w:val="00AF272C"/>
    <w:rsid w:val="00AF2DC3"/>
    <w:rsid w:val="00AF3276"/>
    <w:rsid w:val="00AF365D"/>
    <w:rsid w:val="00AF3FFF"/>
    <w:rsid w:val="00AF4273"/>
    <w:rsid w:val="00AF4425"/>
    <w:rsid w:val="00AF4BF9"/>
    <w:rsid w:val="00AF4D38"/>
    <w:rsid w:val="00AF4FE9"/>
    <w:rsid w:val="00AF5059"/>
    <w:rsid w:val="00AF5C8C"/>
    <w:rsid w:val="00AF66BD"/>
    <w:rsid w:val="00AF7689"/>
    <w:rsid w:val="00B00926"/>
    <w:rsid w:val="00B00929"/>
    <w:rsid w:val="00B00946"/>
    <w:rsid w:val="00B01A7B"/>
    <w:rsid w:val="00B01C70"/>
    <w:rsid w:val="00B01E81"/>
    <w:rsid w:val="00B02398"/>
    <w:rsid w:val="00B02C18"/>
    <w:rsid w:val="00B033E5"/>
    <w:rsid w:val="00B037EC"/>
    <w:rsid w:val="00B03A63"/>
    <w:rsid w:val="00B03BAE"/>
    <w:rsid w:val="00B04247"/>
    <w:rsid w:val="00B044EA"/>
    <w:rsid w:val="00B046E8"/>
    <w:rsid w:val="00B04825"/>
    <w:rsid w:val="00B0488F"/>
    <w:rsid w:val="00B0523A"/>
    <w:rsid w:val="00B052F6"/>
    <w:rsid w:val="00B05865"/>
    <w:rsid w:val="00B06266"/>
    <w:rsid w:val="00B06DEC"/>
    <w:rsid w:val="00B07AE2"/>
    <w:rsid w:val="00B07F6B"/>
    <w:rsid w:val="00B100E8"/>
    <w:rsid w:val="00B1025A"/>
    <w:rsid w:val="00B11548"/>
    <w:rsid w:val="00B11EAC"/>
    <w:rsid w:val="00B11FEF"/>
    <w:rsid w:val="00B120FF"/>
    <w:rsid w:val="00B12490"/>
    <w:rsid w:val="00B124B0"/>
    <w:rsid w:val="00B12646"/>
    <w:rsid w:val="00B12725"/>
    <w:rsid w:val="00B128FF"/>
    <w:rsid w:val="00B129A4"/>
    <w:rsid w:val="00B12D41"/>
    <w:rsid w:val="00B130EF"/>
    <w:rsid w:val="00B13D69"/>
    <w:rsid w:val="00B145E9"/>
    <w:rsid w:val="00B14600"/>
    <w:rsid w:val="00B14AB5"/>
    <w:rsid w:val="00B15023"/>
    <w:rsid w:val="00B1510C"/>
    <w:rsid w:val="00B15A15"/>
    <w:rsid w:val="00B15EAA"/>
    <w:rsid w:val="00B160EB"/>
    <w:rsid w:val="00B16A3B"/>
    <w:rsid w:val="00B174D4"/>
    <w:rsid w:val="00B1775A"/>
    <w:rsid w:val="00B179BD"/>
    <w:rsid w:val="00B17D8E"/>
    <w:rsid w:val="00B201A4"/>
    <w:rsid w:val="00B201D1"/>
    <w:rsid w:val="00B2133D"/>
    <w:rsid w:val="00B213A6"/>
    <w:rsid w:val="00B213E3"/>
    <w:rsid w:val="00B215FC"/>
    <w:rsid w:val="00B220AB"/>
    <w:rsid w:val="00B226B0"/>
    <w:rsid w:val="00B226DF"/>
    <w:rsid w:val="00B2278A"/>
    <w:rsid w:val="00B227ED"/>
    <w:rsid w:val="00B22C73"/>
    <w:rsid w:val="00B235B0"/>
    <w:rsid w:val="00B237BD"/>
    <w:rsid w:val="00B23CC4"/>
    <w:rsid w:val="00B24317"/>
    <w:rsid w:val="00B24DF6"/>
    <w:rsid w:val="00B24E83"/>
    <w:rsid w:val="00B252B8"/>
    <w:rsid w:val="00B257C4"/>
    <w:rsid w:val="00B25E97"/>
    <w:rsid w:val="00B261F2"/>
    <w:rsid w:val="00B262E5"/>
    <w:rsid w:val="00B2632F"/>
    <w:rsid w:val="00B2665D"/>
    <w:rsid w:val="00B26E77"/>
    <w:rsid w:val="00B26FC6"/>
    <w:rsid w:val="00B27147"/>
    <w:rsid w:val="00B27604"/>
    <w:rsid w:val="00B27A61"/>
    <w:rsid w:val="00B30187"/>
    <w:rsid w:val="00B304C3"/>
    <w:rsid w:val="00B30503"/>
    <w:rsid w:val="00B30708"/>
    <w:rsid w:val="00B3084E"/>
    <w:rsid w:val="00B30F52"/>
    <w:rsid w:val="00B3109E"/>
    <w:rsid w:val="00B323BA"/>
    <w:rsid w:val="00B3263B"/>
    <w:rsid w:val="00B33197"/>
    <w:rsid w:val="00B33BF6"/>
    <w:rsid w:val="00B3469B"/>
    <w:rsid w:val="00B3476D"/>
    <w:rsid w:val="00B347FC"/>
    <w:rsid w:val="00B34FE2"/>
    <w:rsid w:val="00B35081"/>
    <w:rsid w:val="00B35166"/>
    <w:rsid w:val="00B35628"/>
    <w:rsid w:val="00B3562E"/>
    <w:rsid w:val="00B357D8"/>
    <w:rsid w:val="00B35839"/>
    <w:rsid w:val="00B358EF"/>
    <w:rsid w:val="00B35DE6"/>
    <w:rsid w:val="00B360F4"/>
    <w:rsid w:val="00B364EE"/>
    <w:rsid w:val="00B36627"/>
    <w:rsid w:val="00B36A00"/>
    <w:rsid w:val="00B36ADC"/>
    <w:rsid w:val="00B36BCF"/>
    <w:rsid w:val="00B374FC"/>
    <w:rsid w:val="00B3792B"/>
    <w:rsid w:val="00B37BFC"/>
    <w:rsid w:val="00B402AA"/>
    <w:rsid w:val="00B40358"/>
    <w:rsid w:val="00B40F99"/>
    <w:rsid w:val="00B41614"/>
    <w:rsid w:val="00B41BAE"/>
    <w:rsid w:val="00B41BBB"/>
    <w:rsid w:val="00B42118"/>
    <w:rsid w:val="00B42851"/>
    <w:rsid w:val="00B42907"/>
    <w:rsid w:val="00B42F80"/>
    <w:rsid w:val="00B43004"/>
    <w:rsid w:val="00B435CB"/>
    <w:rsid w:val="00B43CFD"/>
    <w:rsid w:val="00B444EA"/>
    <w:rsid w:val="00B44944"/>
    <w:rsid w:val="00B44B08"/>
    <w:rsid w:val="00B44D03"/>
    <w:rsid w:val="00B44E15"/>
    <w:rsid w:val="00B450AA"/>
    <w:rsid w:val="00B4527B"/>
    <w:rsid w:val="00B45A16"/>
    <w:rsid w:val="00B45F18"/>
    <w:rsid w:val="00B45FD3"/>
    <w:rsid w:val="00B465AC"/>
    <w:rsid w:val="00B465EC"/>
    <w:rsid w:val="00B46B19"/>
    <w:rsid w:val="00B4729F"/>
    <w:rsid w:val="00B4737E"/>
    <w:rsid w:val="00B47619"/>
    <w:rsid w:val="00B47709"/>
    <w:rsid w:val="00B47ADD"/>
    <w:rsid w:val="00B47C1C"/>
    <w:rsid w:val="00B47CC9"/>
    <w:rsid w:val="00B47DFC"/>
    <w:rsid w:val="00B50114"/>
    <w:rsid w:val="00B505C8"/>
    <w:rsid w:val="00B50641"/>
    <w:rsid w:val="00B50CD0"/>
    <w:rsid w:val="00B50DB8"/>
    <w:rsid w:val="00B5124D"/>
    <w:rsid w:val="00B5153D"/>
    <w:rsid w:val="00B51C06"/>
    <w:rsid w:val="00B51D1F"/>
    <w:rsid w:val="00B5213B"/>
    <w:rsid w:val="00B521B2"/>
    <w:rsid w:val="00B52D08"/>
    <w:rsid w:val="00B52D1B"/>
    <w:rsid w:val="00B535CB"/>
    <w:rsid w:val="00B53654"/>
    <w:rsid w:val="00B53905"/>
    <w:rsid w:val="00B5438F"/>
    <w:rsid w:val="00B546DB"/>
    <w:rsid w:val="00B54B5B"/>
    <w:rsid w:val="00B55005"/>
    <w:rsid w:val="00B5522C"/>
    <w:rsid w:val="00B5562E"/>
    <w:rsid w:val="00B55862"/>
    <w:rsid w:val="00B55B52"/>
    <w:rsid w:val="00B55D17"/>
    <w:rsid w:val="00B55D65"/>
    <w:rsid w:val="00B55FA8"/>
    <w:rsid w:val="00B56288"/>
    <w:rsid w:val="00B56305"/>
    <w:rsid w:val="00B56711"/>
    <w:rsid w:val="00B567B4"/>
    <w:rsid w:val="00B56868"/>
    <w:rsid w:val="00B569EF"/>
    <w:rsid w:val="00B56D5F"/>
    <w:rsid w:val="00B56EAC"/>
    <w:rsid w:val="00B57000"/>
    <w:rsid w:val="00B57403"/>
    <w:rsid w:val="00B576A8"/>
    <w:rsid w:val="00B577B1"/>
    <w:rsid w:val="00B5796E"/>
    <w:rsid w:val="00B57AD6"/>
    <w:rsid w:val="00B57B5A"/>
    <w:rsid w:val="00B57EE7"/>
    <w:rsid w:val="00B6005F"/>
    <w:rsid w:val="00B600FC"/>
    <w:rsid w:val="00B6039D"/>
    <w:rsid w:val="00B604C8"/>
    <w:rsid w:val="00B60808"/>
    <w:rsid w:val="00B60939"/>
    <w:rsid w:val="00B60A38"/>
    <w:rsid w:val="00B60A7E"/>
    <w:rsid w:val="00B60AFD"/>
    <w:rsid w:val="00B60B31"/>
    <w:rsid w:val="00B60D79"/>
    <w:rsid w:val="00B617F1"/>
    <w:rsid w:val="00B62220"/>
    <w:rsid w:val="00B6222B"/>
    <w:rsid w:val="00B62715"/>
    <w:rsid w:val="00B627BE"/>
    <w:rsid w:val="00B63241"/>
    <w:rsid w:val="00B63972"/>
    <w:rsid w:val="00B63E2F"/>
    <w:rsid w:val="00B644C9"/>
    <w:rsid w:val="00B64502"/>
    <w:rsid w:val="00B64DD1"/>
    <w:rsid w:val="00B65611"/>
    <w:rsid w:val="00B6565D"/>
    <w:rsid w:val="00B6576B"/>
    <w:rsid w:val="00B659A7"/>
    <w:rsid w:val="00B662A8"/>
    <w:rsid w:val="00B66550"/>
    <w:rsid w:val="00B66735"/>
    <w:rsid w:val="00B668B9"/>
    <w:rsid w:val="00B676BC"/>
    <w:rsid w:val="00B678B9"/>
    <w:rsid w:val="00B67A08"/>
    <w:rsid w:val="00B70215"/>
    <w:rsid w:val="00B70E4C"/>
    <w:rsid w:val="00B70E8E"/>
    <w:rsid w:val="00B71E0F"/>
    <w:rsid w:val="00B71E6C"/>
    <w:rsid w:val="00B728CD"/>
    <w:rsid w:val="00B72C58"/>
    <w:rsid w:val="00B73054"/>
    <w:rsid w:val="00B733F5"/>
    <w:rsid w:val="00B736CD"/>
    <w:rsid w:val="00B73705"/>
    <w:rsid w:val="00B75159"/>
    <w:rsid w:val="00B75185"/>
    <w:rsid w:val="00B753AD"/>
    <w:rsid w:val="00B755D4"/>
    <w:rsid w:val="00B75682"/>
    <w:rsid w:val="00B75763"/>
    <w:rsid w:val="00B75D34"/>
    <w:rsid w:val="00B76076"/>
    <w:rsid w:val="00B7641F"/>
    <w:rsid w:val="00B76C92"/>
    <w:rsid w:val="00B76EF7"/>
    <w:rsid w:val="00B77063"/>
    <w:rsid w:val="00B778F7"/>
    <w:rsid w:val="00B77994"/>
    <w:rsid w:val="00B80123"/>
    <w:rsid w:val="00B8025F"/>
    <w:rsid w:val="00B804A1"/>
    <w:rsid w:val="00B80559"/>
    <w:rsid w:val="00B80571"/>
    <w:rsid w:val="00B8069D"/>
    <w:rsid w:val="00B806F5"/>
    <w:rsid w:val="00B80881"/>
    <w:rsid w:val="00B80C75"/>
    <w:rsid w:val="00B80D89"/>
    <w:rsid w:val="00B80E75"/>
    <w:rsid w:val="00B80EFD"/>
    <w:rsid w:val="00B8112A"/>
    <w:rsid w:val="00B814F0"/>
    <w:rsid w:val="00B818A4"/>
    <w:rsid w:val="00B818E4"/>
    <w:rsid w:val="00B81A23"/>
    <w:rsid w:val="00B81D9E"/>
    <w:rsid w:val="00B8228C"/>
    <w:rsid w:val="00B827A2"/>
    <w:rsid w:val="00B82A2B"/>
    <w:rsid w:val="00B82B14"/>
    <w:rsid w:val="00B83188"/>
    <w:rsid w:val="00B8367F"/>
    <w:rsid w:val="00B83739"/>
    <w:rsid w:val="00B83D00"/>
    <w:rsid w:val="00B84117"/>
    <w:rsid w:val="00B853CA"/>
    <w:rsid w:val="00B858F0"/>
    <w:rsid w:val="00B85AA2"/>
    <w:rsid w:val="00B85AD1"/>
    <w:rsid w:val="00B861BC"/>
    <w:rsid w:val="00B8649C"/>
    <w:rsid w:val="00B8695D"/>
    <w:rsid w:val="00B8791C"/>
    <w:rsid w:val="00B87D8D"/>
    <w:rsid w:val="00B87F0A"/>
    <w:rsid w:val="00B901EF"/>
    <w:rsid w:val="00B91400"/>
    <w:rsid w:val="00B91640"/>
    <w:rsid w:val="00B91D37"/>
    <w:rsid w:val="00B923A7"/>
    <w:rsid w:val="00B92CAA"/>
    <w:rsid w:val="00B92D0B"/>
    <w:rsid w:val="00B93059"/>
    <w:rsid w:val="00B93672"/>
    <w:rsid w:val="00B937D9"/>
    <w:rsid w:val="00B9394C"/>
    <w:rsid w:val="00B93B41"/>
    <w:rsid w:val="00B93CCD"/>
    <w:rsid w:val="00B940B3"/>
    <w:rsid w:val="00B94460"/>
    <w:rsid w:val="00B94613"/>
    <w:rsid w:val="00B94945"/>
    <w:rsid w:val="00B94A20"/>
    <w:rsid w:val="00B94DD6"/>
    <w:rsid w:val="00B9532F"/>
    <w:rsid w:val="00B9549C"/>
    <w:rsid w:val="00B956F7"/>
    <w:rsid w:val="00B9592F"/>
    <w:rsid w:val="00B959FF"/>
    <w:rsid w:val="00B964DB"/>
    <w:rsid w:val="00B96D16"/>
    <w:rsid w:val="00B97413"/>
    <w:rsid w:val="00B97D34"/>
    <w:rsid w:val="00BA09A7"/>
    <w:rsid w:val="00BA1634"/>
    <w:rsid w:val="00BA18AC"/>
    <w:rsid w:val="00BA1AC5"/>
    <w:rsid w:val="00BA1E7B"/>
    <w:rsid w:val="00BA2373"/>
    <w:rsid w:val="00BA2442"/>
    <w:rsid w:val="00BA256D"/>
    <w:rsid w:val="00BA266C"/>
    <w:rsid w:val="00BA2670"/>
    <w:rsid w:val="00BA2767"/>
    <w:rsid w:val="00BA2D2F"/>
    <w:rsid w:val="00BA31B3"/>
    <w:rsid w:val="00BA322D"/>
    <w:rsid w:val="00BA458A"/>
    <w:rsid w:val="00BA4591"/>
    <w:rsid w:val="00BA46F3"/>
    <w:rsid w:val="00BA47BA"/>
    <w:rsid w:val="00BA4FDD"/>
    <w:rsid w:val="00BA54CC"/>
    <w:rsid w:val="00BA582B"/>
    <w:rsid w:val="00BA5ABC"/>
    <w:rsid w:val="00BA60AA"/>
    <w:rsid w:val="00BA63FA"/>
    <w:rsid w:val="00BA6655"/>
    <w:rsid w:val="00BA7099"/>
    <w:rsid w:val="00BA7229"/>
    <w:rsid w:val="00BA7307"/>
    <w:rsid w:val="00BA75A2"/>
    <w:rsid w:val="00BA7BD1"/>
    <w:rsid w:val="00BB00B3"/>
    <w:rsid w:val="00BB0AA7"/>
    <w:rsid w:val="00BB0BDD"/>
    <w:rsid w:val="00BB0E34"/>
    <w:rsid w:val="00BB0FC0"/>
    <w:rsid w:val="00BB1177"/>
    <w:rsid w:val="00BB11B8"/>
    <w:rsid w:val="00BB11FB"/>
    <w:rsid w:val="00BB164A"/>
    <w:rsid w:val="00BB176C"/>
    <w:rsid w:val="00BB210E"/>
    <w:rsid w:val="00BB2A73"/>
    <w:rsid w:val="00BB2EBA"/>
    <w:rsid w:val="00BB32D5"/>
    <w:rsid w:val="00BB37F4"/>
    <w:rsid w:val="00BB3A45"/>
    <w:rsid w:val="00BB3B32"/>
    <w:rsid w:val="00BB3D9A"/>
    <w:rsid w:val="00BB3F86"/>
    <w:rsid w:val="00BB41FD"/>
    <w:rsid w:val="00BB43EA"/>
    <w:rsid w:val="00BB49B1"/>
    <w:rsid w:val="00BB4ACC"/>
    <w:rsid w:val="00BB4ADC"/>
    <w:rsid w:val="00BB566D"/>
    <w:rsid w:val="00BB5C18"/>
    <w:rsid w:val="00BB64D7"/>
    <w:rsid w:val="00BB684A"/>
    <w:rsid w:val="00BB703E"/>
    <w:rsid w:val="00BB732D"/>
    <w:rsid w:val="00BB7405"/>
    <w:rsid w:val="00BB7C03"/>
    <w:rsid w:val="00BC08BC"/>
    <w:rsid w:val="00BC106C"/>
    <w:rsid w:val="00BC2222"/>
    <w:rsid w:val="00BC2508"/>
    <w:rsid w:val="00BC259C"/>
    <w:rsid w:val="00BC2935"/>
    <w:rsid w:val="00BC2975"/>
    <w:rsid w:val="00BC29FA"/>
    <w:rsid w:val="00BC2D05"/>
    <w:rsid w:val="00BC3166"/>
    <w:rsid w:val="00BC3631"/>
    <w:rsid w:val="00BC3846"/>
    <w:rsid w:val="00BC4194"/>
    <w:rsid w:val="00BC45B1"/>
    <w:rsid w:val="00BC4C10"/>
    <w:rsid w:val="00BC4E4E"/>
    <w:rsid w:val="00BC5730"/>
    <w:rsid w:val="00BC591F"/>
    <w:rsid w:val="00BC5C4B"/>
    <w:rsid w:val="00BC5CF6"/>
    <w:rsid w:val="00BC5FFD"/>
    <w:rsid w:val="00BC6552"/>
    <w:rsid w:val="00BC680D"/>
    <w:rsid w:val="00BC6A91"/>
    <w:rsid w:val="00BC6C21"/>
    <w:rsid w:val="00BC713B"/>
    <w:rsid w:val="00BC72A7"/>
    <w:rsid w:val="00BC7625"/>
    <w:rsid w:val="00BC77B3"/>
    <w:rsid w:val="00BC77D2"/>
    <w:rsid w:val="00BC7D6D"/>
    <w:rsid w:val="00BD04AD"/>
    <w:rsid w:val="00BD0C23"/>
    <w:rsid w:val="00BD0F7C"/>
    <w:rsid w:val="00BD0FC0"/>
    <w:rsid w:val="00BD16A1"/>
    <w:rsid w:val="00BD171C"/>
    <w:rsid w:val="00BD1B01"/>
    <w:rsid w:val="00BD1CE8"/>
    <w:rsid w:val="00BD2108"/>
    <w:rsid w:val="00BD27C2"/>
    <w:rsid w:val="00BD3F2B"/>
    <w:rsid w:val="00BD414C"/>
    <w:rsid w:val="00BD41F3"/>
    <w:rsid w:val="00BD4C07"/>
    <w:rsid w:val="00BD4F29"/>
    <w:rsid w:val="00BD4FE1"/>
    <w:rsid w:val="00BD50E6"/>
    <w:rsid w:val="00BD5228"/>
    <w:rsid w:val="00BD5777"/>
    <w:rsid w:val="00BD5ACF"/>
    <w:rsid w:val="00BD68A3"/>
    <w:rsid w:val="00BD6938"/>
    <w:rsid w:val="00BD6CF3"/>
    <w:rsid w:val="00BD7208"/>
    <w:rsid w:val="00BD75F3"/>
    <w:rsid w:val="00BD778B"/>
    <w:rsid w:val="00BD7DE5"/>
    <w:rsid w:val="00BD7F72"/>
    <w:rsid w:val="00BE002B"/>
    <w:rsid w:val="00BE01D6"/>
    <w:rsid w:val="00BE0468"/>
    <w:rsid w:val="00BE0BFD"/>
    <w:rsid w:val="00BE0ECA"/>
    <w:rsid w:val="00BE19A8"/>
    <w:rsid w:val="00BE1F01"/>
    <w:rsid w:val="00BE2092"/>
    <w:rsid w:val="00BE2180"/>
    <w:rsid w:val="00BE2186"/>
    <w:rsid w:val="00BE21F2"/>
    <w:rsid w:val="00BE276B"/>
    <w:rsid w:val="00BE28B2"/>
    <w:rsid w:val="00BE2A50"/>
    <w:rsid w:val="00BE2C27"/>
    <w:rsid w:val="00BE3170"/>
    <w:rsid w:val="00BE3BAB"/>
    <w:rsid w:val="00BE3D06"/>
    <w:rsid w:val="00BE4275"/>
    <w:rsid w:val="00BE4A4F"/>
    <w:rsid w:val="00BE4EED"/>
    <w:rsid w:val="00BE5D17"/>
    <w:rsid w:val="00BE5D57"/>
    <w:rsid w:val="00BE629D"/>
    <w:rsid w:val="00BE6364"/>
    <w:rsid w:val="00BE6444"/>
    <w:rsid w:val="00BE68E3"/>
    <w:rsid w:val="00BE6A39"/>
    <w:rsid w:val="00BE6B50"/>
    <w:rsid w:val="00BE6CFE"/>
    <w:rsid w:val="00BE731E"/>
    <w:rsid w:val="00BE75A5"/>
    <w:rsid w:val="00BE77A6"/>
    <w:rsid w:val="00BE7A9E"/>
    <w:rsid w:val="00BF06AE"/>
    <w:rsid w:val="00BF081A"/>
    <w:rsid w:val="00BF0C7D"/>
    <w:rsid w:val="00BF0F95"/>
    <w:rsid w:val="00BF14FA"/>
    <w:rsid w:val="00BF1996"/>
    <w:rsid w:val="00BF1C7A"/>
    <w:rsid w:val="00BF2433"/>
    <w:rsid w:val="00BF2AA5"/>
    <w:rsid w:val="00BF2AE0"/>
    <w:rsid w:val="00BF2B9F"/>
    <w:rsid w:val="00BF2CEA"/>
    <w:rsid w:val="00BF2E6E"/>
    <w:rsid w:val="00BF2FEC"/>
    <w:rsid w:val="00BF33EE"/>
    <w:rsid w:val="00BF3689"/>
    <w:rsid w:val="00BF3768"/>
    <w:rsid w:val="00BF3781"/>
    <w:rsid w:val="00BF38E9"/>
    <w:rsid w:val="00BF39B1"/>
    <w:rsid w:val="00BF493B"/>
    <w:rsid w:val="00BF4ED9"/>
    <w:rsid w:val="00BF510A"/>
    <w:rsid w:val="00BF54C0"/>
    <w:rsid w:val="00BF59F3"/>
    <w:rsid w:val="00BF61C9"/>
    <w:rsid w:val="00BF6846"/>
    <w:rsid w:val="00BF6C94"/>
    <w:rsid w:val="00BF7220"/>
    <w:rsid w:val="00BF73E1"/>
    <w:rsid w:val="00BF7A3B"/>
    <w:rsid w:val="00C00424"/>
    <w:rsid w:val="00C0055E"/>
    <w:rsid w:val="00C005C3"/>
    <w:rsid w:val="00C006B9"/>
    <w:rsid w:val="00C007F7"/>
    <w:rsid w:val="00C00979"/>
    <w:rsid w:val="00C00B74"/>
    <w:rsid w:val="00C00BB0"/>
    <w:rsid w:val="00C00C59"/>
    <w:rsid w:val="00C00F6D"/>
    <w:rsid w:val="00C016A9"/>
    <w:rsid w:val="00C01751"/>
    <w:rsid w:val="00C0175F"/>
    <w:rsid w:val="00C01821"/>
    <w:rsid w:val="00C01C72"/>
    <w:rsid w:val="00C022A3"/>
    <w:rsid w:val="00C029E3"/>
    <w:rsid w:val="00C02A31"/>
    <w:rsid w:val="00C02F3B"/>
    <w:rsid w:val="00C0314C"/>
    <w:rsid w:val="00C036E1"/>
    <w:rsid w:val="00C03A64"/>
    <w:rsid w:val="00C03C19"/>
    <w:rsid w:val="00C03DAA"/>
    <w:rsid w:val="00C03DFC"/>
    <w:rsid w:val="00C03F90"/>
    <w:rsid w:val="00C04063"/>
    <w:rsid w:val="00C054B0"/>
    <w:rsid w:val="00C05682"/>
    <w:rsid w:val="00C057C7"/>
    <w:rsid w:val="00C05959"/>
    <w:rsid w:val="00C05B65"/>
    <w:rsid w:val="00C05D13"/>
    <w:rsid w:val="00C05E11"/>
    <w:rsid w:val="00C0607C"/>
    <w:rsid w:val="00C0610A"/>
    <w:rsid w:val="00C0754A"/>
    <w:rsid w:val="00C07A45"/>
    <w:rsid w:val="00C07F97"/>
    <w:rsid w:val="00C10278"/>
    <w:rsid w:val="00C10728"/>
    <w:rsid w:val="00C107D9"/>
    <w:rsid w:val="00C10AE6"/>
    <w:rsid w:val="00C10FC0"/>
    <w:rsid w:val="00C11267"/>
    <w:rsid w:val="00C115D8"/>
    <w:rsid w:val="00C1161E"/>
    <w:rsid w:val="00C1179F"/>
    <w:rsid w:val="00C1198E"/>
    <w:rsid w:val="00C11C7E"/>
    <w:rsid w:val="00C11D89"/>
    <w:rsid w:val="00C11F35"/>
    <w:rsid w:val="00C1268C"/>
    <w:rsid w:val="00C127B9"/>
    <w:rsid w:val="00C128FA"/>
    <w:rsid w:val="00C12C14"/>
    <w:rsid w:val="00C13391"/>
    <w:rsid w:val="00C1379C"/>
    <w:rsid w:val="00C13837"/>
    <w:rsid w:val="00C13A02"/>
    <w:rsid w:val="00C13A42"/>
    <w:rsid w:val="00C14356"/>
    <w:rsid w:val="00C144CF"/>
    <w:rsid w:val="00C152CF"/>
    <w:rsid w:val="00C15AAD"/>
    <w:rsid w:val="00C15BD5"/>
    <w:rsid w:val="00C15C0A"/>
    <w:rsid w:val="00C15F04"/>
    <w:rsid w:val="00C15F89"/>
    <w:rsid w:val="00C16207"/>
    <w:rsid w:val="00C16C47"/>
    <w:rsid w:val="00C16EE8"/>
    <w:rsid w:val="00C16F8C"/>
    <w:rsid w:val="00C17165"/>
    <w:rsid w:val="00C17491"/>
    <w:rsid w:val="00C17826"/>
    <w:rsid w:val="00C1787F"/>
    <w:rsid w:val="00C179B3"/>
    <w:rsid w:val="00C17B9A"/>
    <w:rsid w:val="00C17BC4"/>
    <w:rsid w:val="00C17E3F"/>
    <w:rsid w:val="00C200AA"/>
    <w:rsid w:val="00C20DBB"/>
    <w:rsid w:val="00C20DD5"/>
    <w:rsid w:val="00C21057"/>
    <w:rsid w:val="00C219B7"/>
    <w:rsid w:val="00C22418"/>
    <w:rsid w:val="00C2269F"/>
    <w:rsid w:val="00C22D20"/>
    <w:rsid w:val="00C230A3"/>
    <w:rsid w:val="00C23107"/>
    <w:rsid w:val="00C2352B"/>
    <w:rsid w:val="00C237ED"/>
    <w:rsid w:val="00C23E48"/>
    <w:rsid w:val="00C24152"/>
    <w:rsid w:val="00C24473"/>
    <w:rsid w:val="00C24632"/>
    <w:rsid w:val="00C24A50"/>
    <w:rsid w:val="00C24C3E"/>
    <w:rsid w:val="00C24ECC"/>
    <w:rsid w:val="00C25018"/>
    <w:rsid w:val="00C25418"/>
    <w:rsid w:val="00C2585A"/>
    <w:rsid w:val="00C258C6"/>
    <w:rsid w:val="00C259CA"/>
    <w:rsid w:val="00C25D9C"/>
    <w:rsid w:val="00C2636A"/>
    <w:rsid w:val="00C274DC"/>
    <w:rsid w:val="00C2778B"/>
    <w:rsid w:val="00C27928"/>
    <w:rsid w:val="00C27EDF"/>
    <w:rsid w:val="00C27F29"/>
    <w:rsid w:val="00C27F42"/>
    <w:rsid w:val="00C27F6F"/>
    <w:rsid w:val="00C302C5"/>
    <w:rsid w:val="00C3069C"/>
    <w:rsid w:val="00C30909"/>
    <w:rsid w:val="00C30E8D"/>
    <w:rsid w:val="00C314A2"/>
    <w:rsid w:val="00C31649"/>
    <w:rsid w:val="00C32A34"/>
    <w:rsid w:val="00C32FA3"/>
    <w:rsid w:val="00C3339E"/>
    <w:rsid w:val="00C3434C"/>
    <w:rsid w:val="00C34379"/>
    <w:rsid w:val="00C34431"/>
    <w:rsid w:val="00C348AE"/>
    <w:rsid w:val="00C34EAB"/>
    <w:rsid w:val="00C36094"/>
    <w:rsid w:val="00C366F0"/>
    <w:rsid w:val="00C36C9E"/>
    <w:rsid w:val="00C37153"/>
    <w:rsid w:val="00C37199"/>
    <w:rsid w:val="00C3732B"/>
    <w:rsid w:val="00C37EE6"/>
    <w:rsid w:val="00C401CA"/>
    <w:rsid w:val="00C4025F"/>
    <w:rsid w:val="00C40385"/>
    <w:rsid w:val="00C40552"/>
    <w:rsid w:val="00C40586"/>
    <w:rsid w:val="00C409B9"/>
    <w:rsid w:val="00C40C5A"/>
    <w:rsid w:val="00C40E8D"/>
    <w:rsid w:val="00C41707"/>
    <w:rsid w:val="00C41712"/>
    <w:rsid w:val="00C41768"/>
    <w:rsid w:val="00C41E06"/>
    <w:rsid w:val="00C422C0"/>
    <w:rsid w:val="00C42480"/>
    <w:rsid w:val="00C42583"/>
    <w:rsid w:val="00C42782"/>
    <w:rsid w:val="00C433DE"/>
    <w:rsid w:val="00C438C1"/>
    <w:rsid w:val="00C43F29"/>
    <w:rsid w:val="00C44D82"/>
    <w:rsid w:val="00C45215"/>
    <w:rsid w:val="00C45263"/>
    <w:rsid w:val="00C45497"/>
    <w:rsid w:val="00C4574F"/>
    <w:rsid w:val="00C457AD"/>
    <w:rsid w:val="00C45929"/>
    <w:rsid w:val="00C45BD0"/>
    <w:rsid w:val="00C4613F"/>
    <w:rsid w:val="00C4620E"/>
    <w:rsid w:val="00C46285"/>
    <w:rsid w:val="00C463F9"/>
    <w:rsid w:val="00C4665C"/>
    <w:rsid w:val="00C46703"/>
    <w:rsid w:val="00C469BC"/>
    <w:rsid w:val="00C46BF0"/>
    <w:rsid w:val="00C46EA6"/>
    <w:rsid w:val="00C46EC3"/>
    <w:rsid w:val="00C47028"/>
    <w:rsid w:val="00C471C1"/>
    <w:rsid w:val="00C47378"/>
    <w:rsid w:val="00C475AA"/>
    <w:rsid w:val="00C4776F"/>
    <w:rsid w:val="00C478B6"/>
    <w:rsid w:val="00C50152"/>
    <w:rsid w:val="00C502AC"/>
    <w:rsid w:val="00C502F1"/>
    <w:rsid w:val="00C5043F"/>
    <w:rsid w:val="00C50676"/>
    <w:rsid w:val="00C50768"/>
    <w:rsid w:val="00C5079E"/>
    <w:rsid w:val="00C50903"/>
    <w:rsid w:val="00C50AA7"/>
    <w:rsid w:val="00C50D16"/>
    <w:rsid w:val="00C51139"/>
    <w:rsid w:val="00C5138D"/>
    <w:rsid w:val="00C517BD"/>
    <w:rsid w:val="00C52743"/>
    <w:rsid w:val="00C527C7"/>
    <w:rsid w:val="00C52DF4"/>
    <w:rsid w:val="00C53C98"/>
    <w:rsid w:val="00C54132"/>
    <w:rsid w:val="00C5420D"/>
    <w:rsid w:val="00C54377"/>
    <w:rsid w:val="00C54D94"/>
    <w:rsid w:val="00C5502C"/>
    <w:rsid w:val="00C552E2"/>
    <w:rsid w:val="00C55D5A"/>
    <w:rsid w:val="00C55F10"/>
    <w:rsid w:val="00C560FA"/>
    <w:rsid w:val="00C5649E"/>
    <w:rsid w:val="00C565CE"/>
    <w:rsid w:val="00C56CC0"/>
    <w:rsid w:val="00C56D88"/>
    <w:rsid w:val="00C56FCF"/>
    <w:rsid w:val="00C56FE2"/>
    <w:rsid w:val="00C5718D"/>
    <w:rsid w:val="00C572E9"/>
    <w:rsid w:val="00C572F6"/>
    <w:rsid w:val="00C57523"/>
    <w:rsid w:val="00C5758A"/>
    <w:rsid w:val="00C576CB"/>
    <w:rsid w:val="00C576D3"/>
    <w:rsid w:val="00C57925"/>
    <w:rsid w:val="00C57B6C"/>
    <w:rsid w:val="00C6025F"/>
    <w:rsid w:val="00C608FE"/>
    <w:rsid w:val="00C60C70"/>
    <w:rsid w:val="00C60ED1"/>
    <w:rsid w:val="00C60FAC"/>
    <w:rsid w:val="00C60FD8"/>
    <w:rsid w:val="00C6157F"/>
    <w:rsid w:val="00C615C7"/>
    <w:rsid w:val="00C619F5"/>
    <w:rsid w:val="00C61A59"/>
    <w:rsid w:val="00C61E83"/>
    <w:rsid w:val="00C6200F"/>
    <w:rsid w:val="00C628A6"/>
    <w:rsid w:val="00C630CC"/>
    <w:rsid w:val="00C632AF"/>
    <w:rsid w:val="00C6341B"/>
    <w:rsid w:val="00C63636"/>
    <w:rsid w:val="00C63763"/>
    <w:rsid w:val="00C64190"/>
    <w:rsid w:val="00C64344"/>
    <w:rsid w:val="00C6436A"/>
    <w:rsid w:val="00C64816"/>
    <w:rsid w:val="00C64D64"/>
    <w:rsid w:val="00C650F5"/>
    <w:rsid w:val="00C65108"/>
    <w:rsid w:val="00C65576"/>
    <w:rsid w:val="00C6558F"/>
    <w:rsid w:val="00C65943"/>
    <w:rsid w:val="00C659F3"/>
    <w:rsid w:val="00C66165"/>
    <w:rsid w:val="00C662DE"/>
    <w:rsid w:val="00C66482"/>
    <w:rsid w:val="00C66602"/>
    <w:rsid w:val="00C66C03"/>
    <w:rsid w:val="00C66C11"/>
    <w:rsid w:val="00C66D2A"/>
    <w:rsid w:val="00C671CB"/>
    <w:rsid w:val="00C673E8"/>
    <w:rsid w:val="00C67A84"/>
    <w:rsid w:val="00C67B84"/>
    <w:rsid w:val="00C7060A"/>
    <w:rsid w:val="00C7080F"/>
    <w:rsid w:val="00C7151A"/>
    <w:rsid w:val="00C717E3"/>
    <w:rsid w:val="00C71F60"/>
    <w:rsid w:val="00C72116"/>
    <w:rsid w:val="00C72241"/>
    <w:rsid w:val="00C727AC"/>
    <w:rsid w:val="00C72978"/>
    <w:rsid w:val="00C729B6"/>
    <w:rsid w:val="00C72C64"/>
    <w:rsid w:val="00C72DA4"/>
    <w:rsid w:val="00C73030"/>
    <w:rsid w:val="00C7323C"/>
    <w:rsid w:val="00C7340C"/>
    <w:rsid w:val="00C740B8"/>
    <w:rsid w:val="00C74594"/>
    <w:rsid w:val="00C74AE8"/>
    <w:rsid w:val="00C74C4E"/>
    <w:rsid w:val="00C750C8"/>
    <w:rsid w:val="00C75187"/>
    <w:rsid w:val="00C753FC"/>
    <w:rsid w:val="00C7560F"/>
    <w:rsid w:val="00C75CCC"/>
    <w:rsid w:val="00C75F73"/>
    <w:rsid w:val="00C75FDE"/>
    <w:rsid w:val="00C7625A"/>
    <w:rsid w:val="00C76824"/>
    <w:rsid w:val="00C77878"/>
    <w:rsid w:val="00C80178"/>
    <w:rsid w:val="00C8017D"/>
    <w:rsid w:val="00C80A0E"/>
    <w:rsid w:val="00C8133B"/>
    <w:rsid w:val="00C815B0"/>
    <w:rsid w:val="00C820CA"/>
    <w:rsid w:val="00C8213F"/>
    <w:rsid w:val="00C82940"/>
    <w:rsid w:val="00C8303F"/>
    <w:rsid w:val="00C83228"/>
    <w:rsid w:val="00C8336E"/>
    <w:rsid w:val="00C836FB"/>
    <w:rsid w:val="00C838BF"/>
    <w:rsid w:val="00C83AC7"/>
    <w:rsid w:val="00C83C29"/>
    <w:rsid w:val="00C8434B"/>
    <w:rsid w:val="00C844EC"/>
    <w:rsid w:val="00C84777"/>
    <w:rsid w:val="00C847C8"/>
    <w:rsid w:val="00C84BD9"/>
    <w:rsid w:val="00C85154"/>
    <w:rsid w:val="00C852C7"/>
    <w:rsid w:val="00C85494"/>
    <w:rsid w:val="00C85A70"/>
    <w:rsid w:val="00C85E3D"/>
    <w:rsid w:val="00C85EF3"/>
    <w:rsid w:val="00C8637A"/>
    <w:rsid w:val="00C8658B"/>
    <w:rsid w:val="00C86767"/>
    <w:rsid w:val="00C869D7"/>
    <w:rsid w:val="00C870C8"/>
    <w:rsid w:val="00C8714E"/>
    <w:rsid w:val="00C874E3"/>
    <w:rsid w:val="00C87742"/>
    <w:rsid w:val="00C8797A"/>
    <w:rsid w:val="00C87AE1"/>
    <w:rsid w:val="00C87F68"/>
    <w:rsid w:val="00C900B8"/>
    <w:rsid w:val="00C90197"/>
    <w:rsid w:val="00C908B4"/>
    <w:rsid w:val="00C90C04"/>
    <w:rsid w:val="00C90C37"/>
    <w:rsid w:val="00C90C71"/>
    <w:rsid w:val="00C90CB8"/>
    <w:rsid w:val="00C90F7C"/>
    <w:rsid w:val="00C9143C"/>
    <w:rsid w:val="00C91931"/>
    <w:rsid w:val="00C91998"/>
    <w:rsid w:val="00C91FD1"/>
    <w:rsid w:val="00C92024"/>
    <w:rsid w:val="00C921D0"/>
    <w:rsid w:val="00C921FE"/>
    <w:rsid w:val="00C924E9"/>
    <w:rsid w:val="00C92630"/>
    <w:rsid w:val="00C92753"/>
    <w:rsid w:val="00C92D16"/>
    <w:rsid w:val="00C92F25"/>
    <w:rsid w:val="00C93192"/>
    <w:rsid w:val="00C931CF"/>
    <w:rsid w:val="00C938CF"/>
    <w:rsid w:val="00C93ACB"/>
    <w:rsid w:val="00C93EAC"/>
    <w:rsid w:val="00C94053"/>
    <w:rsid w:val="00C94BE4"/>
    <w:rsid w:val="00C954A0"/>
    <w:rsid w:val="00C958AB"/>
    <w:rsid w:val="00C9624D"/>
    <w:rsid w:val="00C969DA"/>
    <w:rsid w:val="00C96BAE"/>
    <w:rsid w:val="00C9711C"/>
    <w:rsid w:val="00C97328"/>
    <w:rsid w:val="00C97729"/>
    <w:rsid w:val="00C97AA5"/>
    <w:rsid w:val="00C97FFD"/>
    <w:rsid w:val="00CA0323"/>
    <w:rsid w:val="00CA0539"/>
    <w:rsid w:val="00CA0F13"/>
    <w:rsid w:val="00CA17A1"/>
    <w:rsid w:val="00CA186A"/>
    <w:rsid w:val="00CA1A25"/>
    <w:rsid w:val="00CA1B3B"/>
    <w:rsid w:val="00CA1E99"/>
    <w:rsid w:val="00CA1F25"/>
    <w:rsid w:val="00CA242B"/>
    <w:rsid w:val="00CA29D5"/>
    <w:rsid w:val="00CA2C77"/>
    <w:rsid w:val="00CA316D"/>
    <w:rsid w:val="00CA365E"/>
    <w:rsid w:val="00CA386A"/>
    <w:rsid w:val="00CA390A"/>
    <w:rsid w:val="00CA3993"/>
    <w:rsid w:val="00CA3999"/>
    <w:rsid w:val="00CA3C0E"/>
    <w:rsid w:val="00CA3C29"/>
    <w:rsid w:val="00CA4089"/>
    <w:rsid w:val="00CA423B"/>
    <w:rsid w:val="00CA444F"/>
    <w:rsid w:val="00CA4D4A"/>
    <w:rsid w:val="00CA5039"/>
    <w:rsid w:val="00CA5245"/>
    <w:rsid w:val="00CA5414"/>
    <w:rsid w:val="00CA5441"/>
    <w:rsid w:val="00CA57C2"/>
    <w:rsid w:val="00CA58E3"/>
    <w:rsid w:val="00CA5AEA"/>
    <w:rsid w:val="00CA60F8"/>
    <w:rsid w:val="00CA645B"/>
    <w:rsid w:val="00CA6548"/>
    <w:rsid w:val="00CA65F4"/>
    <w:rsid w:val="00CA67D0"/>
    <w:rsid w:val="00CA6B1F"/>
    <w:rsid w:val="00CA6B74"/>
    <w:rsid w:val="00CA6D8F"/>
    <w:rsid w:val="00CA6E22"/>
    <w:rsid w:val="00CA6FF0"/>
    <w:rsid w:val="00CA71F4"/>
    <w:rsid w:val="00CA7B09"/>
    <w:rsid w:val="00CA7D01"/>
    <w:rsid w:val="00CA7DAB"/>
    <w:rsid w:val="00CB0869"/>
    <w:rsid w:val="00CB0C77"/>
    <w:rsid w:val="00CB0CDE"/>
    <w:rsid w:val="00CB0F9C"/>
    <w:rsid w:val="00CB12A5"/>
    <w:rsid w:val="00CB1348"/>
    <w:rsid w:val="00CB1CAC"/>
    <w:rsid w:val="00CB1F39"/>
    <w:rsid w:val="00CB1FF6"/>
    <w:rsid w:val="00CB2272"/>
    <w:rsid w:val="00CB251C"/>
    <w:rsid w:val="00CB2B2B"/>
    <w:rsid w:val="00CB2B58"/>
    <w:rsid w:val="00CB2F2A"/>
    <w:rsid w:val="00CB313E"/>
    <w:rsid w:val="00CB39FC"/>
    <w:rsid w:val="00CB3DE8"/>
    <w:rsid w:val="00CB3E74"/>
    <w:rsid w:val="00CB481C"/>
    <w:rsid w:val="00CB4F8E"/>
    <w:rsid w:val="00CB5773"/>
    <w:rsid w:val="00CB5B1A"/>
    <w:rsid w:val="00CB5C12"/>
    <w:rsid w:val="00CB5E71"/>
    <w:rsid w:val="00CB6019"/>
    <w:rsid w:val="00CB6B22"/>
    <w:rsid w:val="00CB733C"/>
    <w:rsid w:val="00CB7ACA"/>
    <w:rsid w:val="00CB7F5B"/>
    <w:rsid w:val="00CB7F5F"/>
    <w:rsid w:val="00CB7FEA"/>
    <w:rsid w:val="00CC01E8"/>
    <w:rsid w:val="00CC028E"/>
    <w:rsid w:val="00CC0656"/>
    <w:rsid w:val="00CC0906"/>
    <w:rsid w:val="00CC09D8"/>
    <w:rsid w:val="00CC0D76"/>
    <w:rsid w:val="00CC1111"/>
    <w:rsid w:val="00CC148E"/>
    <w:rsid w:val="00CC19D0"/>
    <w:rsid w:val="00CC1AA5"/>
    <w:rsid w:val="00CC1B39"/>
    <w:rsid w:val="00CC1BFA"/>
    <w:rsid w:val="00CC2094"/>
    <w:rsid w:val="00CC2977"/>
    <w:rsid w:val="00CC2C74"/>
    <w:rsid w:val="00CC2E9F"/>
    <w:rsid w:val="00CC2F01"/>
    <w:rsid w:val="00CC2F16"/>
    <w:rsid w:val="00CC31F6"/>
    <w:rsid w:val="00CC35EA"/>
    <w:rsid w:val="00CC36C1"/>
    <w:rsid w:val="00CC3848"/>
    <w:rsid w:val="00CC3ECF"/>
    <w:rsid w:val="00CC42D6"/>
    <w:rsid w:val="00CC47AA"/>
    <w:rsid w:val="00CC4966"/>
    <w:rsid w:val="00CC4EDC"/>
    <w:rsid w:val="00CC546B"/>
    <w:rsid w:val="00CC561B"/>
    <w:rsid w:val="00CC57B4"/>
    <w:rsid w:val="00CC57EF"/>
    <w:rsid w:val="00CC59FF"/>
    <w:rsid w:val="00CC651B"/>
    <w:rsid w:val="00CC6606"/>
    <w:rsid w:val="00CC6D5E"/>
    <w:rsid w:val="00CC7097"/>
    <w:rsid w:val="00CC744D"/>
    <w:rsid w:val="00CC7519"/>
    <w:rsid w:val="00CD0200"/>
    <w:rsid w:val="00CD03BA"/>
    <w:rsid w:val="00CD0747"/>
    <w:rsid w:val="00CD0D17"/>
    <w:rsid w:val="00CD0D6E"/>
    <w:rsid w:val="00CD10CB"/>
    <w:rsid w:val="00CD11B4"/>
    <w:rsid w:val="00CD1727"/>
    <w:rsid w:val="00CD1B43"/>
    <w:rsid w:val="00CD1C60"/>
    <w:rsid w:val="00CD1F41"/>
    <w:rsid w:val="00CD271B"/>
    <w:rsid w:val="00CD288F"/>
    <w:rsid w:val="00CD298A"/>
    <w:rsid w:val="00CD2F6A"/>
    <w:rsid w:val="00CD326C"/>
    <w:rsid w:val="00CD3E85"/>
    <w:rsid w:val="00CD3EA0"/>
    <w:rsid w:val="00CD3F62"/>
    <w:rsid w:val="00CD3F77"/>
    <w:rsid w:val="00CD46A7"/>
    <w:rsid w:val="00CD4BF6"/>
    <w:rsid w:val="00CD558A"/>
    <w:rsid w:val="00CD5894"/>
    <w:rsid w:val="00CD5A22"/>
    <w:rsid w:val="00CD5E19"/>
    <w:rsid w:val="00CD62B3"/>
    <w:rsid w:val="00CD692C"/>
    <w:rsid w:val="00CD6ADC"/>
    <w:rsid w:val="00CD6EC0"/>
    <w:rsid w:val="00CD6F2E"/>
    <w:rsid w:val="00CD7193"/>
    <w:rsid w:val="00CD7984"/>
    <w:rsid w:val="00CD79FC"/>
    <w:rsid w:val="00CE008F"/>
    <w:rsid w:val="00CE06E5"/>
    <w:rsid w:val="00CE071B"/>
    <w:rsid w:val="00CE0B3F"/>
    <w:rsid w:val="00CE0C1B"/>
    <w:rsid w:val="00CE108B"/>
    <w:rsid w:val="00CE11B3"/>
    <w:rsid w:val="00CE1CF1"/>
    <w:rsid w:val="00CE1F5A"/>
    <w:rsid w:val="00CE2769"/>
    <w:rsid w:val="00CE38C8"/>
    <w:rsid w:val="00CE3D4F"/>
    <w:rsid w:val="00CE3E11"/>
    <w:rsid w:val="00CE3EAA"/>
    <w:rsid w:val="00CE4343"/>
    <w:rsid w:val="00CE4793"/>
    <w:rsid w:val="00CE483A"/>
    <w:rsid w:val="00CE4E0F"/>
    <w:rsid w:val="00CE524F"/>
    <w:rsid w:val="00CE58CC"/>
    <w:rsid w:val="00CE5D4C"/>
    <w:rsid w:val="00CE6274"/>
    <w:rsid w:val="00CE6447"/>
    <w:rsid w:val="00CE77B6"/>
    <w:rsid w:val="00CE77EF"/>
    <w:rsid w:val="00CE7CAF"/>
    <w:rsid w:val="00CF065E"/>
    <w:rsid w:val="00CF0E40"/>
    <w:rsid w:val="00CF185C"/>
    <w:rsid w:val="00CF1C6B"/>
    <w:rsid w:val="00CF1D17"/>
    <w:rsid w:val="00CF1F48"/>
    <w:rsid w:val="00CF2127"/>
    <w:rsid w:val="00CF24DF"/>
    <w:rsid w:val="00CF2925"/>
    <w:rsid w:val="00CF2B8D"/>
    <w:rsid w:val="00CF2D6A"/>
    <w:rsid w:val="00CF2E87"/>
    <w:rsid w:val="00CF305B"/>
    <w:rsid w:val="00CF3279"/>
    <w:rsid w:val="00CF36B8"/>
    <w:rsid w:val="00CF3804"/>
    <w:rsid w:val="00CF3A1B"/>
    <w:rsid w:val="00CF3A2F"/>
    <w:rsid w:val="00CF3E40"/>
    <w:rsid w:val="00CF4119"/>
    <w:rsid w:val="00CF456B"/>
    <w:rsid w:val="00CF4DDD"/>
    <w:rsid w:val="00CF5982"/>
    <w:rsid w:val="00CF5A22"/>
    <w:rsid w:val="00CF5D7F"/>
    <w:rsid w:val="00CF5E72"/>
    <w:rsid w:val="00CF5EB5"/>
    <w:rsid w:val="00CF605F"/>
    <w:rsid w:val="00CF653B"/>
    <w:rsid w:val="00CF6B60"/>
    <w:rsid w:val="00CF7631"/>
    <w:rsid w:val="00CF7BCF"/>
    <w:rsid w:val="00D00036"/>
    <w:rsid w:val="00D00326"/>
    <w:rsid w:val="00D004D1"/>
    <w:rsid w:val="00D009DA"/>
    <w:rsid w:val="00D00A79"/>
    <w:rsid w:val="00D00C9B"/>
    <w:rsid w:val="00D00DAB"/>
    <w:rsid w:val="00D01AA9"/>
    <w:rsid w:val="00D01B48"/>
    <w:rsid w:val="00D025BB"/>
    <w:rsid w:val="00D0262E"/>
    <w:rsid w:val="00D02ED8"/>
    <w:rsid w:val="00D02FFF"/>
    <w:rsid w:val="00D03288"/>
    <w:rsid w:val="00D034E6"/>
    <w:rsid w:val="00D03679"/>
    <w:rsid w:val="00D0391A"/>
    <w:rsid w:val="00D03A87"/>
    <w:rsid w:val="00D03AB5"/>
    <w:rsid w:val="00D03E66"/>
    <w:rsid w:val="00D04604"/>
    <w:rsid w:val="00D046D2"/>
    <w:rsid w:val="00D04A5B"/>
    <w:rsid w:val="00D04B96"/>
    <w:rsid w:val="00D04E28"/>
    <w:rsid w:val="00D05208"/>
    <w:rsid w:val="00D05573"/>
    <w:rsid w:val="00D05CC2"/>
    <w:rsid w:val="00D05D2F"/>
    <w:rsid w:val="00D05E3D"/>
    <w:rsid w:val="00D06139"/>
    <w:rsid w:val="00D063E0"/>
    <w:rsid w:val="00D06B85"/>
    <w:rsid w:val="00D06D74"/>
    <w:rsid w:val="00D07393"/>
    <w:rsid w:val="00D076E1"/>
    <w:rsid w:val="00D0774B"/>
    <w:rsid w:val="00D07A05"/>
    <w:rsid w:val="00D07ED5"/>
    <w:rsid w:val="00D10593"/>
    <w:rsid w:val="00D110BD"/>
    <w:rsid w:val="00D1148E"/>
    <w:rsid w:val="00D11842"/>
    <w:rsid w:val="00D11E1A"/>
    <w:rsid w:val="00D11ED7"/>
    <w:rsid w:val="00D120BA"/>
    <w:rsid w:val="00D125A5"/>
    <w:rsid w:val="00D12993"/>
    <w:rsid w:val="00D12B97"/>
    <w:rsid w:val="00D12DBA"/>
    <w:rsid w:val="00D12F77"/>
    <w:rsid w:val="00D1356E"/>
    <w:rsid w:val="00D13675"/>
    <w:rsid w:val="00D13817"/>
    <w:rsid w:val="00D1388D"/>
    <w:rsid w:val="00D13ADD"/>
    <w:rsid w:val="00D141B2"/>
    <w:rsid w:val="00D141E1"/>
    <w:rsid w:val="00D143D7"/>
    <w:rsid w:val="00D14459"/>
    <w:rsid w:val="00D146AA"/>
    <w:rsid w:val="00D147C4"/>
    <w:rsid w:val="00D147CD"/>
    <w:rsid w:val="00D1486C"/>
    <w:rsid w:val="00D149EE"/>
    <w:rsid w:val="00D14C08"/>
    <w:rsid w:val="00D15113"/>
    <w:rsid w:val="00D15314"/>
    <w:rsid w:val="00D15596"/>
    <w:rsid w:val="00D159E7"/>
    <w:rsid w:val="00D15A4A"/>
    <w:rsid w:val="00D15B48"/>
    <w:rsid w:val="00D15DFF"/>
    <w:rsid w:val="00D161AD"/>
    <w:rsid w:val="00D1629D"/>
    <w:rsid w:val="00D16B1A"/>
    <w:rsid w:val="00D16C3D"/>
    <w:rsid w:val="00D1717E"/>
    <w:rsid w:val="00D17330"/>
    <w:rsid w:val="00D17766"/>
    <w:rsid w:val="00D17D6C"/>
    <w:rsid w:val="00D20158"/>
    <w:rsid w:val="00D2055C"/>
    <w:rsid w:val="00D205D7"/>
    <w:rsid w:val="00D209EE"/>
    <w:rsid w:val="00D20F24"/>
    <w:rsid w:val="00D21203"/>
    <w:rsid w:val="00D2155B"/>
    <w:rsid w:val="00D218F4"/>
    <w:rsid w:val="00D21B9C"/>
    <w:rsid w:val="00D21ED9"/>
    <w:rsid w:val="00D2202D"/>
    <w:rsid w:val="00D22121"/>
    <w:rsid w:val="00D22327"/>
    <w:rsid w:val="00D2332A"/>
    <w:rsid w:val="00D23B4E"/>
    <w:rsid w:val="00D23D11"/>
    <w:rsid w:val="00D24191"/>
    <w:rsid w:val="00D244B6"/>
    <w:rsid w:val="00D246AB"/>
    <w:rsid w:val="00D2537E"/>
    <w:rsid w:val="00D255A8"/>
    <w:rsid w:val="00D25701"/>
    <w:rsid w:val="00D257EB"/>
    <w:rsid w:val="00D25A93"/>
    <w:rsid w:val="00D25CD2"/>
    <w:rsid w:val="00D25D62"/>
    <w:rsid w:val="00D261D8"/>
    <w:rsid w:val="00D2659F"/>
    <w:rsid w:val="00D269AD"/>
    <w:rsid w:val="00D26B44"/>
    <w:rsid w:val="00D2704F"/>
    <w:rsid w:val="00D27338"/>
    <w:rsid w:val="00D2754D"/>
    <w:rsid w:val="00D278C7"/>
    <w:rsid w:val="00D27B27"/>
    <w:rsid w:val="00D27B7B"/>
    <w:rsid w:val="00D27D9F"/>
    <w:rsid w:val="00D27FD4"/>
    <w:rsid w:val="00D3006F"/>
    <w:rsid w:val="00D3096D"/>
    <w:rsid w:val="00D30D5B"/>
    <w:rsid w:val="00D30D62"/>
    <w:rsid w:val="00D316CC"/>
    <w:rsid w:val="00D317C0"/>
    <w:rsid w:val="00D31D06"/>
    <w:rsid w:val="00D31D74"/>
    <w:rsid w:val="00D321E5"/>
    <w:rsid w:val="00D32200"/>
    <w:rsid w:val="00D32308"/>
    <w:rsid w:val="00D323A4"/>
    <w:rsid w:val="00D324C4"/>
    <w:rsid w:val="00D32662"/>
    <w:rsid w:val="00D327FA"/>
    <w:rsid w:val="00D3282A"/>
    <w:rsid w:val="00D339AE"/>
    <w:rsid w:val="00D33B81"/>
    <w:rsid w:val="00D33BE9"/>
    <w:rsid w:val="00D33F93"/>
    <w:rsid w:val="00D34295"/>
    <w:rsid w:val="00D34354"/>
    <w:rsid w:val="00D34673"/>
    <w:rsid w:val="00D34FF3"/>
    <w:rsid w:val="00D3525A"/>
    <w:rsid w:val="00D35398"/>
    <w:rsid w:val="00D353BC"/>
    <w:rsid w:val="00D357FF"/>
    <w:rsid w:val="00D35CAA"/>
    <w:rsid w:val="00D35D15"/>
    <w:rsid w:val="00D35D3B"/>
    <w:rsid w:val="00D362E5"/>
    <w:rsid w:val="00D36ACA"/>
    <w:rsid w:val="00D36F42"/>
    <w:rsid w:val="00D37D54"/>
    <w:rsid w:val="00D409A3"/>
    <w:rsid w:val="00D40E3B"/>
    <w:rsid w:val="00D40FA4"/>
    <w:rsid w:val="00D412CB"/>
    <w:rsid w:val="00D41805"/>
    <w:rsid w:val="00D41F56"/>
    <w:rsid w:val="00D424C7"/>
    <w:rsid w:val="00D42B17"/>
    <w:rsid w:val="00D430A8"/>
    <w:rsid w:val="00D432BD"/>
    <w:rsid w:val="00D43786"/>
    <w:rsid w:val="00D43B2A"/>
    <w:rsid w:val="00D43CAC"/>
    <w:rsid w:val="00D43CC7"/>
    <w:rsid w:val="00D43CF1"/>
    <w:rsid w:val="00D43D83"/>
    <w:rsid w:val="00D43EB0"/>
    <w:rsid w:val="00D43FB6"/>
    <w:rsid w:val="00D444CF"/>
    <w:rsid w:val="00D44BE4"/>
    <w:rsid w:val="00D45442"/>
    <w:rsid w:val="00D4547D"/>
    <w:rsid w:val="00D4615E"/>
    <w:rsid w:val="00D464A3"/>
    <w:rsid w:val="00D46851"/>
    <w:rsid w:val="00D46D44"/>
    <w:rsid w:val="00D47575"/>
    <w:rsid w:val="00D47C3A"/>
    <w:rsid w:val="00D47DC3"/>
    <w:rsid w:val="00D47E96"/>
    <w:rsid w:val="00D50B52"/>
    <w:rsid w:val="00D50B5D"/>
    <w:rsid w:val="00D50C6B"/>
    <w:rsid w:val="00D50D35"/>
    <w:rsid w:val="00D51747"/>
    <w:rsid w:val="00D5183A"/>
    <w:rsid w:val="00D51DF0"/>
    <w:rsid w:val="00D52304"/>
    <w:rsid w:val="00D5231D"/>
    <w:rsid w:val="00D5243B"/>
    <w:rsid w:val="00D52E3A"/>
    <w:rsid w:val="00D533EC"/>
    <w:rsid w:val="00D537EC"/>
    <w:rsid w:val="00D53B1B"/>
    <w:rsid w:val="00D54E8B"/>
    <w:rsid w:val="00D54EE7"/>
    <w:rsid w:val="00D553E7"/>
    <w:rsid w:val="00D5548F"/>
    <w:rsid w:val="00D55D2F"/>
    <w:rsid w:val="00D561C3"/>
    <w:rsid w:val="00D56A95"/>
    <w:rsid w:val="00D56C4A"/>
    <w:rsid w:val="00D57004"/>
    <w:rsid w:val="00D570F3"/>
    <w:rsid w:val="00D5724A"/>
    <w:rsid w:val="00D57313"/>
    <w:rsid w:val="00D5787C"/>
    <w:rsid w:val="00D57912"/>
    <w:rsid w:val="00D57967"/>
    <w:rsid w:val="00D57A3C"/>
    <w:rsid w:val="00D6076E"/>
    <w:rsid w:val="00D608F0"/>
    <w:rsid w:val="00D60F7E"/>
    <w:rsid w:val="00D6137B"/>
    <w:rsid w:val="00D61941"/>
    <w:rsid w:val="00D61BC1"/>
    <w:rsid w:val="00D61EFE"/>
    <w:rsid w:val="00D62AD3"/>
    <w:rsid w:val="00D62F82"/>
    <w:rsid w:val="00D63F36"/>
    <w:rsid w:val="00D64184"/>
    <w:rsid w:val="00D64B40"/>
    <w:rsid w:val="00D64B93"/>
    <w:rsid w:val="00D64C6D"/>
    <w:rsid w:val="00D64E1B"/>
    <w:rsid w:val="00D65C8F"/>
    <w:rsid w:val="00D66CEE"/>
    <w:rsid w:val="00D66F66"/>
    <w:rsid w:val="00D66F9C"/>
    <w:rsid w:val="00D67251"/>
    <w:rsid w:val="00D674AB"/>
    <w:rsid w:val="00D67944"/>
    <w:rsid w:val="00D67ABB"/>
    <w:rsid w:val="00D67C6B"/>
    <w:rsid w:val="00D7000F"/>
    <w:rsid w:val="00D70349"/>
    <w:rsid w:val="00D703D0"/>
    <w:rsid w:val="00D7075A"/>
    <w:rsid w:val="00D70F16"/>
    <w:rsid w:val="00D7119E"/>
    <w:rsid w:val="00D71389"/>
    <w:rsid w:val="00D72617"/>
    <w:rsid w:val="00D72C7C"/>
    <w:rsid w:val="00D72F57"/>
    <w:rsid w:val="00D732BE"/>
    <w:rsid w:val="00D73385"/>
    <w:rsid w:val="00D7482A"/>
    <w:rsid w:val="00D752AE"/>
    <w:rsid w:val="00D752BD"/>
    <w:rsid w:val="00D756FF"/>
    <w:rsid w:val="00D75E7A"/>
    <w:rsid w:val="00D7653D"/>
    <w:rsid w:val="00D76655"/>
    <w:rsid w:val="00D769D2"/>
    <w:rsid w:val="00D76A44"/>
    <w:rsid w:val="00D76C02"/>
    <w:rsid w:val="00D76C37"/>
    <w:rsid w:val="00D76F39"/>
    <w:rsid w:val="00D770E8"/>
    <w:rsid w:val="00D77D74"/>
    <w:rsid w:val="00D80730"/>
    <w:rsid w:val="00D8091B"/>
    <w:rsid w:val="00D811F7"/>
    <w:rsid w:val="00D815EF"/>
    <w:rsid w:val="00D81949"/>
    <w:rsid w:val="00D81A77"/>
    <w:rsid w:val="00D81D81"/>
    <w:rsid w:val="00D81E7F"/>
    <w:rsid w:val="00D81F26"/>
    <w:rsid w:val="00D82030"/>
    <w:rsid w:val="00D822E2"/>
    <w:rsid w:val="00D826BC"/>
    <w:rsid w:val="00D82D4F"/>
    <w:rsid w:val="00D8319D"/>
    <w:rsid w:val="00D833D9"/>
    <w:rsid w:val="00D83494"/>
    <w:rsid w:val="00D8372E"/>
    <w:rsid w:val="00D83AE5"/>
    <w:rsid w:val="00D843F2"/>
    <w:rsid w:val="00D845FF"/>
    <w:rsid w:val="00D84B2C"/>
    <w:rsid w:val="00D84D77"/>
    <w:rsid w:val="00D84F6C"/>
    <w:rsid w:val="00D850B4"/>
    <w:rsid w:val="00D85868"/>
    <w:rsid w:val="00D86180"/>
    <w:rsid w:val="00D86231"/>
    <w:rsid w:val="00D86346"/>
    <w:rsid w:val="00D8640F"/>
    <w:rsid w:val="00D86ADF"/>
    <w:rsid w:val="00D86C7F"/>
    <w:rsid w:val="00D86F2A"/>
    <w:rsid w:val="00D87571"/>
    <w:rsid w:val="00D87A52"/>
    <w:rsid w:val="00D87AEF"/>
    <w:rsid w:val="00D87FAB"/>
    <w:rsid w:val="00D90748"/>
    <w:rsid w:val="00D907AC"/>
    <w:rsid w:val="00D90AFA"/>
    <w:rsid w:val="00D912AB"/>
    <w:rsid w:val="00D91599"/>
    <w:rsid w:val="00D91608"/>
    <w:rsid w:val="00D91923"/>
    <w:rsid w:val="00D919A8"/>
    <w:rsid w:val="00D91C8A"/>
    <w:rsid w:val="00D92D9D"/>
    <w:rsid w:val="00D92DF9"/>
    <w:rsid w:val="00D933CC"/>
    <w:rsid w:val="00D93641"/>
    <w:rsid w:val="00D93753"/>
    <w:rsid w:val="00D93A60"/>
    <w:rsid w:val="00D93DDA"/>
    <w:rsid w:val="00D93E4C"/>
    <w:rsid w:val="00D93F01"/>
    <w:rsid w:val="00D943AC"/>
    <w:rsid w:val="00D94B61"/>
    <w:rsid w:val="00D952E8"/>
    <w:rsid w:val="00D956AE"/>
    <w:rsid w:val="00D95C50"/>
    <w:rsid w:val="00D95C66"/>
    <w:rsid w:val="00D95F67"/>
    <w:rsid w:val="00D9662B"/>
    <w:rsid w:val="00D968A7"/>
    <w:rsid w:val="00D96923"/>
    <w:rsid w:val="00D97656"/>
    <w:rsid w:val="00D97928"/>
    <w:rsid w:val="00D97CB6"/>
    <w:rsid w:val="00DA03C8"/>
    <w:rsid w:val="00DA05A4"/>
    <w:rsid w:val="00DA06BA"/>
    <w:rsid w:val="00DA1DB4"/>
    <w:rsid w:val="00DA254F"/>
    <w:rsid w:val="00DA2554"/>
    <w:rsid w:val="00DA25A2"/>
    <w:rsid w:val="00DA2729"/>
    <w:rsid w:val="00DA30EA"/>
    <w:rsid w:val="00DA3167"/>
    <w:rsid w:val="00DA31A1"/>
    <w:rsid w:val="00DA33C8"/>
    <w:rsid w:val="00DA3423"/>
    <w:rsid w:val="00DA3905"/>
    <w:rsid w:val="00DA3964"/>
    <w:rsid w:val="00DA414A"/>
    <w:rsid w:val="00DA442C"/>
    <w:rsid w:val="00DA47A2"/>
    <w:rsid w:val="00DA48BF"/>
    <w:rsid w:val="00DA4B97"/>
    <w:rsid w:val="00DA4DC3"/>
    <w:rsid w:val="00DA54FC"/>
    <w:rsid w:val="00DA5733"/>
    <w:rsid w:val="00DA5F45"/>
    <w:rsid w:val="00DA68C4"/>
    <w:rsid w:val="00DA6925"/>
    <w:rsid w:val="00DA6DAE"/>
    <w:rsid w:val="00DA71A1"/>
    <w:rsid w:val="00DA74AD"/>
    <w:rsid w:val="00DA76E3"/>
    <w:rsid w:val="00DA77A5"/>
    <w:rsid w:val="00DA783A"/>
    <w:rsid w:val="00DA7EE7"/>
    <w:rsid w:val="00DB027A"/>
    <w:rsid w:val="00DB0E36"/>
    <w:rsid w:val="00DB1261"/>
    <w:rsid w:val="00DB132B"/>
    <w:rsid w:val="00DB14FF"/>
    <w:rsid w:val="00DB1D3A"/>
    <w:rsid w:val="00DB1FD5"/>
    <w:rsid w:val="00DB213C"/>
    <w:rsid w:val="00DB2316"/>
    <w:rsid w:val="00DB2723"/>
    <w:rsid w:val="00DB28BE"/>
    <w:rsid w:val="00DB297B"/>
    <w:rsid w:val="00DB2A65"/>
    <w:rsid w:val="00DB2B35"/>
    <w:rsid w:val="00DB2DA9"/>
    <w:rsid w:val="00DB2DB9"/>
    <w:rsid w:val="00DB2E7A"/>
    <w:rsid w:val="00DB3208"/>
    <w:rsid w:val="00DB3DBF"/>
    <w:rsid w:val="00DB484F"/>
    <w:rsid w:val="00DB4A35"/>
    <w:rsid w:val="00DB4D8E"/>
    <w:rsid w:val="00DB4DB8"/>
    <w:rsid w:val="00DB5058"/>
    <w:rsid w:val="00DB535C"/>
    <w:rsid w:val="00DB5614"/>
    <w:rsid w:val="00DB5677"/>
    <w:rsid w:val="00DB572F"/>
    <w:rsid w:val="00DB58CA"/>
    <w:rsid w:val="00DB6101"/>
    <w:rsid w:val="00DB613A"/>
    <w:rsid w:val="00DB62AF"/>
    <w:rsid w:val="00DB6407"/>
    <w:rsid w:val="00DB6858"/>
    <w:rsid w:val="00DB6B73"/>
    <w:rsid w:val="00DB6B81"/>
    <w:rsid w:val="00DB7749"/>
    <w:rsid w:val="00DC0215"/>
    <w:rsid w:val="00DC03F9"/>
    <w:rsid w:val="00DC04F6"/>
    <w:rsid w:val="00DC0690"/>
    <w:rsid w:val="00DC089C"/>
    <w:rsid w:val="00DC1406"/>
    <w:rsid w:val="00DC1439"/>
    <w:rsid w:val="00DC1B19"/>
    <w:rsid w:val="00DC1CA3"/>
    <w:rsid w:val="00DC1D65"/>
    <w:rsid w:val="00DC21AB"/>
    <w:rsid w:val="00DC24A1"/>
    <w:rsid w:val="00DC280D"/>
    <w:rsid w:val="00DC2919"/>
    <w:rsid w:val="00DC2A35"/>
    <w:rsid w:val="00DC2D9C"/>
    <w:rsid w:val="00DC2E44"/>
    <w:rsid w:val="00DC2E72"/>
    <w:rsid w:val="00DC3078"/>
    <w:rsid w:val="00DC33C5"/>
    <w:rsid w:val="00DC33F1"/>
    <w:rsid w:val="00DC351F"/>
    <w:rsid w:val="00DC3C57"/>
    <w:rsid w:val="00DC4006"/>
    <w:rsid w:val="00DC4677"/>
    <w:rsid w:val="00DC5501"/>
    <w:rsid w:val="00DC5CAB"/>
    <w:rsid w:val="00DC5DE4"/>
    <w:rsid w:val="00DC6157"/>
    <w:rsid w:val="00DC6243"/>
    <w:rsid w:val="00DC693C"/>
    <w:rsid w:val="00DC6A0D"/>
    <w:rsid w:val="00DC70FC"/>
    <w:rsid w:val="00DC7154"/>
    <w:rsid w:val="00DC7E52"/>
    <w:rsid w:val="00DC7E8A"/>
    <w:rsid w:val="00DC7F67"/>
    <w:rsid w:val="00DD0BDF"/>
    <w:rsid w:val="00DD0F78"/>
    <w:rsid w:val="00DD103F"/>
    <w:rsid w:val="00DD15AF"/>
    <w:rsid w:val="00DD22E1"/>
    <w:rsid w:val="00DD273C"/>
    <w:rsid w:val="00DD291C"/>
    <w:rsid w:val="00DD2DE2"/>
    <w:rsid w:val="00DD2F4C"/>
    <w:rsid w:val="00DD2FDD"/>
    <w:rsid w:val="00DD3167"/>
    <w:rsid w:val="00DD3D6A"/>
    <w:rsid w:val="00DD3F28"/>
    <w:rsid w:val="00DD4446"/>
    <w:rsid w:val="00DD4537"/>
    <w:rsid w:val="00DD4B1C"/>
    <w:rsid w:val="00DD4DF6"/>
    <w:rsid w:val="00DD4E15"/>
    <w:rsid w:val="00DD50E2"/>
    <w:rsid w:val="00DD532C"/>
    <w:rsid w:val="00DD548B"/>
    <w:rsid w:val="00DD5565"/>
    <w:rsid w:val="00DD5659"/>
    <w:rsid w:val="00DD5CBC"/>
    <w:rsid w:val="00DD5D5A"/>
    <w:rsid w:val="00DD620B"/>
    <w:rsid w:val="00DD6DF5"/>
    <w:rsid w:val="00DD738A"/>
    <w:rsid w:val="00DD7CE7"/>
    <w:rsid w:val="00DD7EF0"/>
    <w:rsid w:val="00DE0259"/>
    <w:rsid w:val="00DE0431"/>
    <w:rsid w:val="00DE0E3E"/>
    <w:rsid w:val="00DE1841"/>
    <w:rsid w:val="00DE2304"/>
    <w:rsid w:val="00DE2336"/>
    <w:rsid w:val="00DE27CF"/>
    <w:rsid w:val="00DE28E2"/>
    <w:rsid w:val="00DE3138"/>
    <w:rsid w:val="00DE37F8"/>
    <w:rsid w:val="00DE38C7"/>
    <w:rsid w:val="00DE38FA"/>
    <w:rsid w:val="00DE390D"/>
    <w:rsid w:val="00DE4014"/>
    <w:rsid w:val="00DE4273"/>
    <w:rsid w:val="00DE4B4D"/>
    <w:rsid w:val="00DE4BFF"/>
    <w:rsid w:val="00DE4FCB"/>
    <w:rsid w:val="00DE5049"/>
    <w:rsid w:val="00DE53C3"/>
    <w:rsid w:val="00DE5B6D"/>
    <w:rsid w:val="00DE5D07"/>
    <w:rsid w:val="00DE5E0F"/>
    <w:rsid w:val="00DE5F25"/>
    <w:rsid w:val="00DE72A7"/>
    <w:rsid w:val="00DE72FF"/>
    <w:rsid w:val="00DE7832"/>
    <w:rsid w:val="00DE79CA"/>
    <w:rsid w:val="00DE7F0D"/>
    <w:rsid w:val="00DF00F0"/>
    <w:rsid w:val="00DF033D"/>
    <w:rsid w:val="00DF050F"/>
    <w:rsid w:val="00DF0D84"/>
    <w:rsid w:val="00DF1146"/>
    <w:rsid w:val="00DF1781"/>
    <w:rsid w:val="00DF18FC"/>
    <w:rsid w:val="00DF20BB"/>
    <w:rsid w:val="00DF2AF7"/>
    <w:rsid w:val="00DF31E2"/>
    <w:rsid w:val="00DF395C"/>
    <w:rsid w:val="00DF3AE4"/>
    <w:rsid w:val="00DF3CEC"/>
    <w:rsid w:val="00DF3FAF"/>
    <w:rsid w:val="00DF4101"/>
    <w:rsid w:val="00DF44EE"/>
    <w:rsid w:val="00DF4822"/>
    <w:rsid w:val="00DF4AF9"/>
    <w:rsid w:val="00DF4FCB"/>
    <w:rsid w:val="00DF54D2"/>
    <w:rsid w:val="00DF5D2B"/>
    <w:rsid w:val="00DF5E52"/>
    <w:rsid w:val="00DF6031"/>
    <w:rsid w:val="00DF606D"/>
    <w:rsid w:val="00DF6341"/>
    <w:rsid w:val="00DF7848"/>
    <w:rsid w:val="00DF7913"/>
    <w:rsid w:val="00DF7B23"/>
    <w:rsid w:val="00DF7E80"/>
    <w:rsid w:val="00E00E8E"/>
    <w:rsid w:val="00E01AD2"/>
    <w:rsid w:val="00E01EA4"/>
    <w:rsid w:val="00E0270B"/>
    <w:rsid w:val="00E02792"/>
    <w:rsid w:val="00E0282E"/>
    <w:rsid w:val="00E0291A"/>
    <w:rsid w:val="00E02BEA"/>
    <w:rsid w:val="00E02C57"/>
    <w:rsid w:val="00E02D1E"/>
    <w:rsid w:val="00E02DD9"/>
    <w:rsid w:val="00E02FA2"/>
    <w:rsid w:val="00E032F5"/>
    <w:rsid w:val="00E032F6"/>
    <w:rsid w:val="00E033DE"/>
    <w:rsid w:val="00E04371"/>
    <w:rsid w:val="00E043D4"/>
    <w:rsid w:val="00E04DDE"/>
    <w:rsid w:val="00E054C2"/>
    <w:rsid w:val="00E05630"/>
    <w:rsid w:val="00E05687"/>
    <w:rsid w:val="00E056F3"/>
    <w:rsid w:val="00E05C18"/>
    <w:rsid w:val="00E05C49"/>
    <w:rsid w:val="00E0610C"/>
    <w:rsid w:val="00E06165"/>
    <w:rsid w:val="00E06894"/>
    <w:rsid w:val="00E068AD"/>
    <w:rsid w:val="00E06BE8"/>
    <w:rsid w:val="00E06DBB"/>
    <w:rsid w:val="00E06EA7"/>
    <w:rsid w:val="00E06F35"/>
    <w:rsid w:val="00E07132"/>
    <w:rsid w:val="00E07139"/>
    <w:rsid w:val="00E07440"/>
    <w:rsid w:val="00E07B67"/>
    <w:rsid w:val="00E07C04"/>
    <w:rsid w:val="00E100B8"/>
    <w:rsid w:val="00E10149"/>
    <w:rsid w:val="00E10580"/>
    <w:rsid w:val="00E1063F"/>
    <w:rsid w:val="00E10F9D"/>
    <w:rsid w:val="00E11340"/>
    <w:rsid w:val="00E11C4C"/>
    <w:rsid w:val="00E11C9E"/>
    <w:rsid w:val="00E11DF0"/>
    <w:rsid w:val="00E11EA7"/>
    <w:rsid w:val="00E122A1"/>
    <w:rsid w:val="00E127E3"/>
    <w:rsid w:val="00E12850"/>
    <w:rsid w:val="00E1370B"/>
    <w:rsid w:val="00E1396D"/>
    <w:rsid w:val="00E13D7A"/>
    <w:rsid w:val="00E1466B"/>
    <w:rsid w:val="00E14B4A"/>
    <w:rsid w:val="00E151D4"/>
    <w:rsid w:val="00E153FF"/>
    <w:rsid w:val="00E15B6E"/>
    <w:rsid w:val="00E15EE3"/>
    <w:rsid w:val="00E16372"/>
    <w:rsid w:val="00E16744"/>
    <w:rsid w:val="00E16AD8"/>
    <w:rsid w:val="00E16D5A"/>
    <w:rsid w:val="00E16DCA"/>
    <w:rsid w:val="00E172CF"/>
    <w:rsid w:val="00E17400"/>
    <w:rsid w:val="00E178DB"/>
    <w:rsid w:val="00E179A8"/>
    <w:rsid w:val="00E17FFA"/>
    <w:rsid w:val="00E20900"/>
    <w:rsid w:val="00E20C9E"/>
    <w:rsid w:val="00E20E4C"/>
    <w:rsid w:val="00E20E4D"/>
    <w:rsid w:val="00E20ED6"/>
    <w:rsid w:val="00E20F4F"/>
    <w:rsid w:val="00E21358"/>
    <w:rsid w:val="00E21852"/>
    <w:rsid w:val="00E21DA0"/>
    <w:rsid w:val="00E2206F"/>
    <w:rsid w:val="00E2249B"/>
    <w:rsid w:val="00E22564"/>
    <w:rsid w:val="00E2288D"/>
    <w:rsid w:val="00E22A0D"/>
    <w:rsid w:val="00E22E94"/>
    <w:rsid w:val="00E23537"/>
    <w:rsid w:val="00E2396F"/>
    <w:rsid w:val="00E23BD8"/>
    <w:rsid w:val="00E23C37"/>
    <w:rsid w:val="00E244F6"/>
    <w:rsid w:val="00E24502"/>
    <w:rsid w:val="00E24799"/>
    <w:rsid w:val="00E248E5"/>
    <w:rsid w:val="00E24B92"/>
    <w:rsid w:val="00E25676"/>
    <w:rsid w:val="00E258D0"/>
    <w:rsid w:val="00E258DB"/>
    <w:rsid w:val="00E25B33"/>
    <w:rsid w:val="00E25BA9"/>
    <w:rsid w:val="00E25F91"/>
    <w:rsid w:val="00E261AD"/>
    <w:rsid w:val="00E2649B"/>
    <w:rsid w:val="00E26513"/>
    <w:rsid w:val="00E2678D"/>
    <w:rsid w:val="00E26BE6"/>
    <w:rsid w:val="00E272C0"/>
    <w:rsid w:val="00E2771E"/>
    <w:rsid w:val="00E27F3C"/>
    <w:rsid w:val="00E300AF"/>
    <w:rsid w:val="00E30692"/>
    <w:rsid w:val="00E30B96"/>
    <w:rsid w:val="00E30C6B"/>
    <w:rsid w:val="00E311EF"/>
    <w:rsid w:val="00E317A1"/>
    <w:rsid w:val="00E319AE"/>
    <w:rsid w:val="00E320F8"/>
    <w:rsid w:val="00E32180"/>
    <w:rsid w:val="00E3220B"/>
    <w:rsid w:val="00E3262E"/>
    <w:rsid w:val="00E32991"/>
    <w:rsid w:val="00E32A66"/>
    <w:rsid w:val="00E3376E"/>
    <w:rsid w:val="00E33C84"/>
    <w:rsid w:val="00E34178"/>
    <w:rsid w:val="00E347A6"/>
    <w:rsid w:val="00E34927"/>
    <w:rsid w:val="00E34948"/>
    <w:rsid w:val="00E34A1F"/>
    <w:rsid w:val="00E35003"/>
    <w:rsid w:val="00E35163"/>
    <w:rsid w:val="00E35467"/>
    <w:rsid w:val="00E35873"/>
    <w:rsid w:val="00E36050"/>
    <w:rsid w:val="00E36271"/>
    <w:rsid w:val="00E36966"/>
    <w:rsid w:val="00E36B12"/>
    <w:rsid w:val="00E36D98"/>
    <w:rsid w:val="00E37569"/>
    <w:rsid w:val="00E379C4"/>
    <w:rsid w:val="00E401B2"/>
    <w:rsid w:val="00E40C5F"/>
    <w:rsid w:val="00E40CB3"/>
    <w:rsid w:val="00E413E1"/>
    <w:rsid w:val="00E41800"/>
    <w:rsid w:val="00E41ADD"/>
    <w:rsid w:val="00E41E30"/>
    <w:rsid w:val="00E41F46"/>
    <w:rsid w:val="00E425E3"/>
    <w:rsid w:val="00E42634"/>
    <w:rsid w:val="00E42DFC"/>
    <w:rsid w:val="00E42F73"/>
    <w:rsid w:val="00E43730"/>
    <w:rsid w:val="00E4387E"/>
    <w:rsid w:val="00E43A2D"/>
    <w:rsid w:val="00E43A93"/>
    <w:rsid w:val="00E43B6B"/>
    <w:rsid w:val="00E43D70"/>
    <w:rsid w:val="00E4417F"/>
    <w:rsid w:val="00E44420"/>
    <w:rsid w:val="00E44435"/>
    <w:rsid w:val="00E44A4C"/>
    <w:rsid w:val="00E44CD5"/>
    <w:rsid w:val="00E4500E"/>
    <w:rsid w:val="00E454D9"/>
    <w:rsid w:val="00E45801"/>
    <w:rsid w:val="00E45997"/>
    <w:rsid w:val="00E46248"/>
    <w:rsid w:val="00E4633D"/>
    <w:rsid w:val="00E463BB"/>
    <w:rsid w:val="00E466F3"/>
    <w:rsid w:val="00E46B08"/>
    <w:rsid w:val="00E47B2C"/>
    <w:rsid w:val="00E47FA9"/>
    <w:rsid w:val="00E505E2"/>
    <w:rsid w:val="00E506F8"/>
    <w:rsid w:val="00E50CFB"/>
    <w:rsid w:val="00E5145E"/>
    <w:rsid w:val="00E51560"/>
    <w:rsid w:val="00E51821"/>
    <w:rsid w:val="00E51FDC"/>
    <w:rsid w:val="00E528C2"/>
    <w:rsid w:val="00E52974"/>
    <w:rsid w:val="00E52D43"/>
    <w:rsid w:val="00E52D70"/>
    <w:rsid w:val="00E52EE3"/>
    <w:rsid w:val="00E53854"/>
    <w:rsid w:val="00E53926"/>
    <w:rsid w:val="00E53D27"/>
    <w:rsid w:val="00E53E63"/>
    <w:rsid w:val="00E53FC8"/>
    <w:rsid w:val="00E5404D"/>
    <w:rsid w:val="00E54347"/>
    <w:rsid w:val="00E543BC"/>
    <w:rsid w:val="00E54C0D"/>
    <w:rsid w:val="00E55424"/>
    <w:rsid w:val="00E55915"/>
    <w:rsid w:val="00E55A29"/>
    <w:rsid w:val="00E55AA5"/>
    <w:rsid w:val="00E55B9C"/>
    <w:rsid w:val="00E55BB5"/>
    <w:rsid w:val="00E55D85"/>
    <w:rsid w:val="00E564C9"/>
    <w:rsid w:val="00E56938"/>
    <w:rsid w:val="00E57236"/>
    <w:rsid w:val="00E57753"/>
    <w:rsid w:val="00E60413"/>
    <w:rsid w:val="00E60608"/>
    <w:rsid w:val="00E611DF"/>
    <w:rsid w:val="00E613BF"/>
    <w:rsid w:val="00E61955"/>
    <w:rsid w:val="00E627AB"/>
    <w:rsid w:val="00E62E47"/>
    <w:rsid w:val="00E630EF"/>
    <w:rsid w:val="00E631CC"/>
    <w:rsid w:val="00E6373E"/>
    <w:rsid w:val="00E63A1C"/>
    <w:rsid w:val="00E63AC3"/>
    <w:rsid w:val="00E63E21"/>
    <w:rsid w:val="00E64837"/>
    <w:rsid w:val="00E64B58"/>
    <w:rsid w:val="00E654E0"/>
    <w:rsid w:val="00E65AB3"/>
    <w:rsid w:val="00E65E79"/>
    <w:rsid w:val="00E65EE2"/>
    <w:rsid w:val="00E66711"/>
    <w:rsid w:val="00E66BA2"/>
    <w:rsid w:val="00E66FC3"/>
    <w:rsid w:val="00E672C3"/>
    <w:rsid w:val="00E67416"/>
    <w:rsid w:val="00E67869"/>
    <w:rsid w:val="00E67E5E"/>
    <w:rsid w:val="00E7072A"/>
    <w:rsid w:val="00E7098B"/>
    <w:rsid w:val="00E7129C"/>
    <w:rsid w:val="00E71346"/>
    <w:rsid w:val="00E718B6"/>
    <w:rsid w:val="00E71BA7"/>
    <w:rsid w:val="00E71CA1"/>
    <w:rsid w:val="00E72211"/>
    <w:rsid w:val="00E72220"/>
    <w:rsid w:val="00E723BA"/>
    <w:rsid w:val="00E72B0F"/>
    <w:rsid w:val="00E72B96"/>
    <w:rsid w:val="00E72E21"/>
    <w:rsid w:val="00E72FD3"/>
    <w:rsid w:val="00E730D3"/>
    <w:rsid w:val="00E73581"/>
    <w:rsid w:val="00E735B2"/>
    <w:rsid w:val="00E73623"/>
    <w:rsid w:val="00E73ABF"/>
    <w:rsid w:val="00E73F9D"/>
    <w:rsid w:val="00E74A7F"/>
    <w:rsid w:val="00E74B4B"/>
    <w:rsid w:val="00E74E2F"/>
    <w:rsid w:val="00E75561"/>
    <w:rsid w:val="00E75834"/>
    <w:rsid w:val="00E75A8C"/>
    <w:rsid w:val="00E75B40"/>
    <w:rsid w:val="00E75BE5"/>
    <w:rsid w:val="00E765D8"/>
    <w:rsid w:val="00E76674"/>
    <w:rsid w:val="00E76792"/>
    <w:rsid w:val="00E76A7B"/>
    <w:rsid w:val="00E76B8E"/>
    <w:rsid w:val="00E7700C"/>
    <w:rsid w:val="00E77383"/>
    <w:rsid w:val="00E77500"/>
    <w:rsid w:val="00E77A16"/>
    <w:rsid w:val="00E80BA8"/>
    <w:rsid w:val="00E80BF3"/>
    <w:rsid w:val="00E80C68"/>
    <w:rsid w:val="00E8156C"/>
    <w:rsid w:val="00E8162F"/>
    <w:rsid w:val="00E81841"/>
    <w:rsid w:val="00E81DBB"/>
    <w:rsid w:val="00E8211F"/>
    <w:rsid w:val="00E824B6"/>
    <w:rsid w:val="00E82611"/>
    <w:rsid w:val="00E82CA3"/>
    <w:rsid w:val="00E82D8F"/>
    <w:rsid w:val="00E833F7"/>
    <w:rsid w:val="00E83485"/>
    <w:rsid w:val="00E83649"/>
    <w:rsid w:val="00E83952"/>
    <w:rsid w:val="00E839FE"/>
    <w:rsid w:val="00E83BDF"/>
    <w:rsid w:val="00E84694"/>
    <w:rsid w:val="00E84763"/>
    <w:rsid w:val="00E84CAF"/>
    <w:rsid w:val="00E84E7D"/>
    <w:rsid w:val="00E85618"/>
    <w:rsid w:val="00E85865"/>
    <w:rsid w:val="00E85DE9"/>
    <w:rsid w:val="00E8618A"/>
    <w:rsid w:val="00E86B96"/>
    <w:rsid w:val="00E86FCC"/>
    <w:rsid w:val="00E8784E"/>
    <w:rsid w:val="00E8792C"/>
    <w:rsid w:val="00E87A1D"/>
    <w:rsid w:val="00E87B1E"/>
    <w:rsid w:val="00E900A7"/>
    <w:rsid w:val="00E900F4"/>
    <w:rsid w:val="00E90303"/>
    <w:rsid w:val="00E906D2"/>
    <w:rsid w:val="00E9074A"/>
    <w:rsid w:val="00E9094A"/>
    <w:rsid w:val="00E90D2B"/>
    <w:rsid w:val="00E90F86"/>
    <w:rsid w:val="00E9100D"/>
    <w:rsid w:val="00E911A0"/>
    <w:rsid w:val="00E91826"/>
    <w:rsid w:val="00E91CEA"/>
    <w:rsid w:val="00E91D0A"/>
    <w:rsid w:val="00E91D2C"/>
    <w:rsid w:val="00E91D35"/>
    <w:rsid w:val="00E926A5"/>
    <w:rsid w:val="00E928E1"/>
    <w:rsid w:val="00E929C9"/>
    <w:rsid w:val="00E931B6"/>
    <w:rsid w:val="00E9320B"/>
    <w:rsid w:val="00E93725"/>
    <w:rsid w:val="00E9376D"/>
    <w:rsid w:val="00E94480"/>
    <w:rsid w:val="00E944CA"/>
    <w:rsid w:val="00E944D9"/>
    <w:rsid w:val="00E946A2"/>
    <w:rsid w:val="00E94EC5"/>
    <w:rsid w:val="00E95233"/>
    <w:rsid w:val="00E95511"/>
    <w:rsid w:val="00E96099"/>
    <w:rsid w:val="00E962CC"/>
    <w:rsid w:val="00E9665E"/>
    <w:rsid w:val="00E968E1"/>
    <w:rsid w:val="00E96F2F"/>
    <w:rsid w:val="00E97392"/>
    <w:rsid w:val="00E97ADD"/>
    <w:rsid w:val="00EA0013"/>
    <w:rsid w:val="00EA01A2"/>
    <w:rsid w:val="00EA02E3"/>
    <w:rsid w:val="00EA0464"/>
    <w:rsid w:val="00EA0736"/>
    <w:rsid w:val="00EA0C8B"/>
    <w:rsid w:val="00EA0F9C"/>
    <w:rsid w:val="00EA17C3"/>
    <w:rsid w:val="00EA19CC"/>
    <w:rsid w:val="00EA1A5E"/>
    <w:rsid w:val="00EA1BAB"/>
    <w:rsid w:val="00EA1CBD"/>
    <w:rsid w:val="00EA1DF0"/>
    <w:rsid w:val="00EA1E0E"/>
    <w:rsid w:val="00EA1F6B"/>
    <w:rsid w:val="00EA24C3"/>
    <w:rsid w:val="00EA27BF"/>
    <w:rsid w:val="00EA2814"/>
    <w:rsid w:val="00EA2CAA"/>
    <w:rsid w:val="00EA2F80"/>
    <w:rsid w:val="00EA32D9"/>
    <w:rsid w:val="00EA3779"/>
    <w:rsid w:val="00EA3864"/>
    <w:rsid w:val="00EA3FC5"/>
    <w:rsid w:val="00EA3FCE"/>
    <w:rsid w:val="00EA4362"/>
    <w:rsid w:val="00EA471B"/>
    <w:rsid w:val="00EA481E"/>
    <w:rsid w:val="00EA4A24"/>
    <w:rsid w:val="00EA4A2D"/>
    <w:rsid w:val="00EA506E"/>
    <w:rsid w:val="00EA524B"/>
    <w:rsid w:val="00EA59E6"/>
    <w:rsid w:val="00EA5B01"/>
    <w:rsid w:val="00EA5CED"/>
    <w:rsid w:val="00EA5FE7"/>
    <w:rsid w:val="00EA62D1"/>
    <w:rsid w:val="00EA6723"/>
    <w:rsid w:val="00EA6DCC"/>
    <w:rsid w:val="00EA6FE8"/>
    <w:rsid w:val="00EA7110"/>
    <w:rsid w:val="00EA7286"/>
    <w:rsid w:val="00EA72AC"/>
    <w:rsid w:val="00EA7905"/>
    <w:rsid w:val="00EA7F1C"/>
    <w:rsid w:val="00EB03F0"/>
    <w:rsid w:val="00EB0B97"/>
    <w:rsid w:val="00EB0CD0"/>
    <w:rsid w:val="00EB0DF1"/>
    <w:rsid w:val="00EB1019"/>
    <w:rsid w:val="00EB12B2"/>
    <w:rsid w:val="00EB15B6"/>
    <w:rsid w:val="00EB16EC"/>
    <w:rsid w:val="00EB1ACE"/>
    <w:rsid w:val="00EB1CF9"/>
    <w:rsid w:val="00EB245E"/>
    <w:rsid w:val="00EB2991"/>
    <w:rsid w:val="00EB3114"/>
    <w:rsid w:val="00EB34AB"/>
    <w:rsid w:val="00EB3D06"/>
    <w:rsid w:val="00EB3D82"/>
    <w:rsid w:val="00EB4916"/>
    <w:rsid w:val="00EB50B2"/>
    <w:rsid w:val="00EB5DAD"/>
    <w:rsid w:val="00EB5EEF"/>
    <w:rsid w:val="00EB5F6D"/>
    <w:rsid w:val="00EB6160"/>
    <w:rsid w:val="00EB657B"/>
    <w:rsid w:val="00EB688E"/>
    <w:rsid w:val="00EC00C1"/>
    <w:rsid w:val="00EC00C9"/>
    <w:rsid w:val="00EC0833"/>
    <w:rsid w:val="00EC08C9"/>
    <w:rsid w:val="00EC0A63"/>
    <w:rsid w:val="00EC0BD8"/>
    <w:rsid w:val="00EC0DC4"/>
    <w:rsid w:val="00EC0DD9"/>
    <w:rsid w:val="00EC0EC3"/>
    <w:rsid w:val="00EC135F"/>
    <w:rsid w:val="00EC1E8A"/>
    <w:rsid w:val="00EC1F03"/>
    <w:rsid w:val="00EC1FB7"/>
    <w:rsid w:val="00EC21A5"/>
    <w:rsid w:val="00EC24C7"/>
    <w:rsid w:val="00EC2649"/>
    <w:rsid w:val="00EC2651"/>
    <w:rsid w:val="00EC26CE"/>
    <w:rsid w:val="00EC2B0C"/>
    <w:rsid w:val="00EC2E06"/>
    <w:rsid w:val="00EC2E7C"/>
    <w:rsid w:val="00EC2EEB"/>
    <w:rsid w:val="00EC2FB4"/>
    <w:rsid w:val="00EC31ED"/>
    <w:rsid w:val="00EC3201"/>
    <w:rsid w:val="00EC3893"/>
    <w:rsid w:val="00EC3BA7"/>
    <w:rsid w:val="00EC3C72"/>
    <w:rsid w:val="00EC3CD9"/>
    <w:rsid w:val="00EC40E8"/>
    <w:rsid w:val="00EC4BCF"/>
    <w:rsid w:val="00EC4C84"/>
    <w:rsid w:val="00EC4FDB"/>
    <w:rsid w:val="00EC5398"/>
    <w:rsid w:val="00EC5836"/>
    <w:rsid w:val="00EC5B30"/>
    <w:rsid w:val="00EC605D"/>
    <w:rsid w:val="00EC6218"/>
    <w:rsid w:val="00EC62CD"/>
    <w:rsid w:val="00EC688C"/>
    <w:rsid w:val="00EC6FBF"/>
    <w:rsid w:val="00EC76C3"/>
    <w:rsid w:val="00ED00FE"/>
    <w:rsid w:val="00ED01A6"/>
    <w:rsid w:val="00ED0567"/>
    <w:rsid w:val="00ED0CBB"/>
    <w:rsid w:val="00ED0E54"/>
    <w:rsid w:val="00ED12E3"/>
    <w:rsid w:val="00ED179D"/>
    <w:rsid w:val="00ED1D1C"/>
    <w:rsid w:val="00ED1E11"/>
    <w:rsid w:val="00ED1FBB"/>
    <w:rsid w:val="00ED2103"/>
    <w:rsid w:val="00ED2271"/>
    <w:rsid w:val="00ED26C9"/>
    <w:rsid w:val="00ED2749"/>
    <w:rsid w:val="00ED2A8A"/>
    <w:rsid w:val="00ED2F78"/>
    <w:rsid w:val="00ED33BD"/>
    <w:rsid w:val="00ED3568"/>
    <w:rsid w:val="00ED3581"/>
    <w:rsid w:val="00ED3C79"/>
    <w:rsid w:val="00ED3F59"/>
    <w:rsid w:val="00ED4057"/>
    <w:rsid w:val="00ED40D5"/>
    <w:rsid w:val="00ED4B04"/>
    <w:rsid w:val="00ED4D77"/>
    <w:rsid w:val="00ED53F4"/>
    <w:rsid w:val="00ED57EA"/>
    <w:rsid w:val="00ED5BD4"/>
    <w:rsid w:val="00ED5CAF"/>
    <w:rsid w:val="00ED6AE8"/>
    <w:rsid w:val="00ED6B1B"/>
    <w:rsid w:val="00ED6E10"/>
    <w:rsid w:val="00ED748F"/>
    <w:rsid w:val="00ED79C0"/>
    <w:rsid w:val="00ED7E06"/>
    <w:rsid w:val="00EE0257"/>
    <w:rsid w:val="00EE0276"/>
    <w:rsid w:val="00EE07D3"/>
    <w:rsid w:val="00EE0874"/>
    <w:rsid w:val="00EE0A9F"/>
    <w:rsid w:val="00EE0B97"/>
    <w:rsid w:val="00EE0F6B"/>
    <w:rsid w:val="00EE10B6"/>
    <w:rsid w:val="00EE13B8"/>
    <w:rsid w:val="00EE1996"/>
    <w:rsid w:val="00EE1C01"/>
    <w:rsid w:val="00EE22AF"/>
    <w:rsid w:val="00EE2326"/>
    <w:rsid w:val="00EE2B86"/>
    <w:rsid w:val="00EE347D"/>
    <w:rsid w:val="00EE38C2"/>
    <w:rsid w:val="00EE3930"/>
    <w:rsid w:val="00EE39F5"/>
    <w:rsid w:val="00EE44EA"/>
    <w:rsid w:val="00EE4572"/>
    <w:rsid w:val="00EE4A2D"/>
    <w:rsid w:val="00EE4AC4"/>
    <w:rsid w:val="00EE5FAE"/>
    <w:rsid w:val="00EE61A2"/>
    <w:rsid w:val="00EE62EE"/>
    <w:rsid w:val="00EE69D3"/>
    <w:rsid w:val="00EE6FE6"/>
    <w:rsid w:val="00EE7101"/>
    <w:rsid w:val="00EE77CD"/>
    <w:rsid w:val="00EE7C0D"/>
    <w:rsid w:val="00EF0171"/>
    <w:rsid w:val="00EF070C"/>
    <w:rsid w:val="00EF0911"/>
    <w:rsid w:val="00EF0A38"/>
    <w:rsid w:val="00EF0ADE"/>
    <w:rsid w:val="00EF1536"/>
    <w:rsid w:val="00EF1B25"/>
    <w:rsid w:val="00EF1DA0"/>
    <w:rsid w:val="00EF1DA9"/>
    <w:rsid w:val="00EF1F48"/>
    <w:rsid w:val="00EF200D"/>
    <w:rsid w:val="00EF2DE1"/>
    <w:rsid w:val="00EF31D4"/>
    <w:rsid w:val="00EF37C0"/>
    <w:rsid w:val="00EF3823"/>
    <w:rsid w:val="00EF398D"/>
    <w:rsid w:val="00EF3B5E"/>
    <w:rsid w:val="00EF3E14"/>
    <w:rsid w:val="00EF423A"/>
    <w:rsid w:val="00EF44BA"/>
    <w:rsid w:val="00EF4747"/>
    <w:rsid w:val="00EF4944"/>
    <w:rsid w:val="00EF49FE"/>
    <w:rsid w:val="00EF4BF8"/>
    <w:rsid w:val="00EF5356"/>
    <w:rsid w:val="00EF53C4"/>
    <w:rsid w:val="00EF5CD6"/>
    <w:rsid w:val="00EF62E9"/>
    <w:rsid w:val="00EF64A4"/>
    <w:rsid w:val="00EF6A94"/>
    <w:rsid w:val="00EF6C6A"/>
    <w:rsid w:val="00EF6CA5"/>
    <w:rsid w:val="00EF703E"/>
    <w:rsid w:val="00EF7A47"/>
    <w:rsid w:val="00F000D1"/>
    <w:rsid w:val="00F006C8"/>
    <w:rsid w:val="00F00893"/>
    <w:rsid w:val="00F01646"/>
    <w:rsid w:val="00F0180A"/>
    <w:rsid w:val="00F01AAB"/>
    <w:rsid w:val="00F01CCD"/>
    <w:rsid w:val="00F02253"/>
    <w:rsid w:val="00F02683"/>
    <w:rsid w:val="00F026EB"/>
    <w:rsid w:val="00F031E3"/>
    <w:rsid w:val="00F039AC"/>
    <w:rsid w:val="00F03C2E"/>
    <w:rsid w:val="00F03C55"/>
    <w:rsid w:val="00F04276"/>
    <w:rsid w:val="00F045AF"/>
    <w:rsid w:val="00F04A66"/>
    <w:rsid w:val="00F04B4B"/>
    <w:rsid w:val="00F04BA6"/>
    <w:rsid w:val="00F0516C"/>
    <w:rsid w:val="00F052B8"/>
    <w:rsid w:val="00F056C6"/>
    <w:rsid w:val="00F067A2"/>
    <w:rsid w:val="00F06B60"/>
    <w:rsid w:val="00F06C9B"/>
    <w:rsid w:val="00F072F0"/>
    <w:rsid w:val="00F07549"/>
    <w:rsid w:val="00F07B9E"/>
    <w:rsid w:val="00F07D4C"/>
    <w:rsid w:val="00F07FBC"/>
    <w:rsid w:val="00F102B6"/>
    <w:rsid w:val="00F103FC"/>
    <w:rsid w:val="00F10EEE"/>
    <w:rsid w:val="00F1116F"/>
    <w:rsid w:val="00F112DA"/>
    <w:rsid w:val="00F113C0"/>
    <w:rsid w:val="00F11561"/>
    <w:rsid w:val="00F1180C"/>
    <w:rsid w:val="00F11CCD"/>
    <w:rsid w:val="00F120F9"/>
    <w:rsid w:val="00F1222B"/>
    <w:rsid w:val="00F1263A"/>
    <w:rsid w:val="00F12AC7"/>
    <w:rsid w:val="00F139C5"/>
    <w:rsid w:val="00F13B13"/>
    <w:rsid w:val="00F1453D"/>
    <w:rsid w:val="00F14659"/>
    <w:rsid w:val="00F14717"/>
    <w:rsid w:val="00F14C75"/>
    <w:rsid w:val="00F15486"/>
    <w:rsid w:val="00F15790"/>
    <w:rsid w:val="00F158D5"/>
    <w:rsid w:val="00F15B77"/>
    <w:rsid w:val="00F15DC5"/>
    <w:rsid w:val="00F15E27"/>
    <w:rsid w:val="00F161B0"/>
    <w:rsid w:val="00F16459"/>
    <w:rsid w:val="00F16D6A"/>
    <w:rsid w:val="00F176DE"/>
    <w:rsid w:val="00F17A07"/>
    <w:rsid w:val="00F17ACD"/>
    <w:rsid w:val="00F201DA"/>
    <w:rsid w:val="00F202AB"/>
    <w:rsid w:val="00F2093E"/>
    <w:rsid w:val="00F20CE8"/>
    <w:rsid w:val="00F20DB8"/>
    <w:rsid w:val="00F20EE7"/>
    <w:rsid w:val="00F21236"/>
    <w:rsid w:val="00F21307"/>
    <w:rsid w:val="00F21A47"/>
    <w:rsid w:val="00F21BE0"/>
    <w:rsid w:val="00F21C8A"/>
    <w:rsid w:val="00F21D39"/>
    <w:rsid w:val="00F22239"/>
    <w:rsid w:val="00F224E9"/>
    <w:rsid w:val="00F225DF"/>
    <w:rsid w:val="00F22C5A"/>
    <w:rsid w:val="00F22FF4"/>
    <w:rsid w:val="00F2321D"/>
    <w:rsid w:val="00F237B9"/>
    <w:rsid w:val="00F23809"/>
    <w:rsid w:val="00F2393E"/>
    <w:rsid w:val="00F239DF"/>
    <w:rsid w:val="00F2422B"/>
    <w:rsid w:val="00F245A7"/>
    <w:rsid w:val="00F24837"/>
    <w:rsid w:val="00F2575F"/>
    <w:rsid w:val="00F25930"/>
    <w:rsid w:val="00F2606B"/>
    <w:rsid w:val="00F26DB6"/>
    <w:rsid w:val="00F26DD5"/>
    <w:rsid w:val="00F26ED9"/>
    <w:rsid w:val="00F273C1"/>
    <w:rsid w:val="00F273F1"/>
    <w:rsid w:val="00F27565"/>
    <w:rsid w:val="00F27737"/>
    <w:rsid w:val="00F27828"/>
    <w:rsid w:val="00F27935"/>
    <w:rsid w:val="00F3020D"/>
    <w:rsid w:val="00F305B9"/>
    <w:rsid w:val="00F30F73"/>
    <w:rsid w:val="00F310D4"/>
    <w:rsid w:val="00F31252"/>
    <w:rsid w:val="00F315DA"/>
    <w:rsid w:val="00F31CC0"/>
    <w:rsid w:val="00F31D5A"/>
    <w:rsid w:val="00F31DA7"/>
    <w:rsid w:val="00F31DB2"/>
    <w:rsid w:val="00F32C96"/>
    <w:rsid w:val="00F32EC2"/>
    <w:rsid w:val="00F33103"/>
    <w:rsid w:val="00F334A1"/>
    <w:rsid w:val="00F336F7"/>
    <w:rsid w:val="00F33975"/>
    <w:rsid w:val="00F33B4F"/>
    <w:rsid w:val="00F33DE9"/>
    <w:rsid w:val="00F33E81"/>
    <w:rsid w:val="00F3406A"/>
    <w:rsid w:val="00F3440B"/>
    <w:rsid w:val="00F3481A"/>
    <w:rsid w:val="00F348AF"/>
    <w:rsid w:val="00F35095"/>
    <w:rsid w:val="00F3543D"/>
    <w:rsid w:val="00F35E6D"/>
    <w:rsid w:val="00F35FB8"/>
    <w:rsid w:val="00F36100"/>
    <w:rsid w:val="00F3618A"/>
    <w:rsid w:val="00F3619A"/>
    <w:rsid w:val="00F3658D"/>
    <w:rsid w:val="00F36C4A"/>
    <w:rsid w:val="00F36E9E"/>
    <w:rsid w:val="00F36EBA"/>
    <w:rsid w:val="00F3729A"/>
    <w:rsid w:val="00F37459"/>
    <w:rsid w:val="00F37882"/>
    <w:rsid w:val="00F40AAA"/>
    <w:rsid w:val="00F40BA7"/>
    <w:rsid w:val="00F40E2B"/>
    <w:rsid w:val="00F40F9D"/>
    <w:rsid w:val="00F4142F"/>
    <w:rsid w:val="00F41535"/>
    <w:rsid w:val="00F4172E"/>
    <w:rsid w:val="00F41ACD"/>
    <w:rsid w:val="00F41DAE"/>
    <w:rsid w:val="00F42039"/>
    <w:rsid w:val="00F426E5"/>
    <w:rsid w:val="00F42FF5"/>
    <w:rsid w:val="00F44032"/>
    <w:rsid w:val="00F4495C"/>
    <w:rsid w:val="00F44DD6"/>
    <w:rsid w:val="00F44E2E"/>
    <w:rsid w:val="00F44ECE"/>
    <w:rsid w:val="00F4501E"/>
    <w:rsid w:val="00F45100"/>
    <w:rsid w:val="00F45300"/>
    <w:rsid w:val="00F45A57"/>
    <w:rsid w:val="00F45AC3"/>
    <w:rsid w:val="00F45B95"/>
    <w:rsid w:val="00F45F27"/>
    <w:rsid w:val="00F46124"/>
    <w:rsid w:val="00F4667D"/>
    <w:rsid w:val="00F46B37"/>
    <w:rsid w:val="00F46B8F"/>
    <w:rsid w:val="00F46C8B"/>
    <w:rsid w:val="00F46CB6"/>
    <w:rsid w:val="00F4756D"/>
    <w:rsid w:val="00F47DE8"/>
    <w:rsid w:val="00F50073"/>
    <w:rsid w:val="00F5033C"/>
    <w:rsid w:val="00F50861"/>
    <w:rsid w:val="00F50ACA"/>
    <w:rsid w:val="00F518FD"/>
    <w:rsid w:val="00F51FE8"/>
    <w:rsid w:val="00F52178"/>
    <w:rsid w:val="00F5272A"/>
    <w:rsid w:val="00F527F9"/>
    <w:rsid w:val="00F5293F"/>
    <w:rsid w:val="00F530F2"/>
    <w:rsid w:val="00F532B4"/>
    <w:rsid w:val="00F53A5A"/>
    <w:rsid w:val="00F5420A"/>
    <w:rsid w:val="00F54230"/>
    <w:rsid w:val="00F54274"/>
    <w:rsid w:val="00F542C1"/>
    <w:rsid w:val="00F543B6"/>
    <w:rsid w:val="00F5454E"/>
    <w:rsid w:val="00F550E3"/>
    <w:rsid w:val="00F559DA"/>
    <w:rsid w:val="00F55D06"/>
    <w:rsid w:val="00F55E73"/>
    <w:rsid w:val="00F55EDA"/>
    <w:rsid w:val="00F56084"/>
    <w:rsid w:val="00F56189"/>
    <w:rsid w:val="00F56695"/>
    <w:rsid w:val="00F568C2"/>
    <w:rsid w:val="00F56AB4"/>
    <w:rsid w:val="00F56C80"/>
    <w:rsid w:val="00F574E2"/>
    <w:rsid w:val="00F575DD"/>
    <w:rsid w:val="00F57662"/>
    <w:rsid w:val="00F57E14"/>
    <w:rsid w:val="00F60092"/>
    <w:rsid w:val="00F60915"/>
    <w:rsid w:val="00F60C15"/>
    <w:rsid w:val="00F60E34"/>
    <w:rsid w:val="00F60EF6"/>
    <w:rsid w:val="00F61194"/>
    <w:rsid w:val="00F616B2"/>
    <w:rsid w:val="00F61899"/>
    <w:rsid w:val="00F61A64"/>
    <w:rsid w:val="00F61C18"/>
    <w:rsid w:val="00F61D50"/>
    <w:rsid w:val="00F61FD7"/>
    <w:rsid w:val="00F62764"/>
    <w:rsid w:val="00F62979"/>
    <w:rsid w:val="00F63CC3"/>
    <w:rsid w:val="00F640C7"/>
    <w:rsid w:val="00F6459C"/>
    <w:rsid w:val="00F64DFE"/>
    <w:rsid w:val="00F65948"/>
    <w:rsid w:val="00F65A75"/>
    <w:rsid w:val="00F65F4B"/>
    <w:rsid w:val="00F66877"/>
    <w:rsid w:val="00F66CA4"/>
    <w:rsid w:val="00F675A4"/>
    <w:rsid w:val="00F6766C"/>
    <w:rsid w:val="00F67883"/>
    <w:rsid w:val="00F67A69"/>
    <w:rsid w:val="00F67E67"/>
    <w:rsid w:val="00F702FC"/>
    <w:rsid w:val="00F706BF"/>
    <w:rsid w:val="00F706F9"/>
    <w:rsid w:val="00F70841"/>
    <w:rsid w:val="00F70BFF"/>
    <w:rsid w:val="00F70C9D"/>
    <w:rsid w:val="00F70DB5"/>
    <w:rsid w:val="00F70E9F"/>
    <w:rsid w:val="00F70EF3"/>
    <w:rsid w:val="00F71920"/>
    <w:rsid w:val="00F71C15"/>
    <w:rsid w:val="00F71E20"/>
    <w:rsid w:val="00F71E2A"/>
    <w:rsid w:val="00F7252C"/>
    <w:rsid w:val="00F72C5E"/>
    <w:rsid w:val="00F7375B"/>
    <w:rsid w:val="00F7375D"/>
    <w:rsid w:val="00F738FF"/>
    <w:rsid w:val="00F73E08"/>
    <w:rsid w:val="00F73E89"/>
    <w:rsid w:val="00F73EFC"/>
    <w:rsid w:val="00F740D7"/>
    <w:rsid w:val="00F7484C"/>
    <w:rsid w:val="00F748B7"/>
    <w:rsid w:val="00F74CD9"/>
    <w:rsid w:val="00F74DC1"/>
    <w:rsid w:val="00F75401"/>
    <w:rsid w:val="00F75410"/>
    <w:rsid w:val="00F7544A"/>
    <w:rsid w:val="00F75CB9"/>
    <w:rsid w:val="00F76344"/>
    <w:rsid w:val="00F764A7"/>
    <w:rsid w:val="00F76A5B"/>
    <w:rsid w:val="00F77267"/>
    <w:rsid w:val="00F775DA"/>
    <w:rsid w:val="00F80111"/>
    <w:rsid w:val="00F80626"/>
    <w:rsid w:val="00F806A7"/>
    <w:rsid w:val="00F80A7B"/>
    <w:rsid w:val="00F80E5D"/>
    <w:rsid w:val="00F80EEA"/>
    <w:rsid w:val="00F81393"/>
    <w:rsid w:val="00F819C9"/>
    <w:rsid w:val="00F81E78"/>
    <w:rsid w:val="00F82081"/>
    <w:rsid w:val="00F832F5"/>
    <w:rsid w:val="00F835A2"/>
    <w:rsid w:val="00F83683"/>
    <w:rsid w:val="00F837C5"/>
    <w:rsid w:val="00F83916"/>
    <w:rsid w:val="00F8420C"/>
    <w:rsid w:val="00F84965"/>
    <w:rsid w:val="00F84B3D"/>
    <w:rsid w:val="00F84CD3"/>
    <w:rsid w:val="00F85084"/>
    <w:rsid w:val="00F851CE"/>
    <w:rsid w:val="00F8571B"/>
    <w:rsid w:val="00F857ED"/>
    <w:rsid w:val="00F859E7"/>
    <w:rsid w:val="00F86CF9"/>
    <w:rsid w:val="00F86E66"/>
    <w:rsid w:val="00F87525"/>
    <w:rsid w:val="00F876FE"/>
    <w:rsid w:val="00F87A00"/>
    <w:rsid w:val="00F87B3C"/>
    <w:rsid w:val="00F87B7C"/>
    <w:rsid w:val="00F906C0"/>
    <w:rsid w:val="00F90B16"/>
    <w:rsid w:val="00F91219"/>
    <w:rsid w:val="00F92110"/>
    <w:rsid w:val="00F92444"/>
    <w:rsid w:val="00F92646"/>
    <w:rsid w:val="00F92865"/>
    <w:rsid w:val="00F928E2"/>
    <w:rsid w:val="00F92EED"/>
    <w:rsid w:val="00F937B1"/>
    <w:rsid w:val="00F9393E"/>
    <w:rsid w:val="00F93A17"/>
    <w:rsid w:val="00F942CE"/>
    <w:rsid w:val="00F955B9"/>
    <w:rsid w:val="00F9591C"/>
    <w:rsid w:val="00F95A7D"/>
    <w:rsid w:val="00F95CA2"/>
    <w:rsid w:val="00F96634"/>
    <w:rsid w:val="00F967AE"/>
    <w:rsid w:val="00F96CCA"/>
    <w:rsid w:val="00F96F93"/>
    <w:rsid w:val="00F96FD0"/>
    <w:rsid w:val="00F9769C"/>
    <w:rsid w:val="00F97A78"/>
    <w:rsid w:val="00F97F05"/>
    <w:rsid w:val="00F97F7E"/>
    <w:rsid w:val="00FA0127"/>
    <w:rsid w:val="00FA031E"/>
    <w:rsid w:val="00FA09BF"/>
    <w:rsid w:val="00FA0B20"/>
    <w:rsid w:val="00FA0C9C"/>
    <w:rsid w:val="00FA12D2"/>
    <w:rsid w:val="00FA1449"/>
    <w:rsid w:val="00FA1691"/>
    <w:rsid w:val="00FA1B68"/>
    <w:rsid w:val="00FA1E5E"/>
    <w:rsid w:val="00FA1F87"/>
    <w:rsid w:val="00FA24E7"/>
    <w:rsid w:val="00FA26E6"/>
    <w:rsid w:val="00FA3105"/>
    <w:rsid w:val="00FA359A"/>
    <w:rsid w:val="00FA3826"/>
    <w:rsid w:val="00FA3C23"/>
    <w:rsid w:val="00FA4A91"/>
    <w:rsid w:val="00FA4FF7"/>
    <w:rsid w:val="00FA538B"/>
    <w:rsid w:val="00FA58AA"/>
    <w:rsid w:val="00FA5AAF"/>
    <w:rsid w:val="00FA5C17"/>
    <w:rsid w:val="00FA5D90"/>
    <w:rsid w:val="00FA5EE6"/>
    <w:rsid w:val="00FA5F9E"/>
    <w:rsid w:val="00FA61E2"/>
    <w:rsid w:val="00FA62AF"/>
    <w:rsid w:val="00FA62CB"/>
    <w:rsid w:val="00FA662C"/>
    <w:rsid w:val="00FA6DFF"/>
    <w:rsid w:val="00FA7581"/>
    <w:rsid w:val="00FA7880"/>
    <w:rsid w:val="00FA7956"/>
    <w:rsid w:val="00FA7A48"/>
    <w:rsid w:val="00FA7C4C"/>
    <w:rsid w:val="00FB013C"/>
    <w:rsid w:val="00FB02DB"/>
    <w:rsid w:val="00FB0415"/>
    <w:rsid w:val="00FB0824"/>
    <w:rsid w:val="00FB1B10"/>
    <w:rsid w:val="00FB2202"/>
    <w:rsid w:val="00FB2276"/>
    <w:rsid w:val="00FB22E2"/>
    <w:rsid w:val="00FB2637"/>
    <w:rsid w:val="00FB2C6A"/>
    <w:rsid w:val="00FB2CED"/>
    <w:rsid w:val="00FB2FCB"/>
    <w:rsid w:val="00FB4124"/>
    <w:rsid w:val="00FB42FB"/>
    <w:rsid w:val="00FB435C"/>
    <w:rsid w:val="00FB4C9C"/>
    <w:rsid w:val="00FB4F93"/>
    <w:rsid w:val="00FB543C"/>
    <w:rsid w:val="00FB58C2"/>
    <w:rsid w:val="00FB5A55"/>
    <w:rsid w:val="00FB5BA7"/>
    <w:rsid w:val="00FB5BC3"/>
    <w:rsid w:val="00FB5E83"/>
    <w:rsid w:val="00FB6824"/>
    <w:rsid w:val="00FB69B0"/>
    <w:rsid w:val="00FB6B39"/>
    <w:rsid w:val="00FB7873"/>
    <w:rsid w:val="00FB7955"/>
    <w:rsid w:val="00FB7ABF"/>
    <w:rsid w:val="00FB7C55"/>
    <w:rsid w:val="00FB7DB0"/>
    <w:rsid w:val="00FC0026"/>
    <w:rsid w:val="00FC04EA"/>
    <w:rsid w:val="00FC0701"/>
    <w:rsid w:val="00FC0861"/>
    <w:rsid w:val="00FC0BD6"/>
    <w:rsid w:val="00FC1074"/>
    <w:rsid w:val="00FC1846"/>
    <w:rsid w:val="00FC1884"/>
    <w:rsid w:val="00FC2295"/>
    <w:rsid w:val="00FC2B5C"/>
    <w:rsid w:val="00FC2EB4"/>
    <w:rsid w:val="00FC3319"/>
    <w:rsid w:val="00FC35B1"/>
    <w:rsid w:val="00FC371D"/>
    <w:rsid w:val="00FC3858"/>
    <w:rsid w:val="00FC3AF2"/>
    <w:rsid w:val="00FC3D0C"/>
    <w:rsid w:val="00FC40DF"/>
    <w:rsid w:val="00FC4373"/>
    <w:rsid w:val="00FC44D3"/>
    <w:rsid w:val="00FC52BB"/>
    <w:rsid w:val="00FC5326"/>
    <w:rsid w:val="00FC5415"/>
    <w:rsid w:val="00FC5558"/>
    <w:rsid w:val="00FC56AC"/>
    <w:rsid w:val="00FC5AAC"/>
    <w:rsid w:val="00FC5C1D"/>
    <w:rsid w:val="00FC5E72"/>
    <w:rsid w:val="00FC5F0B"/>
    <w:rsid w:val="00FC5FF9"/>
    <w:rsid w:val="00FC6322"/>
    <w:rsid w:val="00FC6830"/>
    <w:rsid w:val="00FC69F3"/>
    <w:rsid w:val="00FC6C89"/>
    <w:rsid w:val="00FC6D5D"/>
    <w:rsid w:val="00FC723E"/>
    <w:rsid w:val="00FC7417"/>
    <w:rsid w:val="00FC7A03"/>
    <w:rsid w:val="00FC7CFA"/>
    <w:rsid w:val="00FC7F48"/>
    <w:rsid w:val="00FD02AC"/>
    <w:rsid w:val="00FD039E"/>
    <w:rsid w:val="00FD03EA"/>
    <w:rsid w:val="00FD1405"/>
    <w:rsid w:val="00FD170B"/>
    <w:rsid w:val="00FD18E0"/>
    <w:rsid w:val="00FD2100"/>
    <w:rsid w:val="00FD2E75"/>
    <w:rsid w:val="00FD2F4A"/>
    <w:rsid w:val="00FD3AA9"/>
    <w:rsid w:val="00FD3AC1"/>
    <w:rsid w:val="00FD3BD1"/>
    <w:rsid w:val="00FD436C"/>
    <w:rsid w:val="00FD446D"/>
    <w:rsid w:val="00FD47EE"/>
    <w:rsid w:val="00FD4A1F"/>
    <w:rsid w:val="00FD4C1E"/>
    <w:rsid w:val="00FD4F2C"/>
    <w:rsid w:val="00FD5227"/>
    <w:rsid w:val="00FD5437"/>
    <w:rsid w:val="00FD562B"/>
    <w:rsid w:val="00FD5759"/>
    <w:rsid w:val="00FD5D47"/>
    <w:rsid w:val="00FD61B6"/>
    <w:rsid w:val="00FD620F"/>
    <w:rsid w:val="00FD6394"/>
    <w:rsid w:val="00FD653B"/>
    <w:rsid w:val="00FD7CFA"/>
    <w:rsid w:val="00FD7FBB"/>
    <w:rsid w:val="00FE0291"/>
    <w:rsid w:val="00FE0ABD"/>
    <w:rsid w:val="00FE0E6C"/>
    <w:rsid w:val="00FE11BE"/>
    <w:rsid w:val="00FE12E2"/>
    <w:rsid w:val="00FE1BE3"/>
    <w:rsid w:val="00FE1CDC"/>
    <w:rsid w:val="00FE2059"/>
    <w:rsid w:val="00FE21BF"/>
    <w:rsid w:val="00FE2B4D"/>
    <w:rsid w:val="00FE3170"/>
    <w:rsid w:val="00FE3374"/>
    <w:rsid w:val="00FE35CF"/>
    <w:rsid w:val="00FE393F"/>
    <w:rsid w:val="00FE3BD8"/>
    <w:rsid w:val="00FE3C08"/>
    <w:rsid w:val="00FE3D06"/>
    <w:rsid w:val="00FE44EE"/>
    <w:rsid w:val="00FE4AC9"/>
    <w:rsid w:val="00FE4ACE"/>
    <w:rsid w:val="00FE5078"/>
    <w:rsid w:val="00FE5321"/>
    <w:rsid w:val="00FE6615"/>
    <w:rsid w:val="00FE6DAF"/>
    <w:rsid w:val="00FE70C3"/>
    <w:rsid w:val="00FE7350"/>
    <w:rsid w:val="00FE7608"/>
    <w:rsid w:val="00FE7861"/>
    <w:rsid w:val="00FE7939"/>
    <w:rsid w:val="00FE797D"/>
    <w:rsid w:val="00FE7A1B"/>
    <w:rsid w:val="00FE7F64"/>
    <w:rsid w:val="00FF0B48"/>
    <w:rsid w:val="00FF10DF"/>
    <w:rsid w:val="00FF12C0"/>
    <w:rsid w:val="00FF1782"/>
    <w:rsid w:val="00FF181B"/>
    <w:rsid w:val="00FF1A8B"/>
    <w:rsid w:val="00FF2280"/>
    <w:rsid w:val="00FF2AD9"/>
    <w:rsid w:val="00FF2BB3"/>
    <w:rsid w:val="00FF2C12"/>
    <w:rsid w:val="00FF359F"/>
    <w:rsid w:val="00FF37E3"/>
    <w:rsid w:val="00FF3DCF"/>
    <w:rsid w:val="00FF408D"/>
    <w:rsid w:val="00FF442F"/>
    <w:rsid w:val="00FF447D"/>
    <w:rsid w:val="00FF47BC"/>
    <w:rsid w:val="00FF492C"/>
    <w:rsid w:val="00FF4A21"/>
    <w:rsid w:val="00FF4E2E"/>
    <w:rsid w:val="00FF531E"/>
    <w:rsid w:val="00FF551F"/>
    <w:rsid w:val="00FF5A2E"/>
    <w:rsid w:val="00FF5AA3"/>
    <w:rsid w:val="00FF5AD8"/>
    <w:rsid w:val="00FF5FE5"/>
    <w:rsid w:val="00FF6085"/>
    <w:rsid w:val="00FF60FC"/>
    <w:rsid w:val="00FF66D6"/>
    <w:rsid w:val="00FF67E7"/>
    <w:rsid w:val="00FF6C49"/>
    <w:rsid w:val="00FF6FF7"/>
    <w:rsid w:val="00FF7BD1"/>
    <w:rsid w:val="00FF7F20"/>
    <w:rsid w:val="05B1640C"/>
    <w:rsid w:val="144B819C"/>
    <w:rsid w:val="2226D3F9"/>
    <w:rsid w:val="2A5E80B9"/>
    <w:rsid w:val="387154B8"/>
    <w:rsid w:val="4BDA56DB"/>
    <w:rsid w:val="4F156115"/>
    <w:rsid w:val="5311258B"/>
    <w:rsid w:val="5396B877"/>
    <w:rsid w:val="56A11E89"/>
    <w:rsid w:val="58189383"/>
    <w:rsid w:val="5B75BFAC"/>
    <w:rsid w:val="6CAFAEBB"/>
    <w:rsid w:val="71B51CA1"/>
    <w:rsid w:val="71E40A86"/>
    <w:rsid w:val="762474AC"/>
    <w:rsid w:val="7DA09A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4EC"/>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Medical Caption,Bayer Caption,IB Caption,Caption Char1,Caption Char Char,Table caption,Caption Char1 Char Char,Caption Char Char Char Char,Caption Char1 Char Char Char Char,Caption Char Char Char Char Char Char,Caption Char1 Cha,Table Caption 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Medical Caption Char,Bayer Caption Char,IB Caption Char,Caption Char1 Char,Caption Char Char Char,Table caption Char,Caption Char1 Char Char Char,Caption Char Char Char Char Char,Caption Char1 Char Char Char Char Char,Caption Char1 Cha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261A48"/>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261A48"/>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ummary,Dossier table,Section 3- footnotes,Dossier Table,YHEC table,Table Grid - Amicus,RTI AMCP Table,Lash Style Table,new style,Legemiddelverket 3,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34C43"/>
    <w:pPr>
      <w:jc w:val="left"/>
    </w:pPr>
    <w:rPr>
      <w:rFonts w:ascii="Arial Narrow" w:hAnsi="Arial Narrow" w:cs="Times New Roman"/>
      <w:snapToGrid w:val="0"/>
      <w:color w:val="000000" w:themeColor="text1"/>
      <w:sz w:val="20"/>
    </w:rPr>
  </w:style>
  <w:style w:type="character" w:customStyle="1" w:styleId="TabletextChar">
    <w:name w:val="Table text Char"/>
    <w:link w:val="Tabletext"/>
    <w:rsid w:val="00A34C43"/>
    <w:rPr>
      <w:rFonts w:ascii="Arial Narrow" w:hAnsi="Arial Narrow"/>
      <w:snapToGrid w:val="0"/>
      <w:color w:val="000000" w:themeColor="text1"/>
      <w:szCs w:val="24"/>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har, Char,- H19,Comment Text Char2,Comment Text Char Char1,Comment Text Char2 Char Char,Comment Text Char Char1 Char Char,Comment Text Char2 Char Char Char Char,Comment Text Char1 Char Char Char Char1 Char,Annotationtext"/>
    <w:basedOn w:val="Normal"/>
    <w:link w:val="CommentTextChar"/>
    <w:qFormat/>
    <w:rsid w:val="00FD2100"/>
    <w:rPr>
      <w:rFonts w:ascii="Times New Roman" w:hAnsi="Times New Roman" w:cs="Times New Roman"/>
      <w:sz w:val="20"/>
    </w:rPr>
  </w:style>
  <w:style w:type="character" w:customStyle="1" w:styleId="CommentTextChar">
    <w:name w:val="Comment Text Char"/>
    <w:aliases w:val="Char Char, Char Char,- H19 Char,Comment Text Char2 Char,Comment Text Char Char1 Char,Comment Text Char2 Char Char Char,Comment Text Char Char1 Char Char Char,Comment Text Char2 Char Char Char Char Char,Annotationtext Char"/>
    <w:basedOn w:val="DefaultParagraphFont"/>
    <w:link w:val="CommentText"/>
    <w:qForma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A34C43"/>
    <w:pPr>
      <w:widowControl w:val="0"/>
    </w:pPr>
    <w:rPr>
      <w:rFonts w:ascii="Arial Narrow" w:eastAsiaTheme="majorEastAsia" w:hAnsi="Arial Narrow" w:cstheme="majorBidi"/>
      <w:bCs/>
      <w:color w:val="000000" w:themeColor="text1"/>
      <w:szCs w:val="24"/>
      <w:lang w:val="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C844EC"/>
    <w:pPr>
      <w:keepNext/>
      <w:keepLines/>
      <w:jc w:val="center"/>
    </w:pPr>
    <w:rPr>
      <w:rFonts w:ascii="Arial Narrow" w:eastAsiaTheme="majorEastAsia" w:hAnsi="Arial Narrow"/>
      <w:b/>
      <w:bCs/>
      <w:color w:val="000000" w:themeColor="text1"/>
      <w:lang w:val="en-US" w:eastAsia="ja-JP"/>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A34C43"/>
    <w:rPr>
      <w:rFonts w:ascii="Arial Narrow" w:eastAsiaTheme="majorEastAsia" w:hAnsi="Arial Narrow" w:cstheme="majorBidi"/>
      <w:bCs/>
      <w:color w:val="000000" w:themeColor="text1"/>
      <w:szCs w:val="24"/>
      <w:lang w:val="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B75D34"/>
    <w:pPr>
      <w:keepLines/>
      <w:spacing w:after="120"/>
      <w:contextualSpacing/>
      <w:jc w:val="left"/>
    </w:pPr>
    <w:rPr>
      <w:rFonts w:ascii="Arial Narrow" w:eastAsiaTheme="minorEastAsia" w:hAnsi="Arial Narrow"/>
      <w:snapToGrid w:val="0"/>
      <w:color w:val="000000" w:themeColor="text1"/>
      <w:sz w:val="18"/>
      <w:szCs w:val="22"/>
      <w:lang w:val="en-US" w:eastAsia="ja-JP"/>
    </w:rPr>
  </w:style>
  <w:style w:type="character" w:customStyle="1" w:styleId="TableFigureFooterChar">
    <w:name w:val="Table/Figure Footer Char"/>
    <w:link w:val="TableFigureFooter"/>
    <w:rsid w:val="00B75D34"/>
    <w:rPr>
      <w:rFonts w:ascii="Arial Narrow" w:eastAsiaTheme="minorEastAsia" w:hAnsi="Arial Narrow" w:cs="Arial"/>
      <w:snapToGrid w:val="0"/>
      <w:color w:val="000000" w:themeColor="text1"/>
      <w:sz w:val="18"/>
      <w:szCs w:val="22"/>
      <w:lang w:val="en-US" w:eastAsia="ja-JP"/>
    </w:rPr>
  </w:style>
  <w:style w:type="paragraph" w:customStyle="1" w:styleId="TableBullets">
    <w:name w:val="Table Bullets"/>
    <w:basedOn w:val="Normal"/>
    <w:link w:val="TableBulletsChar"/>
    <w:uiPriority w:val="63"/>
    <w:qFormat/>
    <w:rsid w:val="001C76B1"/>
    <w:pPr>
      <w:widowControl w:val="0"/>
      <w:numPr>
        <w:numId w:val="7"/>
      </w:numPr>
      <w:spacing w:before="40" w:after="40" w:line="279" w:lineRule="auto"/>
      <w:jc w:val="left"/>
    </w:pPr>
    <w:rPr>
      <w:rFonts w:ascii="Arial" w:hAnsi="Arial" w:cs="Times New Roman"/>
      <w:color w:val="1F497D"/>
      <w:sz w:val="20"/>
      <w:szCs w:val="20"/>
      <w:lang w:val="en-GB" w:eastAsia="en-US"/>
    </w:rPr>
  </w:style>
  <w:style w:type="paragraph" w:customStyle="1" w:styleId="TableHeadingLeft">
    <w:name w:val="Table Heading (Left)"/>
    <w:basedOn w:val="Normal"/>
    <w:link w:val="TableHeadingLeftChar"/>
    <w:qFormat/>
    <w:rsid w:val="001C76B1"/>
    <w:pPr>
      <w:spacing w:before="40" w:after="40" w:line="279" w:lineRule="auto"/>
      <w:jc w:val="left"/>
    </w:pPr>
    <w:rPr>
      <w:rFonts w:ascii="Arial" w:eastAsia="SimSun" w:hAnsi="Arial"/>
      <w:b/>
      <w:bCs/>
      <w:color w:val="1F497D"/>
      <w:sz w:val="21"/>
      <w:szCs w:val="21"/>
      <w:lang w:val="en-GB" w:eastAsia="en-GB"/>
    </w:rPr>
  </w:style>
  <w:style w:type="character" w:customStyle="1" w:styleId="TableHeadingLeftChar">
    <w:name w:val="Table Heading (Left) Char"/>
    <w:link w:val="TableHeadingLeft"/>
    <w:rsid w:val="001C76B1"/>
    <w:rPr>
      <w:rFonts w:ascii="Arial" w:eastAsia="SimSun" w:hAnsi="Arial" w:cs="Arial"/>
      <w:b/>
      <w:bCs/>
      <w:color w:val="1F497D"/>
      <w:sz w:val="21"/>
      <w:szCs w:val="21"/>
      <w:lang w:val="en-GB" w:eastAsia="en-GB"/>
    </w:rPr>
  </w:style>
  <w:style w:type="paragraph" w:customStyle="1" w:styleId="TableTextLeft">
    <w:name w:val="Table Text (Left)"/>
    <w:basedOn w:val="Normal"/>
    <w:link w:val="TableTextLeftChar"/>
    <w:qFormat/>
    <w:rsid w:val="001C76B1"/>
    <w:pPr>
      <w:spacing w:before="40" w:after="40" w:line="279" w:lineRule="auto"/>
      <w:jc w:val="left"/>
    </w:pPr>
    <w:rPr>
      <w:rFonts w:ascii="Arial" w:eastAsia="SimSun" w:hAnsi="Arial"/>
      <w:color w:val="1F497D"/>
      <w:sz w:val="20"/>
      <w:szCs w:val="20"/>
      <w:lang w:val="en-GB" w:eastAsia="en-GB"/>
    </w:rPr>
  </w:style>
  <w:style w:type="character" w:customStyle="1" w:styleId="TableTextLeftChar">
    <w:name w:val="Table Text (Left) Char"/>
    <w:basedOn w:val="DefaultParagraphFont"/>
    <w:link w:val="TableTextLeft"/>
    <w:rsid w:val="001C76B1"/>
    <w:rPr>
      <w:rFonts w:ascii="Arial" w:eastAsia="SimSun" w:hAnsi="Arial" w:cs="Arial"/>
      <w:color w:val="1F497D"/>
      <w:lang w:val="en-GB" w:eastAsia="en-GB"/>
    </w:rPr>
  </w:style>
  <w:style w:type="paragraph" w:customStyle="1" w:styleId="Tablebullets0">
    <w:name w:val="Table bullets"/>
    <w:basedOn w:val="Normal"/>
    <w:link w:val="TablebulletsChar0"/>
    <w:qFormat/>
    <w:rsid w:val="001C76B1"/>
    <w:pPr>
      <w:numPr>
        <w:numId w:val="8"/>
      </w:numPr>
      <w:spacing w:before="40" w:after="40" w:line="279" w:lineRule="auto"/>
      <w:jc w:val="left"/>
    </w:pPr>
    <w:rPr>
      <w:rFonts w:ascii="Arial" w:hAnsi="Arial" w:cs="Times New Roman"/>
      <w:color w:val="1F497D"/>
      <w:sz w:val="20"/>
      <w:szCs w:val="20"/>
      <w:lang w:val="en-GB" w:eastAsia="en-US"/>
    </w:rPr>
  </w:style>
  <w:style w:type="character" w:customStyle="1" w:styleId="TablebulletsChar0">
    <w:name w:val="Table bullets Char"/>
    <w:basedOn w:val="DefaultParagraphFont"/>
    <w:link w:val="Tablebullets0"/>
    <w:rsid w:val="001C76B1"/>
    <w:rPr>
      <w:rFonts w:ascii="Arial" w:hAnsi="Arial"/>
      <w:color w:val="1F497D"/>
      <w:lang w:val="en-GB" w:eastAsia="en-US"/>
    </w:rPr>
  </w:style>
  <w:style w:type="paragraph" w:customStyle="1" w:styleId="Footnotes">
    <w:name w:val="Footnotes"/>
    <w:basedOn w:val="Normal"/>
    <w:link w:val="FootnotesChar"/>
    <w:qFormat/>
    <w:rsid w:val="00D82030"/>
    <w:pPr>
      <w:keepLines/>
      <w:spacing w:before="40" w:after="240"/>
      <w:contextualSpacing/>
    </w:pPr>
    <w:rPr>
      <w:rFonts w:ascii="Arial Narrow" w:hAnsi="Arial Narrow" w:cs="Times New Roman"/>
      <w:sz w:val="18"/>
      <w:szCs w:val="20"/>
      <w:lang w:val="en-GB" w:eastAsia="en-US"/>
    </w:rPr>
  </w:style>
  <w:style w:type="character" w:customStyle="1" w:styleId="FootnotesChar">
    <w:name w:val="Footnotes Char"/>
    <w:link w:val="Footnotes"/>
    <w:rsid w:val="00D82030"/>
    <w:rPr>
      <w:rFonts w:ascii="Arial Narrow" w:hAnsi="Arial Narrow"/>
      <w:sz w:val="18"/>
      <w:lang w:val="en-GB" w:eastAsia="en-US"/>
    </w:rPr>
  </w:style>
  <w:style w:type="table" w:customStyle="1" w:styleId="DossierTable1">
    <w:name w:val="Dossier Table1"/>
    <w:basedOn w:val="TableNormal"/>
    <w:next w:val="TableGrid"/>
    <w:rsid w:val="001C76B1"/>
    <w:rPr>
      <w:rFonts w:ascii="Arial" w:hAnsi="Arial"/>
      <w:color w:val="1F497D"/>
      <w:sz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tblStylePr w:type="firstCol">
      <w:tblPr/>
      <w:tcPr>
        <w:shd w:val="clear" w:color="auto" w:fill="FFFFFF" w:themeFill="background1"/>
      </w:tcPr>
    </w:tblStylePr>
  </w:style>
  <w:style w:type="character" w:customStyle="1" w:styleId="TableBulletsChar">
    <w:name w:val="Table Bullets Char"/>
    <w:link w:val="TableBullets"/>
    <w:uiPriority w:val="63"/>
    <w:rsid w:val="001C76B1"/>
    <w:rPr>
      <w:rFonts w:ascii="Arial" w:hAnsi="Arial"/>
      <w:color w:val="1F497D"/>
      <w:lang w:val="en-GB" w:eastAsia="en-US"/>
    </w:rPr>
  </w:style>
  <w:style w:type="paragraph" w:customStyle="1" w:styleId="Table">
    <w:name w:val="Table"/>
    <w:basedOn w:val="Normal"/>
    <w:link w:val="TableChar"/>
    <w:qFormat/>
    <w:rsid w:val="00FE0ABD"/>
    <w:pPr>
      <w:spacing w:before="40" w:after="40" w:line="279" w:lineRule="auto"/>
      <w:jc w:val="left"/>
    </w:pPr>
    <w:rPr>
      <w:rFonts w:ascii="Times New Roman" w:eastAsiaTheme="minorEastAsia" w:hAnsi="Times New Roman" w:cstheme="minorBidi"/>
      <w:color w:val="000000" w:themeColor="text1"/>
      <w:sz w:val="20"/>
      <w:szCs w:val="20"/>
      <w:lang w:eastAsia="ja-JP"/>
    </w:rPr>
  </w:style>
  <w:style w:type="character" w:customStyle="1" w:styleId="TableChar">
    <w:name w:val="Table Char"/>
    <w:aliases w:val="No Spacing Char"/>
    <w:basedOn w:val="DefaultParagraphFont"/>
    <w:link w:val="Table"/>
    <w:rsid w:val="00FE0ABD"/>
    <w:rPr>
      <w:rFonts w:eastAsiaTheme="minorEastAsia" w:cstheme="minorBidi"/>
      <w:color w:val="000000" w:themeColor="text1"/>
      <w:lang w:eastAsia="ja-JP"/>
    </w:rPr>
  </w:style>
  <w:style w:type="character" w:styleId="UnresolvedMention">
    <w:name w:val="Unresolved Mention"/>
    <w:basedOn w:val="DefaultParagraphFont"/>
    <w:uiPriority w:val="99"/>
    <w:semiHidden/>
    <w:unhideWhenUsed/>
    <w:rsid w:val="0028214B"/>
    <w:rPr>
      <w:color w:val="605E5C"/>
      <w:shd w:val="clear" w:color="auto" w:fill="E1DFDD"/>
    </w:rPr>
  </w:style>
  <w:style w:type="paragraph" w:styleId="EndnoteText">
    <w:name w:val="endnote text"/>
    <w:basedOn w:val="Normal"/>
    <w:link w:val="EndnoteTextChar"/>
    <w:semiHidden/>
    <w:unhideWhenUsed/>
    <w:rsid w:val="002F4870"/>
    <w:rPr>
      <w:sz w:val="20"/>
      <w:szCs w:val="20"/>
    </w:rPr>
  </w:style>
  <w:style w:type="character" w:customStyle="1" w:styleId="EndnoteTextChar">
    <w:name w:val="Endnote Text Char"/>
    <w:basedOn w:val="DefaultParagraphFont"/>
    <w:link w:val="EndnoteText"/>
    <w:semiHidden/>
    <w:rsid w:val="002F4870"/>
    <w:rPr>
      <w:rFonts w:ascii="Calibri" w:hAnsi="Calibri" w:cs="Arial"/>
    </w:rPr>
  </w:style>
  <w:style w:type="character" w:styleId="EndnoteReference">
    <w:name w:val="endnote reference"/>
    <w:basedOn w:val="DefaultParagraphFont"/>
    <w:semiHidden/>
    <w:unhideWhenUsed/>
    <w:rsid w:val="002F4870"/>
    <w:rPr>
      <w:vertAlign w:val="superscript"/>
    </w:rPr>
  </w:style>
  <w:style w:type="paragraph" w:styleId="FootnoteText">
    <w:name w:val="footnote text"/>
    <w:basedOn w:val="Normal"/>
    <w:link w:val="FootnoteTextChar"/>
    <w:semiHidden/>
    <w:unhideWhenUsed/>
    <w:rsid w:val="002F4870"/>
    <w:rPr>
      <w:sz w:val="20"/>
      <w:szCs w:val="20"/>
    </w:rPr>
  </w:style>
  <w:style w:type="character" w:customStyle="1" w:styleId="FootnoteTextChar">
    <w:name w:val="Footnote Text Char"/>
    <w:basedOn w:val="DefaultParagraphFont"/>
    <w:link w:val="FootnoteText"/>
    <w:semiHidden/>
    <w:rsid w:val="002F4870"/>
    <w:rPr>
      <w:rFonts w:ascii="Calibri" w:hAnsi="Calibri" w:cs="Arial"/>
    </w:rPr>
  </w:style>
  <w:style w:type="character" w:styleId="FootnoteReference">
    <w:name w:val="footnote reference"/>
    <w:basedOn w:val="DefaultParagraphFont"/>
    <w:unhideWhenUsed/>
    <w:rsid w:val="002F4870"/>
    <w:rPr>
      <w:vertAlign w:val="superscript"/>
    </w:rPr>
  </w:style>
  <w:style w:type="numbering" w:customStyle="1" w:styleId="Headings1">
    <w:name w:val="Headings1"/>
    <w:uiPriority w:val="99"/>
    <w:rsid w:val="00913AD6"/>
    <w:pPr>
      <w:numPr>
        <w:numId w:val="10"/>
      </w:numPr>
    </w:pPr>
  </w:style>
  <w:style w:type="paragraph" w:customStyle="1" w:styleId="FigureLegend">
    <w:name w:val="Figure Legend"/>
    <w:basedOn w:val="Normal"/>
    <w:link w:val="FigureLegendChar"/>
    <w:qFormat/>
    <w:rsid w:val="0074084D"/>
    <w:pPr>
      <w:spacing w:line="279" w:lineRule="auto"/>
      <w:jc w:val="left"/>
    </w:pPr>
    <w:rPr>
      <w:rFonts w:ascii="Times New Roman" w:eastAsiaTheme="minorEastAsia" w:hAnsi="Times New Roman" w:cs="Times New Roman"/>
      <w:color w:val="000000" w:themeColor="text1"/>
      <w:sz w:val="16"/>
      <w:szCs w:val="16"/>
      <w:lang w:eastAsia="ja-JP"/>
    </w:rPr>
  </w:style>
  <w:style w:type="character" w:customStyle="1" w:styleId="FigureLegendChar">
    <w:name w:val="Figure Legend Char"/>
    <w:basedOn w:val="DefaultParagraphFont"/>
    <w:link w:val="FigureLegend"/>
    <w:rsid w:val="0074084D"/>
    <w:rPr>
      <w:rFonts w:eastAsiaTheme="minorEastAsia"/>
      <w:color w:val="000000" w:themeColor="text1"/>
      <w:sz w:val="16"/>
      <w:szCs w:val="16"/>
      <w:lang w:eastAsia="ja-JP"/>
    </w:rPr>
  </w:style>
  <w:style w:type="numbering" w:customStyle="1" w:styleId="LFO2">
    <w:name w:val="LFO2"/>
    <w:basedOn w:val="NoList"/>
    <w:rsid w:val="0074084D"/>
    <w:pPr>
      <w:numPr>
        <w:numId w:val="11"/>
      </w:numPr>
    </w:pPr>
  </w:style>
  <w:style w:type="numbering" w:customStyle="1" w:styleId="Vitaccessbullets">
    <w:name w:val="Vitaccess bullets"/>
    <w:uiPriority w:val="99"/>
    <w:rsid w:val="0074084D"/>
    <w:pPr>
      <w:numPr>
        <w:numId w:val="12"/>
      </w:numPr>
    </w:pPr>
  </w:style>
  <w:style w:type="paragraph" w:customStyle="1" w:styleId="1stBullet">
    <w:name w:val="1st Bullet"/>
    <w:basedOn w:val="Normal"/>
    <w:link w:val="1stBulletChar"/>
    <w:uiPriority w:val="99"/>
    <w:qFormat/>
    <w:rsid w:val="008736CF"/>
    <w:pPr>
      <w:numPr>
        <w:numId w:val="13"/>
      </w:numPr>
      <w:spacing w:after="240" w:line="276" w:lineRule="auto"/>
      <w:contextualSpacing/>
      <w:jc w:val="left"/>
    </w:pPr>
    <w:rPr>
      <w:rFonts w:ascii="Arial" w:hAnsi="Arial" w:cs="Times New Roman"/>
      <w:color w:val="1F497D"/>
      <w:sz w:val="21"/>
      <w:lang w:val="en-US" w:eastAsia="en-US"/>
    </w:rPr>
  </w:style>
  <w:style w:type="paragraph" w:customStyle="1" w:styleId="Maintext">
    <w:name w:val="Main text"/>
    <w:basedOn w:val="Normal"/>
    <w:link w:val="MaintextChar"/>
    <w:qFormat/>
    <w:rsid w:val="008736CF"/>
    <w:pPr>
      <w:spacing w:after="120" w:line="276" w:lineRule="auto"/>
      <w:jc w:val="left"/>
    </w:pPr>
    <w:rPr>
      <w:rFonts w:ascii="Arial" w:hAnsi="Arial" w:cs="Times New Roman"/>
      <w:color w:val="1F497D"/>
      <w:sz w:val="21"/>
      <w:lang w:val="en-US" w:eastAsia="en-US"/>
    </w:rPr>
  </w:style>
  <w:style w:type="character" w:customStyle="1" w:styleId="MaintextChar">
    <w:name w:val="Main text Char"/>
    <w:basedOn w:val="DefaultParagraphFont"/>
    <w:link w:val="Maintext"/>
    <w:rsid w:val="008736CF"/>
    <w:rPr>
      <w:rFonts w:ascii="Arial" w:hAnsi="Arial"/>
      <w:color w:val="1F497D"/>
      <w:sz w:val="21"/>
      <w:szCs w:val="24"/>
      <w:lang w:val="en-US" w:eastAsia="en-US"/>
    </w:rPr>
  </w:style>
  <w:style w:type="paragraph" w:customStyle="1" w:styleId="PBACBodyText">
    <w:name w:val="PBAC Body Text"/>
    <w:link w:val="PBACBodyTextChar"/>
    <w:qFormat/>
    <w:rsid w:val="008736CF"/>
    <w:pPr>
      <w:spacing w:before="200" w:line="264" w:lineRule="auto"/>
      <w:jc w:val="both"/>
    </w:pPr>
    <w:rPr>
      <w:color w:val="000000" w:themeColor="text1"/>
      <w:sz w:val="22"/>
      <w:szCs w:val="24"/>
      <w:lang w:eastAsia="en-US"/>
    </w:rPr>
  </w:style>
  <w:style w:type="character" w:customStyle="1" w:styleId="PBACBodyTextChar">
    <w:name w:val="PBAC Body Text Char"/>
    <w:basedOn w:val="DefaultParagraphFont"/>
    <w:link w:val="PBACBodyText"/>
    <w:rsid w:val="008736CF"/>
    <w:rPr>
      <w:color w:val="000000" w:themeColor="text1"/>
      <w:sz w:val="22"/>
      <w:szCs w:val="24"/>
      <w:lang w:eastAsia="en-US"/>
    </w:rPr>
  </w:style>
  <w:style w:type="paragraph" w:customStyle="1" w:styleId="01BodyText">
    <w:name w:val="01. Body Text"/>
    <w:basedOn w:val="Normal"/>
    <w:link w:val="01BodyTextChar"/>
    <w:autoRedefine/>
    <w:qFormat/>
    <w:rsid w:val="00B35DE6"/>
    <w:pPr>
      <w:spacing w:before="40" w:after="40"/>
    </w:pPr>
    <w:rPr>
      <w:rFonts w:ascii="Times New Roman" w:eastAsiaTheme="minorEastAsia" w:hAnsi="Times New Roman" w:cs="Times New Roman"/>
      <w:i/>
      <w:color w:val="000000" w:themeColor="text1"/>
      <w:sz w:val="22"/>
      <w:szCs w:val="28"/>
      <w:lang w:val="en-CA" w:eastAsia="en-CA"/>
    </w:rPr>
  </w:style>
  <w:style w:type="character" w:customStyle="1" w:styleId="01BodyTextChar">
    <w:name w:val="01. Body Text Char"/>
    <w:link w:val="01BodyText"/>
    <w:rsid w:val="00B35DE6"/>
    <w:rPr>
      <w:rFonts w:eastAsiaTheme="minorEastAsia"/>
      <w:i/>
      <w:color w:val="000000" w:themeColor="text1"/>
      <w:sz w:val="22"/>
      <w:szCs w:val="28"/>
      <w:lang w:val="en-CA" w:eastAsia="en-CA"/>
    </w:rPr>
  </w:style>
  <w:style w:type="character" w:customStyle="1" w:styleId="1stBulletChar">
    <w:name w:val="1st Bullet Char"/>
    <w:link w:val="1stBullet"/>
    <w:uiPriority w:val="99"/>
    <w:rsid w:val="00BE0468"/>
    <w:rPr>
      <w:rFonts w:ascii="Arial" w:hAnsi="Arial"/>
      <w:color w:val="1F497D"/>
      <w:sz w:val="21"/>
      <w:szCs w:val="24"/>
      <w:lang w:val="en-US" w:eastAsia="en-US"/>
    </w:rPr>
  </w:style>
  <w:style w:type="paragraph" w:customStyle="1" w:styleId="CaptionTablesFigures">
    <w:name w:val="Caption Tables/Figures"/>
    <w:basedOn w:val="Normal"/>
    <w:link w:val="CaptionTablesFiguresChar"/>
    <w:qFormat/>
    <w:rsid w:val="00BE0468"/>
    <w:pPr>
      <w:keepNext/>
      <w:keepLines/>
      <w:widowControl w:val="0"/>
      <w:spacing w:after="120"/>
      <w:jc w:val="left"/>
    </w:pPr>
    <w:rPr>
      <w:rFonts w:ascii="Arial" w:hAnsi="Arial" w:cs="Times New Roman"/>
      <w:b/>
      <w:color w:val="1F497D"/>
      <w:sz w:val="21"/>
      <w:lang w:val="en-GB" w:eastAsia="en-US"/>
    </w:rPr>
  </w:style>
  <w:style w:type="character" w:customStyle="1" w:styleId="CaptionTablesFiguresChar">
    <w:name w:val="Caption Tables/Figures Char"/>
    <w:link w:val="CaptionTablesFigures"/>
    <w:rsid w:val="00BE0468"/>
    <w:rPr>
      <w:rFonts w:ascii="Arial" w:hAnsi="Arial"/>
      <w:b/>
      <w:color w:val="1F497D"/>
      <w:sz w:val="21"/>
      <w:szCs w:val="24"/>
      <w:lang w:val="en-GB" w:eastAsia="en-US"/>
    </w:rPr>
  </w:style>
  <w:style w:type="paragraph" w:customStyle="1" w:styleId="Summaryboxsecondbullets">
    <w:name w:val="Summary box second bullets"/>
    <w:basedOn w:val="Normal"/>
    <w:qFormat/>
    <w:rsid w:val="00BE0468"/>
    <w:pPr>
      <w:spacing w:after="40" w:line="276" w:lineRule="auto"/>
      <w:ind w:left="924" w:hanging="357"/>
      <w:jc w:val="left"/>
    </w:pPr>
    <w:rPr>
      <w:rFonts w:ascii="Arial" w:hAnsi="Arial" w:cs="Times New Roman"/>
      <w:color w:val="1F497D"/>
      <w:sz w:val="21"/>
      <w:lang w:val="en-US" w:eastAsia="en-US"/>
    </w:rPr>
  </w:style>
  <w:style w:type="paragraph" w:customStyle="1" w:styleId="Tableheader0">
    <w:name w:val="Table header"/>
    <w:basedOn w:val="Tabletext"/>
    <w:qFormat/>
    <w:rsid w:val="00BE0468"/>
    <w:pPr>
      <w:keepNext/>
      <w:keepLines/>
      <w:spacing w:after="60"/>
      <w:jc w:val="center"/>
    </w:pPr>
    <w:rPr>
      <w:rFonts w:ascii="Arial" w:hAnsi="Arial"/>
      <w:b/>
      <w:snapToGrid/>
      <w:color w:val="1F497D"/>
      <w:sz w:val="21"/>
      <w:lang w:val="en-GB" w:eastAsia="en-US"/>
    </w:rPr>
  </w:style>
  <w:style w:type="paragraph" w:customStyle="1" w:styleId="Appendixlevel2">
    <w:name w:val="Appendix level 2"/>
    <w:basedOn w:val="Normal"/>
    <w:uiPriority w:val="99"/>
    <w:rsid w:val="00262A38"/>
    <w:pPr>
      <w:numPr>
        <w:numId w:val="14"/>
      </w:numPr>
      <w:spacing w:before="240" w:after="240" w:line="360" w:lineRule="auto"/>
      <w:jc w:val="left"/>
    </w:pPr>
    <w:rPr>
      <w:rFonts w:ascii="Arial" w:hAnsi="Arial" w:cs="Times New Roman"/>
      <w:lang w:val="en-GB" w:eastAsia="en-US"/>
    </w:rPr>
  </w:style>
  <w:style w:type="paragraph" w:customStyle="1" w:styleId="2ndBullet">
    <w:name w:val="2nd Bullet"/>
    <w:basedOn w:val="Normal"/>
    <w:link w:val="2ndBulletChar"/>
    <w:uiPriority w:val="99"/>
    <w:rsid w:val="008F0DD8"/>
    <w:pPr>
      <w:numPr>
        <w:numId w:val="15"/>
      </w:numPr>
      <w:spacing w:after="120" w:line="276" w:lineRule="auto"/>
      <w:contextualSpacing/>
      <w:jc w:val="left"/>
    </w:pPr>
    <w:rPr>
      <w:rFonts w:ascii="Arial" w:hAnsi="Arial" w:cs="Times New Roman"/>
      <w:color w:val="1F497D"/>
      <w:sz w:val="21"/>
      <w:szCs w:val="20"/>
      <w:lang w:val="en-GB" w:eastAsia="en-US"/>
    </w:rPr>
  </w:style>
  <w:style w:type="character" w:customStyle="1" w:styleId="2ndBulletChar">
    <w:name w:val="2nd Bullet Char"/>
    <w:link w:val="2ndBullet"/>
    <w:uiPriority w:val="99"/>
    <w:rsid w:val="008F0DD8"/>
    <w:rPr>
      <w:rFonts w:ascii="Arial" w:hAnsi="Arial"/>
      <w:color w:val="1F497D"/>
      <w:sz w:val="21"/>
      <w:lang w:val="en-GB" w:eastAsia="en-US"/>
    </w:rPr>
  </w:style>
  <w:style w:type="paragraph" w:customStyle="1" w:styleId="Heading60">
    <w:name w:val="Heading 6.0"/>
    <w:basedOn w:val="Normal"/>
    <w:next w:val="Normal"/>
    <w:uiPriority w:val="99"/>
    <w:qFormat/>
    <w:rsid w:val="00A7790F"/>
    <w:pPr>
      <w:keepNext/>
      <w:spacing w:before="240" w:after="120"/>
      <w:jc w:val="left"/>
    </w:pPr>
    <w:rPr>
      <w:rFonts w:ascii="Arial" w:hAnsi="Arial"/>
      <w:bCs/>
      <w:i/>
      <w:iCs/>
      <w:color w:val="1F497D"/>
      <w:sz w:val="21"/>
      <w:szCs w:val="22"/>
      <w:lang w:val="en-GB" w:eastAsia="en-US"/>
    </w:rPr>
  </w:style>
  <w:style w:type="paragraph" w:customStyle="1" w:styleId="Heading51">
    <w:name w:val="Heading 5.1"/>
    <w:basedOn w:val="Normal"/>
    <w:uiPriority w:val="99"/>
    <w:qFormat/>
    <w:rsid w:val="00A7790F"/>
    <w:pPr>
      <w:keepNext/>
      <w:spacing w:before="160" w:after="160" w:line="276" w:lineRule="auto"/>
      <w:jc w:val="left"/>
    </w:pPr>
    <w:rPr>
      <w:rFonts w:ascii="Arial" w:hAnsi="Arial" w:cs="Times New Roman"/>
      <w:b/>
      <w:color w:val="1F497D"/>
      <w:sz w:val="21"/>
      <w:lang w:val="en-GB" w:eastAsia="en-US"/>
    </w:rPr>
  </w:style>
  <w:style w:type="table" w:customStyle="1" w:styleId="Summary621">
    <w:name w:val="Summary621"/>
    <w:basedOn w:val="TableNormal"/>
    <w:next w:val="TableGrid"/>
    <w:uiPriority w:val="39"/>
    <w:rsid w:val="007E553B"/>
    <w:pPr>
      <w:widowControl w:val="0"/>
      <w:autoSpaceDE w:val="0"/>
      <w:autoSpaceDN w:val="0"/>
    </w:pPr>
    <w:rPr>
      <w:rFonts w:ascii="Calibri" w:eastAsia="Calibri" w:hAnsi="Calibri" w:cs="Arial"/>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Calibri" w:hAnsi="Calibri"/>
        <w:b/>
        <w:color w:val="FFFFFF"/>
        <w:sz w:val="22"/>
      </w:rPr>
      <w:tblPr/>
      <w:tcPr>
        <w:shd w:val="clear" w:color="auto" w:fill="228FC8"/>
      </w:tcPr>
    </w:tblStylePr>
    <w:tblStylePr w:type="lastRow">
      <w:rPr>
        <w:rFonts w:ascii="Calibri" w:hAnsi="Calibri"/>
        <w:color w:val="auto"/>
        <w:sz w:val="21"/>
      </w:rPr>
    </w:tblStylePr>
    <w:tblStylePr w:type="firstCol">
      <w:rPr>
        <w:rFonts w:ascii="Calibri" w:hAnsi="Calibri"/>
        <w:b/>
        <w:sz w:val="22"/>
      </w:rPr>
      <w:tblPr/>
      <w:tcPr>
        <w:shd w:val="clear" w:color="auto" w:fill="FFFFFF"/>
      </w:tcPr>
    </w:tblStylePr>
  </w:style>
  <w:style w:type="paragraph" w:customStyle="1" w:styleId="Level2Bullet">
    <w:name w:val="Level 2 Bullet"/>
    <w:basedOn w:val="Normal"/>
    <w:uiPriority w:val="99"/>
    <w:rsid w:val="006B75EB"/>
    <w:pPr>
      <w:widowControl w:val="0"/>
      <w:numPr>
        <w:ilvl w:val="1"/>
        <w:numId w:val="16"/>
      </w:numPr>
      <w:autoSpaceDE w:val="0"/>
      <w:autoSpaceDN w:val="0"/>
      <w:jc w:val="left"/>
    </w:pPr>
    <w:rPr>
      <w:rFonts w:asciiTheme="minorHAnsi" w:eastAsia="minorBidi" w:hAnsiTheme="minorHAnsi" w:cstheme="minorHAnsi"/>
      <w:color w:val="000000" w:themeColor="text1"/>
      <w:sz w:val="22"/>
      <w:szCs w:val="22"/>
      <w:lang w:val="en-US" w:eastAsia="en-GB"/>
    </w:rPr>
  </w:style>
  <w:style w:type="paragraph" w:customStyle="1" w:styleId="Level3Bullet">
    <w:name w:val="Level 3 Bullet"/>
    <w:basedOn w:val="Level2Bullet"/>
    <w:uiPriority w:val="99"/>
    <w:rsid w:val="006B75EB"/>
    <w:pPr>
      <w:numPr>
        <w:ilvl w:val="2"/>
      </w:numPr>
    </w:pPr>
  </w:style>
  <w:style w:type="table" w:customStyle="1" w:styleId="Summary622">
    <w:name w:val="Summary622"/>
    <w:basedOn w:val="TableNormal"/>
    <w:next w:val="TableGrid"/>
    <w:uiPriority w:val="39"/>
    <w:rsid w:val="006B75EB"/>
    <w:pPr>
      <w:widowControl w:val="0"/>
      <w:autoSpaceDE w:val="0"/>
      <w:autoSpaceDN w:val="0"/>
    </w:pPr>
    <w:rPr>
      <w:rFonts w:ascii="Calibri" w:eastAsia="Calibri" w:hAnsi="Calibri" w:cs="Arial"/>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Calibri" w:hAnsi="Calibri"/>
        <w:b/>
        <w:color w:val="FFFFFF"/>
        <w:sz w:val="22"/>
      </w:rPr>
      <w:tblPr/>
      <w:tcPr>
        <w:shd w:val="clear" w:color="auto" w:fill="228FC8"/>
      </w:tcPr>
    </w:tblStylePr>
    <w:tblStylePr w:type="lastRow">
      <w:rPr>
        <w:rFonts w:ascii="Calibri" w:hAnsi="Calibri"/>
        <w:color w:val="auto"/>
        <w:sz w:val="21"/>
      </w:rPr>
    </w:tblStylePr>
    <w:tblStylePr w:type="firstCol">
      <w:rPr>
        <w:rFonts w:ascii="Calibri" w:hAnsi="Calibri"/>
        <w:b/>
        <w:sz w:val="22"/>
      </w:rPr>
      <w:tblPr/>
      <w:tcPr>
        <w:shd w:val="clear" w:color="auto" w:fill="FFFFFF"/>
      </w:tcPr>
    </w:tblStylePr>
  </w:style>
  <w:style w:type="character" w:customStyle="1" w:styleId="Noredaction">
    <w:name w:val="No redaction"/>
    <w:uiPriority w:val="1"/>
    <w:qFormat/>
    <w:rsid w:val="00580554"/>
    <w:rPr>
      <w:bdr w:val="none" w:sz="0" w:space="0" w:color="auto"/>
    </w:rPr>
  </w:style>
  <w:style w:type="character" w:customStyle="1" w:styleId="AiC">
    <w:name w:val="AiC"/>
    <w:uiPriority w:val="1"/>
    <w:qFormat/>
    <w:rsid w:val="00580554"/>
    <w:rPr>
      <w:u w:val="single"/>
      <w:bdr w:val="none" w:sz="0" w:space="0" w:color="auto"/>
      <w:shd w:val="clear" w:color="auto" w:fill="FFFF00"/>
    </w:rPr>
  </w:style>
  <w:style w:type="paragraph" w:customStyle="1" w:styleId="TableHeaderWhite">
    <w:name w:val="Table Header (White)"/>
    <w:basedOn w:val="Normal"/>
    <w:link w:val="TableHeaderWhiteChar"/>
    <w:qFormat/>
    <w:rsid w:val="00580554"/>
    <w:pPr>
      <w:widowControl w:val="0"/>
      <w:autoSpaceDE w:val="0"/>
      <w:autoSpaceDN w:val="0"/>
      <w:spacing w:after="120"/>
      <w:jc w:val="left"/>
    </w:pPr>
    <w:rPr>
      <w:rFonts w:asciiTheme="minorHAnsi" w:eastAsiaTheme="minorHAnsi" w:hAnsiTheme="minorHAnsi" w:cstheme="minorBidi"/>
      <w:b/>
      <w:color w:val="FFFFFF" w:themeColor="background1"/>
      <w:sz w:val="20"/>
      <w:szCs w:val="20"/>
      <w:lang w:val="en-US" w:eastAsia="en-GB"/>
    </w:rPr>
  </w:style>
  <w:style w:type="character" w:customStyle="1" w:styleId="TableHeaderWhiteChar">
    <w:name w:val="Table Header (White) Char"/>
    <w:basedOn w:val="DefaultParagraphFont"/>
    <w:link w:val="TableHeaderWhite"/>
    <w:rsid w:val="00580554"/>
    <w:rPr>
      <w:rFonts w:asciiTheme="minorHAnsi" w:eastAsiaTheme="minorHAnsi" w:hAnsiTheme="minorHAnsi" w:cstheme="minorBidi"/>
      <w:b/>
      <w:color w:val="FFFFFF" w:themeColor="background1"/>
      <w:lang w:val="en-US" w:eastAsia="en-GB"/>
    </w:rPr>
  </w:style>
  <w:style w:type="numbering" w:customStyle="1" w:styleId="VitaccessExecBullets1">
    <w:name w:val="Vitaccess Exec Bullets1"/>
    <w:uiPriority w:val="99"/>
    <w:rsid w:val="00A80BE8"/>
  </w:style>
  <w:style w:type="paragraph" w:styleId="Bibliography">
    <w:name w:val="Bibliography"/>
    <w:basedOn w:val="Normal"/>
    <w:next w:val="Normal"/>
    <w:uiPriority w:val="37"/>
    <w:semiHidden/>
    <w:unhideWhenUsed/>
    <w:rsid w:val="00F832F5"/>
  </w:style>
  <w:style w:type="character" w:styleId="Strong">
    <w:name w:val="Strong"/>
    <w:basedOn w:val="DefaultParagraphFont"/>
    <w:qFormat/>
    <w:rsid w:val="00592D47"/>
    <w:rPr>
      <w:b/>
      <w:bCs/>
    </w:rPr>
  </w:style>
  <w:style w:type="paragraph" w:customStyle="1" w:styleId="paragraph">
    <w:name w:val="paragraph"/>
    <w:basedOn w:val="Normal"/>
    <w:rsid w:val="00592D47"/>
    <w:pPr>
      <w:spacing w:before="100" w:beforeAutospacing="1" w:after="100" w:afterAutospacing="1"/>
      <w:jc w:val="left"/>
    </w:pPr>
    <w:rPr>
      <w:rFonts w:ascii="Times New Roman" w:hAnsi="Times New Roman" w:cs="Times New Roman"/>
      <w:color w:val="000000" w:themeColor="text1"/>
      <w:lang w:val="en-GB" w:eastAsia="en-GB"/>
    </w:rPr>
  </w:style>
  <w:style w:type="paragraph" w:customStyle="1" w:styleId="Heading40">
    <w:name w:val="Heading 4.0"/>
    <w:basedOn w:val="Normal"/>
    <w:uiPriority w:val="99"/>
    <w:qFormat/>
    <w:rsid w:val="00EF6C6A"/>
    <w:pPr>
      <w:keepNext/>
      <w:spacing w:before="160" w:after="160" w:line="276" w:lineRule="auto"/>
      <w:jc w:val="left"/>
    </w:pPr>
    <w:rPr>
      <w:rFonts w:ascii="Arial" w:hAnsi="Arial" w:cs="Times New Roman"/>
      <w:b/>
      <w:color w:val="1F497D"/>
      <w:sz w:val="21"/>
      <w:lang w:val="en-GB" w:eastAsia="en-US"/>
    </w:rPr>
  </w:style>
  <w:style w:type="paragraph" w:customStyle="1" w:styleId="Tablesubbullet">
    <w:name w:val="Table subbullet"/>
    <w:basedOn w:val="Tablebullets0"/>
    <w:link w:val="TablesubbulletChar"/>
    <w:uiPriority w:val="99"/>
    <w:qFormat/>
    <w:rsid w:val="008108AA"/>
    <w:pPr>
      <w:numPr>
        <w:numId w:val="19"/>
      </w:numPr>
      <w:spacing w:before="0" w:after="0" w:line="276" w:lineRule="auto"/>
    </w:pPr>
    <w:rPr>
      <w:color w:val="000000" w:themeColor="text1"/>
    </w:rPr>
  </w:style>
  <w:style w:type="character" w:customStyle="1" w:styleId="TablesubbulletChar">
    <w:name w:val="Table subbullet Char"/>
    <w:basedOn w:val="TablebulletsChar0"/>
    <w:link w:val="Tablesubbullet"/>
    <w:uiPriority w:val="99"/>
    <w:rsid w:val="008108AA"/>
    <w:rPr>
      <w:rFonts w:ascii="Arial" w:hAnsi="Arial"/>
      <w:color w:val="000000" w:themeColor="text1"/>
      <w:lang w:val="en-GB" w:eastAsia="en-US"/>
    </w:rPr>
  </w:style>
  <w:style w:type="paragraph" w:customStyle="1" w:styleId="TableFigNote">
    <w:name w:val="TableFigNote"/>
    <w:basedOn w:val="Normal"/>
    <w:uiPriority w:val="99"/>
    <w:qFormat/>
    <w:rsid w:val="00F348AF"/>
    <w:pPr>
      <w:spacing w:line="279" w:lineRule="auto"/>
      <w:jc w:val="left"/>
    </w:pPr>
    <w:rPr>
      <w:rFonts w:ascii="Times New Roman" w:eastAsiaTheme="minorEastAsia" w:hAnsi="Times New Roman" w:cstheme="minorBidi"/>
      <w:color w:val="000000" w:themeColor="text1"/>
      <w:sz w:val="18"/>
      <w:szCs w:val="18"/>
      <w:lang w:eastAsia="en-US"/>
    </w:rPr>
  </w:style>
  <w:style w:type="paragraph" w:customStyle="1" w:styleId="TableHeadingCentred">
    <w:name w:val="Table Heading (Centred)"/>
    <w:basedOn w:val="Normal"/>
    <w:qFormat/>
    <w:rsid w:val="00200819"/>
    <w:pPr>
      <w:spacing w:before="40" w:after="40"/>
      <w:jc w:val="center"/>
    </w:pPr>
    <w:rPr>
      <w:rFonts w:ascii="Arial" w:eastAsia="SimSun" w:hAnsi="Arial"/>
      <w:b/>
      <w:color w:val="1F497D"/>
      <w:sz w:val="21"/>
      <w:szCs w:val="21"/>
      <w:lang w:val="en-GB" w:eastAsia="en-GB"/>
    </w:rPr>
  </w:style>
  <w:style w:type="paragraph" w:customStyle="1" w:styleId="TableTextCentred">
    <w:name w:val="Table Text (Centred)"/>
    <w:basedOn w:val="Normal"/>
    <w:qFormat/>
    <w:rsid w:val="00200819"/>
    <w:pPr>
      <w:spacing w:before="40" w:after="40"/>
      <w:jc w:val="center"/>
    </w:pPr>
    <w:rPr>
      <w:rFonts w:ascii="Arial" w:eastAsia="SimSun" w:hAnsi="Arial"/>
      <w:color w:val="1F497D"/>
      <w:sz w:val="20"/>
      <w:szCs w:val="20"/>
      <w:lang w:val="en-GB" w:eastAsia="en-GB"/>
    </w:rPr>
  </w:style>
  <w:style w:type="paragraph" w:customStyle="1" w:styleId="3-SubsectionHeading">
    <w:name w:val="3-Subsection Heading"/>
    <w:basedOn w:val="Heading2"/>
    <w:next w:val="Normal"/>
    <w:link w:val="3-SubsectionHeadingChar"/>
    <w:qFormat/>
    <w:rsid w:val="008629D5"/>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8629D5"/>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Address">
    <w:name w:val="Address"/>
    <w:basedOn w:val="Normal"/>
    <w:uiPriority w:val="3"/>
    <w:qFormat/>
    <w:rsid w:val="00F61D50"/>
    <w:pPr>
      <w:spacing w:after="280" w:line="276" w:lineRule="auto"/>
      <w:contextualSpacing/>
      <w:jc w:val="left"/>
    </w:pPr>
    <w:rPr>
      <w:rFonts w:asciiTheme="minorHAnsi" w:eastAsiaTheme="minorEastAsia" w:hAnsiTheme="minorHAnsi" w:cstheme="minorBidi"/>
      <w:color w:val="7F7F7F" w:themeColor="text1" w:themeTint="8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193">
      <w:bodyDiv w:val="1"/>
      <w:marLeft w:val="0"/>
      <w:marRight w:val="0"/>
      <w:marTop w:val="0"/>
      <w:marBottom w:val="0"/>
      <w:divBdr>
        <w:top w:val="none" w:sz="0" w:space="0" w:color="auto"/>
        <w:left w:val="none" w:sz="0" w:space="0" w:color="auto"/>
        <w:bottom w:val="none" w:sz="0" w:space="0" w:color="auto"/>
        <w:right w:val="none" w:sz="0" w:space="0" w:color="auto"/>
      </w:divBdr>
    </w:div>
    <w:div w:id="48959879">
      <w:bodyDiv w:val="1"/>
      <w:marLeft w:val="0"/>
      <w:marRight w:val="0"/>
      <w:marTop w:val="0"/>
      <w:marBottom w:val="0"/>
      <w:divBdr>
        <w:top w:val="none" w:sz="0" w:space="0" w:color="auto"/>
        <w:left w:val="none" w:sz="0" w:space="0" w:color="auto"/>
        <w:bottom w:val="none" w:sz="0" w:space="0" w:color="auto"/>
        <w:right w:val="none" w:sz="0" w:space="0" w:color="auto"/>
      </w:divBdr>
    </w:div>
    <w:div w:id="5166222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3838809">
      <w:bodyDiv w:val="1"/>
      <w:marLeft w:val="0"/>
      <w:marRight w:val="0"/>
      <w:marTop w:val="0"/>
      <w:marBottom w:val="0"/>
      <w:divBdr>
        <w:top w:val="none" w:sz="0" w:space="0" w:color="auto"/>
        <w:left w:val="none" w:sz="0" w:space="0" w:color="auto"/>
        <w:bottom w:val="none" w:sz="0" w:space="0" w:color="auto"/>
        <w:right w:val="none" w:sz="0" w:space="0" w:color="auto"/>
      </w:divBdr>
    </w:div>
    <w:div w:id="181825907">
      <w:bodyDiv w:val="1"/>
      <w:marLeft w:val="0"/>
      <w:marRight w:val="0"/>
      <w:marTop w:val="0"/>
      <w:marBottom w:val="0"/>
      <w:divBdr>
        <w:top w:val="none" w:sz="0" w:space="0" w:color="auto"/>
        <w:left w:val="none" w:sz="0" w:space="0" w:color="auto"/>
        <w:bottom w:val="none" w:sz="0" w:space="0" w:color="auto"/>
        <w:right w:val="none" w:sz="0" w:space="0" w:color="auto"/>
      </w:divBdr>
    </w:div>
    <w:div w:id="209656396">
      <w:bodyDiv w:val="1"/>
      <w:marLeft w:val="0"/>
      <w:marRight w:val="0"/>
      <w:marTop w:val="0"/>
      <w:marBottom w:val="0"/>
      <w:divBdr>
        <w:top w:val="none" w:sz="0" w:space="0" w:color="auto"/>
        <w:left w:val="none" w:sz="0" w:space="0" w:color="auto"/>
        <w:bottom w:val="none" w:sz="0" w:space="0" w:color="auto"/>
        <w:right w:val="none" w:sz="0" w:space="0" w:color="auto"/>
      </w:divBdr>
    </w:div>
    <w:div w:id="224723316">
      <w:bodyDiv w:val="1"/>
      <w:marLeft w:val="0"/>
      <w:marRight w:val="0"/>
      <w:marTop w:val="0"/>
      <w:marBottom w:val="0"/>
      <w:divBdr>
        <w:top w:val="none" w:sz="0" w:space="0" w:color="auto"/>
        <w:left w:val="none" w:sz="0" w:space="0" w:color="auto"/>
        <w:bottom w:val="none" w:sz="0" w:space="0" w:color="auto"/>
        <w:right w:val="none" w:sz="0" w:space="0" w:color="auto"/>
      </w:divBdr>
    </w:div>
    <w:div w:id="26576838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2588304">
      <w:bodyDiv w:val="1"/>
      <w:marLeft w:val="0"/>
      <w:marRight w:val="0"/>
      <w:marTop w:val="0"/>
      <w:marBottom w:val="0"/>
      <w:divBdr>
        <w:top w:val="none" w:sz="0" w:space="0" w:color="auto"/>
        <w:left w:val="none" w:sz="0" w:space="0" w:color="auto"/>
        <w:bottom w:val="none" w:sz="0" w:space="0" w:color="auto"/>
        <w:right w:val="none" w:sz="0" w:space="0" w:color="auto"/>
      </w:divBdr>
    </w:div>
    <w:div w:id="404912532">
      <w:bodyDiv w:val="1"/>
      <w:marLeft w:val="0"/>
      <w:marRight w:val="0"/>
      <w:marTop w:val="0"/>
      <w:marBottom w:val="0"/>
      <w:divBdr>
        <w:top w:val="none" w:sz="0" w:space="0" w:color="auto"/>
        <w:left w:val="none" w:sz="0" w:space="0" w:color="auto"/>
        <w:bottom w:val="none" w:sz="0" w:space="0" w:color="auto"/>
        <w:right w:val="none" w:sz="0" w:space="0" w:color="auto"/>
      </w:divBdr>
    </w:div>
    <w:div w:id="448285176">
      <w:bodyDiv w:val="1"/>
      <w:marLeft w:val="0"/>
      <w:marRight w:val="0"/>
      <w:marTop w:val="0"/>
      <w:marBottom w:val="0"/>
      <w:divBdr>
        <w:top w:val="none" w:sz="0" w:space="0" w:color="auto"/>
        <w:left w:val="none" w:sz="0" w:space="0" w:color="auto"/>
        <w:bottom w:val="none" w:sz="0" w:space="0" w:color="auto"/>
        <w:right w:val="none" w:sz="0" w:space="0" w:color="auto"/>
      </w:divBdr>
    </w:div>
    <w:div w:id="451482213">
      <w:bodyDiv w:val="1"/>
      <w:marLeft w:val="0"/>
      <w:marRight w:val="0"/>
      <w:marTop w:val="0"/>
      <w:marBottom w:val="0"/>
      <w:divBdr>
        <w:top w:val="none" w:sz="0" w:space="0" w:color="auto"/>
        <w:left w:val="none" w:sz="0" w:space="0" w:color="auto"/>
        <w:bottom w:val="none" w:sz="0" w:space="0" w:color="auto"/>
        <w:right w:val="none" w:sz="0" w:space="0" w:color="auto"/>
      </w:divBdr>
    </w:div>
    <w:div w:id="473332270">
      <w:bodyDiv w:val="1"/>
      <w:marLeft w:val="0"/>
      <w:marRight w:val="0"/>
      <w:marTop w:val="0"/>
      <w:marBottom w:val="0"/>
      <w:divBdr>
        <w:top w:val="none" w:sz="0" w:space="0" w:color="auto"/>
        <w:left w:val="none" w:sz="0" w:space="0" w:color="auto"/>
        <w:bottom w:val="none" w:sz="0" w:space="0" w:color="auto"/>
        <w:right w:val="none" w:sz="0" w:space="0" w:color="auto"/>
      </w:divBdr>
    </w:div>
    <w:div w:id="591667046">
      <w:bodyDiv w:val="1"/>
      <w:marLeft w:val="0"/>
      <w:marRight w:val="0"/>
      <w:marTop w:val="0"/>
      <w:marBottom w:val="0"/>
      <w:divBdr>
        <w:top w:val="none" w:sz="0" w:space="0" w:color="auto"/>
        <w:left w:val="none" w:sz="0" w:space="0" w:color="auto"/>
        <w:bottom w:val="none" w:sz="0" w:space="0" w:color="auto"/>
        <w:right w:val="none" w:sz="0" w:space="0" w:color="auto"/>
      </w:divBdr>
    </w:div>
    <w:div w:id="599070037">
      <w:bodyDiv w:val="1"/>
      <w:marLeft w:val="0"/>
      <w:marRight w:val="0"/>
      <w:marTop w:val="0"/>
      <w:marBottom w:val="0"/>
      <w:divBdr>
        <w:top w:val="none" w:sz="0" w:space="0" w:color="auto"/>
        <w:left w:val="none" w:sz="0" w:space="0" w:color="auto"/>
        <w:bottom w:val="none" w:sz="0" w:space="0" w:color="auto"/>
        <w:right w:val="none" w:sz="0" w:space="0" w:color="auto"/>
      </w:divBdr>
    </w:div>
    <w:div w:id="709302445">
      <w:bodyDiv w:val="1"/>
      <w:marLeft w:val="0"/>
      <w:marRight w:val="0"/>
      <w:marTop w:val="0"/>
      <w:marBottom w:val="0"/>
      <w:divBdr>
        <w:top w:val="none" w:sz="0" w:space="0" w:color="auto"/>
        <w:left w:val="none" w:sz="0" w:space="0" w:color="auto"/>
        <w:bottom w:val="none" w:sz="0" w:space="0" w:color="auto"/>
        <w:right w:val="none" w:sz="0" w:space="0" w:color="auto"/>
      </w:divBdr>
    </w:div>
    <w:div w:id="80985835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1049765">
      <w:bodyDiv w:val="1"/>
      <w:marLeft w:val="0"/>
      <w:marRight w:val="0"/>
      <w:marTop w:val="0"/>
      <w:marBottom w:val="0"/>
      <w:divBdr>
        <w:top w:val="none" w:sz="0" w:space="0" w:color="auto"/>
        <w:left w:val="none" w:sz="0" w:space="0" w:color="auto"/>
        <w:bottom w:val="none" w:sz="0" w:space="0" w:color="auto"/>
        <w:right w:val="none" w:sz="0" w:space="0" w:color="auto"/>
      </w:divBdr>
    </w:div>
    <w:div w:id="845097800">
      <w:bodyDiv w:val="1"/>
      <w:marLeft w:val="0"/>
      <w:marRight w:val="0"/>
      <w:marTop w:val="0"/>
      <w:marBottom w:val="0"/>
      <w:divBdr>
        <w:top w:val="none" w:sz="0" w:space="0" w:color="auto"/>
        <w:left w:val="none" w:sz="0" w:space="0" w:color="auto"/>
        <w:bottom w:val="none" w:sz="0" w:space="0" w:color="auto"/>
        <w:right w:val="none" w:sz="0" w:space="0" w:color="auto"/>
      </w:divBdr>
    </w:div>
    <w:div w:id="860238597">
      <w:bodyDiv w:val="1"/>
      <w:marLeft w:val="0"/>
      <w:marRight w:val="0"/>
      <w:marTop w:val="0"/>
      <w:marBottom w:val="0"/>
      <w:divBdr>
        <w:top w:val="none" w:sz="0" w:space="0" w:color="auto"/>
        <w:left w:val="none" w:sz="0" w:space="0" w:color="auto"/>
        <w:bottom w:val="none" w:sz="0" w:space="0" w:color="auto"/>
        <w:right w:val="none" w:sz="0" w:space="0" w:color="auto"/>
      </w:divBdr>
    </w:div>
    <w:div w:id="881752695">
      <w:bodyDiv w:val="1"/>
      <w:marLeft w:val="0"/>
      <w:marRight w:val="0"/>
      <w:marTop w:val="0"/>
      <w:marBottom w:val="0"/>
      <w:divBdr>
        <w:top w:val="none" w:sz="0" w:space="0" w:color="auto"/>
        <w:left w:val="none" w:sz="0" w:space="0" w:color="auto"/>
        <w:bottom w:val="none" w:sz="0" w:space="0" w:color="auto"/>
        <w:right w:val="none" w:sz="0" w:space="0" w:color="auto"/>
      </w:divBdr>
    </w:div>
    <w:div w:id="946548844">
      <w:bodyDiv w:val="1"/>
      <w:marLeft w:val="0"/>
      <w:marRight w:val="0"/>
      <w:marTop w:val="0"/>
      <w:marBottom w:val="0"/>
      <w:divBdr>
        <w:top w:val="none" w:sz="0" w:space="0" w:color="auto"/>
        <w:left w:val="none" w:sz="0" w:space="0" w:color="auto"/>
        <w:bottom w:val="none" w:sz="0" w:space="0" w:color="auto"/>
        <w:right w:val="none" w:sz="0" w:space="0" w:color="auto"/>
      </w:divBdr>
    </w:div>
    <w:div w:id="986711355">
      <w:bodyDiv w:val="1"/>
      <w:marLeft w:val="0"/>
      <w:marRight w:val="0"/>
      <w:marTop w:val="0"/>
      <w:marBottom w:val="0"/>
      <w:divBdr>
        <w:top w:val="none" w:sz="0" w:space="0" w:color="auto"/>
        <w:left w:val="none" w:sz="0" w:space="0" w:color="auto"/>
        <w:bottom w:val="none" w:sz="0" w:space="0" w:color="auto"/>
        <w:right w:val="none" w:sz="0" w:space="0" w:color="auto"/>
      </w:divBdr>
    </w:div>
    <w:div w:id="1046375157">
      <w:bodyDiv w:val="1"/>
      <w:marLeft w:val="0"/>
      <w:marRight w:val="0"/>
      <w:marTop w:val="0"/>
      <w:marBottom w:val="0"/>
      <w:divBdr>
        <w:top w:val="none" w:sz="0" w:space="0" w:color="auto"/>
        <w:left w:val="none" w:sz="0" w:space="0" w:color="auto"/>
        <w:bottom w:val="none" w:sz="0" w:space="0" w:color="auto"/>
        <w:right w:val="none" w:sz="0" w:space="0" w:color="auto"/>
      </w:divBdr>
    </w:div>
    <w:div w:id="1082413120">
      <w:bodyDiv w:val="1"/>
      <w:marLeft w:val="0"/>
      <w:marRight w:val="0"/>
      <w:marTop w:val="0"/>
      <w:marBottom w:val="0"/>
      <w:divBdr>
        <w:top w:val="none" w:sz="0" w:space="0" w:color="auto"/>
        <w:left w:val="none" w:sz="0" w:space="0" w:color="auto"/>
        <w:bottom w:val="none" w:sz="0" w:space="0" w:color="auto"/>
        <w:right w:val="none" w:sz="0" w:space="0" w:color="auto"/>
      </w:divBdr>
    </w:div>
    <w:div w:id="1144082074">
      <w:bodyDiv w:val="1"/>
      <w:marLeft w:val="0"/>
      <w:marRight w:val="0"/>
      <w:marTop w:val="0"/>
      <w:marBottom w:val="0"/>
      <w:divBdr>
        <w:top w:val="none" w:sz="0" w:space="0" w:color="auto"/>
        <w:left w:val="none" w:sz="0" w:space="0" w:color="auto"/>
        <w:bottom w:val="none" w:sz="0" w:space="0" w:color="auto"/>
        <w:right w:val="none" w:sz="0" w:space="0" w:color="auto"/>
      </w:divBdr>
      <w:divsChild>
        <w:div w:id="753281976">
          <w:marLeft w:val="1080"/>
          <w:marRight w:val="0"/>
          <w:marTop w:val="100"/>
          <w:marBottom w:val="0"/>
          <w:divBdr>
            <w:top w:val="none" w:sz="0" w:space="0" w:color="auto"/>
            <w:left w:val="none" w:sz="0" w:space="0" w:color="auto"/>
            <w:bottom w:val="none" w:sz="0" w:space="0" w:color="auto"/>
            <w:right w:val="none" w:sz="0" w:space="0" w:color="auto"/>
          </w:divBdr>
        </w:div>
      </w:divsChild>
    </w:div>
    <w:div w:id="115988566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164">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3401473">
      <w:bodyDiv w:val="1"/>
      <w:marLeft w:val="0"/>
      <w:marRight w:val="0"/>
      <w:marTop w:val="0"/>
      <w:marBottom w:val="0"/>
      <w:divBdr>
        <w:top w:val="none" w:sz="0" w:space="0" w:color="auto"/>
        <w:left w:val="none" w:sz="0" w:space="0" w:color="auto"/>
        <w:bottom w:val="none" w:sz="0" w:space="0" w:color="auto"/>
        <w:right w:val="none" w:sz="0" w:space="0" w:color="auto"/>
      </w:divBdr>
    </w:div>
    <w:div w:id="122047843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4126454">
      <w:bodyDiv w:val="1"/>
      <w:marLeft w:val="0"/>
      <w:marRight w:val="0"/>
      <w:marTop w:val="0"/>
      <w:marBottom w:val="0"/>
      <w:divBdr>
        <w:top w:val="none" w:sz="0" w:space="0" w:color="auto"/>
        <w:left w:val="none" w:sz="0" w:space="0" w:color="auto"/>
        <w:bottom w:val="none" w:sz="0" w:space="0" w:color="auto"/>
        <w:right w:val="none" w:sz="0" w:space="0" w:color="auto"/>
      </w:divBdr>
    </w:div>
    <w:div w:id="1261452825">
      <w:bodyDiv w:val="1"/>
      <w:marLeft w:val="0"/>
      <w:marRight w:val="0"/>
      <w:marTop w:val="0"/>
      <w:marBottom w:val="0"/>
      <w:divBdr>
        <w:top w:val="none" w:sz="0" w:space="0" w:color="auto"/>
        <w:left w:val="none" w:sz="0" w:space="0" w:color="auto"/>
        <w:bottom w:val="none" w:sz="0" w:space="0" w:color="auto"/>
        <w:right w:val="none" w:sz="0" w:space="0" w:color="auto"/>
      </w:divBdr>
      <w:divsChild>
        <w:div w:id="2039819142">
          <w:marLeft w:val="360"/>
          <w:marRight w:val="0"/>
          <w:marTop w:val="200"/>
          <w:marBottom w:val="0"/>
          <w:divBdr>
            <w:top w:val="none" w:sz="0" w:space="0" w:color="auto"/>
            <w:left w:val="none" w:sz="0" w:space="0" w:color="auto"/>
            <w:bottom w:val="none" w:sz="0" w:space="0" w:color="auto"/>
            <w:right w:val="none" w:sz="0" w:space="0" w:color="auto"/>
          </w:divBdr>
        </w:div>
      </w:divsChild>
    </w:div>
    <w:div w:id="1263101707">
      <w:bodyDiv w:val="1"/>
      <w:marLeft w:val="0"/>
      <w:marRight w:val="0"/>
      <w:marTop w:val="0"/>
      <w:marBottom w:val="0"/>
      <w:divBdr>
        <w:top w:val="none" w:sz="0" w:space="0" w:color="auto"/>
        <w:left w:val="none" w:sz="0" w:space="0" w:color="auto"/>
        <w:bottom w:val="none" w:sz="0" w:space="0" w:color="auto"/>
        <w:right w:val="none" w:sz="0" w:space="0" w:color="auto"/>
      </w:divBdr>
    </w:div>
    <w:div w:id="1295796564">
      <w:bodyDiv w:val="1"/>
      <w:marLeft w:val="0"/>
      <w:marRight w:val="0"/>
      <w:marTop w:val="0"/>
      <w:marBottom w:val="0"/>
      <w:divBdr>
        <w:top w:val="none" w:sz="0" w:space="0" w:color="auto"/>
        <w:left w:val="none" w:sz="0" w:space="0" w:color="auto"/>
        <w:bottom w:val="none" w:sz="0" w:space="0" w:color="auto"/>
        <w:right w:val="none" w:sz="0" w:space="0" w:color="auto"/>
      </w:divBdr>
    </w:div>
    <w:div w:id="1301233391">
      <w:bodyDiv w:val="1"/>
      <w:marLeft w:val="0"/>
      <w:marRight w:val="0"/>
      <w:marTop w:val="0"/>
      <w:marBottom w:val="0"/>
      <w:divBdr>
        <w:top w:val="none" w:sz="0" w:space="0" w:color="auto"/>
        <w:left w:val="none" w:sz="0" w:space="0" w:color="auto"/>
        <w:bottom w:val="none" w:sz="0" w:space="0" w:color="auto"/>
        <w:right w:val="none" w:sz="0" w:space="0" w:color="auto"/>
      </w:divBdr>
      <w:divsChild>
        <w:div w:id="1466660330">
          <w:marLeft w:val="360"/>
          <w:marRight w:val="0"/>
          <w:marTop w:val="200"/>
          <w:marBottom w:val="0"/>
          <w:divBdr>
            <w:top w:val="none" w:sz="0" w:space="0" w:color="auto"/>
            <w:left w:val="none" w:sz="0" w:space="0" w:color="auto"/>
            <w:bottom w:val="none" w:sz="0" w:space="0" w:color="auto"/>
            <w:right w:val="none" w:sz="0" w:space="0" w:color="auto"/>
          </w:divBdr>
        </w:div>
      </w:divsChild>
    </w:div>
    <w:div w:id="1332683258">
      <w:bodyDiv w:val="1"/>
      <w:marLeft w:val="0"/>
      <w:marRight w:val="0"/>
      <w:marTop w:val="0"/>
      <w:marBottom w:val="0"/>
      <w:divBdr>
        <w:top w:val="none" w:sz="0" w:space="0" w:color="auto"/>
        <w:left w:val="none" w:sz="0" w:space="0" w:color="auto"/>
        <w:bottom w:val="none" w:sz="0" w:space="0" w:color="auto"/>
        <w:right w:val="none" w:sz="0" w:space="0" w:color="auto"/>
      </w:divBdr>
    </w:div>
    <w:div w:id="1379234842">
      <w:bodyDiv w:val="1"/>
      <w:marLeft w:val="0"/>
      <w:marRight w:val="0"/>
      <w:marTop w:val="0"/>
      <w:marBottom w:val="0"/>
      <w:divBdr>
        <w:top w:val="none" w:sz="0" w:space="0" w:color="auto"/>
        <w:left w:val="none" w:sz="0" w:space="0" w:color="auto"/>
        <w:bottom w:val="none" w:sz="0" w:space="0" w:color="auto"/>
        <w:right w:val="none" w:sz="0" w:space="0" w:color="auto"/>
      </w:divBdr>
    </w:div>
    <w:div w:id="1387800420">
      <w:bodyDiv w:val="1"/>
      <w:marLeft w:val="0"/>
      <w:marRight w:val="0"/>
      <w:marTop w:val="0"/>
      <w:marBottom w:val="0"/>
      <w:divBdr>
        <w:top w:val="none" w:sz="0" w:space="0" w:color="auto"/>
        <w:left w:val="none" w:sz="0" w:space="0" w:color="auto"/>
        <w:bottom w:val="none" w:sz="0" w:space="0" w:color="auto"/>
        <w:right w:val="none" w:sz="0" w:space="0" w:color="auto"/>
      </w:divBdr>
    </w:div>
    <w:div w:id="1398556654">
      <w:bodyDiv w:val="1"/>
      <w:marLeft w:val="0"/>
      <w:marRight w:val="0"/>
      <w:marTop w:val="0"/>
      <w:marBottom w:val="0"/>
      <w:divBdr>
        <w:top w:val="none" w:sz="0" w:space="0" w:color="auto"/>
        <w:left w:val="none" w:sz="0" w:space="0" w:color="auto"/>
        <w:bottom w:val="none" w:sz="0" w:space="0" w:color="auto"/>
        <w:right w:val="none" w:sz="0" w:space="0" w:color="auto"/>
      </w:divBdr>
    </w:div>
    <w:div w:id="1493136093">
      <w:bodyDiv w:val="1"/>
      <w:marLeft w:val="0"/>
      <w:marRight w:val="0"/>
      <w:marTop w:val="0"/>
      <w:marBottom w:val="0"/>
      <w:divBdr>
        <w:top w:val="none" w:sz="0" w:space="0" w:color="auto"/>
        <w:left w:val="none" w:sz="0" w:space="0" w:color="auto"/>
        <w:bottom w:val="none" w:sz="0" w:space="0" w:color="auto"/>
        <w:right w:val="none" w:sz="0" w:space="0" w:color="auto"/>
      </w:divBdr>
    </w:div>
    <w:div w:id="1496191874">
      <w:bodyDiv w:val="1"/>
      <w:marLeft w:val="0"/>
      <w:marRight w:val="0"/>
      <w:marTop w:val="0"/>
      <w:marBottom w:val="0"/>
      <w:divBdr>
        <w:top w:val="none" w:sz="0" w:space="0" w:color="auto"/>
        <w:left w:val="none" w:sz="0" w:space="0" w:color="auto"/>
        <w:bottom w:val="none" w:sz="0" w:space="0" w:color="auto"/>
        <w:right w:val="none" w:sz="0" w:space="0" w:color="auto"/>
      </w:divBdr>
    </w:div>
    <w:div w:id="1500345283">
      <w:bodyDiv w:val="1"/>
      <w:marLeft w:val="0"/>
      <w:marRight w:val="0"/>
      <w:marTop w:val="0"/>
      <w:marBottom w:val="0"/>
      <w:divBdr>
        <w:top w:val="none" w:sz="0" w:space="0" w:color="auto"/>
        <w:left w:val="none" w:sz="0" w:space="0" w:color="auto"/>
        <w:bottom w:val="none" w:sz="0" w:space="0" w:color="auto"/>
        <w:right w:val="none" w:sz="0" w:space="0" w:color="auto"/>
      </w:divBdr>
    </w:div>
    <w:div w:id="1603028355">
      <w:bodyDiv w:val="1"/>
      <w:marLeft w:val="0"/>
      <w:marRight w:val="0"/>
      <w:marTop w:val="0"/>
      <w:marBottom w:val="0"/>
      <w:divBdr>
        <w:top w:val="none" w:sz="0" w:space="0" w:color="auto"/>
        <w:left w:val="none" w:sz="0" w:space="0" w:color="auto"/>
        <w:bottom w:val="none" w:sz="0" w:space="0" w:color="auto"/>
        <w:right w:val="none" w:sz="0" w:space="0" w:color="auto"/>
      </w:divBdr>
    </w:div>
    <w:div w:id="1604801735">
      <w:bodyDiv w:val="1"/>
      <w:marLeft w:val="0"/>
      <w:marRight w:val="0"/>
      <w:marTop w:val="0"/>
      <w:marBottom w:val="0"/>
      <w:divBdr>
        <w:top w:val="none" w:sz="0" w:space="0" w:color="auto"/>
        <w:left w:val="none" w:sz="0" w:space="0" w:color="auto"/>
        <w:bottom w:val="none" w:sz="0" w:space="0" w:color="auto"/>
        <w:right w:val="none" w:sz="0" w:space="0" w:color="auto"/>
      </w:divBdr>
    </w:div>
    <w:div w:id="1632900939">
      <w:bodyDiv w:val="1"/>
      <w:marLeft w:val="0"/>
      <w:marRight w:val="0"/>
      <w:marTop w:val="0"/>
      <w:marBottom w:val="0"/>
      <w:divBdr>
        <w:top w:val="none" w:sz="0" w:space="0" w:color="auto"/>
        <w:left w:val="none" w:sz="0" w:space="0" w:color="auto"/>
        <w:bottom w:val="none" w:sz="0" w:space="0" w:color="auto"/>
        <w:right w:val="none" w:sz="0" w:space="0" w:color="auto"/>
      </w:divBdr>
    </w:div>
    <w:div w:id="1636376904">
      <w:bodyDiv w:val="1"/>
      <w:marLeft w:val="0"/>
      <w:marRight w:val="0"/>
      <w:marTop w:val="0"/>
      <w:marBottom w:val="0"/>
      <w:divBdr>
        <w:top w:val="none" w:sz="0" w:space="0" w:color="auto"/>
        <w:left w:val="none" w:sz="0" w:space="0" w:color="auto"/>
        <w:bottom w:val="none" w:sz="0" w:space="0" w:color="auto"/>
        <w:right w:val="none" w:sz="0" w:space="0" w:color="auto"/>
      </w:divBdr>
    </w:div>
    <w:div w:id="1653564677">
      <w:bodyDiv w:val="1"/>
      <w:marLeft w:val="0"/>
      <w:marRight w:val="0"/>
      <w:marTop w:val="0"/>
      <w:marBottom w:val="0"/>
      <w:divBdr>
        <w:top w:val="none" w:sz="0" w:space="0" w:color="auto"/>
        <w:left w:val="none" w:sz="0" w:space="0" w:color="auto"/>
        <w:bottom w:val="none" w:sz="0" w:space="0" w:color="auto"/>
        <w:right w:val="none" w:sz="0" w:space="0" w:color="auto"/>
      </w:divBdr>
    </w:div>
    <w:div w:id="1716739168">
      <w:bodyDiv w:val="1"/>
      <w:marLeft w:val="0"/>
      <w:marRight w:val="0"/>
      <w:marTop w:val="0"/>
      <w:marBottom w:val="0"/>
      <w:divBdr>
        <w:top w:val="none" w:sz="0" w:space="0" w:color="auto"/>
        <w:left w:val="none" w:sz="0" w:space="0" w:color="auto"/>
        <w:bottom w:val="none" w:sz="0" w:space="0" w:color="auto"/>
        <w:right w:val="none" w:sz="0" w:space="0" w:color="auto"/>
      </w:divBdr>
    </w:div>
    <w:div w:id="1742410249">
      <w:bodyDiv w:val="1"/>
      <w:marLeft w:val="0"/>
      <w:marRight w:val="0"/>
      <w:marTop w:val="0"/>
      <w:marBottom w:val="0"/>
      <w:divBdr>
        <w:top w:val="none" w:sz="0" w:space="0" w:color="auto"/>
        <w:left w:val="none" w:sz="0" w:space="0" w:color="auto"/>
        <w:bottom w:val="none" w:sz="0" w:space="0" w:color="auto"/>
        <w:right w:val="none" w:sz="0" w:space="0" w:color="auto"/>
      </w:divBdr>
    </w:div>
    <w:div w:id="1750734390">
      <w:bodyDiv w:val="1"/>
      <w:marLeft w:val="0"/>
      <w:marRight w:val="0"/>
      <w:marTop w:val="0"/>
      <w:marBottom w:val="0"/>
      <w:divBdr>
        <w:top w:val="none" w:sz="0" w:space="0" w:color="auto"/>
        <w:left w:val="none" w:sz="0" w:space="0" w:color="auto"/>
        <w:bottom w:val="none" w:sz="0" w:space="0" w:color="auto"/>
        <w:right w:val="none" w:sz="0" w:space="0" w:color="auto"/>
      </w:divBdr>
    </w:div>
    <w:div w:id="1752199298">
      <w:bodyDiv w:val="1"/>
      <w:marLeft w:val="0"/>
      <w:marRight w:val="0"/>
      <w:marTop w:val="0"/>
      <w:marBottom w:val="0"/>
      <w:divBdr>
        <w:top w:val="none" w:sz="0" w:space="0" w:color="auto"/>
        <w:left w:val="none" w:sz="0" w:space="0" w:color="auto"/>
        <w:bottom w:val="none" w:sz="0" w:space="0" w:color="auto"/>
        <w:right w:val="none" w:sz="0" w:space="0" w:color="auto"/>
      </w:divBdr>
    </w:div>
    <w:div w:id="1830945144">
      <w:bodyDiv w:val="1"/>
      <w:marLeft w:val="0"/>
      <w:marRight w:val="0"/>
      <w:marTop w:val="0"/>
      <w:marBottom w:val="0"/>
      <w:divBdr>
        <w:top w:val="none" w:sz="0" w:space="0" w:color="auto"/>
        <w:left w:val="none" w:sz="0" w:space="0" w:color="auto"/>
        <w:bottom w:val="none" w:sz="0" w:space="0" w:color="auto"/>
        <w:right w:val="none" w:sz="0" w:space="0" w:color="auto"/>
      </w:divBdr>
    </w:div>
    <w:div w:id="1834488542">
      <w:bodyDiv w:val="1"/>
      <w:marLeft w:val="0"/>
      <w:marRight w:val="0"/>
      <w:marTop w:val="0"/>
      <w:marBottom w:val="0"/>
      <w:divBdr>
        <w:top w:val="none" w:sz="0" w:space="0" w:color="auto"/>
        <w:left w:val="none" w:sz="0" w:space="0" w:color="auto"/>
        <w:bottom w:val="none" w:sz="0" w:space="0" w:color="auto"/>
        <w:right w:val="none" w:sz="0" w:space="0" w:color="auto"/>
      </w:divBdr>
    </w:div>
    <w:div w:id="1850173487">
      <w:bodyDiv w:val="1"/>
      <w:marLeft w:val="0"/>
      <w:marRight w:val="0"/>
      <w:marTop w:val="0"/>
      <w:marBottom w:val="0"/>
      <w:divBdr>
        <w:top w:val="none" w:sz="0" w:space="0" w:color="auto"/>
        <w:left w:val="none" w:sz="0" w:space="0" w:color="auto"/>
        <w:bottom w:val="none" w:sz="0" w:space="0" w:color="auto"/>
        <w:right w:val="none" w:sz="0" w:space="0" w:color="auto"/>
      </w:divBdr>
    </w:div>
    <w:div w:id="185298430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5496155">
      <w:bodyDiv w:val="1"/>
      <w:marLeft w:val="0"/>
      <w:marRight w:val="0"/>
      <w:marTop w:val="0"/>
      <w:marBottom w:val="0"/>
      <w:divBdr>
        <w:top w:val="none" w:sz="0" w:space="0" w:color="auto"/>
        <w:left w:val="none" w:sz="0" w:space="0" w:color="auto"/>
        <w:bottom w:val="none" w:sz="0" w:space="0" w:color="auto"/>
        <w:right w:val="none" w:sz="0" w:space="0" w:color="auto"/>
      </w:divBdr>
    </w:div>
    <w:div w:id="1989742072">
      <w:bodyDiv w:val="1"/>
      <w:marLeft w:val="0"/>
      <w:marRight w:val="0"/>
      <w:marTop w:val="0"/>
      <w:marBottom w:val="0"/>
      <w:divBdr>
        <w:top w:val="none" w:sz="0" w:space="0" w:color="auto"/>
        <w:left w:val="none" w:sz="0" w:space="0" w:color="auto"/>
        <w:bottom w:val="none" w:sz="0" w:space="0" w:color="auto"/>
        <w:right w:val="none" w:sz="0" w:space="0" w:color="auto"/>
      </w:divBdr>
    </w:div>
    <w:div w:id="2033216891">
      <w:bodyDiv w:val="1"/>
      <w:marLeft w:val="0"/>
      <w:marRight w:val="0"/>
      <w:marTop w:val="0"/>
      <w:marBottom w:val="0"/>
      <w:divBdr>
        <w:top w:val="none" w:sz="0" w:space="0" w:color="auto"/>
        <w:left w:val="none" w:sz="0" w:space="0" w:color="auto"/>
        <w:bottom w:val="none" w:sz="0" w:space="0" w:color="auto"/>
        <w:right w:val="none" w:sz="0" w:space="0" w:color="auto"/>
      </w:divBdr>
    </w:div>
    <w:div w:id="2037342318">
      <w:bodyDiv w:val="1"/>
      <w:marLeft w:val="0"/>
      <w:marRight w:val="0"/>
      <w:marTop w:val="0"/>
      <w:marBottom w:val="0"/>
      <w:divBdr>
        <w:top w:val="none" w:sz="0" w:space="0" w:color="auto"/>
        <w:left w:val="none" w:sz="0" w:space="0" w:color="auto"/>
        <w:bottom w:val="none" w:sz="0" w:space="0" w:color="auto"/>
        <w:right w:val="none" w:sz="0" w:space="0" w:color="auto"/>
      </w:divBdr>
    </w:div>
    <w:div w:id="2095516465">
      <w:bodyDiv w:val="1"/>
      <w:marLeft w:val="0"/>
      <w:marRight w:val="0"/>
      <w:marTop w:val="0"/>
      <w:marBottom w:val="0"/>
      <w:divBdr>
        <w:top w:val="none" w:sz="0" w:space="0" w:color="auto"/>
        <w:left w:val="none" w:sz="0" w:space="0" w:color="auto"/>
        <w:bottom w:val="none" w:sz="0" w:space="0" w:color="auto"/>
        <w:right w:val="none" w:sz="0" w:space="0" w:color="auto"/>
      </w:divBdr>
    </w:div>
    <w:div w:id="21426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ervicesaustralia.gov.au/hp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rvicesaustrali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rvicesaustralia.gov.au/HP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D21B-5BF5-4857-92CC-2566AA398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16078-1D68-4D9A-94D1-D55B7FEAE346}">
  <ds:schemaRefs>
    <ds:schemaRef ds:uri="http://schemas.microsoft.com/sharepoint/v3/contenttype/forms"/>
  </ds:schemaRefs>
</ds:datastoreItem>
</file>

<file path=customXml/itemProps3.xml><?xml version="1.0" encoding="utf-8"?>
<ds:datastoreItem xmlns:ds="http://schemas.openxmlformats.org/officeDocument/2006/customXml" ds:itemID="{3517307E-0A3F-4536-991F-40A4E614E75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24706</Words>
  <Characters>138633</Characters>
  <Application>Microsoft Office Word</Application>
  <DocSecurity>0</DocSecurity>
  <Lines>1155</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163013</CharactersWithSpaces>
  <SharedDoc>false</SharedDoc>
  <HLinks>
    <vt:vector size="18" baseType="variant">
      <vt:variant>
        <vt:i4>1507399</vt:i4>
      </vt:variant>
      <vt:variant>
        <vt:i4>270</vt:i4>
      </vt:variant>
      <vt:variant>
        <vt:i4>0</vt:i4>
      </vt:variant>
      <vt:variant>
        <vt:i4>5</vt:i4>
      </vt:variant>
      <vt:variant>
        <vt:lpwstr>http://www.servicesaustralia.gov.au/HPOS</vt:lpwstr>
      </vt:variant>
      <vt:variant>
        <vt:lpwstr/>
      </vt:variant>
      <vt:variant>
        <vt:i4>1507399</vt:i4>
      </vt:variant>
      <vt:variant>
        <vt:i4>255</vt:i4>
      </vt:variant>
      <vt:variant>
        <vt:i4>0</vt:i4>
      </vt:variant>
      <vt:variant>
        <vt:i4>5</vt:i4>
      </vt:variant>
      <vt:variant>
        <vt:lpwstr>http://www.servicesaustralia.gov.au/hpos</vt:lpwstr>
      </vt:variant>
      <vt:variant>
        <vt:lpwstr/>
      </vt:variant>
      <vt:variant>
        <vt:i4>1310784</vt:i4>
      </vt:variant>
      <vt:variant>
        <vt:i4>252</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2025-10-14T02:55:00Z</dcterms:created>
  <dcterms:modified xsi:type="dcterms:W3CDTF">2025-10-30T01:23:00Z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4ba866f1,4b45100,355f8690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49c2c9e8,32e63b73,1970ba2c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2025-10-14T02:56:05Z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8d7de5a1-0ad0-4a60-8f46-92b7d8043efd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SIP_Label_368e015a-e31d-40e3-9bf4-e51eef791627_Enabled">
    <vt:lpwstr>true</vt:lpwstr>
  </property>
  <property fmtid="{D5CDD505-2E9C-101B-9397-08002B2CF9AE}" pid="18" name="MSIP_Label_368e015a-e31d-40e3-9bf4-e51eef791627_Name">
    <vt:lpwstr>368e015a-e31d-40e3-9bf4-e51eef791627</vt:lpwstr>
  </property>
  <property fmtid="{D5CDD505-2E9C-101B-9397-08002B2CF9AE}" pid="19" name="MediaServiceImageTags">
    <vt:lpwstr/>
  </property>
  <property fmtid="{D5CDD505-2E9C-101B-9397-08002B2CF9AE}" pid="20" name="ContentTypeId">
    <vt:lpwstr>0x0101007FED174C5281F747A8037A05221D6DBD</vt:lpwstr>
  </property>
  <property fmtid="{D5CDD505-2E9C-101B-9397-08002B2CF9AE}" pid="21" name="MSIP_Label_368e015a-e31d-40e3-9bf4-e51eef791627_SetDate">
    <vt:lpwstr>2025-09-23T15:52:57Z</vt:lpwstr>
  </property>
  <property fmtid="{D5CDD505-2E9C-101B-9397-08002B2CF9AE}" pid="22" name="MSIP_Label_368e015a-e31d-40e3-9bf4-e51eef791627_ContentBits">
    <vt:lpwstr>0</vt:lpwstr>
  </property>
  <property fmtid="{D5CDD505-2E9C-101B-9397-08002B2CF9AE}" pid="23" name="MSIP_Label_368e015a-e31d-40e3-9bf4-e51eef791627_SiteId">
    <vt:lpwstr>24b3eeb4-034e-43bf-88a4-1210117feb64</vt:lpwstr>
  </property>
  <property fmtid="{D5CDD505-2E9C-101B-9397-08002B2CF9AE}" pid="24" name="MSIP_Label_368e015a-e31d-40e3-9bf4-e51eef791627_Tag">
    <vt:lpwstr>10, 3, 0, 1</vt:lpwstr>
  </property>
  <property fmtid="{D5CDD505-2E9C-101B-9397-08002B2CF9AE}" pid="25" name="MSIP_Label_368e015a-e31d-40e3-9bf4-e51eef791627_Method">
    <vt:lpwstr>Standard</vt:lpwstr>
  </property>
  <property fmtid="{D5CDD505-2E9C-101B-9397-08002B2CF9AE}" pid="26" name="docLang">
    <vt:lpwstr>en</vt:lpwstr>
  </property>
  <property fmtid="{D5CDD505-2E9C-101B-9397-08002B2CF9AE}" pid="27" name="MSIP_Label_7cd3e8b9-ffed-43a8-b7f4-cc2fa0382d36_Extended_MSFT_Method">
    <vt:lpwstr>Standard</vt:lpwstr>
  </property>
  <property fmtid="{D5CDD505-2E9C-101B-9397-08002B2CF9AE}" pid="28" name="MSIP_Label_368e015a-e31d-40e3-9bf4-e51eef791627_ActionId">
    <vt:lpwstr>db4995fa-f66b-49cc-944a-1bb1b23e405b</vt:lpwstr>
  </property>
</Properties>
</file>