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6701A" w14:textId="29F0D6DE" w:rsidR="00B60939" w:rsidRPr="004F11AC" w:rsidRDefault="00E23F1B" w:rsidP="00E208B7">
      <w:pPr>
        <w:pStyle w:val="COMexecsummheadings"/>
      </w:pPr>
      <w:r w:rsidRPr="004F11AC">
        <w:t>7</w:t>
      </w:r>
      <w:r w:rsidR="00433044" w:rsidRPr="004F11AC">
        <w:t>.</w:t>
      </w:r>
      <w:r w:rsidRPr="004F11AC">
        <w:t>02</w:t>
      </w:r>
      <w:r w:rsidR="00163F66" w:rsidRPr="004F11AC">
        <w:tab/>
      </w:r>
      <w:r w:rsidR="00CE71F2" w:rsidRPr="004F11AC">
        <w:t>INSULIN DEGLUDEC</w:t>
      </w:r>
      <w:r w:rsidR="00163F66" w:rsidRPr="004F11AC">
        <w:t>,</w:t>
      </w:r>
      <w:r w:rsidR="00163F66" w:rsidRPr="004F11AC">
        <w:br/>
      </w:r>
      <w:r w:rsidR="00CC0787" w:rsidRPr="004F11AC">
        <w:t>S</w:t>
      </w:r>
      <w:r w:rsidR="00580D35" w:rsidRPr="004F11AC">
        <w:t>olution for injection</w:t>
      </w:r>
      <w:r w:rsidR="00CC0787" w:rsidRPr="004F11AC">
        <w:t xml:space="preserve"> </w:t>
      </w:r>
      <w:r w:rsidR="00580D35" w:rsidRPr="004F11AC">
        <w:t>100 units per mL</w:t>
      </w:r>
      <w:r w:rsidR="00163F66" w:rsidRPr="004F11AC">
        <w:t>,</w:t>
      </w:r>
      <w:r w:rsidR="00163F66" w:rsidRPr="004F11AC">
        <w:br/>
      </w:r>
      <w:r w:rsidR="00822B5B" w:rsidRPr="004F11AC">
        <w:t>Tresiba</w:t>
      </w:r>
      <w:r w:rsidR="00B60939" w:rsidRPr="004F11AC">
        <w:rPr>
          <w:vertAlign w:val="superscript"/>
        </w:rPr>
        <w:t>®</w:t>
      </w:r>
      <w:r w:rsidR="00822B5B" w:rsidRPr="004F11AC">
        <w:rPr>
          <w:vertAlign w:val="superscript"/>
        </w:rPr>
        <w:t xml:space="preserve"> </w:t>
      </w:r>
      <w:r w:rsidR="00822B5B" w:rsidRPr="004F11AC">
        <w:t>Penfill</w:t>
      </w:r>
      <w:r w:rsidR="00822B5B" w:rsidRPr="004F11AC">
        <w:rPr>
          <w:vertAlign w:val="superscript"/>
        </w:rPr>
        <w:t>®</w:t>
      </w:r>
      <w:r w:rsidR="004A6040" w:rsidRPr="004F11AC">
        <w:t>,</w:t>
      </w:r>
      <w:r w:rsidR="004A6040" w:rsidRPr="004F11AC">
        <w:br/>
      </w:r>
      <w:r w:rsidR="00861A17" w:rsidRPr="004F11AC">
        <w:t>Novo Nordisk Pharmaceuticals Pty. L</w:t>
      </w:r>
      <w:r w:rsidR="009B2174">
        <w:t>td</w:t>
      </w:r>
      <w:r w:rsidR="00861A17" w:rsidRPr="004F11AC">
        <w:t>.</w:t>
      </w:r>
    </w:p>
    <w:p w14:paraId="11C00795" w14:textId="3DFB6D23" w:rsidR="00B50DB8" w:rsidRPr="004F11AC" w:rsidRDefault="00B50DB8" w:rsidP="00E208B7">
      <w:pPr>
        <w:pStyle w:val="COMH1-numbered"/>
      </w:pPr>
      <w:bookmarkStart w:id="0" w:name="_Toc197595407"/>
      <w:r w:rsidRPr="004F11AC">
        <w:t xml:space="preserve">Purpose of </w:t>
      </w:r>
      <w:r w:rsidR="00CD7193" w:rsidRPr="004F11AC">
        <w:t>s</w:t>
      </w:r>
      <w:r w:rsidR="00BB3A45" w:rsidRPr="004F11AC">
        <w:t>ubmission</w:t>
      </w:r>
      <w:bookmarkEnd w:id="0"/>
    </w:p>
    <w:p w14:paraId="4BB9E7EC" w14:textId="2FD40065" w:rsidR="008701A1" w:rsidRPr="00E25E13" w:rsidRDefault="008701A1" w:rsidP="00E208B7">
      <w:pPr>
        <w:pStyle w:val="COMexecsummnumbered"/>
      </w:pPr>
      <w:r w:rsidRPr="00E25E13">
        <w:t xml:space="preserve">The standard re-entry submission requested a General Schedule Restricted Benefit listing for insulin degludec </w:t>
      </w:r>
      <w:r w:rsidR="00D015F8" w:rsidRPr="00E25E13">
        <w:t xml:space="preserve">100 IU/mL </w:t>
      </w:r>
      <w:r w:rsidRPr="00E25E13">
        <w:t>for the treatment of type 1 diabetes mellitus</w:t>
      </w:r>
      <w:r w:rsidR="00E56865" w:rsidRPr="00E25E13">
        <w:t xml:space="preserve"> (T1D)</w:t>
      </w:r>
      <w:r w:rsidRPr="00E25E13">
        <w:t>.</w:t>
      </w:r>
    </w:p>
    <w:p w14:paraId="36031430" w14:textId="67BE752A" w:rsidR="008701A1" w:rsidRPr="00E25E13" w:rsidRDefault="008701A1" w:rsidP="00E208B7">
      <w:pPr>
        <w:pStyle w:val="COMexecsummnumbered"/>
      </w:pPr>
      <w:r w:rsidRPr="00E25E13">
        <w:t xml:space="preserve">The listing was requested on the basis of a cost consequences analysis compared to </w:t>
      </w:r>
      <w:r w:rsidR="00985A68" w:rsidRPr="00E25E13">
        <w:t>insulin glargine 100 IU/</w:t>
      </w:r>
      <w:proofErr w:type="spellStart"/>
      <w:r w:rsidR="00985A68" w:rsidRPr="00E25E13">
        <w:t>mL.</w:t>
      </w:r>
      <w:proofErr w:type="spellEnd"/>
    </w:p>
    <w:p w14:paraId="17FD3A87" w14:textId="59B94644" w:rsidR="00807196" w:rsidRPr="00E25E13" w:rsidRDefault="00807196" w:rsidP="00E208B7">
      <w:pPr>
        <w:pStyle w:val="COMexecsummnumbered"/>
        <w:spacing w:after="120"/>
      </w:pPr>
      <w:r w:rsidRPr="00E25E13">
        <w:t xml:space="preserve">The </w:t>
      </w:r>
      <w:r w:rsidR="002B4136" w:rsidRPr="00E25E13">
        <w:t>Pre-Sub-Committee Response (PSCR)</w:t>
      </w:r>
      <w:r w:rsidRPr="00E25E13">
        <w:t xml:space="preserve"> </w:t>
      </w:r>
      <w:r w:rsidR="002B4136" w:rsidRPr="00E25E13">
        <w:t>stated that the rationale for the resubmission wa</w:t>
      </w:r>
      <w:r w:rsidRPr="00E25E13">
        <w:t xml:space="preserve">s to address a small but important patient and clinician need, which </w:t>
      </w:r>
      <w:r w:rsidR="002B4136" w:rsidRPr="00E25E13">
        <w:t>the sponsor was</w:t>
      </w:r>
      <w:r w:rsidRPr="00E25E13">
        <w:t xml:space="preserve"> advised</w:t>
      </w:r>
      <w:r w:rsidR="00620728">
        <w:t xml:space="preserve"> by “local clinical experts”</w:t>
      </w:r>
      <w:r w:rsidRPr="00E25E13">
        <w:t xml:space="preserve"> will arise </w:t>
      </w:r>
      <w:r w:rsidR="00221B3B" w:rsidRPr="00E25E13">
        <w:t>because of</w:t>
      </w:r>
      <w:r w:rsidRPr="00E25E13">
        <w:t xml:space="preserve"> the pending discontinuation of </w:t>
      </w:r>
      <w:r w:rsidR="00E33EFF" w:rsidRPr="00E25E13">
        <w:t>insulin detemir</w:t>
      </w:r>
      <w:r w:rsidR="003A73A4">
        <w:t xml:space="preserve"> from the Australian market towards the end of 2026</w:t>
      </w:r>
      <w:r w:rsidRPr="00E25E13">
        <w:t xml:space="preserve">. </w:t>
      </w:r>
      <w:r w:rsidR="007F5D51" w:rsidRPr="00E25E13">
        <w:t xml:space="preserve">While the PSCR stated that PBS listing of insulin degludec is only </w:t>
      </w:r>
      <w:r w:rsidR="0099214D" w:rsidRPr="00E25E13">
        <w:t>“possible (or indeed necessary) if the PBAC agrees with the local expert advice … received, that for at least some T1D</w:t>
      </w:r>
      <w:r w:rsidR="001046CB" w:rsidRPr="00E25E13">
        <w:t xml:space="preserve">M patients, </w:t>
      </w:r>
      <w:proofErr w:type="spellStart"/>
      <w:r w:rsidR="001046CB" w:rsidRPr="00E25E13">
        <w:t>IDeg</w:t>
      </w:r>
      <w:proofErr w:type="spellEnd"/>
      <w:r w:rsidR="001046CB" w:rsidRPr="00E25E13">
        <w:t xml:space="preserve"> </w:t>
      </w:r>
      <w:r w:rsidR="003653EC" w:rsidRPr="00E25E13">
        <w:t xml:space="preserve">[insulin degludec] </w:t>
      </w:r>
      <w:r w:rsidR="001046CB" w:rsidRPr="00E25E13">
        <w:t xml:space="preserve">offers important and/or practical benefits over </w:t>
      </w:r>
      <w:proofErr w:type="spellStart"/>
      <w:r w:rsidR="001046CB" w:rsidRPr="00E25E13">
        <w:t>IGlar</w:t>
      </w:r>
      <w:proofErr w:type="spellEnd"/>
      <w:r w:rsidR="001046CB" w:rsidRPr="00E25E13">
        <w:t xml:space="preserve"> </w:t>
      </w:r>
      <w:r w:rsidR="003653EC" w:rsidRPr="00E25E13">
        <w:t xml:space="preserve">[insulin glargine] </w:t>
      </w:r>
      <w:r w:rsidR="001046CB" w:rsidRPr="00E25E13">
        <w:t>100 IU/</w:t>
      </w:r>
      <w:proofErr w:type="spellStart"/>
      <w:r w:rsidR="001046CB" w:rsidRPr="00E25E13">
        <w:t>mL</w:t>
      </w:r>
      <w:r w:rsidR="0093001A">
        <w:t>.</w:t>
      </w:r>
      <w:proofErr w:type="spellEnd"/>
      <w:r w:rsidR="001046CB" w:rsidRPr="00E25E13">
        <w:t xml:space="preserve">..”, the ESC noted that the </w:t>
      </w:r>
      <w:r w:rsidR="003E6A1F">
        <w:t xml:space="preserve">resubmission and </w:t>
      </w:r>
      <w:r w:rsidR="007F361F" w:rsidRPr="00E25E13">
        <w:t xml:space="preserve">PSCR did not state who the local experts </w:t>
      </w:r>
      <w:r w:rsidR="006C42D9" w:rsidRPr="00E25E13">
        <w:t>we</w:t>
      </w:r>
      <w:r w:rsidR="007F361F" w:rsidRPr="00E25E13">
        <w:t>re, just that they advise</w:t>
      </w:r>
      <w:r w:rsidR="006C42D9" w:rsidRPr="00E25E13">
        <w:t>d</w:t>
      </w:r>
      <w:r w:rsidR="007F361F" w:rsidRPr="00E25E13">
        <w:t xml:space="preserve"> “there is an urgent need for </w:t>
      </w:r>
      <w:r w:rsidR="00547FD2" w:rsidRPr="00E25E13">
        <w:t>an alternative stand-alone long-acting insulin analogue to be supplied via the PBS for treatment of patients with T1D, particularly those aged less than 6 years</w:t>
      </w:r>
      <w:r w:rsidR="006C5262" w:rsidRPr="00E25E13">
        <w:t xml:space="preserve"> but also for </w:t>
      </w:r>
      <w:r w:rsidR="00623F64" w:rsidRPr="00E25E13">
        <w:t xml:space="preserve">older patients for whom </w:t>
      </w:r>
      <w:proofErr w:type="spellStart"/>
      <w:r w:rsidR="00623F64" w:rsidRPr="00E25E13">
        <w:t>Toujeo</w:t>
      </w:r>
      <w:proofErr w:type="spellEnd"/>
      <w:r w:rsidR="009C750F" w:rsidRPr="00E25E13">
        <w:rPr>
          <w:rFonts w:cstheme="minorHAnsi"/>
        </w:rPr>
        <w:t>®</w:t>
      </w:r>
      <w:r w:rsidR="00623F64" w:rsidRPr="00E25E13">
        <w:t xml:space="preserve"> </w:t>
      </w:r>
      <w:r w:rsidR="000108BE" w:rsidRPr="00E25E13">
        <w:t xml:space="preserve">[insulin glargine] </w:t>
      </w:r>
      <w:r w:rsidR="00623F64" w:rsidRPr="00E25E13">
        <w:t xml:space="preserve">or </w:t>
      </w:r>
      <w:proofErr w:type="spellStart"/>
      <w:r w:rsidR="00623F64" w:rsidRPr="00E25E13">
        <w:t>Ryzodeg</w:t>
      </w:r>
      <w:proofErr w:type="spellEnd"/>
      <w:r w:rsidR="009C750F" w:rsidRPr="00E25E13">
        <w:rPr>
          <w:rFonts w:cstheme="minorHAnsi"/>
        </w:rPr>
        <w:t>®</w:t>
      </w:r>
      <w:r w:rsidR="00623F64" w:rsidRPr="00E25E13">
        <w:t xml:space="preserve"> </w:t>
      </w:r>
      <w:r w:rsidR="009C750F" w:rsidRPr="00E25E13">
        <w:t xml:space="preserve">[insulin detemir/insulin </w:t>
      </w:r>
      <w:proofErr w:type="spellStart"/>
      <w:r w:rsidR="009C750F" w:rsidRPr="00E25E13">
        <w:t>aspart</w:t>
      </w:r>
      <w:proofErr w:type="spellEnd"/>
      <w:r w:rsidR="009C750F" w:rsidRPr="00E25E13">
        <w:t xml:space="preserve">] </w:t>
      </w:r>
      <w:r w:rsidR="00623F64" w:rsidRPr="00E25E13">
        <w:t>are not clinically appropriate or optimal” (p11 of the resubmission)</w:t>
      </w:r>
      <w:r w:rsidR="00B95203" w:rsidRPr="00E25E13">
        <w:t>.</w:t>
      </w:r>
    </w:p>
    <w:p w14:paraId="3718DE61" w14:textId="77D0ACA3" w:rsidR="008B1757" w:rsidRPr="004F11AC" w:rsidRDefault="00696EF9" w:rsidP="00E208B7">
      <w:pPr>
        <w:pStyle w:val="COMtablefigcaption"/>
      </w:pPr>
      <w:r w:rsidRPr="004F11AC">
        <w:t xml:space="preserve">Table </w:t>
      </w:r>
      <w:r w:rsidR="00D87C74" w:rsidRPr="004F11AC">
        <w:fldChar w:fldCharType="begin"/>
      </w:r>
      <w:r w:rsidR="00D87C74" w:rsidRPr="004F11AC">
        <w:instrText xml:space="preserve"> SEQ Table \* ARABIC </w:instrText>
      </w:r>
      <w:r w:rsidR="00D87C74" w:rsidRPr="004F11AC">
        <w:fldChar w:fldCharType="separate"/>
      </w:r>
      <w:r w:rsidR="00280138">
        <w:rPr>
          <w:noProof/>
        </w:rPr>
        <w:t>1</w:t>
      </w:r>
      <w:r w:rsidR="00D87C74" w:rsidRPr="004F11AC">
        <w:fldChar w:fldCharType="end"/>
      </w:r>
      <w:r w:rsidRPr="004F11AC">
        <w:t>:</w:t>
      </w:r>
      <w:r w:rsidR="00BC591F" w:rsidRPr="004F11AC">
        <w:t xml:space="preserve"> </w:t>
      </w:r>
      <w:r w:rsidR="008B1757" w:rsidRPr="004F11AC">
        <w:t xml:space="preserve">Key components of the clinical issue addressed </w:t>
      </w:r>
      <w:r w:rsidR="002812CE" w:rsidRPr="004F11AC">
        <w:t>in</w:t>
      </w:r>
      <w:r w:rsidR="008B1757" w:rsidRPr="004F11AC">
        <w:t xml:space="preserve"> the </w:t>
      </w:r>
      <w:r w:rsidR="00A91BCF" w:rsidRPr="004F11AC">
        <w:t>re</w:t>
      </w:r>
      <w:r w:rsidR="008B1757" w:rsidRPr="004F11AC">
        <w:t>submission</w:t>
      </w:r>
      <w:r w:rsidR="007170DA" w:rsidRPr="004F11AC">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in the resubmission "/>
        <w:tblDescription w:val="Key components of the clinical issue addressed by the submission "/>
      </w:tblPr>
      <w:tblGrid>
        <w:gridCol w:w="1414"/>
        <w:gridCol w:w="7603"/>
      </w:tblGrid>
      <w:tr w:rsidR="00BA0730" w:rsidRPr="004F11AC" w14:paraId="7F2F2944" w14:textId="77777777">
        <w:trPr>
          <w:cantSplit/>
          <w:tblHeader/>
        </w:trPr>
        <w:tc>
          <w:tcPr>
            <w:tcW w:w="784" w:type="pct"/>
          </w:tcPr>
          <w:p w14:paraId="058A1BD2" w14:textId="77777777" w:rsidR="005541DA" w:rsidRPr="004F11AC" w:rsidRDefault="005541DA" w:rsidP="00E208B7">
            <w:pPr>
              <w:pStyle w:val="COMTableheadingrow"/>
              <w:rPr>
                <w:szCs w:val="20"/>
                <w:lang w:val="en-AU"/>
              </w:rPr>
            </w:pPr>
            <w:r w:rsidRPr="004F11AC">
              <w:rPr>
                <w:lang w:val="en-AU"/>
              </w:rPr>
              <w:t>Component</w:t>
            </w:r>
          </w:p>
        </w:tc>
        <w:tc>
          <w:tcPr>
            <w:tcW w:w="4216" w:type="pct"/>
          </w:tcPr>
          <w:p w14:paraId="1E5A099A" w14:textId="77777777" w:rsidR="005541DA" w:rsidRPr="004F11AC" w:rsidRDefault="005541DA" w:rsidP="00E208B7">
            <w:pPr>
              <w:pStyle w:val="COMTableheadingrow"/>
              <w:rPr>
                <w:lang w:val="en-AU"/>
              </w:rPr>
            </w:pPr>
            <w:r w:rsidRPr="004F11AC">
              <w:rPr>
                <w:lang w:val="en-AU"/>
              </w:rPr>
              <w:t>Description</w:t>
            </w:r>
          </w:p>
        </w:tc>
      </w:tr>
      <w:tr w:rsidR="00BA0730" w:rsidRPr="004F11AC" w14:paraId="569857A5" w14:textId="77777777">
        <w:trPr>
          <w:cantSplit/>
        </w:trPr>
        <w:tc>
          <w:tcPr>
            <w:tcW w:w="784" w:type="pct"/>
          </w:tcPr>
          <w:p w14:paraId="4F4F0B1D" w14:textId="77777777" w:rsidR="005541DA" w:rsidRPr="004F11AC" w:rsidRDefault="005541DA" w:rsidP="00E208B7">
            <w:pPr>
              <w:pStyle w:val="COMTabletext"/>
            </w:pPr>
            <w:r w:rsidRPr="004F11AC">
              <w:t>Population</w:t>
            </w:r>
          </w:p>
        </w:tc>
        <w:tc>
          <w:tcPr>
            <w:tcW w:w="4216" w:type="pct"/>
            <w:vAlign w:val="center"/>
          </w:tcPr>
          <w:p w14:paraId="266A49A7" w14:textId="31E2E7D9" w:rsidR="005541DA" w:rsidRPr="00E25E13" w:rsidRDefault="005541DA" w:rsidP="00E208B7">
            <w:pPr>
              <w:pStyle w:val="COMTabletext"/>
            </w:pPr>
            <w:r w:rsidRPr="00E25E13">
              <w:t>Type 1 diabetes</w:t>
            </w:r>
            <w:r w:rsidR="00D809B9">
              <w:t xml:space="preserve"> </w:t>
            </w:r>
            <w:r w:rsidR="00805FD9" w:rsidRPr="00E25E13">
              <w:t>in patients aged 1 year or older</w:t>
            </w:r>
            <w:r w:rsidR="00D809B9">
              <w:t>.</w:t>
            </w:r>
            <w:r w:rsidR="00805FD9" w:rsidRPr="00E25E13">
              <w:t xml:space="preserve"> </w:t>
            </w:r>
          </w:p>
        </w:tc>
      </w:tr>
      <w:tr w:rsidR="00BA0730" w:rsidRPr="004F11AC" w14:paraId="7674D1A0" w14:textId="77777777">
        <w:trPr>
          <w:cantSplit/>
        </w:trPr>
        <w:tc>
          <w:tcPr>
            <w:tcW w:w="784" w:type="pct"/>
          </w:tcPr>
          <w:p w14:paraId="2D6735D3" w14:textId="77777777" w:rsidR="005541DA" w:rsidRPr="004F11AC" w:rsidRDefault="005541DA" w:rsidP="00E208B7">
            <w:pPr>
              <w:pStyle w:val="COMTabletext"/>
            </w:pPr>
            <w:r w:rsidRPr="004F11AC">
              <w:t>Intervention</w:t>
            </w:r>
          </w:p>
        </w:tc>
        <w:tc>
          <w:tcPr>
            <w:tcW w:w="4216" w:type="pct"/>
            <w:vAlign w:val="center"/>
          </w:tcPr>
          <w:p w14:paraId="6B88B42B" w14:textId="77777777" w:rsidR="005541DA" w:rsidRPr="004F11AC" w:rsidRDefault="005541DA" w:rsidP="00E208B7">
            <w:pPr>
              <w:pStyle w:val="COMTabletext"/>
            </w:pPr>
            <w:r w:rsidRPr="004F11AC">
              <w:t>Insulin degludec 100 IU/mL administered once daily by subcutaneous injection in individualised doses.</w:t>
            </w:r>
          </w:p>
        </w:tc>
      </w:tr>
      <w:tr w:rsidR="00BA0730" w:rsidRPr="004F11AC" w14:paraId="4402FF34" w14:textId="77777777">
        <w:trPr>
          <w:cantSplit/>
        </w:trPr>
        <w:tc>
          <w:tcPr>
            <w:tcW w:w="784" w:type="pct"/>
          </w:tcPr>
          <w:p w14:paraId="7A9AD8A3" w14:textId="77777777" w:rsidR="005541DA" w:rsidRPr="004F11AC" w:rsidRDefault="005541DA" w:rsidP="00E208B7">
            <w:pPr>
              <w:pStyle w:val="COMTabletext"/>
            </w:pPr>
            <w:r w:rsidRPr="004F11AC">
              <w:t>Comparator</w:t>
            </w:r>
          </w:p>
        </w:tc>
        <w:tc>
          <w:tcPr>
            <w:tcW w:w="4216" w:type="pct"/>
            <w:vAlign w:val="center"/>
          </w:tcPr>
          <w:p w14:paraId="2175EC9D" w14:textId="77777777" w:rsidR="005541DA" w:rsidRPr="004F11AC" w:rsidRDefault="005541DA" w:rsidP="00E208B7">
            <w:pPr>
              <w:pStyle w:val="COMTabletext"/>
            </w:pPr>
            <w:r w:rsidRPr="004F11AC">
              <w:t>Insulin glargine 100 IU/</w:t>
            </w:r>
            <w:proofErr w:type="spellStart"/>
            <w:r w:rsidRPr="004F11AC">
              <w:t>mL.</w:t>
            </w:r>
            <w:proofErr w:type="spellEnd"/>
          </w:p>
        </w:tc>
      </w:tr>
      <w:tr w:rsidR="00BA0730" w:rsidRPr="004F11AC" w14:paraId="4B5FBBAE" w14:textId="77777777">
        <w:trPr>
          <w:cantSplit/>
        </w:trPr>
        <w:tc>
          <w:tcPr>
            <w:tcW w:w="784" w:type="pct"/>
          </w:tcPr>
          <w:p w14:paraId="42054243" w14:textId="77777777" w:rsidR="005541DA" w:rsidRPr="004F11AC" w:rsidRDefault="005541DA" w:rsidP="00E208B7">
            <w:pPr>
              <w:pStyle w:val="COMTabletext"/>
            </w:pPr>
            <w:r w:rsidRPr="004F11AC">
              <w:t>Outcomes</w:t>
            </w:r>
          </w:p>
        </w:tc>
        <w:tc>
          <w:tcPr>
            <w:tcW w:w="4216" w:type="pct"/>
            <w:vAlign w:val="center"/>
          </w:tcPr>
          <w:p w14:paraId="5ECBCC0B" w14:textId="77777777" w:rsidR="005541DA" w:rsidRPr="004F11AC" w:rsidRDefault="005541DA" w:rsidP="00E208B7">
            <w:pPr>
              <w:pStyle w:val="COMTabletext"/>
              <w:rPr>
                <w:snapToGrid w:val="0"/>
              </w:rPr>
            </w:pPr>
            <w:r w:rsidRPr="004F11AC">
              <w:t>Glycaemic control; total daily insulin dose; rate of hypoglycaemia episodes, and other adverse events.</w:t>
            </w:r>
          </w:p>
        </w:tc>
      </w:tr>
      <w:tr w:rsidR="00BA0730" w:rsidRPr="004F11AC" w14:paraId="73DD9CF4" w14:textId="77777777">
        <w:trPr>
          <w:cantSplit/>
        </w:trPr>
        <w:tc>
          <w:tcPr>
            <w:tcW w:w="784" w:type="pct"/>
          </w:tcPr>
          <w:p w14:paraId="32AFDB74" w14:textId="77777777" w:rsidR="005541DA" w:rsidRPr="004F11AC" w:rsidRDefault="005541DA" w:rsidP="00E208B7">
            <w:pPr>
              <w:pStyle w:val="COMTabletext"/>
            </w:pPr>
            <w:r w:rsidRPr="004F11AC">
              <w:t>Clinical claim</w:t>
            </w:r>
          </w:p>
        </w:tc>
        <w:tc>
          <w:tcPr>
            <w:tcW w:w="4216" w:type="pct"/>
            <w:vAlign w:val="center"/>
          </w:tcPr>
          <w:p w14:paraId="1F82B16E" w14:textId="78D322E9" w:rsidR="005541DA" w:rsidRPr="004F11AC" w:rsidRDefault="005541DA" w:rsidP="00E208B7">
            <w:pPr>
              <w:pStyle w:val="COMTabletext"/>
              <w:rPr>
                <w:snapToGrid w:val="0"/>
              </w:rPr>
            </w:pPr>
            <w:r w:rsidRPr="004F11AC">
              <w:t>Insulin degludec 100 IU/mL provides at least non-inferior effectiveness and safety compared to insulin glargine</w:t>
            </w:r>
            <w:r w:rsidR="00D809B9">
              <w:t xml:space="preserve"> </w:t>
            </w:r>
            <w:r w:rsidRPr="004F11AC">
              <w:t>100 IU/mL, with important clinical advantages for some patients.</w:t>
            </w:r>
          </w:p>
        </w:tc>
      </w:tr>
    </w:tbl>
    <w:p w14:paraId="527CA7F0" w14:textId="18D71EBE" w:rsidR="004E43B2" w:rsidRPr="004F11AC" w:rsidRDefault="008B1757" w:rsidP="00E208B7">
      <w:pPr>
        <w:pStyle w:val="COMTablefooter"/>
        <w:rPr>
          <w:sz w:val="20"/>
        </w:rPr>
      </w:pPr>
      <w:r w:rsidRPr="004F11AC">
        <w:t xml:space="preserve">Source: </w:t>
      </w:r>
      <w:r w:rsidR="00A91BCF" w:rsidRPr="004F11AC">
        <w:t>Table 1-1, p12 of the resubmission</w:t>
      </w:r>
      <w:r w:rsidRPr="004F11AC">
        <w:t>.</w:t>
      </w:r>
    </w:p>
    <w:p w14:paraId="6B4AB6C2" w14:textId="7F01D731" w:rsidR="005C25FF" w:rsidRPr="004F11AC" w:rsidRDefault="005C25FF" w:rsidP="00E208B7">
      <w:pPr>
        <w:pStyle w:val="COMH1-numbered"/>
      </w:pPr>
      <w:bookmarkStart w:id="1" w:name="_Toc197595408"/>
      <w:r w:rsidRPr="004F11AC">
        <w:lastRenderedPageBreak/>
        <w:t>Background</w:t>
      </w:r>
      <w:bookmarkEnd w:id="1"/>
    </w:p>
    <w:p w14:paraId="2C521D6D" w14:textId="78CF03EE" w:rsidR="005C25FF" w:rsidRPr="004F11AC" w:rsidRDefault="005C25FF" w:rsidP="00E208B7">
      <w:pPr>
        <w:pStyle w:val="COMH2-non-numbered"/>
      </w:pPr>
      <w:bookmarkStart w:id="2" w:name="_Toc22897638"/>
      <w:bookmarkStart w:id="3" w:name="_Toc197595409"/>
      <w:r w:rsidRPr="004F11AC">
        <w:t>Registration status</w:t>
      </w:r>
      <w:bookmarkEnd w:id="2"/>
      <w:bookmarkEnd w:id="3"/>
    </w:p>
    <w:p w14:paraId="5374AD55" w14:textId="228C0F9D" w:rsidR="005C25FF" w:rsidRPr="00E25E13" w:rsidRDefault="001711D8" w:rsidP="00E208B7">
      <w:pPr>
        <w:pStyle w:val="COMexecsummnumbered"/>
      </w:pPr>
      <w:r w:rsidRPr="004F11AC">
        <w:t>Insulin degludec is currently listed on the Australian Register of Therapeutic Goods (ARTG) for the “Treatment of diabetes mellitus in adults, adolescents and children from the age of 1 year</w:t>
      </w:r>
      <w:r w:rsidR="00DA1535" w:rsidRPr="004F11AC">
        <w:t>”</w:t>
      </w:r>
      <w:r w:rsidRPr="004F11AC">
        <w:t xml:space="preserve">. </w:t>
      </w:r>
      <w:r w:rsidR="00F55AEF" w:rsidRPr="004F11AC">
        <w:t>A</w:t>
      </w:r>
      <w:r w:rsidR="004772F8">
        <w:t xml:space="preserve">t the time of PBAC consideration, </w:t>
      </w:r>
      <w:r w:rsidR="00BB049C">
        <w:t>an</w:t>
      </w:r>
      <w:r w:rsidR="0098186B">
        <w:t xml:space="preserve"> </w:t>
      </w:r>
      <w:r w:rsidR="00F55AEF" w:rsidRPr="004F11AC">
        <w:t>amend</w:t>
      </w:r>
      <w:r w:rsidR="0078299D">
        <w:t>ment to vary</w:t>
      </w:r>
      <w:r w:rsidR="00F55AEF" w:rsidRPr="004F11AC">
        <w:t xml:space="preserve"> the pregnancy category from Category B3 to Category A </w:t>
      </w:r>
      <w:r w:rsidR="00C756C1">
        <w:t>was under</w:t>
      </w:r>
      <w:r w:rsidR="00A013F2">
        <w:t xml:space="preserve"> consideration </w:t>
      </w:r>
      <w:r w:rsidR="00C756C1">
        <w:t>by the TGA</w:t>
      </w:r>
      <w:r w:rsidR="00FF1923">
        <w:t xml:space="preserve">, and </w:t>
      </w:r>
      <w:r w:rsidR="00466F19">
        <w:t>the first round TGA clinical evaluation report was available</w:t>
      </w:r>
      <w:r w:rsidR="0068710A">
        <w:t>. T</w:t>
      </w:r>
      <w:r w:rsidR="005F3A69">
        <w:t xml:space="preserve">he </w:t>
      </w:r>
      <w:r w:rsidR="0068710A">
        <w:t xml:space="preserve">TGA </w:t>
      </w:r>
      <w:r w:rsidR="00DA1535" w:rsidRPr="00E25E13">
        <w:t xml:space="preserve">clinical evaluator </w:t>
      </w:r>
      <w:r w:rsidR="00635283" w:rsidRPr="00E25E13">
        <w:t>recommend</w:t>
      </w:r>
      <w:r w:rsidR="007A2CFC" w:rsidRPr="00E25E13">
        <w:t>ed</w:t>
      </w:r>
      <w:r w:rsidR="00287947" w:rsidRPr="00E25E13">
        <w:t xml:space="preserve"> approv</w:t>
      </w:r>
      <w:r w:rsidR="00DA1535" w:rsidRPr="00E25E13">
        <w:t>ing</w:t>
      </w:r>
      <w:r w:rsidR="00287947" w:rsidRPr="00E25E13">
        <w:t xml:space="preserve"> this change. </w:t>
      </w:r>
    </w:p>
    <w:p w14:paraId="3E2A6EAB" w14:textId="469C8C0C" w:rsidR="005C25FF" w:rsidRPr="004F11AC" w:rsidRDefault="005C25FF" w:rsidP="00E208B7">
      <w:pPr>
        <w:pStyle w:val="COMH2-non-numbered"/>
      </w:pPr>
      <w:bookmarkStart w:id="4" w:name="_Toc22897639"/>
      <w:bookmarkStart w:id="5" w:name="_Toc197595410"/>
      <w:r w:rsidRPr="004F11AC">
        <w:t>Previous PBAC consideration</w:t>
      </w:r>
      <w:bookmarkEnd w:id="4"/>
      <w:bookmarkEnd w:id="5"/>
    </w:p>
    <w:p w14:paraId="24583C3C" w14:textId="0011AFB7" w:rsidR="00075A43" w:rsidRPr="004F11AC" w:rsidRDefault="00075A43" w:rsidP="00E208B7">
      <w:pPr>
        <w:pStyle w:val="COMexecsummnumbered"/>
      </w:pPr>
      <w:r w:rsidRPr="004F11AC">
        <w:t xml:space="preserve">The PBAC previously considered insulin degludec for the treatment of T1D and type 2 diabetes (T2D) at </w:t>
      </w:r>
      <w:r w:rsidR="00190121">
        <w:t>its</w:t>
      </w:r>
      <w:r w:rsidR="00190121" w:rsidRPr="004F11AC">
        <w:t xml:space="preserve"> </w:t>
      </w:r>
      <w:r w:rsidRPr="004F11AC">
        <w:t>March 2013 meeting. The PBAC did not recommend insulin degludec for T1D or T2D on the basis that the claim that insulin degludec demonstrated superior safety over insulin glargine (the main comparator) was not adequately justified, and cost-effectiveness (which relied on the claim of superior safety in terms of reduced hypoglycaemia events) was therefore not supported. The PBAC considered that the</w:t>
      </w:r>
      <w:r w:rsidR="002A0333" w:rsidRPr="004F11AC">
        <w:t xml:space="preserve"> </w:t>
      </w:r>
      <w:r w:rsidRPr="004F11AC">
        <w:t>claim of non-inferior effectiveness versus insulin glargine was supported in T1D and T2D (p</w:t>
      </w:r>
      <w:r w:rsidR="00660D5A">
        <w:t xml:space="preserve">. </w:t>
      </w:r>
      <w:r w:rsidRPr="004F11AC">
        <w:t>3, Insulin degludec</w:t>
      </w:r>
      <w:r w:rsidR="007A2CFC" w:rsidRPr="004F11AC">
        <w:t xml:space="preserve"> </w:t>
      </w:r>
      <w:r w:rsidR="00C86B1F">
        <w:t xml:space="preserve">Public Summary Document </w:t>
      </w:r>
      <w:r w:rsidR="00090F95">
        <w:t>[</w:t>
      </w:r>
      <w:r w:rsidRPr="004F11AC">
        <w:t>PSD</w:t>
      </w:r>
      <w:r w:rsidR="00090F95">
        <w:t>]</w:t>
      </w:r>
      <w:r w:rsidRPr="004F11AC">
        <w:t xml:space="preserve">, March 2013 PBAC meeting). </w:t>
      </w:r>
    </w:p>
    <w:p w14:paraId="437EDF87" w14:textId="77777777" w:rsidR="00B735D2" w:rsidRPr="004F11AC" w:rsidRDefault="00B735D2" w:rsidP="00E208B7">
      <w:pPr>
        <w:pStyle w:val="COMexecsummnumbered"/>
      </w:pPr>
      <w:r w:rsidRPr="004F11AC">
        <w:t>Compared to the March 2013 submission, the main changes in the resubmission were:</w:t>
      </w:r>
    </w:p>
    <w:p w14:paraId="75521B7A" w14:textId="77777777" w:rsidR="00B735D2" w:rsidRPr="004F11AC" w:rsidRDefault="00B735D2" w:rsidP="00E208B7">
      <w:pPr>
        <w:pStyle w:val="COMbodybulletlist"/>
        <w:tabs>
          <w:tab w:val="clear" w:pos="360"/>
        </w:tabs>
        <w:ind w:left="1134"/>
      </w:pPr>
      <w:r w:rsidRPr="004F11AC">
        <w:t xml:space="preserve">The resubmission requested a PBS listing for insulin degludec for the treatment of T1D only. </w:t>
      </w:r>
    </w:p>
    <w:p w14:paraId="5A0E14FE" w14:textId="5FDF0D5E" w:rsidR="0089594E" w:rsidRPr="004F11AC" w:rsidRDefault="0089594E" w:rsidP="00E208B7">
      <w:pPr>
        <w:pStyle w:val="COMbodybulletlist"/>
        <w:tabs>
          <w:tab w:val="clear" w:pos="360"/>
        </w:tabs>
        <w:ind w:left="1134"/>
      </w:pPr>
      <w:r w:rsidRPr="004F11AC">
        <w:t xml:space="preserve">The resubmission proposed a special pricing arrangement </w:t>
      </w:r>
      <w:r w:rsidR="00C83551" w:rsidRPr="004F11AC">
        <w:t xml:space="preserve">(SPA) </w:t>
      </w:r>
      <w:r w:rsidRPr="004F11AC">
        <w:t xml:space="preserve">incorporating a </w:t>
      </w:r>
      <w:r w:rsidR="003367FF" w:rsidRPr="00A6372C">
        <w:rPr>
          <w:color w:val="000000"/>
          <w:w w:val="59"/>
          <w:shd w:val="solid" w:color="000000" w:fill="000000"/>
          <w:fitText w:val="460" w:id="-628903168"/>
          <w14:textFill>
            <w14:solidFill>
              <w14:srgbClr w14:val="000000">
                <w14:alpha w14:val="100000"/>
              </w14:srgbClr>
            </w14:solidFill>
          </w14:textFill>
        </w:rPr>
        <w:t>|||  ||</w:t>
      </w:r>
      <w:r w:rsidR="003367FF" w:rsidRPr="00A6372C">
        <w:rPr>
          <w:color w:val="000000"/>
          <w:spacing w:val="5"/>
          <w:w w:val="59"/>
          <w:shd w:val="solid" w:color="000000" w:fill="000000"/>
          <w:fitText w:val="460" w:id="-628903168"/>
          <w14:textFill>
            <w14:solidFill>
              <w14:srgbClr w14:val="000000">
                <w14:alpha w14:val="100000"/>
              </w14:srgbClr>
            </w14:solidFill>
          </w14:textFill>
        </w:rPr>
        <w:t>|</w:t>
      </w:r>
      <w:r w:rsidRPr="004F11AC">
        <w:t>% rebate.</w:t>
      </w:r>
    </w:p>
    <w:p w14:paraId="77BD0238" w14:textId="5D0605A1" w:rsidR="00B735D2" w:rsidRPr="004F11AC" w:rsidRDefault="00B735D2" w:rsidP="00E208B7">
      <w:pPr>
        <w:pStyle w:val="COMbodybulletlist"/>
        <w:tabs>
          <w:tab w:val="clear" w:pos="360"/>
        </w:tabs>
        <w:ind w:left="1134"/>
      </w:pPr>
      <w:r w:rsidRPr="004F11AC">
        <w:t>The resubmission presented clinical evidence for T1D only, including 2 clinical studies considered at the March 2013 meeting, 3 clinical studies not previously considered by the PBAC, 2 network meta-analyses, and 11 supportive studies in selected populations and circumstances of use.</w:t>
      </w:r>
    </w:p>
    <w:p w14:paraId="290B0C7D" w14:textId="77777777" w:rsidR="00B735D2" w:rsidRPr="004F11AC" w:rsidRDefault="00B735D2" w:rsidP="00E208B7">
      <w:pPr>
        <w:pStyle w:val="COMbodybulletlist"/>
        <w:tabs>
          <w:tab w:val="clear" w:pos="360"/>
        </w:tabs>
        <w:ind w:left="1134"/>
      </w:pPr>
      <w:r w:rsidRPr="004F11AC">
        <w:t>The resubmission presented a cost consequences economic analysis, instead of a cost effectiveness analysis.</w:t>
      </w:r>
    </w:p>
    <w:p w14:paraId="27EAF1DA" w14:textId="77777777" w:rsidR="00B735D2" w:rsidRDefault="00B735D2" w:rsidP="00E208B7">
      <w:pPr>
        <w:pStyle w:val="COMbodybulletlist"/>
        <w:tabs>
          <w:tab w:val="clear" w:pos="360"/>
        </w:tabs>
        <w:ind w:left="1134"/>
      </w:pPr>
      <w:r w:rsidRPr="004F11AC">
        <w:t>The resubmission presented revised financial implications.</w:t>
      </w:r>
    </w:p>
    <w:p w14:paraId="79038BEF" w14:textId="77777777" w:rsidR="006F292B" w:rsidRDefault="006F292B" w:rsidP="00E208B7">
      <w:pPr>
        <w:pStyle w:val="COMbodybulletlist"/>
        <w:numPr>
          <w:ilvl w:val="0"/>
          <w:numId w:val="0"/>
        </w:numPr>
        <w:ind w:left="720"/>
      </w:pPr>
      <w:bookmarkStart w:id="6" w:name="_Hlk76375324"/>
    </w:p>
    <w:p w14:paraId="63292073" w14:textId="6CE06EB2" w:rsidR="006F292B" w:rsidRPr="006F292B" w:rsidRDefault="006F292B" w:rsidP="00E208B7">
      <w:pPr>
        <w:pStyle w:val="COMbodybulletlist"/>
        <w:numPr>
          <w:ilvl w:val="0"/>
          <w:numId w:val="0"/>
        </w:numPr>
        <w:ind w:left="720"/>
        <w:rPr>
          <w:i/>
          <w:iCs/>
        </w:rPr>
      </w:pPr>
      <w:r w:rsidRPr="006F292B">
        <w:rPr>
          <w:i/>
          <w:iCs/>
        </w:rPr>
        <w:t>For more detail on PBAC’s view, see section 7 PBAC outcome.</w:t>
      </w:r>
    </w:p>
    <w:p w14:paraId="76E4EF3C" w14:textId="13040F70" w:rsidR="00B60939" w:rsidRPr="004F11AC" w:rsidRDefault="00B50DB8" w:rsidP="00E208B7">
      <w:pPr>
        <w:pStyle w:val="COMH1-numbered"/>
      </w:pPr>
      <w:bookmarkStart w:id="7" w:name="_Toc107902078"/>
      <w:bookmarkStart w:id="8" w:name="_Toc197595411"/>
      <w:bookmarkEnd w:id="6"/>
      <w:bookmarkEnd w:id="7"/>
      <w:r w:rsidRPr="004F11AC">
        <w:lastRenderedPageBreak/>
        <w:t>Requested listing</w:t>
      </w:r>
      <w:bookmarkEnd w:id="8"/>
    </w:p>
    <w:tbl>
      <w:tblPr>
        <w:tblW w:w="503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9"/>
        <w:gridCol w:w="2126"/>
        <w:gridCol w:w="993"/>
        <w:gridCol w:w="999"/>
        <w:gridCol w:w="832"/>
        <w:gridCol w:w="1712"/>
      </w:tblGrid>
      <w:tr w:rsidR="00BA0730" w:rsidRPr="004F11AC" w14:paraId="04D00B0B" w14:textId="77777777">
        <w:trPr>
          <w:cantSplit/>
          <w:trHeight w:val="20"/>
        </w:trPr>
        <w:tc>
          <w:tcPr>
            <w:tcW w:w="2409" w:type="dxa"/>
            <w:vAlign w:val="center"/>
          </w:tcPr>
          <w:p w14:paraId="6AEB0FE8" w14:textId="77777777" w:rsidR="00C60C5D" w:rsidRPr="004F11AC" w:rsidRDefault="00C60C5D" w:rsidP="00E208B7">
            <w:pPr>
              <w:pStyle w:val="COMTableheadingrow"/>
              <w:rPr>
                <w:lang w:val="en-AU"/>
              </w:rPr>
            </w:pPr>
            <w:r w:rsidRPr="004F11AC">
              <w:rPr>
                <w:lang w:val="en-AU"/>
              </w:rPr>
              <w:t>MEDICINAL PRODUCT</w:t>
            </w:r>
          </w:p>
          <w:p w14:paraId="56CE372F" w14:textId="77777777" w:rsidR="00C60C5D" w:rsidRPr="004F11AC" w:rsidRDefault="00C60C5D" w:rsidP="00E208B7">
            <w:pPr>
              <w:pStyle w:val="COMTableheadingrow"/>
              <w:rPr>
                <w:lang w:val="en-AU"/>
              </w:rPr>
            </w:pPr>
            <w:r w:rsidRPr="004F11AC">
              <w:rPr>
                <w:lang w:val="en-AU"/>
              </w:rPr>
              <w:t>medicinal product pack</w:t>
            </w:r>
          </w:p>
        </w:tc>
        <w:tc>
          <w:tcPr>
            <w:tcW w:w="2126" w:type="dxa"/>
            <w:vAlign w:val="center"/>
          </w:tcPr>
          <w:p w14:paraId="4027E250" w14:textId="77777777" w:rsidR="00C60C5D" w:rsidRPr="004F11AC" w:rsidRDefault="00C60C5D" w:rsidP="00E208B7">
            <w:pPr>
              <w:pStyle w:val="COMTableheadingrow"/>
              <w:jc w:val="center"/>
              <w:rPr>
                <w:lang w:val="en-AU"/>
              </w:rPr>
            </w:pPr>
            <w:r w:rsidRPr="004F11AC">
              <w:rPr>
                <w:lang w:val="en-AU"/>
              </w:rPr>
              <w:t>Dispensed Price for Max. Qty</w:t>
            </w:r>
          </w:p>
        </w:tc>
        <w:tc>
          <w:tcPr>
            <w:tcW w:w="993" w:type="dxa"/>
            <w:vAlign w:val="center"/>
          </w:tcPr>
          <w:p w14:paraId="5521E18A" w14:textId="77777777" w:rsidR="00C60C5D" w:rsidRPr="004F11AC" w:rsidRDefault="00C60C5D" w:rsidP="00E208B7">
            <w:pPr>
              <w:pStyle w:val="COMTableheadingrow"/>
              <w:jc w:val="center"/>
              <w:rPr>
                <w:szCs w:val="20"/>
                <w:lang w:val="en-AU"/>
              </w:rPr>
            </w:pPr>
            <w:r w:rsidRPr="004F11AC">
              <w:rPr>
                <w:szCs w:val="20"/>
                <w:lang w:val="en-AU"/>
              </w:rPr>
              <w:t>Max. qty packs</w:t>
            </w:r>
          </w:p>
        </w:tc>
        <w:tc>
          <w:tcPr>
            <w:tcW w:w="999" w:type="dxa"/>
            <w:vAlign w:val="center"/>
          </w:tcPr>
          <w:p w14:paraId="0FD65A1B" w14:textId="77777777" w:rsidR="00C60C5D" w:rsidRPr="004F11AC" w:rsidRDefault="00C60C5D" w:rsidP="00E208B7">
            <w:pPr>
              <w:pStyle w:val="COMTableheadingrow"/>
              <w:jc w:val="center"/>
              <w:rPr>
                <w:szCs w:val="20"/>
                <w:lang w:val="en-AU"/>
              </w:rPr>
            </w:pPr>
            <w:r w:rsidRPr="004F11AC">
              <w:rPr>
                <w:szCs w:val="20"/>
                <w:lang w:val="en-AU"/>
              </w:rPr>
              <w:t>Max. qty units</w:t>
            </w:r>
          </w:p>
        </w:tc>
        <w:tc>
          <w:tcPr>
            <w:tcW w:w="832" w:type="dxa"/>
            <w:vAlign w:val="center"/>
          </w:tcPr>
          <w:p w14:paraId="2D4B71A9" w14:textId="77777777" w:rsidR="00C60C5D" w:rsidRPr="004F11AC" w:rsidRDefault="00C60C5D" w:rsidP="00E208B7">
            <w:pPr>
              <w:pStyle w:val="COMTableheadingrow"/>
              <w:jc w:val="center"/>
              <w:rPr>
                <w:szCs w:val="20"/>
                <w:lang w:val="en-AU"/>
              </w:rPr>
            </w:pPr>
            <w:r w:rsidRPr="004F11AC">
              <w:rPr>
                <w:szCs w:val="20"/>
                <w:lang w:val="en-AU"/>
              </w:rPr>
              <w:t>№. of</w:t>
            </w:r>
          </w:p>
          <w:p w14:paraId="42542E8C" w14:textId="77777777" w:rsidR="00C60C5D" w:rsidRPr="004F11AC" w:rsidRDefault="00C60C5D" w:rsidP="00E208B7">
            <w:pPr>
              <w:pStyle w:val="COMTableheadingrow"/>
              <w:jc w:val="center"/>
              <w:rPr>
                <w:szCs w:val="20"/>
                <w:lang w:val="en-AU"/>
              </w:rPr>
            </w:pPr>
            <w:r w:rsidRPr="004F11AC">
              <w:rPr>
                <w:szCs w:val="20"/>
                <w:lang w:val="en-AU"/>
              </w:rPr>
              <w:t>Rpts</w:t>
            </w:r>
          </w:p>
        </w:tc>
        <w:tc>
          <w:tcPr>
            <w:tcW w:w="1712" w:type="dxa"/>
            <w:vAlign w:val="center"/>
          </w:tcPr>
          <w:p w14:paraId="328A75A5" w14:textId="77777777" w:rsidR="00C60C5D" w:rsidRPr="004F11AC" w:rsidRDefault="00C60C5D" w:rsidP="00E208B7">
            <w:pPr>
              <w:pStyle w:val="COMTableheadingrow"/>
              <w:jc w:val="center"/>
              <w:rPr>
                <w:szCs w:val="20"/>
                <w:lang w:val="en-AU"/>
              </w:rPr>
            </w:pPr>
            <w:r w:rsidRPr="004F11AC">
              <w:rPr>
                <w:szCs w:val="20"/>
                <w:lang w:val="en-AU"/>
              </w:rPr>
              <w:t>Available brands</w:t>
            </w:r>
          </w:p>
        </w:tc>
      </w:tr>
      <w:tr w:rsidR="00BA0730" w:rsidRPr="004F11AC" w14:paraId="2602C01F" w14:textId="77777777">
        <w:trPr>
          <w:cantSplit/>
          <w:trHeight w:val="20"/>
        </w:trPr>
        <w:tc>
          <w:tcPr>
            <w:tcW w:w="9071" w:type="dxa"/>
            <w:gridSpan w:val="6"/>
            <w:vAlign w:val="center"/>
          </w:tcPr>
          <w:p w14:paraId="3C445F24" w14:textId="202A65AB" w:rsidR="00C60C5D" w:rsidRPr="004F11AC" w:rsidRDefault="00B35EBF" w:rsidP="00E208B7">
            <w:pPr>
              <w:pStyle w:val="COMTabletext"/>
              <w:rPr>
                <w:rFonts w:cs="Arial"/>
                <w:szCs w:val="20"/>
              </w:rPr>
            </w:pPr>
            <w:r w:rsidRPr="004F11AC">
              <w:t>General Schedule – Restricted Benefit: Type 1 diabetes</w:t>
            </w:r>
          </w:p>
        </w:tc>
      </w:tr>
      <w:tr w:rsidR="00BA0730" w:rsidRPr="004F11AC" w14:paraId="1C586104" w14:textId="77777777">
        <w:trPr>
          <w:cantSplit/>
          <w:trHeight w:val="20"/>
        </w:trPr>
        <w:tc>
          <w:tcPr>
            <w:tcW w:w="2409" w:type="dxa"/>
            <w:vAlign w:val="center"/>
          </w:tcPr>
          <w:p w14:paraId="52912925" w14:textId="77777777" w:rsidR="00C60C5D" w:rsidRPr="00D25DB5" w:rsidRDefault="00C60C5D" w:rsidP="00E208B7">
            <w:pPr>
              <w:pStyle w:val="COMTabletext"/>
              <w:rPr>
                <w:szCs w:val="20"/>
                <w:lang w:val="fr-FR"/>
              </w:rPr>
            </w:pPr>
            <w:proofErr w:type="spellStart"/>
            <w:r w:rsidRPr="00D25DB5">
              <w:rPr>
                <w:szCs w:val="20"/>
                <w:lang w:val="fr-FR"/>
              </w:rPr>
              <w:t>Insulin</w:t>
            </w:r>
            <w:proofErr w:type="spellEnd"/>
            <w:r w:rsidRPr="00D25DB5">
              <w:rPr>
                <w:szCs w:val="20"/>
                <w:lang w:val="fr-FR"/>
              </w:rPr>
              <w:t xml:space="preserve"> degludec 100 IU/</w:t>
            </w:r>
            <w:proofErr w:type="spellStart"/>
            <w:r w:rsidRPr="00D25DB5">
              <w:rPr>
                <w:szCs w:val="20"/>
                <w:lang w:val="fr-FR"/>
              </w:rPr>
              <w:t>mL</w:t>
            </w:r>
            <w:proofErr w:type="spellEnd"/>
            <w:r w:rsidRPr="00D25DB5">
              <w:rPr>
                <w:szCs w:val="20"/>
                <w:lang w:val="fr-FR"/>
              </w:rPr>
              <w:t xml:space="preserve"> </w:t>
            </w:r>
          </w:p>
          <w:p w14:paraId="25E46003" w14:textId="77777777" w:rsidR="00C60C5D" w:rsidRPr="00D25DB5" w:rsidRDefault="00C60C5D" w:rsidP="00E208B7">
            <w:pPr>
              <w:keepNext/>
              <w:keepLines/>
              <w:rPr>
                <w:rFonts w:ascii="Arial Narrow" w:hAnsi="Arial Narrow"/>
                <w:sz w:val="20"/>
                <w:szCs w:val="20"/>
                <w:lang w:val="fr-FR"/>
              </w:rPr>
            </w:pPr>
            <w:r w:rsidRPr="00D25DB5">
              <w:rPr>
                <w:rFonts w:ascii="Arial Narrow" w:hAnsi="Arial Narrow"/>
                <w:sz w:val="20"/>
                <w:szCs w:val="20"/>
                <w:lang w:val="fr-FR"/>
              </w:rPr>
              <w:t xml:space="preserve">5 x 3 </w:t>
            </w:r>
            <w:proofErr w:type="spellStart"/>
            <w:r w:rsidRPr="00D25DB5">
              <w:rPr>
                <w:rFonts w:ascii="Arial Narrow" w:hAnsi="Arial Narrow"/>
                <w:sz w:val="20"/>
                <w:szCs w:val="20"/>
                <w:lang w:val="fr-FR"/>
              </w:rPr>
              <w:t>mL</w:t>
            </w:r>
            <w:proofErr w:type="spellEnd"/>
            <w:r w:rsidRPr="00D25DB5">
              <w:rPr>
                <w:rFonts w:ascii="Arial Narrow" w:hAnsi="Arial Narrow"/>
                <w:sz w:val="20"/>
                <w:szCs w:val="20"/>
                <w:lang w:val="fr-FR"/>
              </w:rPr>
              <w:t xml:space="preserve"> </w:t>
            </w:r>
            <w:proofErr w:type="spellStart"/>
            <w:r w:rsidRPr="00D25DB5">
              <w:rPr>
                <w:rFonts w:ascii="Arial Narrow" w:hAnsi="Arial Narrow"/>
                <w:sz w:val="20"/>
                <w:szCs w:val="20"/>
                <w:lang w:val="fr-FR"/>
              </w:rPr>
              <w:t>cartridges</w:t>
            </w:r>
            <w:proofErr w:type="spellEnd"/>
          </w:p>
        </w:tc>
        <w:tc>
          <w:tcPr>
            <w:tcW w:w="2126" w:type="dxa"/>
          </w:tcPr>
          <w:p w14:paraId="45441853" w14:textId="77777777" w:rsidR="00C60C5D" w:rsidRPr="004F11AC" w:rsidRDefault="00C60C5D" w:rsidP="00E208B7">
            <w:pPr>
              <w:pStyle w:val="COMTabletext"/>
            </w:pPr>
            <w:r w:rsidRPr="004F11AC">
              <w:t>$400.77 (published price)</w:t>
            </w:r>
          </w:p>
          <w:p w14:paraId="6065FBB2" w14:textId="1B3276D7" w:rsidR="00C60C5D" w:rsidRPr="004F11AC" w:rsidRDefault="00EC775D" w:rsidP="00E208B7">
            <w:pPr>
              <w:pStyle w:val="COMTabletext"/>
              <w:rPr>
                <w:szCs w:val="20"/>
                <w:vertAlign w:val="superscript"/>
              </w:rPr>
            </w:pPr>
            <w:r w:rsidRPr="004F11AC">
              <w:t>$</w:t>
            </w:r>
            <w:r w:rsidR="003367FF" w:rsidRPr="003367FF">
              <w:rPr>
                <w:color w:val="000000"/>
                <w:spacing w:val="45"/>
                <w:shd w:val="solid" w:color="000000" w:fill="000000"/>
                <w:fitText w:val="330" w:id="-628903167"/>
                <w14:textFill>
                  <w14:solidFill>
                    <w14:srgbClr w14:val="000000">
                      <w14:alpha w14:val="100000"/>
                    </w14:srgbClr>
                  </w14:solidFill>
                </w14:textFill>
              </w:rPr>
              <w:t>|||</w:t>
            </w:r>
            <w:r w:rsidR="003367FF" w:rsidRPr="003367FF">
              <w:rPr>
                <w:color w:val="000000"/>
                <w:spacing w:val="15"/>
                <w:shd w:val="solid" w:color="000000" w:fill="000000"/>
                <w:fitText w:val="330" w:id="-628903167"/>
                <w14:textFill>
                  <w14:solidFill>
                    <w14:srgbClr w14:val="000000">
                      <w14:alpha w14:val="100000"/>
                    </w14:srgbClr>
                  </w14:solidFill>
                </w14:textFill>
              </w:rPr>
              <w:t>|</w:t>
            </w:r>
            <w:r w:rsidR="00C60C5D" w:rsidRPr="004F11AC">
              <w:t xml:space="preserve"> (effective price)</w:t>
            </w:r>
            <w:r w:rsidR="00C60C5D" w:rsidRPr="004F11AC">
              <w:rPr>
                <w:vertAlign w:val="superscript"/>
              </w:rPr>
              <w:t>a</w:t>
            </w:r>
          </w:p>
        </w:tc>
        <w:tc>
          <w:tcPr>
            <w:tcW w:w="993" w:type="dxa"/>
            <w:vAlign w:val="center"/>
          </w:tcPr>
          <w:p w14:paraId="4375C9CF" w14:textId="77777777" w:rsidR="00C60C5D" w:rsidRPr="004F11AC" w:rsidRDefault="00C60C5D" w:rsidP="00E208B7">
            <w:pPr>
              <w:keepNext/>
              <w:keepLines/>
              <w:jc w:val="center"/>
              <w:rPr>
                <w:rFonts w:ascii="Arial Narrow" w:hAnsi="Arial Narrow"/>
                <w:sz w:val="20"/>
                <w:szCs w:val="20"/>
              </w:rPr>
            </w:pPr>
            <w:r w:rsidRPr="004F11AC">
              <w:rPr>
                <w:rFonts w:ascii="Arial Narrow" w:hAnsi="Arial Narrow"/>
                <w:sz w:val="20"/>
              </w:rPr>
              <w:t>5</w:t>
            </w:r>
          </w:p>
        </w:tc>
        <w:tc>
          <w:tcPr>
            <w:tcW w:w="999" w:type="dxa"/>
            <w:vAlign w:val="center"/>
          </w:tcPr>
          <w:p w14:paraId="18CBE47E" w14:textId="77777777" w:rsidR="00C60C5D" w:rsidRPr="004F11AC" w:rsidRDefault="00C60C5D" w:rsidP="00E208B7">
            <w:pPr>
              <w:keepNext/>
              <w:keepLines/>
              <w:jc w:val="center"/>
              <w:rPr>
                <w:rFonts w:ascii="Arial Narrow" w:hAnsi="Arial Narrow"/>
                <w:sz w:val="20"/>
                <w:szCs w:val="20"/>
              </w:rPr>
            </w:pPr>
            <w:r w:rsidRPr="004F11AC">
              <w:rPr>
                <w:rFonts w:ascii="Arial Narrow" w:hAnsi="Arial Narrow"/>
                <w:sz w:val="20"/>
              </w:rPr>
              <w:t>5</w:t>
            </w:r>
          </w:p>
        </w:tc>
        <w:tc>
          <w:tcPr>
            <w:tcW w:w="832" w:type="dxa"/>
            <w:vAlign w:val="center"/>
          </w:tcPr>
          <w:p w14:paraId="61096487" w14:textId="77777777" w:rsidR="00C60C5D" w:rsidRPr="004F11AC" w:rsidRDefault="00C60C5D" w:rsidP="00E208B7">
            <w:pPr>
              <w:keepNext/>
              <w:keepLines/>
              <w:jc w:val="center"/>
              <w:rPr>
                <w:rFonts w:ascii="Arial Narrow" w:hAnsi="Arial Narrow"/>
                <w:sz w:val="20"/>
                <w:szCs w:val="20"/>
              </w:rPr>
            </w:pPr>
            <w:r w:rsidRPr="004F11AC">
              <w:rPr>
                <w:rFonts w:ascii="Arial Narrow" w:hAnsi="Arial Narrow"/>
                <w:sz w:val="20"/>
              </w:rPr>
              <w:t>1</w:t>
            </w:r>
          </w:p>
        </w:tc>
        <w:tc>
          <w:tcPr>
            <w:tcW w:w="1712" w:type="dxa"/>
            <w:vAlign w:val="center"/>
          </w:tcPr>
          <w:p w14:paraId="40627612" w14:textId="77777777" w:rsidR="00C60C5D" w:rsidRPr="004F11AC" w:rsidRDefault="00C60C5D" w:rsidP="00E208B7">
            <w:pPr>
              <w:keepNext/>
              <w:keepLines/>
              <w:rPr>
                <w:rFonts w:ascii="Arial Narrow" w:hAnsi="Arial Narrow"/>
                <w:sz w:val="20"/>
                <w:szCs w:val="20"/>
              </w:rPr>
            </w:pPr>
            <w:r w:rsidRPr="004F11AC">
              <w:rPr>
                <w:rFonts w:ascii="Arial Narrow" w:hAnsi="Arial Narrow"/>
                <w:sz w:val="20"/>
                <w:szCs w:val="20"/>
              </w:rPr>
              <w:t>TRESIBA® Penfill®</w:t>
            </w:r>
          </w:p>
        </w:tc>
      </w:tr>
      <w:tr w:rsidR="00B35EBF" w:rsidRPr="004F11AC" w14:paraId="61B7E874" w14:textId="77777777">
        <w:trPr>
          <w:cantSplit/>
          <w:trHeight w:val="20"/>
        </w:trPr>
        <w:tc>
          <w:tcPr>
            <w:tcW w:w="9071" w:type="dxa"/>
            <w:gridSpan w:val="6"/>
            <w:vAlign w:val="center"/>
          </w:tcPr>
          <w:p w14:paraId="728B3688" w14:textId="50B9C2C4" w:rsidR="00B35EBF" w:rsidRPr="004F11AC" w:rsidRDefault="00B35EBF" w:rsidP="00E208B7">
            <w:pPr>
              <w:keepNext/>
              <w:keepLines/>
              <w:rPr>
                <w:rFonts w:ascii="Arial Narrow" w:hAnsi="Arial Narrow"/>
                <w:sz w:val="20"/>
                <w:szCs w:val="20"/>
              </w:rPr>
            </w:pPr>
            <w:r w:rsidRPr="004F11AC">
              <w:rPr>
                <w:rFonts w:ascii="Arial Narrow" w:hAnsi="Arial Narrow"/>
                <w:sz w:val="20"/>
                <w:szCs w:val="20"/>
              </w:rPr>
              <w:t>Note:</w:t>
            </w:r>
            <w:r w:rsidRPr="004F11AC">
              <w:rPr>
                <w:rFonts w:ascii="Arial Narrow" w:hAnsi="Arial Narrow"/>
                <w:sz w:val="20"/>
                <w:szCs w:val="20"/>
              </w:rPr>
              <w:tab/>
              <w:t>Special Pricing Arrangements apply</w:t>
            </w:r>
          </w:p>
        </w:tc>
      </w:tr>
    </w:tbl>
    <w:p w14:paraId="5E44AC89" w14:textId="2C71620E" w:rsidR="00BA4579" w:rsidRPr="004F11AC" w:rsidRDefault="00BA4579" w:rsidP="00E208B7">
      <w:pPr>
        <w:pStyle w:val="COMTablefooter"/>
      </w:pPr>
      <w:proofErr w:type="spellStart"/>
      <w:r w:rsidRPr="004F11AC">
        <w:rPr>
          <w:vertAlign w:val="superscript"/>
        </w:rPr>
        <w:t>a</w:t>
      </w:r>
      <w:proofErr w:type="spellEnd"/>
      <w:r w:rsidRPr="004F11AC">
        <w:t xml:space="preserve"> The </w:t>
      </w:r>
      <w:r w:rsidR="00650DD1" w:rsidRPr="004F11AC">
        <w:t xml:space="preserve">method of calculating the effective </w:t>
      </w:r>
      <w:r w:rsidR="00CF1E6C" w:rsidRPr="004F11AC">
        <w:t>dispensed price for maximum quantity (</w:t>
      </w:r>
      <w:r w:rsidR="00650DD1" w:rsidRPr="004F11AC">
        <w:t>DPMQ</w:t>
      </w:r>
      <w:r w:rsidR="00CF1E6C" w:rsidRPr="004F11AC">
        <w:t>)</w:t>
      </w:r>
      <w:r w:rsidR="00650DD1" w:rsidRPr="004F11AC">
        <w:t xml:space="preserve"> from the effective </w:t>
      </w:r>
      <w:r w:rsidR="00CF1E6C" w:rsidRPr="004F11AC">
        <w:t>ex-manufacturer price</w:t>
      </w:r>
      <w:r w:rsidR="00650DD1" w:rsidRPr="004F11AC">
        <w:t xml:space="preserve"> </w:t>
      </w:r>
      <w:r w:rsidR="001B1A92" w:rsidRPr="004F11AC">
        <w:t xml:space="preserve">in the resubmission </w:t>
      </w:r>
      <w:r w:rsidR="00650DD1" w:rsidRPr="004F11AC">
        <w:t>was not based on standard methods</w:t>
      </w:r>
      <w:r w:rsidR="00B364FB" w:rsidRPr="004F11AC">
        <w:t>, and did not account for the differences in fees and markups for the published and effective DPMQs.</w:t>
      </w:r>
      <w:r w:rsidRPr="004F11AC">
        <w:t xml:space="preserve"> </w:t>
      </w:r>
    </w:p>
    <w:p w14:paraId="40DC059D" w14:textId="5B4E578D" w:rsidR="00C976B9" w:rsidRPr="0087348E" w:rsidRDefault="00C976B9" w:rsidP="00E208B7">
      <w:pPr>
        <w:pStyle w:val="COMexecsummnumbered"/>
      </w:pPr>
      <w:r w:rsidRPr="0087348E">
        <w:t xml:space="preserve">The resubmission requested a General Schedule Restricted Benefit listing for insulin degludec 100 IU/mL (3 mL cartridges, Penfill®), for </w:t>
      </w:r>
      <w:r w:rsidR="004A59EA" w:rsidRPr="0087348E">
        <w:t>patients with T1D</w:t>
      </w:r>
      <w:r w:rsidRPr="0087348E">
        <w:t>, appropriate for prescribing by medical practitioners and nurse practitioners.</w:t>
      </w:r>
    </w:p>
    <w:p w14:paraId="53C23685" w14:textId="7DC2832C" w:rsidR="00006FC2" w:rsidRPr="004F11AC" w:rsidRDefault="00BB36E1" w:rsidP="00E208B7">
      <w:pPr>
        <w:pStyle w:val="COMexecsummnumbered"/>
        <w:rPr>
          <w:i/>
          <w:iCs/>
        </w:rPr>
      </w:pPr>
      <w:bookmarkStart w:id="9" w:name="_Ref196910091"/>
      <w:r w:rsidRPr="004F11AC">
        <w:t xml:space="preserve">The resubmission proposed a </w:t>
      </w:r>
      <w:r w:rsidR="0056473F">
        <w:t>Special Pricing Arrangement (</w:t>
      </w:r>
      <w:r w:rsidR="00C83551" w:rsidRPr="004F11AC">
        <w:t>SPA</w:t>
      </w:r>
      <w:r w:rsidR="0056473F">
        <w:t>)</w:t>
      </w:r>
      <w:r w:rsidRPr="004F11AC">
        <w:t xml:space="preserve">, </w:t>
      </w:r>
      <w:r w:rsidR="009E1596" w:rsidRPr="004F11AC">
        <w:t xml:space="preserve">stating that the </w:t>
      </w:r>
      <w:r w:rsidR="003367FF" w:rsidRPr="00A6372C">
        <w:rPr>
          <w:color w:val="000000"/>
          <w:w w:val="61"/>
          <w:shd w:val="solid" w:color="000000" w:fill="000000"/>
          <w:fitText w:val="475" w:id="-628903166"/>
          <w14:textFill>
            <w14:solidFill>
              <w14:srgbClr w14:val="000000">
                <w14:alpha w14:val="100000"/>
              </w14:srgbClr>
            </w14:solidFill>
          </w14:textFill>
        </w:rPr>
        <w:t>|||  ||</w:t>
      </w:r>
      <w:r w:rsidR="003367FF" w:rsidRPr="00A6372C">
        <w:rPr>
          <w:color w:val="000000"/>
          <w:spacing w:val="5"/>
          <w:w w:val="61"/>
          <w:shd w:val="solid" w:color="000000" w:fill="000000"/>
          <w:fitText w:val="475" w:id="-628903166"/>
          <w14:textFill>
            <w14:solidFill>
              <w14:srgbClr w14:val="000000">
                <w14:alpha w14:val="100000"/>
              </w14:srgbClr>
            </w14:solidFill>
          </w14:textFill>
        </w:rPr>
        <w:t>|</w:t>
      </w:r>
      <w:r w:rsidR="009E1596" w:rsidRPr="004F11AC">
        <w:t xml:space="preserve">% </w:t>
      </w:r>
      <w:r w:rsidR="00C035DF" w:rsidRPr="004F11AC">
        <w:t xml:space="preserve">rebate </w:t>
      </w:r>
      <w:r w:rsidR="009E1596" w:rsidRPr="004F11AC">
        <w:t xml:space="preserve">would </w:t>
      </w:r>
      <w:r w:rsidR="00F57E92">
        <w:t>achieve an</w:t>
      </w:r>
      <w:r w:rsidR="009E1596" w:rsidRPr="004F11AC">
        <w:t xml:space="preserve"> effective </w:t>
      </w:r>
      <w:r w:rsidR="00B35EBF" w:rsidRPr="004F11AC">
        <w:t xml:space="preserve">approved </w:t>
      </w:r>
      <w:r w:rsidR="00FC6A6B" w:rsidRPr="004F11AC">
        <w:t>ex-manufacturer price (</w:t>
      </w:r>
      <w:r w:rsidR="00B35EBF" w:rsidRPr="004F11AC">
        <w:t>A</w:t>
      </w:r>
      <w:r w:rsidR="009E1596" w:rsidRPr="004F11AC">
        <w:t>EMP</w:t>
      </w:r>
      <w:r w:rsidR="00FC6A6B" w:rsidRPr="004F11AC">
        <w:t>)</w:t>
      </w:r>
      <w:r w:rsidR="009E1596" w:rsidRPr="004F11AC">
        <w:t xml:space="preserve"> o</w:t>
      </w:r>
      <w:r w:rsidR="00F57E92">
        <w:t>f</w:t>
      </w:r>
      <w:r w:rsidR="009E1596" w:rsidRPr="004F11AC">
        <w:t xml:space="preserve"> $</w:t>
      </w:r>
      <w:r w:rsidR="003367FF" w:rsidRPr="00A6372C">
        <w:rPr>
          <w:color w:val="000000"/>
          <w:w w:val="61"/>
          <w:shd w:val="solid" w:color="000000" w:fill="000000"/>
          <w:fitText w:val="475" w:id="-628903165"/>
          <w14:textFill>
            <w14:solidFill>
              <w14:srgbClr w14:val="000000">
                <w14:alpha w14:val="100000"/>
              </w14:srgbClr>
            </w14:solidFill>
          </w14:textFill>
        </w:rPr>
        <w:t>|||  ||</w:t>
      </w:r>
      <w:r w:rsidR="003367FF" w:rsidRPr="00A6372C">
        <w:rPr>
          <w:color w:val="000000"/>
          <w:spacing w:val="5"/>
          <w:w w:val="61"/>
          <w:shd w:val="solid" w:color="000000" w:fill="000000"/>
          <w:fitText w:val="475" w:id="-628903165"/>
          <w14:textFill>
            <w14:solidFill>
              <w14:srgbClr w14:val="000000">
                <w14:alpha w14:val="100000"/>
              </w14:srgbClr>
            </w14:solidFill>
          </w14:textFill>
        </w:rPr>
        <w:t>|</w:t>
      </w:r>
      <w:r w:rsidR="009E1596" w:rsidRPr="004F11AC">
        <w:t xml:space="preserve">, translating to an effective </w:t>
      </w:r>
      <w:r w:rsidR="00EC08EA" w:rsidRPr="004F11AC">
        <w:t>dispensed price for maximum quantity (</w:t>
      </w:r>
      <w:r w:rsidR="009E1596" w:rsidRPr="004F11AC">
        <w:t>DPMQ</w:t>
      </w:r>
      <w:r w:rsidR="00EC08EA" w:rsidRPr="004F11AC">
        <w:t>)</w:t>
      </w:r>
      <w:r w:rsidR="009E1596" w:rsidRPr="004F11AC">
        <w:t xml:space="preserve"> of </w:t>
      </w:r>
      <w:r w:rsidR="00A6372C">
        <w:t>$</w:t>
      </w:r>
      <w:r w:rsidR="003367FF" w:rsidRPr="00A6372C">
        <w:rPr>
          <w:color w:val="000000"/>
          <w:w w:val="61"/>
          <w:shd w:val="solid" w:color="000000" w:fill="000000"/>
          <w:fitText w:val="475" w:id="-628903164"/>
          <w14:textFill>
            <w14:solidFill>
              <w14:srgbClr w14:val="000000">
                <w14:alpha w14:val="100000"/>
              </w14:srgbClr>
            </w14:solidFill>
          </w14:textFill>
        </w:rPr>
        <w:t>|||  ||</w:t>
      </w:r>
      <w:r w:rsidR="003367FF" w:rsidRPr="00A6372C">
        <w:rPr>
          <w:color w:val="000000"/>
          <w:spacing w:val="5"/>
          <w:w w:val="61"/>
          <w:shd w:val="solid" w:color="000000" w:fill="000000"/>
          <w:fitText w:val="475" w:id="-628903164"/>
          <w14:textFill>
            <w14:solidFill>
              <w14:srgbClr w14:val="000000">
                <w14:alpha w14:val="100000"/>
              </w14:srgbClr>
            </w14:solidFill>
          </w14:textFill>
        </w:rPr>
        <w:t>|</w:t>
      </w:r>
      <w:r w:rsidR="009E1596" w:rsidRPr="004F11AC">
        <w:t xml:space="preserve">. </w:t>
      </w:r>
      <w:r w:rsidR="00E746B0" w:rsidRPr="00E25E13">
        <w:t>The evaluation and the E</w:t>
      </w:r>
      <w:r w:rsidR="002B3CBA" w:rsidRPr="00E25E13">
        <w:t>S</w:t>
      </w:r>
      <w:r w:rsidR="00E746B0" w:rsidRPr="00E25E13">
        <w:t xml:space="preserve">C noted that </w:t>
      </w:r>
      <w:r w:rsidR="00262520" w:rsidRPr="00E25E13">
        <w:t xml:space="preserve">an effective </w:t>
      </w:r>
      <w:r w:rsidR="00B35EBF" w:rsidRPr="00E25E13">
        <w:t>A</w:t>
      </w:r>
      <w:r w:rsidR="00262520" w:rsidRPr="00E25E13">
        <w:t>EMP of $</w:t>
      </w:r>
      <w:r w:rsidR="003367FF" w:rsidRPr="00A6372C">
        <w:rPr>
          <w:color w:val="000000"/>
          <w:w w:val="61"/>
          <w:shd w:val="solid" w:color="000000" w:fill="000000"/>
          <w:fitText w:val="475" w:id="-628903163"/>
          <w14:textFill>
            <w14:solidFill>
              <w14:srgbClr w14:val="000000">
                <w14:alpha w14:val="100000"/>
              </w14:srgbClr>
            </w14:solidFill>
          </w14:textFill>
        </w:rPr>
        <w:t>|||  ||</w:t>
      </w:r>
      <w:r w:rsidR="003367FF" w:rsidRPr="00A6372C">
        <w:rPr>
          <w:color w:val="000000"/>
          <w:spacing w:val="5"/>
          <w:w w:val="61"/>
          <w:shd w:val="solid" w:color="000000" w:fill="000000"/>
          <w:fitText w:val="475" w:id="-628903163"/>
          <w14:textFill>
            <w14:solidFill>
              <w14:srgbClr w14:val="000000">
                <w14:alpha w14:val="100000"/>
              </w14:srgbClr>
            </w14:solidFill>
          </w14:textFill>
        </w:rPr>
        <w:t>|</w:t>
      </w:r>
      <w:r w:rsidR="00262520" w:rsidRPr="00E25E13">
        <w:t xml:space="preserve"> </w:t>
      </w:r>
      <w:r w:rsidR="00B35EBF" w:rsidRPr="00E25E13">
        <w:t xml:space="preserve">recalculated using standard methods </w:t>
      </w:r>
      <w:r w:rsidR="00262520" w:rsidRPr="00E25E13">
        <w:t>equates to an effective DPMQ of $</w:t>
      </w:r>
      <w:r w:rsidR="003367FF" w:rsidRPr="00A6372C">
        <w:rPr>
          <w:color w:val="000000"/>
          <w:w w:val="59"/>
          <w:shd w:val="solid" w:color="000000" w:fill="000000"/>
          <w:fitText w:val="460" w:id="-628903162"/>
          <w14:textFill>
            <w14:solidFill>
              <w14:srgbClr w14:val="000000">
                <w14:alpha w14:val="100000"/>
              </w14:srgbClr>
            </w14:solidFill>
          </w14:textFill>
        </w:rPr>
        <w:t>|||  ||</w:t>
      </w:r>
      <w:r w:rsidR="003367FF" w:rsidRPr="00A6372C">
        <w:rPr>
          <w:color w:val="000000"/>
          <w:spacing w:val="5"/>
          <w:w w:val="59"/>
          <w:shd w:val="solid" w:color="000000" w:fill="000000"/>
          <w:fitText w:val="460" w:id="-628903162"/>
          <w14:textFill>
            <w14:solidFill>
              <w14:srgbClr w14:val="000000">
                <w14:alpha w14:val="100000"/>
              </w14:srgbClr>
            </w14:solidFill>
          </w14:textFill>
        </w:rPr>
        <w:t>|</w:t>
      </w:r>
      <w:r w:rsidR="00E32163" w:rsidRPr="00E25E13">
        <w:t>.</w:t>
      </w:r>
      <w:bookmarkEnd w:id="9"/>
      <w:r w:rsidR="00970D28" w:rsidRPr="00E25E13">
        <w:t xml:space="preserve"> </w:t>
      </w:r>
    </w:p>
    <w:p w14:paraId="5CFF8412" w14:textId="0529B6F0" w:rsidR="008A208C" w:rsidRPr="004F11AC" w:rsidRDefault="00364D31" w:rsidP="00E208B7">
      <w:pPr>
        <w:pStyle w:val="COMexecsummnumbered"/>
        <w:rPr>
          <w:i/>
          <w:iCs/>
        </w:rPr>
      </w:pPr>
      <w:r w:rsidRPr="004F11AC">
        <w:fldChar w:fldCharType="begin"/>
      </w:r>
      <w:r w:rsidRPr="004F11AC">
        <w:instrText xml:space="preserve"> REF _Ref197595272 \h  \* MERGEFORMAT </w:instrText>
      </w:r>
      <w:r w:rsidRPr="004F11AC">
        <w:fldChar w:fldCharType="separate"/>
      </w:r>
      <w:r w:rsidR="00280138" w:rsidRPr="004F11AC">
        <w:t xml:space="preserve">Table </w:t>
      </w:r>
      <w:r w:rsidR="00280138">
        <w:t>2</w:t>
      </w:r>
      <w:r w:rsidRPr="004F11AC">
        <w:fldChar w:fldCharType="end"/>
      </w:r>
      <w:r w:rsidR="00CC1E48" w:rsidRPr="004F11AC">
        <w:t xml:space="preserve"> </w:t>
      </w:r>
      <w:r w:rsidR="008A208C" w:rsidRPr="004F11AC">
        <w:t>compar</w:t>
      </w:r>
      <w:r w:rsidR="00CC1E48" w:rsidRPr="004F11AC">
        <w:t>es</w:t>
      </w:r>
      <w:r w:rsidR="008A208C" w:rsidRPr="004F11AC">
        <w:t xml:space="preserve"> the proposed price of insulin degludec with prices of available PBS-listed basal insulin therapies</w:t>
      </w:r>
      <w:r w:rsidR="00CC1E48" w:rsidRPr="004F11AC">
        <w:t xml:space="preserve">. </w:t>
      </w:r>
    </w:p>
    <w:p w14:paraId="05757466" w14:textId="52E9C2EC" w:rsidR="00457007" w:rsidRPr="004F11AC" w:rsidRDefault="00457007" w:rsidP="00E208B7">
      <w:pPr>
        <w:pStyle w:val="Caption"/>
        <w:rPr>
          <w:szCs w:val="22"/>
        </w:rPr>
      </w:pPr>
      <w:bookmarkStart w:id="10" w:name="_Ref197595272"/>
      <w:r w:rsidRPr="004F11AC">
        <w:t xml:space="preserve">Table </w:t>
      </w:r>
      <w:r w:rsidR="00D87C74" w:rsidRPr="004F11AC">
        <w:fldChar w:fldCharType="begin"/>
      </w:r>
      <w:r w:rsidR="00D87C74" w:rsidRPr="004F11AC">
        <w:instrText xml:space="preserve"> SEQ Table \* ARABIC </w:instrText>
      </w:r>
      <w:r w:rsidR="00D87C74" w:rsidRPr="004F11AC">
        <w:fldChar w:fldCharType="separate"/>
      </w:r>
      <w:r w:rsidR="00280138">
        <w:rPr>
          <w:noProof/>
        </w:rPr>
        <w:t>2</w:t>
      </w:r>
      <w:r w:rsidR="00D87C74" w:rsidRPr="004F11AC">
        <w:fldChar w:fldCharType="end"/>
      </w:r>
      <w:bookmarkEnd w:id="10"/>
      <w:r w:rsidRPr="004F11AC">
        <w:t xml:space="preserve">: Basal insulin price comparison  </w:t>
      </w:r>
    </w:p>
    <w:tbl>
      <w:tblPr>
        <w:tblStyle w:val="TableGrid"/>
        <w:tblW w:w="9067" w:type="dxa"/>
        <w:tblCellMar>
          <w:left w:w="28" w:type="dxa"/>
          <w:right w:w="28" w:type="dxa"/>
        </w:tblCellMar>
        <w:tblLook w:val="04A0" w:firstRow="1" w:lastRow="0" w:firstColumn="1" w:lastColumn="0" w:noHBand="0" w:noVBand="1"/>
        <w:tblCaption w:val="Table 2: Basal insulin price comparison  "/>
      </w:tblPr>
      <w:tblGrid>
        <w:gridCol w:w="2263"/>
        <w:gridCol w:w="1488"/>
        <w:gridCol w:w="1489"/>
        <w:gridCol w:w="1913"/>
        <w:gridCol w:w="1914"/>
      </w:tblGrid>
      <w:tr w:rsidR="00BA0730" w:rsidRPr="004F11AC" w14:paraId="4486E472" w14:textId="77777777">
        <w:tc>
          <w:tcPr>
            <w:tcW w:w="2263" w:type="dxa"/>
            <w:tcBorders>
              <w:top w:val="single" w:sz="4" w:space="0" w:color="auto"/>
              <w:left w:val="single" w:sz="4" w:space="0" w:color="auto"/>
              <w:bottom w:val="single" w:sz="4" w:space="0" w:color="auto"/>
              <w:right w:val="single" w:sz="4" w:space="0" w:color="auto"/>
            </w:tcBorders>
            <w:vAlign w:val="center"/>
          </w:tcPr>
          <w:p w14:paraId="05FF1AD7" w14:textId="77777777" w:rsidR="00457007" w:rsidRPr="004F11AC" w:rsidRDefault="00457007" w:rsidP="00E208B7">
            <w:pPr>
              <w:pStyle w:val="Tabletext0"/>
              <w:keepNext/>
            </w:pPr>
          </w:p>
        </w:tc>
        <w:tc>
          <w:tcPr>
            <w:tcW w:w="1488" w:type="dxa"/>
            <w:tcBorders>
              <w:top w:val="single" w:sz="4" w:space="0" w:color="auto"/>
              <w:left w:val="single" w:sz="4" w:space="0" w:color="auto"/>
              <w:bottom w:val="single" w:sz="4" w:space="0" w:color="auto"/>
              <w:right w:val="single" w:sz="4" w:space="0" w:color="auto"/>
            </w:tcBorders>
            <w:vAlign w:val="center"/>
          </w:tcPr>
          <w:p w14:paraId="26B55CE9" w14:textId="77777777" w:rsidR="00457007" w:rsidRPr="004F11AC" w:rsidRDefault="00457007" w:rsidP="00E208B7">
            <w:pPr>
              <w:pStyle w:val="Tabletext0"/>
              <w:keepNext/>
              <w:jc w:val="center"/>
              <w:rPr>
                <w:b/>
                <w:bCs/>
              </w:rPr>
            </w:pPr>
            <w:r w:rsidRPr="004F11AC">
              <w:rPr>
                <w:b/>
                <w:bCs/>
              </w:rPr>
              <w:t>PBS listing</w:t>
            </w:r>
          </w:p>
        </w:tc>
        <w:tc>
          <w:tcPr>
            <w:tcW w:w="1489" w:type="dxa"/>
            <w:tcBorders>
              <w:top w:val="single" w:sz="4" w:space="0" w:color="auto"/>
              <w:left w:val="single" w:sz="4" w:space="0" w:color="auto"/>
              <w:bottom w:val="single" w:sz="4" w:space="0" w:color="auto"/>
              <w:right w:val="single" w:sz="4" w:space="0" w:color="auto"/>
            </w:tcBorders>
            <w:vAlign w:val="center"/>
          </w:tcPr>
          <w:p w14:paraId="16BA0FF8" w14:textId="77777777" w:rsidR="00457007" w:rsidRPr="004F11AC" w:rsidRDefault="00457007" w:rsidP="00E208B7">
            <w:pPr>
              <w:pStyle w:val="Tabletext0"/>
              <w:keepNext/>
              <w:jc w:val="center"/>
              <w:rPr>
                <w:b/>
                <w:bCs/>
              </w:rPr>
            </w:pPr>
            <w:r w:rsidRPr="004F11AC">
              <w:rPr>
                <w:b/>
                <w:bCs/>
              </w:rPr>
              <w:t>Pack size</w:t>
            </w:r>
          </w:p>
          <w:p w14:paraId="7B034ED8" w14:textId="77777777" w:rsidR="00457007" w:rsidRPr="004F11AC" w:rsidRDefault="00457007" w:rsidP="00E208B7">
            <w:pPr>
              <w:pStyle w:val="Tabletext0"/>
              <w:keepNext/>
              <w:jc w:val="center"/>
              <w:rPr>
                <w:b/>
                <w:bCs/>
              </w:rPr>
            </w:pPr>
            <w:r w:rsidRPr="004F11AC">
              <w:rPr>
                <w:b/>
                <w:bCs/>
              </w:rPr>
              <w:t>(Max qty)</w:t>
            </w:r>
          </w:p>
        </w:tc>
        <w:tc>
          <w:tcPr>
            <w:tcW w:w="1913" w:type="dxa"/>
            <w:tcBorders>
              <w:top w:val="single" w:sz="4" w:space="0" w:color="auto"/>
              <w:left w:val="single" w:sz="4" w:space="0" w:color="auto"/>
              <w:bottom w:val="single" w:sz="4" w:space="0" w:color="auto"/>
              <w:right w:val="single" w:sz="4" w:space="0" w:color="auto"/>
            </w:tcBorders>
            <w:vAlign w:val="center"/>
          </w:tcPr>
          <w:p w14:paraId="48F4A5AF" w14:textId="588F0BE2" w:rsidR="00457007" w:rsidRPr="004F11AC" w:rsidRDefault="00457007" w:rsidP="00E208B7">
            <w:pPr>
              <w:pStyle w:val="Tabletext0"/>
              <w:keepNext/>
              <w:jc w:val="center"/>
              <w:rPr>
                <w:b/>
                <w:bCs/>
              </w:rPr>
            </w:pPr>
            <w:r w:rsidRPr="004F11AC">
              <w:rPr>
                <w:b/>
                <w:bCs/>
              </w:rPr>
              <w:t xml:space="preserve">Published DPMQ </w:t>
            </w:r>
          </w:p>
        </w:tc>
        <w:tc>
          <w:tcPr>
            <w:tcW w:w="1914" w:type="dxa"/>
            <w:tcBorders>
              <w:top w:val="single" w:sz="4" w:space="0" w:color="auto"/>
              <w:left w:val="single" w:sz="4" w:space="0" w:color="auto"/>
              <w:bottom w:val="single" w:sz="4" w:space="0" w:color="auto"/>
              <w:right w:val="single" w:sz="4" w:space="0" w:color="auto"/>
            </w:tcBorders>
            <w:vAlign w:val="center"/>
          </w:tcPr>
          <w:p w14:paraId="48AD89A9" w14:textId="7E3961CF" w:rsidR="00457007" w:rsidRPr="004F11AC" w:rsidRDefault="00457007" w:rsidP="00E208B7">
            <w:pPr>
              <w:pStyle w:val="Tabletext0"/>
              <w:keepNext/>
              <w:jc w:val="center"/>
              <w:rPr>
                <w:b/>
                <w:bCs/>
              </w:rPr>
            </w:pPr>
            <w:r w:rsidRPr="004F11AC">
              <w:rPr>
                <w:b/>
                <w:bCs/>
              </w:rPr>
              <w:t xml:space="preserve">Effective DPMQ </w:t>
            </w:r>
          </w:p>
        </w:tc>
      </w:tr>
      <w:tr w:rsidR="00BA0730" w:rsidRPr="004F11AC" w14:paraId="341353B0" w14:textId="77777777" w:rsidTr="00555D5E">
        <w:tc>
          <w:tcPr>
            <w:tcW w:w="2263" w:type="dxa"/>
            <w:tcBorders>
              <w:top w:val="single" w:sz="4" w:space="0" w:color="auto"/>
              <w:left w:val="single" w:sz="4" w:space="0" w:color="auto"/>
              <w:bottom w:val="single" w:sz="4" w:space="0" w:color="auto"/>
              <w:right w:val="single" w:sz="4" w:space="0" w:color="auto"/>
            </w:tcBorders>
            <w:vAlign w:val="center"/>
          </w:tcPr>
          <w:p w14:paraId="05F6D145" w14:textId="15857D11" w:rsidR="00457007" w:rsidRPr="004F11AC" w:rsidRDefault="00457007" w:rsidP="00E208B7">
            <w:pPr>
              <w:pStyle w:val="Tabletext0"/>
              <w:keepNext/>
            </w:pPr>
            <w:r w:rsidRPr="004F11AC">
              <w:t>Insulin degludec 100 IU/mL</w:t>
            </w:r>
            <w:r w:rsidR="007B7778" w:rsidRPr="004F11AC">
              <w:t>*</w:t>
            </w:r>
          </w:p>
        </w:tc>
        <w:tc>
          <w:tcPr>
            <w:tcW w:w="1488" w:type="dxa"/>
            <w:tcBorders>
              <w:top w:val="single" w:sz="4" w:space="0" w:color="auto"/>
              <w:left w:val="single" w:sz="4" w:space="0" w:color="auto"/>
              <w:bottom w:val="single" w:sz="4" w:space="0" w:color="auto"/>
              <w:right w:val="single" w:sz="4" w:space="0" w:color="auto"/>
            </w:tcBorders>
            <w:vAlign w:val="center"/>
          </w:tcPr>
          <w:p w14:paraId="68C6EE19" w14:textId="77777777" w:rsidR="00457007" w:rsidRPr="004F11AC" w:rsidRDefault="00457007" w:rsidP="00E208B7">
            <w:pPr>
              <w:pStyle w:val="Tabletext0"/>
              <w:keepNext/>
              <w:jc w:val="center"/>
            </w:pPr>
            <w:r w:rsidRPr="004F11AC">
              <w:t>T1D (proposed)</w:t>
            </w:r>
          </w:p>
        </w:tc>
        <w:tc>
          <w:tcPr>
            <w:tcW w:w="1489" w:type="dxa"/>
            <w:tcBorders>
              <w:top w:val="single" w:sz="4" w:space="0" w:color="auto"/>
              <w:left w:val="single" w:sz="4" w:space="0" w:color="auto"/>
              <w:bottom w:val="single" w:sz="4" w:space="0" w:color="auto"/>
              <w:right w:val="single" w:sz="4" w:space="0" w:color="auto"/>
            </w:tcBorders>
            <w:vAlign w:val="center"/>
          </w:tcPr>
          <w:p w14:paraId="32A93177" w14:textId="77777777" w:rsidR="00457007" w:rsidRPr="004F11AC" w:rsidRDefault="00457007" w:rsidP="00E208B7">
            <w:pPr>
              <w:pStyle w:val="Tabletext0"/>
              <w:keepNext/>
              <w:jc w:val="center"/>
            </w:pPr>
            <w:r w:rsidRPr="004F11AC">
              <w:t>5 × 3 mL (5)</w:t>
            </w:r>
          </w:p>
        </w:tc>
        <w:tc>
          <w:tcPr>
            <w:tcW w:w="1913" w:type="dxa"/>
            <w:tcBorders>
              <w:top w:val="single" w:sz="4" w:space="0" w:color="auto"/>
              <w:left w:val="single" w:sz="4" w:space="0" w:color="auto"/>
              <w:right w:val="single" w:sz="4" w:space="0" w:color="auto"/>
            </w:tcBorders>
            <w:vAlign w:val="center"/>
          </w:tcPr>
          <w:p w14:paraId="1FDB69CA" w14:textId="7A6A4CAA" w:rsidR="00457007" w:rsidRPr="004F11AC" w:rsidRDefault="00457007" w:rsidP="00E208B7">
            <w:pPr>
              <w:pStyle w:val="Tabletext0"/>
              <w:keepNext/>
              <w:jc w:val="center"/>
            </w:pPr>
            <w:r w:rsidRPr="004F11AC">
              <w:t xml:space="preserve">$400.77 </w:t>
            </w:r>
          </w:p>
        </w:tc>
        <w:tc>
          <w:tcPr>
            <w:tcW w:w="1914" w:type="dxa"/>
            <w:tcBorders>
              <w:top w:val="single" w:sz="4" w:space="0" w:color="auto"/>
              <w:left w:val="single" w:sz="4" w:space="0" w:color="auto"/>
              <w:right w:val="single" w:sz="4" w:space="0" w:color="auto"/>
            </w:tcBorders>
            <w:vAlign w:val="center"/>
          </w:tcPr>
          <w:p w14:paraId="3F762FC4" w14:textId="5D44C143" w:rsidR="00457007" w:rsidRPr="004F11AC" w:rsidRDefault="00457007" w:rsidP="00E208B7">
            <w:pPr>
              <w:pStyle w:val="Tabletext0"/>
              <w:keepNext/>
              <w:jc w:val="center"/>
            </w:pPr>
            <w:r w:rsidRPr="004F11AC">
              <w:t>Submission: $</w:t>
            </w:r>
            <w:r w:rsidR="003367FF" w:rsidRPr="003367FF">
              <w:rPr>
                <w:color w:val="000000"/>
                <w:spacing w:val="45"/>
                <w:shd w:val="solid" w:color="000000" w:fill="000000"/>
                <w:fitText w:val="330" w:id="-628903161"/>
                <w14:textFill>
                  <w14:solidFill>
                    <w14:srgbClr w14:val="000000">
                      <w14:alpha w14:val="100000"/>
                    </w14:srgbClr>
                  </w14:solidFill>
                </w14:textFill>
              </w:rPr>
              <w:t>|||</w:t>
            </w:r>
            <w:r w:rsidR="003367FF" w:rsidRPr="003367FF">
              <w:rPr>
                <w:color w:val="000000"/>
                <w:spacing w:val="15"/>
                <w:shd w:val="solid" w:color="000000" w:fill="000000"/>
                <w:fitText w:val="330" w:id="-628903161"/>
                <w14:textFill>
                  <w14:solidFill>
                    <w14:srgbClr w14:val="000000">
                      <w14:alpha w14:val="100000"/>
                    </w14:srgbClr>
                  </w14:solidFill>
                </w14:textFill>
              </w:rPr>
              <w:t>|</w:t>
            </w:r>
            <w:r w:rsidRPr="004F11AC">
              <w:t xml:space="preserve"> Evaluation: $</w:t>
            </w:r>
            <w:r w:rsidR="003367FF" w:rsidRPr="003367FF">
              <w:rPr>
                <w:color w:val="000000"/>
                <w:spacing w:val="45"/>
                <w:shd w:val="solid" w:color="000000" w:fill="000000"/>
                <w:fitText w:val="330" w:id="-628903160"/>
                <w14:textFill>
                  <w14:solidFill>
                    <w14:srgbClr w14:val="000000">
                      <w14:alpha w14:val="100000"/>
                    </w14:srgbClr>
                  </w14:solidFill>
                </w14:textFill>
              </w:rPr>
              <w:t>|||</w:t>
            </w:r>
            <w:r w:rsidR="003367FF" w:rsidRPr="003367FF">
              <w:rPr>
                <w:color w:val="000000"/>
                <w:spacing w:val="15"/>
                <w:shd w:val="solid" w:color="000000" w:fill="000000"/>
                <w:fitText w:val="330" w:id="-628903160"/>
                <w14:textFill>
                  <w14:solidFill>
                    <w14:srgbClr w14:val="000000">
                      <w14:alpha w14:val="100000"/>
                    </w14:srgbClr>
                  </w14:solidFill>
                </w14:textFill>
              </w:rPr>
              <w:t>|</w:t>
            </w:r>
            <w:r w:rsidRPr="004F11AC">
              <w:t xml:space="preserve"> </w:t>
            </w:r>
          </w:p>
        </w:tc>
      </w:tr>
      <w:tr w:rsidR="00BA0730" w:rsidRPr="004F11AC" w14:paraId="3F7CD4F2" w14:textId="77777777" w:rsidTr="00555D5E">
        <w:tc>
          <w:tcPr>
            <w:tcW w:w="2263" w:type="dxa"/>
            <w:tcBorders>
              <w:top w:val="single" w:sz="4" w:space="0" w:color="auto"/>
              <w:left w:val="single" w:sz="4" w:space="0" w:color="auto"/>
              <w:bottom w:val="single" w:sz="4" w:space="0" w:color="auto"/>
              <w:right w:val="single" w:sz="4" w:space="0" w:color="auto"/>
            </w:tcBorders>
            <w:vAlign w:val="center"/>
          </w:tcPr>
          <w:p w14:paraId="647E467A" w14:textId="77777777" w:rsidR="00457007" w:rsidRPr="004F11AC" w:rsidRDefault="00457007" w:rsidP="00E208B7">
            <w:pPr>
              <w:pStyle w:val="Tabletext0"/>
              <w:keepNext/>
              <w:rPr>
                <w:sz w:val="2"/>
                <w:szCs w:val="2"/>
              </w:rPr>
            </w:pPr>
          </w:p>
        </w:tc>
        <w:tc>
          <w:tcPr>
            <w:tcW w:w="1488" w:type="dxa"/>
            <w:tcBorders>
              <w:top w:val="single" w:sz="4" w:space="0" w:color="auto"/>
              <w:left w:val="single" w:sz="4" w:space="0" w:color="auto"/>
              <w:bottom w:val="single" w:sz="4" w:space="0" w:color="auto"/>
              <w:right w:val="single" w:sz="4" w:space="0" w:color="auto"/>
            </w:tcBorders>
            <w:vAlign w:val="center"/>
          </w:tcPr>
          <w:p w14:paraId="5B62915B" w14:textId="77777777" w:rsidR="00457007" w:rsidRPr="004F11AC" w:rsidRDefault="00457007" w:rsidP="00E208B7">
            <w:pPr>
              <w:pStyle w:val="Tabletext0"/>
              <w:keepNext/>
              <w:jc w:val="center"/>
              <w:rPr>
                <w:sz w:val="2"/>
                <w:szCs w:val="2"/>
              </w:rPr>
            </w:pPr>
          </w:p>
        </w:tc>
        <w:tc>
          <w:tcPr>
            <w:tcW w:w="1489" w:type="dxa"/>
            <w:tcBorders>
              <w:top w:val="single" w:sz="4" w:space="0" w:color="auto"/>
              <w:left w:val="single" w:sz="4" w:space="0" w:color="auto"/>
              <w:bottom w:val="single" w:sz="4" w:space="0" w:color="auto"/>
              <w:right w:val="single" w:sz="4" w:space="0" w:color="auto"/>
            </w:tcBorders>
            <w:vAlign w:val="center"/>
          </w:tcPr>
          <w:p w14:paraId="6F6F447F" w14:textId="77777777" w:rsidR="00457007" w:rsidRPr="004F11AC" w:rsidRDefault="00457007" w:rsidP="00E208B7">
            <w:pPr>
              <w:pStyle w:val="Tabletext0"/>
              <w:keepNext/>
              <w:jc w:val="center"/>
              <w:rPr>
                <w:sz w:val="2"/>
                <w:szCs w:val="2"/>
              </w:rPr>
            </w:pPr>
          </w:p>
        </w:tc>
        <w:tc>
          <w:tcPr>
            <w:tcW w:w="1913" w:type="dxa"/>
            <w:tcBorders>
              <w:top w:val="single" w:sz="4" w:space="0" w:color="auto"/>
              <w:left w:val="single" w:sz="4" w:space="0" w:color="auto"/>
              <w:right w:val="single" w:sz="4" w:space="0" w:color="auto"/>
            </w:tcBorders>
            <w:vAlign w:val="center"/>
          </w:tcPr>
          <w:p w14:paraId="1AA3A052" w14:textId="77777777" w:rsidR="00457007" w:rsidRPr="004F11AC" w:rsidRDefault="00457007" w:rsidP="00E208B7">
            <w:pPr>
              <w:pStyle w:val="Tabletext0"/>
              <w:keepNext/>
              <w:jc w:val="center"/>
              <w:rPr>
                <w:sz w:val="2"/>
                <w:szCs w:val="2"/>
              </w:rPr>
            </w:pPr>
          </w:p>
        </w:tc>
        <w:tc>
          <w:tcPr>
            <w:tcW w:w="1914" w:type="dxa"/>
            <w:tcBorders>
              <w:top w:val="single" w:sz="4" w:space="0" w:color="auto"/>
              <w:left w:val="single" w:sz="4" w:space="0" w:color="auto"/>
              <w:right w:val="single" w:sz="4" w:space="0" w:color="auto"/>
            </w:tcBorders>
            <w:vAlign w:val="center"/>
          </w:tcPr>
          <w:p w14:paraId="124A17B9" w14:textId="77777777" w:rsidR="00457007" w:rsidRPr="004F11AC" w:rsidRDefault="00457007" w:rsidP="00E208B7">
            <w:pPr>
              <w:pStyle w:val="Tabletext0"/>
              <w:keepNext/>
              <w:jc w:val="center"/>
              <w:rPr>
                <w:sz w:val="2"/>
                <w:szCs w:val="2"/>
              </w:rPr>
            </w:pPr>
          </w:p>
        </w:tc>
      </w:tr>
      <w:tr w:rsidR="00BA0730" w:rsidRPr="004F11AC" w14:paraId="7ACAFD90" w14:textId="77777777" w:rsidTr="00555D5E">
        <w:tc>
          <w:tcPr>
            <w:tcW w:w="2263" w:type="dxa"/>
            <w:tcBorders>
              <w:top w:val="single" w:sz="4" w:space="0" w:color="auto"/>
              <w:left w:val="single" w:sz="4" w:space="0" w:color="auto"/>
              <w:bottom w:val="single" w:sz="4" w:space="0" w:color="auto"/>
              <w:right w:val="single" w:sz="4" w:space="0" w:color="auto"/>
            </w:tcBorders>
            <w:vAlign w:val="center"/>
          </w:tcPr>
          <w:p w14:paraId="33021F5B" w14:textId="77777777" w:rsidR="00457007" w:rsidRPr="004F11AC" w:rsidRDefault="00457007" w:rsidP="00E208B7">
            <w:pPr>
              <w:pStyle w:val="Tabletext0"/>
              <w:keepNext/>
            </w:pPr>
            <w:r w:rsidRPr="004F11AC">
              <w:t>Insulin detemir 100 IU/mL</w:t>
            </w:r>
          </w:p>
        </w:tc>
        <w:tc>
          <w:tcPr>
            <w:tcW w:w="1488" w:type="dxa"/>
            <w:tcBorders>
              <w:top w:val="single" w:sz="4" w:space="0" w:color="auto"/>
              <w:left w:val="single" w:sz="4" w:space="0" w:color="auto"/>
              <w:bottom w:val="single" w:sz="4" w:space="0" w:color="auto"/>
              <w:right w:val="single" w:sz="4" w:space="0" w:color="auto"/>
            </w:tcBorders>
            <w:vAlign w:val="center"/>
          </w:tcPr>
          <w:p w14:paraId="7379BEEC" w14:textId="77777777" w:rsidR="00457007" w:rsidRPr="004F11AC" w:rsidRDefault="00457007" w:rsidP="00E208B7">
            <w:pPr>
              <w:pStyle w:val="Tabletext0"/>
              <w:keepNext/>
              <w:jc w:val="center"/>
            </w:pPr>
            <w:r w:rsidRPr="004F11AC">
              <w:t>T1D</w:t>
            </w:r>
          </w:p>
        </w:tc>
        <w:tc>
          <w:tcPr>
            <w:tcW w:w="1489" w:type="dxa"/>
            <w:tcBorders>
              <w:top w:val="single" w:sz="4" w:space="0" w:color="auto"/>
              <w:left w:val="single" w:sz="4" w:space="0" w:color="auto"/>
              <w:bottom w:val="single" w:sz="4" w:space="0" w:color="auto"/>
              <w:right w:val="single" w:sz="4" w:space="0" w:color="auto"/>
            </w:tcBorders>
            <w:vAlign w:val="center"/>
          </w:tcPr>
          <w:p w14:paraId="209E4DE9" w14:textId="77777777" w:rsidR="00457007" w:rsidRPr="004F11AC" w:rsidRDefault="00457007" w:rsidP="00E208B7">
            <w:pPr>
              <w:pStyle w:val="Tabletext0"/>
              <w:keepNext/>
              <w:jc w:val="center"/>
            </w:pPr>
            <w:r w:rsidRPr="004F11AC">
              <w:t>5 × 3 mL (5)</w:t>
            </w:r>
          </w:p>
        </w:tc>
        <w:tc>
          <w:tcPr>
            <w:tcW w:w="1913" w:type="dxa"/>
            <w:tcBorders>
              <w:left w:val="single" w:sz="4" w:space="0" w:color="auto"/>
              <w:bottom w:val="single" w:sz="4" w:space="0" w:color="auto"/>
              <w:right w:val="single" w:sz="4" w:space="0" w:color="auto"/>
            </w:tcBorders>
            <w:vAlign w:val="center"/>
          </w:tcPr>
          <w:p w14:paraId="741FA5F4" w14:textId="5B0C095F" w:rsidR="00457007" w:rsidRPr="004F11AC" w:rsidRDefault="00457007" w:rsidP="00E208B7">
            <w:pPr>
              <w:pStyle w:val="Tabletext0"/>
              <w:keepNext/>
              <w:jc w:val="center"/>
            </w:pPr>
            <w:r w:rsidRPr="004F11AC">
              <w:t xml:space="preserve">$356.22 </w:t>
            </w:r>
          </w:p>
        </w:tc>
        <w:tc>
          <w:tcPr>
            <w:tcW w:w="1914" w:type="dxa"/>
            <w:tcBorders>
              <w:left w:val="single" w:sz="4" w:space="0" w:color="auto"/>
              <w:bottom w:val="single" w:sz="4" w:space="0" w:color="auto"/>
              <w:right w:val="single" w:sz="4" w:space="0" w:color="auto"/>
            </w:tcBorders>
            <w:vAlign w:val="center"/>
          </w:tcPr>
          <w:p w14:paraId="7D2E7853" w14:textId="38251C7F" w:rsidR="00457007" w:rsidRPr="004F11AC" w:rsidRDefault="00457007" w:rsidP="00E208B7">
            <w:pPr>
              <w:pStyle w:val="Tabletext0"/>
              <w:keepNext/>
              <w:jc w:val="center"/>
            </w:pPr>
            <w:r w:rsidRPr="004F11AC">
              <w:t>$</w:t>
            </w:r>
            <w:r w:rsidR="003367FF" w:rsidRPr="003367FF">
              <w:rPr>
                <w:color w:val="000000"/>
                <w:spacing w:val="45"/>
                <w:shd w:val="solid" w:color="000000" w:fill="000000"/>
                <w:fitText w:val="330" w:id="-628903159"/>
                <w14:textFill>
                  <w14:solidFill>
                    <w14:srgbClr w14:val="000000">
                      <w14:alpha w14:val="100000"/>
                    </w14:srgbClr>
                  </w14:solidFill>
                </w14:textFill>
              </w:rPr>
              <w:t>|||</w:t>
            </w:r>
            <w:r w:rsidR="003367FF" w:rsidRPr="003367FF">
              <w:rPr>
                <w:color w:val="000000"/>
                <w:spacing w:val="15"/>
                <w:shd w:val="solid" w:color="000000" w:fill="000000"/>
                <w:fitText w:val="330" w:id="-628903159"/>
                <w14:textFill>
                  <w14:solidFill>
                    <w14:srgbClr w14:val="000000">
                      <w14:alpha w14:val="100000"/>
                    </w14:srgbClr>
                  </w14:solidFill>
                </w14:textFill>
              </w:rPr>
              <w:t>|</w:t>
            </w:r>
            <w:r w:rsidRPr="004F11AC">
              <w:t xml:space="preserve"> </w:t>
            </w:r>
          </w:p>
        </w:tc>
      </w:tr>
      <w:tr w:rsidR="00BA0730" w:rsidRPr="004F11AC" w14:paraId="0F12CD2B" w14:textId="77777777" w:rsidTr="00555D5E">
        <w:tc>
          <w:tcPr>
            <w:tcW w:w="2263" w:type="dxa"/>
            <w:tcBorders>
              <w:top w:val="single" w:sz="4" w:space="0" w:color="auto"/>
              <w:left w:val="single" w:sz="4" w:space="0" w:color="auto"/>
              <w:bottom w:val="single" w:sz="4" w:space="0" w:color="auto"/>
              <w:right w:val="single" w:sz="4" w:space="0" w:color="auto"/>
            </w:tcBorders>
            <w:vAlign w:val="center"/>
          </w:tcPr>
          <w:p w14:paraId="586E6F6D" w14:textId="77777777" w:rsidR="00457007" w:rsidRPr="004F11AC" w:rsidRDefault="00457007" w:rsidP="00E208B7">
            <w:pPr>
              <w:pStyle w:val="Tabletext0"/>
              <w:keepNext/>
            </w:pPr>
            <w:r w:rsidRPr="004F11AC">
              <w:t>Insulin glargine 100 IU/mL</w:t>
            </w:r>
          </w:p>
        </w:tc>
        <w:tc>
          <w:tcPr>
            <w:tcW w:w="1488" w:type="dxa"/>
            <w:tcBorders>
              <w:top w:val="single" w:sz="4" w:space="0" w:color="auto"/>
              <w:left w:val="single" w:sz="4" w:space="0" w:color="auto"/>
              <w:bottom w:val="single" w:sz="4" w:space="0" w:color="auto"/>
              <w:right w:val="single" w:sz="4" w:space="0" w:color="auto"/>
            </w:tcBorders>
            <w:vAlign w:val="center"/>
          </w:tcPr>
          <w:p w14:paraId="1FB59B04" w14:textId="77777777" w:rsidR="00457007" w:rsidRPr="004F11AC" w:rsidRDefault="00457007" w:rsidP="00E208B7">
            <w:pPr>
              <w:pStyle w:val="Tabletext0"/>
              <w:keepNext/>
              <w:jc w:val="center"/>
            </w:pPr>
            <w:r w:rsidRPr="004F11AC">
              <w:t>Unrestricted</w:t>
            </w:r>
          </w:p>
        </w:tc>
        <w:tc>
          <w:tcPr>
            <w:tcW w:w="1489" w:type="dxa"/>
            <w:tcBorders>
              <w:top w:val="single" w:sz="4" w:space="0" w:color="auto"/>
              <w:left w:val="single" w:sz="4" w:space="0" w:color="auto"/>
              <w:bottom w:val="single" w:sz="4" w:space="0" w:color="auto"/>
              <w:right w:val="single" w:sz="4" w:space="0" w:color="auto"/>
            </w:tcBorders>
            <w:vAlign w:val="center"/>
          </w:tcPr>
          <w:p w14:paraId="1508A9F2" w14:textId="77777777" w:rsidR="00457007" w:rsidRPr="004F11AC" w:rsidRDefault="00457007" w:rsidP="00E208B7">
            <w:pPr>
              <w:pStyle w:val="Tabletext0"/>
              <w:keepNext/>
              <w:jc w:val="center"/>
            </w:pPr>
            <w:r w:rsidRPr="004F11AC">
              <w:t>5 × 3 mL (5)</w:t>
            </w:r>
          </w:p>
        </w:tc>
        <w:tc>
          <w:tcPr>
            <w:tcW w:w="1913" w:type="dxa"/>
            <w:tcBorders>
              <w:top w:val="single" w:sz="4" w:space="0" w:color="auto"/>
              <w:left w:val="single" w:sz="4" w:space="0" w:color="auto"/>
              <w:bottom w:val="single" w:sz="4" w:space="0" w:color="auto"/>
              <w:right w:val="single" w:sz="4" w:space="0" w:color="auto"/>
            </w:tcBorders>
            <w:vAlign w:val="center"/>
          </w:tcPr>
          <w:p w14:paraId="086C52F4" w14:textId="77D065D6" w:rsidR="00457007" w:rsidRPr="004F11AC" w:rsidRDefault="00457007" w:rsidP="00E208B7">
            <w:pPr>
              <w:pStyle w:val="Tabletext0"/>
              <w:keepNext/>
              <w:jc w:val="center"/>
            </w:pPr>
            <w:r w:rsidRPr="004F11AC">
              <w:t xml:space="preserve">$187.42 </w:t>
            </w:r>
          </w:p>
        </w:tc>
        <w:tc>
          <w:tcPr>
            <w:tcW w:w="1914" w:type="dxa"/>
            <w:tcBorders>
              <w:top w:val="single" w:sz="4" w:space="0" w:color="auto"/>
              <w:left w:val="single" w:sz="4" w:space="0" w:color="auto"/>
              <w:bottom w:val="single" w:sz="4" w:space="0" w:color="auto"/>
              <w:right w:val="single" w:sz="4" w:space="0" w:color="auto"/>
            </w:tcBorders>
            <w:vAlign w:val="center"/>
          </w:tcPr>
          <w:p w14:paraId="3EB70A4C" w14:textId="62AC001C" w:rsidR="00457007" w:rsidRPr="004F11AC" w:rsidRDefault="00457007" w:rsidP="00E208B7">
            <w:pPr>
              <w:pStyle w:val="Tabletext0"/>
              <w:keepNext/>
              <w:jc w:val="center"/>
            </w:pPr>
            <w:r w:rsidRPr="004F11AC">
              <w:t>No SPA</w:t>
            </w:r>
          </w:p>
        </w:tc>
      </w:tr>
      <w:tr w:rsidR="00BA0730" w:rsidRPr="004F11AC" w14:paraId="653024C9" w14:textId="77777777" w:rsidTr="00555D5E">
        <w:tc>
          <w:tcPr>
            <w:tcW w:w="2263" w:type="dxa"/>
            <w:tcBorders>
              <w:top w:val="single" w:sz="4" w:space="0" w:color="auto"/>
              <w:left w:val="single" w:sz="4" w:space="0" w:color="auto"/>
              <w:bottom w:val="single" w:sz="4" w:space="0" w:color="auto"/>
              <w:right w:val="single" w:sz="4" w:space="0" w:color="auto"/>
            </w:tcBorders>
            <w:vAlign w:val="center"/>
          </w:tcPr>
          <w:p w14:paraId="5F55B001" w14:textId="77777777" w:rsidR="00457007" w:rsidRPr="004F11AC" w:rsidRDefault="00457007" w:rsidP="00E208B7">
            <w:pPr>
              <w:pStyle w:val="Tabletext0"/>
              <w:keepNext/>
            </w:pPr>
            <w:r w:rsidRPr="004F11AC">
              <w:t>Insulin glargine 300 IU/mL</w:t>
            </w:r>
          </w:p>
        </w:tc>
        <w:tc>
          <w:tcPr>
            <w:tcW w:w="1488" w:type="dxa"/>
            <w:tcBorders>
              <w:top w:val="single" w:sz="4" w:space="0" w:color="auto"/>
              <w:left w:val="single" w:sz="4" w:space="0" w:color="auto"/>
              <w:bottom w:val="single" w:sz="4" w:space="0" w:color="auto"/>
              <w:right w:val="single" w:sz="4" w:space="0" w:color="auto"/>
            </w:tcBorders>
            <w:vAlign w:val="center"/>
          </w:tcPr>
          <w:p w14:paraId="754DF7D8" w14:textId="77777777" w:rsidR="00457007" w:rsidRPr="004F11AC" w:rsidRDefault="00457007" w:rsidP="00E208B7">
            <w:pPr>
              <w:pStyle w:val="Tabletext0"/>
              <w:keepNext/>
              <w:jc w:val="center"/>
            </w:pPr>
            <w:r w:rsidRPr="004F11AC">
              <w:t>Unrestricted</w:t>
            </w:r>
          </w:p>
        </w:tc>
        <w:tc>
          <w:tcPr>
            <w:tcW w:w="1489" w:type="dxa"/>
            <w:tcBorders>
              <w:top w:val="single" w:sz="4" w:space="0" w:color="auto"/>
              <w:left w:val="single" w:sz="4" w:space="0" w:color="auto"/>
              <w:bottom w:val="single" w:sz="4" w:space="0" w:color="auto"/>
              <w:right w:val="single" w:sz="4" w:space="0" w:color="auto"/>
            </w:tcBorders>
            <w:vAlign w:val="center"/>
          </w:tcPr>
          <w:p w14:paraId="4B29FF5F" w14:textId="77777777" w:rsidR="00457007" w:rsidRPr="004F11AC" w:rsidRDefault="00457007" w:rsidP="00E208B7">
            <w:pPr>
              <w:pStyle w:val="Tabletext0"/>
              <w:keepNext/>
              <w:jc w:val="center"/>
            </w:pPr>
            <w:r w:rsidRPr="004F11AC">
              <w:t>5 × 1.5 mL (5)</w:t>
            </w:r>
          </w:p>
        </w:tc>
        <w:tc>
          <w:tcPr>
            <w:tcW w:w="1913" w:type="dxa"/>
            <w:tcBorders>
              <w:top w:val="single" w:sz="4" w:space="0" w:color="auto"/>
              <w:left w:val="single" w:sz="4" w:space="0" w:color="auto"/>
              <w:bottom w:val="single" w:sz="4" w:space="0" w:color="auto"/>
              <w:right w:val="single" w:sz="4" w:space="0" w:color="auto"/>
            </w:tcBorders>
            <w:vAlign w:val="center"/>
          </w:tcPr>
          <w:p w14:paraId="2536BA8D" w14:textId="10DFCB44" w:rsidR="00457007" w:rsidRPr="004F11AC" w:rsidRDefault="00457007" w:rsidP="00E208B7">
            <w:pPr>
              <w:pStyle w:val="Tabletext0"/>
              <w:keepNext/>
              <w:jc w:val="center"/>
            </w:pPr>
            <w:r w:rsidRPr="004F11AC">
              <w:t xml:space="preserve">$420.87 </w:t>
            </w:r>
          </w:p>
        </w:tc>
        <w:tc>
          <w:tcPr>
            <w:tcW w:w="1914" w:type="dxa"/>
            <w:tcBorders>
              <w:top w:val="single" w:sz="4" w:space="0" w:color="auto"/>
              <w:left w:val="single" w:sz="4" w:space="0" w:color="auto"/>
              <w:bottom w:val="single" w:sz="4" w:space="0" w:color="auto"/>
              <w:right w:val="single" w:sz="4" w:space="0" w:color="auto"/>
            </w:tcBorders>
            <w:vAlign w:val="center"/>
          </w:tcPr>
          <w:p w14:paraId="3F9F814C" w14:textId="50D7D987" w:rsidR="00457007" w:rsidRPr="004F11AC" w:rsidRDefault="00457007" w:rsidP="00E208B7">
            <w:pPr>
              <w:pStyle w:val="Tabletext0"/>
              <w:keepNext/>
              <w:jc w:val="center"/>
            </w:pPr>
            <w:r w:rsidRPr="004F11AC">
              <w:t>CIC</w:t>
            </w:r>
          </w:p>
        </w:tc>
      </w:tr>
      <w:tr w:rsidR="00BA0730" w:rsidRPr="004F11AC" w14:paraId="1C629F4D" w14:textId="77777777" w:rsidTr="00555D5E">
        <w:tc>
          <w:tcPr>
            <w:tcW w:w="2263" w:type="dxa"/>
            <w:tcBorders>
              <w:top w:val="single" w:sz="4" w:space="0" w:color="auto"/>
              <w:left w:val="single" w:sz="4" w:space="0" w:color="auto"/>
              <w:bottom w:val="single" w:sz="4" w:space="0" w:color="auto"/>
              <w:right w:val="single" w:sz="4" w:space="0" w:color="auto"/>
            </w:tcBorders>
            <w:vAlign w:val="center"/>
          </w:tcPr>
          <w:p w14:paraId="03002D9B" w14:textId="77777777" w:rsidR="00457007" w:rsidRPr="004F11AC" w:rsidRDefault="00457007" w:rsidP="00E208B7">
            <w:pPr>
              <w:pStyle w:val="Tabletext0"/>
              <w:keepNext/>
            </w:pPr>
            <w:r w:rsidRPr="004F11AC">
              <w:t>Insulin glargine 300 IU/mL</w:t>
            </w:r>
          </w:p>
        </w:tc>
        <w:tc>
          <w:tcPr>
            <w:tcW w:w="1488" w:type="dxa"/>
            <w:tcBorders>
              <w:top w:val="single" w:sz="4" w:space="0" w:color="auto"/>
              <w:left w:val="single" w:sz="4" w:space="0" w:color="auto"/>
              <w:bottom w:val="single" w:sz="4" w:space="0" w:color="auto"/>
              <w:right w:val="single" w:sz="4" w:space="0" w:color="auto"/>
            </w:tcBorders>
            <w:vAlign w:val="center"/>
          </w:tcPr>
          <w:p w14:paraId="38E24D14" w14:textId="77777777" w:rsidR="00457007" w:rsidRPr="004F11AC" w:rsidRDefault="00457007" w:rsidP="00E208B7">
            <w:pPr>
              <w:pStyle w:val="Tabletext0"/>
              <w:keepNext/>
              <w:jc w:val="center"/>
            </w:pPr>
            <w:r w:rsidRPr="004F11AC">
              <w:t>Unrestricted</w:t>
            </w:r>
          </w:p>
        </w:tc>
        <w:tc>
          <w:tcPr>
            <w:tcW w:w="1489" w:type="dxa"/>
            <w:tcBorders>
              <w:top w:val="single" w:sz="4" w:space="0" w:color="auto"/>
              <w:left w:val="single" w:sz="4" w:space="0" w:color="auto"/>
              <w:bottom w:val="single" w:sz="4" w:space="0" w:color="auto"/>
              <w:right w:val="single" w:sz="4" w:space="0" w:color="auto"/>
            </w:tcBorders>
            <w:vAlign w:val="center"/>
          </w:tcPr>
          <w:p w14:paraId="5CB3D3D4" w14:textId="77777777" w:rsidR="00457007" w:rsidRPr="004F11AC" w:rsidRDefault="00457007" w:rsidP="00E208B7">
            <w:pPr>
              <w:pStyle w:val="Tabletext0"/>
              <w:keepNext/>
              <w:jc w:val="center"/>
            </w:pPr>
            <w:r w:rsidRPr="004F11AC">
              <w:t>3 × 1.5 mL (5)</w:t>
            </w:r>
          </w:p>
        </w:tc>
        <w:tc>
          <w:tcPr>
            <w:tcW w:w="1913" w:type="dxa"/>
            <w:tcBorders>
              <w:top w:val="single" w:sz="4" w:space="0" w:color="auto"/>
              <w:left w:val="single" w:sz="4" w:space="0" w:color="auto"/>
              <w:bottom w:val="single" w:sz="4" w:space="0" w:color="auto"/>
              <w:right w:val="single" w:sz="4" w:space="0" w:color="auto"/>
            </w:tcBorders>
            <w:vAlign w:val="center"/>
          </w:tcPr>
          <w:p w14:paraId="79D25B81" w14:textId="7485A161" w:rsidR="00457007" w:rsidRPr="004F11AC" w:rsidRDefault="00457007" w:rsidP="00E208B7">
            <w:pPr>
              <w:pStyle w:val="Tabletext0"/>
              <w:keepNext/>
              <w:jc w:val="center"/>
            </w:pPr>
            <w:r w:rsidRPr="004F11AC">
              <w:t xml:space="preserve">$255.97 </w:t>
            </w:r>
          </w:p>
        </w:tc>
        <w:tc>
          <w:tcPr>
            <w:tcW w:w="1914" w:type="dxa"/>
            <w:tcBorders>
              <w:top w:val="single" w:sz="4" w:space="0" w:color="auto"/>
              <w:left w:val="single" w:sz="4" w:space="0" w:color="auto"/>
              <w:bottom w:val="single" w:sz="4" w:space="0" w:color="auto"/>
              <w:right w:val="single" w:sz="4" w:space="0" w:color="auto"/>
            </w:tcBorders>
            <w:vAlign w:val="center"/>
          </w:tcPr>
          <w:p w14:paraId="160D6EDC" w14:textId="2A7C87F2" w:rsidR="00457007" w:rsidRPr="004F11AC" w:rsidRDefault="00457007" w:rsidP="00E208B7">
            <w:pPr>
              <w:pStyle w:val="Tabletext0"/>
              <w:keepNext/>
              <w:jc w:val="center"/>
            </w:pPr>
            <w:r w:rsidRPr="004F11AC">
              <w:t>CIC</w:t>
            </w:r>
          </w:p>
        </w:tc>
      </w:tr>
      <w:tr w:rsidR="00BA0730" w:rsidRPr="004F11AC" w14:paraId="4050A6E2" w14:textId="77777777" w:rsidTr="00555D5E">
        <w:tc>
          <w:tcPr>
            <w:tcW w:w="2263" w:type="dxa"/>
            <w:tcBorders>
              <w:top w:val="single" w:sz="4" w:space="0" w:color="auto"/>
              <w:left w:val="single" w:sz="4" w:space="0" w:color="auto"/>
              <w:bottom w:val="single" w:sz="4" w:space="0" w:color="auto"/>
              <w:right w:val="single" w:sz="4" w:space="0" w:color="auto"/>
            </w:tcBorders>
            <w:vAlign w:val="center"/>
          </w:tcPr>
          <w:p w14:paraId="0E861B5A" w14:textId="78FB72D1" w:rsidR="00457007" w:rsidRPr="00D25DB5" w:rsidRDefault="00457007" w:rsidP="00E208B7">
            <w:pPr>
              <w:pStyle w:val="Tabletext0"/>
              <w:keepNext/>
              <w:rPr>
                <w:lang w:val="fr-FR"/>
              </w:rPr>
            </w:pPr>
            <w:proofErr w:type="spellStart"/>
            <w:r w:rsidRPr="00D25DB5">
              <w:rPr>
                <w:lang w:val="fr-FR"/>
              </w:rPr>
              <w:t>Insulin</w:t>
            </w:r>
            <w:proofErr w:type="spellEnd"/>
            <w:r w:rsidRPr="00D25DB5">
              <w:rPr>
                <w:lang w:val="fr-FR"/>
              </w:rPr>
              <w:t xml:space="preserve"> degludec 70 IU</w:t>
            </w:r>
            <w:r w:rsidR="00C33523" w:rsidRPr="00D25DB5">
              <w:rPr>
                <w:lang w:val="fr-FR"/>
              </w:rPr>
              <w:t>/</w:t>
            </w:r>
            <w:proofErr w:type="spellStart"/>
            <w:r w:rsidR="00C33523" w:rsidRPr="00D25DB5">
              <w:rPr>
                <w:lang w:val="fr-FR"/>
              </w:rPr>
              <w:t>mL</w:t>
            </w:r>
            <w:proofErr w:type="spellEnd"/>
            <w:r w:rsidRPr="00D25DB5">
              <w:rPr>
                <w:lang w:val="fr-FR"/>
              </w:rPr>
              <w:t xml:space="preserve"> + </w:t>
            </w:r>
            <w:proofErr w:type="spellStart"/>
            <w:r w:rsidRPr="00D25DB5">
              <w:rPr>
                <w:lang w:val="fr-FR"/>
              </w:rPr>
              <w:t>Insulin</w:t>
            </w:r>
            <w:proofErr w:type="spellEnd"/>
            <w:r w:rsidRPr="00D25DB5">
              <w:rPr>
                <w:lang w:val="fr-FR"/>
              </w:rPr>
              <w:t xml:space="preserve"> </w:t>
            </w:r>
            <w:proofErr w:type="spellStart"/>
            <w:r w:rsidRPr="00D25DB5">
              <w:rPr>
                <w:lang w:val="fr-FR"/>
              </w:rPr>
              <w:t>aspart</w:t>
            </w:r>
            <w:proofErr w:type="spellEnd"/>
            <w:r w:rsidRPr="00D25DB5">
              <w:rPr>
                <w:lang w:val="fr-FR"/>
              </w:rPr>
              <w:t xml:space="preserve"> 30 IU/</w:t>
            </w:r>
            <w:proofErr w:type="spellStart"/>
            <w:r w:rsidRPr="00D25DB5">
              <w:rPr>
                <w:lang w:val="fr-FR"/>
              </w:rPr>
              <w:t>mL</w:t>
            </w:r>
            <w:proofErr w:type="spellEnd"/>
          </w:p>
        </w:tc>
        <w:tc>
          <w:tcPr>
            <w:tcW w:w="1488" w:type="dxa"/>
            <w:tcBorders>
              <w:top w:val="single" w:sz="4" w:space="0" w:color="auto"/>
              <w:left w:val="single" w:sz="4" w:space="0" w:color="auto"/>
              <w:bottom w:val="single" w:sz="4" w:space="0" w:color="auto"/>
              <w:right w:val="single" w:sz="4" w:space="0" w:color="auto"/>
            </w:tcBorders>
            <w:vAlign w:val="center"/>
          </w:tcPr>
          <w:p w14:paraId="49D3FF05" w14:textId="77777777" w:rsidR="00457007" w:rsidRPr="004F11AC" w:rsidRDefault="00457007" w:rsidP="00E208B7">
            <w:pPr>
              <w:pStyle w:val="Tabletext0"/>
              <w:keepNext/>
              <w:jc w:val="center"/>
            </w:pPr>
            <w:r w:rsidRPr="004F11AC">
              <w:t>Unrestricted</w:t>
            </w:r>
          </w:p>
        </w:tc>
        <w:tc>
          <w:tcPr>
            <w:tcW w:w="1489" w:type="dxa"/>
            <w:tcBorders>
              <w:top w:val="single" w:sz="4" w:space="0" w:color="auto"/>
              <w:left w:val="single" w:sz="4" w:space="0" w:color="auto"/>
              <w:bottom w:val="single" w:sz="4" w:space="0" w:color="auto"/>
              <w:right w:val="single" w:sz="4" w:space="0" w:color="auto"/>
            </w:tcBorders>
            <w:vAlign w:val="center"/>
          </w:tcPr>
          <w:p w14:paraId="64EB4CEA" w14:textId="77777777" w:rsidR="00457007" w:rsidRPr="004F11AC" w:rsidRDefault="00457007" w:rsidP="00E208B7">
            <w:pPr>
              <w:pStyle w:val="Tabletext0"/>
              <w:keepNext/>
              <w:jc w:val="center"/>
            </w:pPr>
            <w:r w:rsidRPr="004F11AC">
              <w:t>5 × 3 mL (5)</w:t>
            </w:r>
          </w:p>
        </w:tc>
        <w:tc>
          <w:tcPr>
            <w:tcW w:w="1913" w:type="dxa"/>
            <w:tcBorders>
              <w:top w:val="single" w:sz="4" w:space="0" w:color="auto"/>
              <w:left w:val="single" w:sz="4" w:space="0" w:color="auto"/>
              <w:bottom w:val="single" w:sz="4" w:space="0" w:color="auto"/>
              <w:right w:val="single" w:sz="4" w:space="0" w:color="auto"/>
            </w:tcBorders>
            <w:vAlign w:val="center"/>
          </w:tcPr>
          <w:p w14:paraId="31F28EA4" w14:textId="458CF07D" w:rsidR="00457007" w:rsidRPr="004F11AC" w:rsidRDefault="00457007" w:rsidP="00E208B7">
            <w:pPr>
              <w:pStyle w:val="Tabletext0"/>
              <w:keepNext/>
              <w:jc w:val="center"/>
            </w:pPr>
            <w:r w:rsidRPr="004F11AC">
              <w:t xml:space="preserve">$381.02 </w:t>
            </w:r>
          </w:p>
        </w:tc>
        <w:tc>
          <w:tcPr>
            <w:tcW w:w="1914" w:type="dxa"/>
            <w:tcBorders>
              <w:top w:val="single" w:sz="4" w:space="0" w:color="auto"/>
              <w:left w:val="single" w:sz="4" w:space="0" w:color="auto"/>
              <w:bottom w:val="single" w:sz="4" w:space="0" w:color="auto"/>
              <w:right w:val="single" w:sz="4" w:space="0" w:color="auto"/>
            </w:tcBorders>
            <w:vAlign w:val="center"/>
          </w:tcPr>
          <w:p w14:paraId="4156F70E" w14:textId="4427E0CB" w:rsidR="00457007" w:rsidRPr="004F11AC" w:rsidRDefault="00457007" w:rsidP="00E208B7">
            <w:pPr>
              <w:pStyle w:val="Tabletext0"/>
              <w:keepNext/>
              <w:jc w:val="center"/>
            </w:pPr>
            <w:r w:rsidRPr="004F11AC">
              <w:t>$</w:t>
            </w:r>
            <w:r w:rsidR="003367FF" w:rsidRPr="003367FF">
              <w:rPr>
                <w:color w:val="000000"/>
                <w:spacing w:val="45"/>
                <w:shd w:val="solid" w:color="000000" w:fill="000000"/>
                <w:fitText w:val="330" w:id="-628903158"/>
                <w14:textFill>
                  <w14:solidFill>
                    <w14:srgbClr w14:val="000000">
                      <w14:alpha w14:val="100000"/>
                    </w14:srgbClr>
                  </w14:solidFill>
                </w14:textFill>
              </w:rPr>
              <w:t>|||</w:t>
            </w:r>
            <w:r w:rsidR="003367FF" w:rsidRPr="003367FF">
              <w:rPr>
                <w:color w:val="000000"/>
                <w:spacing w:val="15"/>
                <w:shd w:val="solid" w:color="000000" w:fill="000000"/>
                <w:fitText w:val="330" w:id="-628903158"/>
                <w14:textFill>
                  <w14:solidFill>
                    <w14:srgbClr w14:val="000000">
                      <w14:alpha w14:val="100000"/>
                    </w14:srgbClr>
                  </w14:solidFill>
                </w14:textFill>
              </w:rPr>
              <w:t>|</w:t>
            </w:r>
            <w:r w:rsidRPr="004F11AC">
              <w:t xml:space="preserve"> </w:t>
            </w:r>
          </w:p>
        </w:tc>
      </w:tr>
      <w:tr w:rsidR="00BA0730" w:rsidRPr="004F11AC" w14:paraId="0AD35614" w14:textId="77777777" w:rsidTr="00457007">
        <w:trPr>
          <w:trHeight w:val="70"/>
        </w:trPr>
        <w:tc>
          <w:tcPr>
            <w:tcW w:w="2263" w:type="dxa"/>
            <w:tcBorders>
              <w:top w:val="single" w:sz="4" w:space="0" w:color="auto"/>
              <w:left w:val="single" w:sz="4" w:space="0" w:color="auto"/>
              <w:bottom w:val="single" w:sz="4" w:space="0" w:color="auto"/>
              <w:right w:val="single" w:sz="4" w:space="0" w:color="auto"/>
            </w:tcBorders>
            <w:vAlign w:val="center"/>
          </w:tcPr>
          <w:p w14:paraId="711EFAEC" w14:textId="77777777" w:rsidR="00457007" w:rsidRPr="004F11AC" w:rsidRDefault="00457007" w:rsidP="00E208B7">
            <w:pPr>
              <w:pStyle w:val="Tabletext0"/>
              <w:keepNext/>
            </w:pPr>
            <w:r w:rsidRPr="004F11AC">
              <w:t xml:space="preserve">Insulin </w:t>
            </w:r>
            <w:proofErr w:type="spellStart"/>
            <w:r w:rsidRPr="004F11AC">
              <w:t>aspart</w:t>
            </w:r>
            <w:proofErr w:type="spellEnd"/>
            <w:r w:rsidRPr="004F11AC">
              <w:t xml:space="preserve"> 100 IU/mL</w:t>
            </w:r>
          </w:p>
        </w:tc>
        <w:tc>
          <w:tcPr>
            <w:tcW w:w="1488" w:type="dxa"/>
            <w:tcBorders>
              <w:top w:val="single" w:sz="4" w:space="0" w:color="auto"/>
              <w:left w:val="single" w:sz="4" w:space="0" w:color="auto"/>
              <w:bottom w:val="single" w:sz="4" w:space="0" w:color="auto"/>
              <w:right w:val="single" w:sz="4" w:space="0" w:color="auto"/>
            </w:tcBorders>
            <w:vAlign w:val="center"/>
          </w:tcPr>
          <w:p w14:paraId="4C8D333C" w14:textId="77777777" w:rsidR="00457007" w:rsidRPr="004F11AC" w:rsidRDefault="00457007" w:rsidP="00E208B7">
            <w:pPr>
              <w:pStyle w:val="Tabletext0"/>
              <w:keepNext/>
              <w:jc w:val="center"/>
            </w:pPr>
            <w:r w:rsidRPr="004F11AC">
              <w:t>Unrestricted</w:t>
            </w:r>
          </w:p>
        </w:tc>
        <w:tc>
          <w:tcPr>
            <w:tcW w:w="1489" w:type="dxa"/>
            <w:tcBorders>
              <w:top w:val="single" w:sz="4" w:space="0" w:color="auto"/>
              <w:left w:val="single" w:sz="4" w:space="0" w:color="auto"/>
              <w:bottom w:val="single" w:sz="4" w:space="0" w:color="auto"/>
              <w:right w:val="single" w:sz="4" w:space="0" w:color="auto"/>
            </w:tcBorders>
            <w:vAlign w:val="center"/>
          </w:tcPr>
          <w:p w14:paraId="5FF3563E" w14:textId="77777777" w:rsidR="00457007" w:rsidRPr="004F11AC" w:rsidRDefault="00457007" w:rsidP="00E208B7">
            <w:pPr>
              <w:pStyle w:val="Tabletext0"/>
              <w:keepNext/>
              <w:jc w:val="center"/>
            </w:pPr>
            <w:r w:rsidRPr="004F11AC">
              <w:t>5 × 3 mL (5)</w:t>
            </w:r>
          </w:p>
        </w:tc>
        <w:tc>
          <w:tcPr>
            <w:tcW w:w="1913" w:type="dxa"/>
            <w:tcBorders>
              <w:top w:val="single" w:sz="4" w:space="0" w:color="auto"/>
              <w:left w:val="single" w:sz="4" w:space="0" w:color="auto"/>
              <w:bottom w:val="single" w:sz="4" w:space="0" w:color="auto"/>
              <w:right w:val="single" w:sz="4" w:space="0" w:color="auto"/>
            </w:tcBorders>
            <w:vAlign w:val="center"/>
          </w:tcPr>
          <w:p w14:paraId="15407360" w14:textId="4AF2B4C4" w:rsidR="00457007" w:rsidRPr="004F11AC" w:rsidRDefault="00457007" w:rsidP="00E208B7">
            <w:pPr>
              <w:pStyle w:val="Tabletext0"/>
              <w:keepNext/>
              <w:jc w:val="center"/>
            </w:pPr>
            <w:r w:rsidRPr="004F11AC">
              <w:t xml:space="preserve">$167.52 </w:t>
            </w:r>
          </w:p>
        </w:tc>
        <w:tc>
          <w:tcPr>
            <w:tcW w:w="1914" w:type="dxa"/>
            <w:tcBorders>
              <w:top w:val="single" w:sz="4" w:space="0" w:color="auto"/>
              <w:left w:val="single" w:sz="4" w:space="0" w:color="auto"/>
              <w:bottom w:val="single" w:sz="4" w:space="0" w:color="auto"/>
              <w:right w:val="single" w:sz="4" w:space="0" w:color="auto"/>
            </w:tcBorders>
            <w:vAlign w:val="center"/>
          </w:tcPr>
          <w:p w14:paraId="6496DE19" w14:textId="375B989D" w:rsidR="00457007" w:rsidRPr="004F11AC" w:rsidRDefault="00457007" w:rsidP="00E208B7">
            <w:pPr>
              <w:pStyle w:val="Tabletext0"/>
              <w:keepNext/>
              <w:jc w:val="center"/>
            </w:pPr>
            <w:r w:rsidRPr="004F11AC">
              <w:t>No SPA</w:t>
            </w:r>
          </w:p>
        </w:tc>
      </w:tr>
    </w:tbl>
    <w:p w14:paraId="70483FC2" w14:textId="77777777" w:rsidR="00457007" w:rsidRPr="004F11AC" w:rsidRDefault="00457007" w:rsidP="00E208B7">
      <w:pPr>
        <w:pStyle w:val="COMTablefooter"/>
      </w:pPr>
      <w:r w:rsidRPr="004F11AC">
        <w:t>Source: Constructed during the evaluation.</w:t>
      </w:r>
    </w:p>
    <w:p w14:paraId="1EC2DFBA" w14:textId="7B1798C5" w:rsidR="00457007" w:rsidRPr="004F11AC" w:rsidRDefault="00457007" w:rsidP="00E208B7">
      <w:pPr>
        <w:pStyle w:val="COMTablefooter"/>
      </w:pPr>
      <w:r w:rsidRPr="004F11AC">
        <w:t xml:space="preserve">Abbreviations: </w:t>
      </w:r>
      <w:r w:rsidR="00584FFC" w:rsidRPr="004F11AC">
        <w:t xml:space="preserve">AEMP, approved ex-manufacturer price; </w:t>
      </w:r>
      <w:r w:rsidR="00364D31" w:rsidRPr="004F11AC">
        <w:t>CIC, Committee-In-Confidence;</w:t>
      </w:r>
      <w:r w:rsidRPr="004F11AC">
        <w:t xml:space="preserve"> DPMQ, dispensed price for maximum quantity; </w:t>
      </w:r>
      <w:r w:rsidR="008A2722" w:rsidRPr="004F11AC">
        <w:t xml:space="preserve">EMP, ex-manufacturer price; </w:t>
      </w:r>
      <w:r w:rsidRPr="004F11AC">
        <w:t xml:space="preserve">IU, International Units; NA, not applicable; </w:t>
      </w:r>
      <w:r w:rsidR="00364D31" w:rsidRPr="004F11AC">
        <w:t xml:space="preserve">SPA, special pricing arrangement; </w:t>
      </w:r>
      <w:r w:rsidRPr="004F11AC">
        <w:t xml:space="preserve">T1D, type 1 diabetes. </w:t>
      </w:r>
    </w:p>
    <w:p w14:paraId="5A0D960D" w14:textId="3D08A789" w:rsidR="00457007" w:rsidRPr="004F11AC" w:rsidRDefault="007B7778" w:rsidP="00E208B7">
      <w:pPr>
        <w:pStyle w:val="COMTablefooter"/>
      </w:pPr>
      <w:r w:rsidRPr="004F11AC">
        <w:t>*</w:t>
      </w:r>
      <w:r w:rsidR="00457007" w:rsidRPr="004F11AC">
        <w:t xml:space="preserve"> The effective DPMQ proposed in the resubmission </w:t>
      </w:r>
      <w:r w:rsidRPr="004F11AC">
        <w:t>of $</w:t>
      </w:r>
      <w:r w:rsidR="003367FF" w:rsidRPr="003367FF">
        <w:rPr>
          <w:color w:val="000000"/>
          <w:spacing w:val="40"/>
          <w:shd w:val="solid" w:color="000000" w:fill="000000"/>
          <w:fitText w:val="280" w:id="-628903157"/>
          <w14:textFill>
            <w14:solidFill>
              <w14:srgbClr w14:val="000000">
                <w14:alpha w14:val="100000"/>
              </w14:srgbClr>
            </w14:solidFill>
          </w14:textFill>
        </w:rPr>
        <w:t xml:space="preserve">|  </w:t>
      </w:r>
      <w:r w:rsidR="003367FF" w:rsidRPr="003367FF">
        <w:rPr>
          <w:color w:val="000000"/>
          <w:spacing w:val="2"/>
          <w:shd w:val="solid" w:color="000000" w:fill="000000"/>
          <w:fitText w:val="280" w:id="-628903157"/>
          <w14:textFill>
            <w14:solidFill>
              <w14:srgbClr w14:val="000000">
                <w14:alpha w14:val="100000"/>
              </w14:srgbClr>
            </w14:solidFill>
          </w14:textFill>
        </w:rPr>
        <w:t>|</w:t>
      </w:r>
      <w:r w:rsidRPr="004F11AC">
        <w:t xml:space="preserve"> </w:t>
      </w:r>
      <w:r w:rsidR="00457007" w:rsidRPr="004F11AC">
        <w:t xml:space="preserve">included markups calculated based on </w:t>
      </w:r>
      <w:r w:rsidR="004F6EB4" w:rsidRPr="004F11AC">
        <w:t>an</w:t>
      </w:r>
      <w:r w:rsidR="00FB27EE" w:rsidRPr="004F11AC">
        <w:t xml:space="preserve"> EMP</w:t>
      </w:r>
      <w:r w:rsidR="007854B3" w:rsidRPr="004F11AC">
        <w:t xml:space="preserve"> </w:t>
      </w:r>
      <w:r w:rsidR="00733880" w:rsidRPr="004F11AC">
        <w:t>of $</w:t>
      </w:r>
      <w:r w:rsidR="003367FF" w:rsidRPr="003367FF">
        <w:rPr>
          <w:color w:val="000000"/>
          <w:spacing w:val="35"/>
          <w:shd w:val="solid" w:color="000000" w:fill="000000"/>
          <w:fitText w:val="265" w:id="-628903156"/>
          <w14:textFill>
            <w14:solidFill>
              <w14:srgbClr w14:val="000000">
                <w14:alpha w14:val="100000"/>
              </w14:srgbClr>
            </w14:solidFill>
          </w14:textFill>
        </w:rPr>
        <w:t xml:space="preserve">|  </w:t>
      </w:r>
      <w:r w:rsidR="003367FF" w:rsidRPr="003367FF">
        <w:rPr>
          <w:color w:val="000000"/>
          <w:spacing w:val="2"/>
          <w:shd w:val="solid" w:color="000000" w:fill="000000"/>
          <w:fitText w:val="265" w:id="-628903156"/>
          <w14:textFill>
            <w14:solidFill>
              <w14:srgbClr w14:val="000000">
                <w14:alpha w14:val="100000"/>
              </w14:srgbClr>
            </w14:solidFill>
          </w14:textFill>
        </w:rPr>
        <w:t>|</w:t>
      </w:r>
      <w:r w:rsidR="004F6EB4" w:rsidRPr="004F11AC">
        <w:t xml:space="preserve"> (calculated from the published DPMQ)</w:t>
      </w:r>
      <w:r w:rsidR="00E32F8A" w:rsidRPr="004F11AC">
        <w:t xml:space="preserve">. It </w:t>
      </w:r>
      <w:r w:rsidR="00457007" w:rsidRPr="004F11AC">
        <w:t>was recalculated during the evaluation</w:t>
      </w:r>
      <w:r w:rsidR="00E32F8A" w:rsidRPr="004F11AC">
        <w:t xml:space="preserve"> to $</w:t>
      </w:r>
      <w:r w:rsidR="003367FF" w:rsidRPr="003367FF">
        <w:rPr>
          <w:color w:val="000000"/>
          <w:spacing w:val="40"/>
          <w:shd w:val="solid" w:color="000000" w:fill="000000"/>
          <w:fitText w:val="280" w:id="-628903155"/>
          <w14:textFill>
            <w14:solidFill>
              <w14:srgbClr w14:val="000000">
                <w14:alpha w14:val="100000"/>
              </w14:srgbClr>
            </w14:solidFill>
          </w14:textFill>
        </w:rPr>
        <w:t xml:space="preserve">|  </w:t>
      </w:r>
      <w:r w:rsidR="003367FF" w:rsidRPr="003367FF">
        <w:rPr>
          <w:color w:val="000000"/>
          <w:spacing w:val="2"/>
          <w:shd w:val="solid" w:color="000000" w:fill="000000"/>
          <w:fitText w:val="280" w:id="-628903155"/>
          <w14:textFill>
            <w14:solidFill>
              <w14:srgbClr w14:val="000000">
                <w14:alpha w14:val="100000"/>
              </w14:srgbClr>
            </w14:solidFill>
          </w14:textFill>
        </w:rPr>
        <w:t>|</w:t>
      </w:r>
      <w:r w:rsidR="00457007" w:rsidRPr="004F11AC">
        <w:t xml:space="preserve"> based on the insulin degludec effective maximum quantity EMP of $</w:t>
      </w:r>
      <w:r w:rsidR="003367FF" w:rsidRPr="00A6372C">
        <w:rPr>
          <w:color w:val="000000"/>
          <w:spacing w:val="40"/>
          <w:shd w:val="solid" w:color="000000" w:fill="000000"/>
          <w:fitText w:val="280" w:id="-628903154"/>
          <w14:textFill>
            <w14:solidFill>
              <w14:srgbClr w14:val="000000">
                <w14:alpha w14:val="100000"/>
              </w14:srgbClr>
            </w14:solidFill>
          </w14:textFill>
        </w:rPr>
        <w:t xml:space="preserve">|  </w:t>
      </w:r>
      <w:r w:rsidR="003367FF" w:rsidRPr="00A6372C">
        <w:rPr>
          <w:color w:val="000000"/>
          <w:spacing w:val="2"/>
          <w:shd w:val="solid" w:color="000000" w:fill="000000"/>
          <w:fitText w:val="280" w:id="-628903154"/>
          <w14:textFill>
            <w14:solidFill>
              <w14:srgbClr w14:val="000000">
                <w14:alpha w14:val="100000"/>
              </w14:srgbClr>
            </w14:solidFill>
          </w14:textFill>
        </w:rPr>
        <w:t>|</w:t>
      </w:r>
      <w:r w:rsidR="00457007" w:rsidRPr="004F11AC">
        <w:t>.</w:t>
      </w:r>
    </w:p>
    <w:p w14:paraId="50DF3000" w14:textId="6D37423A" w:rsidR="00CC35EA" w:rsidRPr="00E25E13" w:rsidRDefault="00A13FA3" w:rsidP="00E208B7">
      <w:pPr>
        <w:pStyle w:val="COMexecsummnumbered"/>
      </w:pPr>
      <w:r w:rsidRPr="004F11AC">
        <w:t xml:space="preserve">The requested </w:t>
      </w:r>
      <w:r w:rsidR="00C35DB7" w:rsidRPr="004F11AC">
        <w:t xml:space="preserve">PBS indication </w:t>
      </w:r>
      <w:r w:rsidRPr="004F11AC">
        <w:t>was narrower than the TGA approved indication</w:t>
      </w:r>
      <w:r w:rsidR="005E2CEA" w:rsidRPr="004F11AC">
        <w:t xml:space="preserve"> as it </w:t>
      </w:r>
      <w:r w:rsidRPr="004F11AC">
        <w:t>exclud</w:t>
      </w:r>
      <w:r w:rsidR="005E2CEA" w:rsidRPr="004F11AC">
        <w:t>ed</w:t>
      </w:r>
      <w:r w:rsidRPr="004F11AC">
        <w:t xml:space="preserve"> patients with T2D. The resubmission acknowledged that the requested </w:t>
      </w:r>
      <w:r w:rsidR="00C35DB7" w:rsidRPr="004F11AC">
        <w:t xml:space="preserve">PBS indication </w:t>
      </w:r>
      <w:r w:rsidRPr="004F11AC">
        <w:t>was narrower than the TGA approved indication and the unrestricted General Benefit listing of insulin glargine</w:t>
      </w:r>
      <w:r w:rsidR="006B1133" w:rsidRPr="004F11AC">
        <w:t xml:space="preserve"> </w:t>
      </w:r>
      <w:r w:rsidR="006B1133" w:rsidRPr="00E25E13">
        <w:t>100 IU/mL</w:t>
      </w:r>
      <w:r w:rsidRPr="00E25E13">
        <w:t xml:space="preserve"> (the main comparator</w:t>
      </w:r>
      <w:r w:rsidR="00500F47" w:rsidRPr="00E25E13">
        <w:t>) but</w:t>
      </w:r>
      <w:r w:rsidRPr="00E25E13">
        <w:t xml:space="preserve"> argued that the restriction was appropriate given the context and intent of the proposed listing. </w:t>
      </w:r>
      <w:r w:rsidR="003E24E4" w:rsidRPr="00E25E13">
        <w:t>The</w:t>
      </w:r>
      <w:r w:rsidR="008D0EC6" w:rsidRPr="00E25E13">
        <w:t xml:space="preserve"> ESC advised the</w:t>
      </w:r>
      <w:r w:rsidR="003E24E4" w:rsidRPr="00E25E13">
        <w:t xml:space="preserve">re is potential risk of insulin degludec </w:t>
      </w:r>
      <w:r w:rsidR="00584C66">
        <w:t xml:space="preserve">use </w:t>
      </w:r>
      <w:r w:rsidR="003E24E4" w:rsidRPr="00E25E13">
        <w:t xml:space="preserve">outside the requested restriction, in patients with </w:t>
      </w:r>
      <w:r w:rsidR="00B30611" w:rsidRPr="00E25E13">
        <w:t>T2D</w:t>
      </w:r>
      <w:r w:rsidR="0047244F" w:rsidRPr="00E25E13">
        <w:t xml:space="preserve">.  The PSCR stated that while insulin </w:t>
      </w:r>
      <w:r w:rsidR="0047244F" w:rsidRPr="00E25E13">
        <w:lastRenderedPageBreak/>
        <w:t>degludec would also be clinically appropriate for patie</w:t>
      </w:r>
      <w:r w:rsidR="00FF50D9" w:rsidRPr="00E25E13">
        <w:t>nts</w:t>
      </w:r>
      <w:r w:rsidR="0047244F" w:rsidRPr="00E25E13">
        <w:t xml:space="preserve"> with T2D that </w:t>
      </w:r>
      <w:r w:rsidR="00FF50D9" w:rsidRPr="00E25E13">
        <w:t>the sponsor would not be seeking a PBS listing as the same unmet need does not exi</w:t>
      </w:r>
      <w:r w:rsidR="003E24E4" w:rsidRPr="00E25E13">
        <w:t>s</w:t>
      </w:r>
      <w:r w:rsidR="00FF50D9" w:rsidRPr="00E25E13">
        <w:t>t</w:t>
      </w:r>
      <w:r w:rsidR="00154A9B" w:rsidRPr="00E25E13">
        <w:t xml:space="preserve"> for this patient group</w:t>
      </w:r>
      <w:r w:rsidR="003E24E4" w:rsidRPr="00E25E13">
        <w:t>.</w:t>
      </w:r>
      <w:r w:rsidR="002C315C" w:rsidRPr="00E25E13">
        <w:t xml:space="preserve"> T</w:t>
      </w:r>
      <w:r w:rsidR="002F3349" w:rsidRPr="00E25E13">
        <w:t xml:space="preserve">he PSCR stated that if this is a matter of concern, a </w:t>
      </w:r>
      <w:r w:rsidR="002C315C" w:rsidRPr="00E25E13">
        <w:t>listing subject to an Authority Required restriction would be acceptable.</w:t>
      </w:r>
    </w:p>
    <w:p w14:paraId="465F5D84" w14:textId="2DAA4A05" w:rsidR="009B07D9" w:rsidRDefault="009B07D9" w:rsidP="00E208B7">
      <w:pPr>
        <w:pStyle w:val="COMexecsummnumbered"/>
      </w:pPr>
      <w:r w:rsidRPr="00E25E13">
        <w:t xml:space="preserve">The requested restriction was broader than the </w:t>
      </w:r>
      <w:r w:rsidR="00D660E6" w:rsidRPr="00E25E13">
        <w:t xml:space="preserve">populations in the </w:t>
      </w:r>
      <w:r w:rsidRPr="00E25E13">
        <w:t>clinical stud</w:t>
      </w:r>
      <w:r w:rsidR="00D660E6" w:rsidRPr="00E25E13">
        <w:t>ies presented in the submission</w:t>
      </w:r>
      <w:r w:rsidRPr="00E25E13">
        <w:t xml:space="preserve">, which excluded patients aged &lt;18 years and women during pregnancy. </w:t>
      </w:r>
    </w:p>
    <w:p w14:paraId="02E4E320" w14:textId="2956511D" w:rsidR="006F292B" w:rsidRPr="006F292B" w:rsidRDefault="006F292B" w:rsidP="00E208B7">
      <w:pPr>
        <w:pStyle w:val="COMexecsummnumbered"/>
        <w:numPr>
          <w:ilvl w:val="0"/>
          <w:numId w:val="0"/>
        </w:numPr>
        <w:ind w:left="720"/>
        <w:rPr>
          <w:i/>
          <w:iCs/>
        </w:rPr>
      </w:pPr>
      <w:r w:rsidRPr="006F292B">
        <w:rPr>
          <w:i/>
          <w:iCs/>
        </w:rPr>
        <w:t>For more detail on PBAC’s view, see section 7 PBAC outcome.</w:t>
      </w:r>
    </w:p>
    <w:p w14:paraId="7075B85C" w14:textId="62A47B7B" w:rsidR="00B50DB8" w:rsidRPr="004F11AC" w:rsidDel="00195452" w:rsidRDefault="00203181" w:rsidP="00E208B7">
      <w:pPr>
        <w:pStyle w:val="COMH1-numbered"/>
      </w:pPr>
      <w:bookmarkStart w:id="11" w:name="_Toc197595412"/>
      <w:r w:rsidRPr="004F11AC" w:rsidDel="00195452">
        <w:t xml:space="preserve">Population and </w:t>
      </w:r>
      <w:r w:rsidR="008E0D3C" w:rsidRPr="004F11AC" w:rsidDel="00195452">
        <w:t>d</w:t>
      </w:r>
      <w:r w:rsidRPr="004F11AC" w:rsidDel="00195452">
        <w:t>isease</w:t>
      </w:r>
      <w:bookmarkEnd w:id="11"/>
    </w:p>
    <w:p w14:paraId="36B690C8" w14:textId="2CFAECF1" w:rsidR="0027241A" w:rsidRPr="004F11AC" w:rsidRDefault="0027241A" w:rsidP="00E208B7">
      <w:pPr>
        <w:pStyle w:val="COMexecsummnumbered"/>
      </w:pPr>
      <w:r w:rsidRPr="004F11AC">
        <w:rPr>
          <w:rFonts w:cs="Calibri"/>
        </w:rPr>
        <w:t xml:space="preserve">T1D is a lifelong autoimmune condition affecting insulin producing beta cells in the pancreas, which most commonly presents in people aged under 30 years, but can also occur later in life (AIHW, 2025). The causes of T1D are incompletely </w:t>
      </w:r>
      <w:r w:rsidR="00611601" w:rsidRPr="004F11AC">
        <w:rPr>
          <w:rFonts w:cs="Calibri"/>
        </w:rPr>
        <w:t>understood but</w:t>
      </w:r>
      <w:r w:rsidRPr="004F11AC">
        <w:rPr>
          <w:rFonts w:cs="Calibri"/>
        </w:rPr>
        <w:t xml:space="preserve"> may be related to environmental factors in patients with an underlying genetic disposition. In children, onset is usually abrupt and the symptoms obvious, while in adults</w:t>
      </w:r>
      <w:r w:rsidR="001F140B" w:rsidRPr="004F11AC">
        <w:rPr>
          <w:rFonts w:cs="Calibri"/>
        </w:rPr>
        <w:t>,</w:t>
      </w:r>
      <w:r w:rsidRPr="004F11AC">
        <w:rPr>
          <w:rFonts w:cs="Calibri"/>
        </w:rPr>
        <w:t xml:space="preserve"> onset is often slower to develop and more difficult to recognise and diagnose. </w:t>
      </w:r>
    </w:p>
    <w:p w14:paraId="14DD24D2" w14:textId="71B1CE42" w:rsidR="0027241A" w:rsidRPr="004F11AC" w:rsidRDefault="0027241A" w:rsidP="00E208B7">
      <w:pPr>
        <w:pStyle w:val="COMexecsummnumbered"/>
      </w:pPr>
      <w:r w:rsidRPr="004F11AC">
        <w:rPr>
          <w:rFonts w:cs="Calibri"/>
        </w:rPr>
        <w:t>The symptoms of uncontrolled T1D may include polydipsia (excessive thirst), polyuria (excessive urine production), polyphagia (excessive hunger), unexplained weight loss, weakness, fatigue, headache, dizziness, blurred vision and ketosis (Diabetes Australia, 2025). People with T1D require lifelong daily insulin replacement therapy (AIHW 2025). The key aims of T1D management are maintaining optimal glycaemic control (minimising the incidence of hypoglycaemia or hyperglycaemia), reducing the overall risk of diabetes related complications</w:t>
      </w:r>
      <w:r w:rsidR="00247C9C" w:rsidRPr="004F11AC">
        <w:rPr>
          <w:rFonts w:cs="Calibri"/>
        </w:rPr>
        <w:t xml:space="preserve"> (retinopathy, nephropathy, neuropathy and cardiovascular events/disease) and optimising patient/carer health related quality of life, physical, mental and social functioning, lifestyle and daily activities.</w:t>
      </w:r>
    </w:p>
    <w:p w14:paraId="02DA4FCE" w14:textId="77777777" w:rsidR="0027241A" w:rsidRPr="004F11AC" w:rsidDel="00195452" w:rsidRDefault="0027241A" w:rsidP="00E208B7">
      <w:pPr>
        <w:pStyle w:val="COMexecsummnumbered"/>
      </w:pPr>
      <w:r w:rsidRPr="004F11AC">
        <w:rPr>
          <w:rFonts w:cs="Calibri"/>
        </w:rPr>
        <w:t>The prevalence of T1D in Australia is estimated at around 134,000 persons, representing about 10% of all diabetes cases nationally (Diabetes Australia, 2025).  However, local prevalence data are considerably more accurate and complete for persons aged less than 19 years than adult populations (AIHW, 2025).</w:t>
      </w:r>
    </w:p>
    <w:p w14:paraId="6CAE2080" w14:textId="71913642" w:rsidR="009D5BCC" w:rsidRPr="004F11AC" w:rsidDel="00195452" w:rsidRDefault="009D5BCC" w:rsidP="00E208B7">
      <w:pPr>
        <w:pStyle w:val="COMexecsummnumbered"/>
      </w:pPr>
      <w:r w:rsidRPr="004F11AC">
        <w:t>Insulin degludec is an individually titrated, once daily ultra</w:t>
      </w:r>
      <w:r w:rsidR="00BB78FC" w:rsidRPr="004F11AC">
        <w:t xml:space="preserve"> </w:t>
      </w:r>
      <w:r w:rsidRPr="004F11AC">
        <w:t>long</w:t>
      </w:r>
      <w:r w:rsidR="00BB78FC" w:rsidRPr="004F11AC">
        <w:t>-</w:t>
      </w:r>
      <w:r w:rsidRPr="004F11AC">
        <w:t xml:space="preserve">acting basal insulin analogue, supplied as a solution for injection (100 IU/mL or 200 IU/mL), </w:t>
      </w:r>
      <w:r w:rsidRPr="004F11AC">
        <w:rPr>
          <w:rFonts w:cs="Calibri"/>
        </w:rPr>
        <w:t xml:space="preserve">administered by </w:t>
      </w:r>
      <w:r w:rsidRPr="004F11AC">
        <w:t>subcutaneous injection</w:t>
      </w:r>
      <w:r w:rsidRPr="004F11AC">
        <w:rPr>
          <w:rFonts w:cs="Calibri"/>
        </w:rPr>
        <w:t xml:space="preserve"> using a proprietary pre-filled pen or cartridge</w:t>
      </w:r>
      <w:r w:rsidRPr="004F11AC">
        <w:t>. The requested PBS listing is for insulin degludec 100 IU/mL, in 3 mL multidose cartridges (P</w:t>
      </w:r>
      <w:r w:rsidR="0089645D" w:rsidRPr="004F11AC">
        <w:t>enfill</w:t>
      </w:r>
      <w:r w:rsidRPr="004F11AC">
        <w:t>®). The insulin degludec 200 IU/mL formulation was not included in the resubmission.</w:t>
      </w:r>
    </w:p>
    <w:p w14:paraId="6F21CE53" w14:textId="15CFC8E0" w:rsidR="009D5BCC" w:rsidRPr="004F11AC" w:rsidRDefault="009D5BCC" w:rsidP="00E208B7">
      <w:pPr>
        <w:pStyle w:val="COMexecsummnumbered"/>
      </w:pPr>
      <w:r w:rsidRPr="004F11AC">
        <w:rPr>
          <w:rFonts w:eastAsia="SimSun"/>
          <w:lang w:eastAsia="zh-CN"/>
        </w:rPr>
        <w:t xml:space="preserve">Insulin degludec dosing for the treatment of T1D is individualised in accordance with patient requirements to optimise glycaemic control based on fasting plasma glucose </w:t>
      </w:r>
      <w:r w:rsidR="00E67C47">
        <w:rPr>
          <w:rFonts w:eastAsia="SimSun"/>
          <w:lang w:eastAsia="zh-CN"/>
        </w:rPr>
        <w:t xml:space="preserve">(FPG) </w:t>
      </w:r>
      <w:r w:rsidRPr="004F11AC">
        <w:rPr>
          <w:rFonts w:eastAsia="SimSun"/>
          <w:lang w:eastAsia="zh-CN"/>
        </w:rPr>
        <w:t xml:space="preserve">and must be combined with short and/or rapid acting insulin to cover mealtime insulin requirements. Insulin degludec may be administered at any time of the day, </w:t>
      </w:r>
      <w:r w:rsidRPr="004F11AC">
        <w:rPr>
          <w:rFonts w:eastAsia="SimSun"/>
          <w:lang w:eastAsia="zh-CN"/>
        </w:rPr>
        <w:lastRenderedPageBreak/>
        <w:t>but preferably the same time every day. Insulin degludec is not suitable for administration via insulin pump.</w:t>
      </w:r>
    </w:p>
    <w:p w14:paraId="3CC55C9E" w14:textId="34F18E26" w:rsidR="003C10C3" w:rsidRPr="004F11AC" w:rsidRDefault="003C10C3" w:rsidP="00E208B7">
      <w:pPr>
        <w:pStyle w:val="COMexecsummnumbered"/>
        <w:rPr>
          <w:rFonts w:eastAsia="SimSun"/>
          <w:lang w:eastAsia="zh-CN"/>
        </w:rPr>
      </w:pPr>
      <w:r w:rsidRPr="004F11AC">
        <w:t>The sponsor stated that insulin detemir is scheduled for discontinuation in the Australian setting by the end of 2026. The resubmission claimed that insulin degludec is expected to replace insulin detemir in affected patients, given the needs of those patients for an alternative ultra-long-acting basal insulin and based on expert opinion on the need for a viable PBS</w:t>
      </w:r>
      <w:r w:rsidR="00DB4E13">
        <w:t>-</w:t>
      </w:r>
      <w:r w:rsidRPr="004F11AC">
        <w:t xml:space="preserve">listed alternative long-acting insulin for T1D patients. The </w:t>
      </w:r>
      <w:r w:rsidR="0094621D" w:rsidRPr="004F11AC">
        <w:t>re</w:t>
      </w:r>
      <w:r w:rsidRPr="004F11AC">
        <w:t>submission</w:t>
      </w:r>
      <w:r w:rsidR="00582040" w:rsidRPr="004F11AC">
        <w:t xml:space="preserve"> stat</w:t>
      </w:r>
      <w:r w:rsidRPr="004F11AC">
        <w:t xml:space="preserve">ed that most affected patients expected to switch to insulin degludec would otherwise switch to insulin glargine if insulin degludec is not listed on the PBS. </w:t>
      </w:r>
    </w:p>
    <w:p w14:paraId="5CBF1473" w14:textId="4B3E3976" w:rsidR="00702942" w:rsidRPr="004F11AC" w:rsidRDefault="00702942" w:rsidP="00E208B7">
      <w:pPr>
        <w:pStyle w:val="COMexecsummnumbered"/>
        <w:rPr>
          <w:rFonts w:eastAsia="SimSun"/>
          <w:lang w:eastAsia="zh-CN"/>
        </w:rPr>
      </w:pPr>
      <w:r w:rsidRPr="004F11AC">
        <w:rPr>
          <w:rFonts w:eastAsia="SimSun"/>
          <w:lang w:eastAsia="zh-CN"/>
        </w:rPr>
        <w:t xml:space="preserve">The clinical management algorithm positioned insulin degludec 100 IU/mL as an alternative to insulin glargine 100 IU/mL or insulin glargine 300 IU/mL (in patients aged 6 years and older), for the treatment of patients with T1D not using a less intensive fixed dose insulin regimen or premixed basal-bolus regimen, or an insulin pump, replacing insulin detemir after its withdrawal from the Australian market at the end of 2026. </w:t>
      </w:r>
    </w:p>
    <w:p w14:paraId="53217C8F" w14:textId="715BC46C" w:rsidR="00B41FF6" w:rsidRDefault="00B41FF6" w:rsidP="00E208B7">
      <w:pPr>
        <w:pStyle w:val="COMexecsummnumbered"/>
        <w:rPr>
          <w:rFonts w:eastAsia="SimSun"/>
          <w:lang w:eastAsia="zh-CN"/>
        </w:rPr>
      </w:pPr>
      <w:r w:rsidRPr="00E25E13">
        <w:rPr>
          <w:rFonts w:eastAsia="SimSun"/>
          <w:lang w:eastAsia="zh-CN"/>
        </w:rPr>
        <w:t>In Australia, insulin glargine 100 IU/mL is approved for the treatment of T1D in adults and children, and T2D in adults who require insulin for the control of hyperglycaemia, and insulin glargine 300 IU/mL is approved for the treatment of diabetes mellitus in patients 6 years of age and older.</w:t>
      </w:r>
    </w:p>
    <w:p w14:paraId="4354891C" w14:textId="1F5B29C6" w:rsidR="007650D5" w:rsidRPr="007650D5" w:rsidRDefault="007650D5" w:rsidP="00E208B7">
      <w:pPr>
        <w:pStyle w:val="COMexecsummnumbered"/>
        <w:numPr>
          <w:ilvl w:val="0"/>
          <w:numId w:val="0"/>
        </w:numPr>
        <w:ind w:left="720"/>
        <w:rPr>
          <w:rFonts w:eastAsia="SimSun"/>
          <w:i/>
          <w:iCs/>
          <w:lang w:eastAsia="zh-CN"/>
        </w:rPr>
      </w:pPr>
      <w:r w:rsidRPr="007650D5">
        <w:rPr>
          <w:rFonts w:eastAsia="SimSun"/>
          <w:i/>
          <w:iCs/>
          <w:lang w:eastAsia="zh-CN"/>
        </w:rPr>
        <w:t>For more detail on PBAC’s view, see section 7 PBAC outcome.</w:t>
      </w:r>
    </w:p>
    <w:p w14:paraId="51E5AE96" w14:textId="136A63B1" w:rsidR="00B50DB8" w:rsidRPr="004F11AC" w:rsidRDefault="00B50DB8" w:rsidP="00E208B7">
      <w:pPr>
        <w:pStyle w:val="COMH1-numbered"/>
      </w:pPr>
      <w:bookmarkStart w:id="12" w:name="_Toc197595413"/>
      <w:r w:rsidRPr="004F11AC">
        <w:t>Comparator</w:t>
      </w:r>
      <w:bookmarkEnd w:id="12"/>
    </w:p>
    <w:p w14:paraId="00239636" w14:textId="42EDA12B" w:rsidR="00FA41BF" w:rsidRPr="00E25E13" w:rsidRDefault="00FA41BF" w:rsidP="00E208B7">
      <w:pPr>
        <w:pStyle w:val="COMexecsummnumbered"/>
      </w:pPr>
      <w:r w:rsidRPr="00E25E13">
        <w:t xml:space="preserve">The resubmission nominated insulin glargine 100 IU/mL as the main comparator. </w:t>
      </w:r>
      <w:r w:rsidR="0070295E" w:rsidRPr="00E25E13">
        <w:t>I</w:t>
      </w:r>
      <w:r w:rsidRPr="00E25E13">
        <w:t xml:space="preserve">n support of this nomination </w:t>
      </w:r>
      <w:r w:rsidR="0070295E" w:rsidRPr="00E25E13">
        <w:t xml:space="preserve">the resubmission stated </w:t>
      </w:r>
      <w:r w:rsidR="00541B75" w:rsidRPr="00E25E13">
        <w:t>that</w:t>
      </w:r>
      <w:r w:rsidR="00396C00" w:rsidRPr="00E25E13">
        <w:t xml:space="preserve"> if insulin detemir is delisted, </w:t>
      </w:r>
      <w:r w:rsidRPr="00E25E13">
        <w:t>most affected patients will switch to insulin degludec</w:t>
      </w:r>
      <w:r w:rsidR="00396C00" w:rsidRPr="00E25E13">
        <w:t>, if PBS-</w:t>
      </w:r>
      <w:r w:rsidR="003E1D92" w:rsidRPr="00E25E13">
        <w:t>listed,</w:t>
      </w:r>
      <w:r w:rsidRPr="00E25E13">
        <w:t xml:space="preserve"> but would otherwise switch to insulin glargine if insulin degludec is not </w:t>
      </w:r>
      <w:r w:rsidR="00396C00" w:rsidRPr="00E25E13">
        <w:t xml:space="preserve">reimbursed </w:t>
      </w:r>
      <w:r w:rsidRPr="00E25E13">
        <w:t xml:space="preserve">on the PBS. </w:t>
      </w:r>
      <w:r w:rsidR="002666FC" w:rsidRPr="00E25E13">
        <w:t>The ESC considered that the resubmission did not adequately justify the selection of insulin glargine 100 IU/mL over insulin glargine 300 IU/mL as the main comparator.</w:t>
      </w:r>
    </w:p>
    <w:p w14:paraId="2C003E7C" w14:textId="2BD491F0" w:rsidR="00072AEB" w:rsidRPr="00E25E13" w:rsidRDefault="00937E2B" w:rsidP="00E208B7">
      <w:pPr>
        <w:pStyle w:val="COMexecsummnumbered"/>
      </w:pPr>
      <w:r w:rsidRPr="00E25E13">
        <w:t xml:space="preserve">At the March 2013 meeting, the PBAC considered that insulin glargine 100 IU/mL (the only formulation listed on the PBS at that time) was the appropriate main comparator (p1, Insulin degludec PSD, March 2013 PBAC meeting). </w:t>
      </w:r>
      <w:r w:rsidR="00072AEB" w:rsidRPr="00E25E13" w:rsidDel="00396C00">
        <w:t>The evaluation noted that insulin glargine 300 IU/mL was recommended by the PBAC for the treatment of T1D and T2D at the July 2015 meeting, based on a cost-minimisation approach (CMA) with insulin glargine 100 IU/mL (para 7.1, Insulin glargine 300 IU/mL PSD, July 2015 PBAC meeting), and considered that it may also be a relevant comparator. The PSCR stated that some patients might substitute insulin degludec for insulin glargine 300 IU/mL and that it may therefore be a theoretical secondary comparator.</w:t>
      </w:r>
      <w:r w:rsidR="00072AEB" w:rsidRPr="00E25E13">
        <w:t xml:space="preserve">  </w:t>
      </w:r>
    </w:p>
    <w:p w14:paraId="613ADE46" w14:textId="2069F811" w:rsidR="00937E2B" w:rsidRPr="00E25E13" w:rsidDel="00396C00" w:rsidRDefault="006C22A3" w:rsidP="00E208B7">
      <w:pPr>
        <w:pStyle w:val="COMexecsummnumbered"/>
        <w:spacing w:after="120"/>
      </w:pPr>
      <w:r w:rsidRPr="00E25E13" w:rsidDel="00396C00">
        <w:lastRenderedPageBreak/>
        <w:t>The ESC noted the pharmacokinetic profile of various single insulin products (Figure 1) and</w:t>
      </w:r>
      <w:r w:rsidR="00690129" w:rsidRPr="00E25E13" w:rsidDel="00396C00">
        <w:t xml:space="preserve"> </w:t>
      </w:r>
      <w:r w:rsidR="00334D9A" w:rsidRPr="00E25E13" w:rsidDel="00396C00">
        <w:t xml:space="preserve">considered that </w:t>
      </w:r>
      <w:r w:rsidR="00070775" w:rsidRPr="00E25E13" w:rsidDel="00396C00">
        <w:t xml:space="preserve">based on its pharmacokinetic profile, that </w:t>
      </w:r>
      <w:r w:rsidR="00334D9A" w:rsidRPr="00E25E13" w:rsidDel="00396C00">
        <w:t xml:space="preserve">insulin degludec was most similar to </w:t>
      </w:r>
      <w:r w:rsidR="009B27BB" w:rsidRPr="00E25E13" w:rsidDel="00396C00">
        <w:t>insulin</w:t>
      </w:r>
      <w:r w:rsidR="00334D9A" w:rsidRPr="00E25E13" w:rsidDel="00396C00">
        <w:t xml:space="preserve"> glargine 300 IU/</w:t>
      </w:r>
      <w:proofErr w:type="spellStart"/>
      <w:r w:rsidR="00334D9A" w:rsidRPr="00E25E13" w:rsidDel="00396C00">
        <w:t>mL.</w:t>
      </w:r>
      <w:proofErr w:type="spellEnd"/>
      <w:r w:rsidR="00BA26B7" w:rsidRPr="00E25E13" w:rsidDel="00396C00">
        <w:t xml:space="preserve"> </w:t>
      </w:r>
    </w:p>
    <w:p w14:paraId="2551D4D8" w14:textId="05D13ADD" w:rsidR="00F65FF7" w:rsidRPr="00E25E13" w:rsidDel="00396C00" w:rsidRDefault="00F65FF7" w:rsidP="00E208B7">
      <w:pPr>
        <w:pStyle w:val="COMexecsummnumbered"/>
        <w:numPr>
          <w:ilvl w:val="0"/>
          <w:numId w:val="0"/>
        </w:numPr>
        <w:spacing w:after="120"/>
        <w:rPr>
          <w:rFonts w:ascii="Arial Narrow" w:hAnsi="Arial Narrow"/>
          <w:b/>
          <w:bCs/>
          <w:sz w:val="20"/>
          <w:szCs w:val="20"/>
        </w:rPr>
      </w:pPr>
      <w:r w:rsidRPr="00E25E13" w:rsidDel="00396C00">
        <w:rPr>
          <w:rFonts w:ascii="Arial Narrow" w:hAnsi="Arial Narrow"/>
          <w:b/>
          <w:bCs/>
          <w:sz w:val="20"/>
          <w:szCs w:val="20"/>
        </w:rPr>
        <w:t xml:space="preserve">Figure 1: </w:t>
      </w:r>
      <w:r w:rsidR="00C5767F" w:rsidRPr="00E25E13" w:rsidDel="00396C00">
        <w:rPr>
          <w:rFonts w:ascii="Arial Narrow" w:hAnsi="Arial Narrow"/>
          <w:b/>
          <w:bCs/>
          <w:sz w:val="20"/>
          <w:szCs w:val="20"/>
        </w:rPr>
        <w:t>Pharmacokinetic profile of single insulin products</w:t>
      </w:r>
    </w:p>
    <w:p w14:paraId="51904444" w14:textId="4D81DE1C" w:rsidR="00C5767F" w:rsidRPr="00E25E13" w:rsidDel="00396C00" w:rsidRDefault="00DC14F9" w:rsidP="00E208B7">
      <w:pPr>
        <w:pStyle w:val="COMexecsummnumbered"/>
        <w:numPr>
          <w:ilvl w:val="0"/>
          <w:numId w:val="0"/>
        </w:numPr>
        <w:spacing w:after="120"/>
        <w:rPr>
          <w:rFonts w:ascii="Arial Narrow" w:hAnsi="Arial Narrow"/>
          <w:sz w:val="20"/>
          <w:szCs w:val="20"/>
        </w:rPr>
      </w:pPr>
      <w:r w:rsidRPr="00E25E13" w:rsidDel="00396C00">
        <w:rPr>
          <w:noProof/>
        </w:rPr>
        <w:drawing>
          <wp:inline distT="0" distB="0" distL="0" distR="0" wp14:anchorId="3B0BDB2B" wp14:editId="6756A56C">
            <wp:extent cx="5732145" cy="2968625"/>
            <wp:effectExtent l="0" t="0" r="1905" b="3175"/>
            <wp:docPr id="5" name="Picture 4" descr="Figure 1: Pharmacokinetic profile of single insulin products">
              <a:extLst xmlns:a="http://schemas.openxmlformats.org/drawingml/2006/main">
                <a:ext uri="{FF2B5EF4-FFF2-40B4-BE49-F238E27FC236}">
                  <a16:creationId xmlns:a16="http://schemas.microsoft.com/office/drawing/2014/main" id="{A0E0A152-6C34-2BC1-A1F6-074F4FB301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Figure 1: Pharmacokinetic profile of single insulin products">
                      <a:extLst>
                        <a:ext uri="{FF2B5EF4-FFF2-40B4-BE49-F238E27FC236}">
                          <a16:creationId xmlns:a16="http://schemas.microsoft.com/office/drawing/2014/main" id="{A0E0A152-6C34-2BC1-A1F6-074F4FB30156}"/>
                        </a:ext>
                      </a:extLst>
                    </pic:cNvPr>
                    <pic:cNvPicPr>
                      <a:picLocks noChangeAspect="1"/>
                    </pic:cNvPicPr>
                  </pic:nvPicPr>
                  <pic:blipFill>
                    <a:blip r:embed="rId11"/>
                    <a:stretch>
                      <a:fillRect/>
                    </a:stretch>
                  </pic:blipFill>
                  <pic:spPr>
                    <a:xfrm>
                      <a:off x="0" y="0"/>
                      <a:ext cx="5732145" cy="2968625"/>
                    </a:xfrm>
                    <a:prstGeom prst="rect">
                      <a:avLst/>
                    </a:prstGeom>
                  </pic:spPr>
                </pic:pic>
              </a:graphicData>
            </a:graphic>
          </wp:inline>
        </w:drawing>
      </w:r>
    </w:p>
    <w:p w14:paraId="64CC958E" w14:textId="0A32B34A" w:rsidR="00C5767F" w:rsidRPr="00E25E13" w:rsidRDefault="00C5767F" w:rsidP="00E208B7">
      <w:pPr>
        <w:pStyle w:val="COMexecsummnumbered"/>
        <w:numPr>
          <w:ilvl w:val="0"/>
          <w:numId w:val="0"/>
        </w:numPr>
        <w:spacing w:after="120"/>
        <w:rPr>
          <w:rFonts w:ascii="Arial Narrow" w:hAnsi="Arial Narrow"/>
          <w:sz w:val="18"/>
          <w:szCs w:val="18"/>
        </w:rPr>
      </w:pPr>
      <w:r w:rsidRPr="00E25E13" w:rsidDel="00396C00">
        <w:rPr>
          <w:rFonts w:ascii="Arial Narrow" w:hAnsi="Arial Narrow"/>
          <w:sz w:val="18"/>
          <w:szCs w:val="18"/>
        </w:rPr>
        <w:t>Source: UpToDate, 2025</w:t>
      </w:r>
    </w:p>
    <w:p w14:paraId="5CFAEE85" w14:textId="4367E596" w:rsidR="00F3208C" w:rsidRPr="00E25E13" w:rsidRDefault="00396C00" w:rsidP="00E208B7">
      <w:pPr>
        <w:pStyle w:val="COMexecsummnumbered"/>
      </w:pPr>
      <w:r w:rsidRPr="00E25E13">
        <w:t>As such, t</w:t>
      </w:r>
      <w:r w:rsidR="00130C49" w:rsidRPr="00E25E13">
        <w:t>he ESC considered insulin glargine 300 IU/mL to be a</w:t>
      </w:r>
      <w:r w:rsidR="00AA362F" w:rsidRPr="00E25E13">
        <w:t xml:space="preserve">n </w:t>
      </w:r>
      <w:r w:rsidR="007E6CE5" w:rsidRPr="00E25E13">
        <w:t xml:space="preserve">equally </w:t>
      </w:r>
      <w:r w:rsidR="00AA362F" w:rsidRPr="00E25E13">
        <w:t>appropriate</w:t>
      </w:r>
      <w:r w:rsidR="007E6CE5" w:rsidRPr="00E25E13">
        <w:t xml:space="preserve"> comparator </w:t>
      </w:r>
      <w:r w:rsidR="00D7683A" w:rsidRPr="00E25E13">
        <w:t xml:space="preserve">given its pharmacokinetic profile </w:t>
      </w:r>
      <w:r w:rsidR="007B1A29" w:rsidRPr="00E25E13">
        <w:t xml:space="preserve">and noted the </w:t>
      </w:r>
      <w:r w:rsidR="00BA7E4D" w:rsidRPr="00E25E13">
        <w:t>two formulation</w:t>
      </w:r>
      <w:r w:rsidR="00B74C73" w:rsidRPr="00E25E13">
        <w:t>s</w:t>
      </w:r>
      <w:r w:rsidR="00BA7E4D" w:rsidRPr="00E25E13">
        <w:t xml:space="preserve"> are not interchangeable with the </w:t>
      </w:r>
      <w:r w:rsidR="007B1A29" w:rsidRPr="00E25E13">
        <w:t xml:space="preserve">equi-effective doses </w:t>
      </w:r>
      <w:r w:rsidR="00BA7E4D" w:rsidRPr="00E25E13">
        <w:t>being</w:t>
      </w:r>
      <w:r w:rsidR="007B1A29" w:rsidRPr="00E25E13">
        <w:t xml:space="preserve"> </w:t>
      </w:r>
      <w:r w:rsidR="00676139" w:rsidRPr="00E25E13">
        <w:t xml:space="preserve">1 unit of </w:t>
      </w:r>
      <w:r w:rsidR="005A1ACF" w:rsidRPr="00E25E13">
        <w:t xml:space="preserve">insulin glargine </w:t>
      </w:r>
      <w:r w:rsidR="00676139" w:rsidRPr="00E25E13">
        <w:t>300</w:t>
      </w:r>
      <w:r w:rsidR="005A1ACF" w:rsidRPr="00E25E13">
        <w:t xml:space="preserve"> IU/mL</w:t>
      </w:r>
      <w:r w:rsidR="00676139" w:rsidRPr="00E25E13">
        <w:t xml:space="preserve"> being equivalent to 0.84 units of </w:t>
      </w:r>
      <w:r w:rsidR="00D92FD3" w:rsidRPr="00E25E13">
        <w:t>insulin glargine 1</w:t>
      </w:r>
      <w:r w:rsidR="00676139" w:rsidRPr="00E25E13">
        <w:t>00</w:t>
      </w:r>
      <w:r w:rsidR="00D92FD3" w:rsidRPr="00E25E13">
        <w:t xml:space="preserve"> IU/mL</w:t>
      </w:r>
      <w:r w:rsidR="00676139" w:rsidRPr="00E25E13">
        <w:t xml:space="preserve"> (para 7.5</w:t>
      </w:r>
      <w:r w:rsidR="00CB50A4" w:rsidRPr="00E25E13">
        <w:t>, Insulin glargine 300 IU/mL PSD, July 2015 PBAC meeting</w:t>
      </w:r>
      <w:r w:rsidR="00BC6E31" w:rsidRPr="00E25E13">
        <w:t>)</w:t>
      </w:r>
      <w:r w:rsidR="00130C49" w:rsidRPr="00E25E13">
        <w:t>.</w:t>
      </w:r>
      <w:r w:rsidR="00E14A30" w:rsidRPr="00E25E13">
        <w:t xml:space="preserve"> </w:t>
      </w:r>
      <w:r w:rsidR="00F3208C" w:rsidRPr="00E25E13">
        <w:t xml:space="preserve">The ESC further noted that insulin glargine 300 IU/mL is not recommended for children aged less than 6 years, and </w:t>
      </w:r>
      <w:r w:rsidR="00702A82" w:rsidRPr="00E25E13">
        <w:t>considered that</w:t>
      </w:r>
      <w:r w:rsidR="00B645F1" w:rsidRPr="00E25E13">
        <w:t xml:space="preserve"> for children in this age range</w:t>
      </w:r>
      <w:r w:rsidR="007F26EE" w:rsidRPr="00E25E13">
        <w:t>,</w:t>
      </w:r>
      <w:r w:rsidR="00702A82" w:rsidRPr="00E25E13">
        <w:t xml:space="preserve"> </w:t>
      </w:r>
      <w:r w:rsidR="00F3208C" w:rsidRPr="00E25E13">
        <w:t xml:space="preserve">insulin glargine 100 IU/mL </w:t>
      </w:r>
      <w:r w:rsidR="00C11B60" w:rsidRPr="00E25E13">
        <w:t>w</w:t>
      </w:r>
      <w:r w:rsidR="00F3208C" w:rsidRPr="00E25E13">
        <w:t>ould be</w:t>
      </w:r>
      <w:r w:rsidR="00AE26BA" w:rsidRPr="00E25E13">
        <w:t xml:space="preserve"> </w:t>
      </w:r>
      <w:r w:rsidR="00702A82" w:rsidRPr="00E25E13">
        <w:t>the</w:t>
      </w:r>
      <w:r w:rsidR="00F3208C" w:rsidRPr="00E25E13">
        <w:t xml:space="preserve"> appropriate comparator.</w:t>
      </w:r>
    </w:p>
    <w:p w14:paraId="1FB626CA" w14:textId="07C051E6" w:rsidR="00F74757" w:rsidRPr="00E25E13" w:rsidRDefault="00F74757" w:rsidP="00E208B7">
      <w:pPr>
        <w:pStyle w:val="COMexecsummnumbered"/>
      </w:pPr>
      <w:r w:rsidRPr="00E25E13">
        <w:t xml:space="preserve">The resubmission acknowledged that while the majority of initial use </w:t>
      </w:r>
      <w:r w:rsidR="007F26EE" w:rsidRPr="00E25E13">
        <w:t xml:space="preserve">for insulin degludec </w:t>
      </w:r>
      <w:r w:rsidRPr="00E25E13">
        <w:t xml:space="preserve">is expected to be in patients currently treated with insulin detemir, </w:t>
      </w:r>
      <w:r w:rsidR="007F26EE" w:rsidRPr="00E25E13">
        <w:t xml:space="preserve">that </w:t>
      </w:r>
      <w:r w:rsidRPr="00E25E13">
        <w:t>for some patients, insulin degludec may also replace insulin glargine (100 or 300 IU/mL) and the combination product insulin degludec/</w:t>
      </w:r>
      <w:proofErr w:type="spellStart"/>
      <w:r w:rsidRPr="00E25E13">
        <w:t>aspart</w:t>
      </w:r>
      <w:proofErr w:type="spellEnd"/>
      <w:r w:rsidRPr="00E25E13">
        <w:t xml:space="preserve"> (70/30 IU/mL). </w:t>
      </w:r>
      <w:r w:rsidR="00072AEB" w:rsidRPr="00E25E13">
        <w:t>The evaluation noted t</w:t>
      </w:r>
      <w:r w:rsidRPr="00E25E13">
        <w:t>his was not reflected in the estimated financial impact to the PBS of listing insulin degludec.</w:t>
      </w:r>
    </w:p>
    <w:p w14:paraId="5BB1967C" w14:textId="4D92CDBA" w:rsidR="00FA41BF" w:rsidRDefault="00C2017E" w:rsidP="00E208B7">
      <w:pPr>
        <w:pStyle w:val="COMexecsummnumbered"/>
      </w:pPr>
      <w:r w:rsidRPr="00E25E13">
        <w:t xml:space="preserve">As the resubmission </w:t>
      </w:r>
      <w:r w:rsidR="005B2333" w:rsidRPr="00E25E13">
        <w:t xml:space="preserve">stated that </w:t>
      </w:r>
      <w:r w:rsidRPr="00E25E13">
        <w:t xml:space="preserve">insulin degludec </w:t>
      </w:r>
      <w:r w:rsidR="005B2333" w:rsidRPr="00E25E13">
        <w:t xml:space="preserve">is expected </w:t>
      </w:r>
      <w:r w:rsidRPr="00E25E13">
        <w:t xml:space="preserve">to replace insulin detemir, scheduled for discontinuation in the Australian setting by the end of 2026, </w:t>
      </w:r>
      <w:r w:rsidR="00316073" w:rsidRPr="00E25E13">
        <w:t xml:space="preserve">the evaluation considered that </w:t>
      </w:r>
      <w:r w:rsidRPr="00E25E13">
        <w:t>insulin detemir may also be a relevant comparator.</w:t>
      </w:r>
      <w:r w:rsidR="00820AED" w:rsidRPr="00E25E13">
        <w:t xml:space="preserve"> The PSCR stated that </w:t>
      </w:r>
      <w:r w:rsidR="006F5732" w:rsidRPr="00E25E13">
        <w:t>any crossover period during which insulin degludec and insulin detemir were both PBS listed would be short and transition</w:t>
      </w:r>
      <w:r w:rsidR="00072AEB" w:rsidRPr="00E25E13">
        <w:t>al</w:t>
      </w:r>
      <w:r w:rsidR="006F5732" w:rsidRPr="00E25E13">
        <w:t xml:space="preserve"> in nature</w:t>
      </w:r>
      <w:r w:rsidR="00DE7490" w:rsidRPr="00E25E13">
        <w:t xml:space="preserve">, noting </w:t>
      </w:r>
      <w:r w:rsidR="00DE7490" w:rsidRPr="00E25E13">
        <w:lastRenderedPageBreak/>
        <w:t>however that extensive clinical data comparing insulin degludec and insulin detemir could be provided upon request.</w:t>
      </w:r>
    </w:p>
    <w:p w14:paraId="46DA96CC" w14:textId="7DD377CC" w:rsidR="007650D5" w:rsidRPr="007650D5" w:rsidRDefault="007650D5" w:rsidP="00E208B7">
      <w:pPr>
        <w:pStyle w:val="COMexecsummnumbered"/>
        <w:numPr>
          <w:ilvl w:val="0"/>
          <w:numId w:val="0"/>
        </w:numPr>
        <w:ind w:left="720"/>
        <w:rPr>
          <w:i/>
          <w:iCs/>
        </w:rPr>
      </w:pPr>
      <w:r w:rsidRPr="007650D5">
        <w:rPr>
          <w:i/>
          <w:iCs/>
        </w:rPr>
        <w:t>For more detail on PBAC’s view, see section 7 PBAC outcome.</w:t>
      </w:r>
    </w:p>
    <w:p w14:paraId="7F9C27C8" w14:textId="77777777" w:rsidR="00223D5A" w:rsidRPr="004F11AC" w:rsidRDefault="00223D5A" w:rsidP="00E208B7">
      <w:pPr>
        <w:pStyle w:val="COMH1-numbered"/>
        <w:numPr>
          <w:ilvl w:val="0"/>
          <w:numId w:val="1"/>
        </w:numPr>
      </w:pPr>
      <w:bookmarkStart w:id="13" w:name="_Toc197595414"/>
      <w:bookmarkStart w:id="14" w:name="_Toc22897640"/>
      <w:r w:rsidRPr="004F11AC">
        <w:t>Consideration of the evidence</w:t>
      </w:r>
      <w:bookmarkEnd w:id="13"/>
    </w:p>
    <w:p w14:paraId="5A417332" w14:textId="77777777" w:rsidR="00C445C2" w:rsidRPr="009B2174" w:rsidRDefault="00C445C2" w:rsidP="00E208B7">
      <w:pPr>
        <w:pStyle w:val="COMH2-non-numbered"/>
      </w:pPr>
      <w:bookmarkStart w:id="15" w:name="_Hlk76375935"/>
      <w:bookmarkStart w:id="16" w:name="_Toc197595415"/>
      <w:r w:rsidRPr="009B2174">
        <w:t>Sponsor hearing</w:t>
      </w:r>
    </w:p>
    <w:p w14:paraId="1BED3556" w14:textId="0A89D75F" w:rsidR="00C445C2" w:rsidRPr="0050252E" w:rsidRDefault="00C445C2" w:rsidP="00E208B7">
      <w:pPr>
        <w:numPr>
          <w:ilvl w:val="1"/>
          <w:numId w:val="1"/>
        </w:numPr>
        <w:spacing w:after="120"/>
        <w:ind w:left="720"/>
        <w:rPr>
          <w:rFonts w:asciiTheme="minorHAnsi" w:hAnsiTheme="minorHAnsi"/>
          <w:bCs/>
          <w:snapToGrid w:val="0"/>
        </w:rPr>
      </w:pPr>
      <w:bookmarkStart w:id="17" w:name="_Hlk76382586"/>
      <w:r w:rsidRPr="0050252E">
        <w:rPr>
          <w:rFonts w:asciiTheme="minorHAnsi" w:hAnsiTheme="minorHAnsi"/>
          <w:bCs/>
          <w:snapToGrid w:val="0"/>
        </w:rPr>
        <w:t xml:space="preserve">The sponsor requested a hearing for this item.  The clinician </w:t>
      </w:r>
      <w:r w:rsidR="00513B7F">
        <w:rPr>
          <w:rFonts w:asciiTheme="minorHAnsi" w:hAnsiTheme="minorHAnsi"/>
          <w:bCs/>
          <w:snapToGrid w:val="0"/>
        </w:rPr>
        <w:t>submitted</w:t>
      </w:r>
      <w:r w:rsidRPr="0050252E">
        <w:rPr>
          <w:rFonts w:asciiTheme="minorHAnsi" w:hAnsiTheme="minorHAnsi"/>
          <w:bCs/>
          <w:snapToGrid w:val="0"/>
        </w:rPr>
        <w:t xml:space="preserve"> </w:t>
      </w:r>
      <w:r w:rsidR="0050252E" w:rsidRPr="0050252E">
        <w:rPr>
          <w:rFonts w:asciiTheme="minorHAnsi" w:hAnsiTheme="minorHAnsi"/>
          <w:bCs/>
          <w:snapToGrid w:val="0"/>
        </w:rPr>
        <w:t xml:space="preserve">a written statement that </w:t>
      </w:r>
      <w:r w:rsidRPr="0050252E">
        <w:rPr>
          <w:rFonts w:asciiTheme="minorHAnsi" w:hAnsiTheme="minorHAnsi"/>
          <w:bCs/>
          <w:snapToGrid w:val="0"/>
        </w:rPr>
        <w:t xml:space="preserve">discussed the </w:t>
      </w:r>
      <w:r w:rsidR="00890B01">
        <w:rPr>
          <w:rFonts w:asciiTheme="minorHAnsi" w:hAnsiTheme="minorHAnsi"/>
          <w:bCs/>
          <w:snapToGrid w:val="0"/>
        </w:rPr>
        <w:t>management of T1D</w:t>
      </w:r>
      <w:r w:rsidR="00DC087F">
        <w:rPr>
          <w:rFonts w:asciiTheme="minorHAnsi" w:hAnsiTheme="minorHAnsi"/>
          <w:bCs/>
          <w:snapToGrid w:val="0"/>
        </w:rPr>
        <w:t>. The clinician highlighted that there is significant</w:t>
      </w:r>
      <w:r w:rsidR="0056608C">
        <w:rPr>
          <w:rFonts w:asciiTheme="minorHAnsi" w:hAnsiTheme="minorHAnsi"/>
          <w:bCs/>
          <w:snapToGrid w:val="0"/>
        </w:rPr>
        <w:t xml:space="preserve"> patient fear associated with hypoglycaemia</w:t>
      </w:r>
      <w:r w:rsidR="00DC087F">
        <w:rPr>
          <w:rFonts w:asciiTheme="minorHAnsi" w:hAnsiTheme="minorHAnsi"/>
          <w:bCs/>
          <w:snapToGrid w:val="0"/>
        </w:rPr>
        <w:t xml:space="preserve"> and </w:t>
      </w:r>
      <w:r w:rsidR="00C951DB">
        <w:rPr>
          <w:rFonts w:asciiTheme="minorHAnsi" w:hAnsiTheme="minorHAnsi"/>
          <w:bCs/>
          <w:snapToGrid w:val="0"/>
        </w:rPr>
        <w:t>noted that as repeated episodes of hypoglycaemia lead to progressive blunting of the symptomatic response to hypoglycaemia</w:t>
      </w:r>
      <w:r w:rsidR="00F935C4">
        <w:rPr>
          <w:rFonts w:asciiTheme="minorHAnsi" w:hAnsiTheme="minorHAnsi"/>
          <w:bCs/>
          <w:snapToGrid w:val="0"/>
        </w:rPr>
        <w:t>, tha</w:t>
      </w:r>
      <w:r w:rsidR="00DC087F">
        <w:rPr>
          <w:rFonts w:asciiTheme="minorHAnsi" w:hAnsiTheme="minorHAnsi"/>
          <w:bCs/>
          <w:snapToGrid w:val="0"/>
        </w:rPr>
        <w:t>t</w:t>
      </w:r>
      <w:r w:rsidR="00F935C4">
        <w:rPr>
          <w:rFonts w:asciiTheme="minorHAnsi" w:hAnsiTheme="minorHAnsi"/>
          <w:bCs/>
          <w:snapToGrid w:val="0"/>
        </w:rPr>
        <w:t xml:space="preserve"> this can lead to hypoglycaemia unawareness</w:t>
      </w:r>
      <w:r w:rsidR="00807619">
        <w:rPr>
          <w:rFonts w:asciiTheme="minorHAnsi" w:hAnsiTheme="minorHAnsi"/>
          <w:bCs/>
          <w:snapToGrid w:val="0"/>
        </w:rPr>
        <w:t xml:space="preserve">. The clinician indicated that </w:t>
      </w:r>
      <w:r w:rsidR="00F935C4">
        <w:rPr>
          <w:rFonts w:asciiTheme="minorHAnsi" w:hAnsiTheme="minorHAnsi"/>
          <w:bCs/>
          <w:snapToGrid w:val="0"/>
        </w:rPr>
        <w:t>minimis</w:t>
      </w:r>
      <w:r w:rsidR="00F8365F">
        <w:rPr>
          <w:rFonts w:asciiTheme="minorHAnsi" w:hAnsiTheme="minorHAnsi"/>
          <w:bCs/>
          <w:snapToGrid w:val="0"/>
        </w:rPr>
        <w:t>ing</w:t>
      </w:r>
      <w:r w:rsidR="00F935C4">
        <w:rPr>
          <w:rFonts w:asciiTheme="minorHAnsi" w:hAnsiTheme="minorHAnsi"/>
          <w:bCs/>
          <w:snapToGrid w:val="0"/>
        </w:rPr>
        <w:t xml:space="preserve"> hypoglycaemia is a component of virtually all clinical encounters for management of the disease. </w:t>
      </w:r>
      <w:r w:rsidR="008F3D88">
        <w:rPr>
          <w:rFonts w:asciiTheme="minorHAnsi" w:hAnsiTheme="minorHAnsi"/>
          <w:bCs/>
          <w:snapToGrid w:val="0"/>
        </w:rPr>
        <w:t xml:space="preserve">The clinician </w:t>
      </w:r>
      <w:r w:rsidR="00807619">
        <w:rPr>
          <w:rFonts w:asciiTheme="minorHAnsi" w:hAnsiTheme="minorHAnsi"/>
          <w:bCs/>
          <w:snapToGrid w:val="0"/>
        </w:rPr>
        <w:t>suggested</w:t>
      </w:r>
      <w:r w:rsidR="008F3D88">
        <w:rPr>
          <w:rFonts w:asciiTheme="minorHAnsi" w:hAnsiTheme="minorHAnsi"/>
          <w:bCs/>
          <w:snapToGrid w:val="0"/>
        </w:rPr>
        <w:t xml:space="preserve"> that insulin formulations that minimise hypoglycaemia should be </w:t>
      </w:r>
      <w:r w:rsidR="00DA51C7">
        <w:rPr>
          <w:rFonts w:asciiTheme="minorHAnsi" w:hAnsiTheme="minorHAnsi"/>
          <w:bCs/>
          <w:snapToGrid w:val="0"/>
        </w:rPr>
        <w:t>favoured and</w:t>
      </w:r>
      <w:r w:rsidR="008F3D88">
        <w:rPr>
          <w:rFonts w:asciiTheme="minorHAnsi" w:hAnsiTheme="minorHAnsi"/>
          <w:bCs/>
          <w:snapToGrid w:val="0"/>
        </w:rPr>
        <w:t xml:space="preserve"> highlighted </w:t>
      </w:r>
      <w:r w:rsidR="00F5338D">
        <w:rPr>
          <w:rFonts w:asciiTheme="minorHAnsi" w:hAnsiTheme="minorHAnsi"/>
          <w:bCs/>
          <w:snapToGrid w:val="0"/>
        </w:rPr>
        <w:t>the lower rates of nocturnal hypoglycaemia in randomised controlled trials for insulin degludec</w:t>
      </w:r>
      <w:r w:rsidR="001B6135">
        <w:rPr>
          <w:rFonts w:asciiTheme="minorHAnsi" w:hAnsiTheme="minorHAnsi"/>
          <w:bCs/>
          <w:snapToGrid w:val="0"/>
        </w:rPr>
        <w:t xml:space="preserve"> compared to insulin glargine 100 IU/</w:t>
      </w:r>
      <w:proofErr w:type="spellStart"/>
      <w:r w:rsidR="001B6135">
        <w:rPr>
          <w:rFonts w:asciiTheme="minorHAnsi" w:hAnsiTheme="minorHAnsi"/>
          <w:bCs/>
          <w:snapToGrid w:val="0"/>
        </w:rPr>
        <w:t>mL</w:t>
      </w:r>
      <w:r w:rsidR="0050252E" w:rsidRPr="0050252E">
        <w:rPr>
          <w:rFonts w:asciiTheme="minorHAnsi" w:hAnsiTheme="minorHAnsi"/>
          <w:bCs/>
          <w:snapToGrid w:val="0"/>
        </w:rPr>
        <w:t>.</w:t>
      </w:r>
      <w:proofErr w:type="spellEnd"/>
    </w:p>
    <w:bookmarkEnd w:id="17"/>
    <w:p w14:paraId="12AFFB1F" w14:textId="77777777" w:rsidR="00C445C2" w:rsidRPr="006E1229" w:rsidRDefault="00C445C2" w:rsidP="00E208B7">
      <w:pPr>
        <w:pStyle w:val="COMH2-non-numbered"/>
      </w:pPr>
      <w:r w:rsidRPr="006E1229">
        <w:t>Consumer comments</w:t>
      </w:r>
    </w:p>
    <w:p w14:paraId="3D3B02C6" w14:textId="77777777" w:rsidR="00364EA8" w:rsidRPr="00364EA8" w:rsidRDefault="00C445C2" w:rsidP="00E208B7">
      <w:pPr>
        <w:pStyle w:val="COMexecsummnumbered"/>
        <w:rPr>
          <w:rFonts w:eastAsia="Times New Roman" w:cs="Arial"/>
          <w:bCs/>
          <w:snapToGrid w:val="0"/>
          <w:szCs w:val="24"/>
        </w:rPr>
      </w:pPr>
      <w:bookmarkStart w:id="18" w:name="_Hlk76382618"/>
      <w:r w:rsidRPr="00836F75">
        <w:rPr>
          <w:rFonts w:cs="Arial"/>
          <w:bCs/>
          <w:snapToGrid w:val="0"/>
        </w:rPr>
        <w:t xml:space="preserve">The PBAC noted and welcomed the input from </w:t>
      </w:r>
      <w:r w:rsidR="00155C4C">
        <w:rPr>
          <w:rFonts w:cs="Arial"/>
          <w:bCs/>
          <w:snapToGrid w:val="0"/>
        </w:rPr>
        <w:t>the</w:t>
      </w:r>
      <w:r w:rsidR="00335759">
        <w:rPr>
          <w:rFonts w:cs="Arial"/>
          <w:bCs/>
          <w:snapToGrid w:val="0"/>
        </w:rPr>
        <w:t xml:space="preserve"> two consumer </w:t>
      </w:r>
      <w:r w:rsidRPr="00836F75">
        <w:rPr>
          <w:rFonts w:cs="Arial"/>
          <w:bCs/>
          <w:snapToGrid w:val="0"/>
        </w:rPr>
        <w:t>organisations</w:t>
      </w:r>
      <w:r w:rsidR="00335759">
        <w:rPr>
          <w:rFonts w:cs="Arial"/>
          <w:bCs/>
          <w:snapToGrid w:val="0"/>
        </w:rPr>
        <w:t>, the DANII Foundation and Diabetes Alliance, and the two professional organisations</w:t>
      </w:r>
      <w:r w:rsidR="00364EA8">
        <w:rPr>
          <w:rFonts w:cs="Arial"/>
          <w:bCs/>
          <w:snapToGrid w:val="0"/>
        </w:rPr>
        <w:t>, Australian Diabetes Society and the Pharmacy Guild</w:t>
      </w:r>
      <w:r w:rsidRPr="00836F75">
        <w:rPr>
          <w:rFonts w:cs="Arial"/>
          <w:bCs/>
          <w:snapToGrid w:val="0"/>
        </w:rPr>
        <w:t xml:space="preserve"> via the Consumer Comments facility on the PBS website.  </w:t>
      </w:r>
    </w:p>
    <w:p w14:paraId="086402C8" w14:textId="4558003E" w:rsidR="00364EA8" w:rsidRPr="00836F75" w:rsidRDefault="00364EA8" w:rsidP="00E208B7">
      <w:pPr>
        <w:pStyle w:val="COMexecsummnumbered"/>
        <w:rPr>
          <w:snapToGrid w:val="0"/>
        </w:rPr>
      </w:pPr>
      <w:r w:rsidRPr="00836F75">
        <w:rPr>
          <w:snapToGrid w:val="0"/>
        </w:rPr>
        <w:t xml:space="preserve">The </w:t>
      </w:r>
      <w:r>
        <w:rPr>
          <w:snapToGrid w:val="0"/>
        </w:rPr>
        <w:t xml:space="preserve">PBAC noted that the </w:t>
      </w:r>
      <w:r w:rsidR="00880F4B">
        <w:rPr>
          <w:snapToGrid w:val="0"/>
        </w:rPr>
        <w:t xml:space="preserve">most important clinical need </w:t>
      </w:r>
      <w:r w:rsidR="008675D8">
        <w:rPr>
          <w:snapToGrid w:val="0"/>
        </w:rPr>
        <w:t>for people living with T1D,</w:t>
      </w:r>
      <w:r w:rsidR="00C718B7">
        <w:rPr>
          <w:snapToGrid w:val="0"/>
        </w:rPr>
        <w:t xml:space="preserve"> </w:t>
      </w:r>
      <w:r w:rsidR="008675D8">
        <w:rPr>
          <w:snapToGrid w:val="0"/>
        </w:rPr>
        <w:t>according to the consumer organisations</w:t>
      </w:r>
      <w:r w:rsidR="003E40DD">
        <w:rPr>
          <w:snapToGrid w:val="0"/>
        </w:rPr>
        <w:t>,</w:t>
      </w:r>
      <w:r w:rsidR="008675D8">
        <w:rPr>
          <w:snapToGrid w:val="0"/>
        </w:rPr>
        <w:t xml:space="preserve"> is </w:t>
      </w:r>
      <w:r w:rsidR="00C718B7">
        <w:rPr>
          <w:snapToGrid w:val="0"/>
        </w:rPr>
        <w:t>to have a choice of treatments</w:t>
      </w:r>
      <w:r w:rsidR="00841BC7">
        <w:rPr>
          <w:snapToGrid w:val="0"/>
        </w:rPr>
        <w:t xml:space="preserve">. </w:t>
      </w:r>
      <w:r w:rsidR="00C718B7">
        <w:rPr>
          <w:snapToGrid w:val="0"/>
        </w:rPr>
        <w:t>The c</w:t>
      </w:r>
      <w:r w:rsidR="00841BC7">
        <w:rPr>
          <w:snapToGrid w:val="0"/>
        </w:rPr>
        <w:t xml:space="preserve">onsumer organisations </w:t>
      </w:r>
      <w:r w:rsidR="003E40DD">
        <w:rPr>
          <w:snapToGrid w:val="0"/>
        </w:rPr>
        <w:t xml:space="preserve">indicated </w:t>
      </w:r>
      <w:r w:rsidR="00C93814">
        <w:rPr>
          <w:snapToGrid w:val="0"/>
        </w:rPr>
        <w:t>that choice of treatment is</w:t>
      </w:r>
      <w:r w:rsidR="003E40DD">
        <w:rPr>
          <w:snapToGrid w:val="0"/>
        </w:rPr>
        <w:t xml:space="preserve"> particularly important for </w:t>
      </w:r>
      <w:r w:rsidR="00895B74">
        <w:rPr>
          <w:snapToGrid w:val="0"/>
        </w:rPr>
        <w:t xml:space="preserve">people who experience nocturnal hypoglycaemia. The comments </w:t>
      </w:r>
      <w:r w:rsidR="00841BC7">
        <w:rPr>
          <w:snapToGrid w:val="0"/>
        </w:rPr>
        <w:t xml:space="preserve">also </w:t>
      </w:r>
      <w:r w:rsidR="00C93814">
        <w:rPr>
          <w:snapToGrid w:val="0"/>
        </w:rPr>
        <w:t>noted that</w:t>
      </w:r>
      <w:r w:rsidRPr="00836F75">
        <w:rPr>
          <w:snapToGrid w:val="0"/>
        </w:rPr>
        <w:t xml:space="preserve"> </w:t>
      </w:r>
      <w:r>
        <w:rPr>
          <w:snapToGrid w:val="0"/>
        </w:rPr>
        <w:t xml:space="preserve">insulin degludec has shown safety in pregnancy, has a stable, flat pharmacokinetic profile (with a half-life of more than 24 hours) that can provide more consistent blood glucose management, which can in turn lead to a lower risk of hypoglycaemia compared to insulin glargine 100 IU/mL and 300 IU/mL, </w:t>
      </w:r>
      <w:r w:rsidR="00030A0B">
        <w:rPr>
          <w:snapToGrid w:val="0"/>
        </w:rPr>
        <w:t xml:space="preserve">has </w:t>
      </w:r>
      <w:r>
        <w:rPr>
          <w:snapToGrid w:val="0"/>
        </w:rPr>
        <w:t xml:space="preserve">benefits in young adults who may sometimes omit their prescribed insulin dose, and that </w:t>
      </w:r>
      <w:r w:rsidR="00030A0B">
        <w:rPr>
          <w:snapToGrid w:val="0"/>
        </w:rPr>
        <w:t>treatment with insulin degludec</w:t>
      </w:r>
      <w:r w:rsidR="00BA307E">
        <w:rPr>
          <w:snapToGrid w:val="0"/>
        </w:rPr>
        <w:t xml:space="preserve"> has</w:t>
      </w:r>
      <w:r>
        <w:rPr>
          <w:snapToGrid w:val="0"/>
        </w:rPr>
        <w:t xml:space="preserve"> quality of life benefits. </w:t>
      </w:r>
      <w:r w:rsidRPr="00836F75">
        <w:rPr>
          <w:snapToGrid w:val="0"/>
        </w:rPr>
        <w:t xml:space="preserve"> </w:t>
      </w:r>
    </w:p>
    <w:p w14:paraId="19BEDD5A" w14:textId="44176E4A" w:rsidR="00464F26" w:rsidRPr="00464F26" w:rsidRDefault="00464F26" w:rsidP="00E208B7">
      <w:pPr>
        <w:pStyle w:val="COMexecsummnumbered"/>
        <w:rPr>
          <w:rFonts w:eastAsia="Times New Roman" w:cs="Arial"/>
          <w:bCs/>
          <w:snapToGrid w:val="0"/>
          <w:szCs w:val="24"/>
        </w:rPr>
      </w:pPr>
      <w:r w:rsidRPr="00464F26">
        <w:rPr>
          <w:rFonts w:eastAsia="Times New Roman" w:cs="Arial"/>
          <w:bCs/>
          <w:snapToGrid w:val="0"/>
          <w:szCs w:val="24"/>
        </w:rPr>
        <w:t xml:space="preserve">The PBAC noted the advice received from the Australian Diabetes Society and the Pharmacy Guild of Australia </w:t>
      </w:r>
      <w:r w:rsidR="0073241C">
        <w:rPr>
          <w:rFonts w:eastAsia="Times New Roman" w:cs="Arial"/>
          <w:bCs/>
          <w:snapToGrid w:val="0"/>
          <w:szCs w:val="24"/>
        </w:rPr>
        <w:t>stated</w:t>
      </w:r>
      <w:r w:rsidRPr="00464F26">
        <w:rPr>
          <w:rFonts w:eastAsia="Times New Roman" w:cs="Arial"/>
          <w:bCs/>
          <w:snapToGrid w:val="0"/>
          <w:szCs w:val="24"/>
        </w:rPr>
        <w:t xml:space="preserve"> that </w:t>
      </w:r>
      <w:r w:rsidR="00673C0D" w:rsidRPr="00464F26">
        <w:rPr>
          <w:rFonts w:eastAsia="Times New Roman" w:cs="Arial"/>
          <w:bCs/>
          <w:snapToGrid w:val="0"/>
          <w:szCs w:val="24"/>
        </w:rPr>
        <w:t xml:space="preserve">insulin degludec </w:t>
      </w:r>
      <w:r w:rsidR="00673C0D">
        <w:rPr>
          <w:rFonts w:eastAsia="Times New Roman" w:cs="Arial"/>
          <w:bCs/>
          <w:snapToGrid w:val="0"/>
          <w:szCs w:val="24"/>
        </w:rPr>
        <w:t xml:space="preserve">is likely to </w:t>
      </w:r>
      <w:r w:rsidR="00673C0D" w:rsidRPr="00464F26">
        <w:rPr>
          <w:rFonts w:eastAsia="Times New Roman" w:cs="Arial"/>
          <w:bCs/>
          <w:snapToGrid w:val="0"/>
          <w:szCs w:val="24"/>
        </w:rPr>
        <w:t>offer</w:t>
      </w:r>
      <w:r w:rsidR="00673C0D">
        <w:rPr>
          <w:rFonts w:eastAsia="Times New Roman" w:cs="Arial"/>
          <w:bCs/>
          <w:snapToGrid w:val="0"/>
          <w:szCs w:val="24"/>
        </w:rPr>
        <w:t xml:space="preserve"> significant clinical advantages to insulin glargine and that it is </w:t>
      </w:r>
      <w:r w:rsidRPr="00464F26">
        <w:rPr>
          <w:rFonts w:eastAsia="Times New Roman" w:cs="Arial"/>
          <w:bCs/>
          <w:snapToGrid w:val="0"/>
          <w:szCs w:val="24"/>
        </w:rPr>
        <w:t xml:space="preserve">important to </w:t>
      </w:r>
      <w:r w:rsidR="00753BA0">
        <w:rPr>
          <w:rFonts w:eastAsia="Times New Roman" w:cs="Arial"/>
          <w:bCs/>
          <w:snapToGrid w:val="0"/>
          <w:szCs w:val="24"/>
        </w:rPr>
        <w:t>have</w:t>
      </w:r>
      <w:r w:rsidRPr="00464F26">
        <w:rPr>
          <w:rFonts w:eastAsia="Times New Roman" w:cs="Arial"/>
          <w:bCs/>
          <w:snapToGrid w:val="0"/>
          <w:szCs w:val="24"/>
        </w:rPr>
        <w:t xml:space="preserve"> </w:t>
      </w:r>
      <w:r w:rsidR="006367D2">
        <w:rPr>
          <w:rFonts w:eastAsia="Times New Roman" w:cs="Arial"/>
          <w:bCs/>
          <w:snapToGrid w:val="0"/>
          <w:szCs w:val="24"/>
        </w:rPr>
        <w:t>a</w:t>
      </w:r>
      <w:r w:rsidRPr="00464F26">
        <w:rPr>
          <w:rFonts w:eastAsia="Times New Roman" w:cs="Arial"/>
          <w:bCs/>
          <w:snapToGrid w:val="0"/>
          <w:szCs w:val="24"/>
        </w:rPr>
        <w:t xml:space="preserve"> </w:t>
      </w:r>
      <w:r w:rsidR="00DC3016" w:rsidRPr="00464F26">
        <w:rPr>
          <w:rFonts w:eastAsia="Times New Roman" w:cs="Arial"/>
          <w:bCs/>
          <w:snapToGrid w:val="0"/>
          <w:szCs w:val="24"/>
        </w:rPr>
        <w:t>long-acting</w:t>
      </w:r>
      <w:r w:rsidRPr="00464F26">
        <w:rPr>
          <w:rFonts w:eastAsia="Times New Roman" w:cs="Arial"/>
          <w:bCs/>
          <w:snapToGrid w:val="0"/>
          <w:szCs w:val="24"/>
        </w:rPr>
        <w:t xml:space="preserve"> insulin other than insulin glargine</w:t>
      </w:r>
      <w:r w:rsidR="00753BA0">
        <w:rPr>
          <w:rFonts w:eastAsia="Times New Roman" w:cs="Arial"/>
          <w:bCs/>
          <w:snapToGrid w:val="0"/>
          <w:szCs w:val="24"/>
        </w:rPr>
        <w:t xml:space="preserve"> </w:t>
      </w:r>
      <w:r w:rsidR="00147DEC">
        <w:rPr>
          <w:rFonts w:eastAsia="Times New Roman" w:cs="Arial"/>
          <w:bCs/>
          <w:snapToGrid w:val="0"/>
          <w:szCs w:val="24"/>
        </w:rPr>
        <w:t>available</w:t>
      </w:r>
      <w:r w:rsidR="00B15D02">
        <w:rPr>
          <w:rFonts w:eastAsia="Times New Roman" w:cs="Arial"/>
          <w:bCs/>
          <w:snapToGrid w:val="0"/>
          <w:szCs w:val="24"/>
        </w:rPr>
        <w:t>.</w:t>
      </w:r>
    </w:p>
    <w:bookmarkEnd w:id="15"/>
    <w:bookmarkEnd w:id="18"/>
    <w:p w14:paraId="609C0765" w14:textId="2C1A708B" w:rsidR="00B60939" w:rsidRPr="004F11AC" w:rsidRDefault="00B60939" w:rsidP="00E208B7">
      <w:pPr>
        <w:pStyle w:val="COMH2-non-numbered"/>
      </w:pPr>
      <w:r w:rsidRPr="004F11AC">
        <w:lastRenderedPageBreak/>
        <w:t>Clinical trials</w:t>
      </w:r>
      <w:bookmarkEnd w:id="14"/>
      <w:bookmarkEnd w:id="16"/>
    </w:p>
    <w:p w14:paraId="427CED12" w14:textId="77777777" w:rsidR="00AC1643" w:rsidRPr="004F11AC" w:rsidRDefault="00AC1643" w:rsidP="00E208B7">
      <w:pPr>
        <w:pStyle w:val="COMexecsummnumbered"/>
      </w:pPr>
      <w:r w:rsidRPr="004F11AC">
        <w:t xml:space="preserve">The resubmission was based on 5 head-to-head randomised trials comparing insulin degludec 100 IU/mL plus insulin </w:t>
      </w:r>
      <w:proofErr w:type="spellStart"/>
      <w:r w:rsidRPr="004F11AC">
        <w:t>aspart</w:t>
      </w:r>
      <w:proofErr w:type="spellEnd"/>
      <w:r w:rsidRPr="004F11AC">
        <w:t xml:space="preserve"> with insulin glargine 100 IU/mL plus insulin </w:t>
      </w:r>
      <w:proofErr w:type="spellStart"/>
      <w:r w:rsidRPr="004F11AC">
        <w:t>aspart</w:t>
      </w:r>
      <w:proofErr w:type="spellEnd"/>
      <w:r w:rsidRPr="004F11AC">
        <w:t>, in patients with T1D:</w:t>
      </w:r>
    </w:p>
    <w:p w14:paraId="4D9F9784" w14:textId="77777777" w:rsidR="00AC1643" w:rsidRPr="004F11AC" w:rsidRDefault="00AC1643" w:rsidP="00E208B7">
      <w:pPr>
        <w:pStyle w:val="COMexecsummbulletlist"/>
      </w:pPr>
      <w:r w:rsidRPr="004F11AC">
        <w:t xml:space="preserve">Study 3583 and Study 3770: phase 3 randomised trials previously considered by the PBAC at the March 2013 consideration of insulin degludec. </w:t>
      </w:r>
    </w:p>
    <w:p w14:paraId="7E8483D5" w14:textId="77777777" w:rsidR="00AC1643" w:rsidRPr="004F11AC" w:rsidRDefault="00AC1643" w:rsidP="00E208B7">
      <w:pPr>
        <w:pStyle w:val="COMexecsummbulletlist"/>
      </w:pPr>
      <w:r w:rsidRPr="004F11AC">
        <w:t>Study 1835: a phase 2 randomised trial comparing 2 early formulations of insulin degludec with different molar concentrations to insulin glargine 100 IU/</w:t>
      </w:r>
      <w:proofErr w:type="spellStart"/>
      <w:r w:rsidRPr="004F11AC">
        <w:t>mL.</w:t>
      </w:r>
      <w:proofErr w:type="spellEnd"/>
      <w:r w:rsidRPr="004F11AC">
        <w:t xml:space="preserve"> This trial was not previously considered by the PBAC.</w:t>
      </w:r>
    </w:p>
    <w:p w14:paraId="3CC27D43" w14:textId="77777777" w:rsidR="00AC1643" w:rsidRPr="004F11AC" w:rsidRDefault="00AC1643" w:rsidP="00E208B7">
      <w:pPr>
        <w:pStyle w:val="COMexecsummbulletlist"/>
      </w:pPr>
      <w:r w:rsidRPr="004F11AC">
        <w:t xml:space="preserve">Study 3995 (SWITCH 1) and the </w:t>
      </w:r>
      <w:proofErr w:type="spellStart"/>
      <w:r w:rsidRPr="004F11AC">
        <w:t>HypoDeg</w:t>
      </w:r>
      <w:proofErr w:type="spellEnd"/>
      <w:r w:rsidRPr="004F11AC">
        <w:t xml:space="preserve"> trial: 2 randomised cross-over trials comparing insulin degludec 100 IU/mL plus insulin </w:t>
      </w:r>
      <w:proofErr w:type="spellStart"/>
      <w:r w:rsidRPr="004F11AC">
        <w:t>aspart</w:t>
      </w:r>
      <w:proofErr w:type="spellEnd"/>
      <w:r w:rsidRPr="004F11AC">
        <w:t xml:space="preserve"> to insulin glargine 100 IU/mL plus insulin </w:t>
      </w:r>
      <w:proofErr w:type="spellStart"/>
      <w:r w:rsidRPr="004F11AC">
        <w:t>aspart</w:t>
      </w:r>
      <w:proofErr w:type="spellEnd"/>
      <w:r w:rsidRPr="004F11AC">
        <w:t>, in terms of frequency of hypoglycaemia and nocturnal hypoglycaemia episodes. These trials were not previously considered by the PBAC.</w:t>
      </w:r>
    </w:p>
    <w:p w14:paraId="140212E7" w14:textId="7A0C2C03" w:rsidR="00F7538C" w:rsidRDefault="00AC1643" w:rsidP="00E208B7">
      <w:pPr>
        <w:pStyle w:val="COMexecsummnumbered"/>
      </w:pPr>
      <w:r w:rsidRPr="004F11AC">
        <w:t xml:space="preserve">The resubmission also presented </w:t>
      </w:r>
      <w:r w:rsidRPr="004F11AC">
        <w:rPr>
          <w:rStyle w:val="Font"/>
        </w:rPr>
        <w:t>brief summaries of the study design and results</w:t>
      </w:r>
      <w:r w:rsidRPr="004F11AC">
        <w:t xml:space="preserve"> of 11 supportive studies in selected patient groups excluded from the key clinical trials: children &lt;18 years (4 studies); pregnant women (1 study), real-life studies (2 studies) and long-term studies (2 studies).</w:t>
      </w:r>
    </w:p>
    <w:p w14:paraId="7BB0922A" w14:textId="77777777" w:rsidR="00B24318" w:rsidRDefault="00AC1643" w:rsidP="00E208B7">
      <w:pPr>
        <w:pStyle w:val="COMexecsummnumbered"/>
      </w:pPr>
      <w:r w:rsidRPr="004F11AC">
        <w:t>In addition, the resubmission identified 2 network meta-analyses (Dawoud 2018; Martin 2021</w:t>
      </w:r>
      <w:r w:rsidR="00653412" w:rsidRPr="004F11AC">
        <w:t>)</w:t>
      </w:r>
      <w:r w:rsidRPr="004F11AC">
        <w:t xml:space="preserve"> and 11 meta-analyses, which did not identify any additional trials suitable for inclusion in the resubmission.</w:t>
      </w:r>
      <w:r w:rsidR="001F0EDC">
        <w:t xml:space="preserve"> </w:t>
      </w:r>
    </w:p>
    <w:p w14:paraId="6598B6A0" w14:textId="4046EAF5" w:rsidR="00AC1643" w:rsidRPr="004F11AC" w:rsidRDefault="00AC1643" w:rsidP="00E208B7">
      <w:pPr>
        <w:pStyle w:val="COMexecsummnumbered"/>
      </w:pPr>
      <w:r w:rsidRPr="004F11AC">
        <w:t xml:space="preserve">Details of the </w:t>
      </w:r>
      <w:r w:rsidR="00250F7E" w:rsidRPr="004F11AC">
        <w:t xml:space="preserve">trials </w:t>
      </w:r>
      <w:r w:rsidRPr="004F11AC">
        <w:t xml:space="preserve">presented in the </w:t>
      </w:r>
      <w:r w:rsidR="00250F7E" w:rsidRPr="004F11AC">
        <w:t>re</w:t>
      </w:r>
      <w:r w:rsidRPr="004F11AC">
        <w:t>submission are provided in</w:t>
      </w:r>
      <w:r w:rsidR="00F7538C">
        <w:t xml:space="preserve"> Table 3</w:t>
      </w:r>
      <w:r w:rsidRPr="004F11AC">
        <w:t xml:space="preserve">. </w:t>
      </w:r>
    </w:p>
    <w:p w14:paraId="688C077E" w14:textId="77777777" w:rsidR="00A40585" w:rsidRPr="004F11AC" w:rsidRDefault="00A40585" w:rsidP="00E208B7">
      <w:pPr>
        <w:jc w:val="left"/>
        <w:rPr>
          <w:rFonts w:ascii="Arial Narrow" w:eastAsiaTheme="majorEastAsia" w:hAnsi="Arial Narrow" w:cstheme="majorBidi"/>
          <w:b/>
          <w:bCs/>
          <w:sz w:val="20"/>
        </w:rPr>
      </w:pPr>
      <w:bookmarkStart w:id="19" w:name="_Ref196237328"/>
      <w:r w:rsidRPr="004F11AC">
        <w:br w:type="page"/>
      </w:r>
    </w:p>
    <w:p w14:paraId="7DE3A286" w14:textId="52588F41" w:rsidR="008E0D3C" w:rsidRPr="004F11AC" w:rsidRDefault="008A6930" w:rsidP="00E208B7">
      <w:pPr>
        <w:pStyle w:val="Caption"/>
        <w:keepLines/>
      </w:pPr>
      <w:r w:rsidRPr="004F11AC">
        <w:lastRenderedPageBreak/>
        <w:t xml:space="preserve">Table </w:t>
      </w:r>
      <w:r w:rsidR="00D87C74" w:rsidRPr="004F11AC">
        <w:fldChar w:fldCharType="begin"/>
      </w:r>
      <w:r w:rsidR="00D87C74" w:rsidRPr="004F11AC">
        <w:instrText xml:space="preserve"> SEQ Table \* ARABIC </w:instrText>
      </w:r>
      <w:r w:rsidR="00D87C74" w:rsidRPr="004F11AC">
        <w:fldChar w:fldCharType="separate"/>
      </w:r>
      <w:r w:rsidR="00280138">
        <w:rPr>
          <w:noProof/>
        </w:rPr>
        <w:t>3</w:t>
      </w:r>
      <w:r w:rsidR="00D87C74" w:rsidRPr="004F11AC">
        <w:fldChar w:fldCharType="end"/>
      </w:r>
      <w:bookmarkEnd w:id="19"/>
      <w:r w:rsidRPr="004F11AC">
        <w:t>: T</w:t>
      </w:r>
      <w:r w:rsidR="005C4696" w:rsidRPr="004F11AC">
        <w:t>rials</w:t>
      </w:r>
      <w:r w:rsidR="008E0D3C" w:rsidRPr="004F11AC">
        <w:t xml:space="preserve"> presented in the </w:t>
      </w:r>
      <w:r w:rsidR="005C4696" w:rsidRPr="004F11AC">
        <w:t>re</w:t>
      </w:r>
      <w:r w:rsidR="008E0D3C" w:rsidRPr="004F11AC">
        <w:t>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3: Trials presented in the resubmission"/>
      </w:tblPr>
      <w:tblGrid>
        <w:gridCol w:w="1695"/>
        <w:gridCol w:w="5199"/>
        <w:gridCol w:w="2123"/>
      </w:tblGrid>
      <w:tr w:rsidR="00BA0730" w:rsidRPr="004F11AC" w14:paraId="3BCB3168" w14:textId="77777777">
        <w:trPr>
          <w:tblHeader/>
        </w:trPr>
        <w:tc>
          <w:tcPr>
            <w:tcW w:w="940" w:type="pct"/>
            <w:vAlign w:val="center"/>
          </w:tcPr>
          <w:p w14:paraId="1D25AAA9" w14:textId="77777777" w:rsidR="00845150" w:rsidRPr="004F11AC" w:rsidRDefault="00845150" w:rsidP="00E208B7">
            <w:pPr>
              <w:pStyle w:val="COMTableheadingrow"/>
              <w:keepLines/>
              <w:rPr>
                <w:lang w:val="en-AU"/>
              </w:rPr>
            </w:pPr>
            <w:r w:rsidRPr="004F11AC">
              <w:rPr>
                <w:lang w:val="en-AU"/>
              </w:rPr>
              <w:t>Trial ID</w:t>
            </w:r>
          </w:p>
        </w:tc>
        <w:tc>
          <w:tcPr>
            <w:tcW w:w="2883" w:type="pct"/>
            <w:vAlign w:val="center"/>
          </w:tcPr>
          <w:p w14:paraId="4910D229" w14:textId="77777777" w:rsidR="00845150" w:rsidRPr="004F11AC" w:rsidRDefault="00845150" w:rsidP="00E208B7">
            <w:pPr>
              <w:pStyle w:val="COMTableheadingrow"/>
              <w:keepLines/>
              <w:rPr>
                <w:lang w:val="en-AU"/>
              </w:rPr>
            </w:pPr>
            <w:r w:rsidRPr="004F11AC">
              <w:rPr>
                <w:lang w:val="en-AU"/>
              </w:rPr>
              <w:t>Protocol title/ Publication title</w:t>
            </w:r>
          </w:p>
        </w:tc>
        <w:tc>
          <w:tcPr>
            <w:tcW w:w="1177" w:type="pct"/>
            <w:vAlign w:val="center"/>
          </w:tcPr>
          <w:p w14:paraId="255B54A6" w14:textId="77777777" w:rsidR="00845150" w:rsidRPr="004F11AC" w:rsidRDefault="00845150" w:rsidP="00E208B7">
            <w:pPr>
              <w:pStyle w:val="COMTableheadingrow"/>
              <w:keepLines/>
              <w:rPr>
                <w:lang w:val="en-AU"/>
              </w:rPr>
            </w:pPr>
            <w:r w:rsidRPr="004F11AC">
              <w:rPr>
                <w:lang w:val="en-AU"/>
              </w:rPr>
              <w:t>Publication citation</w:t>
            </w:r>
          </w:p>
        </w:tc>
      </w:tr>
      <w:tr w:rsidR="00BA0730" w:rsidRPr="004F11AC" w14:paraId="31225783" w14:textId="77777777">
        <w:tc>
          <w:tcPr>
            <w:tcW w:w="5000" w:type="pct"/>
            <w:gridSpan w:val="3"/>
            <w:vAlign w:val="center"/>
          </w:tcPr>
          <w:p w14:paraId="7D333918" w14:textId="77777777" w:rsidR="00845150" w:rsidRPr="004F11AC" w:rsidRDefault="00845150" w:rsidP="00E208B7">
            <w:pPr>
              <w:pStyle w:val="COMTabletext"/>
              <w:keepLines/>
              <w:rPr>
                <w:b/>
                <w:bCs w:val="0"/>
              </w:rPr>
            </w:pPr>
            <w:r w:rsidRPr="004F11AC">
              <w:rPr>
                <w:b/>
                <w:bCs w:val="0"/>
              </w:rPr>
              <w:t>Included studies</w:t>
            </w:r>
          </w:p>
        </w:tc>
      </w:tr>
      <w:tr w:rsidR="00BA0730" w:rsidRPr="004F11AC" w14:paraId="35DEBAF8" w14:textId="77777777">
        <w:tc>
          <w:tcPr>
            <w:tcW w:w="940" w:type="pct"/>
            <w:vMerge w:val="restart"/>
            <w:vAlign w:val="center"/>
          </w:tcPr>
          <w:p w14:paraId="0D8417EE" w14:textId="77777777" w:rsidR="00845150" w:rsidRPr="004F11AC" w:rsidRDefault="00845150" w:rsidP="00E208B7">
            <w:pPr>
              <w:pStyle w:val="COMTabletext"/>
              <w:keepLines/>
            </w:pPr>
            <w:r w:rsidRPr="004F11AC">
              <w:t>Study 3583</w:t>
            </w:r>
          </w:p>
          <w:p w14:paraId="1F96C90C" w14:textId="77777777" w:rsidR="00845150" w:rsidRPr="004F11AC" w:rsidRDefault="00845150" w:rsidP="00E208B7">
            <w:pPr>
              <w:pStyle w:val="COMTabletext"/>
              <w:keepLines/>
            </w:pPr>
            <w:r w:rsidRPr="004F11AC">
              <w:t>(BEGIN Basal-Bolus)</w:t>
            </w:r>
          </w:p>
          <w:p w14:paraId="76ABA50D" w14:textId="77777777" w:rsidR="00845150" w:rsidRPr="004F11AC" w:rsidRDefault="00845150" w:rsidP="00E208B7">
            <w:pPr>
              <w:pStyle w:val="COMTabletext"/>
              <w:keepLines/>
            </w:pPr>
            <w:r w:rsidRPr="004F11AC">
              <w:t>(NCT00982228)</w:t>
            </w:r>
          </w:p>
        </w:tc>
        <w:tc>
          <w:tcPr>
            <w:tcW w:w="2883" w:type="pct"/>
            <w:tcBorders>
              <w:bottom w:val="nil"/>
            </w:tcBorders>
            <w:vAlign w:val="center"/>
          </w:tcPr>
          <w:p w14:paraId="31E7DFCE" w14:textId="67C0C064" w:rsidR="00845150" w:rsidRPr="004F11AC" w:rsidRDefault="00845150" w:rsidP="00E208B7">
            <w:pPr>
              <w:pStyle w:val="COMTabletext"/>
              <w:keepLines/>
              <w:spacing w:after="60"/>
            </w:pPr>
            <w:r w:rsidRPr="004F11AC">
              <w:t xml:space="preserve">A </w:t>
            </w:r>
            <w:r w:rsidR="00036879" w:rsidRPr="004F11AC">
              <w:t>52-week</w:t>
            </w:r>
            <w:r w:rsidRPr="004F11AC">
              <w:t xml:space="preserve"> randomised, controlled, open-label, multicentre, multinational, parallel, treat-to-target trial comparing efficacy and safety of NN1250 and insulin glargine both administered once daily in a basal-bolus regimen with insulin </w:t>
            </w:r>
            <w:proofErr w:type="spellStart"/>
            <w:r w:rsidRPr="004F11AC">
              <w:t>aspart</w:t>
            </w:r>
            <w:proofErr w:type="spellEnd"/>
            <w:r w:rsidRPr="004F11AC">
              <w:t xml:space="preserve"> as mealtime insulin in subjects with type 1 diabetes.</w:t>
            </w:r>
          </w:p>
        </w:tc>
        <w:tc>
          <w:tcPr>
            <w:tcW w:w="1177" w:type="pct"/>
            <w:tcBorders>
              <w:bottom w:val="nil"/>
            </w:tcBorders>
          </w:tcPr>
          <w:p w14:paraId="2781B3E2" w14:textId="552A3211" w:rsidR="00845150" w:rsidRPr="004F11AC" w:rsidRDefault="00845150" w:rsidP="00E208B7">
            <w:pPr>
              <w:pStyle w:val="COMTabletext"/>
              <w:keepLines/>
            </w:pPr>
            <w:r w:rsidRPr="004F11AC">
              <w:t xml:space="preserve">Report date: 31 May </w:t>
            </w:r>
            <w:r w:rsidR="00B23AE7" w:rsidRPr="004F11AC">
              <w:t>2011</w:t>
            </w:r>
            <w:r w:rsidRPr="004F11AC">
              <w:t>.</w:t>
            </w:r>
          </w:p>
        </w:tc>
      </w:tr>
      <w:tr w:rsidR="00BA0730" w:rsidRPr="004F11AC" w14:paraId="495491F8" w14:textId="77777777">
        <w:tc>
          <w:tcPr>
            <w:tcW w:w="940" w:type="pct"/>
            <w:vMerge/>
            <w:vAlign w:val="center"/>
          </w:tcPr>
          <w:p w14:paraId="3CB79C14" w14:textId="77777777" w:rsidR="00845150" w:rsidRPr="004F11AC" w:rsidRDefault="00845150" w:rsidP="00E208B7">
            <w:pPr>
              <w:pStyle w:val="COMTabletext"/>
              <w:keepNext w:val="0"/>
            </w:pPr>
          </w:p>
        </w:tc>
        <w:tc>
          <w:tcPr>
            <w:tcW w:w="2883" w:type="pct"/>
            <w:tcBorders>
              <w:top w:val="nil"/>
              <w:bottom w:val="nil"/>
            </w:tcBorders>
            <w:vAlign w:val="center"/>
          </w:tcPr>
          <w:p w14:paraId="6AEB78E4" w14:textId="6A7F116F" w:rsidR="00845150" w:rsidRPr="004F11AC" w:rsidRDefault="00845150" w:rsidP="00E208B7">
            <w:pPr>
              <w:pStyle w:val="COMTabletext"/>
              <w:keepNext w:val="0"/>
              <w:spacing w:after="60"/>
            </w:pPr>
            <w:r w:rsidRPr="00D25DB5">
              <w:rPr>
                <w:lang w:val="da-DK"/>
              </w:rPr>
              <w:t xml:space="preserve">Heller S., Buse J., Fisher M., et al. </w:t>
            </w:r>
            <w:r w:rsidRPr="004F11AC">
              <w:t>Insulin degludec, an ultra-</w:t>
            </w:r>
            <w:r w:rsidR="00960726" w:rsidRPr="004F11AC">
              <w:t>long-acting</w:t>
            </w:r>
            <w:r w:rsidRPr="004F11AC">
              <w:t xml:space="preserve"> basal insulin, versus insulin glargine in basal-bolus treatment with mealtime insulin </w:t>
            </w:r>
            <w:proofErr w:type="spellStart"/>
            <w:r w:rsidRPr="004F11AC">
              <w:t>aspart</w:t>
            </w:r>
            <w:proofErr w:type="spellEnd"/>
            <w:r w:rsidRPr="004F11AC">
              <w:t xml:space="preserve"> in type 1 diabetes (BEGIN Basal-Bolus Type 1): a phase 3, randomised, open-label, treat-to-target non-inferiority trial.</w:t>
            </w:r>
          </w:p>
        </w:tc>
        <w:tc>
          <w:tcPr>
            <w:tcW w:w="1177" w:type="pct"/>
            <w:tcBorders>
              <w:top w:val="nil"/>
              <w:bottom w:val="nil"/>
            </w:tcBorders>
          </w:tcPr>
          <w:p w14:paraId="6689A38F" w14:textId="77777777" w:rsidR="00845150" w:rsidRPr="004F11AC" w:rsidRDefault="00845150" w:rsidP="00E208B7">
            <w:pPr>
              <w:pStyle w:val="COMTabletext"/>
              <w:keepNext w:val="0"/>
            </w:pPr>
            <w:r w:rsidRPr="004F11AC">
              <w:t>The Lancet 2012; 379(9825):1489–97.</w:t>
            </w:r>
          </w:p>
        </w:tc>
      </w:tr>
      <w:tr w:rsidR="00BA0730" w:rsidRPr="004F11AC" w14:paraId="4C6A7613" w14:textId="77777777">
        <w:tc>
          <w:tcPr>
            <w:tcW w:w="940" w:type="pct"/>
            <w:vMerge/>
            <w:tcBorders>
              <w:bottom w:val="nil"/>
            </w:tcBorders>
            <w:vAlign w:val="center"/>
          </w:tcPr>
          <w:p w14:paraId="4C70BBF2" w14:textId="77777777" w:rsidR="00845150" w:rsidRPr="004F11AC" w:rsidRDefault="00845150" w:rsidP="00E208B7">
            <w:pPr>
              <w:pStyle w:val="TableText"/>
              <w:keepNext w:val="0"/>
              <w:keepLines w:val="0"/>
              <w:widowControl/>
            </w:pPr>
          </w:p>
        </w:tc>
        <w:tc>
          <w:tcPr>
            <w:tcW w:w="2883" w:type="pct"/>
            <w:tcBorders>
              <w:top w:val="nil"/>
              <w:bottom w:val="nil"/>
            </w:tcBorders>
            <w:vAlign w:val="center"/>
          </w:tcPr>
          <w:p w14:paraId="1BE71F7D" w14:textId="77777777" w:rsidR="00845150" w:rsidRPr="004F11AC" w:rsidRDefault="00845150" w:rsidP="00E208B7">
            <w:pPr>
              <w:pStyle w:val="COMTabletext"/>
              <w:keepNext w:val="0"/>
            </w:pPr>
            <w:r w:rsidRPr="00D25DB5">
              <w:rPr>
                <w:lang w:val="da-DK"/>
              </w:rPr>
              <w:t xml:space="preserve">Bode B.W., Buse J.B., Fisher M., et al. </w:t>
            </w:r>
            <w:r w:rsidRPr="004F11AC">
              <w:t xml:space="preserve">Insulin degludec improves glycaemic control with lower nocturnal hypoglycaemia risk than insulin glargine in basal–bolus treatment with mealtime insulin </w:t>
            </w:r>
            <w:proofErr w:type="spellStart"/>
            <w:r w:rsidRPr="004F11AC">
              <w:t>aspart</w:t>
            </w:r>
            <w:proofErr w:type="spellEnd"/>
            <w:r w:rsidRPr="004F11AC">
              <w:t xml:space="preserve"> in Type 1 diabetes (BEGIN Basal–Bolus Type 1): 2-year results of a randomized clinical trial.</w:t>
            </w:r>
          </w:p>
        </w:tc>
        <w:tc>
          <w:tcPr>
            <w:tcW w:w="1177" w:type="pct"/>
            <w:tcBorders>
              <w:top w:val="nil"/>
              <w:bottom w:val="nil"/>
            </w:tcBorders>
          </w:tcPr>
          <w:p w14:paraId="0CAFB975" w14:textId="77777777" w:rsidR="00845150" w:rsidRPr="004F11AC" w:rsidRDefault="00845150" w:rsidP="00E208B7">
            <w:pPr>
              <w:pStyle w:val="COMTabletext"/>
              <w:keepNext w:val="0"/>
            </w:pPr>
            <w:r w:rsidRPr="004F11AC">
              <w:t>Diabetic Medicine 2013; 30(11):1293–1297.</w:t>
            </w:r>
          </w:p>
        </w:tc>
      </w:tr>
      <w:tr w:rsidR="00BA0730" w:rsidRPr="004F11AC" w14:paraId="05EE0B44" w14:textId="77777777">
        <w:tc>
          <w:tcPr>
            <w:tcW w:w="940" w:type="pct"/>
            <w:vMerge w:val="restart"/>
            <w:vAlign w:val="center"/>
          </w:tcPr>
          <w:p w14:paraId="2B409610" w14:textId="77777777" w:rsidR="00845150" w:rsidRPr="004F11AC" w:rsidRDefault="00845150" w:rsidP="00E208B7">
            <w:pPr>
              <w:pStyle w:val="COMTabletext"/>
              <w:keepNext w:val="0"/>
            </w:pPr>
            <w:r w:rsidRPr="004F11AC">
              <w:t>Study 3770</w:t>
            </w:r>
          </w:p>
          <w:p w14:paraId="67C9B183" w14:textId="77777777" w:rsidR="00845150" w:rsidRPr="004F11AC" w:rsidRDefault="00845150" w:rsidP="00E208B7">
            <w:pPr>
              <w:pStyle w:val="COMTabletext"/>
              <w:keepNext w:val="0"/>
            </w:pPr>
            <w:r w:rsidRPr="004F11AC">
              <w:t>(BEGIN FLEX T1)</w:t>
            </w:r>
          </w:p>
          <w:p w14:paraId="3FABD64A" w14:textId="77777777" w:rsidR="00845150" w:rsidRPr="004F11AC" w:rsidRDefault="00845150" w:rsidP="00E208B7">
            <w:pPr>
              <w:pStyle w:val="COMTabletext"/>
              <w:keepNext w:val="0"/>
            </w:pPr>
            <w:r w:rsidRPr="004F11AC">
              <w:t>(NCT01079234)</w:t>
            </w:r>
          </w:p>
        </w:tc>
        <w:tc>
          <w:tcPr>
            <w:tcW w:w="2883" w:type="pct"/>
            <w:tcBorders>
              <w:bottom w:val="nil"/>
            </w:tcBorders>
            <w:vAlign w:val="center"/>
          </w:tcPr>
          <w:p w14:paraId="3E48BDB5" w14:textId="77777777" w:rsidR="00845150" w:rsidRPr="004F11AC" w:rsidRDefault="00845150" w:rsidP="00E208B7">
            <w:pPr>
              <w:pStyle w:val="COMTabletext"/>
              <w:keepNext w:val="0"/>
              <w:spacing w:after="60"/>
            </w:pPr>
            <w:r w:rsidRPr="004F11AC">
              <w:t>A 26-week trial investigating the dosing flexibility, efficacy and safety of NN1250 in subjects with type 1 diabetes with a 26-week extension.</w:t>
            </w:r>
          </w:p>
        </w:tc>
        <w:tc>
          <w:tcPr>
            <w:tcW w:w="1177" w:type="pct"/>
            <w:tcBorders>
              <w:bottom w:val="nil"/>
            </w:tcBorders>
          </w:tcPr>
          <w:p w14:paraId="07A2A704" w14:textId="77777777" w:rsidR="00845150" w:rsidRPr="004F11AC" w:rsidRDefault="00845150" w:rsidP="00E208B7">
            <w:pPr>
              <w:pStyle w:val="COMTabletext"/>
              <w:keepNext w:val="0"/>
            </w:pPr>
            <w:r w:rsidRPr="004F11AC">
              <w:t>Report date: 27 May 2011.</w:t>
            </w:r>
          </w:p>
        </w:tc>
      </w:tr>
      <w:tr w:rsidR="00BA0730" w:rsidRPr="004F11AC" w14:paraId="2935875B" w14:textId="77777777">
        <w:tc>
          <w:tcPr>
            <w:tcW w:w="940" w:type="pct"/>
            <w:vMerge/>
            <w:tcBorders>
              <w:bottom w:val="single" w:sz="4" w:space="0" w:color="auto"/>
            </w:tcBorders>
            <w:vAlign w:val="center"/>
          </w:tcPr>
          <w:p w14:paraId="1832D5C5" w14:textId="77777777" w:rsidR="00845150" w:rsidRPr="004F11AC" w:rsidRDefault="00845150" w:rsidP="00E208B7">
            <w:pPr>
              <w:pStyle w:val="COMTabletext"/>
              <w:keepNext w:val="0"/>
            </w:pPr>
          </w:p>
        </w:tc>
        <w:tc>
          <w:tcPr>
            <w:tcW w:w="2883" w:type="pct"/>
            <w:tcBorders>
              <w:top w:val="nil"/>
              <w:bottom w:val="single" w:sz="4" w:space="0" w:color="auto"/>
            </w:tcBorders>
            <w:vAlign w:val="center"/>
          </w:tcPr>
          <w:p w14:paraId="713FA488" w14:textId="6F49635E" w:rsidR="00845150" w:rsidRPr="004F11AC" w:rsidRDefault="00845150" w:rsidP="00E208B7">
            <w:pPr>
              <w:pStyle w:val="COMTabletext"/>
              <w:keepNext w:val="0"/>
            </w:pPr>
            <w:r w:rsidRPr="004F11AC">
              <w:t>Mathieu C., Hollander P., Miranda-Palma B., et al. Efficacy and safety of insulin degludec in a flexible dosing regimen vs insulin glargine in patients with type 1 diabetes (BEGIN: Flex T1): A 26-week randomized, treat-to-target trial with a 26-week extension.</w:t>
            </w:r>
          </w:p>
        </w:tc>
        <w:tc>
          <w:tcPr>
            <w:tcW w:w="1177" w:type="pct"/>
            <w:tcBorders>
              <w:top w:val="nil"/>
              <w:bottom w:val="single" w:sz="4" w:space="0" w:color="auto"/>
            </w:tcBorders>
          </w:tcPr>
          <w:p w14:paraId="3197D790" w14:textId="77777777" w:rsidR="00845150" w:rsidRPr="004F11AC" w:rsidRDefault="00845150" w:rsidP="00E208B7">
            <w:pPr>
              <w:pStyle w:val="COMTabletext"/>
              <w:keepNext w:val="0"/>
            </w:pPr>
            <w:r w:rsidRPr="004F11AC">
              <w:t>Journal of Clinical Endocrinology Metabolism 2013; 98:1154–1162.</w:t>
            </w:r>
          </w:p>
        </w:tc>
      </w:tr>
      <w:tr w:rsidR="00BA0730" w:rsidRPr="004F11AC" w14:paraId="2A904C5B" w14:textId="77777777">
        <w:tc>
          <w:tcPr>
            <w:tcW w:w="940" w:type="pct"/>
            <w:vMerge w:val="restart"/>
            <w:vAlign w:val="center"/>
          </w:tcPr>
          <w:p w14:paraId="059671F3" w14:textId="77777777" w:rsidR="00845150" w:rsidRPr="004F11AC" w:rsidRDefault="00845150" w:rsidP="00E208B7">
            <w:pPr>
              <w:pStyle w:val="COMTabletext"/>
              <w:keepNext w:val="0"/>
            </w:pPr>
            <w:r w:rsidRPr="004F11AC">
              <w:t>Study 1835</w:t>
            </w:r>
          </w:p>
          <w:p w14:paraId="779E1A1E" w14:textId="77777777" w:rsidR="00845150" w:rsidRPr="004F11AC" w:rsidRDefault="00845150" w:rsidP="00E208B7">
            <w:pPr>
              <w:pStyle w:val="COMTabletext"/>
              <w:keepNext w:val="0"/>
            </w:pPr>
            <w:r w:rsidRPr="004F11AC">
              <w:t>(NCT00612040)</w:t>
            </w:r>
          </w:p>
        </w:tc>
        <w:tc>
          <w:tcPr>
            <w:tcW w:w="2883" w:type="pct"/>
            <w:tcBorders>
              <w:bottom w:val="nil"/>
            </w:tcBorders>
            <w:vAlign w:val="center"/>
          </w:tcPr>
          <w:p w14:paraId="075CDC80" w14:textId="37079781" w:rsidR="00845150" w:rsidRPr="004F11AC" w:rsidRDefault="00845150" w:rsidP="00E208B7">
            <w:pPr>
              <w:pStyle w:val="COMTabletext"/>
              <w:keepNext w:val="0"/>
              <w:spacing w:after="60"/>
            </w:pPr>
            <w:r w:rsidRPr="004F11AC">
              <w:t xml:space="preserve">A </w:t>
            </w:r>
            <w:r w:rsidR="00036879" w:rsidRPr="004F11AC">
              <w:t>16-week</w:t>
            </w:r>
            <w:r w:rsidRPr="004F11AC">
              <w:t xml:space="preserve"> randomised, open labelled, 3-armed, treat-to-target, parallel group trial comparing SIBA (D) once daily + </w:t>
            </w:r>
            <w:proofErr w:type="spellStart"/>
            <w:r w:rsidRPr="004F11AC">
              <w:t>NovoRapid</w:t>
            </w:r>
            <w:proofErr w:type="spellEnd"/>
            <w:r w:rsidRPr="004F11AC">
              <w:t xml:space="preserve">®, SIBA (E) once daily + </w:t>
            </w:r>
            <w:proofErr w:type="spellStart"/>
            <w:r w:rsidRPr="004F11AC">
              <w:t>NovoRapid</w:t>
            </w:r>
            <w:proofErr w:type="spellEnd"/>
            <w:r w:rsidRPr="004F11AC">
              <w:t xml:space="preserve">® and insulin glargine once daily + </w:t>
            </w:r>
            <w:proofErr w:type="spellStart"/>
            <w:r w:rsidRPr="004F11AC">
              <w:t>NovoRapid</w:t>
            </w:r>
            <w:proofErr w:type="spellEnd"/>
            <w:r w:rsidRPr="004F11AC">
              <w:t>®, all in a basal-bolus regimen in subjects with type 1 diabetes.</w:t>
            </w:r>
          </w:p>
        </w:tc>
        <w:tc>
          <w:tcPr>
            <w:tcW w:w="1177" w:type="pct"/>
            <w:tcBorders>
              <w:bottom w:val="nil"/>
            </w:tcBorders>
          </w:tcPr>
          <w:p w14:paraId="1083C7AF" w14:textId="77777777" w:rsidR="00845150" w:rsidRPr="004F11AC" w:rsidRDefault="00845150" w:rsidP="00E208B7">
            <w:pPr>
              <w:pStyle w:val="COMTabletext"/>
              <w:keepNext w:val="0"/>
            </w:pPr>
            <w:r w:rsidRPr="004F11AC">
              <w:t>Report date: 1 April 2009.</w:t>
            </w:r>
          </w:p>
        </w:tc>
      </w:tr>
      <w:tr w:rsidR="00BA0730" w:rsidRPr="004F11AC" w14:paraId="2B03494F" w14:textId="77777777">
        <w:tc>
          <w:tcPr>
            <w:tcW w:w="940" w:type="pct"/>
            <w:vMerge/>
            <w:vAlign w:val="center"/>
          </w:tcPr>
          <w:p w14:paraId="7CCE1958" w14:textId="77777777" w:rsidR="00845150" w:rsidRPr="004F11AC" w:rsidRDefault="00845150" w:rsidP="00E208B7">
            <w:pPr>
              <w:pStyle w:val="COMTabletext"/>
              <w:keepNext w:val="0"/>
            </w:pPr>
          </w:p>
        </w:tc>
        <w:tc>
          <w:tcPr>
            <w:tcW w:w="2883" w:type="pct"/>
            <w:tcBorders>
              <w:top w:val="nil"/>
              <w:bottom w:val="nil"/>
            </w:tcBorders>
            <w:vAlign w:val="center"/>
          </w:tcPr>
          <w:p w14:paraId="09AF4074" w14:textId="77777777" w:rsidR="00845150" w:rsidRPr="004F11AC" w:rsidRDefault="00845150" w:rsidP="00E208B7">
            <w:pPr>
              <w:pStyle w:val="COMTabletext"/>
              <w:keepNext w:val="0"/>
              <w:spacing w:after="60"/>
            </w:pPr>
            <w:r w:rsidRPr="004F11AC">
              <w:t xml:space="preserve">Birkeland K.I., Home P.D., </w:t>
            </w:r>
            <w:proofErr w:type="spellStart"/>
            <w:r w:rsidRPr="004F11AC">
              <w:t>Wendisch</w:t>
            </w:r>
            <w:proofErr w:type="spellEnd"/>
            <w:r w:rsidRPr="004F11AC">
              <w:t xml:space="preserve"> U., et al. Insulin degludec in type 1 diabetes: a randomized controlled trial of a new-generation ultra-long-acting insulin compared with insulin glargine. </w:t>
            </w:r>
          </w:p>
        </w:tc>
        <w:tc>
          <w:tcPr>
            <w:tcW w:w="1177" w:type="pct"/>
            <w:tcBorders>
              <w:top w:val="nil"/>
              <w:bottom w:val="nil"/>
            </w:tcBorders>
          </w:tcPr>
          <w:p w14:paraId="234862CE" w14:textId="77777777" w:rsidR="00845150" w:rsidRPr="004F11AC" w:rsidRDefault="00845150" w:rsidP="00E208B7">
            <w:pPr>
              <w:pStyle w:val="COMTabletext"/>
              <w:keepNext w:val="0"/>
            </w:pPr>
            <w:r w:rsidRPr="004F11AC">
              <w:t>Diabetes Care 2012; 34(3):661-665.</w:t>
            </w:r>
          </w:p>
        </w:tc>
      </w:tr>
      <w:tr w:rsidR="00BA0730" w:rsidRPr="004F11AC" w14:paraId="3BE53FD0" w14:textId="77777777">
        <w:tc>
          <w:tcPr>
            <w:tcW w:w="940" w:type="pct"/>
            <w:vMerge/>
            <w:tcBorders>
              <w:bottom w:val="nil"/>
            </w:tcBorders>
            <w:vAlign w:val="center"/>
          </w:tcPr>
          <w:p w14:paraId="382038B0" w14:textId="77777777" w:rsidR="00845150" w:rsidRPr="004F11AC" w:rsidRDefault="00845150" w:rsidP="00E208B7">
            <w:pPr>
              <w:pStyle w:val="TableText"/>
              <w:keepNext w:val="0"/>
              <w:keepLines w:val="0"/>
              <w:widowControl/>
            </w:pPr>
          </w:p>
        </w:tc>
        <w:tc>
          <w:tcPr>
            <w:tcW w:w="2883" w:type="pct"/>
            <w:tcBorders>
              <w:top w:val="nil"/>
              <w:bottom w:val="nil"/>
            </w:tcBorders>
            <w:vAlign w:val="center"/>
          </w:tcPr>
          <w:p w14:paraId="472B7B5F" w14:textId="77777777" w:rsidR="00845150" w:rsidRPr="004F11AC" w:rsidRDefault="00845150" w:rsidP="00E208B7">
            <w:pPr>
              <w:pStyle w:val="COMTabletext"/>
              <w:keepNext w:val="0"/>
            </w:pPr>
            <w:r w:rsidRPr="004F11AC">
              <w:rPr>
                <w:rFonts w:cstheme="minorHAnsi"/>
              </w:rPr>
              <w:t xml:space="preserve">Home P.D., Meneghini L., </w:t>
            </w:r>
            <w:proofErr w:type="spellStart"/>
            <w:r w:rsidRPr="004F11AC">
              <w:rPr>
                <w:rFonts w:cstheme="minorHAnsi"/>
              </w:rPr>
              <w:t>Wendisch</w:t>
            </w:r>
            <w:proofErr w:type="spellEnd"/>
            <w:r w:rsidRPr="004F11AC">
              <w:rPr>
                <w:rFonts w:cstheme="minorHAnsi"/>
              </w:rPr>
              <w:t xml:space="preserve"> U., et al. Improved health status with insulin degludec compared with insulin glargine in people with type 1 diabetes.</w:t>
            </w:r>
          </w:p>
        </w:tc>
        <w:tc>
          <w:tcPr>
            <w:tcW w:w="1177" w:type="pct"/>
            <w:tcBorders>
              <w:top w:val="nil"/>
              <w:bottom w:val="nil"/>
            </w:tcBorders>
          </w:tcPr>
          <w:p w14:paraId="6A28D7A2" w14:textId="77777777" w:rsidR="00845150" w:rsidRPr="004F11AC" w:rsidRDefault="00845150" w:rsidP="00E208B7">
            <w:pPr>
              <w:pStyle w:val="COMTabletext"/>
              <w:keepNext w:val="0"/>
            </w:pPr>
            <w:r w:rsidRPr="004F11AC">
              <w:t>Diabetic Medicine 2012; 29(6):716-720.</w:t>
            </w:r>
          </w:p>
        </w:tc>
      </w:tr>
      <w:tr w:rsidR="00BA0730" w:rsidRPr="004F11AC" w14:paraId="461FF507" w14:textId="77777777">
        <w:tc>
          <w:tcPr>
            <w:tcW w:w="940" w:type="pct"/>
            <w:vMerge w:val="restart"/>
            <w:vAlign w:val="center"/>
          </w:tcPr>
          <w:p w14:paraId="64CDDFDC" w14:textId="77777777" w:rsidR="00845150" w:rsidRPr="004F11AC" w:rsidRDefault="00845150" w:rsidP="00E208B7">
            <w:pPr>
              <w:pStyle w:val="COMTabletext"/>
              <w:keepNext w:val="0"/>
            </w:pPr>
            <w:r w:rsidRPr="004F11AC">
              <w:t>Study 3995</w:t>
            </w:r>
          </w:p>
          <w:p w14:paraId="4911D7D5" w14:textId="77777777" w:rsidR="00845150" w:rsidRPr="004F11AC" w:rsidRDefault="00845150" w:rsidP="00E208B7">
            <w:pPr>
              <w:pStyle w:val="COMTabletext"/>
              <w:keepNext w:val="0"/>
            </w:pPr>
            <w:r w:rsidRPr="004F11AC">
              <w:t>(SWITCH 1)</w:t>
            </w:r>
          </w:p>
          <w:p w14:paraId="4C91E935" w14:textId="77777777" w:rsidR="00845150" w:rsidRPr="004F11AC" w:rsidRDefault="00845150" w:rsidP="00E208B7">
            <w:pPr>
              <w:pStyle w:val="COMTabletext"/>
              <w:keepNext w:val="0"/>
            </w:pPr>
            <w:r w:rsidRPr="004F11AC">
              <w:t>(NCT02034513)</w:t>
            </w:r>
          </w:p>
        </w:tc>
        <w:tc>
          <w:tcPr>
            <w:tcW w:w="2883" w:type="pct"/>
            <w:tcBorders>
              <w:bottom w:val="nil"/>
            </w:tcBorders>
            <w:vAlign w:val="center"/>
          </w:tcPr>
          <w:p w14:paraId="14AC8680" w14:textId="77777777" w:rsidR="00845150" w:rsidRPr="004F11AC" w:rsidRDefault="00845150" w:rsidP="00E208B7">
            <w:pPr>
              <w:pStyle w:val="COMTabletext"/>
              <w:keepNext w:val="0"/>
              <w:spacing w:after="60"/>
            </w:pPr>
            <w:r w:rsidRPr="004F11AC">
              <w:t xml:space="preserve">A randomised, double-blind, cross-over trial comparing the safety and efficacy of insulin degludec and insulin glargine, both with insulin </w:t>
            </w:r>
            <w:proofErr w:type="spellStart"/>
            <w:r w:rsidRPr="004F11AC">
              <w:t>aspart</w:t>
            </w:r>
            <w:proofErr w:type="spellEnd"/>
            <w:r w:rsidRPr="004F11AC">
              <w:t xml:space="preserve"> as mealtime insulin in subjects with type 1 diabetes.</w:t>
            </w:r>
          </w:p>
        </w:tc>
        <w:tc>
          <w:tcPr>
            <w:tcW w:w="1177" w:type="pct"/>
            <w:tcBorders>
              <w:bottom w:val="nil"/>
            </w:tcBorders>
          </w:tcPr>
          <w:p w14:paraId="39B093B9" w14:textId="77777777" w:rsidR="00845150" w:rsidRPr="004F11AC" w:rsidRDefault="00845150" w:rsidP="00E208B7">
            <w:pPr>
              <w:pStyle w:val="COMTabletext"/>
              <w:keepNext w:val="0"/>
            </w:pPr>
            <w:r w:rsidRPr="004F11AC">
              <w:t>Report date: 3 June 2016.</w:t>
            </w:r>
          </w:p>
        </w:tc>
      </w:tr>
      <w:tr w:rsidR="00BA0730" w:rsidRPr="004F11AC" w14:paraId="6971E8D8" w14:textId="77777777">
        <w:trPr>
          <w:trHeight w:val="512"/>
        </w:trPr>
        <w:tc>
          <w:tcPr>
            <w:tcW w:w="940" w:type="pct"/>
            <w:vMerge/>
            <w:vAlign w:val="center"/>
          </w:tcPr>
          <w:p w14:paraId="5307D8B2" w14:textId="77777777" w:rsidR="00845150" w:rsidRPr="004F11AC" w:rsidRDefault="00845150" w:rsidP="00E208B7">
            <w:pPr>
              <w:pStyle w:val="COMTabletext"/>
              <w:keepNext w:val="0"/>
            </w:pPr>
          </w:p>
        </w:tc>
        <w:tc>
          <w:tcPr>
            <w:tcW w:w="2883" w:type="pct"/>
            <w:tcBorders>
              <w:top w:val="nil"/>
            </w:tcBorders>
            <w:vAlign w:val="center"/>
          </w:tcPr>
          <w:p w14:paraId="6F11059E" w14:textId="77777777" w:rsidR="00845150" w:rsidRPr="004F11AC" w:rsidRDefault="00845150" w:rsidP="00E208B7">
            <w:pPr>
              <w:pStyle w:val="COMTabletext"/>
              <w:keepNext w:val="0"/>
            </w:pPr>
            <w:r w:rsidRPr="00D25DB5">
              <w:rPr>
                <w:lang w:val="da-DK"/>
              </w:rPr>
              <w:t xml:space="preserve">Lane W., Bailey T.S., Gerety G., et al. </w:t>
            </w:r>
            <w:r w:rsidRPr="004F11AC">
              <w:t xml:space="preserve">Effect of insulin degludec vs insulin glargine U100 on </w:t>
            </w:r>
            <w:proofErr w:type="spellStart"/>
            <w:r w:rsidRPr="004F11AC">
              <w:t>hypoglycemia</w:t>
            </w:r>
            <w:proofErr w:type="spellEnd"/>
            <w:r w:rsidRPr="004F11AC">
              <w:t xml:space="preserve"> in patients with type 1 diabetes: The SWITCH 1 randomized clinical trial.</w:t>
            </w:r>
          </w:p>
        </w:tc>
        <w:tc>
          <w:tcPr>
            <w:tcW w:w="1177" w:type="pct"/>
            <w:tcBorders>
              <w:top w:val="nil"/>
            </w:tcBorders>
          </w:tcPr>
          <w:p w14:paraId="7B11803F" w14:textId="77777777" w:rsidR="00845150" w:rsidRPr="004F11AC" w:rsidRDefault="00845150" w:rsidP="00E208B7">
            <w:pPr>
              <w:pStyle w:val="COMTabletext"/>
              <w:keepNext w:val="0"/>
            </w:pPr>
            <w:r w:rsidRPr="004F11AC">
              <w:t>JAMA 2017; 318(1):33-44.</w:t>
            </w:r>
          </w:p>
        </w:tc>
      </w:tr>
      <w:tr w:rsidR="00BA0730" w:rsidRPr="004F11AC" w14:paraId="483722F5" w14:textId="77777777">
        <w:tc>
          <w:tcPr>
            <w:tcW w:w="940" w:type="pct"/>
            <w:vMerge w:val="restart"/>
            <w:vAlign w:val="center"/>
          </w:tcPr>
          <w:p w14:paraId="51FE9F54" w14:textId="77777777" w:rsidR="00845150" w:rsidRPr="004F11AC" w:rsidRDefault="00845150" w:rsidP="00E208B7">
            <w:pPr>
              <w:pStyle w:val="COMTabletext"/>
              <w:keepNext w:val="0"/>
            </w:pPr>
            <w:proofErr w:type="spellStart"/>
            <w:r w:rsidRPr="004F11AC">
              <w:t>HypoDeg</w:t>
            </w:r>
            <w:proofErr w:type="spellEnd"/>
          </w:p>
          <w:p w14:paraId="303332D5" w14:textId="77777777" w:rsidR="00845150" w:rsidRPr="004F11AC" w:rsidRDefault="00845150" w:rsidP="00E208B7">
            <w:pPr>
              <w:pStyle w:val="COMTabletext"/>
              <w:keepNext w:val="0"/>
            </w:pPr>
            <w:r w:rsidRPr="004F11AC">
              <w:t>(NCT02192450)</w:t>
            </w:r>
          </w:p>
        </w:tc>
        <w:tc>
          <w:tcPr>
            <w:tcW w:w="2883" w:type="pct"/>
            <w:tcBorders>
              <w:bottom w:val="nil"/>
            </w:tcBorders>
            <w:vAlign w:val="center"/>
          </w:tcPr>
          <w:p w14:paraId="3731DCA3" w14:textId="77777777" w:rsidR="00845150" w:rsidRPr="004F11AC" w:rsidRDefault="00845150" w:rsidP="00E208B7">
            <w:pPr>
              <w:pStyle w:val="COMTabletext"/>
              <w:keepNext w:val="0"/>
              <w:spacing w:after="60"/>
            </w:pPr>
            <w:r w:rsidRPr="00D25DB5">
              <w:rPr>
                <w:lang w:val="da-DK"/>
              </w:rPr>
              <w:t xml:space="preserve">Pedersen-Bjergaard U., Agesen R.M., Brøsen J.M.B., et al. </w:t>
            </w:r>
            <w:r w:rsidRPr="004F11AC">
              <w:t xml:space="preserve">Comparison of treatment with insulin degludec and glargine U100 in patients with type 1 diabetes prone to nocturnal severe hypoglycaemia: The </w:t>
            </w:r>
            <w:proofErr w:type="spellStart"/>
            <w:r w:rsidRPr="004F11AC">
              <w:t>HypoDeg</w:t>
            </w:r>
            <w:proofErr w:type="spellEnd"/>
            <w:r w:rsidRPr="004F11AC">
              <w:t xml:space="preserve"> randomized, controlled, open-label, crossover trial. </w:t>
            </w:r>
          </w:p>
        </w:tc>
        <w:tc>
          <w:tcPr>
            <w:tcW w:w="1177" w:type="pct"/>
            <w:tcBorders>
              <w:bottom w:val="nil"/>
            </w:tcBorders>
          </w:tcPr>
          <w:p w14:paraId="0EEA2917" w14:textId="77777777" w:rsidR="00845150" w:rsidRPr="004F11AC" w:rsidRDefault="00845150" w:rsidP="00E208B7">
            <w:pPr>
              <w:pStyle w:val="COMTabletext"/>
              <w:keepNext w:val="0"/>
            </w:pPr>
            <w:r w:rsidRPr="004F11AC">
              <w:t>Diabetes Obesity and Metabolism 2022; 24(2):257-267.</w:t>
            </w:r>
          </w:p>
        </w:tc>
      </w:tr>
      <w:tr w:rsidR="00BA0730" w:rsidRPr="004F11AC" w14:paraId="4E0EBE69" w14:textId="77777777">
        <w:tc>
          <w:tcPr>
            <w:tcW w:w="940" w:type="pct"/>
            <w:vMerge/>
            <w:vAlign w:val="center"/>
          </w:tcPr>
          <w:p w14:paraId="0644F569" w14:textId="77777777" w:rsidR="00845150" w:rsidRPr="004F11AC" w:rsidRDefault="00845150" w:rsidP="00E208B7">
            <w:pPr>
              <w:pStyle w:val="COMTabletext"/>
              <w:keepNext w:val="0"/>
            </w:pPr>
          </w:p>
        </w:tc>
        <w:tc>
          <w:tcPr>
            <w:tcW w:w="2883" w:type="pct"/>
            <w:tcBorders>
              <w:top w:val="nil"/>
              <w:bottom w:val="single" w:sz="4" w:space="0" w:color="auto"/>
            </w:tcBorders>
            <w:vAlign w:val="center"/>
          </w:tcPr>
          <w:p w14:paraId="1E877FE8" w14:textId="77777777" w:rsidR="00845150" w:rsidRPr="004F11AC" w:rsidRDefault="00845150" w:rsidP="00E208B7">
            <w:pPr>
              <w:pStyle w:val="COMTabletext"/>
            </w:pPr>
            <w:r w:rsidRPr="00D25DB5">
              <w:rPr>
                <w:lang w:val="da-DK"/>
              </w:rPr>
              <w:t xml:space="preserve">Brøsen J.M.B, Agesen R.M., Kristensen P.L., et al. </w:t>
            </w:r>
            <w:r w:rsidRPr="004F11AC">
              <w:t xml:space="preserve">Effect of insulin degludec versus insulin glargine U100 on nocturnal glycaemia assessed by plasma glucose profiles in people with type 1 diabetes prone to nocturnal severe hypoglycaemia. </w:t>
            </w:r>
          </w:p>
        </w:tc>
        <w:tc>
          <w:tcPr>
            <w:tcW w:w="1177" w:type="pct"/>
            <w:tcBorders>
              <w:top w:val="nil"/>
              <w:bottom w:val="single" w:sz="4" w:space="0" w:color="auto"/>
            </w:tcBorders>
          </w:tcPr>
          <w:p w14:paraId="4F42BB0D" w14:textId="77777777" w:rsidR="00845150" w:rsidRPr="004F11AC" w:rsidRDefault="00845150" w:rsidP="00E208B7">
            <w:pPr>
              <w:pStyle w:val="COMTabletext"/>
              <w:keepNext w:val="0"/>
            </w:pPr>
            <w:r w:rsidRPr="004F11AC">
              <w:t>Diabetes Obesity and Metabolism 2023; 25(6):1557-1565.</w:t>
            </w:r>
          </w:p>
        </w:tc>
      </w:tr>
    </w:tbl>
    <w:p w14:paraId="51D8173A" w14:textId="671C78CF" w:rsidR="008E0D3C" w:rsidRPr="004F11AC" w:rsidRDefault="008E0D3C" w:rsidP="00E208B7">
      <w:pPr>
        <w:pStyle w:val="COMTablefooter"/>
        <w:rPr>
          <w:sz w:val="20"/>
        </w:rPr>
      </w:pPr>
      <w:r w:rsidRPr="004F11AC">
        <w:lastRenderedPageBreak/>
        <w:t xml:space="preserve">Source: </w:t>
      </w:r>
      <w:r w:rsidR="005C4696" w:rsidRPr="004F11AC">
        <w:t>Table 2-2, pp26-27 of the resubmission</w:t>
      </w:r>
      <w:r w:rsidRPr="004F11AC">
        <w:t>.</w:t>
      </w:r>
    </w:p>
    <w:p w14:paraId="1DD06D7D" w14:textId="5782E1B3" w:rsidR="007F1017" w:rsidRPr="004F11AC" w:rsidRDefault="008F120A" w:rsidP="00E208B7">
      <w:pPr>
        <w:pStyle w:val="COMexecsummnumbered"/>
      </w:pPr>
      <w:r w:rsidRPr="004F11AC">
        <w:t xml:space="preserve">The key features of the </w:t>
      </w:r>
      <w:r w:rsidR="0090329F" w:rsidRPr="004F11AC">
        <w:t xml:space="preserve">included trials </w:t>
      </w:r>
      <w:r w:rsidRPr="004F11AC">
        <w:t>are summarised in</w:t>
      </w:r>
      <w:r w:rsidR="00D6076E" w:rsidRPr="004F11AC">
        <w:t xml:space="preserve"> </w:t>
      </w:r>
      <w:r w:rsidR="00D6076E" w:rsidRPr="004F11AC">
        <w:fldChar w:fldCharType="begin"/>
      </w:r>
      <w:r w:rsidR="00D6076E" w:rsidRPr="004F11AC">
        <w:instrText xml:space="preserve"> REF _Ref104804098 \h  \* MERGEFORMAT </w:instrText>
      </w:r>
      <w:r w:rsidR="00D6076E" w:rsidRPr="004F11AC">
        <w:fldChar w:fldCharType="separate"/>
      </w:r>
      <w:r w:rsidR="00280138" w:rsidRPr="004F11AC">
        <w:t xml:space="preserve">Table </w:t>
      </w:r>
      <w:r w:rsidR="00280138">
        <w:rPr>
          <w:noProof/>
        </w:rPr>
        <w:t>4</w:t>
      </w:r>
      <w:r w:rsidR="00D6076E" w:rsidRPr="004F11AC">
        <w:fldChar w:fldCharType="end"/>
      </w:r>
      <w:r w:rsidRPr="004F11AC">
        <w:t>.</w:t>
      </w:r>
    </w:p>
    <w:p w14:paraId="355E2F15" w14:textId="624FE46A" w:rsidR="007F1017" w:rsidRPr="004F11AC" w:rsidRDefault="00696EF9" w:rsidP="00E208B7">
      <w:pPr>
        <w:pStyle w:val="Caption"/>
      </w:pPr>
      <w:bookmarkStart w:id="20" w:name="_Ref104804098"/>
      <w:r w:rsidRPr="004F11AC">
        <w:t xml:space="preserve">Table </w:t>
      </w:r>
      <w:r w:rsidR="00D87C74" w:rsidRPr="004F11AC">
        <w:fldChar w:fldCharType="begin"/>
      </w:r>
      <w:r w:rsidR="00D87C74" w:rsidRPr="004F11AC">
        <w:instrText xml:space="preserve"> SEQ Table \* ARABIC </w:instrText>
      </w:r>
      <w:r w:rsidR="00D87C74" w:rsidRPr="004F11AC">
        <w:fldChar w:fldCharType="separate"/>
      </w:r>
      <w:r w:rsidR="00280138">
        <w:rPr>
          <w:noProof/>
        </w:rPr>
        <w:t>4</w:t>
      </w:r>
      <w:r w:rsidR="00D87C74" w:rsidRPr="004F11AC">
        <w:fldChar w:fldCharType="end"/>
      </w:r>
      <w:bookmarkEnd w:id="20"/>
      <w:r w:rsidR="00D6076E" w:rsidRPr="004F11AC">
        <w:t xml:space="preserve">: </w:t>
      </w:r>
      <w:r w:rsidR="007F1017" w:rsidRPr="004F11AC">
        <w:t>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4: Key features of the included evidence"/>
      </w:tblPr>
      <w:tblGrid>
        <w:gridCol w:w="986"/>
        <w:gridCol w:w="426"/>
        <w:gridCol w:w="992"/>
        <w:gridCol w:w="711"/>
        <w:gridCol w:w="1134"/>
        <w:gridCol w:w="2409"/>
        <w:gridCol w:w="2359"/>
      </w:tblGrid>
      <w:tr w:rsidR="00BA0730" w:rsidRPr="004F11AC" w14:paraId="64BF68B1" w14:textId="77777777">
        <w:trPr>
          <w:cantSplit/>
          <w:tblHeader/>
        </w:trPr>
        <w:tc>
          <w:tcPr>
            <w:tcW w:w="546" w:type="pct"/>
            <w:vAlign w:val="center"/>
          </w:tcPr>
          <w:p w14:paraId="347A35D1" w14:textId="77777777" w:rsidR="00925AEB" w:rsidRPr="004F11AC" w:rsidRDefault="00925AEB" w:rsidP="00E208B7">
            <w:pPr>
              <w:pStyle w:val="COMTableheadingrow"/>
              <w:jc w:val="center"/>
              <w:rPr>
                <w:szCs w:val="20"/>
                <w:lang w:val="en-AU"/>
              </w:rPr>
            </w:pPr>
            <w:r w:rsidRPr="004F11AC">
              <w:rPr>
                <w:szCs w:val="20"/>
                <w:lang w:val="en-AU"/>
              </w:rPr>
              <w:t>Trial</w:t>
            </w:r>
          </w:p>
        </w:tc>
        <w:tc>
          <w:tcPr>
            <w:tcW w:w="236" w:type="pct"/>
            <w:vAlign w:val="center"/>
          </w:tcPr>
          <w:p w14:paraId="4F6F6E43" w14:textId="77777777" w:rsidR="00925AEB" w:rsidRPr="004F11AC" w:rsidRDefault="00925AEB" w:rsidP="00E208B7">
            <w:pPr>
              <w:pStyle w:val="COMTableheadingrow"/>
              <w:jc w:val="center"/>
              <w:rPr>
                <w:szCs w:val="20"/>
                <w:lang w:val="en-AU"/>
              </w:rPr>
            </w:pPr>
            <w:r w:rsidRPr="004F11AC">
              <w:rPr>
                <w:szCs w:val="20"/>
                <w:lang w:val="en-AU"/>
              </w:rPr>
              <w:t>N</w:t>
            </w:r>
          </w:p>
        </w:tc>
        <w:tc>
          <w:tcPr>
            <w:tcW w:w="550" w:type="pct"/>
            <w:vAlign w:val="center"/>
          </w:tcPr>
          <w:p w14:paraId="00E5EA4B" w14:textId="77777777" w:rsidR="00925AEB" w:rsidRPr="004F11AC" w:rsidRDefault="00925AEB" w:rsidP="00E208B7">
            <w:pPr>
              <w:pStyle w:val="COMTableheadingrow"/>
              <w:jc w:val="center"/>
              <w:rPr>
                <w:szCs w:val="20"/>
                <w:lang w:val="en-AU"/>
              </w:rPr>
            </w:pPr>
            <w:r w:rsidRPr="004F11AC">
              <w:rPr>
                <w:szCs w:val="20"/>
                <w:lang w:val="en-AU"/>
              </w:rPr>
              <w:t>Design/ duration</w:t>
            </w:r>
          </w:p>
        </w:tc>
        <w:tc>
          <w:tcPr>
            <w:tcW w:w="394" w:type="pct"/>
            <w:vAlign w:val="center"/>
          </w:tcPr>
          <w:p w14:paraId="0F59EC95" w14:textId="77777777" w:rsidR="00925AEB" w:rsidRPr="004F11AC" w:rsidRDefault="00925AEB" w:rsidP="00E208B7">
            <w:pPr>
              <w:pStyle w:val="COMTableheadingrow"/>
              <w:jc w:val="center"/>
              <w:rPr>
                <w:szCs w:val="20"/>
                <w:lang w:val="en-AU"/>
              </w:rPr>
            </w:pPr>
            <w:r w:rsidRPr="004F11AC">
              <w:rPr>
                <w:szCs w:val="20"/>
                <w:lang w:val="en-AU"/>
              </w:rPr>
              <w:t>Risk of bias</w:t>
            </w:r>
          </w:p>
        </w:tc>
        <w:tc>
          <w:tcPr>
            <w:tcW w:w="629" w:type="pct"/>
            <w:vAlign w:val="center"/>
          </w:tcPr>
          <w:p w14:paraId="07D5BF7D" w14:textId="77777777" w:rsidR="00925AEB" w:rsidRPr="004F11AC" w:rsidRDefault="00925AEB" w:rsidP="00E208B7">
            <w:pPr>
              <w:pStyle w:val="COMTableheadingrow"/>
              <w:jc w:val="center"/>
              <w:rPr>
                <w:szCs w:val="20"/>
                <w:lang w:val="en-AU"/>
              </w:rPr>
            </w:pPr>
            <w:r w:rsidRPr="004F11AC">
              <w:rPr>
                <w:szCs w:val="20"/>
                <w:lang w:val="en-AU"/>
              </w:rPr>
              <w:t>Interventions</w:t>
            </w:r>
          </w:p>
        </w:tc>
        <w:tc>
          <w:tcPr>
            <w:tcW w:w="1336" w:type="pct"/>
            <w:vAlign w:val="center"/>
          </w:tcPr>
          <w:p w14:paraId="2E1FD599" w14:textId="77777777" w:rsidR="00925AEB" w:rsidRPr="004F11AC" w:rsidRDefault="00925AEB" w:rsidP="00E208B7">
            <w:pPr>
              <w:pStyle w:val="COMTableheadingrow"/>
              <w:jc w:val="center"/>
              <w:rPr>
                <w:szCs w:val="20"/>
                <w:lang w:val="en-AU"/>
              </w:rPr>
            </w:pPr>
            <w:r w:rsidRPr="004F11AC">
              <w:rPr>
                <w:szCs w:val="20"/>
                <w:lang w:val="en-AU"/>
              </w:rPr>
              <w:t>Patient population</w:t>
            </w:r>
          </w:p>
        </w:tc>
        <w:tc>
          <w:tcPr>
            <w:tcW w:w="1308" w:type="pct"/>
            <w:vAlign w:val="center"/>
          </w:tcPr>
          <w:p w14:paraId="16520CBD" w14:textId="77777777" w:rsidR="00925AEB" w:rsidRPr="004F11AC" w:rsidRDefault="00925AEB" w:rsidP="00E208B7">
            <w:pPr>
              <w:pStyle w:val="COMTableheadingrow"/>
              <w:jc w:val="center"/>
              <w:rPr>
                <w:szCs w:val="20"/>
                <w:lang w:val="en-AU"/>
              </w:rPr>
            </w:pPr>
            <w:r w:rsidRPr="004F11AC">
              <w:rPr>
                <w:szCs w:val="20"/>
                <w:lang w:val="en-AU"/>
              </w:rPr>
              <w:t>Key primary and secondary outcomes</w:t>
            </w:r>
          </w:p>
        </w:tc>
      </w:tr>
      <w:tr w:rsidR="00BA0730" w:rsidRPr="004F11AC" w14:paraId="580690FC" w14:textId="77777777">
        <w:trPr>
          <w:cantSplit/>
        </w:trPr>
        <w:tc>
          <w:tcPr>
            <w:tcW w:w="546" w:type="pct"/>
            <w:vAlign w:val="center"/>
          </w:tcPr>
          <w:p w14:paraId="1E202F13" w14:textId="77777777" w:rsidR="00925AEB" w:rsidRPr="004F11AC" w:rsidRDefault="00925AEB" w:rsidP="00E208B7">
            <w:pPr>
              <w:pStyle w:val="COMTabletext"/>
              <w:rPr>
                <w:szCs w:val="20"/>
              </w:rPr>
            </w:pPr>
            <w:r w:rsidRPr="004F11AC">
              <w:rPr>
                <w:szCs w:val="20"/>
              </w:rPr>
              <w:t>Study 3583</w:t>
            </w:r>
          </w:p>
        </w:tc>
        <w:tc>
          <w:tcPr>
            <w:tcW w:w="236" w:type="pct"/>
            <w:vAlign w:val="center"/>
          </w:tcPr>
          <w:p w14:paraId="53BAA2C0" w14:textId="77777777" w:rsidR="00925AEB" w:rsidRPr="004F11AC" w:rsidRDefault="00925AEB" w:rsidP="00E208B7">
            <w:pPr>
              <w:pStyle w:val="COMTabletext"/>
              <w:jc w:val="center"/>
              <w:rPr>
                <w:szCs w:val="20"/>
              </w:rPr>
            </w:pPr>
            <w:r w:rsidRPr="004F11AC">
              <w:rPr>
                <w:szCs w:val="20"/>
              </w:rPr>
              <w:t>629</w:t>
            </w:r>
          </w:p>
        </w:tc>
        <w:tc>
          <w:tcPr>
            <w:tcW w:w="550" w:type="pct"/>
            <w:vAlign w:val="center"/>
          </w:tcPr>
          <w:p w14:paraId="3A027817" w14:textId="77777777" w:rsidR="00925AEB" w:rsidRPr="004F11AC" w:rsidRDefault="00925AEB" w:rsidP="00E208B7">
            <w:pPr>
              <w:pStyle w:val="Table"/>
              <w:jc w:val="center"/>
              <w:rPr>
                <w:rFonts w:ascii="Arial Narrow" w:hAnsi="Arial Narrow"/>
                <w:szCs w:val="20"/>
              </w:rPr>
            </w:pPr>
            <w:r w:rsidRPr="004F11AC">
              <w:rPr>
                <w:rFonts w:ascii="Arial Narrow" w:hAnsi="Arial Narrow"/>
                <w:szCs w:val="20"/>
              </w:rPr>
              <w:t>Phase 3,</w:t>
            </w:r>
          </w:p>
          <w:p w14:paraId="0BC5EA1E" w14:textId="77777777" w:rsidR="00925AEB" w:rsidRPr="004F11AC" w:rsidRDefault="00925AEB" w:rsidP="00E208B7">
            <w:pPr>
              <w:pStyle w:val="Table"/>
              <w:jc w:val="center"/>
              <w:rPr>
                <w:rFonts w:ascii="Arial Narrow" w:hAnsi="Arial Narrow"/>
                <w:szCs w:val="20"/>
              </w:rPr>
            </w:pPr>
            <w:r w:rsidRPr="004F11AC">
              <w:rPr>
                <w:rFonts w:ascii="Arial Narrow" w:hAnsi="Arial Narrow"/>
                <w:szCs w:val="20"/>
              </w:rPr>
              <w:t>R, OL, P, MC</w:t>
            </w:r>
          </w:p>
          <w:p w14:paraId="42B3399F" w14:textId="77777777" w:rsidR="00925AEB" w:rsidRPr="004F11AC" w:rsidRDefault="00925AEB" w:rsidP="00E208B7">
            <w:pPr>
              <w:pStyle w:val="COMTabletext"/>
              <w:jc w:val="center"/>
              <w:rPr>
                <w:szCs w:val="20"/>
              </w:rPr>
            </w:pPr>
            <w:r w:rsidRPr="004F11AC">
              <w:rPr>
                <w:szCs w:val="20"/>
              </w:rPr>
              <w:t>52 weeks</w:t>
            </w:r>
          </w:p>
        </w:tc>
        <w:tc>
          <w:tcPr>
            <w:tcW w:w="394" w:type="pct"/>
            <w:vAlign w:val="center"/>
          </w:tcPr>
          <w:p w14:paraId="70B64F7E" w14:textId="77777777" w:rsidR="00925AEB" w:rsidRPr="004F11AC" w:rsidRDefault="00925AEB" w:rsidP="00E208B7">
            <w:pPr>
              <w:pStyle w:val="COMTabletext"/>
              <w:jc w:val="center"/>
              <w:rPr>
                <w:szCs w:val="20"/>
              </w:rPr>
            </w:pPr>
            <w:r w:rsidRPr="004F11AC">
              <w:rPr>
                <w:szCs w:val="20"/>
              </w:rPr>
              <w:t>High</w:t>
            </w:r>
          </w:p>
        </w:tc>
        <w:tc>
          <w:tcPr>
            <w:tcW w:w="629" w:type="pct"/>
            <w:vAlign w:val="center"/>
          </w:tcPr>
          <w:p w14:paraId="1D148099" w14:textId="77777777" w:rsidR="00925AEB" w:rsidRPr="004F11AC" w:rsidRDefault="00925AEB" w:rsidP="00E208B7">
            <w:pPr>
              <w:pStyle w:val="COMTabletext"/>
              <w:jc w:val="center"/>
              <w:rPr>
                <w:szCs w:val="20"/>
              </w:rPr>
            </w:pPr>
            <w:proofErr w:type="spellStart"/>
            <w:r w:rsidRPr="004F11AC">
              <w:rPr>
                <w:szCs w:val="20"/>
              </w:rPr>
              <w:t>IDeg</w:t>
            </w:r>
            <w:proofErr w:type="spellEnd"/>
            <w:r w:rsidRPr="004F11AC">
              <w:rPr>
                <w:szCs w:val="20"/>
              </w:rPr>
              <w:t xml:space="preserve"> + </w:t>
            </w:r>
            <w:proofErr w:type="spellStart"/>
            <w:r w:rsidRPr="004F11AC">
              <w:rPr>
                <w:szCs w:val="20"/>
              </w:rPr>
              <w:t>IAsp</w:t>
            </w:r>
            <w:proofErr w:type="spellEnd"/>
            <w:r w:rsidRPr="004F11AC">
              <w:rPr>
                <w:szCs w:val="20"/>
              </w:rPr>
              <w:t>,</w:t>
            </w:r>
          </w:p>
          <w:p w14:paraId="36962FBF" w14:textId="77777777" w:rsidR="00925AEB" w:rsidRPr="004F11AC" w:rsidRDefault="00925AEB" w:rsidP="00E208B7">
            <w:pPr>
              <w:pStyle w:val="COMTabletext"/>
              <w:jc w:val="center"/>
              <w:rPr>
                <w:szCs w:val="20"/>
              </w:rPr>
            </w:pPr>
            <w:proofErr w:type="spellStart"/>
            <w:r w:rsidRPr="004F11AC">
              <w:rPr>
                <w:szCs w:val="20"/>
              </w:rPr>
              <w:t>IGlar</w:t>
            </w:r>
            <w:proofErr w:type="spellEnd"/>
            <w:r w:rsidRPr="004F11AC">
              <w:rPr>
                <w:szCs w:val="20"/>
              </w:rPr>
              <w:t xml:space="preserve"> + </w:t>
            </w:r>
            <w:proofErr w:type="spellStart"/>
            <w:r w:rsidRPr="004F11AC">
              <w:rPr>
                <w:szCs w:val="20"/>
              </w:rPr>
              <w:t>IAsp</w:t>
            </w:r>
            <w:proofErr w:type="spellEnd"/>
          </w:p>
        </w:tc>
        <w:tc>
          <w:tcPr>
            <w:tcW w:w="1336" w:type="pct"/>
            <w:vAlign w:val="center"/>
          </w:tcPr>
          <w:p w14:paraId="3AB274C6" w14:textId="36444EF4" w:rsidR="00925AEB" w:rsidRPr="004F11AC" w:rsidRDefault="00925AEB" w:rsidP="00E208B7">
            <w:pPr>
              <w:pStyle w:val="COMTabletext"/>
              <w:jc w:val="center"/>
              <w:rPr>
                <w:szCs w:val="20"/>
              </w:rPr>
            </w:pPr>
            <w:r w:rsidRPr="004F11AC">
              <w:rPr>
                <w:szCs w:val="20"/>
              </w:rPr>
              <w:t xml:space="preserve">Adults ≥18 years </w:t>
            </w:r>
            <w:r w:rsidRPr="004F11AC">
              <w:rPr>
                <w:szCs w:val="20"/>
              </w:rPr>
              <w:br/>
              <w:t xml:space="preserve">diagnosis of T1D ≥12 </w:t>
            </w:r>
            <w:proofErr w:type="spellStart"/>
            <w:r w:rsidRPr="004F11AC">
              <w:rPr>
                <w:szCs w:val="20"/>
              </w:rPr>
              <w:t>mths</w:t>
            </w:r>
            <w:proofErr w:type="spellEnd"/>
            <w:r w:rsidRPr="004F11AC">
              <w:rPr>
                <w:szCs w:val="20"/>
              </w:rPr>
              <w:br/>
              <w:t xml:space="preserve">on basal-bolus insulin ≥12 </w:t>
            </w:r>
            <w:proofErr w:type="spellStart"/>
            <w:r w:rsidRPr="004F11AC">
              <w:rPr>
                <w:szCs w:val="20"/>
              </w:rPr>
              <w:t>mths</w:t>
            </w:r>
            <w:proofErr w:type="spellEnd"/>
            <w:r w:rsidRPr="004F11AC">
              <w:rPr>
                <w:szCs w:val="20"/>
              </w:rPr>
              <w:t xml:space="preserve"> </w:t>
            </w:r>
            <w:r w:rsidRPr="004F11AC">
              <w:rPr>
                <w:szCs w:val="20"/>
              </w:rPr>
              <w:br/>
              <w:t>HbA1c ≤10.0%, BMI ≤35 kg/m</w:t>
            </w:r>
            <w:r w:rsidRPr="004F11AC">
              <w:rPr>
                <w:szCs w:val="20"/>
                <w:vertAlign w:val="superscript"/>
              </w:rPr>
              <w:t>2</w:t>
            </w:r>
          </w:p>
        </w:tc>
        <w:tc>
          <w:tcPr>
            <w:tcW w:w="1308" w:type="pct"/>
            <w:vAlign w:val="center"/>
          </w:tcPr>
          <w:p w14:paraId="6B36A738" w14:textId="77777777" w:rsidR="00925AEB" w:rsidRPr="004F11AC" w:rsidRDefault="00925AEB" w:rsidP="00E208B7">
            <w:pPr>
              <w:pStyle w:val="COMTabletext"/>
              <w:jc w:val="center"/>
              <w:rPr>
                <w:szCs w:val="20"/>
              </w:rPr>
            </w:pPr>
            <w:r w:rsidRPr="004F11AC">
              <w:rPr>
                <w:szCs w:val="20"/>
              </w:rPr>
              <w:t>Change from baseline HbA1c,</w:t>
            </w:r>
          </w:p>
          <w:p w14:paraId="2ABA00A3" w14:textId="37064F8D" w:rsidR="00925AEB" w:rsidRPr="004F11AC" w:rsidRDefault="00F51934" w:rsidP="00E208B7">
            <w:pPr>
              <w:pStyle w:val="COMTabletext"/>
              <w:jc w:val="center"/>
              <w:rPr>
                <w:szCs w:val="20"/>
              </w:rPr>
            </w:pPr>
            <w:r w:rsidRPr="004F11AC">
              <w:rPr>
                <w:szCs w:val="20"/>
              </w:rPr>
              <w:t>a</w:t>
            </w:r>
            <w:r w:rsidR="00925AEB" w:rsidRPr="004F11AC">
              <w:rPr>
                <w:szCs w:val="20"/>
              </w:rPr>
              <w:t xml:space="preserve">chieving glycaemic goals, </w:t>
            </w:r>
          </w:p>
          <w:p w14:paraId="3CB73945" w14:textId="4FB104D2" w:rsidR="00925AEB" w:rsidRPr="004F11AC" w:rsidRDefault="00F51934" w:rsidP="00E208B7">
            <w:pPr>
              <w:pStyle w:val="COMTabletext"/>
              <w:jc w:val="center"/>
              <w:rPr>
                <w:szCs w:val="20"/>
              </w:rPr>
            </w:pPr>
            <w:r w:rsidRPr="004F11AC">
              <w:rPr>
                <w:szCs w:val="20"/>
              </w:rPr>
              <w:t>r</w:t>
            </w:r>
            <w:r w:rsidR="00925AEB" w:rsidRPr="004F11AC">
              <w:rPr>
                <w:szCs w:val="20"/>
              </w:rPr>
              <w:t>ate of hypoglycaemia and nocturnal hypoglycaemia episodes,</w:t>
            </w:r>
          </w:p>
          <w:p w14:paraId="5C1CCD8D" w14:textId="77777777" w:rsidR="00925AEB" w:rsidRPr="004F11AC" w:rsidRDefault="00925AEB" w:rsidP="00E208B7">
            <w:pPr>
              <w:pStyle w:val="COMTabletext"/>
              <w:jc w:val="center"/>
              <w:rPr>
                <w:szCs w:val="20"/>
              </w:rPr>
            </w:pPr>
            <w:r w:rsidRPr="004F11AC">
              <w:rPr>
                <w:szCs w:val="20"/>
              </w:rPr>
              <w:t>QoL outcomes, adverse events</w:t>
            </w:r>
          </w:p>
        </w:tc>
      </w:tr>
      <w:tr w:rsidR="00BA0730" w:rsidRPr="004F11AC" w14:paraId="43B55219" w14:textId="77777777">
        <w:trPr>
          <w:cantSplit/>
        </w:trPr>
        <w:tc>
          <w:tcPr>
            <w:tcW w:w="546" w:type="pct"/>
            <w:vAlign w:val="center"/>
          </w:tcPr>
          <w:p w14:paraId="0EF4E991" w14:textId="77777777" w:rsidR="00925AEB" w:rsidRPr="004F11AC" w:rsidRDefault="00925AEB" w:rsidP="00E208B7">
            <w:pPr>
              <w:pStyle w:val="COMTabletext"/>
              <w:rPr>
                <w:szCs w:val="20"/>
              </w:rPr>
            </w:pPr>
            <w:r w:rsidRPr="004F11AC">
              <w:rPr>
                <w:szCs w:val="20"/>
              </w:rPr>
              <w:t>Study 3770</w:t>
            </w:r>
          </w:p>
        </w:tc>
        <w:tc>
          <w:tcPr>
            <w:tcW w:w="236" w:type="pct"/>
            <w:vAlign w:val="center"/>
          </w:tcPr>
          <w:p w14:paraId="64B1273B" w14:textId="77777777" w:rsidR="00925AEB" w:rsidRPr="004F11AC" w:rsidRDefault="00925AEB" w:rsidP="00E208B7">
            <w:pPr>
              <w:pStyle w:val="COMTabletext"/>
              <w:jc w:val="center"/>
              <w:rPr>
                <w:szCs w:val="20"/>
              </w:rPr>
            </w:pPr>
            <w:r w:rsidRPr="004F11AC">
              <w:rPr>
                <w:szCs w:val="20"/>
              </w:rPr>
              <w:t>493</w:t>
            </w:r>
          </w:p>
        </w:tc>
        <w:tc>
          <w:tcPr>
            <w:tcW w:w="550" w:type="pct"/>
            <w:vAlign w:val="center"/>
          </w:tcPr>
          <w:p w14:paraId="7B3AEE2D" w14:textId="77777777" w:rsidR="00925AEB" w:rsidRPr="004F11AC" w:rsidRDefault="00925AEB" w:rsidP="00E208B7">
            <w:pPr>
              <w:pStyle w:val="Table"/>
              <w:jc w:val="center"/>
              <w:rPr>
                <w:rFonts w:ascii="Arial Narrow" w:hAnsi="Arial Narrow"/>
                <w:szCs w:val="20"/>
              </w:rPr>
            </w:pPr>
            <w:r w:rsidRPr="004F11AC">
              <w:rPr>
                <w:rFonts w:ascii="Arial Narrow" w:hAnsi="Arial Narrow"/>
                <w:szCs w:val="20"/>
              </w:rPr>
              <w:t>Phase 3,</w:t>
            </w:r>
          </w:p>
          <w:p w14:paraId="1ED03C32" w14:textId="77777777" w:rsidR="00925AEB" w:rsidRPr="004F11AC" w:rsidRDefault="00925AEB" w:rsidP="00E208B7">
            <w:pPr>
              <w:pStyle w:val="Table"/>
              <w:jc w:val="center"/>
              <w:rPr>
                <w:rFonts w:ascii="Arial Narrow" w:hAnsi="Arial Narrow"/>
                <w:szCs w:val="20"/>
              </w:rPr>
            </w:pPr>
            <w:r w:rsidRPr="004F11AC">
              <w:rPr>
                <w:rFonts w:ascii="Arial Narrow" w:hAnsi="Arial Narrow"/>
                <w:szCs w:val="20"/>
              </w:rPr>
              <w:t>R, OL, P, MC</w:t>
            </w:r>
          </w:p>
          <w:p w14:paraId="35A209C7" w14:textId="77777777" w:rsidR="00925AEB" w:rsidRPr="004F11AC" w:rsidRDefault="00925AEB" w:rsidP="00E208B7">
            <w:pPr>
              <w:pStyle w:val="COMTabletext"/>
              <w:jc w:val="center"/>
              <w:rPr>
                <w:szCs w:val="20"/>
              </w:rPr>
            </w:pPr>
            <w:r w:rsidRPr="004F11AC">
              <w:rPr>
                <w:szCs w:val="20"/>
              </w:rPr>
              <w:t>26 weeks</w:t>
            </w:r>
          </w:p>
        </w:tc>
        <w:tc>
          <w:tcPr>
            <w:tcW w:w="394" w:type="pct"/>
            <w:vAlign w:val="center"/>
          </w:tcPr>
          <w:p w14:paraId="245DF94D" w14:textId="77777777" w:rsidR="00925AEB" w:rsidRPr="004F11AC" w:rsidRDefault="00925AEB" w:rsidP="00E208B7">
            <w:pPr>
              <w:pStyle w:val="COMTabletext"/>
              <w:jc w:val="center"/>
              <w:rPr>
                <w:szCs w:val="20"/>
              </w:rPr>
            </w:pPr>
            <w:r w:rsidRPr="004F11AC">
              <w:rPr>
                <w:szCs w:val="20"/>
              </w:rPr>
              <w:t>High</w:t>
            </w:r>
          </w:p>
        </w:tc>
        <w:tc>
          <w:tcPr>
            <w:tcW w:w="629" w:type="pct"/>
            <w:vAlign w:val="center"/>
          </w:tcPr>
          <w:p w14:paraId="4431C8ED" w14:textId="77777777" w:rsidR="00925AEB" w:rsidRPr="004F11AC" w:rsidRDefault="00925AEB" w:rsidP="00E208B7">
            <w:pPr>
              <w:pStyle w:val="COMTabletext"/>
              <w:jc w:val="center"/>
              <w:rPr>
                <w:szCs w:val="20"/>
              </w:rPr>
            </w:pPr>
            <w:proofErr w:type="spellStart"/>
            <w:r w:rsidRPr="004F11AC">
              <w:rPr>
                <w:szCs w:val="20"/>
              </w:rPr>
              <w:t>IDeg</w:t>
            </w:r>
            <w:proofErr w:type="spellEnd"/>
            <w:r w:rsidRPr="004F11AC">
              <w:rPr>
                <w:szCs w:val="20"/>
              </w:rPr>
              <w:t xml:space="preserve"> OD FF + </w:t>
            </w:r>
            <w:proofErr w:type="spellStart"/>
            <w:r w:rsidRPr="004F11AC">
              <w:rPr>
                <w:szCs w:val="20"/>
              </w:rPr>
              <w:t>IAsp</w:t>
            </w:r>
            <w:proofErr w:type="spellEnd"/>
            <w:r w:rsidRPr="004F11AC">
              <w:rPr>
                <w:szCs w:val="20"/>
              </w:rPr>
              <w:t>,</w:t>
            </w:r>
          </w:p>
          <w:p w14:paraId="44F610A7" w14:textId="77777777" w:rsidR="00925AEB" w:rsidRPr="004F11AC" w:rsidRDefault="00925AEB" w:rsidP="00E208B7">
            <w:pPr>
              <w:pStyle w:val="COMTabletext"/>
              <w:jc w:val="center"/>
              <w:rPr>
                <w:szCs w:val="20"/>
              </w:rPr>
            </w:pPr>
            <w:proofErr w:type="spellStart"/>
            <w:r w:rsidRPr="004F11AC">
              <w:rPr>
                <w:szCs w:val="20"/>
              </w:rPr>
              <w:t>IDeg</w:t>
            </w:r>
            <w:proofErr w:type="spellEnd"/>
            <w:r w:rsidRPr="004F11AC">
              <w:rPr>
                <w:szCs w:val="20"/>
              </w:rPr>
              <w:t xml:space="preserve"> OD + </w:t>
            </w:r>
            <w:proofErr w:type="spellStart"/>
            <w:r w:rsidRPr="004F11AC">
              <w:rPr>
                <w:szCs w:val="20"/>
              </w:rPr>
              <w:t>IAsp</w:t>
            </w:r>
            <w:proofErr w:type="spellEnd"/>
            <w:r w:rsidRPr="004F11AC">
              <w:rPr>
                <w:szCs w:val="20"/>
              </w:rPr>
              <w:t>,</w:t>
            </w:r>
          </w:p>
          <w:p w14:paraId="2EE9A75E" w14:textId="77777777" w:rsidR="00925AEB" w:rsidRPr="004F11AC" w:rsidRDefault="00925AEB" w:rsidP="00E208B7">
            <w:pPr>
              <w:pStyle w:val="COMTabletext"/>
              <w:jc w:val="center"/>
              <w:rPr>
                <w:szCs w:val="20"/>
              </w:rPr>
            </w:pPr>
            <w:proofErr w:type="spellStart"/>
            <w:r w:rsidRPr="004F11AC">
              <w:rPr>
                <w:szCs w:val="20"/>
              </w:rPr>
              <w:t>IGlar</w:t>
            </w:r>
            <w:proofErr w:type="spellEnd"/>
            <w:r w:rsidRPr="004F11AC">
              <w:rPr>
                <w:szCs w:val="20"/>
              </w:rPr>
              <w:t xml:space="preserve"> + </w:t>
            </w:r>
            <w:proofErr w:type="spellStart"/>
            <w:r w:rsidRPr="004F11AC">
              <w:rPr>
                <w:szCs w:val="20"/>
              </w:rPr>
              <w:t>IAsp</w:t>
            </w:r>
            <w:proofErr w:type="spellEnd"/>
          </w:p>
        </w:tc>
        <w:tc>
          <w:tcPr>
            <w:tcW w:w="1336" w:type="pct"/>
            <w:vAlign w:val="center"/>
          </w:tcPr>
          <w:p w14:paraId="54C68CAD" w14:textId="203F2BA2" w:rsidR="00925AEB" w:rsidRPr="004F11AC" w:rsidRDefault="00925AEB" w:rsidP="00E208B7">
            <w:pPr>
              <w:pStyle w:val="COMTabletext"/>
              <w:jc w:val="center"/>
              <w:rPr>
                <w:szCs w:val="20"/>
              </w:rPr>
            </w:pPr>
            <w:r w:rsidRPr="004F11AC">
              <w:rPr>
                <w:szCs w:val="20"/>
              </w:rPr>
              <w:t xml:space="preserve">Adults ≥18 years </w:t>
            </w:r>
            <w:r w:rsidRPr="004F11AC">
              <w:rPr>
                <w:szCs w:val="20"/>
              </w:rPr>
              <w:br/>
              <w:t>diagnosis of T1D ≥12 months</w:t>
            </w:r>
            <w:r w:rsidRPr="004F11AC">
              <w:rPr>
                <w:szCs w:val="20"/>
              </w:rPr>
              <w:br/>
              <w:t xml:space="preserve">on basal-bolus insulin ≥12 </w:t>
            </w:r>
            <w:proofErr w:type="spellStart"/>
            <w:r w:rsidRPr="004F11AC">
              <w:rPr>
                <w:szCs w:val="20"/>
              </w:rPr>
              <w:t>mths</w:t>
            </w:r>
            <w:proofErr w:type="spellEnd"/>
            <w:r w:rsidRPr="004F11AC">
              <w:rPr>
                <w:szCs w:val="20"/>
              </w:rPr>
              <w:br/>
              <w:t>HbA1c ≤10.0%, BMI ≤35 kg/m</w:t>
            </w:r>
            <w:r w:rsidRPr="004F11AC">
              <w:rPr>
                <w:szCs w:val="20"/>
                <w:vertAlign w:val="superscript"/>
              </w:rPr>
              <w:t>2</w:t>
            </w:r>
          </w:p>
        </w:tc>
        <w:tc>
          <w:tcPr>
            <w:tcW w:w="1308" w:type="pct"/>
            <w:vAlign w:val="center"/>
          </w:tcPr>
          <w:p w14:paraId="600FA648" w14:textId="77777777" w:rsidR="00925AEB" w:rsidRPr="004F11AC" w:rsidRDefault="00925AEB" w:rsidP="00E208B7">
            <w:pPr>
              <w:pStyle w:val="COMTabletext"/>
              <w:jc w:val="center"/>
              <w:rPr>
                <w:szCs w:val="20"/>
              </w:rPr>
            </w:pPr>
            <w:r w:rsidRPr="004F11AC">
              <w:rPr>
                <w:szCs w:val="20"/>
              </w:rPr>
              <w:t>Change from baseline HbA1c,</w:t>
            </w:r>
          </w:p>
          <w:p w14:paraId="536B0567" w14:textId="22A25C8D" w:rsidR="00925AEB" w:rsidRPr="004F11AC" w:rsidRDefault="00F51934" w:rsidP="00E208B7">
            <w:pPr>
              <w:pStyle w:val="COMTabletext"/>
              <w:jc w:val="center"/>
              <w:rPr>
                <w:szCs w:val="20"/>
              </w:rPr>
            </w:pPr>
            <w:r w:rsidRPr="004F11AC">
              <w:rPr>
                <w:szCs w:val="20"/>
              </w:rPr>
              <w:t>a</w:t>
            </w:r>
            <w:r w:rsidR="00925AEB" w:rsidRPr="004F11AC">
              <w:rPr>
                <w:szCs w:val="20"/>
              </w:rPr>
              <w:t xml:space="preserve">chieving glycaemic goals, </w:t>
            </w:r>
          </w:p>
          <w:p w14:paraId="4BBB13D0" w14:textId="31EDA691" w:rsidR="00925AEB" w:rsidRPr="004F11AC" w:rsidRDefault="00F51934" w:rsidP="00E208B7">
            <w:pPr>
              <w:pStyle w:val="COMTabletext"/>
              <w:jc w:val="center"/>
              <w:rPr>
                <w:szCs w:val="20"/>
              </w:rPr>
            </w:pPr>
            <w:r w:rsidRPr="004F11AC">
              <w:rPr>
                <w:szCs w:val="20"/>
              </w:rPr>
              <w:t>r</w:t>
            </w:r>
            <w:r w:rsidR="00925AEB" w:rsidRPr="004F11AC">
              <w:rPr>
                <w:szCs w:val="20"/>
              </w:rPr>
              <w:t>ate of hypoglycaemia and nocturnal hypoglycaemia episodes,</w:t>
            </w:r>
          </w:p>
          <w:p w14:paraId="62F3F2C5" w14:textId="77777777" w:rsidR="00925AEB" w:rsidRPr="004F11AC" w:rsidRDefault="00925AEB" w:rsidP="00E208B7">
            <w:pPr>
              <w:pStyle w:val="COMTabletext"/>
              <w:jc w:val="center"/>
              <w:rPr>
                <w:szCs w:val="20"/>
              </w:rPr>
            </w:pPr>
            <w:r w:rsidRPr="004F11AC">
              <w:rPr>
                <w:szCs w:val="20"/>
              </w:rPr>
              <w:t>QoL outcomes, adverse events</w:t>
            </w:r>
          </w:p>
        </w:tc>
      </w:tr>
      <w:tr w:rsidR="00BA0730" w:rsidRPr="004F11AC" w14:paraId="3DB33770" w14:textId="77777777">
        <w:trPr>
          <w:cantSplit/>
        </w:trPr>
        <w:tc>
          <w:tcPr>
            <w:tcW w:w="546" w:type="pct"/>
            <w:vAlign w:val="center"/>
          </w:tcPr>
          <w:p w14:paraId="1E1B5D74" w14:textId="77777777" w:rsidR="00925AEB" w:rsidRPr="004F11AC" w:rsidRDefault="00925AEB" w:rsidP="00E208B7">
            <w:pPr>
              <w:pStyle w:val="COMTabletext"/>
              <w:rPr>
                <w:szCs w:val="20"/>
              </w:rPr>
            </w:pPr>
            <w:r w:rsidRPr="004F11AC">
              <w:rPr>
                <w:szCs w:val="20"/>
              </w:rPr>
              <w:t>Study 1835</w:t>
            </w:r>
          </w:p>
        </w:tc>
        <w:tc>
          <w:tcPr>
            <w:tcW w:w="236" w:type="pct"/>
            <w:vAlign w:val="center"/>
          </w:tcPr>
          <w:p w14:paraId="1ADCF2D9" w14:textId="77777777" w:rsidR="00925AEB" w:rsidRPr="004F11AC" w:rsidRDefault="00925AEB" w:rsidP="00E208B7">
            <w:pPr>
              <w:pStyle w:val="COMTabletext"/>
              <w:jc w:val="center"/>
              <w:rPr>
                <w:szCs w:val="20"/>
              </w:rPr>
            </w:pPr>
            <w:r w:rsidRPr="004F11AC">
              <w:rPr>
                <w:szCs w:val="20"/>
              </w:rPr>
              <w:t>178</w:t>
            </w:r>
          </w:p>
        </w:tc>
        <w:tc>
          <w:tcPr>
            <w:tcW w:w="550" w:type="pct"/>
            <w:vAlign w:val="center"/>
          </w:tcPr>
          <w:p w14:paraId="295D4227" w14:textId="77777777" w:rsidR="00925AEB" w:rsidRPr="004F11AC" w:rsidRDefault="00925AEB" w:rsidP="00E208B7">
            <w:pPr>
              <w:pStyle w:val="Table"/>
              <w:jc w:val="center"/>
              <w:rPr>
                <w:rFonts w:ascii="Arial Narrow" w:hAnsi="Arial Narrow"/>
                <w:szCs w:val="20"/>
              </w:rPr>
            </w:pPr>
            <w:r w:rsidRPr="004F11AC">
              <w:rPr>
                <w:rFonts w:ascii="Arial Narrow" w:hAnsi="Arial Narrow"/>
                <w:szCs w:val="20"/>
              </w:rPr>
              <w:t>Phase 2,</w:t>
            </w:r>
          </w:p>
          <w:p w14:paraId="79BFAB68" w14:textId="77777777" w:rsidR="00925AEB" w:rsidRPr="004F11AC" w:rsidRDefault="00925AEB" w:rsidP="00E208B7">
            <w:pPr>
              <w:pStyle w:val="Table"/>
              <w:jc w:val="center"/>
              <w:rPr>
                <w:rFonts w:ascii="Arial Narrow" w:hAnsi="Arial Narrow"/>
                <w:szCs w:val="20"/>
              </w:rPr>
            </w:pPr>
            <w:r w:rsidRPr="004F11AC">
              <w:rPr>
                <w:rFonts w:ascii="Arial Narrow" w:hAnsi="Arial Narrow"/>
                <w:szCs w:val="20"/>
              </w:rPr>
              <w:t>R, OL, P, MC</w:t>
            </w:r>
          </w:p>
          <w:p w14:paraId="491F9B6F" w14:textId="77777777" w:rsidR="00925AEB" w:rsidRPr="004F11AC" w:rsidRDefault="00925AEB" w:rsidP="00E208B7">
            <w:pPr>
              <w:pStyle w:val="COMTabletext"/>
              <w:jc w:val="center"/>
              <w:rPr>
                <w:szCs w:val="20"/>
              </w:rPr>
            </w:pPr>
            <w:r w:rsidRPr="004F11AC">
              <w:rPr>
                <w:szCs w:val="20"/>
              </w:rPr>
              <w:t>16 weeks</w:t>
            </w:r>
          </w:p>
        </w:tc>
        <w:tc>
          <w:tcPr>
            <w:tcW w:w="394" w:type="pct"/>
            <w:vAlign w:val="center"/>
          </w:tcPr>
          <w:p w14:paraId="5C9AC578" w14:textId="77777777" w:rsidR="00925AEB" w:rsidRPr="004F11AC" w:rsidRDefault="00925AEB" w:rsidP="00E208B7">
            <w:pPr>
              <w:pStyle w:val="COMTabletext"/>
              <w:jc w:val="center"/>
              <w:rPr>
                <w:szCs w:val="20"/>
              </w:rPr>
            </w:pPr>
            <w:r w:rsidRPr="004F11AC">
              <w:rPr>
                <w:szCs w:val="20"/>
              </w:rPr>
              <w:t>High</w:t>
            </w:r>
          </w:p>
        </w:tc>
        <w:tc>
          <w:tcPr>
            <w:tcW w:w="629" w:type="pct"/>
            <w:vAlign w:val="center"/>
          </w:tcPr>
          <w:p w14:paraId="389665C2" w14:textId="77777777" w:rsidR="00925AEB" w:rsidRPr="004F11AC" w:rsidRDefault="00925AEB" w:rsidP="00E208B7">
            <w:pPr>
              <w:pStyle w:val="COMTabletext"/>
              <w:jc w:val="center"/>
              <w:rPr>
                <w:szCs w:val="20"/>
              </w:rPr>
            </w:pPr>
            <w:proofErr w:type="spellStart"/>
            <w:r w:rsidRPr="004F11AC">
              <w:rPr>
                <w:szCs w:val="20"/>
              </w:rPr>
              <w:t>IDeg</w:t>
            </w:r>
            <w:proofErr w:type="spellEnd"/>
            <w:r w:rsidRPr="004F11AC">
              <w:rPr>
                <w:szCs w:val="20"/>
              </w:rPr>
              <w:t xml:space="preserve"> + </w:t>
            </w:r>
            <w:proofErr w:type="spellStart"/>
            <w:r w:rsidRPr="004F11AC">
              <w:rPr>
                <w:szCs w:val="20"/>
              </w:rPr>
              <w:t>IAsp</w:t>
            </w:r>
            <w:proofErr w:type="spellEnd"/>
            <w:r w:rsidRPr="004F11AC">
              <w:rPr>
                <w:szCs w:val="20"/>
              </w:rPr>
              <w:t>,</w:t>
            </w:r>
          </w:p>
          <w:p w14:paraId="7CCAA328" w14:textId="77777777" w:rsidR="00925AEB" w:rsidRPr="004F11AC" w:rsidRDefault="00925AEB" w:rsidP="00E208B7">
            <w:pPr>
              <w:pStyle w:val="COMTabletext"/>
              <w:jc w:val="center"/>
              <w:rPr>
                <w:szCs w:val="20"/>
              </w:rPr>
            </w:pPr>
            <w:proofErr w:type="spellStart"/>
            <w:r w:rsidRPr="004F11AC">
              <w:rPr>
                <w:szCs w:val="20"/>
              </w:rPr>
              <w:t>IGlar</w:t>
            </w:r>
            <w:proofErr w:type="spellEnd"/>
            <w:r w:rsidRPr="004F11AC">
              <w:rPr>
                <w:szCs w:val="20"/>
              </w:rPr>
              <w:t xml:space="preserve"> + </w:t>
            </w:r>
            <w:proofErr w:type="spellStart"/>
            <w:r w:rsidRPr="004F11AC">
              <w:rPr>
                <w:szCs w:val="20"/>
              </w:rPr>
              <w:t>IAsp</w:t>
            </w:r>
            <w:proofErr w:type="spellEnd"/>
          </w:p>
        </w:tc>
        <w:tc>
          <w:tcPr>
            <w:tcW w:w="1336" w:type="pct"/>
            <w:vAlign w:val="center"/>
          </w:tcPr>
          <w:p w14:paraId="04E23404" w14:textId="77777777" w:rsidR="00925AEB" w:rsidRPr="004F11AC" w:rsidRDefault="00925AEB" w:rsidP="00E208B7">
            <w:pPr>
              <w:pStyle w:val="COMTabletext"/>
              <w:jc w:val="center"/>
              <w:rPr>
                <w:szCs w:val="20"/>
              </w:rPr>
            </w:pPr>
            <w:r w:rsidRPr="004F11AC">
              <w:rPr>
                <w:szCs w:val="20"/>
              </w:rPr>
              <w:t xml:space="preserve">Adults 18-75 years </w:t>
            </w:r>
            <w:r w:rsidRPr="004F11AC">
              <w:rPr>
                <w:szCs w:val="20"/>
              </w:rPr>
              <w:br/>
              <w:t xml:space="preserve">diagnosis of T1D ≥12 </w:t>
            </w:r>
            <w:proofErr w:type="spellStart"/>
            <w:r w:rsidRPr="004F11AC">
              <w:rPr>
                <w:szCs w:val="20"/>
              </w:rPr>
              <w:t>mths</w:t>
            </w:r>
            <w:proofErr w:type="spellEnd"/>
            <w:r w:rsidRPr="004F11AC">
              <w:rPr>
                <w:szCs w:val="20"/>
              </w:rPr>
              <w:br/>
              <w:t>treated with insulin</w:t>
            </w:r>
            <w:r w:rsidRPr="004F11AC">
              <w:rPr>
                <w:szCs w:val="20"/>
              </w:rPr>
              <w:br/>
              <w:t>HbA1c 7.0-11.0%</w:t>
            </w:r>
          </w:p>
        </w:tc>
        <w:tc>
          <w:tcPr>
            <w:tcW w:w="1308" w:type="pct"/>
            <w:vAlign w:val="center"/>
          </w:tcPr>
          <w:p w14:paraId="74F221F1" w14:textId="77777777" w:rsidR="00925AEB" w:rsidRPr="004F11AC" w:rsidRDefault="00925AEB" w:rsidP="00E208B7">
            <w:pPr>
              <w:pStyle w:val="COMTabletext"/>
              <w:jc w:val="center"/>
              <w:rPr>
                <w:szCs w:val="20"/>
              </w:rPr>
            </w:pPr>
            <w:r w:rsidRPr="004F11AC">
              <w:rPr>
                <w:szCs w:val="20"/>
              </w:rPr>
              <w:t>Change from baseline HbA1c,</w:t>
            </w:r>
          </w:p>
          <w:p w14:paraId="080D0600" w14:textId="19915658" w:rsidR="00925AEB" w:rsidRPr="004F11AC" w:rsidRDefault="00F51934" w:rsidP="00E208B7">
            <w:pPr>
              <w:pStyle w:val="COMTabletext"/>
              <w:jc w:val="center"/>
              <w:rPr>
                <w:szCs w:val="20"/>
              </w:rPr>
            </w:pPr>
            <w:r w:rsidRPr="004F11AC">
              <w:rPr>
                <w:szCs w:val="20"/>
              </w:rPr>
              <w:t>a</w:t>
            </w:r>
            <w:r w:rsidR="00925AEB" w:rsidRPr="004F11AC">
              <w:rPr>
                <w:szCs w:val="20"/>
              </w:rPr>
              <w:t xml:space="preserve">chieving glycaemic goals, </w:t>
            </w:r>
          </w:p>
          <w:p w14:paraId="76ABF3C1" w14:textId="563933EB" w:rsidR="00925AEB" w:rsidRPr="004F11AC" w:rsidRDefault="00F51934" w:rsidP="00E208B7">
            <w:pPr>
              <w:pStyle w:val="COMTabletext"/>
              <w:jc w:val="center"/>
              <w:rPr>
                <w:szCs w:val="20"/>
              </w:rPr>
            </w:pPr>
            <w:r w:rsidRPr="004F11AC">
              <w:rPr>
                <w:szCs w:val="20"/>
              </w:rPr>
              <w:t>r</w:t>
            </w:r>
            <w:r w:rsidR="00925AEB" w:rsidRPr="004F11AC">
              <w:rPr>
                <w:szCs w:val="20"/>
              </w:rPr>
              <w:t>ate of hypoglycaemia and nocturnal hypoglycaemia episodes, QoL outcomes, adverse events</w:t>
            </w:r>
          </w:p>
        </w:tc>
      </w:tr>
      <w:tr w:rsidR="00BA0730" w:rsidRPr="004F11AC" w14:paraId="196E8544" w14:textId="77777777">
        <w:trPr>
          <w:cantSplit/>
        </w:trPr>
        <w:tc>
          <w:tcPr>
            <w:tcW w:w="546" w:type="pct"/>
            <w:vAlign w:val="center"/>
          </w:tcPr>
          <w:p w14:paraId="1F629523" w14:textId="77777777" w:rsidR="00925AEB" w:rsidRPr="004F11AC" w:rsidRDefault="00925AEB" w:rsidP="00E208B7">
            <w:pPr>
              <w:pStyle w:val="COMTabletext"/>
              <w:rPr>
                <w:szCs w:val="20"/>
              </w:rPr>
            </w:pPr>
            <w:r w:rsidRPr="004F11AC">
              <w:rPr>
                <w:szCs w:val="20"/>
              </w:rPr>
              <w:t>Study 3995</w:t>
            </w:r>
          </w:p>
        </w:tc>
        <w:tc>
          <w:tcPr>
            <w:tcW w:w="236" w:type="pct"/>
            <w:vAlign w:val="center"/>
          </w:tcPr>
          <w:p w14:paraId="24002434" w14:textId="77777777" w:rsidR="00925AEB" w:rsidRPr="004F11AC" w:rsidRDefault="00925AEB" w:rsidP="00E208B7">
            <w:pPr>
              <w:pStyle w:val="COMTabletext"/>
              <w:jc w:val="center"/>
              <w:rPr>
                <w:szCs w:val="20"/>
              </w:rPr>
            </w:pPr>
            <w:r w:rsidRPr="004F11AC">
              <w:rPr>
                <w:szCs w:val="20"/>
              </w:rPr>
              <w:t>501</w:t>
            </w:r>
          </w:p>
        </w:tc>
        <w:tc>
          <w:tcPr>
            <w:tcW w:w="550" w:type="pct"/>
            <w:vAlign w:val="center"/>
          </w:tcPr>
          <w:p w14:paraId="3479931E" w14:textId="77777777" w:rsidR="00925AEB" w:rsidRPr="004F11AC" w:rsidRDefault="00925AEB" w:rsidP="00E208B7">
            <w:pPr>
              <w:pStyle w:val="COMTabletext"/>
              <w:jc w:val="center"/>
              <w:rPr>
                <w:szCs w:val="20"/>
              </w:rPr>
            </w:pPr>
            <w:r w:rsidRPr="004F11AC">
              <w:rPr>
                <w:szCs w:val="20"/>
              </w:rPr>
              <w:t>Phase 3,</w:t>
            </w:r>
          </w:p>
          <w:p w14:paraId="370DB087" w14:textId="77777777" w:rsidR="00925AEB" w:rsidRPr="004F11AC" w:rsidRDefault="00925AEB" w:rsidP="00E208B7">
            <w:pPr>
              <w:pStyle w:val="COMTabletext"/>
              <w:jc w:val="center"/>
              <w:rPr>
                <w:szCs w:val="20"/>
              </w:rPr>
            </w:pPr>
            <w:r w:rsidRPr="004F11AC">
              <w:rPr>
                <w:szCs w:val="20"/>
              </w:rPr>
              <w:t>R, DB, CO</w:t>
            </w:r>
          </w:p>
          <w:p w14:paraId="233A0196" w14:textId="77777777" w:rsidR="00925AEB" w:rsidRPr="004F11AC" w:rsidRDefault="00925AEB" w:rsidP="00E208B7">
            <w:pPr>
              <w:pStyle w:val="COMTabletext"/>
              <w:jc w:val="center"/>
              <w:rPr>
                <w:szCs w:val="20"/>
              </w:rPr>
            </w:pPr>
            <w:r w:rsidRPr="004F11AC">
              <w:rPr>
                <w:szCs w:val="20"/>
              </w:rPr>
              <w:t>MC</w:t>
            </w:r>
          </w:p>
          <w:p w14:paraId="035BA978" w14:textId="77777777" w:rsidR="00925AEB" w:rsidRPr="004F11AC" w:rsidRDefault="00925AEB" w:rsidP="00E208B7">
            <w:pPr>
              <w:pStyle w:val="COMTabletext"/>
              <w:jc w:val="center"/>
              <w:rPr>
                <w:szCs w:val="20"/>
              </w:rPr>
            </w:pPr>
            <w:r w:rsidRPr="004F11AC">
              <w:rPr>
                <w:szCs w:val="20"/>
              </w:rPr>
              <w:t>64 weeks</w:t>
            </w:r>
          </w:p>
        </w:tc>
        <w:tc>
          <w:tcPr>
            <w:tcW w:w="394" w:type="pct"/>
            <w:vAlign w:val="center"/>
          </w:tcPr>
          <w:p w14:paraId="6E810921" w14:textId="77777777" w:rsidR="00925AEB" w:rsidRPr="004F11AC" w:rsidRDefault="00925AEB" w:rsidP="00E208B7">
            <w:pPr>
              <w:pStyle w:val="COMTabletext"/>
              <w:jc w:val="center"/>
              <w:rPr>
                <w:szCs w:val="20"/>
              </w:rPr>
            </w:pPr>
            <w:r w:rsidRPr="004F11AC">
              <w:rPr>
                <w:szCs w:val="20"/>
              </w:rPr>
              <w:t>Low</w:t>
            </w:r>
          </w:p>
        </w:tc>
        <w:tc>
          <w:tcPr>
            <w:tcW w:w="629" w:type="pct"/>
            <w:vAlign w:val="center"/>
          </w:tcPr>
          <w:p w14:paraId="67481B17" w14:textId="77777777" w:rsidR="00925AEB" w:rsidRPr="004F11AC" w:rsidRDefault="00925AEB" w:rsidP="00E208B7">
            <w:pPr>
              <w:pStyle w:val="COMTabletext"/>
              <w:jc w:val="center"/>
              <w:rPr>
                <w:szCs w:val="20"/>
              </w:rPr>
            </w:pPr>
            <w:proofErr w:type="spellStart"/>
            <w:r w:rsidRPr="004F11AC">
              <w:rPr>
                <w:szCs w:val="20"/>
              </w:rPr>
              <w:t>IDeg</w:t>
            </w:r>
            <w:proofErr w:type="spellEnd"/>
            <w:r w:rsidRPr="004F11AC">
              <w:rPr>
                <w:szCs w:val="20"/>
              </w:rPr>
              <w:t xml:space="preserve"> + </w:t>
            </w:r>
            <w:proofErr w:type="spellStart"/>
            <w:r w:rsidRPr="004F11AC">
              <w:rPr>
                <w:szCs w:val="20"/>
              </w:rPr>
              <w:t>IAsp</w:t>
            </w:r>
            <w:proofErr w:type="spellEnd"/>
            <w:r w:rsidRPr="004F11AC">
              <w:rPr>
                <w:szCs w:val="20"/>
              </w:rPr>
              <w:t>,</w:t>
            </w:r>
          </w:p>
          <w:p w14:paraId="544434F8" w14:textId="77777777" w:rsidR="00925AEB" w:rsidRPr="004F11AC" w:rsidRDefault="00925AEB" w:rsidP="00E208B7">
            <w:pPr>
              <w:pStyle w:val="COMTabletext"/>
              <w:jc w:val="center"/>
              <w:rPr>
                <w:szCs w:val="20"/>
              </w:rPr>
            </w:pPr>
            <w:proofErr w:type="spellStart"/>
            <w:r w:rsidRPr="004F11AC">
              <w:rPr>
                <w:szCs w:val="20"/>
              </w:rPr>
              <w:t>IGlar</w:t>
            </w:r>
            <w:proofErr w:type="spellEnd"/>
            <w:r w:rsidRPr="004F11AC">
              <w:rPr>
                <w:szCs w:val="20"/>
              </w:rPr>
              <w:t xml:space="preserve"> + </w:t>
            </w:r>
            <w:proofErr w:type="spellStart"/>
            <w:r w:rsidRPr="004F11AC">
              <w:rPr>
                <w:szCs w:val="20"/>
              </w:rPr>
              <w:t>IAsp</w:t>
            </w:r>
            <w:proofErr w:type="spellEnd"/>
          </w:p>
        </w:tc>
        <w:tc>
          <w:tcPr>
            <w:tcW w:w="1336" w:type="pct"/>
            <w:vAlign w:val="center"/>
          </w:tcPr>
          <w:p w14:paraId="57B0F259" w14:textId="77777777" w:rsidR="00925AEB" w:rsidRPr="004F11AC" w:rsidRDefault="00925AEB" w:rsidP="00E208B7">
            <w:pPr>
              <w:pStyle w:val="COMTabletext"/>
              <w:jc w:val="center"/>
              <w:rPr>
                <w:szCs w:val="20"/>
              </w:rPr>
            </w:pPr>
            <w:r w:rsidRPr="004F11AC">
              <w:rPr>
                <w:szCs w:val="20"/>
              </w:rPr>
              <w:t xml:space="preserve">Adults ≥18 years </w:t>
            </w:r>
          </w:p>
          <w:p w14:paraId="598883EB" w14:textId="77777777" w:rsidR="00F51934" w:rsidRPr="004F11AC" w:rsidRDefault="00925AEB" w:rsidP="00E208B7">
            <w:pPr>
              <w:pStyle w:val="COMTabletext"/>
              <w:jc w:val="center"/>
              <w:rPr>
                <w:szCs w:val="20"/>
              </w:rPr>
            </w:pPr>
            <w:r w:rsidRPr="004F11AC">
              <w:rPr>
                <w:szCs w:val="20"/>
              </w:rPr>
              <w:t xml:space="preserve">diagnosis of T1D for ≥12 </w:t>
            </w:r>
            <w:proofErr w:type="spellStart"/>
            <w:r w:rsidRPr="004F11AC">
              <w:rPr>
                <w:szCs w:val="20"/>
              </w:rPr>
              <w:t>mths</w:t>
            </w:r>
            <w:proofErr w:type="spellEnd"/>
            <w:r w:rsidRPr="004F11AC">
              <w:rPr>
                <w:szCs w:val="20"/>
              </w:rPr>
              <w:t xml:space="preserve"> on a basal-bolus regimen ≥26 weeks</w:t>
            </w:r>
            <w:r w:rsidR="00EC26F5" w:rsidRPr="004F11AC">
              <w:rPr>
                <w:szCs w:val="20"/>
              </w:rPr>
              <w:t>,</w:t>
            </w:r>
            <w:r w:rsidRPr="004F11AC">
              <w:rPr>
                <w:szCs w:val="20"/>
              </w:rPr>
              <w:t xml:space="preserve"> HbA1c ≤10.0%,</w:t>
            </w:r>
          </w:p>
          <w:p w14:paraId="3A4E1B85" w14:textId="464B805F" w:rsidR="00925AEB" w:rsidRPr="004F11AC" w:rsidRDefault="00925AEB" w:rsidP="00E208B7">
            <w:pPr>
              <w:pStyle w:val="COMTabletext"/>
              <w:jc w:val="center"/>
              <w:rPr>
                <w:szCs w:val="20"/>
              </w:rPr>
            </w:pPr>
            <w:r w:rsidRPr="004F11AC">
              <w:rPr>
                <w:szCs w:val="20"/>
              </w:rPr>
              <w:t>BMI ≤45 kg/m</w:t>
            </w:r>
            <w:r w:rsidRPr="004F11AC">
              <w:rPr>
                <w:szCs w:val="20"/>
                <w:vertAlign w:val="superscript"/>
              </w:rPr>
              <w:t>2</w:t>
            </w:r>
            <w:r w:rsidRPr="004F11AC">
              <w:rPr>
                <w:szCs w:val="20"/>
              </w:rPr>
              <w:t xml:space="preserve">. </w:t>
            </w:r>
          </w:p>
          <w:p w14:paraId="61829954" w14:textId="708F4A6F" w:rsidR="00925AEB" w:rsidRPr="004F11AC" w:rsidRDefault="00925AEB" w:rsidP="00E208B7">
            <w:pPr>
              <w:pStyle w:val="COMTabletext"/>
              <w:jc w:val="center"/>
              <w:rPr>
                <w:szCs w:val="20"/>
              </w:rPr>
            </w:pPr>
            <w:r w:rsidRPr="004F11AC">
              <w:rPr>
                <w:szCs w:val="20"/>
              </w:rPr>
              <w:t>History of hypoglycaemic episodes</w:t>
            </w:r>
            <w:r w:rsidR="00F51934" w:rsidRPr="004F11AC">
              <w:rPr>
                <w:szCs w:val="20"/>
              </w:rPr>
              <w:t>,</w:t>
            </w:r>
            <w:r w:rsidRPr="004F11AC">
              <w:rPr>
                <w:szCs w:val="20"/>
              </w:rPr>
              <w:t xml:space="preserve"> hypoglycaemic symptom unawareness</w:t>
            </w:r>
            <w:r w:rsidR="00F51934" w:rsidRPr="004F11AC">
              <w:rPr>
                <w:szCs w:val="20"/>
              </w:rPr>
              <w:t>,</w:t>
            </w:r>
            <w:r w:rsidRPr="004F11AC">
              <w:rPr>
                <w:szCs w:val="20"/>
              </w:rPr>
              <w:t xml:space="preserve"> or moderate CKD</w:t>
            </w:r>
          </w:p>
        </w:tc>
        <w:tc>
          <w:tcPr>
            <w:tcW w:w="1308" w:type="pct"/>
            <w:vAlign w:val="center"/>
          </w:tcPr>
          <w:p w14:paraId="6A410773" w14:textId="77777777" w:rsidR="00925AEB" w:rsidRPr="004F11AC" w:rsidRDefault="00925AEB" w:rsidP="00E208B7">
            <w:pPr>
              <w:pStyle w:val="COMTabletext"/>
              <w:jc w:val="center"/>
              <w:rPr>
                <w:szCs w:val="20"/>
              </w:rPr>
            </w:pPr>
            <w:r w:rsidRPr="004F11AC">
              <w:rPr>
                <w:szCs w:val="20"/>
              </w:rPr>
              <w:t>Rate of severe/confirmed hypoglycaemia episodes and confirmed nocturnal hypoglycaemia episodes,</w:t>
            </w:r>
          </w:p>
          <w:p w14:paraId="5BC7C21C" w14:textId="61138EB1" w:rsidR="00925AEB" w:rsidRPr="004F11AC" w:rsidRDefault="00FB0540" w:rsidP="00E208B7">
            <w:pPr>
              <w:pStyle w:val="COMTabletext"/>
              <w:jc w:val="center"/>
              <w:rPr>
                <w:szCs w:val="20"/>
              </w:rPr>
            </w:pPr>
            <w:r w:rsidRPr="004F11AC">
              <w:rPr>
                <w:szCs w:val="20"/>
              </w:rPr>
              <w:t>c</w:t>
            </w:r>
            <w:r w:rsidR="00925AEB" w:rsidRPr="004F11AC">
              <w:rPr>
                <w:szCs w:val="20"/>
              </w:rPr>
              <w:t xml:space="preserve">hange </w:t>
            </w:r>
            <w:r w:rsidRPr="004F11AC">
              <w:rPr>
                <w:szCs w:val="20"/>
              </w:rPr>
              <w:t xml:space="preserve">from baseline </w:t>
            </w:r>
            <w:r w:rsidR="00925AEB" w:rsidRPr="004F11AC">
              <w:rPr>
                <w:szCs w:val="20"/>
              </w:rPr>
              <w:t>in HbA1c, QoL outcomes, adverse events</w:t>
            </w:r>
          </w:p>
        </w:tc>
      </w:tr>
      <w:tr w:rsidR="00BA0730" w:rsidRPr="004F11AC" w14:paraId="24C2D4C2" w14:textId="77777777">
        <w:trPr>
          <w:cantSplit/>
        </w:trPr>
        <w:tc>
          <w:tcPr>
            <w:tcW w:w="546" w:type="pct"/>
            <w:vAlign w:val="center"/>
          </w:tcPr>
          <w:p w14:paraId="3FFB340E" w14:textId="77777777" w:rsidR="00925AEB" w:rsidRPr="004F11AC" w:rsidRDefault="00925AEB" w:rsidP="00E208B7">
            <w:pPr>
              <w:pStyle w:val="COMTabletext"/>
              <w:rPr>
                <w:szCs w:val="20"/>
              </w:rPr>
            </w:pPr>
            <w:proofErr w:type="spellStart"/>
            <w:r w:rsidRPr="004F11AC">
              <w:rPr>
                <w:szCs w:val="20"/>
              </w:rPr>
              <w:t>HypoDeg</w:t>
            </w:r>
            <w:proofErr w:type="spellEnd"/>
          </w:p>
        </w:tc>
        <w:tc>
          <w:tcPr>
            <w:tcW w:w="236" w:type="pct"/>
            <w:vAlign w:val="center"/>
          </w:tcPr>
          <w:p w14:paraId="2308D953" w14:textId="77777777" w:rsidR="00925AEB" w:rsidRPr="004F11AC" w:rsidRDefault="00925AEB" w:rsidP="00E208B7">
            <w:pPr>
              <w:pStyle w:val="COMTabletext"/>
              <w:jc w:val="center"/>
              <w:rPr>
                <w:szCs w:val="20"/>
              </w:rPr>
            </w:pPr>
            <w:r w:rsidRPr="004F11AC">
              <w:rPr>
                <w:szCs w:val="20"/>
              </w:rPr>
              <w:t>149</w:t>
            </w:r>
          </w:p>
        </w:tc>
        <w:tc>
          <w:tcPr>
            <w:tcW w:w="550" w:type="pct"/>
            <w:vAlign w:val="center"/>
          </w:tcPr>
          <w:p w14:paraId="25860FA2" w14:textId="77777777" w:rsidR="00925AEB" w:rsidRPr="004F11AC" w:rsidRDefault="00925AEB" w:rsidP="00E208B7">
            <w:pPr>
              <w:pStyle w:val="COMTabletext"/>
              <w:jc w:val="center"/>
              <w:rPr>
                <w:szCs w:val="20"/>
              </w:rPr>
            </w:pPr>
            <w:r w:rsidRPr="004F11AC">
              <w:rPr>
                <w:szCs w:val="20"/>
              </w:rPr>
              <w:t>Phase 4,</w:t>
            </w:r>
          </w:p>
          <w:p w14:paraId="23128276" w14:textId="77777777" w:rsidR="00925AEB" w:rsidRPr="004F11AC" w:rsidRDefault="00925AEB" w:rsidP="00E208B7">
            <w:pPr>
              <w:pStyle w:val="COMTabletext"/>
              <w:jc w:val="center"/>
              <w:rPr>
                <w:szCs w:val="20"/>
              </w:rPr>
            </w:pPr>
            <w:r w:rsidRPr="004F11AC">
              <w:rPr>
                <w:szCs w:val="20"/>
              </w:rPr>
              <w:t>R, OL, CO</w:t>
            </w:r>
          </w:p>
          <w:p w14:paraId="18239CB8" w14:textId="77777777" w:rsidR="00925AEB" w:rsidRPr="004F11AC" w:rsidRDefault="00925AEB" w:rsidP="00E208B7">
            <w:pPr>
              <w:pStyle w:val="COMTabletext"/>
              <w:jc w:val="center"/>
              <w:rPr>
                <w:szCs w:val="20"/>
              </w:rPr>
            </w:pPr>
            <w:r w:rsidRPr="004F11AC">
              <w:rPr>
                <w:szCs w:val="20"/>
              </w:rPr>
              <w:t>24 months</w:t>
            </w:r>
          </w:p>
        </w:tc>
        <w:tc>
          <w:tcPr>
            <w:tcW w:w="394" w:type="pct"/>
            <w:vAlign w:val="center"/>
          </w:tcPr>
          <w:p w14:paraId="29400CFF" w14:textId="77777777" w:rsidR="00925AEB" w:rsidRPr="004F11AC" w:rsidRDefault="00925AEB" w:rsidP="00E208B7">
            <w:pPr>
              <w:pStyle w:val="COMTabletext"/>
              <w:jc w:val="center"/>
              <w:rPr>
                <w:szCs w:val="20"/>
              </w:rPr>
            </w:pPr>
            <w:r w:rsidRPr="004F11AC">
              <w:rPr>
                <w:szCs w:val="20"/>
              </w:rPr>
              <w:t>High</w:t>
            </w:r>
          </w:p>
        </w:tc>
        <w:tc>
          <w:tcPr>
            <w:tcW w:w="629" w:type="pct"/>
            <w:vAlign w:val="center"/>
          </w:tcPr>
          <w:p w14:paraId="193F576C" w14:textId="77777777" w:rsidR="00925AEB" w:rsidRPr="004F11AC" w:rsidRDefault="00925AEB" w:rsidP="00E208B7">
            <w:pPr>
              <w:pStyle w:val="COMTabletext"/>
              <w:jc w:val="center"/>
              <w:rPr>
                <w:szCs w:val="20"/>
              </w:rPr>
            </w:pPr>
            <w:proofErr w:type="spellStart"/>
            <w:r w:rsidRPr="004F11AC">
              <w:rPr>
                <w:szCs w:val="20"/>
              </w:rPr>
              <w:t>IDeg</w:t>
            </w:r>
            <w:proofErr w:type="spellEnd"/>
            <w:r w:rsidRPr="004F11AC">
              <w:rPr>
                <w:szCs w:val="20"/>
              </w:rPr>
              <w:t xml:space="preserve"> + </w:t>
            </w:r>
            <w:proofErr w:type="spellStart"/>
            <w:r w:rsidRPr="004F11AC">
              <w:rPr>
                <w:szCs w:val="20"/>
              </w:rPr>
              <w:t>IAsp</w:t>
            </w:r>
            <w:proofErr w:type="spellEnd"/>
            <w:r w:rsidRPr="004F11AC">
              <w:rPr>
                <w:szCs w:val="20"/>
              </w:rPr>
              <w:t>,</w:t>
            </w:r>
          </w:p>
          <w:p w14:paraId="2E099A56" w14:textId="77777777" w:rsidR="00925AEB" w:rsidRPr="004F11AC" w:rsidRDefault="00925AEB" w:rsidP="00E208B7">
            <w:pPr>
              <w:pStyle w:val="COMTabletext"/>
              <w:jc w:val="center"/>
              <w:rPr>
                <w:szCs w:val="20"/>
              </w:rPr>
            </w:pPr>
            <w:proofErr w:type="spellStart"/>
            <w:r w:rsidRPr="004F11AC">
              <w:rPr>
                <w:szCs w:val="20"/>
              </w:rPr>
              <w:t>IGlar</w:t>
            </w:r>
            <w:proofErr w:type="spellEnd"/>
            <w:r w:rsidRPr="004F11AC">
              <w:rPr>
                <w:szCs w:val="20"/>
              </w:rPr>
              <w:t xml:space="preserve"> + </w:t>
            </w:r>
            <w:proofErr w:type="spellStart"/>
            <w:r w:rsidRPr="004F11AC">
              <w:rPr>
                <w:szCs w:val="20"/>
              </w:rPr>
              <w:t>IAsp</w:t>
            </w:r>
            <w:proofErr w:type="spellEnd"/>
          </w:p>
        </w:tc>
        <w:tc>
          <w:tcPr>
            <w:tcW w:w="1336" w:type="pct"/>
            <w:vAlign w:val="center"/>
          </w:tcPr>
          <w:p w14:paraId="41728F63" w14:textId="77777777" w:rsidR="00925AEB" w:rsidRPr="004F11AC" w:rsidRDefault="00925AEB" w:rsidP="00E208B7">
            <w:pPr>
              <w:pStyle w:val="COMTabletext"/>
              <w:jc w:val="center"/>
              <w:rPr>
                <w:szCs w:val="20"/>
              </w:rPr>
            </w:pPr>
            <w:r w:rsidRPr="004F11AC">
              <w:rPr>
                <w:szCs w:val="20"/>
              </w:rPr>
              <w:t>Adults ≥18 years</w:t>
            </w:r>
            <w:r w:rsidRPr="004F11AC">
              <w:rPr>
                <w:szCs w:val="20"/>
              </w:rPr>
              <w:br/>
              <w:t xml:space="preserve">diagnosis of T1D ≥5 years </w:t>
            </w:r>
            <w:r w:rsidRPr="004F11AC">
              <w:rPr>
                <w:szCs w:val="20"/>
              </w:rPr>
              <w:br/>
              <w:t>with ≥1 severe nocturnal hypoglycaemia episode in last 2 years</w:t>
            </w:r>
          </w:p>
        </w:tc>
        <w:tc>
          <w:tcPr>
            <w:tcW w:w="1308" w:type="pct"/>
            <w:vAlign w:val="center"/>
          </w:tcPr>
          <w:p w14:paraId="62F3A101" w14:textId="77777777" w:rsidR="00925AEB" w:rsidRPr="004F11AC" w:rsidRDefault="00925AEB" w:rsidP="00E208B7">
            <w:pPr>
              <w:pStyle w:val="COMTabletext"/>
              <w:jc w:val="center"/>
              <w:rPr>
                <w:szCs w:val="20"/>
              </w:rPr>
            </w:pPr>
            <w:r w:rsidRPr="004F11AC">
              <w:rPr>
                <w:szCs w:val="20"/>
              </w:rPr>
              <w:t xml:space="preserve">Number of nocturnal symptomatic hypoglycaemia episodes, </w:t>
            </w:r>
          </w:p>
          <w:p w14:paraId="37748D9D" w14:textId="6EFDE4A3" w:rsidR="00925AEB" w:rsidRPr="004F11AC" w:rsidRDefault="00FB0540" w:rsidP="00E208B7">
            <w:pPr>
              <w:pStyle w:val="COMTabletext"/>
              <w:jc w:val="center"/>
              <w:rPr>
                <w:szCs w:val="20"/>
              </w:rPr>
            </w:pPr>
            <w:r w:rsidRPr="004F11AC">
              <w:rPr>
                <w:szCs w:val="20"/>
              </w:rPr>
              <w:t>r</w:t>
            </w:r>
            <w:r w:rsidR="00925AEB" w:rsidRPr="004F11AC">
              <w:rPr>
                <w:szCs w:val="20"/>
              </w:rPr>
              <w:t xml:space="preserve">ates of </w:t>
            </w:r>
            <w:r w:rsidR="00925AEB" w:rsidRPr="004F11AC">
              <w:rPr>
                <w:rStyle w:val="Small"/>
                <w:rFonts w:ascii="Arial Narrow" w:hAnsi="Arial Narrow"/>
                <w:szCs w:val="20"/>
              </w:rPr>
              <w:t xml:space="preserve">any, mild symptomatic, asymptomatic and severe </w:t>
            </w:r>
            <w:r w:rsidR="00925AEB" w:rsidRPr="004F11AC">
              <w:rPr>
                <w:szCs w:val="20"/>
              </w:rPr>
              <w:t>hypoglycaemia episodes,</w:t>
            </w:r>
          </w:p>
          <w:p w14:paraId="0D69893E" w14:textId="674E95A5" w:rsidR="00925AEB" w:rsidRPr="004F11AC" w:rsidRDefault="00FB0540" w:rsidP="00E208B7">
            <w:pPr>
              <w:pStyle w:val="COMTabletext"/>
              <w:jc w:val="center"/>
              <w:rPr>
                <w:szCs w:val="20"/>
              </w:rPr>
            </w:pPr>
            <w:r w:rsidRPr="004F11AC">
              <w:rPr>
                <w:szCs w:val="20"/>
              </w:rPr>
              <w:t>c</w:t>
            </w:r>
            <w:r w:rsidR="00925AEB" w:rsidRPr="004F11AC">
              <w:rPr>
                <w:szCs w:val="20"/>
              </w:rPr>
              <w:t xml:space="preserve">hange </w:t>
            </w:r>
            <w:r w:rsidRPr="004F11AC">
              <w:rPr>
                <w:szCs w:val="20"/>
              </w:rPr>
              <w:t xml:space="preserve">from baseline </w:t>
            </w:r>
            <w:r w:rsidR="00925AEB" w:rsidRPr="004F11AC">
              <w:rPr>
                <w:szCs w:val="20"/>
              </w:rPr>
              <w:t>in HbA1c, adverse events</w:t>
            </w:r>
          </w:p>
        </w:tc>
      </w:tr>
    </w:tbl>
    <w:p w14:paraId="560080D2" w14:textId="56E14E16" w:rsidR="00045017" w:rsidRPr="004F11AC" w:rsidRDefault="00045017" w:rsidP="00E208B7">
      <w:pPr>
        <w:pStyle w:val="COMTablefooter"/>
      </w:pPr>
      <w:r w:rsidRPr="004F11AC">
        <w:t xml:space="preserve">Source: </w:t>
      </w:r>
      <w:r w:rsidR="00795991" w:rsidRPr="004F11AC">
        <w:t>Table 2-6, p38 of the resubmission</w:t>
      </w:r>
      <w:r w:rsidRPr="004F11AC">
        <w:t>.</w:t>
      </w:r>
    </w:p>
    <w:p w14:paraId="1095487C" w14:textId="47A5F91B" w:rsidR="00620C25" w:rsidRPr="004F11AC" w:rsidRDefault="00851EA1" w:rsidP="00E208B7">
      <w:pPr>
        <w:pStyle w:val="COMTablefooter"/>
        <w:rPr>
          <w:sz w:val="20"/>
        </w:rPr>
      </w:pPr>
      <w:r w:rsidRPr="004F11AC">
        <w:t>Abbreviations:</w:t>
      </w:r>
      <w:r w:rsidR="00620C25" w:rsidRPr="004F11AC">
        <w:t xml:space="preserve"> </w:t>
      </w:r>
      <w:r w:rsidR="00947AC2" w:rsidRPr="004F11AC">
        <w:t xml:space="preserve">BMI, body mass index; </w:t>
      </w:r>
      <w:r w:rsidR="005723BB" w:rsidRPr="004F11AC">
        <w:t xml:space="preserve">CKD, chronic kidney disease; </w:t>
      </w:r>
      <w:r w:rsidR="005E235A" w:rsidRPr="004F11AC">
        <w:t>CO, cross-over;</w:t>
      </w:r>
      <w:r w:rsidR="00416932" w:rsidRPr="004F11AC">
        <w:t xml:space="preserve"> </w:t>
      </w:r>
      <w:r w:rsidR="00381EBA" w:rsidRPr="004F11AC">
        <w:t>FF, fixed flexible</w:t>
      </w:r>
      <w:r w:rsidR="00381EBA">
        <w:t xml:space="preserve">; </w:t>
      </w:r>
      <w:r w:rsidR="00D95543" w:rsidRPr="004F11AC">
        <w:t xml:space="preserve">HbA1c, glycated haemoglobin; </w:t>
      </w:r>
      <w:proofErr w:type="spellStart"/>
      <w:r w:rsidR="003832AF" w:rsidRPr="004F11AC">
        <w:t>IAsp</w:t>
      </w:r>
      <w:proofErr w:type="spellEnd"/>
      <w:r w:rsidR="003832AF" w:rsidRPr="004F11AC">
        <w:t xml:space="preserve">, insulin </w:t>
      </w:r>
      <w:proofErr w:type="spellStart"/>
      <w:r w:rsidR="003832AF" w:rsidRPr="004F11AC">
        <w:t>aspart</w:t>
      </w:r>
      <w:proofErr w:type="spellEnd"/>
      <w:r w:rsidR="003832AF" w:rsidRPr="004F11AC">
        <w:t xml:space="preserve">; </w:t>
      </w:r>
      <w:proofErr w:type="spellStart"/>
      <w:r w:rsidR="003832AF" w:rsidRPr="004F11AC">
        <w:t>IDeg</w:t>
      </w:r>
      <w:proofErr w:type="spellEnd"/>
      <w:r w:rsidR="003832AF" w:rsidRPr="004F11AC">
        <w:t xml:space="preserve">, insulin degludec; </w:t>
      </w:r>
      <w:proofErr w:type="spellStart"/>
      <w:r w:rsidR="003832AF" w:rsidRPr="004F11AC">
        <w:t>IGlar</w:t>
      </w:r>
      <w:proofErr w:type="spellEnd"/>
      <w:r w:rsidR="003832AF" w:rsidRPr="004F11AC">
        <w:t xml:space="preserve">, insulin glargine; </w:t>
      </w:r>
      <w:r w:rsidR="00620C25" w:rsidRPr="004F11AC">
        <w:t>MC</w:t>
      </w:r>
      <w:r w:rsidR="009C1E83" w:rsidRPr="004F11AC">
        <w:t xml:space="preserve">, </w:t>
      </w:r>
      <w:r w:rsidR="00620C25" w:rsidRPr="004F11AC">
        <w:t>multicentre;</w:t>
      </w:r>
      <w:r w:rsidR="00416932" w:rsidRPr="004F11AC">
        <w:t xml:space="preserve"> </w:t>
      </w:r>
      <w:proofErr w:type="spellStart"/>
      <w:r w:rsidR="00655966" w:rsidRPr="004F11AC">
        <w:t>mths</w:t>
      </w:r>
      <w:proofErr w:type="spellEnd"/>
      <w:r w:rsidR="00655966" w:rsidRPr="004F11AC">
        <w:t xml:space="preserve">, months; </w:t>
      </w:r>
      <w:r w:rsidR="00416932" w:rsidRPr="004F11AC">
        <w:t>OD, once daily dosing;</w:t>
      </w:r>
      <w:r w:rsidR="00620C25" w:rsidRPr="004F11AC">
        <w:t xml:space="preserve"> OL</w:t>
      </w:r>
      <w:r w:rsidR="009C1E83" w:rsidRPr="004F11AC">
        <w:t>,</w:t>
      </w:r>
      <w:r w:rsidR="00620C25" w:rsidRPr="004F11AC">
        <w:t xml:space="preserve"> open label; </w:t>
      </w:r>
      <w:r w:rsidR="00947AC2" w:rsidRPr="004F11AC">
        <w:t xml:space="preserve">P, parallel; </w:t>
      </w:r>
      <w:r w:rsidR="00655966" w:rsidRPr="004F11AC">
        <w:t xml:space="preserve">QoL, quality of life; </w:t>
      </w:r>
      <w:r w:rsidR="00620C25" w:rsidRPr="004F11AC">
        <w:t>R</w:t>
      </w:r>
      <w:r w:rsidR="009C1E83" w:rsidRPr="004F11AC">
        <w:t>,</w:t>
      </w:r>
      <w:r w:rsidR="00620C25" w:rsidRPr="004F11AC">
        <w:t xml:space="preserve"> randomised</w:t>
      </w:r>
      <w:r w:rsidR="00D95543" w:rsidRPr="004F11AC">
        <w:t>; T1D type 1 diabetes</w:t>
      </w:r>
      <w:r w:rsidR="00620C25" w:rsidRPr="004F11AC">
        <w:t>.</w:t>
      </w:r>
    </w:p>
    <w:p w14:paraId="22CAC6C7" w14:textId="03D3BF15" w:rsidR="00BA008B" w:rsidRPr="004F11AC" w:rsidRDefault="00BA008B" w:rsidP="00E208B7">
      <w:pPr>
        <w:pStyle w:val="COMexecsummnumbered"/>
      </w:pPr>
      <w:r w:rsidRPr="004F11AC">
        <w:t xml:space="preserve">All </w:t>
      </w:r>
      <w:r w:rsidR="00153ABB" w:rsidRPr="00EE52E7">
        <w:t xml:space="preserve">key </w:t>
      </w:r>
      <w:r w:rsidRPr="004F11AC">
        <w:t xml:space="preserve">trials included in the resubmission compared insulin degludec 100 IU/mL to insulin glargine 100 IU/mL in patients with T1D, in a basal-bolus regimen with insulin </w:t>
      </w:r>
      <w:proofErr w:type="spellStart"/>
      <w:r w:rsidRPr="004F11AC">
        <w:t>aspart</w:t>
      </w:r>
      <w:proofErr w:type="spellEnd"/>
      <w:r w:rsidR="00BD7BC4" w:rsidRPr="004F11AC">
        <w:t xml:space="preserve">, </w:t>
      </w:r>
      <w:r w:rsidRPr="004F11AC">
        <w:t xml:space="preserve">titrated to prespecified </w:t>
      </w:r>
      <w:r w:rsidR="009001F2" w:rsidRPr="004F11AC">
        <w:t>self-monitore</w:t>
      </w:r>
      <w:r w:rsidR="002756F9" w:rsidRPr="004F11AC">
        <w:t xml:space="preserve">d plasma glucose (SMPG) </w:t>
      </w:r>
      <w:r w:rsidRPr="004F11AC">
        <w:t>FPG targets of no less than 4.0</w:t>
      </w:r>
      <w:r w:rsidR="007912E4" w:rsidRPr="004F11AC">
        <w:t> </w:t>
      </w:r>
      <w:r w:rsidRPr="004F11AC">
        <w:t xml:space="preserve">mmol/L and no more than 5.0-6.0 mmol/L (targets </w:t>
      </w:r>
      <w:r w:rsidR="00CD7747" w:rsidRPr="004F11AC">
        <w:t xml:space="preserve">were not reported </w:t>
      </w:r>
      <w:r w:rsidRPr="004F11AC">
        <w:t xml:space="preserve">in the </w:t>
      </w:r>
      <w:proofErr w:type="spellStart"/>
      <w:r w:rsidRPr="004F11AC">
        <w:t>HypoDeg</w:t>
      </w:r>
      <w:proofErr w:type="spellEnd"/>
      <w:r w:rsidRPr="004F11AC">
        <w:t xml:space="preserve"> trial).  Children (aged </w:t>
      </w:r>
      <w:r w:rsidR="004355C0" w:rsidRPr="004F11AC">
        <w:rPr>
          <w:rFonts w:cstheme="minorHAnsi"/>
        </w:rPr>
        <w:t>&lt;</w:t>
      </w:r>
      <w:r w:rsidRPr="004F11AC">
        <w:t xml:space="preserve">18 years), pregnant women, and patients with </w:t>
      </w:r>
      <w:r w:rsidRPr="004F11AC">
        <w:lastRenderedPageBreak/>
        <w:t>a history of recent symptomatic cardiovascular disease, or proliferative retinopathy or maculopathy requiring treatment were excluded</w:t>
      </w:r>
      <w:r w:rsidR="002756F9" w:rsidRPr="004F11AC">
        <w:t>.</w:t>
      </w:r>
    </w:p>
    <w:p w14:paraId="58389449" w14:textId="6C5B0FE4" w:rsidR="00BA008B" w:rsidRPr="004F11AC" w:rsidRDefault="00BA008B" w:rsidP="00E208B7">
      <w:pPr>
        <w:pStyle w:val="COMexecsummnumbered"/>
      </w:pPr>
      <w:r w:rsidRPr="004F11AC">
        <w:t xml:space="preserve">Study 3770 included </w:t>
      </w:r>
      <w:r w:rsidR="009950F1" w:rsidRPr="004F11AC">
        <w:t>two</w:t>
      </w:r>
      <w:r w:rsidRPr="004F11AC">
        <w:t xml:space="preserve"> insulin degludec treatment arms (insulin degludec OD: once daily with the main evening meal; and insulin degludec OD FF: once daily fixed flexible dosing in a rotating schedule with approximately 8-, 24- or 40-hour intervals between doses). The insulin degludec OD FF regimen was compared to the insulin glargine (once daily with the main evening meal), and insulin degludec OD treatment arms. All regimens were administered with prandial insulin </w:t>
      </w:r>
      <w:proofErr w:type="spellStart"/>
      <w:r w:rsidRPr="004F11AC">
        <w:t>aspart</w:t>
      </w:r>
      <w:proofErr w:type="spellEnd"/>
      <w:r w:rsidRPr="004F11AC">
        <w:t xml:space="preserve"> (fast</w:t>
      </w:r>
      <w:r w:rsidR="00D748EB" w:rsidRPr="004F11AC">
        <w:t>-</w:t>
      </w:r>
      <w:r w:rsidRPr="004F11AC">
        <w:t>acting bolus insulin).</w:t>
      </w:r>
    </w:p>
    <w:p w14:paraId="73FA6818" w14:textId="7337C8C4" w:rsidR="00BA008B" w:rsidRPr="005E6F23" w:rsidRDefault="00BA008B" w:rsidP="00E208B7">
      <w:pPr>
        <w:pStyle w:val="COMexecsummnumbered"/>
        <w:rPr>
          <w:iCs/>
        </w:rPr>
      </w:pPr>
      <w:r w:rsidRPr="005E6F23">
        <w:rPr>
          <w:iCs/>
        </w:rPr>
        <w:t xml:space="preserve">The </w:t>
      </w:r>
      <w:r w:rsidR="00F94B86" w:rsidRPr="005E6F23">
        <w:rPr>
          <w:iCs/>
        </w:rPr>
        <w:t xml:space="preserve">evaluation and the ESC considered that the </w:t>
      </w:r>
      <w:r w:rsidRPr="005E6F23">
        <w:rPr>
          <w:iCs/>
        </w:rPr>
        <w:t xml:space="preserve">risk of bias in Studies 3583, 3770, 1835 and the </w:t>
      </w:r>
      <w:proofErr w:type="spellStart"/>
      <w:r w:rsidRPr="005E6F23">
        <w:rPr>
          <w:iCs/>
        </w:rPr>
        <w:t>HypoDeg</w:t>
      </w:r>
      <w:proofErr w:type="spellEnd"/>
      <w:r w:rsidRPr="005E6F23">
        <w:rPr>
          <w:iCs/>
        </w:rPr>
        <w:t xml:space="preserve"> trial was high, given the open label trial designs</w:t>
      </w:r>
      <w:r w:rsidR="00400F31" w:rsidRPr="005E6F23">
        <w:rPr>
          <w:iCs/>
        </w:rPr>
        <w:t>, noting that t</w:t>
      </w:r>
      <w:r w:rsidRPr="005E6F23">
        <w:rPr>
          <w:iCs/>
        </w:rPr>
        <w:t xml:space="preserve">he risk of bias may be minimised for more objective outcomes such as measures of glycaemic control (HbA1c or fasting plasma glucose). </w:t>
      </w:r>
      <w:r w:rsidR="003A569F" w:rsidRPr="005E6F23">
        <w:rPr>
          <w:iCs/>
        </w:rPr>
        <w:t>The evaluation and the ESC considered that</w:t>
      </w:r>
      <w:r w:rsidRPr="005E6F23">
        <w:rPr>
          <w:iCs/>
        </w:rPr>
        <w:t xml:space="preserve"> knowledge of treatment assignment may affect disease management decisions (dose titration) and other outcomes that depend on self-reported assessments. </w:t>
      </w:r>
      <w:r w:rsidR="00864060" w:rsidRPr="005E6F23">
        <w:rPr>
          <w:iCs/>
        </w:rPr>
        <w:t xml:space="preserve">The PSCR </w:t>
      </w:r>
      <w:r w:rsidR="00A928E7" w:rsidRPr="005E6F23">
        <w:rPr>
          <w:iCs/>
        </w:rPr>
        <w:t xml:space="preserve"> </w:t>
      </w:r>
      <w:r w:rsidR="00864060" w:rsidRPr="005E6F23">
        <w:rPr>
          <w:iCs/>
        </w:rPr>
        <w:t>stated that the sponsor disagreed with this assessment of the risk of bias</w:t>
      </w:r>
      <w:r w:rsidR="00A928E7" w:rsidRPr="005E6F23">
        <w:rPr>
          <w:iCs/>
        </w:rPr>
        <w:t xml:space="preserve">, which appeared to have been based on blinding of investigators and participants. </w:t>
      </w:r>
      <w:r w:rsidR="005C7BA4" w:rsidRPr="005E6F23">
        <w:rPr>
          <w:iCs/>
        </w:rPr>
        <w:t>The PSCR argued that using the multi-component Cochrane Risk of Bias tool that the overall risk of bias was assessed as low for studies 3583, 3770 and 1835</w:t>
      </w:r>
      <w:r w:rsidR="002F1C13" w:rsidRPr="005E6F23">
        <w:rPr>
          <w:iCs/>
        </w:rPr>
        <w:t xml:space="preserve">, with some concerns for </w:t>
      </w:r>
      <w:proofErr w:type="spellStart"/>
      <w:r w:rsidR="002F1C13" w:rsidRPr="005E6F23">
        <w:rPr>
          <w:iCs/>
        </w:rPr>
        <w:t>HypoDeg</w:t>
      </w:r>
      <w:proofErr w:type="spellEnd"/>
      <w:r w:rsidR="002F1C13" w:rsidRPr="005E6F23">
        <w:rPr>
          <w:iCs/>
        </w:rPr>
        <w:t xml:space="preserve"> due mainly to the lack of information regarding methods for measuring and managing missing data. </w:t>
      </w:r>
    </w:p>
    <w:p w14:paraId="68785E72" w14:textId="0E024EEB" w:rsidR="00BA008B" w:rsidRPr="005E6F23" w:rsidRDefault="00BA008B" w:rsidP="00E208B7">
      <w:pPr>
        <w:pStyle w:val="COMexecsummnumbered"/>
        <w:rPr>
          <w:iCs/>
        </w:rPr>
      </w:pPr>
      <w:r w:rsidRPr="005E6F23">
        <w:rPr>
          <w:iCs/>
        </w:rPr>
        <w:t>The risk of bias in Study 3995 was unclear</w:t>
      </w:r>
      <w:r w:rsidR="00740851" w:rsidRPr="005E6F23">
        <w:rPr>
          <w:iCs/>
        </w:rPr>
        <w:t>, given</w:t>
      </w:r>
      <w:r w:rsidRPr="005E6F23">
        <w:rPr>
          <w:iCs/>
        </w:rPr>
        <w:t xml:space="preserve"> insulin degludec and insulin glargine have different pharmacokinetic and time-action profiles</w:t>
      </w:r>
      <w:r w:rsidR="00C563C7" w:rsidRPr="005E6F23">
        <w:rPr>
          <w:iCs/>
        </w:rPr>
        <w:t>, and</w:t>
      </w:r>
      <w:r w:rsidRPr="005E6F23">
        <w:rPr>
          <w:iCs/>
        </w:rPr>
        <w:t xml:space="preserve"> the timing of insulin administration could potentially affect the time interval during which subjects would be at highest risk of experiencing hypoglycaemia episodes. The risk of bias may be reduced as subjects were randomised 1:1 to morning and evening dosing</w:t>
      </w:r>
      <w:r w:rsidR="00186953" w:rsidRPr="005E6F23">
        <w:rPr>
          <w:iCs/>
        </w:rPr>
        <w:t>;</w:t>
      </w:r>
      <w:r w:rsidRPr="005E6F23">
        <w:rPr>
          <w:iCs/>
        </w:rPr>
        <w:t xml:space="preserve"> however, the impact of these differences remain</w:t>
      </w:r>
      <w:r w:rsidR="00186953" w:rsidRPr="005E6F23">
        <w:rPr>
          <w:iCs/>
        </w:rPr>
        <w:t>ed</w:t>
      </w:r>
      <w:r w:rsidRPr="005E6F23">
        <w:rPr>
          <w:iCs/>
        </w:rPr>
        <w:t xml:space="preserve"> unclear.</w:t>
      </w:r>
    </w:p>
    <w:p w14:paraId="6CCC33D2" w14:textId="613EC43C" w:rsidR="00BA008B" w:rsidRPr="005E6F23" w:rsidRDefault="00BA008B" w:rsidP="00E208B7">
      <w:pPr>
        <w:pStyle w:val="COMexecsummnumbered"/>
        <w:rPr>
          <w:iCs/>
        </w:rPr>
      </w:pPr>
      <w:r w:rsidRPr="005E6F23">
        <w:rPr>
          <w:iCs/>
        </w:rPr>
        <w:t xml:space="preserve">Larger proportions of patients treated with insulin degludec discontinued </w:t>
      </w:r>
      <w:r w:rsidR="00FE1345" w:rsidRPr="005E6F23">
        <w:rPr>
          <w:iCs/>
        </w:rPr>
        <w:t xml:space="preserve">compared to those treated with insulin glargine </w:t>
      </w:r>
      <w:r w:rsidRPr="005E6F23">
        <w:rPr>
          <w:iCs/>
        </w:rPr>
        <w:t xml:space="preserve">in Study 3770 (insulin degludec fixed flexible dosing 15.8%; insulin degludec once daily 15.9%; insulin glargine 7.3%), and the </w:t>
      </w:r>
      <w:proofErr w:type="spellStart"/>
      <w:r w:rsidRPr="005E6F23">
        <w:rPr>
          <w:iCs/>
        </w:rPr>
        <w:t>HypoDeg</w:t>
      </w:r>
      <w:proofErr w:type="spellEnd"/>
      <w:r w:rsidRPr="005E6F23">
        <w:rPr>
          <w:iCs/>
        </w:rPr>
        <w:t xml:space="preserve"> trial (insulin degludec 23.3%; insulin glargine 5.3%). The most common reasons for study discontinuation were adverse events, ineffective therapy or other reasons (not defined).</w:t>
      </w:r>
    </w:p>
    <w:p w14:paraId="4E79FD73" w14:textId="4BF00475" w:rsidR="00BA008B" w:rsidRPr="005E6F23" w:rsidRDefault="006A1212" w:rsidP="00E208B7">
      <w:pPr>
        <w:pStyle w:val="COMexecsummnumbered"/>
        <w:rPr>
          <w:iCs/>
        </w:rPr>
      </w:pPr>
      <w:r w:rsidRPr="005E6F23">
        <w:rPr>
          <w:iCs/>
        </w:rPr>
        <w:t xml:space="preserve">The evaluation and the ESC noted that </w:t>
      </w:r>
      <w:r w:rsidR="00BA008B" w:rsidRPr="005E6F23">
        <w:rPr>
          <w:iCs/>
        </w:rPr>
        <w:t xml:space="preserve">Study 3995 and the </w:t>
      </w:r>
      <w:proofErr w:type="spellStart"/>
      <w:r w:rsidR="00BA008B" w:rsidRPr="005E6F23">
        <w:rPr>
          <w:iCs/>
        </w:rPr>
        <w:t>HypoDeg</w:t>
      </w:r>
      <w:proofErr w:type="spellEnd"/>
      <w:r w:rsidR="00BA008B" w:rsidRPr="005E6F23">
        <w:rPr>
          <w:iCs/>
        </w:rPr>
        <w:t xml:space="preserve"> trial included patients prone to hypoglycaemia episodes, nocturnal hypoglycaemia episodes or experiencing hypoglycaemic unawareness. This was consistent with the primary study objectives of investigating differences in the rate of hypoglycaemia episodes between basal insulin regimens in patients with T1D.</w:t>
      </w:r>
    </w:p>
    <w:p w14:paraId="38FD006A" w14:textId="77777777" w:rsidR="00BA008B" w:rsidRPr="005E6F23" w:rsidRDefault="00BA008B" w:rsidP="00E208B7">
      <w:pPr>
        <w:pStyle w:val="COMexecsummnumbered"/>
        <w:rPr>
          <w:iCs/>
        </w:rPr>
      </w:pPr>
      <w:r w:rsidRPr="005E6F23">
        <w:rPr>
          <w:iCs/>
        </w:rPr>
        <w:t xml:space="preserve">Study 3995 and the </w:t>
      </w:r>
      <w:proofErr w:type="spellStart"/>
      <w:r w:rsidRPr="005E6F23">
        <w:rPr>
          <w:iCs/>
        </w:rPr>
        <w:t>HypoDeg</w:t>
      </w:r>
      <w:proofErr w:type="spellEnd"/>
      <w:r w:rsidRPr="005E6F23">
        <w:rPr>
          <w:iCs/>
        </w:rPr>
        <w:t xml:space="preserve"> trial also included larger proportions of patients previously treated with insulin detemir at baseline (Study 3995: 58.4-63.5%; </w:t>
      </w:r>
      <w:proofErr w:type="spellStart"/>
      <w:r w:rsidRPr="005E6F23">
        <w:rPr>
          <w:iCs/>
        </w:rPr>
        <w:t>HypoDeg</w:t>
      </w:r>
      <w:proofErr w:type="spellEnd"/>
      <w:r w:rsidRPr="005E6F23">
        <w:rPr>
          <w:iCs/>
        </w:rPr>
        <w:t xml:space="preserve">: 40%) compared with other studies (Study 3583: 18.4-21.7%; Study 3770: 26.1-28.7%; </w:t>
      </w:r>
      <w:r w:rsidRPr="005E6F23">
        <w:rPr>
          <w:iCs/>
        </w:rPr>
        <w:lastRenderedPageBreak/>
        <w:t xml:space="preserve">Study 1835: 28.1%), and smaller proportions using insulin glargine at baseline (Study 3995: 0-0.4%; </w:t>
      </w:r>
      <w:proofErr w:type="spellStart"/>
      <w:r w:rsidRPr="005E6F23">
        <w:rPr>
          <w:iCs/>
        </w:rPr>
        <w:t>HypoDeg</w:t>
      </w:r>
      <w:proofErr w:type="spellEnd"/>
      <w:r w:rsidRPr="005E6F23">
        <w:rPr>
          <w:iCs/>
        </w:rPr>
        <w:t>: 35%) compared with other studies (Study 3583: 68.8-70.8%; Study 3770: 64.8-65.2%; Study 1835: 52.2%). Study 3995 also included smaller proportions of patients using once daily basal insulin regimens (42.6-46.8%) and larger proportions using continuous subcutaneous insulin infusions (17.3-21.4%) compared to other studies (Study 3583: OD 71.3-73.9%, CSII 1.9-2.1%; Study 3770: OD 68.3-70.9%, CSII excluded; Study 1835: OD 50.0-56.0%; CSII 3.4-5.0%).</w:t>
      </w:r>
    </w:p>
    <w:p w14:paraId="5D05C1F7" w14:textId="7C32982B" w:rsidR="00BA008B" w:rsidRPr="005E6F23" w:rsidRDefault="00BA008B" w:rsidP="00E208B7">
      <w:pPr>
        <w:pStyle w:val="COMexecsummnumbered"/>
        <w:rPr>
          <w:iCs/>
        </w:rPr>
      </w:pPr>
      <w:r w:rsidRPr="005E6F23">
        <w:rPr>
          <w:iCs/>
        </w:rPr>
        <w:t xml:space="preserve">The </w:t>
      </w:r>
      <w:r w:rsidR="00953417" w:rsidRPr="005E6F23">
        <w:rPr>
          <w:iCs/>
        </w:rPr>
        <w:t xml:space="preserve">evaluation and the ESC noted that the </w:t>
      </w:r>
      <w:r w:rsidRPr="005E6F23">
        <w:rPr>
          <w:iCs/>
        </w:rPr>
        <w:t xml:space="preserve">patient demographic and disease characteristics of Studies 3583, 3770, 1835 and 3995 were similar to the Australian T1D population in the Australian Diabetes Clinical Quality (ADCQ) registry Annual Report 2024 in terms of mean age (42.6-47.2 years versus 45.8 years), and median duration of T1D (17.3-23.6 years versus 18.9 years). However, patients in the </w:t>
      </w:r>
      <w:proofErr w:type="spellStart"/>
      <w:r w:rsidRPr="005E6F23">
        <w:rPr>
          <w:iCs/>
        </w:rPr>
        <w:t>HypoDeg</w:t>
      </w:r>
      <w:proofErr w:type="spellEnd"/>
      <w:r w:rsidRPr="005E6F23">
        <w:rPr>
          <w:iCs/>
        </w:rPr>
        <w:t xml:space="preserve"> trial were older (mean age 54 years), and had a longer duration of T1D (median duration 28 years). Baseline HbA1c in Studies 3583, 3770, and 3995 and the </w:t>
      </w:r>
      <w:proofErr w:type="spellStart"/>
      <w:r w:rsidRPr="005E6F23">
        <w:rPr>
          <w:iCs/>
        </w:rPr>
        <w:t>HypoDeg</w:t>
      </w:r>
      <w:proofErr w:type="spellEnd"/>
      <w:r w:rsidRPr="005E6F23">
        <w:rPr>
          <w:iCs/>
        </w:rPr>
        <w:t xml:space="preserve"> trial were lower compared to the Australian T1D population in the ADCQ registry (HbA1c 7.5-7.8% versus 8.0%), while in Study 1835 baseline HbA1c was higher (HbA1c 8.3-8.5%). In the Australian T1D population in the ADCQ registry, only a small proportion of patients reported any episodes of severe hypoglycaemia (6.6%), with 3.9% reporting 1-2 episodes, 1.7% reporting 3-5 episodes, and 1.1% reporting </w:t>
      </w:r>
      <w:r w:rsidR="007A4D5E" w:rsidRPr="005E6F23">
        <w:rPr>
          <w:iCs/>
        </w:rPr>
        <w:t xml:space="preserve">more than </w:t>
      </w:r>
      <w:r w:rsidRPr="005E6F23">
        <w:rPr>
          <w:iCs/>
        </w:rPr>
        <w:t>5 episodes.</w:t>
      </w:r>
    </w:p>
    <w:p w14:paraId="40EF0A4E" w14:textId="3E1DED55" w:rsidR="00BA008B" w:rsidRPr="005E6F23" w:rsidRDefault="00BA008B" w:rsidP="00E208B7">
      <w:pPr>
        <w:pStyle w:val="COMexecsummnumbered"/>
        <w:rPr>
          <w:iCs/>
        </w:rPr>
      </w:pPr>
      <w:r w:rsidRPr="005E6F23">
        <w:rPr>
          <w:iCs/>
        </w:rPr>
        <w:t xml:space="preserve">All studies included in the resubmission used basal-bolus insulin regimens with SMPG data for insulin titration and hypoglycaemia outcomes, with plasma glucose measured by glucose meter and capillary blood test strips. In Study 3583, </w:t>
      </w:r>
      <w:r w:rsidR="00466EF9" w:rsidRPr="005E6F23">
        <w:rPr>
          <w:iCs/>
        </w:rPr>
        <w:t>continuous glucose monitoring (</w:t>
      </w:r>
      <w:r w:rsidRPr="005E6F23">
        <w:rPr>
          <w:iCs/>
        </w:rPr>
        <w:t>CGM</w:t>
      </w:r>
      <w:r w:rsidR="00466EF9" w:rsidRPr="005E6F23">
        <w:rPr>
          <w:iCs/>
        </w:rPr>
        <w:t>)</w:t>
      </w:r>
      <w:r w:rsidRPr="005E6F23">
        <w:rPr>
          <w:iCs/>
        </w:rPr>
        <w:t xml:space="preserve"> was used to measure interstitial glucose in a subset of 165 (26%) patients at randomisation, and 140 (22%) patients at Week 52. However, 88.9% of the Australian T1D population in the ADCQ registry used CGM and 80.5% used CGM only, while 19.7% used capillary blood test strips either alone, or in combination with CGM. </w:t>
      </w:r>
      <w:r w:rsidR="007A3239" w:rsidRPr="005E6F23">
        <w:rPr>
          <w:iCs/>
        </w:rPr>
        <w:t xml:space="preserve">Studies 3583, 3770, 1835 and 3995 were conducted more than a decade ago, and </w:t>
      </w:r>
      <w:r w:rsidRPr="005E6F23">
        <w:rPr>
          <w:iCs/>
        </w:rPr>
        <w:t>may no longer reflect current clinical practice</w:t>
      </w:r>
      <w:r w:rsidR="00800F53" w:rsidRPr="005E6F23">
        <w:rPr>
          <w:iCs/>
        </w:rPr>
        <w:t>,</w:t>
      </w:r>
      <w:r w:rsidRPr="005E6F23">
        <w:rPr>
          <w:iCs/>
        </w:rPr>
        <w:t xml:space="preserve"> with substantial use of CGM affecting monitoring of hypoglycaemia episodes and insulin dosing.</w:t>
      </w:r>
      <w:r w:rsidR="002C2E3F" w:rsidRPr="005E6F23">
        <w:rPr>
          <w:iCs/>
        </w:rPr>
        <w:t xml:space="preserve"> The PSCR </w:t>
      </w:r>
      <w:r w:rsidR="00841C48" w:rsidRPr="005E6F23">
        <w:rPr>
          <w:iCs/>
        </w:rPr>
        <w:t xml:space="preserve"> acknowledged the limitations of the eviden</w:t>
      </w:r>
      <w:r w:rsidR="00291F39" w:rsidRPr="005E6F23">
        <w:rPr>
          <w:iCs/>
        </w:rPr>
        <w:t>ce</w:t>
      </w:r>
      <w:r w:rsidR="00841C48" w:rsidRPr="005E6F23">
        <w:rPr>
          <w:iCs/>
        </w:rPr>
        <w:t xml:space="preserve"> </w:t>
      </w:r>
      <w:r w:rsidR="00FB4FCC" w:rsidRPr="005E6F23">
        <w:rPr>
          <w:iCs/>
        </w:rPr>
        <w:t>base but</w:t>
      </w:r>
      <w:r w:rsidR="00841C48" w:rsidRPr="005E6F23">
        <w:rPr>
          <w:iCs/>
        </w:rPr>
        <w:t xml:space="preserve"> indicated that</w:t>
      </w:r>
      <w:r w:rsidR="00266645" w:rsidRPr="005E6F23">
        <w:rPr>
          <w:iCs/>
        </w:rPr>
        <w:t xml:space="preserve"> given the stage of the life cycle for insulin degludec</w:t>
      </w:r>
      <w:r w:rsidR="00F23B19" w:rsidRPr="005E6F23">
        <w:rPr>
          <w:iCs/>
        </w:rPr>
        <w:t xml:space="preserve">, </w:t>
      </w:r>
      <w:r w:rsidR="00487CC2" w:rsidRPr="005E6F23">
        <w:rPr>
          <w:iCs/>
        </w:rPr>
        <w:t xml:space="preserve">additional trials </w:t>
      </w:r>
      <w:r w:rsidR="00344BB5" w:rsidRPr="005E6F23">
        <w:rPr>
          <w:iCs/>
        </w:rPr>
        <w:t>are not likely to be conducted</w:t>
      </w:r>
      <w:r w:rsidR="00AE4AFA" w:rsidRPr="005E6F23">
        <w:rPr>
          <w:iCs/>
        </w:rPr>
        <w:t xml:space="preserve">. </w:t>
      </w:r>
    </w:p>
    <w:p w14:paraId="4A4FE085" w14:textId="1C5613CC" w:rsidR="00B60939" w:rsidRPr="004F11AC" w:rsidRDefault="00B60939" w:rsidP="00E208B7">
      <w:pPr>
        <w:pStyle w:val="COMH2-non-numbered"/>
      </w:pPr>
      <w:bookmarkStart w:id="21" w:name="_Toc22897641"/>
      <w:bookmarkStart w:id="22" w:name="_Toc197595416"/>
      <w:r w:rsidRPr="004F11AC">
        <w:t>Comparative effectiveness</w:t>
      </w:r>
      <w:bookmarkEnd w:id="21"/>
      <w:bookmarkEnd w:id="22"/>
    </w:p>
    <w:p w14:paraId="1E224520" w14:textId="41CF2157" w:rsidR="007A4D5E" w:rsidRPr="004F11AC" w:rsidRDefault="007F4B07" w:rsidP="00E208B7">
      <w:pPr>
        <w:pStyle w:val="COMH3"/>
        <w:rPr>
          <w:sz w:val="24"/>
          <w:szCs w:val="22"/>
        </w:rPr>
      </w:pPr>
      <w:r w:rsidRPr="004F11AC">
        <w:rPr>
          <w:sz w:val="24"/>
          <w:szCs w:val="22"/>
        </w:rPr>
        <w:t>Glycaemic control</w:t>
      </w:r>
    </w:p>
    <w:p w14:paraId="65B931AE" w14:textId="77777777" w:rsidR="00280138" w:rsidRDefault="00E21431" w:rsidP="00E208B7">
      <w:pPr>
        <w:jc w:val="left"/>
        <w:rPr>
          <w:rFonts w:ascii="Arial Narrow" w:hAnsi="Arial Narrow"/>
          <w:b/>
          <w:bCs/>
          <w:sz w:val="20"/>
          <w:szCs w:val="20"/>
        </w:rPr>
      </w:pPr>
      <w:r w:rsidRPr="00AA4034">
        <w:rPr>
          <w:rFonts w:cstheme="minorHAnsi"/>
        </w:rPr>
        <w:fldChar w:fldCharType="begin"/>
      </w:r>
      <w:r w:rsidRPr="00AA4034">
        <w:rPr>
          <w:rFonts w:cstheme="minorHAnsi"/>
        </w:rPr>
        <w:instrText xml:space="preserve"> REF _Ref197511721 \h </w:instrText>
      </w:r>
      <w:r w:rsidR="00CD5476" w:rsidRPr="00AA4034">
        <w:rPr>
          <w:rFonts w:cstheme="minorHAnsi"/>
        </w:rPr>
        <w:instrText xml:space="preserve"> \* MERGEFORMAT </w:instrText>
      </w:r>
      <w:r w:rsidRPr="00AA4034">
        <w:rPr>
          <w:rFonts w:cstheme="minorHAnsi"/>
        </w:rPr>
      </w:r>
      <w:r w:rsidRPr="00AA4034">
        <w:rPr>
          <w:rFonts w:cstheme="minorHAnsi"/>
        </w:rPr>
        <w:fldChar w:fldCharType="separate"/>
      </w:r>
      <w:r w:rsidR="00280138">
        <w:rPr>
          <w:rFonts w:ascii="Arial Narrow" w:hAnsi="Arial Narrow"/>
          <w:b/>
          <w:bCs/>
          <w:sz w:val="20"/>
          <w:szCs w:val="20"/>
        </w:rPr>
        <w:br w:type="page"/>
      </w:r>
    </w:p>
    <w:p w14:paraId="0FD46513" w14:textId="68A7375B" w:rsidR="00313875" w:rsidRPr="004F11AC" w:rsidRDefault="00280138" w:rsidP="00E208B7">
      <w:pPr>
        <w:pStyle w:val="COMexecsummnumbered"/>
      </w:pPr>
      <w:r w:rsidRPr="00F7538C">
        <w:rPr>
          <w:rFonts w:ascii="Arial Narrow" w:hAnsi="Arial Narrow"/>
          <w:b/>
          <w:bCs/>
          <w:sz w:val="20"/>
          <w:szCs w:val="20"/>
        </w:rPr>
        <w:lastRenderedPageBreak/>
        <w:t xml:space="preserve">Table </w:t>
      </w:r>
      <w:r>
        <w:rPr>
          <w:rFonts w:ascii="Arial Narrow" w:hAnsi="Arial Narrow"/>
          <w:b/>
          <w:bCs/>
          <w:noProof/>
          <w:sz w:val="20"/>
          <w:szCs w:val="20"/>
        </w:rPr>
        <w:t>5</w:t>
      </w:r>
      <w:r w:rsidR="00E21431" w:rsidRPr="00AA4034">
        <w:rPr>
          <w:rFonts w:cstheme="minorHAnsi"/>
          <w:szCs w:val="24"/>
        </w:rPr>
        <w:fldChar w:fldCharType="end"/>
      </w:r>
      <w:r w:rsidR="00313875" w:rsidRPr="00AA4034">
        <w:rPr>
          <w:rFonts w:cstheme="minorHAnsi"/>
          <w:szCs w:val="24"/>
        </w:rPr>
        <w:t xml:space="preserve"> summarises</w:t>
      </w:r>
      <w:r w:rsidR="00313875" w:rsidRPr="004F11AC">
        <w:t xml:space="preserve"> the results of Studies 3853, 3770, 1853 and 3995 for least squares mean difference in change in HbA1c from baseline, between insulin degludec and insulin glargine, both in combination with prandial insulin </w:t>
      </w:r>
      <w:proofErr w:type="spellStart"/>
      <w:r w:rsidR="00313875" w:rsidRPr="004F11AC">
        <w:t>aspart</w:t>
      </w:r>
      <w:proofErr w:type="spellEnd"/>
      <w:r w:rsidR="00313875" w:rsidRPr="004F11AC">
        <w:t>.</w:t>
      </w:r>
    </w:p>
    <w:p w14:paraId="15115E90" w14:textId="77777777" w:rsidR="00AA4034" w:rsidRDefault="00AA4034" w:rsidP="00E208B7">
      <w:pPr>
        <w:jc w:val="left"/>
        <w:rPr>
          <w:rFonts w:ascii="Arial Narrow" w:hAnsi="Arial Narrow"/>
          <w:b/>
          <w:bCs/>
          <w:sz w:val="20"/>
          <w:szCs w:val="20"/>
        </w:rPr>
      </w:pPr>
      <w:bookmarkStart w:id="23" w:name="_Ref197511721"/>
      <w:r>
        <w:rPr>
          <w:rFonts w:ascii="Arial Narrow" w:hAnsi="Arial Narrow"/>
          <w:b/>
          <w:bCs/>
          <w:sz w:val="20"/>
          <w:szCs w:val="20"/>
        </w:rPr>
        <w:br w:type="page"/>
      </w:r>
    </w:p>
    <w:p w14:paraId="5D3670F9" w14:textId="19B5C8BB" w:rsidR="00771240" w:rsidRPr="00F7538C" w:rsidRDefault="00771240" w:rsidP="00E208B7">
      <w:pPr>
        <w:jc w:val="left"/>
        <w:rPr>
          <w:rFonts w:ascii="Arial Narrow" w:hAnsi="Arial Narrow"/>
          <w:b/>
          <w:bCs/>
          <w:sz w:val="20"/>
          <w:szCs w:val="20"/>
        </w:rPr>
      </w:pPr>
      <w:r w:rsidRPr="00F7538C">
        <w:rPr>
          <w:rFonts w:ascii="Arial Narrow" w:hAnsi="Arial Narrow"/>
          <w:b/>
          <w:bCs/>
          <w:sz w:val="20"/>
          <w:szCs w:val="20"/>
        </w:rPr>
        <w:lastRenderedPageBreak/>
        <w:t xml:space="preserve">Table </w:t>
      </w:r>
      <w:r w:rsidRPr="00F7538C">
        <w:rPr>
          <w:rFonts w:ascii="Arial Narrow" w:hAnsi="Arial Narrow"/>
          <w:b/>
          <w:bCs/>
          <w:sz w:val="20"/>
          <w:szCs w:val="20"/>
        </w:rPr>
        <w:fldChar w:fldCharType="begin"/>
      </w:r>
      <w:r w:rsidRPr="00F7538C">
        <w:rPr>
          <w:rFonts w:ascii="Arial Narrow" w:hAnsi="Arial Narrow"/>
          <w:b/>
          <w:bCs/>
          <w:sz w:val="20"/>
          <w:szCs w:val="20"/>
        </w:rPr>
        <w:instrText xml:space="preserve"> SEQ Table \* ARABIC </w:instrText>
      </w:r>
      <w:r w:rsidRPr="00F7538C">
        <w:rPr>
          <w:rFonts w:ascii="Arial Narrow" w:hAnsi="Arial Narrow"/>
          <w:b/>
          <w:bCs/>
          <w:sz w:val="20"/>
          <w:szCs w:val="20"/>
        </w:rPr>
        <w:fldChar w:fldCharType="separate"/>
      </w:r>
      <w:r w:rsidR="00280138">
        <w:rPr>
          <w:rFonts w:ascii="Arial Narrow" w:hAnsi="Arial Narrow"/>
          <w:b/>
          <w:bCs/>
          <w:noProof/>
          <w:sz w:val="20"/>
          <w:szCs w:val="20"/>
        </w:rPr>
        <w:t>5</w:t>
      </w:r>
      <w:r w:rsidRPr="00F7538C">
        <w:rPr>
          <w:rFonts w:ascii="Arial Narrow" w:hAnsi="Arial Narrow"/>
          <w:b/>
          <w:bCs/>
          <w:sz w:val="20"/>
          <w:szCs w:val="20"/>
        </w:rPr>
        <w:fldChar w:fldCharType="end"/>
      </w:r>
      <w:bookmarkEnd w:id="23"/>
      <w:r w:rsidRPr="00F7538C">
        <w:rPr>
          <w:rFonts w:ascii="Arial Narrow" w:hAnsi="Arial Narrow"/>
          <w:b/>
          <w:bCs/>
          <w:sz w:val="20"/>
          <w:szCs w:val="20"/>
        </w:rPr>
        <w:t>: Change in HbA1c</w:t>
      </w:r>
      <w:r w:rsidR="00C619F9" w:rsidRPr="00F7538C">
        <w:rPr>
          <w:rFonts w:ascii="Arial Narrow" w:hAnsi="Arial Narrow"/>
          <w:b/>
          <w:bCs/>
          <w:sz w:val="20"/>
          <w:szCs w:val="20"/>
        </w:rPr>
        <w:t xml:space="preserve"> (%)</w:t>
      </w:r>
      <w:r w:rsidRPr="00F7538C">
        <w:rPr>
          <w:rFonts w:ascii="Arial Narrow" w:hAnsi="Arial Narrow"/>
          <w:b/>
          <w:bCs/>
          <w:sz w:val="20"/>
          <w:szCs w:val="20"/>
        </w:rPr>
        <w:t xml:space="preserve"> from baseline </w:t>
      </w:r>
    </w:p>
    <w:tbl>
      <w:tblPr>
        <w:tblStyle w:val="TableGrid"/>
        <w:tblW w:w="0" w:type="auto"/>
        <w:tblCellMar>
          <w:left w:w="28" w:type="dxa"/>
          <w:right w:w="28" w:type="dxa"/>
        </w:tblCellMar>
        <w:tblLook w:val="04A0" w:firstRow="1" w:lastRow="0" w:firstColumn="1" w:lastColumn="0" w:noHBand="0" w:noVBand="1"/>
        <w:tblCaption w:val="Table 5: Change in HbA1c (%) from baseline "/>
      </w:tblPr>
      <w:tblGrid>
        <w:gridCol w:w="1126"/>
        <w:gridCol w:w="1087"/>
        <w:gridCol w:w="1087"/>
        <w:gridCol w:w="1088"/>
        <w:gridCol w:w="1087"/>
        <w:gridCol w:w="1087"/>
        <w:gridCol w:w="1088"/>
        <w:gridCol w:w="1367"/>
      </w:tblGrid>
      <w:tr w:rsidR="00BA0730" w:rsidRPr="00D07744" w14:paraId="0ED2B0C2" w14:textId="77777777" w:rsidTr="006425BD">
        <w:trPr>
          <w:tblHeader/>
        </w:trPr>
        <w:tc>
          <w:tcPr>
            <w:tcW w:w="1127" w:type="dxa"/>
            <w:vMerge w:val="restart"/>
          </w:tcPr>
          <w:p w14:paraId="5AB3D0EE" w14:textId="77777777" w:rsidR="00E550B5" w:rsidRPr="004F11AC" w:rsidRDefault="00E550B5" w:rsidP="00E208B7">
            <w:pPr>
              <w:jc w:val="left"/>
              <w:rPr>
                <w:rFonts w:ascii="Arial Narrow" w:hAnsi="Arial Narrow" w:cs="Times New Roman"/>
                <w:sz w:val="20"/>
                <w:szCs w:val="22"/>
              </w:rPr>
            </w:pPr>
          </w:p>
        </w:tc>
        <w:tc>
          <w:tcPr>
            <w:tcW w:w="3262" w:type="dxa"/>
            <w:gridSpan w:val="3"/>
            <w:vAlign w:val="center"/>
          </w:tcPr>
          <w:p w14:paraId="3F6323F6" w14:textId="77777777" w:rsidR="00E550B5" w:rsidRPr="004F11AC" w:rsidRDefault="00E550B5" w:rsidP="00E208B7">
            <w:pPr>
              <w:jc w:val="center"/>
              <w:rPr>
                <w:rFonts w:ascii="Arial Narrow" w:hAnsi="Arial Narrow" w:cs="Times New Roman"/>
                <w:b/>
                <w:bCs/>
                <w:sz w:val="20"/>
                <w:szCs w:val="22"/>
              </w:rPr>
            </w:pPr>
            <w:r w:rsidRPr="004F11AC">
              <w:rPr>
                <w:rFonts w:ascii="Arial Narrow" w:hAnsi="Arial Narrow" w:cs="Times New Roman"/>
                <w:b/>
                <w:bCs/>
                <w:sz w:val="20"/>
                <w:szCs w:val="22"/>
              </w:rPr>
              <w:t>Insulin degludec</w:t>
            </w:r>
          </w:p>
        </w:tc>
        <w:tc>
          <w:tcPr>
            <w:tcW w:w="3261" w:type="dxa"/>
            <w:gridSpan w:val="3"/>
            <w:vAlign w:val="center"/>
          </w:tcPr>
          <w:p w14:paraId="5967649D" w14:textId="77777777" w:rsidR="00E550B5" w:rsidRPr="004F11AC" w:rsidRDefault="00E550B5" w:rsidP="00E208B7">
            <w:pPr>
              <w:jc w:val="center"/>
              <w:rPr>
                <w:rFonts w:ascii="Arial Narrow" w:hAnsi="Arial Narrow" w:cs="Times New Roman"/>
                <w:b/>
                <w:bCs/>
                <w:sz w:val="20"/>
                <w:szCs w:val="22"/>
              </w:rPr>
            </w:pPr>
            <w:r w:rsidRPr="004F11AC">
              <w:rPr>
                <w:rFonts w:ascii="Arial Narrow" w:hAnsi="Arial Narrow" w:cs="Times New Roman"/>
                <w:b/>
                <w:bCs/>
                <w:sz w:val="20"/>
                <w:szCs w:val="22"/>
              </w:rPr>
              <w:t>Insulin glargine</w:t>
            </w:r>
          </w:p>
        </w:tc>
        <w:tc>
          <w:tcPr>
            <w:tcW w:w="1367" w:type="dxa"/>
            <w:vMerge w:val="restart"/>
            <w:vAlign w:val="center"/>
          </w:tcPr>
          <w:p w14:paraId="6E8BC97A" w14:textId="77777777" w:rsidR="00E550B5" w:rsidRPr="00D25DB5" w:rsidRDefault="00E550B5" w:rsidP="00E208B7">
            <w:pPr>
              <w:keepNext/>
              <w:jc w:val="center"/>
              <w:rPr>
                <w:rFonts w:ascii="Arial Narrow" w:eastAsia="MS Gothic" w:hAnsi="Arial Narrow" w:cs="Times New Roman"/>
                <w:b/>
                <w:bCs/>
                <w:sz w:val="20"/>
                <w:szCs w:val="20"/>
                <w:lang w:val="it-IT"/>
              </w:rPr>
            </w:pPr>
            <w:r w:rsidRPr="00D25DB5">
              <w:rPr>
                <w:rFonts w:ascii="Arial Narrow" w:eastAsia="MS Gothic" w:hAnsi="Arial Narrow" w:cs="Times New Roman"/>
                <w:b/>
                <w:bCs/>
                <w:sz w:val="20"/>
                <w:szCs w:val="20"/>
                <w:lang w:val="it-IT"/>
              </w:rPr>
              <w:t>IDeg vs IGlar,</w:t>
            </w:r>
          </w:p>
          <w:p w14:paraId="03BD437C" w14:textId="69512155" w:rsidR="00E550B5" w:rsidRPr="00D25DB5" w:rsidRDefault="00E550B5" w:rsidP="00E208B7">
            <w:pPr>
              <w:jc w:val="center"/>
              <w:rPr>
                <w:rFonts w:ascii="Arial Narrow" w:hAnsi="Arial Narrow" w:cs="Times New Roman"/>
                <w:b/>
                <w:bCs/>
                <w:sz w:val="20"/>
                <w:szCs w:val="22"/>
                <w:lang w:val="it-IT"/>
              </w:rPr>
            </w:pPr>
            <w:r w:rsidRPr="00D25DB5">
              <w:rPr>
                <w:rFonts w:ascii="Arial Narrow" w:hAnsi="Arial Narrow" w:cs="Times New Roman"/>
                <w:b/>
                <w:bCs/>
                <w:sz w:val="20"/>
                <w:szCs w:val="22"/>
                <w:lang w:val="it-IT"/>
              </w:rPr>
              <w:t>LSM difference</w:t>
            </w:r>
            <w:r w:rsidR="004278D8" w:rsidRPr="00D25DB5">
              <w:rPr>
                <w:rFonts w:ascii="Arial Narrow" w:hAnsi="Arial Narrow" w:cs="Times New Roman"/>
                <w:b/>
                <w:bCs/>
                <w:sz w:val="20"/>
                <w:szCs w:val="22"/>
                <w:lang w:val="it-IT"/>
              </w:rPr>
              <w:t>,</w:t>
            </w:r>
            <w:r w:rsidRPr="00D25DB5">
              <w:rPr>
                <w:rFonts w:ascii="Arial Narrow" w:hAnsi="Arial Narrow" w:cs="Times New Roman"/>
                <w:b/>
                <w:bCs/>
                <w:sz w:val="20"/>
                <w:szCs w:val="22"/>
                <w:lang w:val="it-IT"/>
              </w:rPr>
              <w:t xml:space="preserve"> </w:t>
            </w:r>
            <w:r w:rsidR="004278D8" w:rsidRPr="00D25DB5">
              <w:rPr>
                <w:rFonts w:ascii="Arial Narrow" w:hAnsi="Arial Narrow" w:cs="Times New Roman"/>
                <w:b/>
                <w:bCs/>
                <w:sz w:val="20"/>
                <w:szCs w:val="22"/>
                <w:lang w:val="it-IT"/>
              </w:rPr>
              <w:t xml:space="preserve">% </w:t>
            </w:r>
            <w:r w:rsidRPr="00D25DB5">
              <w:rPr>
                <w:rFonts w:ascii="Arial Narrow" w:hAnsi="Arial Narrow" w:cs="Times New Roman"/>
                <w:b/>
                <w:bCs/>
                <w:sz w:val="20"/>
                <w:szCs w:val="22"/>
                <w:lang w:val="it-IT"/>
              </w:rPr>
              <w:t>(95% CI)</w:t>
            </w:r>
          </w:p>
        </w:tc>
      </w:tr>
      <w:tr w:rsidR="00BA0730" w:rsidRPr="004F11AC" w14:paraId="05E76D7C" w14:textId="77777777" w:rsidTr="006425BD">
        <w:trPr>
          <w:tblHeader/>
        </w:trPr>
        <w:tc>
          <w:tcPr>
            <w:tcW w:w="1127" w:type="dxa"/>
            <w:vMerge/>
          </w:tcPr>
          <w:p w14:paraId="43D3CB9B" w14:textId="77777777" w:rsidR="00E550B5" w:rsidRPr="00D25DB5" w:rsidRDefault="00E550B5" w:rsidP="00E208B7">
            <w:pPr>
              <w:jc w:val="left"/>
              <w:rPr>
                <w:rFonts w:ascii="Arial Narrow" w:hAnsi="Arial Narrow" w:cs="Times New Roman"/>
                <w:sz w:val="20"/>
                <w:szCs w:val="22"/>
                <w:lang w:val="it-IT"/>
              </w:rPr>
            </w:pPr>
          </w:p>
        </w:tc>
        <w:tc>
          <w:tcPr>
            <w:tcW w:w="1087" w:type="dxa"/>
            <w:vAlign w:val="center"/>
          </w:tcPr>
          <w:p w14:paraId="2F36DDF0" w14:textId="77777777" w:rsidR="00E550B5" w:rsidRPr="004F11AC" w:rsidRDefault="00E550B5" w:rsidP="00E208B7">
            <w:pPr>
              <w:jc w:val="center"/>
              <w:rPr>
                <w:rFonts w:ascii="Arial Narrow" w:hAnsi="Arial Narrow" w:cs="Times New Roman"/>
                <w:b/>
                <w:bCs/>
                <w:sz w:val="20"/>
                <w:szCs w:val="22"/>
              </w:rPr>
            </w:pPr>
            <w:r w:rsidRPr="004F11AC">
              <w:rPr>
                <w:rFonts w:ascii="Arial Narrow" w:hAnsi="Arial Narrow" w:cs="Times New Roman"/>
                <w:b/>
                <w:bCs/>
                <w:sz w:val="20"/>
                <w:szCs w:val="22"/>
              </w:rPr>
              <w:t xml:space="preserve">Baseline </w:t>
            </w:r>
          </w:p>
          <w:p w14:paraId="66ED17DA" w14:textId="77777777" w:rsidR="00E550B5" w:rsidRPr="004F11AC" w:rsidRDefault="00E550B5" w:rsidP="00E208B7">
            <w:pPr>
              <w:jc w:val="center"/>
              <w:rPr>
                <w:rFonts w:ascii="Arial Narrow" w:hAnsi="Arial Narrow" w:cs="Times New Roman"/>
                <w:b/>
                <w:bCs/>
                <w:sz w:val="20"/>
                <w:szCs w:val="22"/>
              </w:rPr>
            </w:pPr>
            <w:r w:rsidRPr="004F11AC">
              <w:rPr>
                <w:rFonts w:ascii="Arial Narrow" w:hAnsi="Arial Narrow" w:cs="Times New Roman"/>
                <w:b/>
                <w:bCs/>
                <w:sz w:val="20"/>
                <w:szCs w:val="22"/>
              </w:rPr>
              <w:t xml:space="preserve">HbA1c (%) </w:t>
            </w:r>
          </w:p>
          <w:p w14:paraId="30B8F3F7" w14:textId="77777777" w:rsidR="00E550B5" w:rsidRPr="004F11AC" w:rsidRDefault="00E550B5" w:rsidP="00E208B7">
            <w:pPr>
              <w:jc w:val="center"/>
              <w:rPr>
                <w:rFonts w:ascii="Arial Narrow" w:hAnsi="Arial Narrow" w:cs="Times New Roman"/>
                <w:b/>
                <w:bCs/>
                <w:sz w:val="20"/>
                <w:szCs w:val="22"/>
              </w:rPr>
            </w:pPr>
            <w:r w:rsidRPr="004F11AC">
              <w:rPr>
                <w:rFonts w:ascii="Arial Narrow" w:hAnsi="Arial Narrow" w:cs="Times New Roman"/>
                <w:b/>
                <w:bCs/>
                <w:sz w:val="20"/>
                <w:szCs w:val="22"/>
              </w:rPr>
              <w:t>mean (SD)</w:t>
            </w:r>
          </w:p>
        </w:tc>
        <w:tc>
          <w:tcPr>
            <w:tcW w:w="1087" w:type="dxa"/>
            <w:vAlign w:val="center"/>
          </w:tcPr>
          <w:p w14:paraId="4274288A" w14:textId="77777777" w:rsidR="00E550B5" w:rsidRPr="004F11AC" w:rsidRDefault="00E550B5" w:rsidP="00E208B7">
            <w:pPr>
              <w:jc w:val="center"/>
              <w:rPr>
                <w:rFonts w:ascii="Arial Narrow" w:hAnsi="Arial Narrow" w:cs="Times New Roman"/>
                <w:b/>
                <w:bCs/>
                <w:sz w:val="20"/>
                <w:szCs w:val="22"/>
              </w:rPr>
            </w:pPr>
            <w:r w:rsidRPr="004F11AC">
              <w:rPr>
                <w:rFonts w:ascii="Arial Narrow" w:hAnsi="Arial Narrow" w:cs="Times New Roman"/>
                <w:b/>
                <w:bCs/>
                <w:sz w:val="20"/>
                <w:szCs w:val="22"/>
              </w:rPr>
              <w:t>Endpoint</w:t>
            </w:r>
          </w:p>
          <w:p w14:paraId="7D441FDA" w14:textId="77777777" w:rsidR="00E550B5" w:rsidRPr="004F11AC" w:rsidRDefault="00E550B5" w:rsidP="00E208B7">
            <w:pPr>
              <w:jc w:val="center"/>
              <w:rPr>
                <w:rFonts w:ascii="Arial Narrow" w:hAnsi="Arial Narrow" w:cs="Times New Roman"/>
                <w:b/>
                <w:bCs/>
                <w:sz w:val="20"/>
                <w:szCs w:val="22"/>
              </w:rPr>
            </w:pPr>
            <w:r w:rsidRPr="004F11AC">
              <w:rPr>
                <w:rFonts w:ascii="Arial Narrow" w:hAnsi="Arial Narrow" w:cs="Times New Roman"/>
                <w:b/>
                <w:bCs/>
                <w:sz w:val="20"/>
                <w:szCs w:val="22"/>
              </w:rPr>
              <w:t xml:space="preserve">HbA1c (%) </w:t>
            </w:r>
          </w:p>
          <w:p w14:paraId="3986F9B6" w14:textId="77777777" w:rsidR="00E550B5" w:rsidRPr="004F11AC" w:rsidRDefault="00E550B5" w:rsidP="00E208B7">
            <w:pPr>
              <w:jc w:val="center"/>
              <w:rPr>
                <w:rFonts w:ascii="Arial Narrow" w:hAnsi="Arial Narrow" w:cs="Times New Roman"/>
                <w:b/>
                <w:bCs/>
                <w:sz w:val="20"/>
                <w:szCs w:val="22"/>
              </w:rPr>
            </w:pPr>
            <w:r w:rsidRPr="004F11AC">
              <w:rPr>
                <w:rFonts w:ascii="Arial Narrow" w:hAnsi="Arial Narrow" w:cs="Times New Roman"/>
                <w:b/>
                <w:bCs/>
                <w:sz w:val="20"/>
                <w:szCs w:val="22"/>
              </w:rPr>
              <w:t>mean (SE)</w:t>
            </w:r>
          </w:p>
        </w:tc>
        <w:tc>
          <w:tcPr>
            <w:tcW w:w="1088" w:type="dxa"/>
            <w:vAlign w:val="center"/>
          </w:tcPr>
          <w:p w14:paraId="0A269D5A" w14:textId="77777777" w:rsidR="00E550B5" w:rsidRPr="004F11AC" w:rsidRDefault="00E550B5" w:rsidP="00E208B7">
            <w:pPr>
              <w:jc w:val="center"/>
              <w:rPr>
                <w:rFonts w:ascii="Arial Narrow" w:hAnsi="Arial Narrow" w:cs="Times New Roman"/>
                <w:b/>
                <w:bCs/>
                <w:sz w:val="20"/>
                <w:szCs w:val="22"/>
              </w:rPr>
            </w:pPr>
            <w:r w:rsidRPr="004F11AC">
              <w:rPr>
                <w:rFonts w:ascii="Arial Narrow" w:hAnsi="Arial Narrow" w:cs="Times New Roman"/>
                <w:b/>
                <w:bCs/>
                <w:sz w:val="20"/>
                <w:szCs w:val="22"/>
              </w:rPr>
              <w:t xml:space="preserve">LSM </w:t>
            </w:r>
          </w:p>
          <w:p w14:paraId="066F3E32" w14:textId="77777777" w:rsidR="00E550B5" w:rsidRPr="004F11AC" w:rsidRDefault="00E550B5" w:rsidP="00E208B7">
            <w:pPr>
              <w:jc w:val="center"/>
              <w:rPr>
                <w:rFonts w:ascii="Arial Narrow" w:hAnsi="Arial Narrow" w:cs="Times New Roman"/>
                <w:b/>
                <w:bCs/>
                <w:sz w:val="20"/>
                <w:szCs w:val="22"/>
              </w:rPr>
            </w:pPr>
            <w:r w:rsidRPr="004F11AC">
              <w:rPr>
                <w:rFonts w:ascii="Arial Narrow" w:hAnsi="Arial Narrow" w:cs="Times New Roman"/>
                <w:b/>
                <w:bCs/>
                <w:sz w:val="20"/>
                <w:szCs w:val="22"/>
              </w:rPr>
              <w:t xml:space="preserve">change from </w:t>
            </w:r>
          </w:p>
          <w:p w14:paraId="74B1B5FD" w14:textId="5E589A30" w:rsidR="00E550B5" w:rsidRPr="004F11AC" w:rsidRDefault="00E550B5" w:rsidP="00E208B7">
            <w:pPr>
              <w:jc w:val="center"/>
              <w:rPr>
                <w:rFonts w:ascii="Arial Narrow" w:hAnsi="Arial Narrow" w:cs="Times New Roman"/>
                <w:b/>
                <w:bCs/>
                <w:sz w:val="20"/>
                <w:szCs w:val="22"/>
              </w:rPr>
            </w:pPr>
            <w:r w:rsidRPr="004F11AC">
              <w:rPr>
                <w:rFonts w:ascii="Arial Narrow" w:hAnsi="Arial Narrow" w:cs="Times New Roman"/>
                <w:b/>
                <w:bCs/>
                <w:sz w:val="20"/>
                <w:szCs w:val="22"/>
              </w:rPr>
              <w:t>baseline</w:t>
            </w:r>
            <w:r w:rsidR="003039CF" w:rsidRPr="004F11AC">
              <w:rPr>
                <w:rFonts w:ascii="Arial Narrow" w:hAnsi="Arial Narrow" w:cs="Times New Roman"/>
                <w:b/>
                <w:bCs/>
                <w:sz w:val="20"/>
                <w:szCs w:val="22"/>
              </w:rPr>
              <w:t>, %</w:t>
            </w:r>
            <w:r w:rsidRPr="004F11AC">
              <w:rPr>
                <w:rFonts w:ascii="Arial Narrow" w:hAnsi="Arial Narrow" w:cs="Times New Roman"/>
                <w:b/>
                <w:bCs/>
                <w:sz w:val="20"/>
                <w:szCs w:val="22"/>
              </w:rPr>
              <w:t xml:space="preserve"> (SE)</w:t>
            </w:r>
          </w:p>
        </w:tc>
        <w:tc>
          <w:tcPr>
            <w:tcW w:w="1087" w:type="dxa"/>
            <w:vAlign w:val="center"/>
          </w:tcPr>
          <w:p w14:paraId="609FA318" w14:textId="77777777" w:rsidR="00E550B5" w:rsidRPr="004F11AC" w:rsidRDefault="00E550B5" w:rsidP="00E208B7">
            <w:pPr>
              <w:jc w:val="center"/>
              <w:rPr>
                <w:rFonts w:ascii="Arial Narrow" w:hAnsi="Arial Narrow" w:cs="Times New Roman"/>
                <w:b/>
                <w:bCs/>
                <w:sz w:val="20"/>
                <w:szCs w:val="22"/>
              </w:rPr>
            </w:pPr>
            <w:r w:rsidRPr="004F11AC">
              <w:rPr>
                <w:rFonts w:ascii="Arial Narrow" w:hAnsi="Arial Narrow" w:cs="Times New Roman"/>
                <w:b/>
                <w:bCs/>
                <w:sz w:val="20"/>
                <w:szCs w:val="22"/>
              </w:rPr>
              <w:t xml:space="preserve">Baseline </w:t>
            </w:r>
          </w:p>
          <w:p w14:paraId="6740B70B" w14:textId="77777777" w:rsidR="00E550B5" w:rsidRPr="004F11AC" w:rsidRDefault="00E550B5" w:rsidP="00E208B7">
            <w:pPr>
              <w:jc w:val="center"/>
              <w:rPr>
                <w:rFonts w:ascii="Arial Narrow" w:hAnsi="Arial Narrow" w:cs="Times New Roman"/>
                <w:b/>
                <w:bCs/>
                <w:sz w:val="20"/>
                <w:szCs w:val="22"/>
              </w:rPr>
            </w:pPr>
            <w:r w:rsidRPr="004F11AC">
              <w:rPr>
                <w:rFonts w:ascii="Arial Narrow" w:hAnsi="Arial Narrow" w:cs="Times New Roman"/>
                <w:b/>
                <w:bCs/>
                <w:sz w:val="20"/>
                <w:szCs w:val="22"/>
              </w:rPr>
              <w:t xml:space="preserve">HbA1c (%) </w:t>
            </w:r>
          </w:p>
          <w:p w14:paraId="38BB0D58" w14:textId="77777777" w:rsidR="00E550B5" w:rsidRPr="004F11AC" w:rsidRDefault="00E550B5" w:rsidP="00E208B7">
            <w:pPr>
              <w:jc w:val="center"/>
              <w:rPr>
                <w:rFonts w:ascii="Arial Narrow" w:hAnsi="Arial Narrow" w:cs="Times New Roman"/>
                <w:b/>
                <w:bCs/>
                <w:sz w:val="20"/>
                <w:szCs w:val="22"/>
              </w:rPr>
            </w:pPr>
            <w:r w:rsidRPr="004F11AC">
              <w:rPr>
                <w:rFonts w:ascii="Arial Narrow" w:hAnsi="Arial Narrow" w:cs="Times New Roman"/>
                <w:b/>
                <w:bCs/>
                <w:sz w:val="20"/>
                <w:szCs w:val="22"/>
              </w:rPr>
              <w:t>mean (SD)</w:t>
            </w:r>
          </w:p>
        </w:tc>
        <w:tc>
          <w:tcPr>
            <w:tcW w:w="1087" w:type="dxa"/>
            <w:vAlign w:val="center"/>
          </w:tcPr>
          <w:p w14:paraId="7AFBB578" w14:textId="77777777" w:rsidR="00E550B5" w:rsidRPr="004F11AC" w:rsidRDefault="00E550B5" w:rsidP="00E208B7">
            <w:pPr>
              <w:jc w:val="center"/>
              <w:rPr>
                <w:rFonts w:ascii="Arial Narrow" w:hAnsi="Arial Narrow" w:cs="Times New Roman"/>
                <w:b/>
                <w:bCs/>
                <w:sz w:val="20"/>
                <w:szCs w:val="22"/>
              </w:rPr>
            </w:pPr>
            <w:r w:rsidRPr="004F11AC">
              <w:rPr>
                <w:rFonts w:ascii="Arial Narrow" w:hAnsi="Arial Narrow" w:cs="Times New Roman"/>
                <w:b/>
                <w:bCs/>
                <w:sz w:val="20"/>
                <w:szCs w:val="22"/>
              </w:rPr>
              <w:t>Endpoint</w:t>
            </w:r>
          </w:p>
          <w:p w14:paraId="256DA7E5" w14:textId="77777777" w:rsidR="00E550B5" w:rsidRPr="004F11AC" w:rsidRDefault="00E550B5" w:rsidP="00E208B7">
            <w:pPr>
              <w:jc w:val="center"/>
              <w:rPr>
                <w:rFonts w:ascii="Arial Narrow" w:hAnsi="Arial Narrow" w:cs="Times New Roman"/>
                <w:b/>
                <w:bCs/>
                <w:sz w:val="20"/>
                <w:szCs w:val="22"/>
              </w:rPr>
            </w:pPr>
            <w:r w:rsidRPr="004F11AC">
              <w:rPr>
                <w:rFonts w:ascii="Arial Narrow" w:hAnsi="Arial Narrow" w:cs="Times New Roman"/>
                <w:b/>
                <w:bCs/>
                <w:sz w:val="20"/>
                <w:szCs w:val="22"/>
              </w:rPr>
              <w:t xml:space="preserve">HbA1c (%) </w:t>
            </w:r>
          </w:p>
          <w:p w14:paraId="7ACEB3DC" w14:textId="77777777" w:rsidR="00E550B5" w:rsidRPr="004F11AC" w:rsidRDefault="00E550B5" w:rsidP="00E208B7">
            <w:pPr>
              <w:jc w:val="center"/>
              <w:rPr>
                <w:rFonts w:ascii="Arial Narrow" w:hAnsi="Arial Narrow" w:cs="Times New Roman"/>
                <w:b/>
                <w:bCs/>
                <w:sz w:val="20"/>
                <w:szCs w:val="22"/>
              </w:rPr>
            </w:pPr>
            <w:r w:rsidRPr="004F11AC">
              <w:rPr>
                <w:rFonts w:ascii="Arial Narrow" w:hAnsi="Arial Narrow" w:cs="Times New Roman"/>
                <w:b/>
                <w:bCs/>
                <w:sz w:val="20"/>
                <w:szCs w:val="22"/>
              </w:rPr>
              <w:t>mean (SE)</w:t>
            </w:r>
          </w:p>
        </w:tc>
        <w:tc>
          <w:tcPr>
            <w:tcW w:w="1087" w:type="dxa"/>
            <w:vAlign w:val="center"/>
          </w:tcPr>
          <w:p w14:paraId="66D6FD8C" w14:textId="77777777" w:rsidR="00E550B5" w:rsidRPr="004F11AC" w:rsidRDefault="00E550B5" w:rsidP="00E208B7">
            <w:pPr>
              <w:jc w:val="center"/>
              <w:rPr>
                <w:rFonts w:ascii="Arial Narrow" w:hAnsi="Arial Narrow" w:cs="Times New Roman"/>
                <w:b/>
                <w:bCs/>
                <w:sz w:val="20"/>
                <w:szCs w:val="22"/>
              </w:rPr>
            </w:pPr>
            <w:r w:rsidRPr="004F11AC">
              <w:rPr>
                <w:rFonts w:ascii="Arial Narrow" w:hAnsi="Arial Narrow" w:cs="Times New Roman"/>
                <w:b/>
                <w:bCs/>
                <w:sz w:val="20"/>
                <w:szCs w:val="22"/>
              </w:rPr>
              <w:t xml:space="preserve">LSM </w:t>
            </w:r>
          </w:p>
          <w:p w14:paraId="60C9E329" w14:textId="77777777" w:rsidR="00E550B5" w:rsidRPr="004F11AC" w:rsidRDefault="00E550B5" w:rsidP="00E208B7">
            <w:pPr>
              <w:jc w:val="center"/>
              <w:rPr>
                <w:rFonts w:ascii="Arial Narrow" w:hAnsi="Arial Narrow" w:cs="Times New Roman"/>
                <w:b/>
                <w:bCs/>
                <w:sz w:val="20"/>
                <w:szCs w:val="22"/>
              </w:rPr>
            </w:pPr>
            <w:r w:rsidRPr="004F11AC">
              <w:rPr>
                <w:rFonts w:ascii="Arial Narrow" w:hAnsi="Arial Narrow" w:cs="Times New Roman"/>
                <w:b/>
                <w:bCs/>
                <w:sz w:val="20"/>
                <w:szCs w:val="22"/>
              </w:rPr>
              <w:t xml:space="preserve">change from </w:t>
            </w:r>
          </w:p>
          <w:p w14:paraId="3C1C8D09" w14:textId="6F9B5A39" w:rsidR="00E550B5" w:rsidRPr="004F11AC" w:rsidRDefault="00E550B5" w:rsidP="00E208B7">
            <w:pPr>
              <w:jc w:val="center"/>
              <w:rPr>
                <w:rFonts w:ascii="Arial Narrow" w:hAnsi="Arial Narrow" w:cs="Times New Roman"/>
                <w:b/>
                <w:bCs/>
                <w:sz w:val="20"/>
                <w:szCs w:val="22"/>
              </w:rPr>
            </w:pPr>
            <w:r w:rsidRPr="004F11AC">
              <w:rPr>
                <w:rFonts w:ascii="Arial Narrow" w:hAnsi="Arial Narrow" w:cs="Times New Roman"/>
                <w:b/>
                <w:bCs/>
                <w:sz w:val="20"/>
                <w:szCs w:val="22"/>
              </w:rPr>
              <w:t>baseline</w:t>
            </w:r>
            <w:r w:rsidR="003039CF" w:rsidRPr="004F11AC">
              <w:rPr>
                <w:rFonts w:ascii="Arial Narrow" w:hAnsi="Arial Narrow" w:cs="Times New Roman"/>
                <w:b/>
                <w:bCs/>
                <w:sz w:val="20"/>
                <w:szCs w:val="22"/>
              </w:rPr>
              <w:t>,</w:t>
            </w:r>
            <w:r w:rsidRPr="004F11AC">
              <w:rPr>
                <w:rFonts w:ascii="Arial Narrow" w:hAnsi="Arial Narrow" w:cs="Times New Roman"/>
                <w:b/>
                <w:bCs/>
                <w:sz w:val="20"/>
                <w:szCs w:val="22"/>
              </w:rPr>
              <w:t xml:space="preserve"> </w:t>
            </w:r>
            <w:r w:rsidR="004278D8" w:rsidRPr="004F11AC">
              <w:rPr>
                <w:rFonts w:ascii="Arial Narrow" w:hAnsi="Arial Narrow" w:cs="Times New Roman"/>
                <w:b/>
                <w:bCs/>
                <w:sz w:val="20"/>
                <w:szCs w:val="22"/>
              </w:rPr>
              <w:t xml:space="preserve">% </w:t>
            </w:r>
            <w:r w:rsidRPr="004F11AC">
              <w:rPr>
                <w:rFonts w:ascii="Arial Narrow" w:hAnsi="Arial Narrow" w:cs="Times New Roman"/>
                <w:b/>
                <w:bCs/>
                <w:sz w:val="20"/>
                <w:szCs w:val="22"/>
              </w:rPr>
              <w:t>(SE)</w:t>
            </w:r>
          </w:p>
        </w:tc>
        <w:tc>
          <w:tcPr>
            <w:tcW w:w="1367" w:type="dxa"/>
            <w:vMerge/>
            <w:vAlign w:val="center"/>
          </w:tcPr>
          <w:p w14:paraId="2E5B76C0" w14:textId="77777777" w:rsidR="00E550B5" w:rsidRPr="004F11AC" w:rsidRDefault="00E550B5" w:rsidP="00E208B7">
            <w:pPr>
              <w:jc w:val="center"/>
              <w:rPr>
                <w:rFonts w:ascii="Arial Narrow" w:hAnsi="Arial Narrow" w:cs="Times New Roman"/>
                <w:b/>
                <w:bCs/>
                <w:sz w:val="20"/>
                <w:szCs w:val="22"/>
              </w:rPr>
            </w:pPr>
          </w:p>
        </w:tc>
      </w:tr>
      <w:tr w:rsidR="00BA0730" w:rsidRPr="004F11AC" w14:paraId="3AB83476" w14:textId="77777777" w:rsidTr="006425BD">
        <w:tc>
          <w:tcPr>
            <w:tcW w:w="1127" w:type="dxa"/>
            <w:vAlign w:val="center"/>
          </w:tcPr>
          <w:p w14:paraId="1A5FD756" w14:textId="77777777" w:rsidR="00E550B5" w:rsidRPr="004F11AC" w:rsidRDefault="00E550B5" w:rsidP="00E208B7">
            <w:pPr>
              <w:jc w:val="left"/>
              <w:rPr>
                <w:rFonts w:ascii="Arial Narrow" w:hAnsi="Arial Narrow" w:cs="Times New Roman"/>
                <w:b/>
                <w:bCs/>
                <w:sz w:val="20"/>
                <w:szCs w:val="22"/>
              </w:rPr>
            </w:pPr>
            <w:r w:rsidRPr="004F11AC">
              <w:rPr>
                <w:rFonts w:ascii="Arial Narrow" w:hAnsi="Arial Narrow" w:cs="Times New Roman"/>
                <w:b/>
                <w:bCs/>
                <w:sz w:val="20"/>
                <w:szCs w:val="22"/>
              </w:rPr>
              <w:t>Study 3583</w:t>
            </w:r>
          </w:p>
          <w:p w14:paraId="69D4B4F0" w14:textId="77777777" w:rsidR="00E550B5" w:rsidRPr="004F11AC" w:rsidRDefault="00E550B5" w:rsidP="00E208B7">
            <w:pPr>
              <w:jc w:val="left"/>
              <w:rPr>
                <w:rFonts w:ascii="Arial Narrow" w:hAnsi="Arial Narrow" w:cs="Times New Roman"/>
                <w:sz w:val="20"/>
                <w:szCs w:val="22"/>
              </w:rPr>
            </w:pPr>
            <w:r w:rsidRPr="004F11AC">
              <w:rPr>
                <w:rFonts w:ascii="Arial Narrow" w:hAnsi="Arial Narrow" w:cs="Times New Roman"/>
                <w:b/>
                <w:bCs/>
                <w:sz w:val="20"/>
                <w:szCs w:val="22"/>
              </w:rPr>
              <w:t>(52 weeks)</w:t>
            </w:r>
          </w:p>
        </w:tc>
        <w:tc>
          <w:tcPr>
            <w:tcW w:w="1087" w:type="dxa"/>
            <w:vAlign w:val="center"/>
          </w:tcPr>
          <w:p w14:paraId="202E4BF5" w14:textId="77777777" w:rsidR="00E550B5" w:rsidRPr="004F11AC" w:rsidRDefault="00E550B5" w:rsidP="00E208B7">
            <w:pPr>
              <w:jc w:val="center"/>
              <w:rPr>
                <w:rFonts w:ascii="Arial Narrow" w:hAnsi="Arial Narrow" w:cs="Times New Roman"/>
                <w:sz w:val="20"/>
                <w:szCs w:val="22"/>
              </w:rPr>
            </w:pPr>
            <w:r w:rsidRPr="004F11AC">
              <w:rPr>
                <w:rFonts w:ascii="Arial Narrow" w:hAnsi="Arial Narrow" w:cs="Times New Roman"/>
                <w:sz w:val="20"/>
                <w:szCs w:val="22"/>
              </w:rPr>
              <w:t>N=472</w:t>
            </w:r>
          </w:p>
          <w:p w14:paraId="2B24B7A5" w14:textId="77777777" w:rsidR="00E550B5" w:rsidRPr="004F11AC" w:rsidRDefault="00E550B5" w:rsidP="00E208B7">
            <w:pPr>
              <w:jc w:val="center"/>
              <w:rPr>
                <w:rFonts w:ascii="Arial Narrow" w:hAnsi="Arial Narrow" w:cs="Times New Roman"/>
                <w:sz w:val="20"/>
                <w:szCs w:val="22"/>
              </w:rPr>
            </w:pPr>
            <w:r w:rsidRPr="004F11AC">
              <w:rPr>
                <w:rFonts w:ascii="Arial Narrow" w:hAnsi="Arial Narrow" w:cs="Times New Roman"/>
                <w:sz w:val="20"/>
                <w:szCs w:val="22"/>
              </w:rPr>
              <w:t>7.7 (0.9)</w:t>
            </w:r>
          </w:p>
        </w:tc>
        <w:tc>
          <w:tcPr>
            <w:tcW w:w="1087" w:type="dxa"/>
            <w:vAlign w:val="center"/>
          </w:tcPr>
          <w:p w14:paraId="3AA5ECEA" w14:textId="77777777" w:rsidR="00E550B5" w:rsidRPr="004F11AC" w:rsidRDefault="00E550B5" w:rsidP="00E208B7">
            <w:pPr>
              <w:jc w:val="center"/>
              <w:rPr>
                <w:rFonts w:ascii="Arial Narrow" w:hAnsi="Arial Narrow" w:cs="Times New Roman"/>
                <w:sz w:val="20"/>
                <w:szCs w:val="22"/>
              </w:rPr>
            </w:pPr>
            <w:r w:rsidRPr="004F11AC">
              <w:rPr>
                <w:rFonts w:ascii="Arial Narrow" w:hAnsi="Arial Narrow" w:cs="Times New Roman"/>
                <w:sz w:val="20"/>
                <w:szCs w:val="22"/>
              </w:rPr>
              <w:t>7.34 (0.05)</w:t>
            </w:r>
          </w:p>
        </w:tc>
        <w:tc>
          <w:tcPr>
            <w:tcW w:w="1088" w:type="dxa"/>
            <w:vAlign w:val="center"/>
          </w:tcPr>
          <w:p w14:paraId="0A7E9AC9" w14:textId="77777777" w:rsidR="00E550B5" w:rsidRPr="004F11AC" w:rsidRDefault="00E550B5" w:rsidP="00E208B7">
            <w:pPr>
              <w:jc w:val="center"/>
              <w:rPr>
                <w:rFonts w:ascii="Arial Narrow" w:hAnsi="Arial Narrow" w:cs="Times New Roman"/>
                <w:sz w:val="20"/>
                <w:szCs w:val="22"/>
              </w:rPr>
            </w:pPr>
            <w:r w:rsidRPr="004F11AC">
              <w:rPr>
                <w:rFonts w:ascii="Arial Narrow" w:hAnsi="Arial Narrow" w:cs="Times New Roman"/>
                <w:sz w:val="20"/>
                <w:szCs w:val="22"/>
              </w:rPr>
              <w:t>-0.36 (0.05)</w:t>
            </w:r>
          </w:p>
        </w:tc>
        <w:tc>
          <w:tcPr>
            <w:tcW w:w="1087" w:type="dxa"/>
            <w:vAlign w:val="center"/>
          </w:tcPr>
          <w:p w14:paraId="3604D954" w14:textId="77777777" w:rsidR="00E550B5" w:rsidRPr="004F11AC" w:rsidRDefault="00E550B5" w:rsidP="00E208B7">
            <w:pPr>
              <w:jc w:val="center"/>
              <w:rPr>
                <w:rFonts w:ascii="Arial Narrow" w:hAnsi="Arial Narrow" w:cs="Times New Roman"/>
                <w:sz w:val="20"/>
                <w:szCs w:val="22"/>
              </w:rPr>
            </w:pPr>
            <w:r w:rsidRPr="004F11AC">
              <w:rPr>
                <w:rFonts w:ascii="Arial Narrow" w:hAnsi="Arial Narrow" w:cs="Times New Roman"/>
                <w:sz w:val="20"/>
                <w:szCs w:val="22"/>
              </w:rPr>
              <w:t>N=157</w:t>
            </w:r>
          </w:p>
          <w:p w14:paraId="731229DA" w14:textId="77777777" w:rsidR="00E550B5" w:rsidRPr="004F11AC" w:rsidRDefault="00E550B5" w:rsidP="00E208B7">
            <w:pPr>
              <w:jc w:val="center"/>
              <w:rPr>
                <w:rFonts w:ascii="Arial Narrow" w:hAnsi="Arial Narrow" w:cs="Times New Roman"/>
                <w:sz w:val="20"/>
                <w:szCs w:val="22"/>
              </w:rPr>
            </w:pPr>
            <w:r w:rsidRPr="004F11AC">
              <w:rPr>
                <w:rFonts w:ascii="Arial Narrow" w:hAnsi="Arial Narrow" w:cs="Times New Roman"/>
                <w:sz w:val="20"/>
                <w:szCs w:val="22"/>
              </w:rPr>
              <w:t>7.7 (1.0)</w:t>
            </w:r>
          </w:p>
        </w:tc>
        <w:tc>
          <w:tcPr>
            <w:tcW w:w="1087" w:type="dxa"/>
            <w:vAlign w:val="center"/>
          </w:tcPr>
          <w:p w14:paraId="1ADC9532" w14:textId="77777777" w:rsidR="00E550B5" w:rsidRPr="004F11AC" w:rsidRDefault="00E550B5" w:rsidP="00E208B7">
            <w:pPr>
              <w:jc w:val="center"/>
              <w:rPr>
                <w:rFonts w:ascii="Arial Narrow" w:hAnsi="Arial Narrow" w:cs="Times New Roman"/>
                <w:sz w:val="20"/>
                <w:szCs w:val="22"/>
              </w:rPr>
            </w:pPr>
            <w:r w:rsidRPr="004F11AC">
              <w:rPr>
                <w:rFonts w:ascii="Arial Narrow" w:hAnsi="Arial Narrow" w:cs="Times New Roman"/>
                <w:sz w:val="20"/>
                <w:szCs w:val="22"/>
              </w:rPr>
              <w:t>7.35 (0.07)</w:t>
            </w:r>
          </w:p>
        </w:tc>
        <w:tc>
          <w:tcPr>
            <w:tcW w:w="1087" w:type="dxa"/>
            <w:vAlign w:val="center"/>
          </w:tcPr>
          <w:p w14:paraId="1B546287" w14:textId="77777777" w:rsidR="00E550B5" w:rsidRPr="004F11AC" w:rsidRDefault="00E550B5" w:rsidP="00E208B7">
            <w:pPr>
              <w:jc w:val="center"/>
              <w:rPr>
                <w:rFonts w:ascii="Arial Narrow" w:hAnsi="Arial Narrow" w:cs="Times New Roman"/>
                <w:sz w:val="20"/>
                <w:szCs w:val="22"/>
              </w:rPr>
            </w:pPr>
            <w:r w:rsidRPr="004F11AC">
              <w:rPr>
                <w:rFonts w:ascii="Arial Narrow" w:hAnsi="Arial Narrow" w:cs="Times New Roman"/>
                <w:sz w:val="20"/>
                <w:szCs w:val="22"/>
              </w:rPr>
              <w:t>-0.34 (0.07)</w:t>
            </w:r>
          </w:p>
        </w:tc>
        <w:tc>
          <w:tcPr>
            <w:tcW w:w="1367" w:type="dxa"/>
            <w:vAlign w:val="center"/>
          </w:tcPr>
          <w:p w14:paraId="0F5493D6" w14:textId="77777777" w:rsidR="00E550B5" w:rsidRPr="004F11AC" w:rsidRDefault="00E550B5" w:rsidP="00E208B7">
            <w:pPr>
              <w:jc w:val="center"/>
              <w:rPr>
                <w:rFonts w:ascii="Arial Narrow" w:hAnsi="Arial Narrow" w:cs="Times New Roman"/>
                <w:sz w:val="20"/>
                <w:szCs w:val="22"/>
              </w:rPr>
            </w:pPr>
            <w:r w:rsidRPr="004F11AC">
              <w:rPr>
                <w:rFonts w:ascii="Arial Narrow" w:hAnsi="Arial Narrow" w:cs="Times New Roman"/>
                <w:sz w:val="20"/>
                <w:szCs w:val="22"/>
              </w:rPr>
              <w:t>-0.01 (-0.14, 0.11)</w:t>
            </w:r>
          </w:p>
        </w:tc>
      </w:tr>
      <w:tr w:rsidR="00BA0730" w:rsidRPr="004F11AC" w14:paraId="611E1CD0" w14:textId="77777777">
        <w:tc>
          <w:tcPr>
            <w:tcW w:w="9017" w:type="dxa"/>
            <w:gridSpan w:val="8"/>
          </w:tcPr>
          <w:p w14:paraId="47C163CA" w14:textId="7573F1E2" w:rsidR="00E550B5" w:rsidRPr="004F11AC" w:rsidRDefault="00E550B5" w:rsidP="00E208B7">
            <w:pPr>
              <w:jc w:val="left"/>
              <w:rPr>
                <w:rFonts w:ascii="Arial Narrow" w:hAnsi="Arial Narrow" w:cs="Times New Roman"/>
                <w:sz w:val="20"/>
                <w:szCs w:val="22"/>
              </w:rPr>
            </w:pPr>
            <w:r w:rsidRPr="004F11AC">
              <w:rPr>
                <w:rFonts w:ascii="Arial Narrow" w:hAnsi="Arial Narrow" w:cs="Times New Roman"/>
                <w:b/>
                <w:bCs/>
                <w:sz w:val="20"/>
                <w:szCs w:val="22"/>
              </w:rPr>
              <w:t>Study 3770</w:t>
            </w:r>
            <w:r w:rsidR="00C544D5" w:rsidRPr="004F11AC">
              <w:rPr>
                <w:rFonts w:ascii="Arial Narrow" w:hAnsi="Arial Narrow" w:cs="Times New Roman"/>
                <w:b/>
                <w:bCs/>
                <w:sz w:val="20"/>
                <w:szCs w:val="22"/>
                <w:vertAlign w:val="superscript"/>
              </w:rPr>
              <w:t>a</w:t>
            </w:r>
            <w:r w:rsidRPr="004F11AC">
              <w:rPr>
                <w:rFonts w:ascii="Arial Narrow" w:hAnsi="Arial Narrow" w:cs="Times New Roman"/>
                <w:b/>
                <w:bCs/>
                <w:sz w:val="20"/>
                <w:szCs w:val="22"/>
              </w:rPr>
              <w:t xml:space="preserve"> (26 weeks)</w:t>
            </w:r>
          </w:p>
        </w:tc>
      </w:tr>
      <w:tr w:rsidR="00BA0730" w:rsidRPr="004F11AC" w14:paraId="78E2A881" w14:textId="77777777" w:rsidTr="006425BD">
        <w:tc>
          <w:tcPr>
            <w:tcW w:w="1127" w:type="dxa"/>
            <w:vAlign w:val="center"/>
          </w:tcPr>
          <w:p w14:paraId="5B444EFF" w14:textId="77777777" w:rsidR="00E550B5" w:rsidRPr="004F11AC" w:rsidRDefault="00E550B5" w:rsidP="00E208B7">
            <w:pPr>
              <w:jc w:val="left"/>
              <w:rPr>
                <w:rFonts w:ascii="Arial Narrow" w:hAnsi="Arial Narrow" w:cs="Times New Roman"/>
                <w:sz w:val="20"/>
                <w:szCs w:val="22"/>
              </w:rPr>
            </w:pPr>
            <w:proofErr w:type="spellStart"/>
            <w:r w:rsidRPr="004F11AC">
              <w:rPr>
                <w:rFonts w:ascii="Arial Narrow" w:hAnsi="Arial Narrow" w:cs="Times New Roman"/>
                <w:sz w:val="20"/>
                <w:szCs w:val="22"/>
              </w:rPr>
              <w:t>IDeg</w:t>
            </w:r>
            <w:proofErr w:type="spellEnd"/>
            <w:r w:rsidRPr="004F11AC">
              <w:rPr>
                <w:rFonts w:ascii="Arial Narrow" w:hAnsi="Arial Narrow" w:cs="Times New Roman"/>
                <w:sz w:val="20"/>
                <w:szCs w:val="22"/>
              </w:rPr>
              <w:t xml:space="preserve"> OD FF</w:t>
            </w:r>
          </w:p>
        </w:tc>
        <w:tc>
          <w:tcPr>
            <w:tcW w:w="1087" w:type="dxa"/>
            <w:vAlign w:val="center"/>
          </w:tcPr>
          <w:p w14:paraId="66977B01" w14:textId="77777777" w:rsidR="00E550B5" w:rsidRPr="004F11AC" w:rsidRDefault="00E550B5" w:rsidP="00E208B7">
            <w:pPr>
              <w:jc w:val="center"/>
              <w:rPr>
                <w:rFonts w:ascii="Arial Narrow" w:hAnsi="Arial Narrow" w:cs="Times New Roman"/>
                <w:sz w:val="20"/>
                <w:szCs w:val="22"/>
              </w:rPr>
            </w:pPr>
            <w:r w:rsidRPr="004F11AC">
              <w:rPr>
                <w:rFonts w:ascii="Arial Narrow" w:hAnsi="Arial Narrow" w:cs="Times New Roman"/>
                <w:sz w:val="20"/>
                <w:szCs w:val="22"/>
              </w:rPr>
              <w:t>N=164</w:t>
            </w:r>
          </w:p>
          <w:p w14:paraId="5C56C48E" w14:textId="77777777" w:rsidR="00E550B5" w:rsidRPr="004F11AC" w:rsidRDefault="00E550B5" w:rsidP="00E208B7">
            <w:pPr>
              <w:jc w:val="center"/>
              <w:rPr>
                <w:rFonts w:ascii="Arial Narrow" w:hAnsi="Arial Narrow" w:cs="Times New Roman"/>
                <w:sz w:val="20"/>
                <w:szCs w:val="22"/>
              </w:rPr>
            </w:pPr>
            <w:r w:rsidRPr="004F11AC">
              <w:rPr>
                <w:rFonts w:ascii="Arial Narrow" w:hAnsi="Arial Narrow" w:cs="Times New Roman"/>
                <w:sz w:val="20"/>
                <w:szCs w:val="22"/>
              </w:rPr>
              <w:t>7.7 (1.0)</w:t>
            </w:r>
          </w:p>
        </w:tc>
        <w:tc>
          <w:tcPr>
            <w:tcW w:w="1087" w:type="dxa"/>
            <w:vAlign w:val="center"/>
          </w:tcPr>
          <w:p w14:paraId="07BF6AB5" w14:textId="77777777" w:rsidR="00E550B5" w:rsidRPr="004F11AC" w:rsidRDefault="00E550B5" w:rsidP="00E208B7">
            <w:pPr>
              <w:jc w:val="center"/>
              <w:rPr>
                <w:rFonts w:ascii="Arial Narrow" w:hAnsi="Arial Narrow" w:cs="Times New Roman"/>
                <w:sz w:val="20"/>
                <w:szCs w:val="22"/>
              </w:rPr>
            </w:pPr>
            <w:r w:rsidRPr="004F11AC">
              <w:rPr>
                <w:rFonts w:ascii="Arial Narrow" w:hAnsi="Arial Narrow" w:cs="Times New Roman"/>
                <w:sz w:val="20"/>
                <w:szCs w:val="22"/>
              </w:rPr>
              <w:t>7.31 (0.05)</w:t>
            </w:r>
          </w:p>
        </w:tc>
        <w:tc>
          <w:tcPr>
            <w:tcW w:w="1088" w:type="dxa"/>
            <w:vAlign w:val="center"/>
          </w:tcPr>
          <w:p w14:paraId="556D638A" w14:textId="77777777" w:rsidR="00E550B5" w:rsidRPr="004F11AC" w:rsidRDefault="00E550B5" w:rsidP="00E208B7">
            <w:pPr>
              <w:jc w:val="center"/>
              <w:rPr>
                <w:rFonts w:ascii="Arial Narrow" w:hAnsi="Arial Narrow" w:cs="Times New Roman"/>
                <w:sz w:val="20"/>
                <w:szCs w:val="22"/>
              </w:rPr>
            </w:pPr>
            <w:r w:rsidRPr="004F11AC">
              <w:rPr>
                <w:rFonts w:ascii="Arial Narrow" w:hAnsi="Arial Narrow" w:cs="Times New Roman"/>
                <w:sz w:val="20"/>
                <w:szCs w:val="22"/>
              </w:rPr>
              <w:t>-0.40 (0.05)</w:t>
            </w:r>
          </w:p>
        </w:tc>
        <w:tc>
          <w:tcPr>
            <w:tcW w:w="1087" w:type="dxa"/>
            <w:vMerge w:val="restart"/>
            <w:vAlign w:val="center"/>
          </w:tcPr>
          <w:p w14:paraId="60909167" w14:textId="77777777" w:rsidR="00E550B5" w:rsidRPr="004F11AC" w:rsidRDefault="00E550B5" w:rsidP="00E208B7">
            <w:pPr>
              <w:jc w:val="center"/>
              <w:rPr>
                <w:rFonts w:ascii="Arial Narrow" w:hAnsi="Arial Narrow" w:cs="Times New Roman"/>
                <w:sz w:val="20"/>
                <w:szCs w:val="22"/>
              </w:rPr>
            </w:pPr>
            <w:r w:rsidRPr="004F11AC">
              <w:rPr>
                <w:rFonts w:ascii="Arial Narrow" w:hAnsi="Arial Narrow" w:cs="Times New Roman"/>
                <w:sz w:val="20"/>
                <w:szCs w:val="22"/>
              </w:rPr>
              <w:t>N=164</w:t>
            </w:r>
          </w:p>
          <w:p w14:paraId="25270851" w14:textId="77777777" w:rsidR="00E550B5" w:rsidRPr="004F11AC" w:rsidRDefault="00E550B5" w:rsidP="00E208B7">
            <w:pPr>
              <w:jc w:val="center"/>
              <w:rPr>
                <w:rFonts w:ascii="Arial Narrow" w:hAnsi="Arial Narrow" w:cs="Times New Roman"/>
                <w:sz w:val="20"/>
                <w:szCs w:val="22"/>
              </w:rPr>
            </w:pPr>
            <w:r w:rsidRPr="004F11AC">
              <w:rPr>
                <w:rFonts w:ascii="Arial Narrow" w:hAnsi="Arial Narrow" w:cs="Times New Roman"/>
                <w:sz w:val="20"/>
                <w:szCs w:val="22"/>
              </w:rPr>
              <w:t>7.7 (0.9)</w:t>
            </w:r>
          </w:p>
        </w:tc>
        <w:tc>
          <w:tcPr>
            <w:tcW w:w="1087" w:type="dxa"/>
            <w:vMerge w:val="restart"/>
            <w:vAlign w:val="center"/>
          </w:tcPr>
          <w:p w14:paraId="6576D47B" w14:textId="77777777" w:rsidR="00E550B5" w:rsidRPr="004F11AC" w:rsidRDefault="00E550B5" w:rsidP="00E208B7">
            <w:pPr>
              <w:jc w:val="center"/>
              <w:rPr>
                <w:rFonts w:ascii="Arial Narrow" w:hAnsi="Arial Narrow" w:cs="Times New Roman"/>
                <w:sz w:val="20"/>
                <w:szCs w:val="22"/>
              </w:rPr>
            </w:pPr>
            <w:r w:rsidRPr="004F11AC">
              <w:rPr>
                <w:rFonts w:ascii="Arial Narrow" w:hAnsi="Arial Narrow" w:cs="Times New Roman"/>
                <w:sz w:val="20"/>
                <w:szCs w:val="22"/>
              </w:rPr>
              <w:t>7.14 (0.05)</w:t>
            </w:r>
          </w:p>
        </w:tc>
        <w:tc>
          <w:tcPr>
            <w:tcW w:w="1087" w:type="dxa"/>
            <w:vMerge w:val="restart"/>
            <w:vAlign w:val="center"/>
          </w:tcPr>
          <w:p w14:paraId="1AC25059" w14:textId="77777777" w:rsidR="00E550B5" w:rsidRPr="004F11AC" w:rsidRDefault="00E550B5" w:rsidP="00E208B7">
            <w:pPr>
              <w:jc w:val="center"/>
              <w:rPr>
                <w:rFonts w:ascii="Arial Narrow" w:hAnsi="Arial Narrow" w:cs="Times New Roman"/>
                <w:sz w:val="20"/>
                <w:szCs w:val="22"/>
              </w:rPr>
            </w:pPr>
            <w:r w:rsidRPr="004F11AC">
              <w:rPr>
                <w:rFonts w:ascii="Arial Narrow" w:hAnsi="Arial Narrow" w:cs="Times New Roman"/>
                <w:sz w:val="20"/>
                <w:szCs w:val="22"/>
              </w:rPr>
              <w:t>-0.57 (0.05)</w:t>
            </w:r>
          </w:p>
        </w:tc>
        <w:tc>
          <w:tcPr>
            <w:tcW w:w="1367" w:type="dxa"/>
            <w:vAlign w:val="center"/>
          </w:tcPr>
          <w:p w14:paraId="2B911BC2" w14:textId="77777777" w:rsidR="00E550B5" w:rsidRPr="004F11AC" w:rsidRDefault="00E550B5" w:rsidP="00E208B7">
            <w:pPr>
              <w:jc w:val="center"/>
              <w:rPr>
                <w:rFonts w:ascii="Arial Narrow" w:hAnsi="Arial Narrow" w:cs="Times New Roman"/>
                <w:sz w:val="20"/>
                <w:szCs w:val="22"/>
              </w:rPr>
            </w:pPr>
            <w:r w:rsidRPr="004F11AC">
              <w:rPr>
                <w:rFonts w:ascii="Arial Narrow" w:hAnsi="Arial Narrow" w:cs="Times New Roman"/>
                <w:sz w:val="20"/>
                <w:szCs w:val="22"/>
              </w:rPr>
              <w:t>0.17 (0.04, 0.30)</w:t>
            </w:r>
          </w:p>
        </w:tc>
      </w:tr>
      <w:tr w:rsidR="00BA0730" w:rsidRPr="004F11AC" w14:paraId="718CA350" w14:textId="77777777" w:rsidTr="006425BD">
        <w:tc>
          <w:tcPr>
            <w:tcW w:w="1127" w:type="dxa"/>
            <w:vAlign w:val="center"/>
          </w:tcPr>
          <w:p w14:paraId="2A67648F" w14:textId="77777777" w:rsidR="00E550B5" w:rsidRPr="004F11AC" w:rsidRDefault="00E550B5" w:rsidP="00E208B7">
            <w:pPr>
              <w:jc w:val="left"/>
              <w:rPr>
                <w:rFonts w:ascii="Arial Narrow" w:hAnsi="Arial Narrow" w:cs="Times New Roman"/>
                <w:sz w:val="20"/>
                <w:szCs w:val="22"/>
                <w:vertAlign w:val="superscript"/>
              </w:rPr>
            </w:pPr>
            <w:proofErr w:type="spellStart"/>
            <w:r w:rsidRPr="004F11AC">
              <w:rPr>
                <w:rFonts w:ascii="Arial Narrow" w:hAnsi="Arial Narrow" w:cs="Times New Roman"/>
                <w:sz w:val="20"/>
                <w:szCs w:val="22"/>
              </w:rPr>
              <w:t>IDeg</w:t>
            </w:r>
            <w:proofErr w:type="spellEnd"/>
            <w:r w:rsidRPr="004F11AC">
              <w:rPr>
                <w:rFonts w:ascii="Arial Narrow" w:hAnsi="Arial Narrow" w:cs="Times New Roman"/>
                <w:sz w:val="20"/>
                <w:szCs w:val="22"/>
              </w:rPr>
              <w:t xml:space="preserve"> OD</w:t>
            </w:r>
          </w:p>
        </w:tc>
        <w:tc>
          <w:tcPr>
            <w:tcW w:w="1087" w:type="dxa"/>
            <w:vAlign w:val="center"/>
          </w:tcPr>
          <w:p w14:paraId="5B8999FD" w14:textId="77777777" w:rsidR="00E550B5" w:rsidRPr="004F11AC" w:rsidRDefault="00E550B5" w:rsidP="00E208B7">
            <w:pPr>
              <w:jc w:val="center"/>
              <w:rPr>
                <w:rFonts w:ascii="Arial Narrow" w:hAnsi="Arial Narrow" w:cs="Times New Roman"/>
                <w:sz w:val="20"/>
                <w:szCs w:val="22"/>
              </w:rPr>
            </w:pPr>
            <w:r w:rsidRPr="004F11AC">
              <w:rPr>
                <w:rFonts w:ascii="Arial Narrow" w:hAnsi="Arial Narrow" w:cs="Times New Roman"/>
                <w:sz w:val="20"/>
                <w:szCs w:val="22"/>
              </w:rPr>
              <w:t>N=165</w:t>
            </w:r>
          </w:p>
          <w:p w14:paraId="48E56929" w14:textId="77777777" w:rsidR="00E550B5" w:rsidRPr="004F11AC" w:rsidRDefault="00E550B5" w:rsidP="00E208B7">
            <w:pPr>
              <w:jc w:val="center"/>
              <w:rPr>
                <w:rFonts w:ascii="Arial Narrow" w:hAnsi="Arial Narrow" w:cs="Times New Roman"/>
                <w:sz w:val="20"/>
                <w:szCs w:val="22"/>
              </w:rPr>
            </w:pPr>
            <w:r w:rsidRPr="004F11AC">
              <w:rPr>
                <w:rFonts w:ascii="Arial Narrow" w:hAnsi="Arial Narrow" w:cs="Times New Roman"/>
                <w:sz w:val="20"/>
                <w:szCs w:val="22"/>
              </w:rPr>
              <w:t>7.7 (1.0)</w:t>
            </w:r>
          </w:p>
        </w:tc>
        <w:tc>
          <w:tcPr>
            <w:tcW w:w="1087" w:type="dxa"/>
            <w:vAlign w:val="center"/>
          </w:tcPr>
          <w:p w14:paraId="2400131A" w14:textId="77777777" w:rsidR="00E550B5" w:rsidRPr="004F11AC" w:rsidRDefault="00E550B5" w:rsidP="00E208B7">
            <w:pPr>
              <w:jc w:val="center"/>
              <w:rPr>
                <w:rFonts w:ascii="Arial Narrow" w:hAnsi="Arial Narrow" w:cs="Times New Roman"/>
                <w:sz w:val="20"/>
                <w:szCs w:val="22"/>
              </w:rPr>
            </w:pPr>
            <w:r w:rsidRPr="004F11AC">
              <w:rPr>
                <w:rFonts w:ascii="Arial Narrow" w:hAnsi="Arial Narrow" w:cs="Times New Roman"/>
                <w:sz w:val="20"/>
                <w:szCs w:val="22"/>
              </w:rPr>
              <w:t>7.30 (0.05)</w:t>
            </w:r>
          </w:p>
        </w:tc>
        <w:tc>
          <w:tcPr>
            <w:tcW w:w="1088" w:type="dxa"/>
            <w:vAlign w:val="center"/>
          </w:tcPr>
          <w:p w14:paraId="31E991AE" w14:textId="77777777" w:rsidR="00E550B5" w:rsidRPr="004F11AC" w:rsidRDefault="00E550B5" w:rsidP="00E208B7">
            <w:pPr>
              <w:jc w:val="center"/>
              <w:rPr>
                <w:rFonts w:ascii="Arial Narrow" w:hAnsi="Arial Narrow" w:cs="Times New Roman"/>
                <w:sz w:val="20"/>
                <w:szCs w:val="22"/>
              </w:rPr>
            </w:pPr>
            <w:r w:rsidRPr="004F11AC">
              <w:rPr>
                <w:rFonts w:ascii="Arial Narrow" w:hAnsi="Arial Narrow" w:cs="Times New Roman"/>
                <w:sz w:val="20"/>
                <w:szCs w:val="22"/>
              </w:rPr>
              <w:t>-0.41 (0.05)</w:t>
            </w:r>
          </w:p>
        </w:tc>
        <w:tc>
          <w:tcPr>
            <w:tcW w:w="1087" w:type="dxa"/>
            <w:vMerge/>
            <w:vAlign w:val="center"/>
          </w:tcPr>
          <w:p w14:paraId="688693C1" w14:textId="77777777" w:rsidR="00E550B5" w:rsidRPr="004F11AC" w:rsidRDefault="00E550B5" w:rsidP="00E208B7">
            <w:pPr>
              <w:jc w:val="center"/>
              <w:rPr>
                <w:rFonts w:ascii="Arial Narrow" w:hAnsi="Arial Narrow" w:cs="Times New Roman"/>
                <w:sz w:val="20"/>
                <w:szCs w:val="22"/>
              </w:rPr>
            </w:pPr>
          </w:p>
        </w:tc>
        <w:tc>
          <w:tcPr>
            <w:tcW w:w="1087" w:type="dxa"/>
            <w:vMerge/>
            <w:vAlign w:val="center"/>
          </w:tcPr>
          <w:p w14:paraId="0DDF4143" w14:textId="77777777" w:rsidR="00E550B5" w:rsidRPr="004F11AC" w:rsidRDefault="00E550B5" w:rsidP="00E208B7">
            <w:pPr>
              <w:jc w:val="center"/>
              <w:rPr>
                <w:rFonts w:ascii="Arial Narrow" w:hAnsi="Arial Narrow" w:cs="Times New Roman"/>
                <w:sz w:val="20"/>
                <w:szCs w:val="22"/>
              </w:rPr>
            </w:pPr>
          </w:p>
        </w:tc>
        <w:tc>
          <w:tcPr>
            <w:tcW w:w="1087" w:type="dxa"/>
            <w:vMerge/>
            <w:vAlign w:val="center"/>
          </w:tcPr>
          <w:p w14:paraId="48D75B44" w14:textId="77777777" w:rsidR="00E550B5" w:rsidRPr="004F11AC" w:rsidRDefault="00E550B5" w:rsidP="00E208B7">
            <w:pPr>
              <w:jc w:val="center"/>
              <w:rPr>
                <w:rFonts w:ascii="Arial Narrow" w:hAnsi="Arial Narrow" w:cs="Times New Roman"/>
                <w:sz w:val="20"/>
                <w:szCs w:val="22"/>
              </w:rPr>
            </w:pPr>
          </w:p>
        </w:tc>
        <w:tc>
          <w:tcPr>
            <w:tcW w:w="1367" w:type="dxa"/>
            <w:vAlign w:val="center"/>
          </w:tcPr>
          <w:p w14:paraId="08D514D3" w14:textId="77777777" w:rsidR="00E550B5" w:rsidRPr="004F11AC" w:rsidRDefault="00E550B5" w:rsidP="00E208B7">
            <w:pPr>
              <w:jc w:val="center"/>
              <w:rPr>
                <w:rFonts w:ascii="Arial Narrow" w:hAnsi="Arial Narrow" w:cs="Times New Roman"/>
                <w:sz w:val="20"/>
                <w:szCs w:val="22"/>
                <w:vertAlign w:val="superscript"/>
              </w:rPr>
            </w:pPr>
            <w:proofErr w:type="spellStart"/>
            <w:r w:rsidRPr="004F11AC">
              <w:rPr>
                <w:rFonts w:ascii="Arial Narrow" w:hAnsi="Arial Narrow" w:cs="Times New Roman"/>
                <w:sz w:val="20"/>
                <w:szCs w:val="22"/>
              </w:rPr>
              <w:t>NR</w:t>
            </w:r>
            <w:r w:rsidRPr="004F11AC">
              <w:rPr>
                <w:rFonts w:ascii="Arial Narrow" w:hAnsi="Arial Narrow" w:cs="Times New Roman"/>
                <w:sz w:val="20"/>
                <w:szCs w:val="22"/>
                <w:vertAlign w:val="superscript"/>
              </w:rPr>
              <w:t>a</w:t>
            </w:r>
            <w:proofErr w:type="spellEnd"/>
          </w:p>
        </w:tc>
      </w:tr>
      <w:tr w:rsidR="00BA0730" w:rsidRPr="004F11AC" w14:paraId="2747D9D5" w14:textId="77777777" w:rsidTr="006425BD">
        <w:tc>
          <w:tcPr>
            <w:tcW w:w="1127" w:type="dxa"/>
          </w:tcPr>
          <w:p w14:paraId="3B622AE6" w14:textId="77777777" w:rsidR="00E550B5" w:rsidRPr="004F11AC" w:rsidRDefault="00E550B5" w:rsidP="00E208B7">
            <w:pPr>
              <w:jc w:val="left"/>
              <w:rPr>
                <w:rFonts w:ascii="Arial Narrow" w:hAnsi="Arial Narrow" w:cs="Times New Roman"/>
                <w:b/>
                <w:bCs/>
                <w:sz w:val="20"/>
                <w:szCs w:val="22"/>
              </w:rPr>
            </w:pPr>
            <w:r w:rsidRPr="004F11AC">
              <w:rPr>
                <w:rFonts w:ascii="Arial Narrow" w:hAnsi="Arial Narrow" w:cs="Times New Roman"/>
                <w:b/>
                <w:bCs/>
                <w:sz w:val="20"/>
                <w:szCs w:val="22"/>
              </w:rPr>
              <w:t>Study 1835</w:t>
            </w:r>
          </w:p>
          <w:p w14:paraId="401496B1" w14:textId="77777777" w:rsidR="00E550B5" w:rsidRPr="004F11AC" w:rsidRDefault="00E550B5" w:rsidP="00E208B7">
            <w:pPr>
              <w:jc w:val="left"/>
              <w:rPr>
                <w:rFonts w:ascii="Arial Narrow" w:hAnsi="Arial Narrow" w:cs="Times New Roman"/>
                <w:sz w:val="20"/>
                <w:szCs w:val="22"/>
              </w:rPr>
            </w:pPr>
            <w:r w:rsidRPr="004F11AC">
              <w:rPr>
                <w:rFonts w:ascii="Arial Narrow" w:hAnsi="Arial Narrow" w:cs="Times New Roman"/>
                <w:b/>
                <w:bCs/>
                <w:sz w:val="20"/>
                <w:szCs w:val="22"/>
              </w:rPr>
              <w:t>(16 weeks)</w:t>
            </w:r>
            <w:r w:rsidRPr="004F11AC">
              <w:rPr>
                <w:rFonts w:ascii="Arial Narrow" w:hAnsi="Arial Narrow" w:cs="Times New Roman"/>
                <w:b/>
                <w:bCs/>
                <w:sz w:val="20"/>
                <w:szCs w:val="22"/>
                <w:vertAlign w:val="superscript"/>
              </w:rPr>
              <w:t>b</w:t>
            </w:r>
          </w:p>
        </w:tc>
        <w:tc>
          <w:tcPr>
            <w:tcW w:w="1087" w:type="dxa"/>
            <w:vAlign w:val="center"/>
          </w:tcPr>
          <w:p w14:paraId="70E5D5AC" w14:textId="77777777" w:rsidR="00E550B5" w:rsidRPr="004F11AC" w:rsidRDefault="00E550B5" w:rsidP="00E208B7">
            <w:pPr>
              <w:jc w:val="center"/>
              <w:rPr>
                <w:rFonts w:ascii="Arial Narrow" w:hAnsi="Arial Narrow" w:cs="Times New Roman"/>
                <w:sz w:val="20"/>
                <w:szCs w:val="22"/>
              </w:rPr>
            </w:pPr>
            <w:r w:rsidRPr="004F11AC">
              <w:rPr>
                <w:rFonts w:ascii="Arial Narrow" w:hAnsi="Arial Narrow" w:cs="Times New Roman"/>
                <w:sz w:val="20"/>
                <w:szCs w:val="22"/>
              </w:rPr>
              <w:t>N=59</w:t>
            </w:r>
          </w:p>
          <w:p w14:paraId="3C430B5D" w14:textId="77777777" w:rsidR="00E550B5" w:rsidRPr="004F11AC" w:rsidRDefault="00E550B5" w:rsidP="00E208B7">
            <w:pPr>
              <w:jc w:val="center"/>
              <w:rPr>
                <w:rFonts w:ascii="Arial Narrow" w:hAnsi="Arial Narrow" w:cs="Times New Roman"/>
                <w:sz w:val="20"/>
                <w:szCs w:val="22"/>
              </w:rPr>
            </w:pPr>
            <w:r w:rsidRPr="004F11AC">
              <w:rPr>
                <w:rFonts w:ascii="Arial Narrow" w:hAnsi="Arial Narrow" w:cs="Times New Roman"/>
                <w:sz w:val="20"/>
                <w:szCs w:val="22"/>
              </w:rPr>
              <w:t>8.4 (0.9)</w:t>
            </w:r>
          </w:p>
        </w:tc>
        <w:tc>
          <w:tcPr>
            <w:tcW w:w="1087" w:type="dxa"/>
            <w:vAlign w:val="center"/>
          </w:tcPr>
          <w:p w14:paraId="7317CD91" w14:textId="77777777" w:rsidR="00E550B5" w:rsidRPr="004F11AC" w:rsidRDefault="00E550B5" w:rsidP="00E208B7">
            <w:pPr>
              <w:jc w:val="center"/>
              <w:rPr>
                <w:rFonts w:ascii="Arial Narrow" w:hAnsi="Arial Narrow" w:cs="Times New Roman"/>
                <w:sz w:val="20"/>
                <w:szCs w:val="22"/>
              </w:rPr>
            </w:pPr>
            <w:r w:rsidRPr="004F11AC">
              <w:rPr>
                <w:rFonts w:ascii="Arial Narrow" w:hAnsi="Arial Narrow" w:cs="Times New Roman"/>
                <w:sz w:val="20"/>
                <w:szCs w:val="22"/>
              </w:rPr>
              <w:t>7.87 (0.09)</w:t>
            </w:r>
          </w:p>
        </w:tc>
        <w:tc>
          <w:tcPr>
            <w:tcW w:w="1088" w:type="dxa"/>
            <w:vAlign w:val="center"/>
          </w:tcPr>
          <w:p w14:paraId="73362B42" w14:textId="77777777" w:rsidR="00E550B5" w:rsidRPr="004F11AC" w:rsidRDefault="00E550B5" w:rsidP="00E208B7">
            <w:pPr>
              <w:jc w:val="center"/>
              <w:rPr>
                <w:rFonts w:ascii="Arial Narrow" w:hAnsi="Arial Narrow" w:cs="Times New Roman"/>
                <w:sz w:val="20"/>
                <w:szCs w:val="22"/>
              </w:rPr>
            </w:pPr>
            <w:r w:rsidRPr="004F11AC">
              <w:rPr>
                <w:rFonts w:ascii="Arial Narrow" w:hAnsi="Arial Narrow" w:cs="Times New Roman"/>
                <w:sz w:val="20"/>
                <w:szCs w:val="22"/>
              </w:rPr>
              <w:t>-0.53 (0.09)</w:t>
            </w:r>
          </w:p>
        </w:tc>
        <w:tc>
          <w:tcPr>
            <w:tcW w:w="1087" w:type="dxa"/>
            <w:vAlign w:val="center"/>
          </w:tcPr>
          <w:p w14:paraId="00267F49" w14:textId="77777777" w:rsidR="00E550B5" w:rsidRPr="004F11AC" w:rsidRDefault="00E550B5" w:rsidP="00E208B7">
            <w:pPr>
              <w:jc w:val="center"/>
              <w:rPr>
                <w:rFonts w:ascii="Arial Narrow" w:hAnsi="Arial Narrow" w:cs="Times New Roman"/>
                <w:sz w:val="20"/>
                <w:szCs w:val="22"/>
              </w:rPr>
            </w:pPr>
            <w:r w:rsidRPr="004F11AC">
              <w:rPr>
                <w:rFonts w:ascii="Arial Narrow" w:hAnsi="Arial Narrow" w:cs="Times New Roman"/>
                <w:sz w:val="20"/>
                <w:szCs w:val="22"/>
              </w:rPr>
              <w:t>N=59</w:t>
            </w:r>
          </w:p>
          <w:p w14:paraId="5FEDD42E" w14:textId="77777777" w:rsidR="00E550B5" w:rsidRPr="004F11AC" w:rsidRDefault="00E550B5" w:rsidP="00E208B7">
            <w:pPr>
              <w:jc w:val="center"/>
              <w:rPr>
                <w:rFonts w:ascii="Arial Narrow" w:hAnsi="Arial Narrow" w:cs="Times New Roman"/>
                <w:sz w:val="20"/>
                <w:szCs w:val="22"/>
              </w:rPr>
            </w:pPr>
            <w:r w:rsidRPr="004F11AC">
              <w:rPr>
                <w:rFonts w:ascii="Arial Narrow" w:hAnsi="Arial Narrow" w:cs="Times New Roman"/>
                <w:sz w:val="20"/>
                <w:szCs w:val="22"/>
              </w:rPr>
              <w:t>8.3 (0.8)</w:t>
            </w:r>
          </w:p>
        </w:tc>
        <w:tc>
          <w:tcPr>
            <w:tcW w:w="1087" w:type="dxa"/>
            <w:vAlign w:val="center"/>
          </w:tcPr>
          <w:p w14:paraId="41F1DF8D" w14:textId="77777777" w:rsidR="00E550B5" w:rsidRPr="004F11AC" w:rsidRDefault="00E550B5" w:rsidP="00E208B7">
            <w:pPr>
              <w:jc w:val="center"/>
              <w:rPr>
                <w:rFonts w:ascii="Arial Narrow" w:hAnsi="Arial Narrow" w:cs="Times New Roman"/>
                <w:sz w:val="20"/>
                <w:szCs w:val="22"/>
              </w:rPr>
            </w:pPr>
            <w:r w:rsidRPr="004F11AC">
              <w:rPr>
                <w:rFonts w:ascii="Arial Narrow" w:hAnsi="Arial Narrow" w:cs="Times New Roman"/>
                <w:sz w:val="20"/>
                <w:szCs w:val="22"/>
              </w:rPr>
              <w:t>7.76 (0.09)</w:t>
            </w:r>
          </w:p>
        </w:tc>
        <w:tc>
          <w:tcPr>
            <w:tcW w:w="1087" w:type="dxa"/>
            <w:vAlign w:val="center"/>
          </w:tcPr>
          <w:p w14:paraId="7719E93B" w14:textId="77777777" w:rsidR="00E550B5" w:rsidRPr="004F11AC" w:rsidRDefault="00E550B5" w:rsidP="00E208B7">
            <w:pPr>
              <w:jc w:val="center"/>
              <w:rPr>
                <w:rFonts w:ascii="Arial Narrow" w:hAnsi="Arial Narrow" w:cs="Times New Roman"/>
                <w:sz w:val="20"/>
                <w:szCs w:val="22"/>
              </w:rPr>
            </w:pPr>
            <w:r w:rsidRPr="004F11AC">
              <w:rPr>
                <w:rFonts w:ascii="Arial Narrow" w:hAnsi="Arial Narrow" w:cs="Times New Roman"/>
                <w:sz w:val="20"/>
                <w:szCs w:val="22"/>
              </w:rPr>
              <w:t>-0.64 (0.09)</w:t>
            </w:r>
          </w:p>
        </w:tc>
        <w:tc>
          <w:tcPr>
            <w:tcW w:w="1367" w:type="dxa"/>
            <w:vAlign w:val="center"/>
          </w:tcPr>
          <w:p w14:paraId="38156170" w14:textId="77777777" w:rsidR="00E550B5" w:rsidRPr="004F11AC" w:rsidRDefault="00E550B5" w:rsidP="00E208B7">
            <w:pPr>
              <w:jc w:val="center"/>
              <w:rPr>
                <w:rFonts w:ascii="Arial Narrow" w:hAnsi="Arial Narrow" w:cs="Times New Roman"/>
                <w:sz w:val="20"/>
                <w:szCs w:val="22"/>
              </w:rPr>
            </w:pPr>
            <w:r w:rsidRPr="004F11AC">
              <w:rPr>
                <w:rFonts w:ascii="Arial Narrow" w:hAnsi="Arial Narrow" w:cs="Times New Roman"/>
                <w:sz w:val="20"/>
                <w:szCs w:val="22"/>
              </w:rPr>
              <w:t>0.10 (-0.14, 0.34)</w:t>
            </w:r>
          </w:p>
        </w:tc>
      </w:tr>
      <w:tr w:rsidR="00BA0730" w:rsidRPr="004F11AC" w14:paraId="691B492D" w14:textId="77777777">
        <w:tc>
          <w:tcPr>
            <w:tcW w:w="9017" w:type="dxa"/>
            <w:gridSpan w:val="8"/>
          </w:tcPr>
          <w:p w14:paraId="0A7C998C" w14:textId="77777777" w:rsidR="00E550B5" w:rsidRPr="004F11AC" w:rsidRDefault="00E550B5" w:rsidP="00E208B7">
            <w:pPr>
              <w:keepNext/>
              <w:jc w:val="left"/>
              <w:rPr>
                <w:rFonts w:ascii="Arial Narrow" w:hAnsi="Arial Narrow" w:cs="Times New Roman"/>
                <w:b/>
                <w:bCs/>
                <w:sz w:val="20"/>
                <w:szCs w:val="22"/>
              </w:rPr>
            </w:pPr>
            <w:r w:rsidRPr="004F11AC">
              <w:rPr>
                <w:rFonts w:ascii="Arial Narrow" w:hAnsi="Arial Narrow" w:cs="Times New Roman"/>
                <w:b/>
                <w:bCs/>
                <w:sz w:val="20"/>
                <w:szCs w:val="22"/>
              </w:rPr>
              <w:t>Study 3995 (32 weeks)</w:t>
            </w:r>
            <w:r w:rsidRPr="004F11AC">
              <w:rPr>
                <w:rFonts w:ascii="Arial Narrow" w:hAnsi="Arial Narrow" w:cs="Times New Roman"/>
                <w:sz w:val="20"/>
                <w:szCs w:val="22"/>
              </w:rPr>
              <w:t xml:space="preserve"> </w:t>
            </w:r>
          </w:p>
        </w:tc>
      </w:tr>
      <w:tr w:rsidR="00BA0730" w:rsidRPr="004F11AC" w14:paraId="304E88AB" w14:textId="77777777" w:rsidTr="006425BD">
        <w:tc>
          <w:tcPr>
            <w:tcW w:w="1127" w:type="dxa"/>
            <w:vAlign w:val="center"/>
          </w:tcPr>
          <w:p w14:paraId="56D341D3" w14:textId="77777777" w:rsidR="00E550B5" w:rsidRPr="004F11AC" w:rsidRDefault="00E550B5" w:rsidP="00E208B7">
            <w:pPr>
              <w:jc w:val="left"/>
              <w:rPr>
                <w:rFonts w:ascii="Arial Narrow" w:hAnsi="Arial Narrow" w:cs="Times New Roman"/>
                <w:sz w:val="20"/>
                <w:szCs w:val="22"/>
              </w:rPr>
            </w:pPr>
            <w:r w:rsidRPr="004F11AC">
              <w:rPr>
                <w:rFonts w:ascii="Arial Narrow" w:hAnsi="Arial Narrow" w:cs="Times New Roman"/>
                <w:sz w:val="20"/>
                <w:szCs w:val="22"/>
              </w:rPr>
              <w:t xml:space="preserve">Period 1 </w:t>
            </w:r>
          </w:p>
          <w:p w14:paraId="01912CE0" w14:textId="77777777" w:rsidR="00E550B5" w:rsidRPr="004F11AC" w:rsidRDefault="00E550B5" w:rsidP="00E208B7">
            <w:pPr>
              <w:jc w:val="left"/>
              <w:rPr>
                <w:rFonts w:ascii="Arial Narrow" w:hAnsi="Arial Narrow" w:cs="Times New Roman"/>
                <w:sz w:val="20"/>
                <w:szCs w:val="22"/>
              </w:rPr>
            </w:pPr>
            <w:r w:rsidRPr="004F11AC">
              <w:rPr>
                <w:rFonts w:ascii="Arial Narrow" w:hAnsi="Arial Narrow" w:cs="Times New Roman"/>
                <w:sz w:val="20"/>
                <w:szCs w:val="22"/>
              </w:rPr>
              <w:t>(to 32 weeks)</w:t>
            </w:r>
          </w:p>
        </w:tc>
        <w:tc>
          <w:tcPr>
            <w:tcW w:w="1087" w:type="dxa"/>
            <w:vAlign w:val="center"/>
          </w:tcPr>
          <w:p w14:paraId="39732C19" w14:textId="77777777" w:rsidR="00E550B5" w:rsidRPr="004F11AC" w:rsidRDefault="00E550B5" w:rsidP="00E208B7">
            <w:pPr>
              <w:jc w:val="center"/>
              <w:rPr>
                <w:rFonts w:ascii="Arial Narrow" w:hAnsi="Arial Narrow" w:cs="Times New Roman"/>
                <w:sz w:val="20"/>
                <w:szCs w:val="22"/>
              </w:rPr>
            </w:pPr>
            <w:r w:rsidRPr="004F11AC">
              <w:rPr>
                <w:rFonts w:ascii="Arial Narrow" w:hAnsi="Arial Narrow" w:cs="Times New Roman"/>
                <w:sz w:val="20"/>
                <w:szCs w:val="22"/>
              </w:rPr>
              <w:t>N=249</w:t>
            </w:r>
          </w:p>
          <w:p w14:paraId="126F80B2" w14:textId="77777777" w:rsidR="00E550B5" w:rsidRPr="004F11AC" w:rsidRDefault="00E550B5" w:rsidP="00E208B7">
            <w:pPr>
              <w:jc w:val="center"/>
              <w:rPr>
                <w:rFonts w:ascii="Arial Narrow" w:hAnsi="Arial Narrow" w:cs="Times New Roman"/>
                <w:sz w:val="20"/>
                <w:szCs w:val="22"/>
              </w:rPr>
            </w:pPr>
            <w:r w:rsidRPr="004F11AC">
              <w:rPr>
                <w:rFonts w:ascii="Arial Narrow" w:hAnsi="Arial Narrow" w:cs="Times New Roman"/>
                <w:sz w:val="20"/>
                <w:szCs w:val="22"/>
              </w:rPr>
              <w:t>7.66 (1.05)</w:t>
            </w:r>
          </w:p>
        </w:tc>
        <w:tc>
          <w:tcPr>
            <w:tcW w:w="1087" w:type="dxa"/>
            <w:vAlign w:val="center"/>
          </w:tcPr>
          <w:p w14:paraId="5AA8E1C9" w14:textId="77777777" w:rsidR="00E550B5" w:rsidRPr="004F11AC" w:rsidRDefault="00E550B5" w:rsidP="00E208B7">
            <w:pPr>
              <w:jc w:val="center"/>
              <w:rPr>
                <w:rFonts w:ascii="Arial Narrow" w:hAnsi="Arial Narrow" w:cs="Times New Roman"/>
                <w:sz w:val="20"/>
                <w:szCs w:val="22"/>
              </w:rPr>
            </w:pPr>
            <w:r w:rsidRPr="004F11AC">
              <w:rPr>
                <w:rFonts w:ascii="Arial Narrow" w:hAnsi="Arial Narrow" w:cs="Times New Roman"/>
                <w:sz w:val="20"/>
                <w:szCs w:val="22"/>
              </w:rPr>
              <w:t>6.80 (0.06)</w:t>
            </w:r>
          </w:p>
        </w:tc>
        <w:tc>
          <w:tcPr>
            <w:tcW w:w="1087" w:type="dxa"/>
            <w:vAlign w:val="center"/>
          </w:tcPr>
          <w:p w14:paraId="1BEAD3E8" w14:textId="77777777" w:rsidR="00E550B5" w:rsidRPr="004F11AC" w:rsidRDefault="00E550B5" w:rsidP="00E208B7">
            <w:pPr>
              <w:jc w:val="center"/>
              <w:rPr>
                <w:rFonts w:ascii="Arial Narrow" w:hAnsi="Arial Narrow" w:cs="Times New Roman"/>
                <w:sz w:val="20"/>
                <w:szCs w:val="22"/>
              </w:rPr>
            </w:pPr>
            <w:r w:rsidRPr="004F11AC">
              <w:rPr>
                <w:rFonts w:ascii="Arial Narrow" w:hAnsi="Arial Narrow" w:cs="Times New Roman"/>
                <w:sz w:val="20"/>
                <w:szCs w:val="22"/>
              </w:rPr>
              <w:t>-0.76 (0.06)</w:t>
            </w:r>
          </w:p>
        </w:tc>
        <w:tc>
          <w:tcPr>
            <w:tcW w:w="1087" w:type="dxa"/>
            <w:vAlign w:val="center"/>
          </w:tcPr>
          <w:p w14:paraId="1AD036BD" w14:textId="77777777" w:rsidR="00E550B5" w:rsidRPr="004F11AC" w:rsidRDefault="00E550B5" w:rsidP="00E208B7">
            <w:pPr>
              <w:jc w:val="center"/>
              <w:rPr>
                <w:rFonts w:ascii="Arial Narrow" w:hAnsi="Arial Narrow" w:cs="Times New Roman"/>
                <w:sz w:val="20"/>
                <w:szCs w:val="22"/>
              </w:rPr>
            </w:pPr>
            <w:r w:rsidRPr="004F11AC">
              <w:rPr>
                <w:rFonts w:ascii="Arial Narrow" w:hAnsi="Arial Narrow" w:cs="Times New Roman"/>
                <w:sz w:val="20"/>
                <w:szCs w:val="22"/>
              </w:rPr>
              <w:t>N=252</w:t>
            </w:r>
          </w:p>
          <w:p w14:paraId="40D0A0C4" w14:textId="77777777" w:rsidR="00E550B5" w:rsidRPr="004F11AC" w:rsidRDefault="00E550B5" w:rsidP="00E208B7">
            <w:pPr>
              <w:jc w:val="center"/>
              <w:rPr>
                <w:rFonts w:ascii="Arial Narrow" w:hAnsi="Arial Narrow" w:cs="Times New Roman"/>
                <w:sz w:val="20"/>
                <w:szCs w:val="22"/>
              </w:rPr>
            </w:pPr>
            <w:r w:rsidRPr="004F11AC">
              <w:rPr>
                <w:rFonts w:ascii="Arial Narrow" w:hAnsi="Arial Narrow" w:cs="Times New Roman"/>
                <w:sz w:val="20"/>
                <w:szCs w:val="22"/>
              </w:rPr>
              <w:t>7.49 (0.98)</w:t>
            </w:r>
          </w:p>
        </w:tc>
        <w:tc>
          <w:tcPr>
            <w:tcW w:w="1087" w:type="dxa"/>
            <w:vAlign w:val="center"/>
          </w:tcPr>
          <w:p w14:paraId="1EB44A35" w14:textId="77777777" w:rsidR="00E550B5" w:rsidRPr="004F11AC" w:rsidRDefault="00E550B5" w:rsidP="00E208B7">
            <w:pPr>
              <w:jc w:val="center"/>
              <w:rPr>
                <w:rFonts w:ascii="Arial Narrow" w:hAnsi="Arial Narrow" w:cs="Times New Roman"/>
                <w:sz w:val="20"/>
                <w:szCs w:val="22"/>
              </w:rPr>
            </w:pPr>
            <w:r w:rsidRPr="004F11AC">
              <w:rPr>
                <w:rFonts w:ascii="Arial Narrow" w:hAnsi="Arial Narrow" w:cs="Times New Roman"/>
                <w:sz w:val="20"/>
                <w:szCs w:val="22"/>
              </w:rPr>
              <w:t>6.77 (0.07)</w:t>
            </w:r>
          </w:p>
        </w:tc>
        <w:tc>
          <w:tcPr>
            <w:tcW w:w="1088" w:type="dxa"/>
            <w:vAlign w:val="center"/>
          </w:tcPr>
          <w:p w14:paraId="058FA647" w14:textId="77777777" w:rsidR="00E550B5" w:rsidRPr="004F11AC" w:rsidRDefault="00E550B5" w:rsidP="00E208B7">
            <w:pPr>
              <w:jc w:val="center"/>
              <w:rPr>
                <w:rFonts w:ascii="Arial Narrow" w:hAnsi="Arial Narrow" w:cs="Times New Roman"/>
                <w:sz w:val="20"/>
                <w:szCs w:val="22"/>
              </w:rPr>
            </w:pPr>
            <w:r w:rsidRPr="004F11AC">
              <w:rPr>
                <w:rFonts w:ascii="Arial Narrow" w:hAnsi="Arial Narrow" w:cs="Times New Roman"/>
                <w:sz w:val="20"/>
                <w:szCs w:val="22"/>
              </w:rPr>
              <w:t>-0.78 (0.07)</w:t>
            </w:r>
          </w:p>
        </w:tc>
        <w:tc>
          <w:tcPr>
            <w:tcW w:w="1367" w:type="dxa"/>
            <w:vAlign w:val="center"/>
          </w:tcPr>
          <w:p w14:paraId="72EAAF28" w14:textId="77777777" w:rsidR="00E550B5" w:rsidRPr="004F11AC" w:rsidRDefault="00E550B5" w:rsidP="00E208B7">
            <w:pPr>
              <w:jc w:val="center"/>
              <w:rPr>
                <w:rFonts w:ascii="Arial Narrow" w:hAnsi="Arial Narrow" w:cs="Times New Roman"/>
                <w:sz w:val="20"/>
                <w:szCs w:val="22"/>
              </w:rPr>
            </w:pPr>
            <w:r w:rsidRPr="004F11AC">
              <w:rPr>
                <w:rFonts w:ascii="Arial Narrow" w:hAnsi="Arial Narrow" w:cs="Times New Roman"/>
                <w:sz w:val="20"/>
                <w:szCs w:val="22"/>
              </w:rPr>
              <w:t>0.03 (-0.10, 0.15)</w:t>
            </w:r>
          </w:p>
        </w:tc>
      </w:tr>
      <w:tr w:rsidR="00BA0730" w:rsidRPr="004F11AC" w14:paraId="7227DF85" w14:textId="77777777" w:rsidTr="006425BD">
        <w:tc>
          <w:tcPr>
            <w:tcW w:w="1127" w:type="dxa"/>
            <w:vAlign w:val="center"/>
          </w:tcPr>
          <w:p w14:paraId="4FDDDAC4" w14:textId="77777777" w:rsidR="00E550B5" w:rsidRPr="004F11AC" w:rsidRDefault="00E550B5" w:rsidP="00E208B7">
            <w:pPr>
              <w:jc w:val="left"/>
              <w:rPr>
                <w:rFonts w:ascii="Arial Narrow" w:hAnsi="Arial Narrow" w:cs="Times New Roman"/>
                <w:sz w:val="20"/>
                <w:szCs w:val="22"/>
              </w:rPr>
            </w:pPr>
            <w:r w:rsidRPr="004F11AC">
              <w:rPr>
                <w:rFonts w:ascii="Arial Narrow" w:hAnsi="Arial Narrow" w:cs="Times New Roman"/>
                <w:sz w:val="20"/>
                <w:szCs w:val="22"/>
              </w:rPr>
              <w:t>Period 2</w:t>
            </w:r>
          </w:p>
          <w:p w14:paraId="0D1E7875" w14:textId="77777777" w:rsidR="00E550B5" w:rsidRPr="004F11AC" w:rsidRDefault="00E550B5" w:rsidP="00E208B7">
            <w:pPr>
              <w:jc w:val="left"/>
              <w:rPr>
                <w:rFonts w:ascii="Arial Narrow" w:hAnsi="Arial Narrow" w:cs="Times New Roman"/>
                <w:sz w:val="20"/>
                <w:szCs w:val="22"/>
              </w:rPr>
            </w:pPr>
            <w:r w:rsidRPr="004F11AC">
              <w:rPr>
                <w:rFonts w:ascii="Arial Narrow" w:hAnsi="Arial Narrow" w:cs="Times New Roman"/>
                <w:sz w:val="20"/>
                <w:szCs w:val="22"/>
              </w:rPr>
              <w:t>(32-64 weeks)</w:t>
            </w:r>
          </w:p>
        </w:tc>
        <w:tc>
          <w:tcPr>
            <w:tcW w:w="1087" w:type="dxa"/>
            <w:vAlign w:val="center"/>
          </w:tcPr>
          <w:p w14:paraId="64FFDF84" w14:textId="77777777" w:rsidR="00E550B5" w:rsidRPr="004F11AC" w:rsidRDefault="00E550B5" w:rsidP="00E208B7">
            <w:pPr>
              <w:jc w:val="center"/>
              <w:rPr>
                <w:rFonts w:ascii="Arial Narrow" w:hAnsi="Arial Narrow" w:cs="Times New Roman"/>
                <w:sz w:val="20"/>
                <w:szCs w:val="22"/>
              </w:rPr>
            </w:pPr>
            <w:r w:rsidRPr="004F11AC">
              <w:rPr>
                <w:rFonts w:ascii="Arial Narrow" w:hAnsi="Arial Narrow" w:cs="Times New Roman"/>
                <w:sz w:val="20"/>
                <w:szCs w:val="22"/>
              </w:rPr>
              <w:t>N=205</w:t>
            </w:r>
          </w:p>
          <w:p w14:paraId="472EC1F0" w14:textId="77777777" w:rsidR="00E550B5" w:rsidRPr="004F11AC" w:rsidRDefault="00E550B5" w:rsidP="00E208B7">
            <w:pPr>
              <w:jc w:val="center"/>
              <w:rPr>
                <w:rFonts w:ascii="Arial Narrow" w:hAnsi="Arial Narrow" w:cs="Times New Roman"/>
                <w:sz w:val="20"/>
                <w:szCs w:val="22"/>
              </w:rPr>
            </w:pPr>
            <w:r w:rsidRPr="004F11AC">
              <w:rPr>
                <w:rFonts w:ascii="Arial Narrow" w:hAnsi="Arial Narrow" w:cs="Times New Roman"/>
                <w:sz w:val="20"/>
                <w:szCs w:val="22"/>
              </w:rPr>
              <w:t>6.78 (0.81)</w:t>
            </w:r>
          </w:p>
        </w:tc>
        <w:tc>
          <w:tcPr>
            <w:tcW w:w="1087" w:type="dxa"/>
            <w:vAlign w:val="center"/>
          </w:tcPr>
          <w:p w14:paraId="67D2FF1C" w14:textId="77777777" w:rsidR="00E550B5" w:rsidRPr="004F11AC" w:rsidRDefault="00E550B5" w:rsidP="00E208B7">
            <w:pPr>
              <w:jc w:val="center"/>
              <w:rPr>
                <w:rFonts w:ascii="Arial Narrow" w:hAnsi="Arial Narrow" w:cs="Times New Roman"/>
                <w:sz w:val="20"/>
                <w:szCs w:val="22"/>
              </w:rPr>
            </w:pPr>
            <w:r w:rsidRPr="004F11AC">
              <w:rPr>
                <w:rFonts w:ascii="Arial Narrow" w:hAnsi="Arial Narrow" w:cs="Times New Roman"/>
                <w:sz w:val="20"/>
                <w:szCs w:val="22"/>
              </w:rPr>
              <w:t>6.94 (0.06)</w:t>
            </w:r>
          </w:p>
        </w:tc>
        <w:tc>
          <w:tcPr>
            <w:tcW w:w="1087" w:type="dxa"/>
            <w:vAlign w:val="center"/>
          </w:tcPr>
          <w:p w14:paraId="2491B6BB" w14:textId="77777777" w:rsidR="00E550B5" w:rsidRPr="004F11AC" w:rsidRDefault="00E550B5" w:rsidP="00E208B7">
            <w:pPr>
              <w:jc w:val="center"/>
              <w:rPr>
                <w:rFonts w:ascii="Arial Narrow" w:hAnsi="Arial Narrow" w:cs="Times New Roman"/>
                <w:sz w:val="20"/>
                <w:szCs w:val="22"/>
              </w:rPr>
            </w:pPr>
            <w:r w:rsidRPr="004F11AC">
              <w:rPr>
                <w:rFonts w:ascii="Arial Narrow" w:hAnsi="Arial Narrow" w:cs="Times New Roman"/>
                <w:sz w:val="20"/>
                <w:szCs w:val="22"/>
              </w:rPr>
              <w:t>0.09 (0.06)</w:t>
            </w:r>
          </w:p>
        </w:tc>
        <w:tc>
          <w:tcPr>
            <w:tcW w:w="1087" w:type="dxa"/>
            <w:vAlign w:val="center"/>
          </w:tcPr>
          <w:p w14:paraId="051BEA72" w14:textId="77777777" w:rsidR="00E550B5" w:rsidRPr="004F11AC" w:rsidRDefault="00E550B5" w:rsidP="00E208B7">
            <w:pPr>
              <w:jc w:val="center"/>
              <w:rPr>
                <w:rFonts w:ascii="Arial Narrow" w:hAnsi="Arial Narrow" w:cs="Times New Roman"/>
                <w:sz w:val="20"/>
                <w:szCs w:val="22"/>
              </w:rPr>
            </w:pPr>
            <w:r w:rsidRPr="004F11AC">
              <w:rPr>
                <w:rFonts w:ascii="Arial Narrow" w:hAnsi="Arial Narrow" w:cs="Times New Roman"/>
                <w:sz w:val="20"/>
                <w:szCs w:val="22"/>
              </w:rPr>
              <w:t>N=209</w:t>
            </w:r>
          </w:p>
          <w:p w14:paraId="1AFDC7F8" w14:textId="77777777" w:rsidR="00E550B5" w:rsidRPr="004F11AC" w:rsidRDefault="00E550B5" w:rsidP="00E208B7">
            <w:pPr>
              <w:jc w:val="center"/>
              <w:rPr>
                <w:rFonts w:ascii="Arial Narrow" w:hAnsi="Arial Narrow" w:cs="Times New Roman"/>
                <w:sz w:val="20"/>
                <w:szCs w:val="22"/>
              </w:rPr>
            </w:pPr>
            <w:r w:rsidRPr="004F11AC">
              <w:rPr>
                <w:rFonts w:ascii="Arial Narrow" w:hAnsi="Arial Narrow" w:cs="Times New Roman"/>
                <w:sz w:val="20"/>
                <w:szCs w:val="22"/>
              </w:rPr>
              <w:t>6.92 (0.92)</w:t>
            </w:r>
          </w:p>
        </w:tc>
        <w:tc>
          <w:tcPr>
            <w:tcW w:w="1087" w:type="dxa"/>
            <w:vAlign w:val="center"/>
          </w:tcPr>
          <w:p w14:paraId="14ED438C" w14:textId="77777777" w:rsidR="00E550B5" w:rsidRPr="004F11AC" w:rsidRDefault="00E550B5" w:rsidP="00E208B7">
            <w:pPr>
              <w:jc w:val="center"/>
              <w:rPr>
                <w:rFonts w:ascii="Arial Narrow" w:hAnsi="Arial Narrow" w:cs="Times New Roman"/>
                <w:sz w:val="20"/>
                <w:szCs w:val="22"/>
              </w:rPr>
            </w:pPr>
            <w:r w:rsidRPr="004F11AC">
              <w:rPr>
                <w:rFonts w:ascii="Arial Narrow" w:hAnsi="Arial Narrow" w:cs="Times New Roman"/>
                <w:sz w:val="20"/>
                <w:szCs w:val="22"/>
              </w:rPr>
              <w:t>6.83 (0.06)</w:t>
            </w:r>
          </w:p>
        </w:tc>
        <w:tc>
          <w:tcPr>
            <w:tcW w:w="1088" w:type="dxa"/>
            <w:vAlign w:val="center"/>
          </w:tcPr>
          <w:p w14:paraId="6D450C27" w14:textId="77777777" w:rsidR="00E550B5" w:rsidRPr="004F11AC" w:rsidRDefault="00E550B5" w:rsidP="00E208B7">
            <w:pPr>
              <w:jc w:val="center"/>
              <w:rPr>
                <w:rFonts w:ascii="Arial Narrow" w:hAnsi="Arial Narrow" w:cs="Times New Roman"/>
                <w:sz w:val="20"/>
                <w:szCs w:val="22"/>
              </w:rPr>
            </w:pPr>
            <w:r w:rsidRPr="004F11AC">
              <w:rPr>
                <w:rFonts w:ascii="Arial Narrow" w:hAnsi="Arial Narrow" w:cs="Times New Roman"/>
                <w:sz w:val="20"/>
                <w:szCs w:val="22"/>
              </w:rPr>
              <w:t>-0.02 (0.06)</w:t>
            </w:r>
          </w:p>
        </w:tc>
        <w:tc>
          <w:tcPr>
            <w:tcW w:w="1367" w:type="dxa"/>
            <w:vAlign w:val="center"/>
          </w:tcPr>
          <w:p w14:paraId="0CF01A26" w14:textId="77777777" w:rsidR="00E550B5" w:rsidRPr="004F11AC" w:rsidRDefault="00E550B5" w:rsidP="00E208B7">
            <w:pPr>
              <w:jc w:val="center"/>
              <w:rPr>
                <w:rFonts w:ascii="Arial Narrow" w:hAnsi="Arial Narrow" w:cs="Times New Roman"/>
                <w:sz w:val="20"/>
                <w:szCs w:val="22"/>
              </w:rPr>
            </w:pPr>
            <w:r w:rsidRPr="004F11AC">
              <w:rPr>
                <w:rFonts w:ascii="Arial Narrow" w:hAnsi="Arial Narrow" w:cs="Times New Roman"/>
                <w:sz w:val="20"/>
                <w:szCs w:val="22"/>
              </w:rPr>
              <w:t>0.11 (-0.00, 0.23)</w:t>
            </w:r>
          </w:p>
        </w:tc>
      </w:tr>
    </w:tbl>
    <w:p w14:paraId="486EE75C" w14:textId="1A421FA7" w:rsidR="00E67516" w:rsidRPr="004F11AC" w:rsidRDefault="00002652" w:rsidP="00E208B7">
      <w:pPr>
        <w:pStyle w:val="COMTablefooter"/>
      </w:pPr>
      <w:r w:rsidRPr="004F11AC">
        <w:t>Source: Table 2-20, p51; Table 2-25, p59; Table 2-31, p64; Table 2-38, p74 of the resubmission; Table 14.2.44, p403 and Table 11-7, p116 of Study 3583 CSR; Table 14.2.39, p338 and Table 11-8, p107 of Study 3770 CSR; Table 14.2.55, p230 and Table 11-6, p83 of Study 1835 CSR; Table 14.2.94, pp544-545, Table 14.2.97,  p556 and Table 14.2.99, p559 of Study 3995 CSR.</w:t>
      </w:r>
    </w:p>
    <w:p w14:paraId="6EFF4B1A" w14:textId="34695858" w:rsidR="00771240" w:rsidRPr="004F11AC" w:rsidRDefault="00771240" w:rsidP="00E208B7">
      <w:pPr>
        <w:pStyle w:val="COMTablefooter"/>
      </w:pPr>
      <w:r w:rsidRPr="004F11AC">
        <w:t xml:space="preserve">Abbreviations: CI, confidence interval; FF, fixed flexible; HbA1c, glycated haemoglobin; </w:t>
      </w:r>
      <w:proofErr w:type="spellStart"/>
      <w:r w:rsidRPr="004F11AC">
        <w:t>IDeg</w:t>
      </w:r>
      <w:proofErr w:type="spellEnd"/>
      <w:r w:rsidRPr="004F11AC">
        <w:t xml:space="preserve">, insulin degludec; </w:t>
      </w:r>
      <w:proofErr w:type="spellStart"/>
      <w:r w:rsidRPr="004F11AC">
        <w:t>IGlar</w:t>
      </w:r>
      <w:proofErr w:type="spellEnd"/>
      <w:r w:rsidRPr="004F11AC">
        <w:t xml:space="preserve">, insulin glargine; LSM, least squares mean; NR, not reported; OD, once daily; SD, standard deviation; SE, standard error. </w:t>
      </w:r>
    </w:p>
    <w:p w14:paraId="52F12878" w14:textId="77777777" w:rsidR="00771240" w:rsidRPr="004F11AC" w:rsidRDefault="00771240" w:rsidP="00E208B7">
      <w:pPr>
        <w:pStyle w:val="COMTablefooter"/>
      </w:pPr>
      <w:r w:rsidRPr="004F11AC">
        <w:rPr>
          <w:vertAlign w:val="superscript"/>
        </w:rPr>
        <w:t>a</w:t>
      </w:r>
      <w:r w:rsidRPr="004F11AC">
        <w:t xml:space="preserve"> Comparative analyses of insulin degludec (once daily) versus insulin glargine were not conducted in Study 3770. </w:t>
      </w:r>
    </w:p>
    <w:p w14:paraId="502000DF" w14:textId="2512D384" w:rsidR="00300DD3" w:rsidRPr="004F11AC" w:rsidRDefault="00300DD3" w:rsidP="00E208B7">
      <w:pPr>
        <w:pStyle w:val="COMTablefooter"/>
      </w:pPr>
      <w:r w:rsidRPr="004F11AC">
        <w:rPr>
          <w:vertAlign w:val="superscript"/>
        </w:rPr>
        <w:t xml:space="preserve">b </w:t>
      </w:r>
      <w:r w:rsidRPr="004F11AC">
        <w:t xml:space="preserve">Study 1835 included 2 formulations of insulin degludec with different molar concentrations (600 </w:t>
      </w:r>
      <w:proofErr w:type="spellStart"/>
      <w:r w:rsidRPr="004F11AC">
        <w:t>μmol</w:t>
      </w:r>
      <w:proofErr w:type="spellEnd"/>
      <w:r w:rsidRPr="004F11AC">
        <w:t xml:space="preserve">/L and 900 </w:t>
      </w:r>
      <w:proofErr w:type="spellStart"/>
      <w:r w:rsidRPr="004F11AC">
        <w:t>μmol</w:t>
      </w:r>
      <w:proofErr w:type="spellEnd"/>
      <w:r w:rsidRPr="004F11AC">
        <w:t xml:space="preserve">/L). Results presented </w:t>
      </w:r>
      <w:r w:rsidR="000B5DBB" w:rsidRPr="004F11AC">
        <w:t>herein</w:t>
      </w:r>
      <w:r w:rsidRPr="004F11AC">
        <w:t xml:space="preserve"> are for the 600 </w:t>
      </w:r>
      <w:proofErr w:type="spellStart"/>
      <w:r w:rsidRPr="004F11AC">
        <w:t>μmol</w:t>
      </w:r>
      <w:proofErr w:type="spellEnd"/>
      <w:r w:rsidRPr="004F11AC">
        <w:t>/L formulation, which was carried forward to the phase 3 trials and registration.</w:t>
      </w:r>
    </w:p>
    <w:p w14:paraId="5E75DDD2" w14:textId="0EB53236" w:rsidR="006D0465" w:rsidRPr="005E6F23" w:rsidRDefault="006C10DC" w:rsidP="00E208B7">
      <w:pPr>
        <w:pStyle w:val="COMexecsummnumbered"/>
      </w:pPr>
      <w:r w:rsidRPr="005E6F23">
        <w:t xml:space="preserve">Studies 3583, 3770, 1835 and 3995 showed </w:t>
      </w:r>
      <w:r w:rsidR="00BE0085" w:rsidRPr="005E6F23">
        <w:t xml:space="preserve">there was </w:t>
      </w:r>
      <w:r w:rsidRPr="005E6F23">
        <w:t xml:space="preserve">no statistically significant difference in mean change in HbA1c from baseline between insulin degludec and insulin glargine, both </w:t>
      </w:r>
      <w:r w:rsidR="00BE0085" w:rsidRPr="005E6F23">
        <w:t xml:space="preserve">given </w:t>
      </w:r>
      <w:r w:rsidRPr="005E6F23">
        <w:t xml:space="preserve">in combination with prandial insulin </w:t>
      </w:r>
      <w:proofErr w:type="spellStart"/>
      <w:r w:rsidRPr="005E6F23">
        <w:t>aspart</w:t>
      </w:r>
      <w:proofErr w:type="spellEnd"/>
      <w:r w:rsidRPr="005E6F23">
        <w:t>.</w:t>
      </w:r>
    </w:p>
    <w:p w14:paraId="7891EEB8" w14:textId="50C3DD17" w:rsidR="006C10DC" w:rsidRPr="005E6F23" w:rsidRDefault="004350B4" w:rsidP="00E208B7">
      <w:pPr>
        <w:pStyle w:val="COMexecsummnumbered"/>
      </w:pPr>
      <w:r w:rsidRPr="005E6F23">
        <w:t xml:space="preserve">The </w:t>
      </w:r>
      <w:r w:rsidR="00DA1D43" w:rsidRPr="005E6F23">
        <w:t xml:space="preserve">ESC noted that the </w:t>
      </w:r>
      <w:r w:rsidRPr="005E6F23">
        <w:t xml:space="preserve">PBAC has previously </w:t>
      </w:r>
      <w:r w:rsidR="00AF7A42">
        <w:t>used</w:t>
      </w:r>
      <w:r w:rsidR="00AF7A42" w:rsidRPr="005E6F23">
        <w:t xml:space="preserve"> </w:t>
      </w:r>
      <w:r w:rsidRPr="005E6F23">
        <w:t xml:space="preserve">a non-inferiority margin for difference in HbA1c of 0.3 to 0.4% </w:t>
      </w:r>
      <w:r w:rsidR="005D5795" w:rsidRPr="005E6F23">
        <w:t xml:space="preserve">in the treatment of T1D </w:t>
      </w:r>
      <w:r w:rsidRPr="005E6F23">
        <w:t xml:space="preserve">(para 7.4, Insulin Glargine PSD, July 2015 PBAC meeting). </w:t>
      </w:r>
      <w:r w:rsidR="00374337" w:rsidRPr="005E6F23">
        <w:t>The ESC further noted that a</w:t>
      </w:r>
      <w:r w:rsidR="006C10DC" w:rsidRPr="005E6F23">
        <w:t xml:space="preserve">ll comparisons demonstrated the non-inferiority of insulin degludec to insulin glargine, with an upper limit of the 95% confidence interval </w:t>
      </w:r>
      <w:r w:rsidR="006C10DC" w:rsidRPr="005E6F23">
        <w:rPr>
          <w:rFonts w:cs="Calibri"/>
        </w:rPr>
        <w:t>≤</w:t>
      </w:r>
      <w:r w:rsidR="00C4192D" w:rsidRPr="005E6F23">
        <w:rPr>
          <w:rFonts w:cs="Calibri"/>
        </w:rPr>
        <w:t xml:space="preserve"> </w:t>
      </w:r>
      <w:r w:rsidR="006C10DC" w:rsidRPr="005E6F23">
        <w:t xml:space="preserve">0.4%. </w:t>
      </w:r>
    </w:p>
    <w:p w14:paraId="117FF38B" w14:textId="02B7856D" w:rsidR="006C10DC" w:rsidRPr="005E6F23" w:rsidRDefault="006C10DC" w:rsidP="00E208B7">
      <w:pPr>
        <w:pStyle w:val="COMexecsummnumbered"/>
      </w:pPr>
      <w:r w:rsidRPr="005E6F23">
        <w:t xml:space="preserve">In the </w:t>
      </w:r>
      <w:proofErr w:type="spellStart"/>
      <w:r w:rsidRPr="005E6F23">
        <w:t>HypoDeg</w:t>
      </w:r>
      <w:proofErr w:type="spellEnd"/>
      <w:r w:rsidRPr="005E6F23">
        <w:t xml:space="preserve"> trial, mean baseline HbA1c was 7.8% (± 0.9%). Mean HbA1c for patients treated with insulin degludec was 7.9% (± 0.9%) in the first 9</w:t>
      </w:r>
      <w:r w:rsidR="00C552E4" w:rsidRPr="005E6F23">
        <w:t>-</w:t>
      </w:r>
      <w:r w:rsidRPr="005E6F23">
        <w:t>month treatment period and 7.9% (± 0.9%) in the second 9</w:t>
      </w:r>
      <w:r w:rsidR="009142D4" w:rsidRPr="005E6F23">
        <w:t>-</w:t>
      </w:r>
      <w:r w:rsidRPr="005E6F23">
        <w:t>month crossover maintenance period, with no statistically significant difference compared to patients treated with insulin glargine; HbA1c 7.7% (± 0.9%) 1</w:t>
      </w:r>
      <w:r w:rsidRPr="005E6F23">
        <w:rPr>
          <w:vertAlign w:val="superscript"/>
        </w:rPr>
        <w:t>st</w:t>
      </w:r>
      <w:r w:rsidRPr="005E6F23">
        <w:t xml:space="preserve"> treatment period; 8.0% (± 0.9%) 2</w:t>
      </w:r>
      <w:r w:rsidRPr="005E6F23">
        <w:rPr>
          <w:vertAlign w:val="superscript"/>
        </w:rPr>
        <w:t>nd</w:t>
      </w:r>
      <w:r w:rsidRPr="005E6F23">
        <w:t xml:space="preserve"> treatment period).</w:t>
      </w:r>
    </w:p>
    <w:p w14:paraId="750CCCAC" w14:textId="5911D3EF" w:rsidR="006C10DC" w:rsidRPr="005E6F23" w:rsidRDefault="006C10DC" w:rsidP="00E208B7">
      <w:pPr>
        <w:pStyle w:val="COMexecsummnumbered"/>
      </w:pPr>
      <w:r w:rsidRPr="005E6F23">
        <w:t xml:space="preserve">Studies 3853, 3770, and 1853 assessed the difference between insulin degludec and insulin glargine in the proportions of patients achieving glycaemic targets.  HbA1c response was not reported in the </w:t>
      </w:r>
      <w:proofErr w:type="spellStart"/>
      <w:r w:rsidRPr="005E6F23">
        <w:t>HypoDeg</w:t>
      </w:r>
      <w:proofErr w:type="spellEnd"/>
      <w:r w:rsidRPr="005E6F23">
        <w:t xml:space="preserve"> trial. Larger proportions of patients in Studies 3583 and 3770 treated with insulin glargine achieved a HbA1c &lt;7%, compared </w:t>
      </w:r>
      <w:r w:rsidRPr="005E6F23">
        <w:lastRenderedPageBreak/>
        <w:t xml:space="preserve">to insulin degludec, but the differences were small and not statistically significant. </w:t>
      </w:r>
      <w:r w:rsidR="001718D5" w:rsidRPr="005E6F23">
        <w:t xml:space="preserve">In Study 1835, a larger proportion of patients treated with insulin degludec achieved HbA1c &lt;7% compared to insulin glargine, but the difference between arms was not formally assessed. </w:t>
      </w:r>
    </w:p>
    <w:p w14:paraId="42735E55" w14:textId="77777777" w:rsidR="00146D1B" w:rsidRPr="005E6F23" w:rsidRDefault="00146D1B" w:rsidP="00E208B7">
      <w:pPr>
        <w:pStyle w:val="COMexecsummnumbered"/>
      </w:pPr>
      <w:r w:rsidRPr="005E6F23">
        <w:t>In Studies 3583, 3770 and 1835, mean FPG decreased in all treatment groups over the treatment periods, and differences in FPG between insulin degludec and insulin glargine were small, and not statistically significant (Study 3583 after 52 weeks: FPG -0.33 mmol/L, 95% CI: -1.03; 0.36; Study 3770 after 26 weeks: FPG -0.05 mmol/L, 95% CI: -0.85, 0.76; Study 1835 after 16 weeks: FPG -0.56 mmol/L, 95% CI: -1.84, 0.73).</w:t>
      </w:r>
    </w:p>
    <w:p w14:paraId="2A257196" w14:textId="2FC34C77" w:rsidR="00F21E0C" w:rsidRPr="005E6F23" w:rsidRDefault="00F21E0C" w:rsidP="00E208B7">
      <w:pPr>
        <w:pStyle w:val="COMexecsummnumbered"/>
      </w:pPr>
      <w:r w:rsidRPr="005E6F23">
        <w:t xml:space="preserve">FPG was reported using descriptive statistics only in Study </w:t>
      </w:r>
      <w:r w:rsidR="00884DA1" w:rsidRPr="005E6F23">
        <w:t>3995 and</w:t>
      </w:r>
      <w:r w:rsidRPr="005E6F23">
        <w:t xml:space="preserve"> was not reported in the </w:t>
      </w:r>
      <w:proofErr w:type="spellStart"/>
      <w:r w:rsidRPr="005E6F23">
        <w:t>HypoDeg</w:t>
      </w:r>
      <w:proofErr w:type="spellEnd"/>
      <w:r w:rsidRPr="005E6F23">
        <w:t xml:space="preserve"> trial.</w:t>
      </w:r>
    </w:p>
    <w:p w14:paraId="3BAA435A" w14:textId="188B5A45" w:rsidR="001718D5" w:rsidRPr="004F11AC" w:rsidRDefault="001718D5" w:rsidP="00E208B7">
      <w:pPr>
        <w:pStyle w:val="COMH3"/>
        <w:rPr>
          <w:sz w:val="24"/>
          <w:szCs w:val="22"/>
        </w:rPr>
      </w:pPr>
      <w:r w:rsidRPr="004F11AC">
        <w:rPr>
          <w:sz w:val="24"/>
          <w:szCs w:val="22"/>
        </w:rPr>
        <w:t>Hypoglycaemia</w:t>
      </w:r>
      <w:r w:rsidR="00AB4CC7" w:rsidRPr="004F11AC">
        <w:rPr>
          <w:sz w:val="24"/>
          <w:szCs w:val="22"/>
        </w:rPr>
        <w:t xml:space="preserve"> episodes</w:t>
      </w:r>
    </w:p>
    <w:p w14:paraId="0714DECB" w14:textId="0F1702AB" w:rsidR="006C10DC" w:rsidRPr="004F11AC" w:rsidRDefault="006C10DC" w:rsidP="00E208B7">
      <w:pPr>
        <w:pStyle w:val="COMexecsummnumbered"/>
        <w:spacing w:before="120" w:after="120"/>
      </w:pPr>
      <w:r w:rsidRPr="004F11AC">
        <w:fldChar w:fldCharType="begin"/>
      </w:r>
      <w:r w:rsidRPr="004F11AC">
        <w:instrText xml:space="preserve"> REF _Ref196216726 \h </w:instrText>
      </w:r>
      <w:r w:rsidRPr="004F11AC">
        <w:fldChar w:fldCharType="separate"/>
      </w:r>
      <w:r w:rsidR="00280138" w:rsidRPr="004F11AC">
        <w:t xml:space="preserve">Table </w:t>
      </w:r>
      <w:r w:rsidR="00280138">
        <w:rPr>
          <w:noProof/>
        </w:rPr>
        <w:t>6</w:t>
      </w:r>
      <w:r w:rsidRPr="004F11AC">
        <w:fldChar w:fldCharType="end"/>
      </w:r>
      <w:r w:rsidRPr="004F11AC">
        <w:t xml:space="preserve"> summarises the differences in rates of hypoglycaemia episodes between insulin degludec and insulin glargine in Studies 3853, 3770, 1853, and 3995.</w:t>
      </w:r>
    </w:p>
    <w:p w14:paraId="60841497" w14:textId="40B1A4D3" w:rsidR="000A6A5C" w:rsidRPr="004F11AC" w:rsidRDefault="000A6A5C" w:rsidP="00E208B7">
      <w:pPr>
        <w:pStyle w:val="COMtablefigcaption"/>
        <w:rPr>
          <w:szCs w:val="22"/>
        </w:rPr>
      </w:pPr>
      <w:bookmarkStart w:id="24" w:name="_Ref196216726"/>
      <w:r w:rsidRPr="004F11AC">
        <w:t xml:space="preserve">Table </w:t>
      </w:r>
      <w:r w:rsidR="00D87C74" w:rsidRPr="004F11AC">
        <w:fldChar w:fldCharType="begin"/>
      </w:r>
      <w:r w:rsidR="00D87C74" w:rsidRPr="004F11AC">
        <w:instrText xml:space="preserve"> SEQ Table \* ARABIC </w:instrText>
      </w:r>
      <w:r w:rsidR="00D87C74" w:rsidRPr="004F11AC">
        <w:fldChar w:fldCharType="separate"/>
      </w:r>
      <w:r w:rsidR="00280138">
        <w:rPr>
          <w:noProof/>
        </w:rPr>
        <w:t>6</w:t>
      </w:r>
      <w:r w:rsidR="00D87C74" w:rsidRPr="004F11AC">
        <w:fldChar w:fldCharType="end"/>
      </w:r>
      <w:bookmarkEnd w:id="24"/>
      <w:r w:rsidRPr="004F11AC">
        <w:t>: Difference in rate of hypoglycaemia episodes (Studies 3583, 3770, 1835, 3995; FAS)</w:t>
      </w:r>
    </w:p>
    <w:tbl>
      <w:tblPr>
        <w:tblStyle w:val="TableGrid"/>
        <w:tblW w:w="9082" w:type="dxa"/>
        <w:tblCellMar>
          <w:left w:w="28" w:type="dxa"/>
          <w:right w:w="28" w:type="dxa"/>
        </w:tblCellMar>
        <w:tblLook w:val="04A0" w:firstRow="1" w:lastRow="0" w:firstColumn="1" w:lastColumn="0" w:noHBand="0" w:noVBand="1"/>
        <w:tblCaption w:val="Table 6: Difference in rate of hypoglycaemia episodes (Studies 3583, 3770, 1835, 3995; FAS)"/>
      </w:tblPr>
      <w:tblGrid>
        <w:gridCol w:w="3397"/>
        <w:gridCol w:w="1843"/>
        <w:gridCol w:w="1843"/>
        <w:gridCol w:w="1999"/>
      </w:tblGrid>
      <w:tr w:rsidR="00BA0730" w:rsidRPr="004F11AC" w14:paraId="573A5DEB" w14:textId="77777777">
        <w:tc>
          <w:tcPr>
            <w:tcW w:w="3397" w:type="dxa"/>
            <w:tcBorders>
              <w:top w:val="single" w:sz="4" w:space="0" w:color="auto"/>
              <w:left w:val="single" w:sz="4" w:space="0" w:color="auto"/>
              <w:bottom w:val="single" w:sz="4" w:space="0" w:color="auto"/>
              <w:right w:val="single" w:sz="4" w:space="0" w:color="auto"/>
            </w:tcBorders>
            <w:vAlign w:val="center"/>
            <w:hideMark/>
          </w:tcPr>
          <w:p w14:paraId="4616C776" w14:textId="77777777" w:rsidR="000A6A5C" w:rsidRPr="004F11AC" w:rsidRDefault="000A6A5C" w:rsidP="00E208B7">
            <w:pPr>
              <w:pStyle w:val="COMTableheadingrow"/>
              <w:rPr>
                <w:lang w:val="en-AU"/>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72EED534" w14:textId="77777777" w:rsidR="000A6A5C" w:rsidRPr="004F11AC" w:rsidRDefault="000A6A5C" w:rsidP="00E208B7">
            <w:pPr>
              <w:pStyle w:val="COMTableheadingrow"/>
              <w:jc w:val="center"/>
              <w:rPr>
                <w:lang w:val="en-AU"/>
              </w:rPr>
            </w:pPr>
            <w:proofErr w:type="spellStart"/>
            <w:r w:rsidRPr="004F11AC">
              <w:rPr>
                <w:lang w:val="en-AU"/>
              </w:rPr>
              <w:t>IDeg</w:t>
            </w:r>
            <w:proofErr w:type="spellEnd"/>
            <w:r w:rsidRPr="004F11AC">
              <w:rPr>
                <w:lang w:val="en-AU"/>
              </w:rPr>
              <w:t xml:space="preserve"> </w:t>
            </w:r>
          </w:p>
          <w:p w14:paraId="4F7615D7" w14:textId="77777777" w:rsidR="000A6A5C" w:rsidRPr="004F11AC" w:rsidRDefault="000A6A5C" w:rsidP="00E208B7">
            <w:pPr>
              <w:pStyle w:val="COMTableheadingrow"/>
              <w:jc w:val="center"/>
              <w:rPr>
                <w:lang w:val="en-AU"/>
              </w:rPr>
            </w:pPr>
            <w:r w:rsidRPr="004F11AC">
              <w:rPr>
                <w:lang w:val="en-AU"/>
              </w:rPr>
              <w:t>LSM episodes/100 PY</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030ACF4" w14:textId="77777777" w:rsidR="000A6A5C" w:rsidRPr="004F11AC" w:rsidRDefault="000A6A5C" w:rsidP="00E208B7">
            <w:pPr>
              <w:pStyle w:val="COMTableheadingrow"/>
              <w:jc w:val="center"/>
              <w:rPr>
                <w:lang w:val="en-AU"/>
              </w:rPr>
            </w:pPr>
            <w:proofErr w:type="spellStart"/>
            <w:r w:rsidRPr="004F11AC">
              <w:rPr>
                <w:lang w:val="en-AU"/>
              </w:rPr>
              <w:t>IGlar</w:t>
            </w:r>
            <w:proofErr w:type="spellEnd"/>
            <w:r w:rsidRPr="004F11AC">
              <w:rPr>
                <w:lang w:val="en-AU"/>
              </w:rPr>
              <w:t xml:space="preserve"> </w:t>
            </w:r>
          </w:p>
          <w:p w14:paraId="6667C9EE" w14:textId="77777777" w:rsidR="000A6A5C" w:rsidRPr="004F11AC" w:rsidRDefault="000A6A5C" w:rsidP="00E208B7">
            <w:pPr>
              <w:pStyle w:val="COMTableheadingrow"/>
              <w:jc w:val="center"/>
              <w:rPr>
                <w:lang w:val="en-AU"/>
              </w:rPr>
            </w:pPr>
            <w:r w:rsidRPr="004F11AC">
              <w:rPr>
                <w:lang w:val="en-AU"/>
              </w:rPr>
              <w:t>LSM episodes/100 PY</w:t>
            </w:r>
          </w:p>
        </w:tc>
        <w:tc>
          <w:tcPr>
            <w:tcW w:w="1999" w:type="dxa"/>
            <w:tcBorders>
              <w:top w:val="single" w:sz="4" w:space="0" w:color="auto"/>
              <w:left w:val="single" w:sz="4" w:space="0" w:color="auto"/>
              <w:bottom w:val="single" w:sz="4" w:space="0" w:color="auto"/>
              <w:right w:val="single" w:sz="4" w:space="0" w:color="auto"/>
            </w:tcBorders>
            <w:vAlign w:val="center"/>
          </w:tcPr>
          <w:p w14:paraId="36BA9FA2" w14:textId="77777777" w:rsidR="000A6A5C" w:rsidRPr="004F11AC" w:rsidRDefault="000A6A5C" w:rsidP="00E208B7">
            <w:pPr>
              <w:pStyle w:val="COMTableheadingrow"/>
              <w:jc w:val="center"/>
              <w:rPr>
                <w:lang w:val="en-AU"/>
              </w:rPr>
            </w:pPr>
            <w:proofErr w:type="spellStart"/>
            <w:r w:rsidRPr="004F11AC">
              <w:rPr>
                <w:lang w:val="en-AU"/>
              </w:rPr>
              <w:t>IDeg</w:t>
            </w:r>
            <w:proofErr w:type="spellEnd"/>
            <w:r w:rsidRPr="004F11AC">
              <w:rPr>
                <w:lang w:val="en-AU"/>
              </w:rPr>
              <w:t xml:space="preserve"> vs </w:t>
            </w:r>
            <w:proofErr w:type="spellStart"/>
            <w:r w:rsidRPr="004F11AC">
              <w:rPr>
                <w:lang w:val="en-AU"/>
              </w:rPr>
              <w:t>IGlar</w:t>
            </w:r>
            <w:proofErr w:type="spellEnd"/>
            <w:r w:rsidRPr="004F11AC">
              <w:rPr>
                <w:lang w:val="en-AU"/>
              </w:rPr>
              <w:t xml:space="preserve">, </w:t>
            </w:r>
          </w:p>
          <w:p w14:paraId="308AC87E" w14:textId="77777777" w:rsidR="000A6A5C" w:rsidRPr="004F11AC" w:rsidRDefault="000A6A5C" w:rsidP="00E208B7">
            <w:pPr>
              <w:pStyle w:val="COMTableheadingrow"/>
              <w:jc w:val="center"/>
              <w:rPr>
                <w:lang w:val="en-AU"/>
              </w:rPr>
            </w:pPr>
            <w:r w:rsidRPr="004F11AC">
              <w:rPr>
                <w:lang w:val="en-AU"/>
              </w:rPr>
              <w:t>treatment ratio (95% CI)</w:t>
            </w:r>
          </w:p>
        </w:tc>
      </w:tr>
      <w:tr w:rsidR="00BA0730" w:rsidRPr="004F11AC" w14:paraId="0132065C" w14:textId="77777777">
        <w:tc>
          <w:tcPr>
            <w:tcW w:w="3397" w:type="dxa"/>
            <w:tcBorders>
              <w:top w:val="single" w:sz="4" w:space="0" w:color="auto"/>
              <w:left w:val="single" w:sz="4" w:space="0" w:color="auto"/>
              <w:bottom w:val="single" w:sz="4" w:space="0" w:color="auto"/>
              <w:right w:val="single" w:sz="4" w:space="0" w:color="auto"/>
            </w:tcBorders>
            <w:vAlign w:val="center"/>
          </w:tcPr>
          <w:p w14:paraId="7531D988" w14:textId="77777777" w:rsidR="000A6A5C" w:rsidRPr="004F11AC" w:rsidRDefault="000A6A5C" w:rsidP="00E208B7">
            <w:pPr>
              <w:pStyle w:val="Tabletext0"/>
              <w:keepNext/>
              <w:rPr>
                <w:b/>
                <w:bCs/>
              </w:rPr>
            </w:pPr>
            <w:r w:rsidRPr="004F11AC">
              <w:rPr>
                <w:b/>
                <w:bCs/>
              </w:rPr>
              <w:t>Study 3583 (52 weeks)</w:t>
            </w:r>
          </w:p>
        </w:tc>
        <w:tc>
          <w:tcPr>
            <w:tcW w:w="1843" w:type="dxa"/>
            <w:tcBorders>
              <w:top w:val="single" w:sz="4" w:space="0" w:color="auto"/>
              <w:left w:val="single" w:sz="4" w:space="0" w:color="auto"/>
              <w:bottom w:val="single" w:sz="4" w:space="0" w:color="auto"/>
              <w:right w:val="single" w:sz="4" w:space="0" w:color="auto"/>
            </w:tcBorders>
            <w:vAlign w:val="center"/>
          </w:tcPr>
          <w:p w14:paraId="14733C75" w14:textId="77777777" w:rsidR="000A6A5C" w:rsidRPr="004F11AC" w:rsidRDefault="000A6A5C" w:rsidP="00E208B7">
            <w:pPr>
              <w:pStyle w:val="Tabletext0"/>
              <w:keepNext/>
              <w:jc w:val="center"/>
            </w:pPr>
            <w:r w:rsidRPr="004F11AC">
              <w:t>N=472</w:t>
            </w:r>
          </w:p>
        </w:tc>
        <w:tc>
          <w:tcPr>
            <w:tcW w:w="1843" w:type="dxa"/>
            <w:tcBorders>
              <w:top w:val="single" w:sz="4" w:space="0" w:color="auto"/>
              <w:left w:val="single" w:sz="4" w:space="0" w:color="auto"/>
              <w:bottom w:val="single" w:sz="4" w:space="0" w:color="auto"/>
              <w:right w:val="single" w:sz="4" w:space="0" w:color="auto"/>
            </w:tcBorders>
            <w:vAlign w:val="center"/>
          </w:tcPr>
          <w:p w14:paraId="23E30655" w14:textId="77777777" w:rsidR="000A6A5C" w:rsidRPr="004F11AC" w:rsidRDefault="000A6A5C" w:rsidP="00E208B7">
            <w:pPr>
              <w:pStyle w:val="Tabletext0"/>
              <w:keepNext/>
              <w:jc w:val="center"/>
            </w:pPr>
            <w:r w:rsidRPr="004F11AC">
              <w:t>N=157</w:t>
            </w:r>
          </w:p>
        </w:tc>
        <w:tc>
          <w:tcPr>
            <w:tcW w:w="1999" w:type="dxa"/>
            <w:tcBorders>
              <w:top w:val="single" w:sz="4" w:space="0" w:color="auto"/>
              <w:left w:val="single" w:sz="4" w:space="0" w:color="auto"/>
              <w:bottom w:val="single" w:sz="4" w:space="0" w:color="auto"/>
              <w:right w:val="single" w:sz="4" w:space="0" w:color="auto"/>
            </w:tcBorders>
            <w:vAlign w:val="center"/>
          </w:tcPr>
          <w:p w14:paraId="5776BCB3" w14:textId="77777777" w:rsidR="000A6A5C" w:rsidRPr="004F11AC" w:rsidRDefault="000A6A5C" w:rsidP="00E208B7">
            <w:pPr>
              <w:pStyle w:val="Tabletext0"/>
              <w:keepNext/>
              <w:jc w:val="center"/>
              <w:rPr>
                <w:b/>
                <w:bCs/>
              </w:rPr>
            </w:pPr>
            <w:r w:rsidRPr="004F11AC">
              <w:rPr>
                <w:b/>
                <w:bCs/>
              </w:rPr>
              <w:t>-</w:t>
            </w:r>
          </w:p>
        </w:tc>
      </w:tr>
      <w:tr w:rsidR="00BA0730" w:rsidRPr="004F11AC" w14:paraId="5CCF8ABD" w14:textId="77777777">
        <w:tc>
          <w:tcPr>
            <w:tcW w:w="3397" w:type="dxa"/>
            <w:tcBorders>
              <w:top w:val="nil"/>
              <w:left w:val="single" w:sz="4" w:space="0" w:color="auto"/>
              <w:bottom w:val="single" w:sz="4" w:space="0" w:color="auto"/>
              <w:right w:val="single" w:sz="4" w:space="0" w:color="auto"/>
            </w:tcBorders>
            <w:vAlign w:val="center"/>
            <w:hideMark/>
          </w:tcPr>
          <w:p w14:paraId="772A970A" w14:textId="77777777" w:rsidR="000A6A5C" w:rsidRPr="004F11AC" w:rsidRDefault="000A6A5C" w:rsidP="00E208B7">
            <w:pPr>
              <w:pStyle w:val="Tabletext0"/>
              <w:keepNext/>
            </w:pPr>
            <w:r w:rsidRPr="004F11AC">
              <w:t>Confirmed hypoglycaemia</w:t>
            </w:r>
          </w:p>
        </w:tc>
        <w:tc>
          <w:tcPr>
            <w:tcW w:w="1843" w:type="dxa"/>
            <w:tcBorders>
              <w:top w:val="nil"/>
              <w:left w:val="single" w:sz="4" w:space="0" w:color="auto"/>
              <w:bottom w:val="single" w:sz="4" w:space="0" w:color="auto"/>
              <w:right w:val="single" w:sz="4" w:space="0" w:color="auto"/>
            </w:tcBorders>
            <w:vAlign w:val="center"/>
            <w:hideMark/>
          </w:tcPr>
          <w:p w14:paraId="37F14D80" w14:textId="77777777" w:rsidR="000A6A5C" w:rsidRPr="004F11AC" w:rsidRDefault="000A6A5C" w:rsidP="00E208B7">
            <w:pPr>
              <w:pStyle w:val="Tabletext0"/>
              <w:keepNext/>
              <w:jc w:val="center"/>
            </w:pPr>
            <w:r w:rsidRPr="004F11AC">
              <w:t>4460.12</w:t>
            </w:r>
          </w:p>
        </w:tc>
        <w:tc>
          <w:tcPr>
            <w:tcW w:w="1843" w:type="dxa"/>
            <w:tcBorders>
              <w:top w:val="nil"/>
              <w:left w:val="single" w:sz="4" w:space="0" w:color="auto"/>
              <w:bottom w:val="single" w:sz="4" w:space="0" w:color="auto"/>
              <w:right w:val="single" w:sz="4" w:space="0" w:color="auto"/>
            </w:tcBorders>
            <w:vAlign w:val="center"/>
            <w:hideMark/>
          </w:tcPr>
          <w:p w14:paraId="3F36F80C" w14:textId="77777777" w:rsidR="000A6A5C" w:rsidRPr="004F11AC" w:rsidRDefault="000A6A5C" w:rsidP="00E208B7">
            <w:pPr>
              <w:pStyle w:val="Tabletext0"/>
              <w:keepNext/>
              <w:jc w:val="center"/>
            </w:pPr>
            <w:r w:rsidRPr="004F11AC">
              <w:t>4177.82</w:t>
            </w:r>
          </w:p>
        </w:tc>
        <w:tc>
          <w:tcPr>
            <w:tcW w:w="1999" w:type="dxa"/>
            <w:tcBorders>
              <w:top w:val="single" w:sz="4" w:space="0" w:color="auto"/>
              <w:left w:val="single" w:sz="4" w:space="0" w:color="auto"/>
              <w:right w:val="single" w:sz="4" w:space="0" w:color="auto"/>
            </w:tcBorders>
            <w:vAlign w:val="center"/>
          </w:tcPr>
          <w:p w14:paraId="3AD6C850" w14:textId="77777777" w:rsidR="000A6A5C" w:rsidRPr="004F11AC" w:rsidRDefault="000A6A5C" w:rsidP="00E208B7">
            <w:pPr>
              <w:pStyle w:val="Tabletext0"/>
              <w:keepNext/>
              <w:jc w:val="center"/>
            </w:pPr>
            <w:r w:rsidRPr="004F11AC">
              <w:t>1.07 (0.89, 1.28)</w:t>
            </w:r>
          </w:p>
        </w:tc>
      </w:tr>
      <w:tr w:rsidR="00BA0730" w:rsidRPr="004F11AC" w14:paraId="41C56014" w14:textId="77777777">
        <w:tc>
          <w:tcPr>
            <w:tcW w:w="3397" w:type="dxa"/>
            <w:tcBorders>
              <w:top w:val="single" w:sz="4" w:space="0" w:color="auto"/>
              <w:left w:val="single" w:sz="4" w:space="0" w:color="auto"/>
              <w:bottom w:val="single" w:sz="4" w:space="0" w:color="auto"/>
              <w:right w:val="single" w:sz="4" w:space="0" w:color="auto"/>
            </w:tcBorders>
            <w:vAlign w:val="center"/>
            <w:hideMark/>
          </w:tcPr>
          <w:p w14:paraId="210A6129" w14:textId="77777777" w:rsidR="000A6A5C" w:rsidRPr="004F11AC" w:rsidRDefault="000A6A5C" w:rsidP="00E208B7">
            <w:pPr>
              <w:pStyle w:val="Tabletext0"/>
              <w:keepNext/>
            </w:pPr>
            <w:r w:rsidRPr="004F11AC">
              <w:t>Severe hypoglycaemia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63E15F9" w14:textId="77777777" w:rsidR="000A6A5C" w:rsidRPr="004F11AC" w:rsidRDefault="000A6A5C" w:rsidP="00E208B7">
            <w:pPr>
              <w:pStyle w:val="Tabletext0"/>
              <w:keepNext/>
              <w:jc w:val="center"/>
            </w:pPr>
            <w:r w:rsidRPr="004F11AC">
              <w:t>19.16</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6DDAE26" w14:textId="77777777" w:rsidR="000A6A5C" w:rsidRPr="004F11AC" w:rsidRDefault="000A6A5C" w:rsidP="00E208B7">
            <w:pPr>
              <w:pStyle w:val="Tabletext0"/>
              <w:keepNext/>
              <w:jc w:val="center"/>
            </w:pPr>
            <w:r w:rsidRPr="004F11AC">
              <w:t>13.92</w:t>
            </w:r>
          </w:p>
        </w:tc>
        <w:tc>
          <w:tcPr>
            <w:tcW w:w="1999" w:type="dxa"/>
            <w:tcBorders>
              <w:left w:val="single" w:sz="4" w:space="0" w:color="auto"/>
              <w:bottom w:val="single" w:sz="4" w:space="0" w:color="auto"/>
              <w:right w:val="single" w:sz="4" w:space="0" w:color="auto"/>
            </w:tcBorders>
            <w:vAlign w:val="center"/>
          </w:tcPr>
          <w:p w14:paraId="716EC696" w14:textId="77777777" w:rsidR="000A6A5C" w:rsidRPr="004F11AC" w:rsidRDefault="000A6A5C" w:rsidP="00E208B7">
            <w:pPr>
              <w:pStyle w:val="Tabletext0"/>
              <w:keepNext/>
              <w:jc w:val="center"/>
            </w:pPr>
            <w:r w:rsidRPr="004F11AC">
              <w:t>1.38 (0.72, 2.64)</w:t>
            </w:r>
          </w:p>
        </w:tc>
      </w:tr>
      <w:tr w:rsidR="00BA0730" w:rsidRPr="004F11AC" w14:paraId="0F0C8B8F" w14:textId="77777777">
        <w:tc>
          <w:tcPr>
            <w:tcW w:w="3397" w:type="dxa"/>
            <w:tcBorders>
              <w:top w:val="single" w:sz="4" w:space="0" w:color="auto"/>
              <w:left w:val="single" w:sz="4" w:space="0" w:color="auto"/>
              <w:bottom w:val="single" w:sz="4" w:space="0" w:color="auto"/>
              <w:right w:val="single" w:sz="4" w:space="0" w:color="auto"/>
            </w:tcBorders>
            <w:vAlign w:val="center"/>
          </w:tcPr>
          <w:p w14:paraId="4C03B535" w14:textId="77777777" w:rsidR="000A6A5C" w:rsidRPr="004F11AC" w:rsidRDefault="000A6A5C" w:rsidP="00E208B7">
            <w:pPr>
              <w:pStyle w:val="Tabletext0"/>
              <w:keepNext/>
            </w:pPr>
            <w:r w:rsidRPr="004F11AC">
              <w:t>Confirmed nocturnal hypoglycaemia</w:t>
            </w:r>
          </w:p>
        </w:tc>
        <w:tc>
          <w:tcPr>
            <w:tcW w:w="1843" w:type="dxa"/>
            <w:tcBorders>
              <w:top w:val="single" w:sz="4" w:space="0" w:color="auto"/>
              <w:left w:val="single" w:sz="4" w:space="0" w:color="auto"/>
              <w:bottom w:val="single" w:sz="4" w:space="0" w:color="auto"/>
              <w:right w:val="single" w:sz="4" w:space="0" w:color="auto"/>
            </w:tcBorders>
            <w:vAlign w:val="center"/>
          </w:tcPr>
          <w:p w14:paraId="454B9935" w14:textId="77777777" w:rsidR="000A6A5C" w:rsidRPr="004F11AC" w:rsidRDefault="000A6A5C" w:rsidP="00E208B7">
            <w:pPr>
              <w:pStyle w:val="Tabletext0"/>
              <w:keepNext/>
              <w:jc w:val="center"/>
            </w:pPr>
            <w:r w:rsidRPr="004F11AC">
              <w:t>413.66</w:t>
            </w:r>
          </w:p>
        </w:tc>
        <w:tc>
          <w:tcPr>
            <w:tcW w:w="1843" w:type="dxa"/>
            <w:tcBorders>
              <w:top w:val="single" w:sz="4" w:space="0" w:color="auto"/>
              <w:left w:val="single" w:sz="4" w:space="0" w:color="auto"/>
              <w:bottom w:val="single" w:sz="4" w:space="0" w:color="auto"/>
              <w:right w:val="single" w:sz="4" w:space="0" w:color="auto"/>
            </w:tcBorders>
            <w:vAlign w:val="center"/>
          </w:tcPr>
          <w:p w14:paraId="00414FC3" w14:textId="77777777" w:rsidR="000A6A5C" w:rsidRPr="004F11AC" w:rsidRDefault="000A6A5C" w:rsidP="00E208B7">
            <w:pPr>
              <w:pStyle w:val="Tabletext0"/>
              <w:keepNext/>
              <w:jc w:val="center"/>
            </w:pPr>
            <w:r w:rsidRPr="004F11AC">
              <w:t>548.20</w:t>
            </w:r>
          </w:p>
        </w:tc>
        <w:tc>
          <w:tcPr>
            <w:tcW w:w="1999" w:type="dxa"/>
            <w:tcBorders>
              <w:left w:val="single" w:sz="4" w:space="0" w:color="auto"/>
              <w:bottom w:val="single" w:sz="4" w:space="0" w:color="auto"/>
              <w:right w:val="single" w:sz="4" w:space="0" w:color="auto"/>
            </w:tcBorders>
            <w:vAlign w:val="center"/>
          </w:tcPr>
          <w:p w14:paraId="649DA695" w14:textId="77777777" w:rsidR="000A6A5C" w:rsidRPr="004F11AC" w:rsidRDefault="000A6A5C" w:rsidP="00E208B7">
            <w:pPr>
              <w:pStyle w:val="Tabletext0"/>
              <w:keepNext/>
              <w:jc w:val="center"/>
            </w:pPr>
            <w:r w:rsidRPr="004F11AC">
              <w:t>0.75 (0.59, 0.96)</w:t>
            </w:r>
          </w:p>
        </w:tc>
      </w:tr>
      <w:tr w:rsidR="00BA0730" w:rsidRPr="004F11AC" w14:paraId="6B8326E0" w14:textId="77777777">
        <w:tc>
          <w:tcPr>
            <w:tcW w:w="3397" w:type="dxa"/>
            <w:tcBorders>
              <w:top w:val="single" w:sz="4" w:space="0" w:color="auto"/>
              <w:left w:val="single" w:sz="4" w:space="0" w:color="auto"/>
              <w:bottom w:val="single" w:sz="4" w:space="0" w:color="auto"/>
              <w:right w:val="single" w:sz="4" w:space="0" w:color="auto"/>
            </w:tcBorders>
            <w:vAlign w:val="center"/>
          </w:tcPr>
          <w:p w14:paraId="6F529E40" w14:textId="77777777" w:rsidR="000A6A5C" w:rsidRPr="004F11AC" w:rsidRDefault="000A6A5C" w:rsidP="00E208B7">
            <w:pPr>
              <w:pStyle w:val="Tabletext0"/>
              <w:keepNext/>
            </w:pPr>
            <w:r w:rsidRPr="004F11AC">
              <w:rPr>
                <w:b/>
                <w:bCs/>
              </w:rPr>
              <w:t>Study 3770 (26 weeks)</w:t>
            </w:r>
            <w:r w:rsidRPr="004F11AC">
              <w:t xml:space="preserve"> </w:t>
            </w:r>
            <w:proofErr w:type="spellStart"/>
            <w:r w:rsidRPr="004F11AC">
              <w:t>IDeg</w:t>
            </w:r>
            <w:proofErr w:type="spellEnd"/>
            <w:r w:rsidRPr="004F11AC">
              <w:t xml:space="preserve"> OD FF</w:t>
            </w:r>
          </w:p>
        </w:tc>
        <w:tc>
          <w:tcPr>
            <w:tcW w:w="1843" w:type="dxa"/>
            <w:tcBorders>
              <w:top w:val="single" w:sz="4" w:space="0" w:color="auto"/>
              <w:left w:val="single" w:sz="4" w:space="0" w:color="auto"/>
              <w:bottom w:val="single" w:sz="4" w:space="0" w:color="auto"/>
              <w:right w:val="single" w:sz="4" w:space="0" w:color="auto"/>
            </w:tcBorders>
            <w:vAlign w:val="center"/>
          </w:tcPr>
          <w:p w14:paraId="4F8DEB05" w14:textId="77777777" w:rsidR="000A6A5C" w:rsidRPr="004F11AC" w:rsidRDefault="000A6A5C" w:rsidP="00E208B7">
            <w:pPr>
              <w:pStyle w:val="Tabletext0"/>
              <w:keepNext/>
              <w:jc w:val="center"/>
            </w:pPr>
            <w:r w:rsidRPr="004F11AC">
              <w:t>N=164</w:t>
            </w:r>
          </w:p>
        </w:tc>
        <w:tc>
          <w:tcPr>
            <w:tcW w:w="1843" w:type="dxa"/>
            <w:tcBorders>
              <w:top w:val="single" w:sz="4" w:space="0" w:color="auto"/>
              <w:left w:val="single" w:sz="4" w:space="0" w:color="auto"/>
              <w:bottom w:val="single" w:sz="4" w:space="0" w:color="auto"/>
              <w:right w:val="single" w:sz="4" w:space="0" w:color="auto"/>
            </w:tcBorders>
            <w:vAlign w:val="center"/>
          </w:tcPr>
          <w:p w14:paraId="127DFCB4" w14:textId="77777777" w:rsidR="000A6A5C" w:rsidRPr="004F11AC" w:rsidRDefault="000A6A5C" w:rsidP="00E208B7">
            <w:pPr>
              <w:pStyle w:val="Tabletext0"/>
              <w:keepNext/>
              <w:jc w:val="center"/>
            </w:pPr>
            <w:r w:rsidRPr="004F11AC">
              <w:t>N=164</w:t>
            </w:r>
          </w:p>
        </w:tc>
        <w:tc>
          <w:tcPr>
            <w:tcW w:w="1999" w:type="dxa"/>
            <w:tcBorders>
              <w:top w:val="single" w:sz="4" w:space="0" w:color="auto"/>
              <w:left w:val="single" w:sz="4" w:space="0" w:color="auto"/>
              <w:bottom w:val="single" w:sz="4" w:space="0" w:color="auto"/>
              <w:right w:val="single" w:sz="4" w:space="0" w:color="auto"/>
            </w:tcBorders>
            <w:vAlign w:val="center"/>
          </w:tcPr>
          <w:p w14:paraId="06544FB9" w14:textId="65AE33E9" w:rsidR="000A6A5C" w:rsidRPr="004F11AC" w:rsidRDefault="00887FEE" w:rsidP="00E208B7">
            <w:pPr>
              <w:pStyle w:val="Tabletext0"/>
              <w:keepNext/>
              <w:jc w:val="center"/>
              <w:rPr>
                <w:b/>
                <w:bCs/>
              </w:rPr>
            </w:pPr>
            <w:r w:rsidRPr="004F11AC">
              <w:rPr>
                <w:b/>
                <w:bCs/>
              </w:rPr>
              <w:t>-</w:t>
            </w:r>
          </w:p>
        </w:tc>
      </w:tr>
      <w:tr w:rsidR="00BA0730" w:rsidRPr="004F11AC" w14:paraId="55EE4541" w14:textId="77777777">
        <w:tc>
          <w:tcPr>
            <w:tcW w:w="3397" w:type="dxa"/>
            <w:tcBorders>
              <w:top w:val="nil"/>
              <w:left w:val="single" w:sz="4" w:space="0" w:color="auto"/>
              <w:bottom w:val="single" w:sz="4" w:space="0" w:color="auto"/>
              <w:right w:val="single" w:sz="4" w:space="0" w:color="auto"/>
            </w:tcBorders>
            <w:hideMark/>
          </w:tcPr>
          <w:p w14:paraId="217741D5" w14:textId="77777777" w:rsidR="000A6A5C" w:rsidRPr="004F11AC" w:rsidRDefault="000A6A5C" w:rsidP="00E208B7">
            <w:pPr>
              <w:pStyle w:val="Tabletext0"/>
              <w:keepNext/>
            </w:pPr>
            <w:r w:rsidRPr="004F11AC">
              <w:t>Confirmed hypoglycaemia</w:t>
            </w:r>
          </w:p>
        </w:tc>
        <w:tc>
          <w:tcPr>
            <w:tcW w:w="1843" w:type="dxa"/>
            <w:tcBorders>
              <w:top w:val="nil"/>
              <w:left w:val="single" w:sz="4" w:space="0" w:color="auto"/>
              <w:bottom w:val="single" w:sz="4" w:space="0" w:color="auto"/>
              <w:right w:val="single" w:sz="4" w:space="0" w:color="auto"/>
            </w:tcBorders>
            <w:vAlign w:val="center"/>
            <w:hideMark/>
          </w:tcPr>
          <w:p w14:paraId="772555ED" w14:textId="77777777" w:rsidR="000A6A5C" w:rsidRPr="004F11AC" w:rsidRDefault="000A6A5C" w:rsidP="00E208B7">
            <w:pPr>
              <w:pStyle w:val="Tabletext0"/>
              <w:keepNext/>
              <w:jc w:val="center"/>
            </w:pPr>
            <w:r w:rsidRPr="004F11AC">
              <w:t>7954.68</w:t>
            </w:r>
          </w:p>
        </w:tc>
        <w:tc>
          <w:tcPr>
            <w:tcW w:w="1843" w:type="dxa"/>
            <w:tcBorders>
              <w:top w:val="nil"/>
              <w:left w:val="single" w:sz="4" w:space="0" w:color="auto"/>
              <w:bottom w:val="single" w:sz="4" w:space="0" w:color="auto"/>
              <w:right w:val="single" w:sz="4" w:space="0" w:color="auto"/>
            </w:tcBorders>
            <w:vAlign w:val="center"/>
            <w:hideMark/>
          </w:tcPr>
          <w:p w14:paraId="6E5E6539" w14:textId="77777777" w:rsidR="000A6A5C" w:rsidRPr="004F11AC" w:rsidRDefault="000A6A5C" w:rsidP="00E208B7">
            <w:pPr>
              <w:pStyle w:val="Tabletext0"/>
              <w:keepNext/>
              <w:jc w:val="center"/>
            </w:pPr>
            <w:r w:rsidRPr="004F11AC">
              <w:t>7709.88</w:t>
            </w:r>
          </w:p>
        </w:tc>
        <w:tc>
          <w:tcPr>
            <w:tcW w:w="1999" w:type="dxa"/>
            <w:tcBorders>
              <w:top w:val="single" w:sz="4" w:space="0" w:color="auto"/>
              <w:left w:val="single" w:sz="4" w:space="0" w:color="auto"/>
              <w:right w:val="single" w:sz="4" w:space="0" w:color="auto"/>
            </w:tcBorders>
            <w:vAlign w:val="center"/>
          </w:tcPr>
          <w:p w14:paraId="365E2CED" w14:textId="77777777" w:rsidR="000A6A5C" w:rsidRPr="004F11AC" w:rsidRDefault="000A6A5C" w:rsidP="00E208B7">
            <w:pPr>
              <w:pStyle w:val="Tabletext0"/>
              <w:keepNext/>
              <w:jc w:val="center"/>
            </w:pPr>
            <w:r w:rsidRPr="004F11AC">
              <w:t>1.03 (0.85, 1.26)</w:t>
            </w:r>
          </w:p>
        </w:tc>
      </w:tr>
      <w:tr w:rsidR="00BA0730" w:rsidRPr="004F11AC" w14:paraId="77F15603" w14:textId="77777777">
        <w:tc>
          <w:tcPr>
            <w:tcW w:w="3397" w:type="dxa"/>
            <w:tcBorders>
              <w:top w:val="single" w:sz="4" w:space="0" w:color="auto"/>
              <w:left w:val="single" w:sz="4" w:space="0" w:color="auto"/>
              <w:bottom w:val="single" w:sz="4" w:space="0" w:color="auto"/>
              <w:right w:val="single" w:sz="4" w:space="0" w:color="auto"/>
            </w:tcBorders>
            <w:hideMark/>
          </w:tcPr>
          <w:p w14:paraId="30E3C18E" w14:textId="77777777" w:rsidR="000A6A5C" w:rsidRPr="004F11AC" w:rsidRDefault="000A6A5C" w:rsidP="00E208B7">
            <w:pPr>
              <w:pStyle w:val="Tabletext0"/>
              <w:keepNext/>
            </w:pPr>
            <w:r w:rsidRPr="004F11AC">
              <w:t>Severe hypoglycaemia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C85307D" w14:textId="77777777" w:rsidR="000A6A5C" w:rsidRPr="004F11AC" w:rsidRDefault="000A6A5C" w:rsidP="00E208B7">
            <w:pPr>
              <w:pStyle w:val="Tabletext0"/>
              <w:keepNext/>
              <w:jc w:val="center"/>
            </w:pPr>
            <w:r w:rsidRPr="004F11AC">
              <w:t>33.53</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CA20554" w14:textId="77777777" w:rsidR="000A6A5C" w:rsidRPr="004F11AC" w:rsidRDefault="000A6A5C" w:rsidP="00E208B7">
            <w:pPr>
              <w:pStyle w:val="Tabletext0"/>
              <w:keepNext/>
              <w:jc w:val="center"/>
            </w:pPr>
            <w:r w:rsidRPr="004F11AC">
              <w:t>37.79</w:t>
            </w:r>
          </w:p>
        </w:tc>
        <w:tc>
          <w:tcPr>
            <w:tcW w:w="1999" w:type="dxa"/>
            <w:tcBorders>
              <w:left w:val="single" w:sz="4" w:space="0" w:color="auto"/>
              <w:bottom w:val="single" w:sz="4" w:space="0" w:color="auto"/>
              <w:right w:val="single" w:sz="4" w:space="0" w:color="auto"/>
            </w:tcBorders>
            <w:vAlign w:val="center"/>
          </w:tcPr>
          <w:p w14:paraId="3EB319CB" w14:textId="77777777" w:rsidR="000A6A5C" w:rsidRPr="004F11AC" w:rsidRDefault="000A6A5C" w:rsidP="00E208B7">
            <w:pPr>
              <w:pStyle w:val="Tabletext0"/>
              <w:keepNext/>
              <w:jc w:val="center"/>
            </w:pPr>
            <w:r w:rsidRPr="004F11AC">
              <w:t>0.89 (0.40, 1.99)</w:t>
            </w:r>
          </w:p>
        </w:tc>
      </w:tr>
      <w:tr w:rsidR="00BA0730" w:rsidRPr="004F11AC" w14:paraId="12F004DE" w14:textId="77777777">
        <w:tc>
          <w:tcPr>
            <w:tcW w:w="3397" w:type="dxa"/>
            <w:tcBorders>
              <w:top w:val="single" w:sz="4" w:space="0" w:color="auto"/>
              <w:left w:val="single" w:sz="4" w:space="0" w:color="auto"/>
              <w:bottom w:val="single" w:sz="4" w:space="0" w:color="auto"/>
              <w:right w:val="single" w:sz="4" w:space="0" w:color="auto"/>
            </w:tcBorders>
          </w:tcPr>
          <w:p w14:paraId="007DA60F" w14:textId="77777777" w:rsidR="000A6A5C" w:rsidRPr="004F11AC" w:rsidRDefault="000A6A5C" w:rsidP="00E208B7">
            <w:pPr>
              <w:pStyle w:val="Tabletext0"/>
              <w:keepNext/>
            </w:pPr>
            <w:r w:rsidRPr="004F11AC">
              <w:t>Confirmed nocturnal hypoglycaemia</w:t>
            </w:r>
          </w:p>
        </w:tc>
        <w:tc>
          <w:tcPr>
            <w:tcW w:w="1843" w:type="dxa"/>
            <w:tcBorders>
              <w:top w:val="single" w:sz="4" w:space="0" w:color="auto"/>
              <w:left w:val="single" w:sz="4" w:space="0" w:color="auto"/>
              <w:bottom w:val="single" w:sz="4" w:space="0" w:color="auto"/>
              <w:right w:val="single" w:sz="4" w:space="0" w:color="auto"/>
            </w:tcBorders>
            <w:vAlign w:val="center"/>
          </w:tcPr>
          <w:p w14:paraId="6F582F64" w14:textId="77777777" w:rsidR="000A6A5C" w:rsidRPr="004F11AC" w:rsidRDefault="000A6A5C" w:rsidP="00E208B7">
            <w:pPr>
              <w:pStyle w:val="Tabletext0"/>
              <w:keepNext/>
              <w:jc w:val="center"/>
            </w:pPr>
            <w:r w:rsidRPr="004F11AC">
              <w:t>598.70</w:t>
            </w:r>
          </w:p>
        </w:tc>
        <w:tc>
          <w:tcPr>
            <w:tcW w:w="1843" w:type="dxa"/>
            <w:tcBorders>
              <w:top w:val="single" w:sz="4" w:space="0" w:color="auto"/>
              <w:left w:val="single" w:sz="4" w:space="0" w:color="auto"/>
              <w:bottom w:val="single" w:sz="4" w:space="0" w:color="auto"/>
              <w:right w:val="single" w:sz="4" w:space="0" w:color="auto"/>
            </w:tcBorders>
            <w:vAlign w:val="center"/>
          </w:tcPr>
          <w:p w14:paraId="251EF409" w14:textId="77777777" w:rsidR="000A6A5C" w:rsidRPr="004F11AC" w:rsidRDefault="000A6A5C" w:rsidP="00E208B7">
            <w:pPr>
              <w:pStyle w:val="Tabletext0"/>
              <w:keepNext/>
              <w:jc w:val="center"/>
            </w:pPr>
            <w:r w:rsidRPr="004F11AC">
              <w:t>990.67</w:t>
            </w:r>
          </w:p>
        </w:tc>
        <w:tc>
          <w:tcPr>
            <w:tcW w:w="1999" w:type="dxa"/>
            <w:tcBorders>
              <w:top w:val="single" w:sz="4" w:space="0" w:color="auto"/>
              <w:left w:val="single" w:sz="4" w:space="0" w:color="auto"/>
              <w:bottom w:val="nil"/>
              <w:right w:val="single" w:sz="4" w:space="0" w:color="auto"/>
            </w:tcBorders>
            <w:vAlign w:val="center"/>
          </w:tcPr>
          <w:p w14:paraId="2F84C115" w14:textId="77777777" w:rsidR="000A6A5C" w:rsidRPr="004F11AC" w:rsidRDefault="000A6A5C" w:rsidP="00E208B7">
            <w:pPr>
              <w:pStyle w:val="Tabletext0"/>
              <w:keepNext/>
              <w:jc w:val="center"/>
            </w:pPr>
            <w:r w:rsidRPr="004F11AC">
              <w:t>0.60 (0.44, 0.82)</w:t>
            </w:r>
          </w:p>
        </w:tc>
      </w:tr>
      <w:tr w:rsidR="00BA0730" w:rsidRPr="004F11AC" w14:paraId="764A1C91" w14:textId="77777777">
        <w:tc>
          <w:tcPr>
            <w:tcW w:w="3397" w:type="dxa"/>
            <w:tcBorders>
              <w:top w:val="single" w:sz="4" w:space="0" w:color="auto"/>
              <w:left w:val="single" w:sz="4" w:space="0" w:color="auto"/>
              <w:bottom w:val="single" w:sz="4" w:space="0" w:color="auto"/>
              <w:right w:val="single" w:sz="4" w:space="0" w:color="auto"/>
            </w:tcBorders>
          </w:tcPr>
          <w:p w14:paraId="1CF78201" w14:textId="77777777" w:rsidR="000A6A5C" w:rsidRPr="004F11AC" w:rsidRDefault="000A6A5C" w:rsidP="00E208B7">
            <w:pPr>
              <w:pStyle w:val="Tabletext0"/>
              <w:keepNext/>
              <w:rPr>
                <w:vertAlign w:val="superscript"/>
              </w:rPr>
            </w:pPr>
            <w:r w:rsidRPr="004F11AC">
              <w:rPr>
                <w:b/>
                <w:bCs/>
              </w:rPr>
              <w:t>Study 3770 (26 weeks)</w:t>
            </w:r>
            <w:r w:rsidRPr="004F11AC">
              <w:t xml:space="preserve"> </w:t>
            </w:r>
            <w:proofErr w:type="spellStart"/>
            <w:r w:rsidRPr="004F11AC">
              <w:t>IDeg</w:t>
            </w:r>
            <w:proofErr w:type="spellEnd"/>
            <w:r w:rsidRPr="004F11AC">
              <w:t xml:space="preserve"> </w:t>
            </w:r>
            <w:proofErr w:type="spellStart"/>
            <w:r w:rsidRPr="004F11AC">
              <w:t>OD</w:t>
            </w:r>
            <w:r w:rsidRPr="004F11AC">
              <w:rPr>
                <w:vertAlign w:val="superscript"/>
              </w:rPr>
              <w:t>a</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5E433388" w14:textId="77777777" w:rsidR="000A6A5C" w:rsidRPr="004F11AC" w:rsidRDefault="000A6A5C" w:rsidP="00E208B7">
            <w:pPr>
              <w:pStyle w:val="Tabletext0"/>
              <w:keepNext/>
              <w:jc w:val="center"/>
            </w:pPr>
            <w:r w:rsidRPr="004F11AC">
              <w:t>N=165</w:t>
            </w:r>
          </w:p>
        </w:tc>
        <w:tc>
          <w:tcPr>
            <w:tcW w:w="1843" w:type="dxa"/>
            <w:tcBorders>
              <w:top w:val="single" w:sz="4" w:space="0" w:color="auto"/>
              <w:left w:val="single" w:sz="4" w:space="0" w:color="auto"/>
              <w:right w:val="single" w:sz="4" w:space="0" w:color="auto"/>
            </w:tcBorders>
            <w:vAlign w:val="center"/>
          </w:tcPr>
          <w:p w14:paraId="531CDA12" w14:textId="77777777" w:rsidR="000A6A5C" w:rsidRPr="004F11AC" w:rsidRDefault="000A6A5C" w:rsidP="00E208B7">
            <w:pPr>
              <w:pStyle w:val="Tabletext0"/>
              <w:keepNext/>
              <w:jc w:val="center"/>
              <w:rPr>
                <w:vertAlign w:val="superscript"/>
              </w:rPr>
            </w:pPr>
            <w:r w:rsidRPr="004F11AC">
              <w:t>N=164</w:t>
            </w:r>
          </w:p>
        </w:tc>
        <w:tc>
          <w:tcPr>
            <w:tcW w:w="1999" w:type="dxa"/>
            <w:tcBorders>
              <w:top w:val="single" w:sz="4" w:space="0" w:color="auto"/>
              <w:left w:val="single" w:sz="4" w:space="0" w:color="auto"/>
              <w:right w:val="single" w:sz="4" w:space="0" w:color="auto"/>
            </w:tcBorders>
            <w:vAlign w:val="center"/>
          </w:tcPr>
          <w:p w14:paraId="14E6D370" w14:textId="77777777" w:rsidR="000A6A5C" w:rsidRPr="004F11AC" w:rsidRDefault="000A6A5C" w:rsidP="00E208B7">
            <w:pPr>
              <w:pStyle w:val="Tabletext0"/>
              <w:keepNext/>
              <w:jc w:val="center"/>
              <w:rPr>
                <w:vertAlign w:val="superscript"/>
              </w:rPr>
            </w:pPr>
            <w:r w:rsidRPr="004F11AC">
              <w:rPr>
                <w:vertAlign w:val="superscript"/>
              </w:rPr>
              <w:t>-</w:t>
            </w:r>
          </w:p>
        </w:tc>
      </w:tr>
      <w:tr w:rsidR="00BA0730" w:rsidRPr="004F11AC" w14:paraId="05CEFB88" w14:textId="77777777">
        <w:tc>
          <w:tcPr>
            <w:tcW w:w="3397" w:type="dxa"/>
            <w:tcBorders>
              <w:top w:val="single" w:sz="4" w:space="0" w:color="auto"/>
              <w:left w:val="single" w:sz="4" w:space="0" w:color="auto"/>
              <w:bottom w:val="single" w:sz="4" w:space="0" w:color="auto"/>
              <w:right w:val="single" w:sz="4" w:space="0" w:color="auto"/>
            </w:tcBorders>
          </w:tcPr>
          <w:p w14:paraId="1436DF50" w14:textId="77777777" w:rsidR="000A6A5C" w:rsidRPr="004F11AC" w:rsidRDefault="000A6A5C" w:rsidP="00E208B7">
            <w:pPr>
              <w:pStyle w:val="Tabletext0"/>
              <w:keepNext/>
            </w:pPr>
            <w:r w:rsidRPr="004F11AC">
              <w:t>Confirmed hypoglycaemia</w:t>
            </w:r>
          </w:p>
        </w:tc>
        <w:tc>
          <w:tcPr>
            <w:tcW w:w="1843" w:type="dxa"/>
            <w:tcBorders>
              <w:top w:val="single" w:sz="4" w:space="0" w:color="auto"/>
              <w:left w:val="single" w:sz="4" w:space="0" w:color="auto"/>
              <w:bottom w:val="single" w:sz="4" w:space="0" w:color="auto"/>
              <w:right w:val="single" w:sz="4" w:space="0" w:color="auto"/>
            </w:tcBorders>
            <w:vAlign w:val="center"/>
          </w:tcPr>
          <w:p w14:paraId="1821C4A0" w14:textId="77777777" w:rsidR="000A6A5C" w:rsidRPr="004F11AC" w:rsidRDefault="000A6A5C" w:rsidP="00E208B7">
            <w:pPr>
              <w:pStyle w:val="Tabletext0"/>
              <w:keepNext/>
              <w:jc w:val="center"/>
            </w:pPr>
            <w:r w:rsidRPr="004F11AC">
              <w:t>8629.14</w:t>
            </w:r>
          </w:p>
        </w:tc>
        <w:tc>
          <w:tcPr>
            <w:tcW w:w="1843" w:type="dxa"/>
            <w:tcBorders>
              <w:left w:val="single" w:sz="4" w:space="0" w:color="auto"/>
              <w:right w:val="single" w:sz="4" w:space="0" w:color="auto"/>
            </w:tcBorders>
            <w:vAlign w:val="center"/>
          </w:tcPr>
          <w:p w14:paraId="6280E951" w14:textId="77777777" w:rsidR="000A6A5C" w:rsidRPr="004F11AC" w:rsidRDefault="000A6A5C" w:rsidP="00E208B7">
            <w:pPr>
              <w:pStyle w:val="Tabletext0"/>
              <w:keepNext/>
              <w:jc w:val="center"/>
            </w:pPr>
            <w:r w:rsidRPr="004F11AC">
              <w:t>7709.88</w:t>
            </w:r>
          </w:p>
        </w:tc>
        <w:tc>
          <w:tcPr>
            <w:tcW w:w="1999" w:type="dxa"/>
            <w:vMerge w:val="restart"/>
            <w:tcBorders>
              <w:left w:val="single" w:sz="4" w:space="0" w:color="auto"/>
              <w:right w:val="single" w:sz="4" w:space="0" w:color="auto"/>
            </w:tcBorders>
            <w:vAlign w:val="center"/>
          </w:tcPr>
          <w:p w14:paraId="0683B54D" w14:textId="77777777" w:rsidR="000A6A5C" w:rsidRPr="004F11AC" w:rsidRDefault="000A6A5C" w:rsidP="00E208B7">
            <w:pPr>
              <w:pStyle w:val="Tabletext0"/>
              <w:keepNext/>
              <w:jc w:val="center"/>
            </w:pPr>
            <w:proofErr w:type="spellStart"/>
            <w:r w:rsidRPr="004F11AC">
              <w:t>NR</w:t>
            </w:r>
            <w:r w:rsidRPr="004F11AC">
              <w:rPr>
                <w:vertAlign w:val="superscript"/>
              </w:rPr>
              <w:t>a</w:t>
            </w:r>
            <w:proofErr w:type="spellEnd"/>
          </w:p>
        </w:tc>
      </w:tr>
      <w:tr w:rsidR="00BA0730" w:rsidRPr="004F11AC" w14:paraId="3AFCA75D" w14:textId="77777777">
        <w:tc>
          <w:tcPr>
            <w:tcW w:w="3397" w:type="dxa"/>
            <w:tcBorders>
              <w:top w:val="single" w:sz="4" w:space="0" w:color="auto"/>
              <w:left w:val="single" w:sz="4" w:space="0" w:color="auto"/>
              <w:bottom w:val="single" w:sz="4" w:space="0" w:color="auto"/>
              <w:right w:val="single" w:sz="4" w:space="0" w:color="auto"/>
            </w:tcBorders>
            <w:hideMark/>
          </w:tcPr>
          <w:p w14:paraId="7094387E" w14:textId="77777777" w:rsidR="000A6A5C" w:rsidRPr="004F11AC" w:rsidRDefault="000A6A5C" w:rsidP="00E208B7">
            <w:pPr>
              <w:pStyle w:val="Tabletext0"/>
              <w:keepNext/>
            </w:pPr>
            <w:r w:rsidRPr="004F11AC">
              <w:t>Severe hypoglycaemia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1481A6F" w14:textId="77777777" w:rsidR="000A6A5C" w:rsidRPr="004F11AC" w:rsidRDefault="000A6A5C" w:rsidP="00E208B7">
            <w:pPr>
              <w:pStyle w:val="Tabletext0"/>
              <w:keepNext/>
              <w:jc w:val="center"/>
            </w:pPr>
            <w:r w:rsidRPr="004F11AC">
              <w:t>30.84</w:t>
            </w:r>
          </w:p>
        </w:tc>
        <w:tc>
          <w:tcPr>
            <w:tcW w:w="1843" w:type="dxa"/>
            <w:tcBorders>
              <w:left w:val="single" w:sz="4" w:space="0" w:color="auto"/>
              <w:right w:val="single" w:sz="4" w:space="0" w:color="auto"/>
            </w:tcBorders>
            <w:vAlign w:val="center"/>
          </w:tcPr>
          <w:p w14:paraId="462AD417" w14:textId="77777777" w:rsidR="000A6A5C" w:rsidRPr="004F11AC" w:rsidRDefault="000A6A5C" w:rsidP="00E208B7">
            <w:pPr>
              <w:pStyle w:val="Tabletext0"/>
              <w:keepNext/>
              <w:jc w:val="center"/>
            </w:pPr>
            <w:r w:rsidRPr="004F11AC">
              <w:t>37.79</w:t>
            </w:r>
          </w:p>
        </w:tc>
        <w:tc>
          <w:tcPr>
            <w:tcW w:w="1999" w:type="dxa"/>
            <w:vMerge/>
            <w:tcBorders>
              <w:left w:val="single" w:sz="4" w:space="0" w:color="auto"/>
              <w:right w:val="single" w:sz="4" w:space="0" w:color="auto"/>
            </w:tcBorders>
            <w:vAlign w:val="center"/>
          </w:tcPr>
          <w:p w14:paraId="74173FEF" w14:textId="77777777" w:rsidR="000A6A5C" w:rsidRPr="004F11AC" w:rsidRDefault="000A6A5C" w:rsidP="00E208B7">
            <w:pPr>
              <w:pStyle w:val="Tabletext0"/>
              <w:keepNext/>
              <w:jc w:val="center"/>
            </w:pPr>
          </w:p>
        </w:tc>
      </w:tr>
      <w:tr w:rsidR="00BA0730" w:rsidRPr="004F11AC" w14:paraId="73054708" w14:textId="77777777">
        <w:tc>
          <w:tcPr>
            <w:tcW w:w="3397" w:type="dxa"/>
            <w:tcBorders>
              <w:top w:val="single" w:sz="4" w:space="0" w:color="auto"/>
              <w:left w:val="single" w:sz="4" w:space="0" w:color="auto"/>
              <w:bottom w:val="single" w:sz="4" w:space="0" w:color="auto"/>
              <w:right w:val="single" w:sz="4" w:space="0" w:color="auto"/>
            </w:tcBorders>
            <w:hideMark/>
          </w:tcPr>
          <w:p w14:paraId="09AD7839" w14:textId="77777777" w:rsidR="000A6A5C" w:rsidRPr="004F11AC" w:rsidRDefault="000A6A5C" w:rsidP="00E208B7">
            <w:pPr>
              <w:pStyle w:val="Tabletext0"/>
              <w:keepNext/>
            </w:pPr>
            <w:r w:rsidRPr="004F11AC">
              <w:t>Confirmed nocturnal hypoglycaemia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EE9E996" w14:textId="77777777" w:rsidR="000A6A5C" w:rsidRPr="004F11AC" w:rsidRDefault="000A6A5C" w:rsidP="00E208B7">
            <w:pPr>
              <w:pStyle w:val="Tabletext0"/>
              <w:keepNext/>
              <w:jc w:val="center"/>
            </w:pPr>
            <w:r w:rsidRPr="004F11AC">
              <w:t>950.26</w:t>
            </w:r>
          </w:p>
        </w:tc>
        <w:tc>
          <w:tcPr>
            <w:tcW w:w="1843" w:type="dxa"/>
            <w:tcBorders>
              <w:left w:val="single" w:sz="4" w:space="0" w:color="auto"/>
              <w:bottom w:val="single" w:sz="4" w:space="0" w:color="auto"/>
              <w:right w:val="single" w:sz="4" w:space="0" w:color="auto"/>
            </w:tcBorders>
            <w:vAlign w:val="center"/>
          </w:tcPr>
          <w:p w14:paraId="4EB31940" w14:textId="77777777" w:rsidR="000A6A5C" w:rsidRPr="004F11AC" w:rsidRDefault="000A6A5C" w:rsidP="00E208B7">
            <w:pPr>
              <w:pStyle w:val="Tabletext0"/>
              <w:keepNext/>
              <w:jc w:val="center"/>
            </w:pPr>
            <w:r w:rsidRPr="004F11AC">
              <w:t>990.67</w:t>
            </w:r>
          </w:p>
        </w:tc>
        <w:tc>
          <w:tcPr>
            <w:tcW w:w="1999" w:type="dxa"/>
            <w:vMerge/>
            <w:tcBorders>
              <w:left w:val="single" w:sz="4" w:space="0" w:color="auto"/>
              <w:bottom w:val="single" w:sz="4" w:space="0" w:color="auto"/>
              <w:right w:val="single" w:sz="4" w:space="0" w:color="auto"/>
            </w:tcBorders>
            <w:vAlign w:val="center"/>
          </w:tcPr>
          <w:p w14:paraId="47DC8C75" w14:textId="77777777" w:rsidR="000A6A5C" w:rsidRPr="004F11AC" w:rsidRDefault="000A6A5C" w:rsidP="00E208B7">
            <w:pPr>
              <w:pStyle w:val="Tabletext0"/>
              <w:keepNext/>
              <w:jc w:val="center"/>
              <w:rPr>
                <w:b/>
                <w:bCs/>
              </w:rPr>
            </w:pPr>
          </w:p>
        </w:tc>
      </w:tr>
      <w:tr w:rsidR="00BA0730" w:rsidRPr="004F11AC" w14:paraId="3FBE3E07" w14:textId="77777777">
        <w:tc>
          <w:tcPr>
            <w:tcW w:w="3397" w:type="dxa"/>
            <w:tcBorders>
              <w:top w:val="single" w:sz="4" w:space="0" w:color="auto"/>
              <w:left w:val="single" w:sz="4" w:space="0" w:color="auto"/>
              <w:bottom w:val="single" w:sz="4" w:space="0" w:color="auto"/>
              <w:right w:val="single" w:sz="4" w:space="0" w:color="auto"/>
            </w:tcBorders>
            <w:vAlign w:val="center"/>
          </w:tcPr>
          <w:p w14:paraId="2C82F8A4" w14:textId="77777777" w:rsidR="000A6A5C" w:rsidRPr="004F11AC" w:rsidRDefault="000A6A5C" w:rsidP="00E208B7">
            <w:pPr>
              <w:pStyle w:val="Tabletext0"/>
              <w:keepNext/>
            </w:pPr>
            <w:r w:rsidRPr="004F11AC">
              <w:rPr>
                <w:b/>
                <w:bCs/>
              </w:rPr>
              <w:t xml:space="preserve">Study 1835 (16 weeks) </w:t>
            </w:r>
            <w:proofErr w:type="spellStart"/>
            <w:r w:rsidRPr="004F11AC">
              <w:t>IDeg</w:t>
            </w:r>
            <w:proofErr w:type="spellEnd"/>
            <w:r w:rsidRPr="004F11AC">
              <w:t xml:space="preserve"> OD</w:t>
            </w:r>
          </w:p>
        </w:tc>
        <w:tc>
          <w:tcPr>
            <w:tcW w:w="1843" w:type="dxa"/>
            <w:tcBorders>
              <w:top w:val="single" w:sz="4" w:space="0" w:color="auto"/>
              <w:left w:val="single" w:sz="4" w:space="0" w:color="auto"/>
              <w:bottom w:val="single" w:sz="4" w:space="0" w:color="auto"/>
              <w:right w:val="single" w:sz="4" w:space="0" w:color="auto"/>
            </w:tcBorders>
            <w:vAlign w:val="center"/>
          </w:tcPr>
          <w:p w14:paraId="3789736F" w14:textId="77777777" w:rsidR="000A6A5C" w:rsidRPr="004F11AC" w:rsidRDefault="000A6A5C" w:rsidP="00E208B7">
            <w:pPr>
              <w:pStyle w:val="Tabletext0"/>
              <w:keepNext/>
              <w:jc w:val="center"/>
            </w:pPr>
            <w:r w:rsidRPr="004F11AC">
              <w:t>N=59</w:t>
            </w:r>
          </w:p>
        </w:tc>
        <w:tc>
          <w:tcPr>
            <w:tcW w:w="1843" w:type="dxa"/>
            <w:tcBorders>
              <w:top w:val="single" w:sz="4" w:space="0" w:color="auto"/>
              <w:left w:val="single" w:sz="4" w:space="0" w:color="auto"/>
              <w:bottom w:val="single" w:sz="4" w:space="0" w:color="auto"/>
              <w:right w:val="single" w:sz="4" w:space="0" w:color="auto"/>
            </w:tcBorders>
            <w:vAlign w:val="center"/>
          </w:tcPr>
          <w:p w14:paraId="2F1E4A95" w14:textId="77777777" w:rsidR="000A6A5C" w:rsidRPr="004F11AC" w:rsidRDefault="000A6A5C" w:rsidP="00E208B7">
            <w:pPr>
              <w:pStyle w:val="Tabletext0"/>
              <w:keepNext/>
              <w:jc w:val="center"/>
            </w:pPr>
            <w:r w:rsidRPr="004F11AC">
              <w:t>N=59</w:t>
            </w:r>
          </w:p>
        </w:tc>
        <w:tc>
          <w:tcPr>
            <w:tcW w:w="1999" w:type="dxa"/>
            <w:tcBorders>
              <w:top w:val="single" w:sz="4" w:space="0" w:color="auto"/>
              <w:left w:val="single" w:sz="4" w:space="0" w:color="auto"/>
              <w:bottom w:val="single" w:sz="4" w:space="0" w:color="auto"/>
              <w:right w:val="single" w:sz="4" w:space="0" w:color="auto"/>
            </w:tcBorders>
            <w:vAlign w:val="center"/>
          </w:tcPr>
          <w:p w14:paraId="38200721" w14:textId="77777777" w:rsidR="000A6A5C" w:rsidRPr="004F11AC" w:rsidRDefault="000A6A5C" w:rsidP="00E208B7">
            <w:pPr>
              <w:pStyle w:val="Tabletext0"/>
              <w:keepNext/>
              <w:jc w:val="center"/>
            </w:pPr>
            <w:r w:rsidRPr="004F11AC">
              <w:t>-</w:t>
            </w:r>
          </w:p>
        </w:tc>
      </w:tr>
      <w:tr w:rsidR="00BA0730" w:rsidRPr="004F11AC" w14:paraId="665D6C68" w14:textId="77777777">
        <w:tc>
          <w:tcPr>
            <w:tcW w:w="3397" w:type="dxa"/>
            <w:tcBorders>
              <w:top w:val="single" w:sz="4" w:space="0" w:color="auto"/>
              <w:left w:val="single" w:sz="4" w:space="0" w:color="auto"/>
              <w:bottom w:val="single" w:sz="4" w:space="0" w:color="auto"/>
              <w:right w:val="single" w:sz="4" w:space="0" w:color="auto"/>
            </w:tcBorders>
            <w:hideMark/>
          </w:tcPr>
          <w:p w14:paraId="005E5F80" w14:textId="77777777" w:rsidR="000A6A5C" w:rsidRPr="004F11AC" w:rsidRDefault="000A6A5C" w:rsidP="00E208B7">
            <w:pPr>
              <w:pStyle w:val="Tabletext0"/>
              <w:keepNext/>
            </w:pPr>
            <w:r w:rsidRPr="004F11AC">
              <w:t>All hypoglycaemia, episodes/100 PY</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F825385" w14:textId="77777777" w:rsidR="000A6A5C" w:rsidRPr="004F11AC" w:rsidRDefault="000A6A5C" w:rsidP="00E208B7">
            <w:pPr>
              <w:pStyle w:val="Tabletext0"/>
              <w:keepNext/>
              <w:jc w:val="center"/>
            </w:pPr>
            <w:r w:rsidRPr="004F11AC">
              <w:t>100.8</w:t>
            </w:r>
          </w:p>
        </w:tc>
        <w:tc>
          <w:tcPr>
            <w:tcW w:w="1843" w:type="dxa"/>
            <w:tcBorders>
              <w:top w:val="single" w:sz="4" w:space="0" w:color="auto"/>
              <w:left w:val="single" w:sz="4" w:space="0" w:color="auto"/>
              <w:bottom w:val="single" w:sz="4" w:space="0" w:color="auto"/>
              <w:right w:val="single" w:sz="4" w:space="0" w:color="auto"/>
            </w:tcBorders>
            <w:vAlign w:val="center"/>
          </w:tcPr>
          <w:p w14:paraId="05CADAA1" w14:textId="77777777" w:rsidR="000A6A5C" w:rsidRPr="004F11AC" w:rsidRDefault="000A6A5C" w:rsidP="00E208B7">
            <w:pPr>
              <w:pStyle w:val="Tabletext0"/>
              <w:keepNext/>
              <w:jc w:val="center"/>
            </w:pPr>
            <w:r w:rsidRPr="004F11AC">
              <w:t>117.8</w:t>
            </w:r>
          </w:p>
        </w:tc>
        <w:tc>
          <w:tcPr>
            <w:tcW w:w="1999" w:type="dxa"/>
            <w:tcBorders>
              <w:top w:val="single" w:sz="4" w:space="0" w:color="auto"/>
              <w:left w:val="single" w:sz="4" w:space="0" w:color="auto"/>
              <w:right w:val="single" w:sz="4" w:space="0" w:color="auto"/>
            </w:tcBorders>
            <w:vAlign w:val="center"/>
          </w:tcPr>
          <w:p w14:paraId="52321506" w14:textId="77777777" w:rsidR="000A6A5C" w:rsidRPr="004F11AC" w:rsidRDefault="000A6A5C" w:rsidP="00E208B7">
            <w:pPr>
              <w:pStyle w:val="Tabletext0"/>
              <w:keepNext/>
              <w:jc w:val="center"/>
            </w:pPr>
            <w:r w:rsidRPr="004F11AC">
              <w:t>0.86 (0.66, 1.12)</w:t>
            </w:r>
          </w:p>
        </w:tc>
      </w:tr>
      <w:tr w:rsidR="00BA0730" w:rsidRPr="004F11AC" w14:paraId="682C2C7C" w14:textId="77777777">
        <w:tc>
          <w:tcPr>
            <w:tcW w:w="3397" w:type="dxa"/>
            <w:tcBorders>
              <w:top w:val="single" w:sz="4" w:space="0" w:color="auto"/>
              <w:left w:val="single" w:sz="4" w:space="0" w:color="auto"/>
              <w:bottom w:val="single" w:sz="4" w:space="0" w:color="auto"/>
              <w:right w:val="single" w:sz="4" w:space="0" w:color="auto"/>
            </w:tcBorders>
            <w:hideMark/>
          </w:tcPr>
          <w:p w14:paraId="2914BAD5" w14:textId="77777777" w:rsidR="000A6A5C" w:rsidRPr="004F11AC" w:rsidRDefault="000A6A5C" w:rsidP="00E208B7">
            <w:pPr>
              <w:pStyle w:val="Tabletext0"/>
              <w:keepNext/>
            </w:pPr>
            <w:r w:rsidRPr="004F11AC">
              <w:t>Major hypoglycaemia, episodes/100 PY</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B504A2F" w14:textId="77777777" w:rsidR="000A6A5C" w:rsidRPr="004F11AC" w:rsidRDefault="000A6A5C" w:rsidP="00E208B7">
            <w:pPr>
              <w:pStyle w:val="Tabletext0"/>
              <w:keepNext/>
              <w:jc w:val="center"/>
            </w:pPr>
            <w:r w:rsidRPr="004F11AC">
              <w:rPr>
                <w:rFonts w:cs="Calibri"/>
              </w:rPr>
              <w:t>0</w:t>
            </w:r>
          </w:p>
        </w:tc>
        <w:tc>
          <w:tcPr>
            <w:tcW w:w="1843" w:type="dxa"/>
            <w:tcBorders>
              <w:top w:val="single" w:sz="4" w:space="0" w:color="auto"/>
              <w:left w:val="single" w:sz="4" w:space="0" w:color="auto"/>
              <w:bottom w:val="single" w:sz="4" w:space="0" w:color="auto"/>
              <w:right w:val="single" w:sz="4" w:space="0" w:color="auto"/>
            </w:tcBorders>
            <w:vAlign w:val="center"/>
          </w:tcPr>
          <w:p w14:paraId="723AA784" w14:textId="77777777" w:rsidR="000A6A5C" w:rsidRPr="004F11AC" w:rsidRDefault="000A6A5C" w:rsidP="00E208B7">
            <w:pPr>
              <w:pStyle w:val="Tabletext0"/>
              <w:keepNext/>
              <w:jc w:val="center"/>
            </w:pPr>
            <w:r w:rsidRPr="004F11AC">
              <w:rPr>
                <w:rFonts w:cs="Calibri"/>
              </w:rPr>
              <w:t>0</w:t>
            </w:r>
          </w:p>
        </w:tc>
        <w:tc>
          <w:tcPr>
            <w:tcW w:w="1999" w:type="dxa"/>
            <w:tcBorders>
              <w:left w:val="single" w:sz="4" w:space="0" w:color="auto"/>
              <w:bottom w:val="single" w:sz="4" w:space="0" w:color="auto"/>
              <w:right w:val="single" w:sz="4" w:space="0" w:color="auto"/>
            </w:tcBorders>
            <w:vAlign w:val="center"/>
          </w:tcPr>
          <w:p w14:paraId="4F3966DE" w14:textId="77777777" w:rsidR="000A6A5C" w:rsidRPr="004F11AC" w:rsidRDefault="000A6A5C" w:rsidP="00E208B7">
            <w:pPr>
              <w:pStyle w:val="Tabletext0"/>
              <w:keepNext/>
              <w:jc w:val="center"/>
            </w:pPr>
            <w:r w:rsidRPr="004F11AC">
              <w:t>0.99 (0.22, 4.52)</w:t>
            </w:r>
          </w:p>
        </w:tc>
      </w:tr>
      <w:tr w:rsidR="00BA0730" w:rsidRPr="004F11AC" w14:paraId="3C556906" w14:textId="77777777">
        <w:tc>
          <w:tcPr>
            <w:tcW w:w="3397" w:type="dxa"/>
            <w:tcBorders>
              <w:top w:val="single" w:sz="4" w:space="0" w:color="auto"/>
              <w:left w:val="single" w:sz="4" w:space="0" w:color="auto"/>
              <w:bottom w:val="single" w:sz="4" w:space="0" w:color="auto"/>
              <w:right w:val="single" w:sz="4" w:space="0" w:color="auto"/>
            </w:tcBorders>
          </w:tcPr>
          <w:p w14:paraId="01B38916" w14:textId="77777777" w:rsidR="000A6A5C" w:rsidRPr="004F11AC" w:rsidRDefault="000A6A5C" w:rsidP="00E208B7">
            <w:pPr>
              <w:pStyle w:val="Tabletext0"/>
              <w:keepNext/>
            </w:pPr>
            <w:r w:rsidRPr="004F11AC">
              <w:t>Major/minor hypoglycaemia, episodes/100 PY</w:t>
            </w:r>
          </w:p>
        </w:tc>
        <w:tc>
          <w:tcPr>
            <w:tcW w:w="1843" w:type="dxa"/>
            <w:tcBorders>
              <w:top w:val="single" w:sz="4" w:space="0" w:color="auto"/>
              <w:left w:val="single" w:sz="4" w:space="0" w:color="auto"/>
              <w:bottom w:val="single" w:sz="4" w:space="0" w:color="auto"/>
              <w:right w:val="single" w:sz="4" w:space="0" w:color="auto"/>
            </w:tcBorders>
            <w:vAlign w:val="center"/>
          </w:tcPr>
          <w:p w14:paraId="5F9EC404" w14:textId="77777777" w:rsidR="000A6A5C" w:rsidRPr="004F11AC" w:rsidRDefault="000A6A5C" w:rsidP="00E208B7">
            <w:pPr>
              <w:pStyle w:val="Tabletext0"/>
              <w:keepNext/>
              <w:jc w:val="center"/>
            </w:pPr>
            <w:r w:rsidRPr="004F11AC">
              <w:t>47.88</w:t>
            </w:r>
          </w:p>
        </w:tc>
        <w:tc>
          <w:tcPr>
            <w:tcW w:w="1843" w:type="dxa"/>
            <w:tcBorders>
              <w:top w:val="single" w:sz="4" w:space="0" w:color="auto"/>
              <w:left w:val="single" w:sz="4" w:space="0" w:color="auto"/>
              <w:bottom w:val="single" w:sz="4" w:space="0" w:color="auto"/>
              <w:right w:val="single" w:sz="4" w:space="0" w:color="auto"/>
            </w:tcBorders>
            <w:vAlign w:val="center"/>
          </w:tcPr>
          <w:p w14:paraId="68D2C20B" w14:textId="77777777" w:rsidR="000A6A5C" w:rsidRPr="004F11AC" w:rsidRDefault="000A6A5C" w:rsidP="00E208B7">
            <w:pPr>
              <w:pStyle w:val="Tabletext0"/>
              <w:keepNext/>
              <w:jc w:val="center"/>
            </w:pPr>
            <w:r w:rsidRPr="004F11AC">
              <w:t>66.22</w:t>
            </w:r>
          </w:p>
        </w:tc>
        <w:tc>
          <w:tcPr>
            <w:tcW w:w="1999" w:type="dxa"/>
            <w:tcBorders>
              <w:left w:val="single" w:sz="4" w:space="0" w:color="auto"/>
              <w:bottom w:val="single" w:sz="4" w:space="0" w:color="auto"/>
              <w:right w:val="single" w:sz="4" w:space="0" w:color="auto"/>
            </w:tcBorders>
            <w:vAlign w:val="center"/>
          </w:tcPr>
          <w:p w14:paraId="786B02C0" w14:textId="77777777" w:rsidR="000A6A5C" w:rsidRPr="004F11AC" w:rsidRDefault="000A6A5C" w:rsidP="00E208B7">
            <w:pPr>
              <w:pStyle w:val="Tabletext0"/>
              <w:keepNext/>
              <w:jc w:val="center"/>
            </w:pPr>
            <w:r w:rsidRPr="004F11AC">
              <w:t>0.72 (0.52, 1.00)</w:t>
            </w:r>
          </w:p>
        </w:tc>
      </w:tr>
      <w:tr w:rsidR="00BA0730" w:rsidRPr="004F11AC" w14:paraId="6AB777E4" w14:textId="77777777">
        <w:trPr>
          <w:trHeight w:val="115"/>
        </w:trPr>
        <w:tc>
          <w:tcPr>
            <w:tcW w:w="3397" w:type="dxa"/>
            <w:tcBorders>
              <w:top w:val="single" w:sz="4" w:space="0" w:color="auto"/>
              <w:left w:val="single" w:sz="4" w:space="0" w:color="auto"/>
              <w:bottom w:val="single" w:sz="4" w:space="0" w:color="auto"/>
              <w:right w:val="single" w:sz="4" w:space="0" w:color="auto"/>
            </w:tcBorders>
            <w:vAlign w:val="center"/>
          </w:tcPr>
          <w:p w14:paraId="33AAECF6" w14:textId="77777777" w:rsidR="000A6A5C" w:rsidRPr="004F11AC" w:rsidRDefault="000A6A5C" w:rsidP="00E208B7">
            <w:pPr>
              <w:pStyle w:val="Tabletext0"/>
              <w:keepNext/>
              <w:rPr>
                <w:b/>
                <w:bCs/>
              </w:rPr>
            </w:pPr>
            <w:r w:rsidRPr="004F11AC">
              <w:rPr>
                <w:b/>
                <w:bCs/>
              </w:rPr>
              <w:t xml:space="preserve">Study 3995 (32 weeks) </w:t>
            </w:r>
            <w:r w:rsidRPr="004F11AC">
              <w:t xml:space="preserve">Period 1 </w:t>
            </w:r>
          </w:p>
        </w:tc>
        <w:tc>
          <w:tcPr>
            <w:tcW w:w="1843" w:type="dxa"/>
            <w:tcBorders>
              <w:top w:val="single" w:sz="4" w:space="0" w:color="auto"/>
              <w:left w:val="single" w:sz="4" w:space="0" w:color="auto"/>
              <w:bottom w:val="single" w:sz="4" w:space="0" w:color="auto"/>
              <w:right w:val="single" w:sz="4" w:space="0" w:color="auto"/>
            </w:tcBorders>
            <w:vAlign w:val="center"/>
          </w:tcPr>
          <w:p w14:paraId="3F5174C8" w14:textId="77777777" w:rsidR="000A6A5C" w:rsidRPr="004F11AC" w:rsidRDefault="000A6A5C" w:rsidP="00E208B7">
            <w:pPr>
              <w:pStyle w:val="Tabletext0"/>
              <w:keepNext/>
              <w:jc w:val="center"/>
            </w:pPr>
            <w:r w:rsidRPr="004F11AC">
              <w:t>N=418</w:t>
            </w:r>
          </w:p>
        </w:tc>
        <w:tc>
          <w:tcPr>
            <w:tcW w:w="1843" w:type="dxa"/>
            <w:tcBorders>
              <w:top w:val="single" w:sz="4" w:space="0" w:color="auto"/>
              <w:left w:val="single" w:sz="4" w:space="0" w:color="auto"/>
              <w:bottom w:val="single" w:sz="4" w:space="0" w:color="auto"/>
              <w:right w:val="single" w:sz="4" w:space="0" w:color="auto"/>
            </w:tcBorders>
            <w:vAlign w:val="center"/>
          </w:tcPr>
          <w:p w14:paraId="32F9E736" w14:textId="77777777" w:rsidR="000A6A5C" w:rsidRPr="004F11AC" w:rsidRDefault="000A6A5C" w:rsidP="00E208B7">
            <w:pPr>
              <w:pStyle w:val="Tabletext0"/>
              <w:keepNext/>
              <w:jc w:val="center"/>
            </w:pPr>
            <w:r w:rsidRPr="004F11AC">
              <w:t>N=422</w:t>
            </w:r>
          </w:p>
        </w:tc>
        <w:tc>
          <w:tcPr>
            <w:tcW w:w="1999" w:type="dxa"/>
            <w:tcBorders>
              <w:top w:val="single" w:sz="4" w:space="0" w:color="auto"/>
              <w:left w:val="single" w:sz="4" w:space="0" w:color="auto"/>
              <w:bottom w:val="single" w:sz="4" w:space="0" w:color="auto"/>
              <w:right w:val="single" w:sz="4" w:space="0" w:color="auto"/>
            </w:tcBorders>
            <w:vAlign w:val="center"/>
          </w:tcPr>
          <w:p w14:paraId="3827D231" w14:textId="77777777" w:rsidR="000A6A5C" w:rsidRPr="004F11AC" w:rsidRDefault="000A6A5C" w:rsidP="00E208B7">
            <w:pPr>
              <w:pStyle w:val="Tabletext0"/>
              <w:keepNext/>
              <w:jc w:val="center"/>
              <w:rPr>
                <w:b/>
                <w:bCs/>
              </w:rPr>
            </w:pPr>
            <w:r w:rsidRPr="004F11AC">
              <w:rPr>
                <w:b/>
                <w:bCs/>
              </w:rPr>
              <w:t>-</w:t>
            </w:r>
          </w:p>
        </w:tc>
      </w:tr>
      <w:tr w:rsidR="00BA0730" w:rsidRPr="004F11AC" w14:paraId="718A8A40" w14:textId="77777777">
        <w:tc>
          <w:tcPr>
            <w:tcW w:w="3397" w:type="dxa"/>
            <w:tcBorders>
              <w:top w:val="nil"/>
              <w:left w:val="single" w:sz="4" w:space="0" w:color="auto"/>
              <w:bottom w:val="single" w:sz="4" w:space="0" w:color="auto"/>
              <w:right w:val="single" w:sz="4" w:space="0" w:color="auto"/>
            </w:tcBorders>
            <w:hideMark/>
          </w:tcPr>
          <w:p w14:paraId="1B7F5AB8" w14:textId="77777777" w:rsidR="000A6A5C" w:rsidRPr="004F11AC" w:rsidRDefault="000A6A5C" w:rsidP="00E208B7">
            <w:pPr>
              <w:pStyle w:val="Tabletext0"/>
              <w:keepNext/>
            </w:pPr>
            <w:r w:rsidRPr="004F11AC">
              <w:t>Severe/BG confirmed symptomatic hypoglycaemia</w:t>
            </w:r>
          </w:p>
        </w:tc>
        <w:tc>
          <w:tcPr>
            <w:tcW w:w="1843" w:type="dxa"/>
            <w:tcBorders>
              <w:top w:val="nil"/>
              <w:left w:val="single" w:sz="4" w:space="0" w:color="auto"/>
              <w:bottom w:val="single" w:sz="4" w:space="0" w:color="auto"/>
              <w:right w:val="single" w:sz="4" w:space="0" w:color="auto"/>
            </w:tcBorders>
            <w:vAlign w:val="center"/>
            <w:hideMark/>
          </w:tcPr>
          <w:p w14:paraId="7FC8061A" w14:textId="77777777" w:rsidR="000A6A5C" w:rsidRPr="004F11AC" w:rsidRDefault="000A6A5C" w:rsidP="00E208B7">
            <w:pPr>
              <w:pStyle w:val="Tabletext0"/>
              <w:keepNext/>
              <w:jc w:val="center"/>
            </w:pPr>
            <w:r w:rsidRPr="004F11AC">
              <w:t>1227.03</w:t>
            </w:r>
          </w:p>
        </w:tc>
        <w:tc>
          <w:tcPr>
            <w:tcW w:w="1843" w:type="dxa"/>
            <w:tcBorders>
              <w:top w:val="nil"/>
              <w:left w:val="single" w:sz="4" w:space="0" w:color="auto"/>
              <w:bottom w:val="single" w:sz="4" w:space="0" w:color="auto"/>
              <w:right w:val="single" w:sz="4" w:space="0" w:color="auto"/>
            </w:tcBorders>
            <w:vAlign w:val="center"/>
            <w:hideMark/>
          </w:tcPr>
          <w:p w14:paraId="379F1BAA" w14:textId="77777777" w:rsidR="000A6A5C" w:rsidRPr="004F11AC" w:rsidRDefault="000A6A5C" w:rsidP="00E208B7">
            <w:pPr>
              <w:pStyle w:val="Tabletext0"/>
              <w:keepNext/>
              <w:jc w:val="center"/>
            </w:pPr>
            <w:r w:rsidRPr="004F11AC">
              <w:t>1372.32</w:t>
            </w:r>
          </w:p>
        </w:tc>
        <w:tc>
          <w:tcPr>
            <w:tcW w:w="1999" w:type="dxa"/>
            <w:tcBorders>
              <w:top w:val="single" w:sz="4" w:space="0" w:color="auto"/>
              <w:left w:val="single" w:sz="4" w:space="0" w:color="auto"/>
              <w:right w:val="single" w:sz="4" w:space="0" w:color="auto"/>
            </w:tcBorders>
            <w:vAlign w:val="center"/>
          </w:tcPr>
          <w:p w14:paraId="6DF52B49" w14:textId="77777777" w:rsidR="000A6A5C" w:rsidRPr="004F11AC" w:rsidRDefault="000A6A5C" w:rsidP="00E208B7">
            <w:pPr>
              <w:pStyle w:val="Tabletext0"/>
              <w:keepNext/>
              <w:jc w:val="center"/>
              <w:rPr>
                <w:b/>
                <w:bCs/>
              </w:rPr>
            </w:pPr>
            <w:r w:rsidRPr="004F11AC">
              <w:rPr>
                <w:b/>
                <w:bCs/>
              </w:rPr>
              <w:t>0.89 (0.85, 0.94)</w:t>
            </w:r>
          </w:p>
        </w:tc>
      </w:tr>
      <w:tr w:rsidR="00BA0730" w:rsidRPr="004F11AC" w14:paraId="3E9833F0" w14:textId="77777777">
        <w:tc>
          <w:tcPr>
            <w:tcW w:w="3397" w:type="dxa"/>
            <w:tcBorders>
              <w:top w:val="single" w:sz="4" w:space="0" w:color="auto"/>
              <w:left w:val="single" w:sz="4" w:space="0" w:color="auto"/>
              <w:bottom w:val="single" w:sz="4" w:space="0" w:color="auto"/>
              <w:right w:val="single" w:sz="4" w:space="0" w:color="auto"/>
            </w:tcBorders>
            <w:hideMark/>
          </w:tcPr>
          <w:p w14:paraId="6AE6A778" w14:textId="77777777" w:rsidR="000A6A5C" w:rsidRPr="004F11AC" w:rsidRDefault="000A6A5C" w:rsidP="00E208B7">
            <w:pPr>
              <w:pStyle w:val="Tabletext0"/>
              <w:keepNext/>
            </w:pPr>
            <w:r w:rsidRPr="004F11AC">
              <w:t>Nocturnal severe/BG confirmed symptomatic hypoglycaemia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DB387ED" w14:textId="77777777" w:rsidR="000A6A5C" w:rsidRPr="004F11AC" w:rsidRDefault="000A6A5C" w:rsidP="00E208B7">
            <w:pPr>
              <w:pStyle w:val="Tabletext0"/>
              <w:keepNext/>
              <w:jc w:val="center"/>
            </w:pPr>
            <w:r w:rsidRPr="004F11AC">
              <w:t>160.16</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B726723" w14:textId="77777777" w:rsidR="000A6A5C" w:rsidRPr="004F11AC" w:rsidRDefault="000A6A5C" w:rsidP="00E208B7">
            <w:pPr>
              <w:pStyle w:val="Tabletext0"/>
              <w:keepNext/>
              <w:jc w:val="center"/>
            </w:pPr>
            <w:r w:rsidRPr="004F11AC">
              <w:t>250.77</w:t>
            </w:r>
          </w:p>
        </w:tc>
        <w:tc>
          <w:tcPr>
            <w:tcW w:w="1999" w:type="dxa"/>
            <w:tcBorders>
              <w:left w:val="single" w:sz="4" w:space="0" w:color="auto"/>
              <w:bottom w:val="single" w:sz="4" w:space="0" w:color="auto"/>
              <w:right w:val="single" w:sz="4" w:space="0" w:color="auto"/>
            </w:tcBorders>
            <w:vAlign w:val="center"/>
          </w:tcPr>
          <w:p w14:paraId="4EEB93F6" w14:textId="77777777" w:rsidR="000A6A5C" w:rsidRPr="004F11AC" w:rsidRDefault="000A6A5C" w:rsidP="00E208B7">
            <w:pPr>
              <w:pStyle w:val="Tabletext0"/>
              <w:keepNext/>
              <w:jc w:val="center"/>
              <w:rPr>
                <w:b/>
                <w:bCs/>
              </w:rPr>
            </w:pPr>
            <w:r w:rsidRPr="004F11AC">
              <w:rPr>
                <w:b/>
                <w:bCs/>
              </w:rPr>
              <w:t>0.64 (0.56, 0.73)</w:t>
            </w:r>
          </w:p>
        </w:tc>
      </w:tr>
    </w:tbl>
    <w:p w14:paraId="700D436B" w14:textId="77777777" w:rsidR="000A6A5C" w:rsidRPr="004F11AC" w:rsidRDefault="000A6A5C" w:rsidP="00E208B7">
      <w:pPr>
        <w:pStyle w:val="COMTablefooter"/>
      </w:pPr>
      <w:r w:rsidRPr="004F11AC">
        <w:t>Source: Table 2-22, p53; Table 2-27, p60; Table 2-33, p66; Table 2-36 to 2-37, p74 of the resubmission.</w:t>
      </w:r>
    </w:p>
    <w:p w14:paraId="47E059C7" w14:textId="77777777" w:rsidR="000A6A5C" w:rsidRPr="004F11AC" w:rsidRDefault="000A6A5C" w:rsidP="00E208B7">
      <w:pPr>
        <w:pStyle w:val="COMTablefooter"/>
      </w:pPr>
      <w:r w:rsidRPr="004F11AC">
        <w:t xml:space="preserve">Abbreviations: CI, confidence interval; FAS, full analysis set; FF, fixed flexible; </w:t>
      </w:r>
      <w:proofErr w:type="spellStart"/>
      <w:r w:rsidRPr="004F11AC">
        <w:t>IDeg</w:t>
      </w:r>
      <w:proofErr w:type="spellEnd"/>
      <w:r w:rsidRPr="004F11AC">
        <w:t xml:space="preserve">, insulin degludec; </w:t>
      </w:r>
      <w:proofErr w:type="spellStart"/>
      <w:r w:rsidRPr="004F11AC">
        <w:t>IGlar</w:t>
      </w:r>
      <w:proofErr w:type="spellEnd"/>
      <w:r w:rsidRPr="004F11AC">
        <w:t xml:space="preserve">, insulin glargine; LSM, least squares mean; OD, once daily; PY, patient years. </w:t>
      </w:r>
    </w:p>
    <w:p w14:paraId="04E11584" w14:textId="77777777" w:rsidR="000A6A5C" w:rsidRPr="004F11AC" w:rsidRDefault="000A6A5C" w:rsidP="00E208B7">
      <w:pPr>
        <w:pStyle w:val="COMTablefooter"/>
      </w:pPr>
      <w:r w:rsidRPr="004F11AC">
        <w:rPr>
          <w:vertAlign w:val="superscript"/>
        </w:rPr>
        <w:t>a</w:t>
      </w:r>
      <w:r w:rsidRPr="004F11AC">
        <w:t xml:space="preserve"> Comparative analyses of insulin degludec (once daily) versus insulin glargine were not conducted in Study 3770. </w:t>
      </w:r>
    </w:p>
    <w:p w14:paraId="4A0323D9" w14:textId="77777777" w:rsidR="000A6A5C" w:rsidRPr="004F11AC" w:rsidRDefault="000A6A5C" w:rsidP="00E208B7">
      <w:pPr>
        <w:pStyle w:val="COMTablefooter"/>
      </w:pPr>
      <w:r w:rsidRPr="004F11AC">
        <w:t>Note: Statistically significant results in bold.</w:t>
      </w:r>
    </w:p>
    <w:p w14:paraId="368247DB" w14:textId="7A54F2CC" w:rsidR="00240310" w:rsidRPr="004F11AC" w:rsidRDefault="00240310" w:rsidP="00E208B7">
      <w:pPr>
        <w:pStyle w:val="COMexecsummnumbered"/>
      </w:pPr>
      <w:r w:rsidRPr="004F11AC">
        <w:t xml:space="preserve">In Studies 3583, 3770 and 1835, the differences in rates of confirmed hypoglycaemia episodes, severe hypoglycaemia episodes, all hypoglycaemia episodes and </w:t>
      </w:r>
      <w:r w:rsidRPr="004F11AC">
        <w:lastRenderedPageBreak/>
        <w:t>major/minor hypoglycaemia episodes between treatments were small, and not statistically significant</w:t>
      </w:r>
      <w:r w:rsidR="006A5E48" w:rsidRPr="004F11AC">
        <w:t>ly different between arms</w:t>
      </w:r>
      <w:r w:rsidRPr="004F11AC">
        <w:t xml:space="preserve">. The rates of severe </w:t>
      </w:r>
      <w:r w:rsidRPr="00DE5076">
        <w:t>hypoglycaemia</w:t>
      </w:r>
      <w:r w:rsidRPr="004F11AC">
        <w:t xml:space="preserve"> episodes in Studies 3583 and 3770 were generally lower in patients treated with insulin degludec compared to insulin glargine, but large proportions of patients in both treatment groups (&gt;85%) did not report any severe hypoglycaemia episodes.</w:t>
      </w:r>
    </w:p>
    <w:p w14:paraId="26E9B2FA" w14:textId="040F1199" w:rsidR="00D172BF" w:rsidRPr="004F11AC" w:rsidRDefault="00D172BF" w:rsidP="00E208B7">
      <w:pPr>
        <w:pStyle w:val="COMexecsummnumbered"/>
      </w:pPr>
      <w:r w:rsidRPr="004F11AC">
        <w:t>In Study 3995, statistically significantly lower rates of confirmed nocturnal hypoglycaemia episodes, confirmed severe nocturnal hypoglycaemia episodes and confirmed severe hypoglycaemia episodes were experienced by patients treated with insulin degludec compared to insulin glargine. In Studies 3583 and 3770, nominally significantly lower rates of confirmed nocturnal hypoglycaemia episodes and confirmed severe nocturnal episodes were experienced by patients treated with insulin degludec compared to insulin glargine.</w:t>
      </w:r>
    </w:p>
    <w:p w14:paraId="3520775C" w14:textId="0DBD0F15" w:rsidR="00240310" w:rsidRPr="005E6F23" w:rsidRDefault="00240310" w:rsidP="00E208B7">
      <w:pPr>
        <w:pStyle w:val="COMexecsummnumbered"/>
      </w:pPr>
      <w:r w:rsidRPr="004F11AC">
        <w:t xml:space="preserve">Confirmed hypoglycaemia episodes and confirmed nocturnal hypoglycaemia episodes covered a broad range of hypoglycaemia experiences, from hypoglycaemia episodes requiring intervention and the assistance of another person, to symptomatic or asymptomatic hypoglycaemia episodes requiring no intervention or assistance. </w:t>
      </w:r>
      <w:r w:rsidR="00A5602E" w:rsidRPr="005E6F23">
        <w:t xml:space="preserve">The </w:t>
      </w:r>
      <w:r w:rsidR="00DA57CA" w:rsidRPr="005E6F23">
        <w:t xml:space="preserve">evaluation and the </w:t>
      </w:r>
      <w:r w:rsidR="00A5602E" w:rsidRPr="005E6F23">
        <w:t xml:space="preserve">ESC noted that Study 3995 included patients prone to hypoglycaemia episodes and therefore that the rates of episodes reported are not comparable the rates reported in Studies 3583, 3770 and 1835. </w:t>
      </w:r>
      <w:r w:rsidRPr="005E6F23">
        <w:t xml:space="preserve">The </w:t>
      </w:r>
      <w:r w:rsidR="00DA57CA" w:rsidRPr="005E6F23">
        <w:t xml:space="preserve">evaluation and the ESC further noted that the </w:t>
      </w:r>
      <w:r w:rsidRPr="005E6F23">
        <w:t>comparative hypoglycaemia outcomes in Study 3770 only included patients randomised to a fixed-flexible dosing regimen</w:t>
      </w:r>
      <w:r w:rsidR="006A5E48" w:rsidRPr="005E6F23">
        <w:t>,</w:t>
      </w:r>
      <w:r w:rsidRPr="005E6F23">
        <w:t xml:space="preserve"> not used in</w:t>
      </w:r>
      <w:r w:rsidR="006A5E48" w:rsidRPr="005E6F23">
        <w:t xml:space="preserve"> the</w:t>
      </w:r>
      <w:r w:rsidRPr="005E6F23">
        <w:t xml:space="preserve"> other </w:t>
      </w:r>
      <w:r w:rsidR="006A5E48" w:rsidRPr="005E6F23">
        <w:t>trials</w:t>
      </w:r>
      <w:r w:rsidRPr="005E6F23">
        <w:t xml:space="preserve"> or commonly in clinical </w:t>
      </w:r>
      <w:r w:rsidR="00A036CF" w:rsidRPr="005E6F23">
        <w:t>practice</w:t>
      </w:r>
      <w:r w:rsidR="00A036CF">
        <w:t xml:space="preserve"> </w:t>
      </w:r>
      <w:r w:rsidR="00A036CF" w:rsidRPr="005E6F23">
        <w:t>and</w:t>
      </w:r>
      <w:r w:rsidR="00FE6688" w:rsidRPr="005E6F23">
        <w:t xml:space="preserve"> </w:t>
      </w:r>
      <w:r w:rsidRPr="005E6F23">
        <w:t>may have been impacted by differences in pharmacokinetic and time-action profiles between insulin degludec and insulin glargine.</w:t>
      </w:r>
    </w:p>
    <w:p w14:paraId="398FE1B5" w14:textId="5A25578C" w:rsidR="00240310" w:rsidRPr="005E6F23" w:rsidRDefault="00240310" w:rsidP="00E208B7">
      <w:pPr>
        <w:pStyle w:val="COMexecsummnumbered"/>
      </w:pPr>
      <w:r w:rsidRPr="005E6F23">
        <w:fldChar w:fldCharType="begin"/>
      </w:r>
      <w:r w:rsidRPr="005E6F23">
        <w:instrText xml:space="preserve"> REF _Ref196216748 \h </w:instrText>
      </w:r>
      <w:r w:rsidR="005E6F23">
        <w:instrText xml:space="preserve"> \* MERGEFORMAT </w:instrText>
      </w:r>
      <w:r w:rsidRPr="005E6F23">
        <w:fldChar w:fldCharType="separate"/>
      </w:r>
      <w:r w:rsidR="00280138" w:rsidRPr="004F11AC">
        <w:t xml:space="preserve">Table </w:t>
      </w:r>
      <w:r w:rsidR="00280138">
        <w:rPr>
          <w:noProof/>
        </w:rPr>
        <w:t>7</w:t>
      </w:r>
      <w:r w:rsidRPr="005E6F23">
        <w:fldChar w:fldCharType="end"/>
      </w:r>
      <w:r w:rsidRPr="005E6F23">
        <w:t xml:space="preserve"> summarises the differences in rates of hypoglycaemia episodes </w:t>
      </w:r>
      <w:r w:rsidR="00630733" w:rsidRPr="005E6F23">
        <w:t xml:space="preserve">between insulin degludec and insulin glargine </w:t>
      </w:r>
      <w:r w:rsidRPr="005E6F23">
        <w:t xml:space="preserve">in </w:t>
      </w:r>
      <w:r w:rsidR="00630733" w:rsidRPr="005E6F23">
        <w:t xml:space="preserve">the </w:t>
      </w:r>
      <w:proofErr w:type="spellStart"/>
      <w:r w:rsidRPr="005E6F23">
        <w:t>HypoDeg</w:t>
      </w:r>
      <w:proofErr w:type="spellEnd"/>
      <w:r w:rsidR="00630733" w:rsidRPr="005E6F23">
        <w:t xml:space="preserve"> trial</w:t>
      </w:r>
      <w:r w:rsidRPr="005E6F23">
        <w:t>.</w:t>
      </w:r>
    </w:p>
    <w:p w14:paraId="18BAA603" w14:textId="207545F5" w:rsidR="00A77F82" w:rsidRPr="004F11AC" w:rsidRDefault="00A77F82" w:rsidP="00E208B7">
      <w:pPr>
        <w:pStyle w:val="COMtablefigcaption"/>
        <w:rPr>
          <w:szCs w:val="22"/>
        </w:rPr>
      </w:pPr>
      <w:bookmarkStart w:id="25" w:name="_Ref196216748"/>
      <w:r w:rsidRPr="004F11AC">
        <w:lastRenderedPageBreak/>
        <w:t xml:space="preserve">Table </w:t>
      </w:r>
      <w:r w:rsidR="00D87C74" w:rsidRPr="004F11AC">
        <w:fldChar w:fldCharType="begin"/>
      </w:r>
      <w:r w:rsidR="00D87C74" w:rsidRPr="004F11AC">
        <w:instrText xml:space="preserve"> SEQ Table \* ARABIC </w:instrText>
      </w:r>
      <w:r w:rsidR="00D87C74" w:rsidRPr="004F11AC">
        <w:fldChar w:fldCharType="separate"/>
      </w:r>
      <w:r w:rsidR="00280138">
        <w:rPr>
          <w:noProof/>
        </w:rPr>
        <w:t>7</w:t>
      </w:r>
      <w:r w:rsidR="00D87C74" w:rsidRPr="004F11AC">
        <w:fldChar w:fldCharType="end"/>
      </w:r>
      <w:bookmarkEnd w:id="25"/>
      <w:r w:rsidRPr="004F11AC">
        <w:t xml:space="preserve">: Difference in rate per year of hypoglycaemia episodes </w:t>
      </w:r>
      <w:r w:rsidR="005536F5" w:rsidRPr="004F11AC">
        <w:t>(</w:t>
      </w:r>
      <w:proofErr w:type="spellStart"/>
      <w:r w:rsidRPr="004F11AC">
        <w:t>HypoDeg</w:t>
      </w:r>
      <w:proofErr w:type="spellEnd"/>
      <w:r w:rsidRPr="004F11AC">
        <w:t>; FAS</w:t>
      </w:r>
      <w:r w:rsidR="005536F5" w:rsidRPr="004F11AC">
        <w:t>)</w:t>
      </w:r>
    </w:p>
    <w:tbl>
      <w:tblPr>
        <w:tblStyle w:val="TableGrid"/>
        <w:tblW w:w="9082" w:type="dxa"/>
        <w:tblCellMar>
          <w:left w:w="28" w:type="dxa"/>
          <w:right w:w="28" w:type="dxa"/>
        </w:tblCellMar>
        <w:tblLook w:val="04A0" w:firstRow="1" w:lastRow="0" w:firstColumn="1" w:lastColumn="0" w:noHBand="0" w:noVBand="1"/>
        <w:tblCaption w:val="Table 7: Difference in rate per year of hypoglycaemia episodes (HypoDeg; FAS)"/>
      </w:tblPr>
      <w:tblGrid>
        <w:gridCol w:w="1660"/>
        <w:gridCol w:w="887"/>
        <w:gridCol w:w="1989"/>
        <w:gridCol w:w="846"/>
        <w:gridCol w:w="2031"/>
        <w:gridCol w:w="1669"/>
      </w:tblGrid>
      <w:tr w:rsidR="00BA0730" w:rsidRPr="004F11AC" w14:paraId="3A047238" w14:textId="77777777">
        <w:tc>
          <w:tcPr>
            <w:tcW w:w="1660" w:type="dxa"/>
            <w:vMerge w:val="restart"/>
            <w:tcBorders>
              <w:top w:val="single" w:sz="4" w:space="0" w:color="auto"/>
              <w:left w:val="single" w:sz="4" w:space="0" w:color="auto"/>
              <w:right w:val="single" w:sz="4" w:space="0" w:color="auto"/>
            </w:tcBorders>
            <w:vAlign w:val="center"/>
            <w:hideMark/>
          </w:tcPr>
          <w:p w14:paraId="4B7F7098" w14:textId="77777777" w:rsidR="00A77F82" w:rsidRPr="004F11AC" w:rsidRDefault="00A77F82" w:rsidP="00E208B7">
            <w:pPr>
              <w:pStyle w:val="COMTableheadingrow"/>
              <w:rPr>
                <w:lang w:val="en-AU"/>
              </w:rPr>
            </w:pPr>
          </w:p>
        </w:tc>
        <w:tc>
          <w:tcPr>
            <w:tcW w:w="2876" w:type="dxa"/>
            <w:gridSpan w:val="2"/>
            <w:tcBorders>
              <w:top w:val="single" w:sz="4" w:space="0" w:color="auto"/>
              <w:left w:val="single" w:sz="4" w:space="0" w:color="auto"/>
              <w:bottom w:val="single" w:sz="4" w:space="0" w:color="auto"/>
              <w:right w:val="single" w:sz="4" w:space="0" w:color="auto"/>
            </w:tcBorders>
            <w:vAlign w:val="center"/>
            <w:hideMark/>
          </w:tcPr>
          <w:p w14:paraId="2E913385" w14:textId="51C7FEB7" w:rsidR="00A77F82" w:rsidRPr="004F11AC" w:rsidRDefault="00A77F82" w:rsidP="00E208B7">
            <w:pPr>
              <w:pStyle w:val="COMTableheadingrow"/>
              <w:jc w:val="center"/>
              <w:rPr>
                <w:lang w:val="en-AU"/>
              </w:rPr>
            </w:pPr>
            <w:proofErr w:type="spellStart"/>
            <w:r w:rsidRPr="004F11AC">
              <w:rPr>
                <w:lang w:val="en-AU"/>
              </w:rPr>
              <w:t>IDeg</w:t>
            </w:r>
            <w:proofErr w:type="spellEnd"/>
            <w:r w:rsidR="00720D2E" w:rsidRPr="004F11AC">
              <w:rPr>
                <w:lang w:val="en-AU"/>
              </w:rPr>
              <w:t xml:space="preserve"> </w:t>
            </w:r>
            <w:r w:rsidRPr="004F11AC">
              <w:rPr>
                <w:lang w:val="en-AU"/>
              </w:rPr>
              <w:t xml:space="preserve">N=73 </w:t>
            </w:r>
          </w:p>
        </w:tc>
        <w:tc>
          <w:tcPr>
            <w:tcW w:w="2877" w:type="dxa"/>
            <w:gridSpan w:val="2"/>
            <w:tcBorders>
              <w:top w:val="single" w:sz="4" w:space="0" w:color="auto"/>
              <w:left w:val="single" w:sz="4" w:space="0" w:color="auto"/>
              <w:bottom w:val="single" w:sz="4" w:space="0" w:color="auto"/>
              <w:right w:val="single" w:sz="4" w:space="0" w:color="auto"/>
            </w:tcBorders>
            <w:vAlign w:val="center"/>
            <w:hideMark/>
          </w:tcPr>
          <w:p w14:paraId="1E9C3986" w14:textId="4039699F" w:rsidR="00A77F82" w:rsidRPr="004F11AC" w:rsidRDefault="00A77F82" w:rsidP="00E208B7">
            <w:pPr>
              <w:pStyle w:val="COMTableheadingrow"/>
              <w:jc w:val="center"/>
              <w:rPr>
                <w:lang w:val="en-AU"/>
              </w:rPr>
            </w:pPr>
            <w:proofErr w:type="spellStart"/>
            <w:r w:rsidRPr="004F11AC">
              <w:rPr>
                <w:lang w:val="en-AU"/>
              </w:rPr>
              <w:t>IGlar</w:t>
            </w:r>
            <w:proofErr w:type="spellEnd"/>
            <w:r w:rsidR="00720D2E" w:rsidRPr="004F11AC">
              <w:rPr>
                <w:lang w:val="en-AU"/>
              </w:rPr>
              <w:t xml:space="preserve"> </w:t>
            </w:r>
            <w:r w:rsidRPr="004F11AC">
              <w:rPr>
                <w:lang w:val="en-AU"/>
              </w:rPr>
              <w:t>N=76</w:t>
            </w:r>
          </w:p>
        </w:tc>
        <w:tc>
          <w:tcPr>
            <w:tcW w:w="1669" w:type="dxa"/>
            <w:tcBorders>
              <w:top w:val="single" w:sz="4" w:space="0" w:color="auto"/>
              <w:left w:val="single" w:sz="4" w:space="0" w:color="auto"/>
              <w:right w:val="single" w:sz="4" w:space="0" w:color="auto"/>
            </w:tcBorders>
            <w:vAlign w:val="center"/>
          </w:tcPr>
          <w:p w14:paraId="6A578133" w14:textId="77777777" w:rsidR="00A77F82" w:rsidRPr="004F11AC" w:rsidRDefault="00A77F82" w:rsidP="00E208B7">
            <w:pPr>
              <w:pStyle w:val="COMTableheadingrow"/>
              <w:jc w:val="center"/>
              <w:rPr>
                <w:lang w:val="en-AU"/>
              </w:rPr>
            </w:pPr>
            <w:proofErr w:type="spellStart"/>
            <w:r w:rsidRPr="004F11AC">
              <w:rPr>
                <w:lang w:val="en-AU"/>
              </w:rPr>
              <w:t>IDeg</w:t>
            </w:r>
            <w:proofErr w:type="spellEnd"/>
            <w:r w:rsidRPr="004F11AC">
              <w:rPr>
                <w:lang w:val="en-AU"/>
              </w:rPr>
              <w:t xml:space="preserve"> vs </w:t>
            </w:r>
            <w:proofErr w:type="spellStart"/>
            <w:r w:rsidRPr="004F11AC">
              <w:rPr>
                <w:lang w:val="en-AU"/>
              </w:rPr>
              <w:t>IGlar</w:t>
            </w:r>
            <w:proofErr w:type="spellEnd"/>
            <w:r w:rsidRPr="004F11AC">
              <w:rPr>
                <w:lang w:val="en-AU"/>
              </w:rPr>
              <w:t xml:space="preserve"> </w:t>
            </w:r>
          </w:p>
        </w:tc>
      </w:tr>
      <w:tr w:rsidR="00BA0730" w:rsidRPr="004F11AC" w14:paraId="227703DF" w14:textId="77777777">
        <w:tc>
          <w:tcPr>
            <w:tcW w:w="1660" w:type="dxa"/>
            <w:vMerge/>
            <w:tcBorders>
              <w:left w:val="single" w:sz="4" w:space="0" w:color="auto"/>
              <w:bottom w:val="single" w:sz="4" w:space="0" w:color="auto"/>
              <w:right w:val="single" w:sz="4" w:space="0" w:color="auto"/>
            </w:tcBorders>
            <w:vAlign w:val="center"/>
          </w:tcPr>
          <w:p w14:paraId="579EAF60" w14:textId="77777777" w:rsidR="00A77F82" w:rsidRPr="004F11AC" w:rsidRDefault="00A77F82" w:rsidP="00E208B7">
            <w:pPr>
              <w:pStyle w:val="Tabletext0"/>
              <w:keepNext/>
              <w:rPr>
                <w:b/>
                <w:bCs/>
              </w:rPr>
            </w:pPr>
          </w:p>
        </w:tc>
        <w:tc>
          <w:tcPr>
            <w:tcW w:w="887" w:type="dxa"/>
            <w:tcBorders>
              <w:top w:val="single" w:sz="4" w:space="0" w:color="auto"/>
              <w:left w:val="single" w:sz="4" w:space="0" w:color="auto"/>
              <w:bottom w:val="single" w:sz="4" w:space="0" w:color="auto"/>
              <w:right w:val="single" w:sz="4" w:space="0" w:color="auto"/>
            </w:tcBorders>
            <w:vAlign w:val="center"/>
          </w:tcPr>
          <w:p w14:paraId="7DBAD854" w14:textId="77777777" w:rsidR="00A77F82" w:rsidRPr="004F11AC" w:rsidRDefault="00A77F82" w:rsidP="00E208B7">
            <w:pPr>
              <w:pStyle w:val="Tabletext0"/>
              <w:keepNext/>
              <w:jc w:val="center"/>
              <w:rPr>
                <w:b/>
                <w:bCs/>
              </w:rPr>
            </w:pPr>
            <w:r w:rsidRPr="004F11AC">
              <w:rPr>
                <w:b/>
                <w:bCs/>
              </w:rPr>
              <w:t>Episodes</w:t>
            </w:r>
          </w:p>
        </w:tc>
        <w:tc>
          <w:tcPr>
            <w:tcW w:w="1989" w:type="dxa"/>
            <w:tcBorders>
              <w:top w:val="single" w:sz="4" w:space="0" w:color="auto"/>
              <w:left w:val="single" w:sz="4" w:space="0" w:color="auto"/>
              <w:bottom w:val="single" w:sz="4" w:space="0" w:color="auto"/>
              <w:right w:val="single" w:sz="4" w:space="0" w:color="auto"/>
            </w:tcBorders>
            <w:vAlign w:val="center"/>
          </w:tcPr>
          <w:p w14:paraId="040A0249" w14:textId="77777777" w:rsidR="00A77F82" w:rsidRPr="004F11AC" w:rsidRDefault="00A77F82" w:rsidP="00E208B7">
            <w:pPr>
              <w:pStyle w:val="Tabletext0"/>
              <w:keepNext/>
              <w:jc w:val="center"/>
              <w:rPr>
                <w:b/>
                <w:bCs/>
              </w:rPr>
            </w:pPr>
            <w:r w:rsidRPr="004F11AC">
              <w:rPr>
                <w:b/>
                <w:bCs/>
              </w:rPr>
              <w:t>Episodes/PY mean (SD)</w:t>
            </w:r>
          </w:p>
        </w:tc>
        <w:tc>
          <w:tcPr>
            <w:tcW w:w="846" w:type="dxa"/>
            <w:tcBorders>
              <w:top w:val="single" w:sz="4" w:space="0" w:color="auto"/>
              <w:left w:val="single" w:sz="4" w:space="0" w:color="auto"/>
              <w:bottom w:val="single" w:sz="4" w:space="0" w:color="auto"/>
              <w:right w:val="single" w:sz="4" w:space="0" w:color="auto"/>
            </w:tcBorders>
            <w:vAlign w:val="center"/>
          </w:tcPr>
          <w:p w14:paraId="0F065010" w14:textId="77777777" w:rsidR="00A77F82" w:rsidRPr="004F11AC" w:rsidRDefault="00A77F82" w:rsidP="00E208B7">
            <w:pPr>
              <w:pStyle w:val="Tabletext0"/>
              <w:keepNext/>
              <w:jc w:val="center"/>
              <w:rPr>
                <w:b/>
                <w:bCs/>
              </w:rPr>
            </w:pPr>
            <w:r w:rsidRPr="004F11AC">
              <w:rPr>
                <w:b/>
                <w:bCs/>
              </w:rPr>
              <w:t>Episodes</w:t>
            </w:r>
          </w:p>
        </w:tc>
        <w:tc>
          <w:tcPr>
            <w:tcW w:w="2031" w:type="dxa"/>
            <w:tcBorders>
              <w:top w:val="single" w:sz="4" w:space="0" w:color="auto"/>
              <w:left w:val="single" w:sz="4" w:space="0" w:color="auto"/>
              <w:bottom w:val="single" w:sz="4" w:space="0" w:color="auto"/>
              <w:right w:val="single" w:sz="4" w:space="0" w:color="auto"/>
            </w:tcBorders>
            <w:vAlign w:val="center"/>
          </w:tcPr>
          <w:p w14:paraId="003A295E" w14:textId="77777777" w:rsidR="00A77F82" w:rsidRPr="004F11AC" w:rsidRDefault="00A77F82" w:rsidP="00E208B7">
            <w:pPr>
              <w:pStyle w:val="Tabletext0"/>
              <w:keepNext/>
              <w:jc w:val="center"/>
              <w:rPr>
                <w:b/>
                <w:bCs/>
              </w:rPr>
            </w:pPr>
            <w:r w:rsidRPr="004F11AC">
              <w:rPr>
                <w:b/>
                <w:bCs/>
              </w:rPr>
              <w:t>Episodes/PY mean (SD)</w:t>
            </w:r>
          </w:p>
        </w:tc>
        <w:tc>
          <w:tcPr>
            <w:tcW w:w="1669" w:type="dxa"/>
            <w:tcBorders>
              <w:left w:val="single" w:sz="4" w:space="0" w:color="auto"/>
              <w:bottom w:val="single" w:sz="4" w:space="0" w:color="auto"/>
              <w:right w:val="single" w:sz="4" w:space="0" w:color="auto"/>
            </w:tcBorders>
            <w:vAlign w:val="center"/>
          </w:tcPr>
          <w:p w14:paraId="5251AD6D" w14:textId="77777777" w:rsidR="00A77F82" w:rsidRPr="004F11AC" w:rsidRDefault="00A77F82" w:rsidP="00E208B7">
            <w:pPr>
              <w:pStyle w:val="Tabletext0"/>
              <w:keepNext/>
              <w:jc w:val="center"/>
              <w:rPr>
                <w:b/>
                <w:bCs/>
              </w:rPr>
            </w:pPr>
            <w:r w:rsidRPr="004F11AC">
              <w:rPr>
                <w:b/>
                <w:bCs/>
              </w:rPr>
              <w:t>RRR (95% CI)</w:t>
            </w:r>
          </w:p>
        </w:tc>
      </w:tr>
      <w:tr w:rsidR="00BA0730" w:rsidRPr="004F11AC" w14:paraId="7D7588A6" w14:textId="77777777">
        <w:tc>
          <w:tcPr>
            <w:tcW w:w="9082" w:type="dxa"/>
            <w:gridSpan w:val="6"/>
            <w:tcBorders>
              <w:top w:val="single" w:sz="4" w:space="0" w:color="auto"/>
              <w:left w:val="single" w:sz="4" w:space="0" w:color="auto"/>
              <w:bottom w:val="single" w:sz="4" w:space="0" w:color="auto"/>
              <w:right w:val="single" w:sz="4" w:space="0" w:color="auto"/>
            </w:tcBorders>
            <w:vAlign w:val="center"/>
          </w:tcPr>
          <w:p w14:paraId="4ADC38A2" w14:textId="77777777" w:rsidR="00A77F82" w:rsidRPr="004F11AC" w:rsidRDefault="00A77F82" w:rsidP="00E208B7">
            <w:pPr>
              <w:pStyle w:val="COMTableheadingrow"/>
              <w:rPr>
                <w:lang w:val="en-AU"/>
              </w:rPr>
            </w:pPr>
            <w:r w:rsidRPr="004F11AC">
              <w:rPr>
                <w:lang w:val="en-AU"/>
              </w:rPr>
              <w:t>Nocturnal symptomatic hypoglycaemia in maintenance periods</w:t>
            </w:r>
          </w:p>
        </w:tc>
      </w:tr>
      <w:tr w:rsidR="00BA0730" w:rsidRPr="004F11AC" w14:paraId="52D017A2" w14:textId="77777777">
        <w:tc>
          <w:tcPr>
            <w:tcW w:w="9082" w:type="dxa"/>
            <w:gridSpan w:val="6"/>
            <w:tcBorders>
              <w:top w:val="single" w:sz="4" w:space="0" w:color="auto"/>
              <w:left w:val="single" w:sz="4" w:space="0" w:color="auto"/>
              <w:bottom w:val="single" w:sz="4" w:space="0" w:color="auto"/>
              <w:right w:val="single" w:sz="4" w:space="0" w:color="auto"/>
            </w:tcBorders>
            <w:vAlign w:val="center"/>
          </w:tcPr>
          <w:p w14:paraId="2108346E" w14:textId="77777777" w:rsidR="00A77F82" w:rsidRPr="004F11AC" w:rsidRDefault="00A77F82" w:rsidP="00E208B7">
            <w:pPr>
              <w:pStyle w:val="Tabletext0"/>
              <w:keepNext/>
              <w:rPr>
                <w:b/>
                <w:bCs/>
              </w:rPr>
            </w:pPr>
            <w:r w:rsidRPr="004F11AC">
              <w:rPr>
                <w:b/>
                <w:bCs/>
              </w:rPr>
              <w:t>Level 1 (PG ≤3.9 mmol/L)</w:t>
            </w:r>
          </w:p>
        </w:tc>
      </w:tr>
      <w:tr w:rsidR="00BA0730" w:rsidRPr="004F11AC" w14:paraId="70286578" w14:textId="77777777">
        <w:tc>
          <w:tcPr>
            <w:tcW w:w="1660" w:type="dxa"/>
            <w:tcBorders>
              <w:top w:val="nil"/>
              <w:left w:val="single" w:sz="4" w:space="0" w:color="auto"/>
              <w:bottom w:val="single" w:sz="4" w:space="0" w:color="auto"/>
              <w:right w:val="single" w:sz="4" w:space="0" w:color="auto"/>
            </w:tcBorders>
            <w:vAlign w:val="center"/>
            <w:hideMark/>
          </w:tcPr>
          <w:p w14:paraId="14277A1F" w14:textId="77777777" w:rsidR="00A77F82" w:rsidRPr="004F11AC" w:rsidRDefault="00A77F82" w:rsidP="00E208B7">
            <w:pPr>
              <w:pStyle w:val="Tabletext0"/>
              <w:keepNext/>
            </w:pPr>
            <w:r w:rsidRPr="004F11AC">
              <w:t>12:00am-05:59am</w:t>
            </w:r>
          </w:p>
        </w:tc>
        <w:tc>
          <w:tcPr>
            <w:tcW w:w="887" w:type="dxa"/>
            <w:tcBorders>
              <w:top w:val="nil"/>
              <w:left w:val="single" w:sz="4" w:space="0" w:color="auto"/>
              <w:bottom w:val="single" w:sz="4" w:space="0" w:color="auto"/>
              <w:right w:val="single" w:sz="4" w:space="0" w:color="auto"/>
            </w:tcBorders>
            <w:vAlign w:val="center"/>
          </w:tcPr>
          <w:p w14:paraId="4984A9B0" w14:textId="77777777" w:rsidR="00A77F82" w:rsidRPr="004F11AC" w:rsidRDefault="00A77F82" w:rsidP="00E208B7">
            <w:pPr>
              <w:pStyle w:val="Tabletext0"/>
              <w:keepNext/>
              <w:jc w:val="center"/>
            </w:pPr>
            <w:r w:rsidRPr="004F11AC">
              <w:t>319</w:t>
            </w:r>
          </w:p>
        </w:tc>
        <w:tc>
          <w:tcPr>
            <w:tcW w:w="1989" w:type="dxa"/>
            <w:tcBorders>
              <w:top w:val="nil"/>
              <w:left w:val="single" w:sz="4" w:space="0" w:color="auto"/>
              <w:bottom w:val="single" w:sz="4" w:space="0" w:color="auto"/>
              <w:right w:val="single" w:sz="4" w:space="0" w:color="auto"/>
            </w:tcBorders>
            <w:vAlign w:val="center"/>
          </w:tcPr>
          <w:p w14:paraId="016EA826" w14:textId="77777777" w:rsidR="00A77F82" w:rsidRPr="004F11AC" w:rsidRDefault="00A77F82" w:rsidP="00E208B7">
            <w:pPr>
              <w:pStyle w:val="Tabletext0"/>
              <w:keepNext/>
              <w:jc w:val="center"/>
            </w:pPr>
            <w:r w:rsidRPr="004F11AC">
              <w:t>2.88 (5.14)</w:t>
            </w:r>
          </w:p>
        </w:tc>
        <w:tc>
          <w:tcPr>
            <w:tcW w:w="846" w:type="dxa"/>
            <w:tcBorders>
              <w:top w:val="nil"/>
              <w:left w:val="single" w:sz="4" w:space="0" w:color="auto"/>
              <w:bottom w:val="single" w:sz="4" w:space="0" w:color="auto"/>
              <w:right w:val="single" w:sz="4" w:space="0" w:color="auto"/>
            </w:tcBorders>
            <w:vAlign w:val="center"/>
            <w:hideMark/>
          </w:tcPr>
          <w:p w14:paraId="0D3559CD" w14:textId="77777777" w:rsidR="00A77F82" w:rsidRPr="004F11AC" w:rsidRDefault="00A77F82" w:rsidP="00E208B7">
            <w:pPr>
              <w:pStyle w:val="Tabletext0"/>
              <w:keepNext/>
              <w:jc w:val="center"/>
            </w:pPr>
            <w:r w:rsidRPr="004F11AC">
              <w:t>408</w:t>
            </w:r>
          </w:p>
        </w:tc>
        <w:tc>
          <w:tcPr>
            <w:tcW w:w="2031" w:type="dxa"/>
            <w:tcBorders>
              <w:top w:val="nil"/>
              <w:left w:val="single" w:sz="4" w:space="0" w:color="auto"/>
              <w:bottom w:val="single" w:sz="4" w:space="0" w:color="auto"/>
              <w:right w:val="single" w:sz="4" w:space="0" w:color="auto"/>
            </w:tcBorders>
            <w:vAlign w:val="center"/>
          </w:tcPr>
          <w:p w14:paraId="52C2D674" w14:textId="77777777" w:rsidR="00A77F82" w:rsidRPr="004F11AC" w:rsidRDefault="00A77F82" w:rsidP="00E208B7">
            <w:pPr>
              <w:pStyle w:val="Tabletext0"/>
              <w:keepNext/>
              <w:jc w:val="center"/>
            </w:pPr>
            <w:r w:rsidRPr="004F11AC">
              <w:t>3.87 (5.84)</w:t>
            </w:r>
          </w:p>
        </w:tc>
        <w:tc>
          <w:tcPr>
            <w:tcW w:w="1669" w:type="dxa"/>
            <w:tcBorders>
              <w:top w:val="single" w:sz="4" w:space="0" w:color="auto"/>
              <w:left w:val="single" w:sz="4" w:space="0" w:color="auto"/>
              <w:right w:val="single" w:sz="4" w:space="0" w:color="auto"/>
            </w:tcBorders>
          </w:tcPr>
          <w:p w14:paraId="17AA0256" w14:textId="77777777" w:rsidR="00A77F82" w:rsidRPr="004F11AC" w:rsidRDefault="00A77F82" w:rsidP="00E208B7">
            <w:pPr>
              <w:pStyle w:val="Tabletext0"/>
              <w:keepNext/>
              <w:jc w:val="center"/>
              <w:rPr>
                <w:b/>
                <w:bCs/>
              </w:rPr>
            </w:pPr>
            <w:r w:rsidRPr="004F11AC">
              <w:rPr>
                <w:b/>
                <w:bCs/>
              </w:rPr>
              <w:t>28% (9, 43)</w:t>
            </w:r>
          </w:p>
        </w:tc>
      </w:tr>
      <w:tr w:rsidR="00BA0730" w:rsidRPr="004F11AC" w14:paraId="5283F31B" w14:textId="77777777">
        <w:tc>
          <w:tcPr>
            <w:tcW w:w="1660" w:type="dxa"/>
            <w:tcBorders>
              <w:top w:val="single" w:sz="4" w:space="0" w:color="auto"/>
              <w:left w:val="single" w:sz="4" w:space="0" w:color="auto"/>
              <w:bottom w:val="single" w:sz="4" w:space="0" w:color="auto"/>
              <w:right w:val="single" w:sz="4" w:space="0" w:color="auto"/>
            </w:tcBorders>
            <w:vAlign w:val="center"/>
            <w:hideMark/>
          </w:tcPr>
          <w:p w14:paraId="58C9B0B1" w14:textId="77777777" w:rsidR="00A77F82" w:rsidRPr="004F11AC" w:rsidRDefault="00A77F82" w:rsidP="00E208B7">
            <w:pPr>
              <w:pStyle w:val="Tabletext0"/>
              <w:keepNext/>
            </w:pPr>
            <w:r w:rsidRPr="004F11AC">
              <w:t>11:00pm-06:59am</w:t>
            </w:r>
          </w:p>
        </w:tc>
        <w:tc>
          <w:tcPr>
            <w:tcW w:w="887" w:type="dxa"/>
            <w:tcBorders>
              <w:top w:val="single" w:sz="4" w:space="0" w:color="auto"/>
              <w:left w:val="single" w:sz="4" w:space="0" w:color="auto"/>
              <w:bottom w:val="single" w:sz="4" w:space="0" w:color="auto"/>
              <w:right w:val="single" w:sz="4" w:space="0" w:color="auto"/>
            </w:tcBorders>
          </w:tcPr>
          <w:p w14:paraId="4C8C5921" w14:textId="77777777" w:rsidR="00A77F82" w:rsidRPr="004F11AC" w:rsidRDefault="00A77F82" w:rsidP="00E208B7">
            <w:pPr>
              <w:pStyle w:val="Tabletext0"/>
              <w:keepNext/>
              <w:jc w:val="center"/>
            </w:pPr>
            <w:r w:rsidRPr="004F11AC">
              <w:t>622</w:t>
            </w:r>
          </w:p>
        </w:tc>
        <w:tc>
          <w:tcPr>
            <w:tcW w:w="1989" w:type="dxa"/>
            <w:tcBorders>
              <w:top w:val="single" w:sz="4" w:space="0" w:color="auto"/>
              <w:left w:val="single" w:sz="4" w:space="0" w:color="auto"/>
              <w:bottom w:val="single" w:sz="4" w:space="0" w:color="auto"/>
              <w:right w:val="single" w:sz="4" w:space="0" w:color="auto"/>
            </w:tcBorders>
          </w:tcPr>
          <w:p w14:paraId="3F44373B" w14:textId="77777777" w:rsidR="00A77F82" w:rsidRPr="004F11AC" w:rsidRDefault="00A77F82" w:rsidP="00E208B7">
            <w:pPr>
              <w:pStyle w:val="Tabletext0"/>
              <w:keepNext/>
              <w:jc w:val="center"/>
            </w:pPr>
            <w:r w:rsidRPr="004F11AC">
              <w:t>5.69 (8.68)</w:t>
            </w:r>
          </w:p>
        </w:tc>
        <w:tc>
          <w:tcPr>
            <w:tcW w:w="846" w:type="dxa"/>
            <w:tcBorders>
              <w:top w:val="single" w:sz="4" w:space="0" w:color="auto"/>
              <w:left w:val="single" w:sz="4" w:space="0" w:color="auto"/>
              <w:bottom w:val="single" w:sz="4" w:space="0" w:color="auto"/>
              <w:right w:val="single" w:sz="4" w:space="0" w:color="auto"/>
            </w:tcBorders>
          </w:tcPr>
          <w:p w14:paraId="3707B005" w14:textId="77777777" w:rsidR="00A77F82" w:rsidRPr="004F11AC" w:rsidRDefault="00A77F82" w:rsidP="00E208B7">
            <w:pPr>
              <w:pStyle w:val="Tabletext0"/>
              <w:keepNext/>
              <w:jc w:val="center"/>
            </w:pPr>
            <w:r w:rsidRPr="004F11AC">
              <w:t>757</w:t>
            </w:r>
          </w:p>
        </w:tc>
        <w:tc>
          <w:tcPr>
            <w:tcW w:w="2031" w:type="dxa"/>
            <w:tcBorders>
              <w:top w:val="single" w:sz="4" w:space="0" w:color="auto"/>
              <w:left w:val="single" w:sz="4" w:space="0" w:color="auto"/>
              <w:bottom w:val="single" w:sz="4" w:space="0" w:color="auto"/>
              <w:right w:val="single" w:sz="4" w:space="0" w:color="auto"/>
            </w:tcBorders>
          </w:tcPr>
          <w:p w14:paraId="3CF884A3" w14:textId="77777777" w:rsidR="00A77F82" w:rsidRPr="004F11AC" w:rsidRDefault="00A77F82" w:rsidP="00E208B7">
            <w:pPr>
              <w:pStyle w:val="Tabletext0"/>
              <w:keepNext/>
              <w:jc w:val="center"/>
            </w:pPr>
            <w:r w:rsidRPr="004F11AC">
              <w:t>7.39 (9.31)</w:t>
            </w:r>
          </w:p>
        </w:tc>
        <w:tc>
          <w:tcPr>
            <w:tcW w:w="1669" w:type="dxa"/>
            <w:tcBorders>
              <w:left w:val="single" w:sz="4" w:space="0" w:color="auto"/>
              <w:bottom w:val="single" w:sz="4" w:space="0" w:color="auto"/>
              <w:right w:val="single" w:sz="4" w:space="0" w:color="auto"/>
            </w:tcBorders>
          </w:tcPr>
          <w:p w14:paraId="25052C5F" w14:textId="77777777" w:rsidR="00A77F82" w:rsidRPr="004F11AC" w:rsidRDefault="00A77F82" w:rsidP="00E208B7">
            <w:pPr>
              <w:pStyle w:val="Tabletext0"/>
              <w:keepNext/>
              <w:jc w:val="center"/>
              <w:rPr>
                <w:b/>
                <w:bCs/>
              </w:rPr>
            </w:pPr>
            <w:r w:rsidRPr="004F11AC">
              <w:rPr>
                <w:b/>
                <w:bCs/>
              </w:rPr>
              <w:t>28% (4, 45)</w:t>
            </w:r>
          </w:p>
        </w:tc>
      </w:tr>
      <w:tr w:rsidR="00BA0730" w:rsidRPr="004F11AC" w14:paraId="7386EB21" w14:textId="77777777">
        <w:tc>
          <w:tcPr>
            <w:tcW w:w="9082" w:type="dxa"/>
            <w:gridSpan w:val="6"/>
            <w:tcBorders>
              <w:top w:val="single" w:sz="4" w:space="0" w:color="auto"/>
              <w:left w:val="single" w:sz="4" w:space="0" w:color="auto"/>
              <w:bottom w:val="single" w:sz="4" w:space="0" w:color="auto"/>
              <w:right w:val="single" w:sz="4" w:space="0" w:color="auto"/>
            </w:tcBorders>
            <w:vAlign w:val="center"/>
          </w:tcPr>
          <w:p w14:paraId="2B122E4C" w14:textId="77777777" w:rsidR="00A77F82" w:rsidRPr="004F11AC" w:rsidRDefault="00A77F82" w:rsidP="00E208B7">
            <w:pPr>
              <w:pStyle w:val="Tabletext0"/>
              <w:keepNext/>
              <w:rPr>
                <w:b/>
                <w:bCs/>
              </w:rPr>
            </w:pPr>
            <w:r w:rsidRPr="004F11AC">
              <w:rPr>
                <w:b/>
                <w:bCs/>
              </w:rPr>
              <w:t>Level 2 (PG ≤3.0 mmol/L)</w:t>
            </w:r>
          </w:p>
        </w:tc>
      </w:tr>
      <w:tr w:rsidR="00BA0730" w:rsidRPr="004F11AC" w14:paraId="5A3CEB48" w14:textId="77777777">
        <w:tc>
          <w:tcPr>
            <w:tcW w:w="1660" w:type="dxa"/>
            <w:tcBorders>
              <w:top w:val="nil"/>
              <w:left w:val="single" w:sz="4" w:space="0" w:color="auto"/>
              <w:bottom w:val="single" w:sz="4" w:space="0" w:color="auto"/>
              <w:right w:val="single" w:sz="4" w:space="0" w:color="auto"/>
            </w:tcBorders>
            <w:vAlign w:val="center"/>
            <w:hideMark/>
          </w:tcPr>
          <w:p w14:paraId="19F742CF" w14:textId="77777777" w:rsidR="00A77F82" w:rsidRPr="004F11AC" w:rsidRDefault="00A77F82" w:rsidP="00E208B7">
            <w:pPr>
              <w:pStyle w:val="Tabletext0"/>
              <w:keepNext/>
            </w:pPr>
            <w:r w:rsidRPr="004F11AC">
              <w:t>12:00am-05:59am</w:t>
            </w:r>
          </w:p>
        </w:tc>
        <w:tc>
          <w:tcPr>
            <w:tcW w:w="887" w:type="dxa"/>
            <w:tcBorders>
              <w:top w:val="nil"/>
              <w:left w:val="single" w:sz="4" w:space="0" w:color="auto"/>
              <w:bottom w:val="single" w:sz="4" w:space="0" w:color="auto"/>
              <w:right w:val="single" w:sz="4" w:space="0" w:color="auto"/>
            </w:tcBorders>
          </w:tcPr>
          <w:p w14:paraId="3DCAAF61" w14:textId="77777777" w:rsidR="00A77F82" w:rsidRPr="004F11AC" w:rsidRDefault="00A77F82" w:rsidP="00E208B7">
            <w:pPr>
              <w:pStyle w:val="Tabletext0"/>
              <w:keepNext/>
              <w:jc w:val="center"/>
            </w:pPr>
            <w:r w:rsidRPr="004F11AC">
              <w:t>186</w:t>
            </w:r>
          </w:p>
        </w:tc>
        <w:tc>
          <w:tcPr>
            <w:tcW w:w="1989" w:type="dxa"/>
            <w:tcBorders>
              <w:top w:val="nil"/>
              <w:left w:val="single" w:sz="4" w:space="0" w:color="auto"/>
              <w:bottom w:val="single" w:sz="4" w:space="0" w:color="auto"/>
              <w:right w:val="single" w:sz="4" w:space="0" w:color="auto"/>
            </w:tcBorders>
          </w:tcPr>
          <w:p w14:paraId="23B6EE36" w14:textId="77777777" w:rsidR="00A77F82" w:rsidRPr="004F11AC" w:rsidRDefault="00A77F82" w:rsidP="00E208B7">
            <w:pPr>
              <w:pStyle w:val="Tabletext0"/>
              <w:keepNext/>
              <w:jc w:val="center"/>
            </w:pPr>
            <w:r w:rsidRPr="004F11AC">
              <w:t>1.68 (3.61)</w:t>
            </w:r>
          </w:p>
        </w:tc>
        <w:tc>
          <w:tcPr>
            <w:tcW w:w="846" w:type="dxa"/>
            <w:tcBorders>
              <w:top w:val="nil"/>
              <w:left w:val="single" w:sz="4" w:space="0" w:color="auto"/>
              <w:bottom w:val="single" w:sz="4" w:space="0" w:color="auto"/>
              <w:right w:val="single" w:sz="4" w:space="0" w:color="auto"/>
            </w:tcBorders>
          </w:tcPr>
          <w:p w14:paraId="3BDD5C84" w14:textId="77777777" w:rsidR="00A77F82" w:rsidRPr="004F11AC" w:rsidRDefault="00A77F82" w:rsidP="00E208B7">
            <w:pPr>
              <w:pStyle w:val="Tabletext0"/>
              <w:keepNext/>
              <w:jc w:val="center"/>
            </w:pPr>
            <w:r w:rsidRPr="004F11AC">
              <w:t>261</w:t>
            </w:r>
          </w:p>
        </w:tc>
        <w:tc>
          <w:tcPr>
            <w:tcW w:w="2031" w:type="dxa"/>
            <w:tcBorders>
              <w:top w:val="nil"/>
              <w:left w:val="single" w:sz="4" w:space="0" w:color="auto"/>
              <w:bottom w:val="single" w:sz="4" w:space="0" w:color="auto"/>
              <w:right w:val="single" w:sz="4" w:space="0" w:color="auto"/>
            </w:tcBorders>
          </w:tcPr>
          <w:p w14:paraId="3633180F" w14:textId="77777777" w:rsidR="00A77F82" w:rsidRPr="004F11AC" w:rsidRDefault="00A77F82" w:rsidP="00E208B7">
            <w:pPr>
              <w:pStyle w:val="Tabletext0"/>
              <w:keepNext/>
              <w:jc w:val="center"/>
            </w:pPr>
            <w:r w:rsidRPr="004F11AC">
              <w:t>2.47 (4.26)</w:t>
            </w:r>
          </w:p>
        </w:tc>
        <w:tc>
          <w:tcPr>
            <w:tcW w:w="1669" w:type="dxa"/>
            <w:tcBorders>
              <w:top w:val="single" w:sz="4" w:space="0" w:color="auto"/>
              <w:left w:val="single" w:sz="4" w:space="0" w:color="auto"/>
              <w:right w:val="single" w:sz="4" w:space="0" w:color="auto"/>
            </w:tcBorders>
          </w:tcPr>
          <w:p w14:paraId="612EC4B3" w14:textId="77777777" w:rsidR="00A77F82" w:rsidRPr="004F11AC" w:rsidRDefault="00A77F82" w:rsidP="00E208B7">
            <w:pPr>
              <w:pStyle w:val="Tabletext0"/>
              <w:keepNext/>
              <w:jc w:val="center"/>
              <w:rPr>
                <w:b/>
                <w:bCs/>
              </w:rPr>
            </w:pPr>
            <w:r w:rsidRPr="004F11AC">
              <w:rPr>
                <w:b/>
                <w:bCs/>
              </w:rPr>
              <w:t>37% (16, 53)</w:t>
            </w:r>
          </w:p>
        </w:tc>
      </w:tr>
      <w:tr w:rsidR="00BA0730" w:rsidRPr="004F11AC" w14:paraId="48D605EE" w14:textId="77777777">
        <w:tc>
          <w:tcPr>
            <w:tcW w:w="1660" w:type="dxa"/>
            <w:tcBorders>
              <w:top w:val="single" w:sz="4" w:space="0" w:color="auto"/>
              <w:left w:val="single" w:sz="4" w:space="0" w:color="auto"/>
              <w:bottom w:val="single" w:sz="4" w:space="0" w:color="auto"/>
              <w:right w:val="single" w:sz="4" w:space="0" w:color="auto"/>
            </w:tcBorders>
            <w:vAlign w:val="center"/>
            <w:hideMark/>
          </w:tcPr>
          <w:p w14:paraId="6E1B0457" w14:textId="77777777" w:rsidR="00A77F82" w:rsidRPr="004F11AC" w:rsidRDefault="00A77F82" w:rsidP="00E208B7">
            <w:pPr>
              <w:pStyle w:val="Tabletext0"/>
              <w:keepNext/>
            </w:pPr>
            <w:r w:rsidRPr="004F11AC">
              <w:t>11:00pm-06:59am</w:t>
            </w:r>
          </w:p>
        </w:tc>
        <w:tc>
          <w:tcPr>
            <w:tcW w:w="887" w:type="dxa"/>
            <w:tcBorders>
              <w:top w:val="single" w:sz="4" w:space="0" w:color="auto"/>
              <w:left w:val="single" w:sz="4" w:space="0" w:color="auto"/>
              <w:bottom w:val="single" w:sz="4" w:space="0" w:color="auto"/>
              <w:right w:val="single" w:sz="4" w:space="0" w:color="auto"/>
            </w:tcBorders>
          </w:tcPr>
          <w:p w14:paraId="1D827FFC" w14:textId="77777777" w:rsidR="00A77F82" w:rsidRPr="004F11AC" w:rsidRDefault="00A77F82" w:rsidP="00E208B7">
            <w:pPr>
              <w:pStyle w:val="Tabletext0"/>
              <w:keepNext/>
              <w:jc w:val="center"/>
            </w:pPr>
            <w:r w:rsidRPr="004F11AC">
              <w:t>316</w:t>
            </w:r>
          </w:p>
        </w:tc>
        <w:tc>
          <w:tcPr>
            <w:tcW w:w="1989" w:type="dxa"/>
            <w:tcBorders>
              <w:top w:val="single" w:sz="4" w:space="0" w:color="auto"/>
              <w:left w:val="single" w:sz="4" w:space="0" w:color="auto"/>
              <w:bottom w:val="single" w:sz="4" w:space="0" w:color="auto"/>
              <w:right w:val="single" w:sz="4" w:space="0" w:color="auto"/>
            </w:tcBorders>
          </w:tcPr>
          <w:p w14:paraId="32749C1F" w14:textId="77777777" w:rsidR="00A77F82" w:rsidRPr="004F11AC" w:rsidRDefault="00A77F82" w:rsidP="00E208B7">
            <w:pPr>
              <w:pStyle w:val="Tabletext0"/>
              <w:keepNext/>
              <w:jc w:val="center"/>
            </w:pPr>
            <w:r w:rsidRPr="004F11AC">
              <w:t>2.87 (5.36)</w:t>
            </w:r>
          </w:p>
        </w:tc>
        <w:tc>
          <w:tcPr>
            <w:tcW w:w="846" w:type="dxa"/>
            <w:tcBorders>
              <w:top w:val="single" w:sz="4" w:space="0" w:color="auto"/>
              <w:left w:val="single" w:sz="4" w:space="0" w:color="auto"/>
              <w:bottom w:val="single" w:sz="4" w:space="0" w:color="auto"/>
              <w:right w:val="single" w:sz="4" w:space="0" w:color="auto"/>
            </w:tcBorders>
          </w:tcPr>
          <w:p w14:paraId="3E96263B" w14:textId="77777777" w:rsidR="00A77F82" w:rsidRPr="004F11AC" w:rsidRDefault="00A77F82" w:rsidP="00E208B7">
            <w:pPr>
              <w:pStyle w:val="Tabletext0"/>
              <w:keepNext/>
              <w:jc w:val="center"/>
            </w:pPr>
            <w:r w:rsidRPr="004F11AC">
              <w:t>427</w:t>
            </w:r>
          </w:p>
        </w:tc>
        <w:tc>
          <w:tcPr>
            <w:tcW w:w="2031" w:type="dxa"/>
            <w:tcBorders>
              <w:top w:val="single" w:sz="4" w:space="0" w:color="auto"/>
              <w:left w:val="single" w:sz="4" w:space="0" w:color="auto"/>
              <w:bottom w:val="single" w:sz="4" w:space="0" w:color="auto"/>
              <w:right w:val="single" w:sz="4" w:space="0" w:color="auto"/>
            </w:tcBorders>
          </w:tcPr>
          <w:p w14:paraId="21457E87" w14:textId="77777777" w:rsidR="00A77F82" w:rsidRPr="004F11AC" w:rsidRDefault="00A77F82" w:rsidP="00E208B7">
            <w:pPr>
              <w:pStyle w:val="Tabletext0"/>
              <w:keepNext/>
              <w:jc w:val="center"/>
            </w:pPr>
            <w:r w:rsidRPr="004F11AC">
              <w:t>4.14 (6.18)</w:t>
            </w:r>
          </w:p>
        </w:tc>
        <w:tc>
          <w:tcPr>
            <w:tcW w:w="1669" w:type="dxa"/>
            <w:tcBorders>
              <w:left w:val="single" w:sz="4" w:space="0" w:color="auto"/>
              <w:bottom w:val="single" w:sz="4" w:space="0" w:color="auto"/>
              <w:right w:val="single" w:sz="4" w:space="0" w:color="auto"/>
            </w:tcBorders>
          </w:tcPr>
          <w:p w14:paraId="0213B366" w14:textId="77777777" w:rsidR="00A77F82" w:rsidRPr="004F11AC" w:rsidRDefault="00A77F82" w:rsidP="00E208B7">
            <w:pPr>
              <w:pStyle w:val="Tabletext0"/>
              <w:keepNext/>
              <w:jc w:val="center"/>
              <w:rPr>
                <w:b/>
                <w:bCs/>
              </w:rPr>
            </w:pPr>
            <w:r w:rsidRPr="004F11AC">
              <w:rPr>
                <w:b/>
                <w:bCs/>
              </w:rPr>
              <w:t>34% (17, 48)</w:t>
            </w:r>
          </w:p>
        </w:tc>
      </w:tr>
      <w:tr w:rsidR="00BA0730" w:rsidRPr="004F11AC" w14:paraId="19BE0E29" w14:textId="77777777">
        <w:tc>
          <w:tcPr>
            <w:tcW w:w="9082" w:type="dxa"/>
            <w:gridSpan w:val="6"/>
            <w:tcBorders>
              <w:top w:val="single" w:sz="4" w:space="0" w:color="auto"/>
              <w:left w:val="single" w:sz="4" w:space="0" w:color="auto"/>
              <w:bottom w:val="single" w:sz="4" w:space="0" w:color="auto"/>
              <w:right w:val="single" w:sz="4" w:space="0" w:color="auto"/>
            </w:tcBorders>
            <w:vAlign w:val="center"/>
          </w:tcPr>
          <w:p w14:paraId="55AE45F1" w14:textId="77777777" w:rsidR="00A77F82" w:rsidRPr="004F11AC" w:rsidRDefault="00A77F82" w:rsidP="00E208B7">
            <w:pPr>
              <w:pStyle w:val="COMTableheadingrow"/>
              <w:rPr>
                <w:lang w:val="en-AU"/>
              </w:rPr>
            </w:pPr>
            <w:r w:rsidRPr="004F11AC">
              <w:rPr>
                <w:lang w:val="en-AU"/>
              </w:rPr>
              <w:t>Severe symptomatic hypoglycaemia in maintenance periods</w:t>
            </w:r>
          </w:p>
        </w:tc>
      </w:tr>
      <w:tr w:rsidR="00BA0730" w:rsidRPr="004F11AC" w14:paraId="64D4BCB0" w14:textId="77777777">
        <w:tc>
          <w:tcPr>
            <w:tcW w:w="1660" w:type="dxa"/>
            <w:tcBorders>
              <w:top w:val="nil"/>
              <w:left w:val="single" w:sz="4" w:space="0" w:color="auto"/>
              <w:bottom w:val="single" w:sz="4" w:space="0" w:color="auto"/>
              <w:right w:val="single" w:sz="4" w:space="0" w:color="auto"/>
            </w:tcBorders>
            <w:vAlign w:val="center"/>
            <w:hideMark/>
          </w:tcPr>
          <w:p w14:paraId="2B320C0B" w14:textId="77777777" w:rsidR="00A77F82" w:rsidRPr="004F11AC" w:rsidRDefault="00A77F82" w:rsidP="00E208B7">
            <w:pPr>
              <w:pStyle w:val="Tabletext0"/>
              <w:keepNext/>
            </w:pPr>
            <w:r w:rsidRPr="004F11AC">
              <w:t>All day (24 hours)</w:t>
            </w:r>
          </w:p>
        </w:tc>
        <w:tc>
          <w:tcPr>
            <w:tcW w:w="887" w:type="dxa"/>
            <w:tcBorders>
              <w:top w:val="nil"/>
              <w:left w:val="single" w:sz="4" w:space="0" w:color="auto"/>
              <w:bottom w:val="single" w:sz="4" w:space="0" w:color="auto"/>
              <w:right w:val="single" w:sz="4" w:space="0" w:color="auto"/>
            </w:tcBorders>
          </w:tcPr>
          <w:p w14:paraId="3A04D0F9" w14:textId="77777777" w:rsidR="00A77F82" w:rsidRPr="004F11AC" w:rsidRDefault="00A77F82" w:rsidP="00E208B7">
            <w:pPr>
              <w:pStyle w:val="Tabletext0"/>
              <w:keepNext/>
              <w:jc w:val="center"/>
            </w:pPr>
            <w:r w:rsidRPr="004F11AC">
              <w:t>56</w:t>
            </w:r>
          </w:p>
        </w:tc>
        <w:tc>
          <w:tcPr>
            <w:tcW w:w="1989" w:type="dxa"/>
            <w:tcBorders>
              <w:top w:val="nil"/>
              <w:left w:val="single" w:sz="4" w:space="0" w:color="auto"/>
              <w:bottom w:val="single" w:sz="4" w:space="0" w:color="auto"/>
              <w:right w:val="single" w:sz="4" w:space="0" w:color="auto"/>
            </w:tcBorders>
          </w:tcPr>
          <w:p w14:paraId="65D1A52A" w14:textId="77777777" w:rsidR="00A77F82" w:rsidRPr="004F11AC" w:rsidRDefault="00A77F82" w:rsidP="00E208B7">
            <w:pPr>
              <w:pStyle w:val="Tabletext0"/>
              <w:keepNext/>
              <w:jc w:val="center"/>
            </w:pPr>
            <w:r w:rsidRPr="004F11AC">
              <w:t>0.52 (1.26)</w:t>
            </w:r>
          </w:p>
        </w:tc>
        <w:tc>
          <w:tcPr>
            <w:tcW w:w="846" w:type="dxa"/>
            <w:tcBorders>
              <w:top w:val="nil"/>
              <w:left w:val="single" w:sz="4" w:space="0" w:color="auto"/>
              <w:bottom w:val="single" w:sz="4" w:space="0" w:color="auto"/>
              <w:right w:val="single" w:sz="4" w:space="0" w:color="auto"/>
            </w:tcBorders>
            <w:hideMark/>
          </w:tcPr>
          <w:p w14:paraId="36BA2BC1" w14:textId="77777777" w:rsidR="00A77F82" w:rsidRPr="004F11AC" w:rsidRDefault="00A77F82" w:rsidP="00E208B7">
            <w:pPr>
              <w:pStyle w:val="Tabletext0"/>
              <w:keepNext/>
              <w:jc w:val="center"/>
            </w:pPr>
            <w:r w:rsidRPr="004F11AC">
              <w:t>80</w:t>
            </w:r>
          </w:p>
        </w:tc>
        <w:tc>
          <w:tcPr>
            <w:tcW w:w="2031" w:type="dxa"/>
            <w:tcBorders>
              <w:top w:val="nil"/>
              <w:left w:val="single" w:sz="4" w:space="0" w:color="auto"/>
              <w:bottom w:val="single" w:sz="4" w:space="0" w:color="auto"/>
              <w:right w:val="single" w:sz="4" w:space="0" w:color="auto"/>
            </w:tcBorders>
          </w:tcPr>
          <w:p w14:paraId="1F2D4962" w14:textId="77777777" w:rsidR="00A77F82" w:rsidRPr="004F11AC" w:rsidRDefault="00A77F82" w:rsidP="00E208B7">
            <w:pPr>
              <w:pStyle w:val="Tabletext0"/>
              <w:keepNext/>
              <w:jc w:val="center"/>
            </w:pPr>
            <w:r w:rsidRPr="004F11AC">
              <w:t>0.85 (1.78)</w:t>
            </w:r>
          </w:p>
        </w:tc>
        <w:tc>
          <w:tcPr>
            <w:tcW w:w="1669" w:type="dxa"/>
            <w:tcBorders>
              <w:top w:val="single" w:sz="4" w:space="0" w:color="auto"/>
              <w:left w:val="single" w:sz="4" w:space="0" w:color="auto"/>
              <w:right w:val="single" w:sz="4" w:space="0" w:color="auto"/>
            </w:tcBorders>
            <w:vAlign w:val="center"/>
          </w:tcPr>
          <w:p w14:paraId="2764E5E8" w14:textId="77777777" w:rsidR="00A77F82" w:rsidRPr="004F11AC" w:rsidRDefault="00A77F82" w:rsidP="00E208B7">
            <w:pPr>
              <w:pStyle w:val="Tabletext0"/>
              <w:keepNext/>
              <w:jc w:val="center"/>
              <w:rPr>
                <w:b/>
                <w:bCs/>
              </w:rPr>
            </w:pPr>
            <w:r w:rsidRPr="004F11AC">
              <w:rPr>
                <w:b/>
                <w:bCs/>
              </w:rPr>
              <w:t>35% (1, 58)</w:t>
            </w:r>
          </w:p>
        </w:tc>
      </w:tr>
      <w:tr w:rsidR="00BA0730" w:rsidRPr="004F11AC" w14:paraId="494C4E1C" w14:textId="77777777">
        <w:tc>
          <w:tcPr>
            <w:tcW w:w="9082" w:type="dxa"/>
            <w:gridSpan w:val="6"/>
            <w:tcBorders>
              <w:top w:val="nil"/>
              <w:left w:val="single" w:sz="4" w:space="0" w:color="auto"/>
              <w:bottom w:val="single" w:sz="4" w:space="0" w:color="auto"/>
              <w:right w:val="single" w:sz="4" w:space="0" w:color="auto"/>
            </w:tcBorders>
            <w:vAlign w:val="center"/>
          </w:tcPr>
          <w:p w14:paraId="505789BF" w14:textId="77777777" w:rsidR="00A77F82" w:rsidRPr="004F11AC" w:rsidRDefault="00A77F82" w:rsidP="00E208B7">
            <w:pPr>
              <w:pStyle w:val="Tabletext0"/>
              <w:keepNext/>
            </w:pPr>
            <w:r w:rsidRPr="004F11AC">
              <w:rPr>
                <w:b/>
                <w:bCs/>
              </w:rPr>
              <w:t>Daytime</w:t>
            </w:r>
          </w:p>
        </w:tc>
      </w:tr>
      <w:tr w:rsidR="00BA0730" w:rsidRPr="004F11AC" w14:paraId="7466219A" w14:textId="77777777">
        <w:tc>
          <w:tcPr>
            <w:tcW w:w="1660" w:type="dxa"/>
            <w:tcBorders>
              <w:top w:val="nil"/>
              <w:left w:val="single" w:sz="4" w:space="0" w:color="auto"/>
              <w:bottom w:val="single" w:sz="4" w:space="0" w:color="auto"/>
              <w:right w:val="single" w:sz="4" w:space="0" w:color="auto"/>
            </w:tcBorders>
            <w:vAlign w:val="center"/>
            <w:hideMark/>
          </w:tcPr>
          <w:p w14:paraId="0F5D6D54" w14:textId="77777777" w:rsidR="00A77F82" w:rsidRPr="004F11AC" w:rsidRDefault="00A77F82" w:rsidP="00E208B7">
            <w:pPr>
              <w:pStyle w:val="Tabletext0"/>
              <w:keepNext/>
            </w:pPr>
            <w:r w:rsidRPr="004F11AC">
              <w:t>06:00am-12:00am</w:t>
            </w:r>
          </w:p>
        </w:tc>
        <w:tc>
          <w:tcPr>
            <w:tcW w:w="887" w:type="dxa"/>
            <w:tcBorders>
              <w:top w:val="nil"/>
              <w:left w:val="single" w:sz="4" w:space="0" w:color="auto"/>
              <w:bottom w:val="single" w:sz="4" w:space="0" w:color="auto"/>
              <w:right w:val="single" w:sz="4" w:space="0" w:color="auto"/>
            </w:tcBorders>
          </w:tcPr>
          <w:p w14:paraId="0E37EB3D" w14:textId="77777777" w:rsidR="00A77F82" w:rsidRPr="004F11AC" w:rsidRDefault="00A77F82" w:rsidP="00E208B7">
            <w:pPr>
              <w:pStyle w:val="Tabletext0"/>
              <w:keepNext/>
              <w:jc w:val="center"/>
            </w:pPr>
            <w:r w:rsidRPr="004F11AC">
              <w:t>41</w:t>
            </w:r>
          </w:p>
        </w:tc>
        <w:tc>
          <w:tcPr>
            <w:tcW w:w="1989" w:type="dxa"/>
            <w:tcBorders>
              <w:top w:val="nil"/>
              <w:left w:val="single" w:sz="4" w:space="0" w:color="auto"/>
              <w:bottom w:val="single" w:sz="4" w:space="0" w:color="auto"/>
              <w:right w:val="single" w:sz="4" w:space="0" w:color="auto"/>
            </w:tcBorders>
          </w:tcPr>
          <w:p w14:paraId="12482DB9" w14:textId="77777777" w:rsidR="00A77F82" w:rsidRPr="004F11AC" w:rsidRDefault="00A77F82" w:rsidP="00E208B7">
            <w:pPr>
              <w:pStyle w:val="Tabletext0"/>
              <w:keepNext/>
              <w:jc w:val="center"/>
            </w:pPr>
            <w:r w:rsidRPr="004F11AC">
              <w:t>0.38 (1.02)</w:t>
            </w:r>
          </w:p>
        </w:tc>
        <w:tc>
          <w:tcPr>
            <w:tcW w:w="846" w:type="dxa"/>
            <w:tcBorders>
              <w:top w:val="nil"/>
              <w:left w:val="single" w:sz="4" w:space="0" w:color="auto"/>
              <w:bottom w:val="single" w:sz="4" w:space="0" w:color="auto"/>
              <w:right w:val="single" w:sz="4" w:space="0" w:color="auto"/>
            </w:tcBorders>
            <w:hideMark/>
          </w:tcPr>
          <w:p w14:paraId="760ECC46" w14:textId="77777777" w:rsidR="00A77F82" w:rsidRPr="004F11AC" w:rsidRDefault="00A77F82" w:rsidP="00E208B7">
            <w:pPr>
              <w:pStyle w:val="Tabletext0"/>
              <w:keepNext/>
              <w:jc w:val="center"/>
            </w:pPr>
            <w:r w:rsidRPr="004F11AC">
              <w:t>46</w:t>
            </w:r>
          </w:p>
        </w:tc>
        <w:tc>
          <w:tcPr>
            <w:tcW w:w="2031" w:type="dxa"/>
            <w:tcBorders>
              <w:top w:val="nil"/>
              <w:left w:val="single" w:sz="4" w:space="0" w:color="auto"/>
              <w:bottom w:val="single" w:sz="4" w:space="0" w:color="auto"/>
              <w:right w:val="single" w:sz="4" w:space="0" w:color="auto"/>
            </w:tcBorders>
          </w:tcPr>
          <w:p w14:paraId="30BF90DE" w14:textId="77777777" w:rsidR="00A77F82" w:rsidRPr="004F11AC" w:rsidRDefault="00A77F82" w:rsidP="00E208B7">
            <w:pPr>
              <w:pStyle w:val="Tabletext0"/>
              <w:keepNext/>
              <w:jc w:val="center"/>
            </w:pPr>
            <w:r w:rsidRPr="004F11AC">
              <w:t>0.45 (1.23)</w:t>
            </w:r>
          </w:p>
        </w:tc>
        <w:tc>
          <w:tcPr>
            <w:tcW w:w="1669" w:type="dxa"/>
            <w:tcBorders>
              <w:top w:val="single" w:sz="4" w:space="0" w:color="auto"/>
              <w:left w:val="single" w:sz="4" w:space="0" w:color="auto"/>
              <w:right w:val="single" w:sz="4" w:space="0" w:color="auto"/>
            </w:tcBorders>
          </w:tcPr>
          <w:p w14:paraId="40255CCE" w14:textId="77777777" w:rsidR="00A77F82" w:rsidRPr="004F11AC" w:rsidRDefault="00A77F82" w:rsidP="00E208B7">
            <w:pPr>
              <w:pStyle w:val="Tabletext0"/>
              <w:keepNext/>
              <w:jc w:val="center"/>
            </w:pPr>
            <w:r w:rsidRPr="004F11AC">
              <w:t>10% (-73, 53)</w:t>
            </w:r>
          </w:p>
        </w:tc>
      </w:tr>
      <w:tr w:rsidR="00BA0730" w:rsidRPr="004F11AC" w14:paraId="3A0623A8" w14:textId="77777777">
        <w:tc>
          <w:tcPr>
            <w:tcW w:w="1660" w:type="dxa"/>
            <w:tcBorders>
              <w:top w:val="single" w:sz="4" w:space="0" w:color="auto"/>
              <w:left w:val="single" w:sz="4" w:space="0" w:color="auto"/>
              <w:bottom w:val="single" w:sz="4" w:space="0" w:color="auto"/>
              <w:right w:val="single" w:sz="4" w:space="0" w:color="auto"/>
            </w:tcBorders>
            <w:vAlign w:val="center"/>
            <w:hideMark/>
          </w:tcPr>
          <w:p w14:paraId="0D23F7D3" w14:textId="77777777" w:rsidR="00A77F82" w:rsidRPr="004F11AC" w:rsidRDefault="00A77F82" w:rsidP="00E208B7">
            <w:pPr>
              <w:pStyle w:val="Tabletext0"/>
              <w:keepNext/>
            </w:pPr>
            <w:r w:rsidRPr="004F11AC">
              <w:t>07:00am-12:00pm</w:t>
            </w:r>
          </w:p>
        </w:tc>
        <w:tc>
          <w:tcPr>
            <w:tcW w:w="887" w:type="dxa"/>
            <w:tcBorders>
              <w:top w:val="single" w:sz="4" w:space="0" w:color="auto"/>
              <w:left w:val="single" w:sz="4" w:space="0" w:color="auto"/>
              <w:bottom w:val="single" w:sz="4" w:space="0" w:color="auto"/>
              <w:right w:val="single" w:sz="4" w:space="0" w:color="auto"/>
            </w:tcBorders>
          </w:tcPr>
          <w:p w14:paraId="37E71C44" w14:textId="77777777" w:rsidR="00A77F82" w:rsidRPr="004F11AC" w:rsidRDefault="00A77F82" w:rsidP="00E208B7">
            <w:pPr>
              <w:pStyle w:val="Tabletext0"/>
              <w:keepNext/>
              <w:jc w:val="center"/>
            </w:pPr>
            <w:r w:rsidRPr="004F11AC">
              <w:t>36</w:t>
            </w:r>
          </w:p>
        </w:tc>
        <w:tc>
          <w:tcPr>
            <w:tcW w:w="1989" w:type="dxa"/>
            <w:tcBorders>
              <w:top w:val="single" w:sz="4" w:space="0" w:color="auto"/>
              <w:left w:val="single" w:sz="4" w:space="0" w:color="auto"/>
              <w:bottom w:val="single" w:sz="4" w:space="0" w:color="auto"/>
              <w:right w:val="single" w:sz="4" w:space="0" w:color="auto"/>
            </w:tcBorders>
          </w:tcPr>
          <w:p w14:paraId="38342289" w14:textId="77777777" w:rsidR="00A77F82" w:rsidRPr="004F11AC" w:rsidRDefault="00A77F82" w:rsidP="00E208B7">
            <w:pPr>
              <w:pStyle w:val="Tabletext0"/>
              <w:keepNext/>
              <w:jc w:val="center"/>
            </w:pPr>
            <w:r w:rsidRPr="004F11AC">
              <w:t>0.34 (0.96)</w:t>
            </w:r>
          </w:p>
        </w:tc>
        <w:tc>
          <w:tcPr>
            <w:tcW w:w="846" w:type="dxa"/>
            <w:tcBorders>
              <w:top w:val="single" w:sz="4" w:space="0" w:color="auto"/>
              <w:left w:val="single" w:sz="4" w:space="0" w:color="auto"/>
              <w:bottom w:val="single" w:sz="4" w:space="0" w:color="auto"/>
              <w:right w:val="single" w:sz="4" w:space="0" w:color="auto"/>
            </w:tcBorders>
          </w:tcPr>
          <w:p w14:paraId="431DC6B3" w14:textId="77777777" w:rsidR="00A77F82" w:rsidRPr="004F11AC" w:rsidRDefault="00A77F82" w:rsidP="00E208B7">
            <w:pPr>
              <w:pStyle w:val="Tabletext0"/>
              <w:keepNext/>
              <w:jc w:val="center"/>
            </w:pPr>
            <w:r w:rsidRPr="004F11AC">
              <w:t>42</w:t>
            </w:r>
          </w:p>
        </w:tc>
        <w:tc>
          <w:tcPr>
            <w:tcW w:w="2031" w:type="dxa"/>
            <w:tcBorders>
              <w:top w:val="single" w:sz="4" w:space="0" w:color="auto"/>
              <w:left w:val="single" w:sz="4" w:space="0" w:color="auto"/>
              <w:bottom w:val="single" w:sz="4" w:space="0" w:color="auto"/>
              <w:right w:val="single" w:sz="4" w:space="0" w:color="auto"/>
            </w:tcBorders>
          </w:tcPr>
          <w:p w14:paraId="685C8E34" w14:textId="77777777" w:rsidR="00A77F82" w:rsidRPr="004F11AC" w:rsidRDefault="00A77F82" w:rsidP="00E208B7">
            <w:pPr>
              <w:pStyle w:val="Tabletext0"/>
              <w:keepNext/>
              <w:jc w:val="center"/>
            </w:pPr>
            <w:r w:rsidRPr="004F11AC">
              <w:t>0.41 (1.21)</w:t>
            </w:r>
          </w:p>
        </w:tc>
        <w:tc>
          <w:tcPr>
            <w:tcW w:w="1669" w:type="dxa"/>
            <w:tcBorders>
              <w:left w:val="single" w:sz="4" w:space="0" w:color="auto"/>
              <w:bottom w:val="single" w:sz="4" w:space="0" w:color="auto"/>
              <w:right w:val="single" w:sz="4" w:space="0" w:color="auto"/>
            </w:tcBorders>
          </w:tcPr>
          <w:p w14:paraId="41C83E2D" w14:textId="77777777" w:rsidR="00A77F82" w:rsidRPr="004F11AC" w:rsidRDefault="00A77F82" w:rsidP="00E208B7">
            <w:pPr>
              <w:pStyle w:val="Tabletext0"/>
              <w:keepNext/>
              <w:jc w:val="center"/>
            </w:pPr>
            <w:r w:rsidRPr="004F11AC">
              <w:t>13% (-86, 79)</w:t>
            </w:r>
          </w:p>
        </w:tc>
      </w:tr>
      <w:tr w:rsidR="00BA0730" w:rsidRPr="004F11AC" w14:paraId="50CFE294" w14:textId="77777777">
        <w:tc>
          <w:tcPr>
            <w:tcW w:w="9082" w:type="dxa"/>
            <w:gridSpan w:val="6"/>
            <w:tcBorders>
              <w:top w:val="single" w:sz="4" w:space="0" w:color="auto"/>
              <w:left w:val="single" w:sz="4" w:space="0" w:color="auto"/>
              <w:bottom w:val="single" w:sz="4" w:space="0" w:color="auto"/>
              <w:right w:val="single" w:sz="4" w:space="0" w:color="auto"/>
            </w:tcBorders>
            <w:vAlign w:val="center"/>
          </w:tcPr>
          <w:p w14:paraId="1892BFAC" w14:textId="77777777" w:rsidR="00A77F82" w:rsidRPr="004F11AC" w:rsidRDefault="00A77F82" w:rsidP="00E208B7">
            <w:pPr>
              <w:pStyle w:val="Tabletext0"/>
              <w:keepNext/>
              <w:rPr>
                <w:b/>
                <w:bCs/>
              </w:rPr>
            </w:pPr>
            <w:r w:rsidRPr="004F11AC">
              <w:rPr>
                <w:b/>
                <w:bCs/>
              </w:rPr>
              <w:t>Nocturnal</w:t>
            </w:r>
          </w:p>
        </w:tc>
      </w:tr>
      <w:tr w:rsidR="00BA0730" w:rsidRPr="004F11AC" w14:paraId="5B51B499" w14:textId="77777777">
        <w:tc>
          <w:tcPr>
            <w:tcW w:w="1660" w:type="dxa"/>
            <w:tcBorders>
              <w:top w:val="nil"/>
              <w:left w:val="single" w:sz="4" w:space="0" w:color="auto"/>
              <w:bottom w:val="single" w:sz="4" w:space="0" w:color="auto"/>
              <w:right w:val="single" w:sz="4" w:space="0" w:color="auto"/>
            </w:tcBorders>
            <w:vAlign w:val="center"/>
            <w:hideMark/>
          </w:tcPr>
          <w:p w14:paraId="52343157" w14:textId="77777777" w:rsidR="00A77F82" w:rsidRPr="004F11AC" w:rsidRDefault="00A77F82" w:rsidP="00E208B7">
            <w:pPr>
              <w:pStyle w:val="Tabletext0"/>
              <w:keepNext/>
            </w:pPr>
            <w:r w:rsidRPr="004F11AC">
              <w:t>00:00am-06:00am</w:t>
            </w:r>
          </w:p>
        </w:tc>
        <w:tc>
          <w:tcPr>
            <w:tcW w:w="887" w:type="dxa"/>
            <w:tcBorders>
              <w:top w:val="nil"/>
              <w:left w:val="single" w:sz="4" w:space="0" w:color="auto"/>
              <w:bottom w:val="single" w:sz="4" w:space="0" w:color="auto"/>
              <w:right w:val="single" w:sz="4" w:space="0" w:color="auto"/>
            </w:tcBorders>
          </w:tcPr>
          <w:p w14:paraId="3755ADD3" w14:textId="77777777" w:rsidR="00A77F82" w:rsidRPr="004F11AC" w:rsidRDefault="00A77F82" w:rsidP="00E208B7">
            <w:pPr>
              <w:pStyle w:val="Tabletext0"/>
              <w:keepNext/>
              <w:jc w:val="center"/>
            </w:pPr>
            <w:r w:rsidRPr="004F11AC">
              <w:t>14</w:t>
            </w:r>
          </w:p>
        </w:tc>
        <w:tc>
          <w:tcPr>
            <w:tcW w:w="1989" w:type="dxa"/>
            <w:tcBorders>
              <w:top w:val="nil"/>
              <w:left w:val="single" w:sz="4" w:space="0" w:color="auto"/>
              <w:bottom w:val="single" w:sz="4" w:space="0" w:color="auto"/>
              <w:right w:val="single" w:sz="4" w:space="0" w:color="auto"/>
            </w:tcBorders>
          </w:tcPr>
          <w:p w14:paraId="6CFA3B9C" w14:textId="77777777" w:rsidR="00A77F82" w:rsidRPr="004F11AC" w:rsidRDefault="00A77F82" w:rsidP="00E208B7">
            <w:pPr>
              <w:pStyle w:val="Tabletext0"/>
              <w:keepNext/>
              <w:jc w:val="center"/>
            </w:pPr>
            <w:r w:rsidRPr="004F11AC">
              <w:t>0.13 (0.42)</w:t>
            </w:r>
          </w:p>
        </w:tc>
        <w:tc>
          <w:tcPr>
            <w:tcW w:w="846" w:type="dxa"/>
            <w:tcBorders>
              <w:top w:val="nil"/>
              <w:left w:val="single" w:sz="4" w:space="0" w:color="auto"/>
              <w:bottom w:val="single" w:sz="4" w:space="0" w:color="auto"/>
              <w:right w:val="single" w:sz="4" w:space="0" w:color="auto"/>
            </w:tcBorders>
          </w:tcPr>
          <w:p w14:paraId="56CDC635" w14:textId="77777777" w:rsidR="00A77F82" w:rsidRPr="004F11AC" w:rsidRDefault="00A77F82" w:rsidP="00E208B7">
            <w:pPr>
              <w:pStyle w:val="Tabletext0"/>
              <w:keepNext/>
              <w:jc w:val="center"/>
            </w:pPr>
            <w:r w:rsidRPr="004F11AC">
              <w:t>33</w:t>
            </w:r>
          </w:p>
        </w:tc>
        <w:tc>
          <w:tcPr>
            <w:tcW w:w="2031" w:type="dxa"/>
            <w:tcBorders>
              <w:top w:val="nil"/>
              <w:left w:val="single" w:sz="4" w:space="0" w:color="auto"/>
              <w:bottom w:val="single" w:sz="4" w:space="0" w:color="auto"/>
              <w:right w:val="single" w:sz="4" w:space="0" w:color="auto"/>
            </w:tcBorders>
          </w:tcPr>
          <w:p w14:paraId="2F39C6E2" w14:textId="77777777" w:rsidR="00A77F82" w:rsidRPr="004F11AC" w:rsidRDefault="00A77F82" w:rsidP="00E208B7">
            <w:pPr>
              <w:pStyle w:val="Tabletext0"/>
              <w:keepNext/>
              <w:jc w:val="center"/>
            </w:pPr>
            <w:r w:rsidRPr="004F11AC">
              <w:t>0.40 (1.26)</w:t>
            </w:r>
          </w:p>
        </w:tc>
        <w:tc>
          <w:tcPr>
            <w:tcW w:w="1669" w:type="dxa"/>
            <w:tcBorders>
              <w:top w:val="single" w:sz="4" w:space="0" w:color="auto"/>
              <w:left w:val="single" w:sz="4" w:space="0" w:color="auto"/>
              <w:right w:val="single" w:sz="4" w:space="0" w:color="auto"/>
            </w:tcBorders>
          </w:tcPr>
          <w:p w14:paraId="568F8798" w14:textId="77777777" w:rsidR="00A77F82" w:rsidRPr="004F11AC" w:rsidRDefault="00A77F82" w:rsidP="00E208B7">
            <w:pPr>
              <w:pStyle w:val="Tabletext0"/>
              <w:keepNext/>
              <w:jc w:val="center"/>
            </w:pPr>
            <w:r w:rsidRPr="004F11AC">
              <w:t>52% (-10, 79)</w:t>
            </w:r>
          </w:p>
        </w:tc>
      </w:tr>
      <w:tr w:rsidR="00BA0730" w:rsidRPr="004F11AC" w14:paraId="6736ECDE" w14:textId="77777777">
        <w:tc>
          <w:tcPr>
            <w:tcW w:w="1660" w:type="dxa"/>
            <w:tcBorders>
              <w:top w:val="single" w:sz="4" w:space="0" w:color="auto"/>
              <w:left w:val="single" w:sz="4" w:space="0" w:color="auto"/>
              <w:bottom w:val="single" w:sz="4" w:space="0" w:color="auto"/>
              <w:right w:val="single" w:sz="4" w:space="0" w:color="auto"/>
            </w:tcBorders>
            <w:vAlign w:val="center"/>
            <w:hideMark/>
          </w:tcPr>
          <w:p w14:paraId="688A3E60" w14:textId="77777777" w:rsidR="00A77F82" w:rsidRPr="004F11AC" w:rsidRDefault="00A77F82" w:rsidP="00E208B7">
            <w:pPr>
              <w:pStyle w:val="Tabletext0"/>
              <w:keepNext/>
            </w:pPr>
            <w:r w:rsidRPr="004F11AC">
              <w:t>11:00pm-07:00am</w:t>
            </w:r>
          </w:p>
        </w:tc>
        <w:tc>
          <w:tcPr>
            <w:tcW w:w="887" w:type="dxa"/>
            <w:tcBorders>
              <w:top w:val="single" w:sz="4" w:space="0" w:color="auto"/>
              <w:left w:val="single" w:sz="4" w:space="0" w:color="auto"/>
              <w:bottom w:val="single" w:sz="4" w:space="0" w:color="auto"/>
              <w:right w:val="single" w:sz="4" w:space="0" w:color="auto"/>
            </w:tcBorders>
          </w:tcPr>
          <w:p w14:paraId="1A87DF30" w14:textId="77777777" w:rsidR="00A77F82" w:rsidRPr="004F11AC" w:rsidRDefault="00A77F82" w:rsidP="00E208B7">
            <w:pPr>
              <w:pStyle w:val="Tabletext0"/>
              <w:keepNext/>
              <w:jc w:val="center"/>
            </w:pPr>
            <w:r w:rsidRPr="004F11AC">
              <w:t>19</w:t>
            </w:r>
          </w:p>
        </w:tc>
        <w:tc>
          <w:tcPr>
            <w:tcW w:w="1989" w:type="dxa"/>
            <w:tcBorders>
              <w:top w:val="single" w:sz="4" w:space="0" w:color="auto"/>
              <w:left w:val="single" w:sz="4" w:space="0" w:color="auto"/>
              <w:bottom w:val="single" w:sz="4" w:space="0" w:color="auto"/>
              <w:right w:val="single" w:sz="4" w:space="0" w:color="auto"/>
            </w:tcBorders>
          </w:tcPr>
          <w:p w14:paraId="698A0702" w14:textId="77777777" w:rsidR="00A77F82" w:rsidRPr="004F11AC" w:rsidRDefault="00A77F82" w:rsidP="00E208B7">
            <w:pPr>
              <w:pStyle w:val="Tabletext0"/>
              <w:keepNext/>
              <w:jc w:val="center"/>
            </w:pPr>
            <w:r w:rsidRPr="004F11AC">
              <w:t>0.17 (0.54)</w:t>
            </w:r>
          </w:p>
        </w:tc>
        <w:tc>
          <w:tcPr>
            <w:tcW w:w="846" w:type="dxa"/>
            <w:tcBorders>
              <w:top w:val="single" w:sz="4" w:space="0" w:color="auto"/>
              <w:left w:val="single" w:sz="4" w:space="0" w:color="auto"/>
              <w:bottom w:val="single" w:sz="4" w:space="0" w:color="auto"/>
              <w:right w:val="single" w:sz="4" w:space="0" w:color="auto"/>
            </w:tcBorders>
          </w:tcPr>
          <w:p w14:paraId="6F3BB802" w14:textId="77777777" w:rsidR="00A77F82" w:rsidRPr="004F11AC" w:rsidRDefault="00A77F82" w:rsidP="00E208B7">
            <w:pPr>
              <w:pStyle w:val="Tabletext0"/>
              <w:keepNext/>
              <w:jc w:val="center"/>
            </w:pPr>
            <w:r w:rsidRPr="004F11AC">
              <w:t>37</w:t>
            </w:r>
          </w:p>
        </w:tc>
        <w:tc>
          <w:tcPr>
            <w:tcW w:w="2031" w:type="dxa"/>
            <w:tcBorders>
              <w:top w:val="single" w:sz="4" w:space="0" w:color="auto"/>
              <w:left w:val="single" w:sz="4" w:space="0" w:color="auto"/>
              <w:bottom w:val="single" w:sz="4" w:space="0" w:color="auto"/>
              <w:right w:val="single" w:sz="4" w:space="0" w:color="auto"/>
            </w:tcBorders>
          </w:tcPr>
          <w:p w14:paraId="610F0E39" w14:textId="77777777" w:rsidR="00A77F82" w:rsidRPr="004F11AC" w:rsidRDefault="00A77F82" w:rsidP="00E208B7">
            <w:pPr>
              <w:pStyle w:val="Tabletext0"/>
              <w:keepNext/>
              <w:jc w:val="center"/>
            </w:pPr>
            <w:r w:rsidRPr="004F11AC">
              <w:t>0.43 (1.30)</w:t>
            </w:r>
          </w:p>
        </w:tc>
        <w:tc>
          <w:tcPr>
            <w:tcW w:w="1669" w:type="dxa"/>
            <w:tcBorders>
              <w:left w:val="single" w:sz="4" w:space="0" w:color="auto"/>
              <w:bottom w:val="single" w:sz="4" w:space="0" w:color="auto"/>
              <w:right w:val="single" w:sz="4" w:space="0" w:color="auto"/>
            </w:tcBorders>
          </w:tcPr>
          <w:p w14:paraId="19A19752" w14:textId="77777777" w:rsidR="00A77F82" w:rsidRPr="004F11AC" w:rsidRDefault="00A77F82" w:rsidP="00E208B7">
            <w:pPr>
              <w:pStyle w:val="Tabletext0"/>
              <w:keepNext/>
              <w:jc w:val="center"/>
            </w:pPr>
            <w:r w:rsidRPr="004F11AC">
              <w:t>51% (-15, 79)</w:t>
            </w:r>
          </w:p>
        </w:tc>
      </w:tr>
    </w:tbl>
    <w:p w14:paraId="4129F6D0" w14:textId="77777777" w:rsidR="00A77F82" w:rsidRPr="004F11AC" w:rsidRDefault="00A77F82" w:rsidP="00E208B7">
      <w:pPr>
        <w:pStyle w:val="COMTablefooter"/>
      </w:pPr>
      <w:r w:rsidRPr="004F11AC">
        <w:t>Source: Table 2-41 and Table 2-42, p80 of the resubmission.</w:t>
      </w:r>
    </w:p>
    <w:p w14:paraId="6E17C0F3" w14:textId="01EE4E33" w:rsidR="00240310" w:rsidRPr="004F11AC" w:rsidRDefault="00A77F82" w:rsidP="00E208B7">
      <w:pPr>
        <w:pStyle w:val="COMTablefooter"/>
      </w:pPr>
      <w:r w:rsidRPr="004F11AC">
        <w:t xml:space="preserve">Abbreviations: FAS, full analysis set; </w:t>
      </w:r>
      <w:proofErr w:type="spellStart"/>
      <w:r w:rsidRPr="004F11AC">
        <w:t>IDeg</w:t>
      </w:r>
      <w:proofErr w:type="spellEnd"/>
      <w:r w:rsidRPr="004F11AC">
        <w:t xml:space="preserve">, insulin degludec; </w:t>
      </w:r>
      <w:proofErr w:type="spellStart"/>
      <w:r w:rsidRPr="004F11AC">
        <w:t>IGlar</w:t>
      </w:r>
      <w:proofErr w:type="spellEnd"/>
      <w:r w:rsidRPr="004F11AC">
        <w:t>, insulin glargine; PG, plasma glucose; PY, patient-year; RRR, relative rate reduction; SD, standard deviation.</w:t>
      </w:r>
    </w:p>
    <w:p w14:paraId="1F35CAF4" w14:textId="77777777" w:rsidR="00630733" w:rsidRPr="004F11AC" w:rsidRDefault="00630733" w:rsidP="00E208B7">
      <w:pPr>
        <w:pStyle w:val="COMTablefooter"/>
      </w:pPr>
      <w:r w:rsidRPr="004F11AC">
        <w:t>Note: Statistical analyses were descriptive, based on a 5% (two-sided) level of statistical significance with no adjustment for multiple testing.</w:t>
      </w:r>
    </w:p>
    <w:p w14:paraId="69EC5FA7" w14:textId="72CBC57C" w:rsidR="0069067F" w:rsidRPr="005E6F23" w:rsidRDefault="001D1B0B" w:rsidP="00E208B7">
      <w:pPr>
        <w:pStyle w:val="COMexecsummnumbered"/>
      </w:pPr>
      <w:r w:rsidRPr="004F11AC">
        <w:t>Patients treated with insulin degludec experienced statistically significantly lower rates of level 1 (</w:t>
      </w:r>
      <w:r w:rsidR="00FD2242" w:rsidRPr="004F11AC">
        <w:t>plasma glucose (</w:t>
      </w:r>
      <w:r w:rsidRPr="004F11AC">
        <w:t>PG</w:t>
      </w:r>
      <w:r w:rsidR="00FD2242" w:rsidRPr="004F11AC">
        <w:t>)</w:t>
      </w:r>
      <w:r w:rsidRPr="004F11AC">
        <w:t xml:space="preserve"> ≤3.9 mmol/L) and level 2 (PG ≤3.0 mmol/L) nocturnal symptomatic hypoglycaemia compared to insulin glargine for both nocturnal time periods, as well as a statistically significantly lower rate of all day (24 hours) severe symptomatic hypoglycaemia. There were no statistically significant differences between treatments in severe symptomatic daytime or nocturnal hypoglycaemia over the specified time periods.</w:t>
      </w:r>
      <w:r w:rsidR="00322A52" w:rsidRPr="004F11AC">
        <w:t xml:space="preserve"> </w:t>
      </w:r>
      <w:r w:rsidR="00466FC3" w:rsidRPr="005E6F23">
        <w:rPr>
          <w:szCs w:val="20"/>
        </w:rPr>
        <w:t>The</w:t>
      </w:r>
      <w:r w:rsidR="00466FC3" w:rsidRPr="005E6F23">
        <w:t xml:space="preserve"> ESC considered the extent of </w:t>
      </w:r>
      <w:r w:rsidR="007F724F" w:rsidRPr="005E6F23">
        <w:t>any</w:t>
      </w:r>
      <w:r w:rsidR="00466FC3" w:rsidRPr="005E6F23">
        <w:t xml:space="preserve"> benefit to be uncertain given the increased use of continuous glucose monitoring in clinical practice (89% </w:t>
      </w:r>
      <w:r w:rsidR="00224BF2" w:rsidRPr="005E6F23">
        <w:t xml:space="preserve">according to the ADCQ registry </w:t>
      </w:r>
      <w:r w:rsidR="00466FC3" w:rsidRPr="005E6F23">
        <w:t>versus 26% in the trials)</w:t>
      </w:r>
      <w:r w:rsidR="00466FC3" w:rsidRPr="005E6F23">
        <w:rPr>
          <w:snapToGrid w:val="0"/>
        </w:rPr>
        <w:t>.</w:t>
      </w:r>
    </w:p>
    <w:p w14:paraId="38D402C8" w14:textId="2F23EDBA" w:rsidR="001D1B0B" w:rsidRPr="005E6F23" w:rsidRDefault="007F724F" w:rsidP="00E208B7">
      <w:pPr>
        <w:pStyle w:val="COMexecsummnumbered"/>
      </w:pPr>
      <w:r w:rsidRPr="005E6F23">
        <w:t xml:space="preserve">The ESC noted that the </w:t>
      </w:r>
      <w:proofErr w:type="spellStart"/>
      <w:r w:rsidRPr="005E6F23">
        <w:t>HypoDeg</w:t>
      </w:r>
      <w:proofErr w:type="spellEnd"/>
      <w:r w:rsidRPr="005E6F23">
        <w:t xml:space="preserve"> trial only included patients prone to hypoglycaemia episodes, and the rates of episodes reported could not be directly compared to Studies 3583, 3770 and 1835.</w:t>
      </w:r>
    </w:p>
    <w:p w14:paraId="773AB3CC" w14:textId="373BB26B" w:rsidR="002606B2" w:rsidRPr="005E6F23" w:rsidRDefault="002606B2" w:rsidP="00E208B7">
      <w:pPr>
        <w:pStyle w:val="COMH3"/>
        <w:rPr>
          <w:iCs w:val="0"/>
          <w:sz w:val="24"/>
          <w:szCs w:val="22"/>
        </w:rPr>
      </w:pPr>
      <w:r w:rsidRPr="005E6F23">
        <w:rPr>
          <w:iCs w:val="0"/>
          <w:sz w:val="24"/>
          <w:szCs w:val="22"/>
        </w:rPr>
        <w:t>Patient reported outcomes</w:t>
      </w:r>
    </w:p>
    <w:p w14:paraId="6484B58E" w14:textId="586CDAE7" w:rsidR="002606B2" w:rsidRPr="005E6F23" w:rsidRDefault="002606B2" w:rsidP="00E208B7">
      <w:pPr>
        <w:pStyle w:val="COMexecsummnumbered"/>
      </w:pPr>
      <w:r w:rsidRPr="005E6F23">
        <w:t xml:space="preserve">Studies 3583, 1835 and 3995 collated </w:t>
      </w:r>
      <w:r w:rsidR="005536F5" w:rsidRPr="005E6F23">
        <w:t>SF-</w:t>
      </w:r>
      <w:r w:rsidRPr="005E6F23">
        <w:t xml:space="preserve">36 data, and did not identify any statistically significant differences between treatment arms in overall scores. Similarly, Studies 3583 and 3995 collated Treatment Related Impact Measure – Diabetes (TRIM-D) </w:t>
      </w:r>
      <w:r w:rsidR="00A036CF" w:rsidRPr="005E6F23">
        <w:t>data and</w:t>
      </w:r>
      <w:r w:rsidRPr="005E6F23">
        <w:t xml:space="preserve"> found improved treatment related impact in both treatment groups, but no statistically significant differences between treatment arms.</w:t>
      </w:r>
    </w:p>
    <w:p w14:paraId="781F18B8" w14:textId="345F1BAA" w:rsidR="002606B2" w:rsidRPr="005E6F23" w:rsidRDefault="002606B2" w:rsidP="00E208B7">
      <w:pPr>
        <w:pStyle w:val="COMH3"/>
        <w:rPr>
          <w:iCs w:val="0"/>
          <w:sz w:val="24"/>
          <w:szCs w:val="22"/>
        </w:rPr>
      </w:pPr>
      <w:r w:rsidRPr="005E6F23">
        <w:rPr>
          <w:iCs w:val="0"/>
          <w:sz w:val="24"/>
          <w:szCs w:val="22"/>
        </w:rPr>
        <w:t>Insulin dose</w:t>
      </w:r>
    </w:p>
    <w:p w14:paraId="731DC018" w14:textId="78755DE5" w:rsidR="001D1B0B" w:rsidRPr="005E6F23" w:rsidRDefault="001D1B0B" w:rsidP="00E208B7">
      <w:pPr>
        <w:pStyle w:val="COMexecsummnumbered"/>
      </w:pPr>
      <w:r w:rsidRPr="005E6F23">
        <w:t xml:space="preserve">In Studies 3583 and 3770 mean insulin degludec doses were lower compared to insulin glargine. However, in Study 1835 mean insulin glargine doses were lower compared to insulin degludec, while in Study 3995 mean insulin glargine doses were lower </w:t>
      </w:r>
      <w:r w:rsidRPr="005E6F23">
        <w:lastRenderedPageBreak/>
        <w:t xml:space="preserve">compared to insulin degludec at the end of period 1, but higher than insulin degludec at the end of period 2. In Study 3995, differences in insulin doses between treatment groups were reduced when adjusted for baseline differences in body weight. Differences in mean insulin dose between insulin degludec and insulin glargine varied between </w:t>
      </w:r>
      <w:r w:rsidR="00A036CF" w:rsidRPr="005E6F23">
        <w:t>trials but</w:t>
      </w:r>
      <w:r w:rsidRPr="005E6F23">
        <w:t xml:space="preserve"> were similar for both treatments.</w:t>
      </w:r>
    </w:p>
    <w:p w14:paraId="575F5D57" w14:textId="62A26DBB" w:rsidR="001D1B0B" w:rsidRDefault="001D1B0B" w:rsidP="00E208B7">
      <w:pPr>
        <w:pStyle w:val="COMexecsummnumbered"/>
      </w:pPr>
      <w:r w:rsidRPr="005E6F23">
        <w:t xml:space="preserve">In the </w:t>
      </w:r>
      <w:proofErr w:type="spellStart"/>
      <w:r w:rsidRPr="005E6F23">
        <w:t>HypoDeg</w:t>
      </w:r>
      <w:proofErr w:type="spellEnd"/>
      <w:r w:rsidRPr="005E6F23">
        <w:t xml:space="preserve"> trial mean total insulin dose during treatment was similar between insulin degludec (42.7 IU) and insulin glargine (42.5 IU) at the end of the first treatment period, and the second maintenance period (49.2 IU; 48.1 IU). In a linear mixed effects model the mean total insulin dose was statistically significantly lower with insulin degludec. Similar results were observed for basal insulin doses (1</w:t>
      </w:r>
      <w:r w:rsidRPr="005E6F23">
        <w:rPr>
          <w:vertAlign w:val="superscript"/>
        </w:rPr>
        <w:t>st</w:t>
      </w:r>
      <w:r w:rsidRPr="005E6F23">
        <w:t xml:space="preserve"> treatment period 21.3 IU, 19.4 IU; 2</w:t>
      </w:r>
      <w:r w:rsidRPr="005E6F23">
        <w:rPr>
          <w:vertAlign w:val="superscript"/>
        </w:rPr>
        <w:t>nd</w:t>
      </w:r>
      <w:r w:rsidRPr="005E6F23">
        <w:t xml:space="preserve"> treatment period 24.6 IU, 24.1 IU), with </w:t>
      </w:r>
      <w:r w:rsidR="000009A2">
        <w:t xml:space="preserve">the difference in basal insulin doses being </w:t>
      </w:r>
      <w:r w:rsidRPr="005E6F23">
        <w:t>statistically significantly lower with insulin degludec.</w:t>
      </w:r>
    </w:p>
    <w:p w14:paraId="63AE64A6" w14:textId="31936070" w:rsidR="00496B11" w:rsidRPr="005E6F23" w:rsidRDefault="00496B11" w:rsidP="00E208B7">
      <w:pPr>
        <w:pStyle w:val="COMexecsummnumbered"/>
      </w:pPr>
      <w:r>
        <w:t xml:space="preserve">The mean ratio of insulin degludec to insulin </w:t>
      </w:r>
      <w:r w:rsidR="00F15A3E">
        <w:t xml:space="preserve">glargine </w:t>
      </w:r>
      <w:r w:rsidR="005F582F">
        <w:t xml:space="preserve">100 IU/mL </w:t>
      </w:r>
      <w:r w:rsidR="00F15A3E">
        <w:t xml:space="preserve">for basal insulin was reported to be 0.91 </w:t>
      </w:r>
      <w:r w:rsidR="005F582F">
        <w:t xml:space="preserve">IU/kg </w:t>
      </w:r>
      <w:r w:rsidR="00F15A3E">
        <w:t xml:space="preserve">in Study 3583, based on the ratio of </w:t>
      </w:r>
      <w:r w:rsidR="00FD310C">
        <w:t xml:space="preserve">mean doses of insulin degludec to insulin glargine at last treatment visit. The </w:t>
      </w:r>
      <w:r>
        <w:t>Pre-PBAC response proposed the equi-effective dose of insulin degludec to insulin glargine (100 IU/mL) to be 0.86:1.00, based on the estimated treatment ratio of insulin degludec to insulin glargine at Week 52 as reported in Table 2 of the Heller</w:t>
      </w:r>
      <w:r w:rsidR="00656091">
        <w:t xml:space="preserve"> et al.,</w:t>
      </w:r>
      <w:r>
        <w:t xml:space="preserve"> 2012 publication of Study 3583.</w:t>
      </w:r>
      <w:r w:rsidR="00FD310C">
        <w:t xml:space="preserve"> This ratio was </w:t>
      </w:r>
      <w:r w:rsidR="006B4BF3">
        <w:t>estimated by use of ANOVA of log-transformed dose value (</w:t>
      </w:r>
      <w:r w:rsidR="00312354">
        <w:t>U</w:t>
      </w:r>
      <w:r w:rsidR="006B4BF3">
        <w:t>/kg)</w:t>
      </w:r>
      <w:r w:rsidR="00312354">
        <w:t xml:space="preserve"> at week 52 with treatment, antidiabetic therapy at screening, sex, and region as fixed factors, and age and week 1 dose as covariates.</w:t>
      </w:r>
    </w:p>
    <w:p w14:paraId="7AFABD95" w14:textId="3EBDE3F4" w:rsidR="002606B2" w:rsidRPr="005E6F23" w:rsidRDefault="002606B2" w:rsidP="00E208B7">
      <w:pPr>
        <w:pStyle w:val="COMH3"/>
        <w:rPr>
          <w:iCs w:val="0"/>
          <w:sz w:val="24"/>
          <w:szCs w:val="22"/>
        </w:rPr>
      </w:pPr>
      <w:r w:rsidRPr="005E6F23">
        <w:rPr>
          <w:iCs w:val="0"/>
          <w:sz w:val="24"/>
          <w:szCs w:val="22"/>
        </w:rPr>
        <w:t>Network meta-analyses</w:t>
      </w:r>
    </w:p>
    <w:p w14:paraId="32ABC176" w14:textId="1D21CB07" w:rsidR="001D1B0B" w:rsidRPr="005E6F23" w:rsidRDefault="001D1B0B" w:rsidP="00E208B7">
      <w:pPr>
        <w:pStyle w:val="COMexecsummnumbered"/>
      </w:pPr>
      <w:r w:rsidRPr="005E6F23">
        <w:t xml:space="preserve">The </w:t>
      </w:r>
      <w:r w:rsidR="00EA58C0" w:rsidRPr="005E6F23">
        <w:t xml:space="preserve">ESC noted that the </w:t>
      </w:r>
      <w:r w:rsidRPr="005E6F23">
        <w:t xml:space="preserve">results of the network meta-analyses </w:t>
      </w:r>
      <w:r w:rsidR="002C0114" w:rsidRPr="005E6F23">
        <w:t xml:space="preserve">investigating the </w:t>
      </w:r>
      <w:r w:rsidR="00471E42" w:rsidRPr="005E6F23">
        <w:t xml:space="preserve">comparative efficacy and safety of basal insulin regimens in adults with T1D </w:t>
      </w:r>
      <w:r w:rsidRPr="005E6F23">
        <w:t xml:space="preserve">(Dawoud 2018; Martin 2021) </w:t>
      </w:r>
      <w:r w:rsidR="00C34DC0" w:rsidRPr="005E6F23">
        <w:t xml:space="preserve">generally </w:t>
      </w:r>
      <w:r w:rsidRPr="005E6F23">
        <w:t>showed no statistically significant differences between insulin degludec and insulin glargine in terms of glycaemic control and hypoglycaemia episodes.</w:t>
      </w:r>
    </w:p>
    <w:p w14:paraId="7C0AF491" w14:textId="2477CBBA" w:rsidR="002606B2" w:rsidRPr="005E6F23" w:rsidRDefault="002606B2" w:rsidP="00E208B7">
      <w:pPr>
        <w:pStyle w:val="COMH3"/>
        <w:rPr>
          <w:iCs w:val="0"/>
          <w:sz w:val="24"/>
          <w:szCs w:val="22"/>
        </w:rPr>
      </w:pPr>
      <w:r w:rsidRPr="005E6F23">
        <w:rPr>
          <w:iCs w:val="0"/>
          <w:sz w:val="24"/>
          <w:szCs w:val="22"/>
        </w:rPr>
        <w:t>Supportive evidence</w:t>
      </w:r>
    </w:p>
    <w:p w14:paraId="0229A7F6" w14:textId="11FEF5A0" w:rsidR="001D1B0B" w:rsidRPr="005E6F23" w:rsidRDefault="001D1B0B" w:rsidP="00E208B7">
      <w:pPr>
        <w:pStyle w:val="COMexecsummnumbered"/>
      </w:pPr>
      <w:r w:rsidRPr="005E6F23">
        <w:rPr>
          <w:szCs w:val="20"/>
        </w:rPr>
        <w:t xml:space="preserve">The </w:t>
      </w:r>
      <w:r w:rsidR="0008609C" w:rsidRPr="005E6F23">
        <w:rPr>
          <w:szCs w:val="20"/>
        </w:rPr>
        <w:t xml:space="preserve">ESC noted that the </w:t>
      </w:r>
      <w:r w:rsidRPr="005E6F23">
        <w:rPr>
          <w:szCs w:val="20"/>
        </w:rPr>
        <w:t>supportive evidence</w:t>
      </w:r>
      <w:r w:rsidR="005D7522" w:rsidRPr="005E6F23">
        <w:rPr>
          <w:szCs w:val="20"/>
        </w:rPr>
        <w:t xml:space="preserve"> presented in the resubmission </w:t>
      </w:r>
      <w:r w:rsidRPr="005E6F23">
        <w:rPr>
          <w:szCs w:val="20"/>
        </w:rPr>
        <w:t>for the use of insulin degludec in children (</w:t>
      </w:r>
      <w:proofErr w:type="spellStart"/>
      <w:r w:rsidRPr="005E6F23">
        <w:t>Thalange</w:t>
      </w:r>
      <w:proofErr w:type="spellEnd"/>
      <w:r w:rsidRPr="005E6F23">
        <w:t xml:space="preserve"> 2015; </w:t>
      </w:r>
      <w:proofErr w:type="spellStart"/>
      <w:r w:rsidRPr="005E6F23">
        <w:rPr>
          <w:szCs w:val="20"/>
        </w:rPr>
        <w:t>Elhabashy</w:t>
      </w:r>
      <w:proofErr w:type="spellEnd"/>
      <w:r w:rsidRPr="005E6F23">
        <w:rPr>
          <w:szCs w:val="20"/>
        </w:rPr>
        <w:t xml:space="preserve"> 2023; Nally 2023; Urakami 2017) suggest</w:t>
      </w:r>
      <w:r w:rsidR="0008609C" w:rsidRPr="005E6F23">
        <w:rPr>
          <w:szCs w:val="20"/>
        </w:rPr>
        <w:t>ed</w:t>
      </w:r>
      <w:r w:rsidRPr="005E6F23">
        <w:rPr>
          <w:szCs w:val="20"/>
        </w:rPr>
        <w:t xml:space="preserve"> </w:t>
      </w:r>
      <w:r w:rsidR="005D7522" w:rsidRPr="005E6F23">
        <w:rPr>
          <w:szCs w:val="20"/>
        </w:rPr>
        <w:t xml:space="preserve">that </w:t>
      </w:r>
      <w:r w:rsidRPr="005E6F23">
        <w:rPr>
          <w:szCs w:val="20"/>
        </w:rPr>
        <w:t>insulin degludec demonstrates similar efficacy and safety compared to other long-acting insulin analogues. Similarly, Mathiesen (2023; EXACT trial), found that insulin degludec was non-inferior to insulin detemir in pregnant women in terms of efficacy and safety, with no significant differences between treatment groups for hypoglycaemia episodes (any, nocturnal, or severe) or for maternal adverse events and serious adverse events.</w:t>
      </w:r>
    </w:p>
    <w:p w14:paraId="131D2A0D" w14:textId="6E2EE5A0" w:rsidR="001D1B0B" w:rsidRPr="005E6F23" w:rsidRDefault="001D1B0B" w:rsidP="00E208B7">
      <w:pPr>
        <w:pStyle w:val="COMexecsummnumbered"/>
      </w:pPr>
      <w:r w:rsidRPr="005E6F23">
        <w:rPr>
          <w:lang w:eastAsia="en-GB"/>
        </w:rPr>
        <w:t>Bode (2013), a 12</w:t>
      </w:r>
      <w:r w:rsidR="00897B93" w:rsidRPr="005E6F23">
        <w:rPr>
          <w:lang w:eastAsia="en-GB"/>
        </w:rPr>
        <w:t>-</w:t>
      </w:r>
      <w:r w:rsidRPr="005E6F23">
        <w:rPr>
          <w:lang w:eastAsia="en-GB"/>
        </w:rPr>
        <w:t xml:space="preserve">month extension of Study 3583, found that </w:t>
      </w:r>
      <w:r w:rsidR="0006623E" w:rsidRPr="005E6F23">
        <w:rPr>
          <w:szCs w:val="20"/>
        </w:rPr>
        <w:t>HbA1c</w:t>
      </w:r>
      <w:r w:rsidRPr="005E6F23">
        <w:rPr>
          <w:szCs w:val="20"/>
        </w:rPr>
        <w:t xml:space="preserve"> over 104 weeks was similar between insulin degludec and insulin glargine, with small reductions compared to the end of the Study 3583 treatment period.</w:t>
      </w:r>
      <w:r w:rsidRPr="005E6F23">
        <w:rPr>
          <w:lang w:eastAsia="en-GB"/>
        </w:rPr>
        <w:t xml:space="preserve"> The rate of nocturnal </w:t>
      </w:r>
      <w:r w:rsidRPr="005E6F23">
        <w:rPr>
          <w:lang w:eastAsia="en-GB"/>
        </w:rPr>
        <w:lastRenderedPageBreak/>
        <w:t>confirmed hypoglycaemia was significantly lower with insulin degludec</w:t>
      </w:r>
      <w:r w:rsidR="00CF21F2" w:rsidRPr="005E6F23">
        <w:rPr>
          <w:lang w:eastAsia="en-GB"/>
        </w:rPr>
        <w:t xml:space="preserve"> compared to insulin glargine</w:t>
      </w:r>
      <w:r w:rsidRPr="005E6F23">
        <w:rPr>
          <w:lang w:eastAsia="en-GB"/>
        </w:rPr>
        <w:t xml:space="preserve">, with an estimated rate ratio (insulin degludec/insulin glargine) of 0.75 </w:t>
      </w:r>
      <w:r w:rsidR="00AE5B45" w:rsidRPr="005E6F23">
        <w:rPr>
          <w:lang w:eastAsia="en-GB"/>
        </w:rPr>
        <w:t>(</w:t>
      </w:r>
      <w:r w:rsidRPr="005E6F23">
        <w:rPr>
          <w:lang w:eastAsia="en-GB"/>
        </w:rPr>
        <w:t>95% CI 0.59</w:t>
      </w:r>
      <w:r w:rsidR="00AE5B45" w:rsidRPr="005E6F23">
        <w:rPr>
          <w:lang w:eastAsia="en-GB"/>
        </w:rPr>
        <w:t xml:space="preserve">, </w:t>
      </w:r>
      <w:r w:rsidRPr="005E6F23">
        <w:rPr>
          <w:lang w:eastAsia="en-GB"/>
        </w:rPr>
        <w:t>0.95), similar to the Study 3583 results, and the rates of overall confirmed hypoglycaemia were similar in both treatment arms, and not statistically significantly different.</w:t>
      </w:r>
      <w:r w:rsidR="00CF21F2" w:rsidRPr="005E6F23">
        <w:t xml:space="preserve"> </w:t>
      </w:r>
      <w:r w:rsidR="00CF21F2" w:rsidRPr="005E6F23">
        <w:rPr>
          <w:lang w:eastAsia="en-GB"/>
        </w:rPr>
        <w:t xml:space="preserve">The </w:t>
      </w:r>
      <w:r w:rsidR="00BD47B9" w:rsidRPr="005E6F23">
        <w:rPr>
          <w:lang w:eastAsia="en-GB"/>
        </w:rPr>
        <w:t xml:space="preserve">evaluation and the </w:t>
      </w:r>
      <w:r w:rsidR="00D14719" w:rsidRPr="005E6F23">
        <w:rPr>
          <w:lang w:eastAsia="en-GB"/>
        </w:rPr>
        <w:t xml:space="preserve">ESC noted that the </w:t>
      </w:r>
      <w:r w:rsidR="00CF21F2" w:rsidRPr="005E6F23">
        <w:rPr>
          <w:lang w:eastAsia="en-GB"/>
        </w:rPr>
        <w:t>daily insulin dose was significantly lower with insulin degludec compared to insulin glargine at the end of 104 weeks. Safety outcomes were similar between treatment arms.</w:t>
      </w:r>
    </w:p>
    <w:p w14:paraId="60E2EDDB" w14:textId="52B742B9" w:rsidR="001D1B0B" w:rsidRPr="005E6F23" w:rsidRDefault="001D1B0B" w:rsidP="00E208B7">
      <w:pPr>
        <w:pStyle w:val="COMexecsummnumbered"/>
      </w:pPr>
      <w:r w:rsidRPr="005E6F23">
        <w:t>Mathieu (2013), a 6</w:t>
      </w:r>
      <w:r w:rsidR="00897B93" w:rsidRPr="005E6F23">
        <w:t>-</w:t>
      </w:r>
      <w:r w:rsidRPr="005E6F23">
        <w:t>month extension of Study 3770, found no statistically significant difference between treatment</w:t>
      </w:r>
      <w:r w:rsidR="006A3819" w:rsidRPr="005E6F23">
        <w:t>s</w:t>
      </w:r>
      <w:r w:rsidRPr="005E6F23">
        <w:t xml:space="preserve"> in </w:t>
      </w:r>
      <w:r w:rsidR="006A3819" w:rsidRPr="005E6F23">
        <w:t>HbA1c</w:t>
      </w:r>
      <w:r w:rsidRPr="005E6F23">
        <w:t xml:space="preserve">, and confirmed hypoglycaemia rates were similar between treatment arms. Nocturnal confirmed hypoglycaemia rates were 25% lower with insulin degludec compared to insulin glargine at Week 52. </w:t>
      </w:r>
      <w:r w:rsidR="00FD4C13" w:rsidRPr="005E6F23">
        <w:t xml:space="preserve"> At Week 52, mean daily basal, bolus and total insulin doses were lower in the insulin degludec arm than the insulin glargine arm. </w:t>
      </w:r>
      <w:r w:rsidRPr="005E6F23">
        <w:t xml:space="preserve">However, </w:t>
      </w:r>
      <w:r w:rsidR="00BD47B9" w:rsidRPr="005E6F23">
        <w:t xml:space="preserve">the evaluation and the ESC noted that </w:t>
      </w:r>
      <w:r w:rsidRPr="005E6F23">
        <w:t>results of the extension study were for the insulin degludec free-flexible formulation, and use of this dosing regimen in the Australian setting is uncertain.</w:t>
      </w:r>
    </w:p>
    <w:p w14:paraId="1452C351" w14:textId="0D19F1B0" w:rsidR="00B60939" w:rsidRPr="004F11AC" w:rsidRDefault="00B60939" w:rsidP="00E208B7">
      <w:pPr>
        <w:pStyle w:val="COMH2-non-numbered"/>
      </w:pPr>
      <w:bookmarkStart w:id="26" w:name="_Toc22897642"/>
      <w:bookmarkStart w:id="27" w:name="_Toc197595417"/>
      <w:r w:rsidRPr="004F11AC">
        <w:t>Comparative harms</w:t>
      </w:r>
      <w:bookmarkEnd w:id="26"/>
      <w:bookmarkEnd w:id="27"/>
    </w:p>
    <w:p w14:paraId="4711B3B3" w14:textId="77777777" w:rsidR="00280138" w:rsidRPr="004F11AC" w:rsidRDefault="0034489C" w:rsidP="00E208B7">
      <w:pPr>
        <w:jc w:val="left"/>
        <w:rPr>
          <w:rFonts w:ascii="Arial Narrow" w:eastAsiaTheme="majorEastAsia" w:hAnsi="Arial Narrow" w:cstheme="majorBidi"/>
          <w:b/>
          <w:bCs/>
          <w:sz w:val="20"/>
        </w:rPr>
      </w:pPr>
      <w:r w:rsidRPr="004F11AC">
        <w:fldChar w:fldCharType="begin"/>
      </w:r>
      <w:r w:rsidRPr="004F11AC">
        <w:instrText xml:space="preserve"> REF _Ref196217207 \h </w:instrText>
      </w:r>
      <w:r w:rsidRPr="004F11AC">
        <w:fldChar w:fldCharType="separate"/>
      </w:r>
    </w:p>
    <w:p w14:paraId="539F2F13" w14:textId="47E9D4C9" w:rsidR="0034489C" w:rsidRPr="004F11AC" w:rsidRDefault="00280138" w:rsidP="00E208B7">
      <w:pPr>
        <w:pStyle w:val="COMexecsummnumbered"/>
        <w:spacing w:before="0"/>
        <w:contextualSpacing/>
      </w:pPr>
      <w:r w:rsidRPr="00695EE7">
        <w:rPr>
          <w:rFonts w:ascii="Arial Narrow" w:hAnsi="Arial Narrow"/>
          <w:b/>
          <w:bCs/>
          <w:sz w:val="20"/>
          <w:szCs w:val="20"/>
        </w:rPr>
        <w:t xml:space="preserve">Table </w:t>
      </w:r>
      <w:r>
        <w:rPr>
          <w:rFonts w:ascii="Arial Narrow" w:hAnsi="Arial Narrow"/>
          <w:b/>
          <w:bCs/>
          <w:noProof/>
          <w:sz w:val="20"/>
          <w:szCs w:val="20"/>
        </w:rPr>
        <w:t>8</w:t>
      </w:r>
      <w:r w:rsidR="0034489C" w:rsidRPr="004F11AC">
        <w:fldChar w:fldCharType="end"/>
      </w:r>
      <w:r w:rsidR="0034489C" w:rsidRPr="004F11AC">
        <w:t xml:space="preserve"> summarises the key treatment emergent adverse events reported in Studies 3583, 3770, 1835 and 3995. The </w:t>
      </w:r>
      <w:proofErr w:type="spellStart"/>
      <w:r w:rsidR="0034489C" w:rsidRPr="004F11AC">
        <w:t>HypoDeg</w:t>
      </w:r>
      <w:proofErr w:type="spellEnd"/>
      <w:r w:rsidR="0034489C" w:rsidRPr="004F11AC">
        <w:t xml:space="preserve"> trial did not report adverse events.</w:t>
      </w:r>
    </w:p>
    <w:p w14:paraId="7444E1F3" w14:textId="357DF002" w:rsidR="00025EF1" w:rsidRPr="004F11AC" w:rsidRDefault="00025EF1" w:rsidP="00E208B7">
      <w:pPr>
        <w:jc w:val="left"/>
        <w:rPr>
          <w:rFonts w:ascii="Arial Narrow" w:eastAsiaTheme="majorEastAsia" w:hAnsi="Arial Narrow" w:cstheme="majorBidi"/>
          <w:b/>
          <w:bCs/>
          <w:sz w:val="20"/>
        </w:rPr>
      </w:pPr>
      <w:bookmarkStart w:id="28" w:name="_Ref196217207"/>
    </w:p>
    <w:p w14:paraId="69234898" w14:textId="7666FE3E" w:rsidR="002B49AB" w:rsidRPr="00695EE7" w:rsidRDefault="002B49AB" w:rsidP="00E208B7">
      <w:pPr>
        <w:keepNext/>
        <w:jc w:val="left"/>
        <w:rPr>
          <w:rFonts w:ascii="Arial Narrow" w:hAnsi="Arial Narrow"/>
          <w:b/>
          <w:bCs/>
          <w:sz w:val="20"/>
          <w:szCs w:val="20"/>
        </w:rPr>
      </w:pPr>
      <w:r w:rsidRPr="00695EE7">
        <w:rPr>
          <w:rFonts w:ascii="Arial Narrow" w:hAnsi="Arial Narrow"/>
          <w:b/>
          <w:bCs/>
          <w:sz w:val="20"/>
          <w:szCs w:val="20"/>
        </w:rPr>
        <w:lastRenderedPageBreak/>
        <w:t xml:space="preserve">Table </w:t>
      </w:r>
      <w:r w:rsidR="00D87C74" w:rsidRPr="00695EE7">
        <w:rPr>
          <w:rFonts w:ascii="Arial Narrow" w:hAnsi="Arial Narrow"/>
          <w:b/>
          <w:bCs/>
          <w:sz w:val="20"/>
          <w:szCs w:val="20"/>
        </w:rPr>
        <w:fldChar w:fldCharType="begin"/>
      </w:r>
      <w:r w:rsidR="00D87C74" w:rsidRPr="00695EE7">
        <w:rPr>
          <w:rFonts w:ascii="Arial Narrow" w:hAnsi="Arial Narrow"/>
          <w:b/>
          <w:bCs/>
          <w:sz w:val="20"/>
          <w:szCs w:val="20"/>
        </w:rPr>
        <w:instrText xml:space="preserve"> SEQ Table \* ARABIC </w:instrText>
      </w:r>
      <w:r w:rsidR="00D87C74" w:rsidRPr="00695EE7">
        <w:rPr>
          <w:rFonts w:ascii="Arial Narrow" w:hAnsi="Arial Narrow"/>
          <w:b/>
          <w:bCs/>
          <w:sz w:val="20"/>
          <w:szCs w:val="20"/>
        </w:rPr>
        <w:fldChar w:fldCharType="separate"/>
      </w:r>
      <w:r w:rsidR="00280138">
        <w:rPr>
          <w:rFonts w:ascii="Arial Narrow" w:hAnsi="Arial Narrow"/>
          <w:b/>
          <w:bCs/>
          <w:noProof/>
          <w:sz w:val="20"/>
          <w:szCs w:val="20"/>
        </w:rPr>
        <w:t>8</w:t>
      </w:r>
      <w:r w:rsidR="00D87C74" w:rsidRPr="00695EE7">
        <w:rPr>
          <w:rFonts w:ascii="Arial Narrow" w:hAnsi="Arial Narrow"/>
          <w:b/>
          <w:bCs/>
          <w:sz w:val="20"/>
          <w:szCs w:val="20"/>
        </w:rPr>
        <w:fldChar w:fldCharType="end"/>
      </w:r>
      <w:bookmarkEnd w:id="28"/>
      <w:r w:rsidRPr="00695EE7">
        <w:rPr>
          <w:rFonts w:ascii="Arial Narrow" w:hAnsi="Arial Narrow"/>
          <w:b/>
          <w:bCs/>
          <w:sz w:val="20"/>
          <w:szCs w:val="20"/>
        </w:rPr>
        <w:t>: Summary of key adverse events in the randomised trials (SAS)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8: Summary of key adverse events in the randomised trials (SAS)"/>
      </w:tblPr>
      <w:tblGrid>
        <w:gridCol w:w="1556"/>
        <w:gridCol w:w="829"/>
        <w:gridCol w:w="829"/>
        <w:gridCol w:w="829"/>
        <w:gridCol w:w="829"/>
        <w:gridCol w:w="829"/>
        <w:gridCol w:w="829"/>
        <w:gridCol w:w="829"/>
        <w:gridCol w:w="829"/>
        <w:gridCol w:w="829"/>
      </w:tblGrid>
      <w:tr w:rsidR="00BA0730" w:rsidRPr="004F11AC" w14:paraId="746C46D8" w14:textId="77777777" w:rsidTr="008E7F96">
        <w:trPr>
          <w:tblHeader/>
        </w:trPr>
        <w:tc>
          <w:tcPr>
            <w:tcW w:w="1555" w:type="dxa"/>
            <w:vMerge w:val="restart"/>
            <w:vAlign w:val="center"/>
          </w:tcPr>
          <w:p w14:paraId="09A4DC51" w14:textId="77777777" w:rsidR="002B49AB" w:rsidRPr="004F11AC" w:rsidRDefault="002B49AB" w:rsidP="00E208B7">
            <w:pPr>
              <w:pStyle w:val="COMTabletext"/>
              <w:rPr>
                <w:b/>
                <w:bCs w:val="0"/>
              </w:rPr>
            </w:pPr>
            <w:r w:rsidRPr="004F11AC">
              <w:rPr>
                <w:b/>
                <w:bCs w:val="0"/>
              </w:rPr>
              <w:t>Trial ID</w:t>
            </w:r>
          </w:p>
        </w:tc>
        <w:tc>
          <w:tcPr>
            <w:tcW w:w="1658" w:type="dxa"/>
            <w:gridSpan w:val="2"/>
            <w:tcBorders>
              <w:right w:val="double" w:sz="4" w:space="0" w:color="auto"/>
            </w:tcBorders>
            <w:vAlign w:val="center"/>
          </w:tcPr>
          <w:p w14:paraId="14A4D4E3" w14:textId="77777777" w:rsidR="002B49AB" w:rsidRPr="004F11AC" w:rsidRDefault="002B49AB" w:rsidP="00E208B7">
            <w:pPr>
              <w:pStyle w:val="COMTabletext"/>
              <w:jc w:val="center"/>
              <w:rPr>
                <w:b/>
                <w:bCs w:val="0"/>
              </w:rPr>
            </w:pPr>
            <w:r w:rsidRPr="004F11AC">
              <w:rPr>
                <w:b/>
                <w:bCs w:val="0"/>
              </w:rPr>
              <w:t>3583</w:t>
            </w:r>
          </w:p>
        </w:tc>
        <w:tc>
          <w:tcPr>
            <w:tcW w:w="2487" w:type="dxa"/>
            <w:gridSpan w:val="3"/>
            <w:tcBorders>
              <w:left w:val="double" w:sz="4" w:space="0" w:color="auto"/>
              <w:right w:val="double" w:sz="4" w:space="0" w:color="auto"/>
            </w:tcBorders>
            <w:vAlign w:val="center"/>
          </w:tcPr>
          <w:p w14:paraId="1287CA8E" w14:textId="77777777" w:rsidR="002B49AB" w:rsidRPr="004F11AC" w:rsidRDefault="002B49AB" w:rsidP="00E208B7">
            <w:pPr>
              <w:pStyle w:val="COMTabletext"/>
              <w:jc w:val="center"/>
              <w:rPr>
                <w:b/>
                <w:bCs w:val="0"/>
              </w:rPr>
            </w:pPr>
            <w:r w:rsidRPr="004F11AC">
              <w:rPr>
                <w:b/>
                <w:bCs w:val="0"/>
              </w:rPr>
              <w:t>3770</w:t>
            </w:r>
          </w:p>
        </w:tc>
        <w:tc>
          <w:tcPr>
            <w:tcW w:w="1658" w:type="dxa"/>
            <w:gridSpan w:val="2"/>
            <w:tcBorders>
              <w:left w:val="double" w:sz="4" w:space="0" w:color="auto"/>
              <w:right w:val="double" w:sz="4" w:space="0" w:color="auto"/>
            </w:tcBorders>
            <w:vAlign w:val="center"/>
          </w:tcPr>
          <w:p w14:paraId="7E726500" w14:textId="77777777" w:rsidR="002B49AB" w:rsidRPr="004F11AC" w:rsidRDefault="002B49AB" w:rsidP="00E208B7">
            <w:pPr>
              <w:pStyle w:val="COMTabletext"/>
              <w:jc w:val="center"/>
              <w:rPr>
                <w:b/>
                <w:bCs w:val="0"/>
              </w:rPr>
            </w:pPr>
            <w:r w:rsidRPr="004F11AC">
              <w:rPr>
                <w:b/>
                <w:bCs w:val="0"/>
              </w:rPr>
              <w:t>1835</w:t>
            </w:r>
          </w:p>
        </w:tc>
        <w:tc>
          <w:tcPr>
            <w:tcW w:w="1658" w:type="dxa"/>
            <w:gridSpan w:val="2"/>
            <w:tcBorders>
              <w:left w:val="double" w:sz="4" w:space="0" w:color="auto"/>
              <w:right w:val="single" w:sz="4" w:space="0" w:color="auto"/>
            </w:tcBorders>
            <w:vAlign w:val="center"/>
          </w:tcPr>
          <w:p w14:paraId="0599B2C8" w14:textId="77777777" w:rsidR="002B49AB" w:rsidRPr="004F11AC" w:rsidRDefault="002B49AB" w:rsidP="00E208B7">
            <w:pPr>
              <w:pStyle w:val="COMTabletext"/>
              <w:jc w:val="center"/>
              <w:rPr>
                <w:b/>
                <w:bCs w:val="0"/>
              </w:rPr>
            </w:pPr>
            <w:r w:rsidRPr="004F11AC">
              <w:rPr>
                <w:b/>
                <w:bCs w:val="0"/>
              </w:rPr>
              <w:t>3995</w:t>
            </w:r>
          </w:p>
        </w:tc>
      </w:tr>
      <w:tr w:rsidR="00BA0730" w:rsidRPr="004F11AC" w14:paraId="67513E29" w14:textId="77777777" w:rsidTr="008E7F96">
        <w:trPr>
          <w:tblHeader/>
        </w:trPr>
        <w:tc>
          <w:tcPr>
            <w:tcW w:w="1555" w:type="dxa"/>
            <w:vMerge/>
            <w:vAlign w:val="center"/>
          </w:tcPr>
          <w:p w14:paraId="78E6C267" w14:textId="77777777" w:rsidR="002B49AB" w:rsidRPr="004F11AC" w:rsidRDefault="002B49AB" w:rsidP="00E208B7">
            <w:pPr>
              <w:pStyle w:val="COMTabletext"/>
              <w:rPr>
                <w:b/>
                <w:bCs w:val="0"/>
              </w:rPr>
            </w:pPr>
          </w:p>
        </w:tc>
        <w:tc>
          <w:tcPr>
            <w:tcW w:w="829" w:type="dxa"/>
            <w:vAlign w:val="center"/>
          </w:tcPr>
          <w:p w14:paraId="47BCE606" w14:textId="77777777" w:rsidR="002B49AB" w:rsidRPr="004F11AC" w:rsidRDefault="002B49AB" w:rsidP="00E208B7">
            <w:pPr>
              <w:pStyle w:val="COMTabletext"/>
              <w:jc w:val="center"/>
              <w:rPr>
                <w:b/>
                <w:bCs w:val="0"/>
              </w:rPr>
            </w:pPr>
            <w:proofErr w:type="spellStart"/>
            <w:r w:rsidRPr="004F11AC">
              <w:rPr>
                <w:b/>
                <w:bCs w:val="0"/>
              </w:rPr>
              <w:t>IDeg</w:t>
            </w:r>
            <w:proofErr w:type="spellEnd"/>
          </w:p>
        </w:tc>
        <w:tc>
          <w:tcPr>
            <w:tcW w:w="829" w:type="dxa"/>
            <w:tcBorders>
              <w:right w:val="double" w:sz="4" w:space="0" w:color="auto"/>
            </w:tcBorders>
            <w:vAlign w:val="center"/>
          </w:tcPr>
          <w:p w14:paraId="34D150B8" w14:textId="77777777" w:rsidR="002B49AB" w:rsidRPr="004F11AC" w:rsidRDefault="002B49AB" w:rsidP="00E208B7">
            <w:pPr>
              <w:pStyle w:val="COMTabletext"/>
              <w:jc w:val="center"/>
              <w:rPr>
                <w:b/>
                <w:bCs w:val="0"/>
              </w:rPr>
            </w:pPr>
            <w:proofErr w:type="spellStart"/>
            <w:r w:rsidRPr="004F11AC">
              <w:rPr>
                <w:b/>
                <w:bCs w:val="0"/>
              </w:rPr>
              <w:t>IGlar</w:t>
            </w:r>
            <w:proofErr w:type="spellEnd"/>
          </w:p>
        </w:tc>
        <w:tc>
          <w:tcPr>
            <w:tcW w:w="829" w:type="dxa"/>
            <w:tcBorders>
              <w:left w:val="double" w:sz="4" w:space="0" w:color="auto"/>
            </w:tcBorders>
            <w:vAlign w:val="center"/>
          </w:tcPr>
          <w:p w14:paraId="5D1262D5" w14:textId="77777777" w:rsidR="002B49AB" w:rsidRPr="004F11AC" w:rsidRDefault="002B49AB" w:rsidP="00E208B7">
            <w:pPr>
              <w:pStyle w:val="COMTabletext"/>
              <w:jc w:val="center"/>
              <w:rPr>
                <w:b/>
                <w:bCs w:val="0"/>
              </w:rPr>
            </w:pPr>
            <w:proofErr w:type="spellStart"/>
            <w:r w:rsidRPr="004F11AC">
              <w:rPr>
                <w:b/>
                <w:bCs w:val="0"/>
              </w:rPr>
              <w:t>IDeg</w:t>
            </w:r>
            <w:proofErr w:type="spellEnd"/>
            <w:r w:rsidRPr="004F11AC">
              <w:rPr>
                <w:b/>
                <w:bCs w:val="0"/>
              </w:rPr>
              <w:t xml:space="preserve"> FF</w:t>
            </w:r>
          </w:p>
        </w:tc>
        <w:tc>
          <w:tcPr>
            <w:tcW w:w="829" w:type="dxa"/>
            <w:vAlign w:val="center"/>
          </w:tcPr>
          <w:p w14:paraId="256663DE" w14:textId="77777777" w:rsidR="002B49AB" w:rsidRPr="004F11AC" w:rsidRDefault="002B49AB" w:rsidP="00E208B7">
            <w:pPr>
              <w:pStyle w:val="COMTabletext"/>
              <w:jc w:val="center"/>
              <w:rPr>
                <w:b/>
                <w:bCs w:val="0"/>
              </w:rPr>
            </w:pPr>
            <w:proofErr w:type="spellStart"/>
            <w:r w:rsidRPr="004F11AC">
              <w:rPr>
                <w:b/>
                <w:bCs w:val="0"/>
              </w:rPr>
              <w:t>IDeg</w:t>
            </w:r>
            <w:proofErr w:type="spellEnd"/>
            <w:r w:rsidRPr="004F11AC">
              <w:rPr>
                <w:b/>
                <w:bCs w:val="0"/>
              </w:rPr>
              <w:t xml:space="preserve"> OD</w:t>
            </w:r>
          </w:p>
        </w:tc>
        <w:tc>
          <w:tcPr>
            <w:tcW w:w="829" w:type="dxa"/>
            <w:tcBorders>
              <w:right w:val="double" w:sz="4" w:space="0" w:color="auto"/>
            </w:tcBorders>
            <w:vAlign w:val="center"/>
          </w:tcPr>
          <w:p w14:paraId="6411F0FF" w14:textId="77777777" w:rsidR="002B49AB" w:rsidRPr="004F11AC" w:rsidRDefault="002B49AB" w:rsidP="00E208B7">
            <w:pPr>
              <w:pStyle w:val="COMTabletext"/>
              <w:jc w:val="center"/>
              <w:rPr>
                <w:b/>
                <w:bCs w:val="0"/>
              </w:rPr>
            </w:pPr>
            <w:proofErr w:type="spellStart"/>
            <w:r w:rsidRPr="004F11AC">
              <w:rPr>
                <w:b/>
                <w:bCs w:val="0"/>
              </w:rPr>
              <w:t>IGlar</w:t>
            </w:r>
            <w:proofErr w:type="spellEnd"/>
          </w:p>
        </w:tc>
        <w:tc>
          <w:tcPr>
            <w:tcW w:w="829" w:type="dxa"/>
            <w:tcBorders>
              <w:left w:val="double" w:sz="4" w:space="0" w:color="auto"/>
            </w:tcBorders>
            <w:vAlign w:val="center"/>
          </w:tcPr>
          <w:p w14:paraId="1F574D11" w14:textId="77777777" w:rsidR="002B49AB" w:rsidRPr="004F11AC" w:rsidRDefault="002B49AB" w:rsidP="00E208B7">
            <w:pPr>
              <w:pStyle w:val="COMTabletext"/>
              <w:jc w:val="center"/>
              <w:rPr>
                <w:b/>
                <w:bCs w:val="0"/>
              </w:rPr>
            </w:pPr>
            <w:proofErr w:type="spellStart"/>
            <w:r w:rsidRPr="004F11AC">
              <w:rPr>
                <w:b/>
                <w:bCs w:val="0"/>
              </w:rPr>
              <w:t>IDeg</w:t>
            </w:r>
            <w:proofErr w:type="spellEnd"/>
            <w:r w:rsidRPr="004F11AC">
              <w:rPr>
                <w:b/>
                <w:bCs w:val="0"/>
              </w:rPr>
              <w:t xml:space="preserve"> OD</w:t>
            </w:r>
          </w:p>
        </w:tc>
        <w:tc>
          <w:tcPr>
            <w:tcW w:w="829" w:type="dxa"/>
            <w:tcBorders>
              <w:right w:val="double" w:sz="4" w:space="0" w:color="auto"/>
            </w:tcBorders>
            <w:vAlign w:val="center"/>
          </w:tcPr>
          <w:p w14:paraId="73344443" w14:textId="77777777" w:rsidR="002B49AB" w:rsidRPr="004F11AC" w:rsidRDefault="002B49AB" w:rsidP="00E208B7">
            <w:pPr>
              <w:pStyle w:val="COMTabletext"/>
              <w:jc w:val="center"/>
              <w:rPr>
                <w:b/>
                <w:bCs w:val="0"/>
              </w:rPr>
            </w:pPr>
            <w:proofErr w:type="spellStart"/>
            <w:r w:rsidRPr="004F11AC">
              <w:rPr>
                <w:b/>
                <w:bCs w:val="0"/>
              </w:rPr>
              <w:t>IGlar</w:t>
            </w:r>
            <w:proofErr w:type="spellEnd"/>
          </w:p>
        </w:tc>
        <w:tc>
          <w:tcPr>
            <w:tcW w:w="829" w:type="dxa"/>
            <w:tcBorders>
              <w:left w:val="double" w:sz="4" w:space="0" w:color="auto"/>
            </w:tcBorders>
            <w:vAlign w:val="center"/>
          </w:tcPr>
          <w:p w14:paraId="372BBC4C" w14:textId="77777777" w:rsidR="002B49AB" w:rsidRPr="004F11AC" w:rsidRDefault="002B49AB" w:rsidP="00E208B7">
            <w:pPr>
              <w:pStyle w:val="COMTabletext"/>
              <w:jc w:val="center"/>
              <w:rPr>
                <w:b/>
                <w:bCs w:val="0"/>
              </w:rPr>
            </w:pPr>
            <w:proofErr w:type="spellStart"/>
            <w:r w:rsidRPr="004F11AC">
              <w:rPr>
                <w:b/>
                <w:bCs w:val="0"/>
              </w:rPr>
              <w:t>IDeg</w:t>
            </w:r>
            <w:proofErr w:type="spellEnd"/>
          </w:p>
        </w:tc>
        <w:tc>
          <w:tcPr>
            <w:tcW w:w="829" w:type="dxa"/>
            <w:tcBorders>
              <w:right w:val="single" w:sz="4" w:space="0" w:color="auto"/>
            </w:tcBorders>
            <w:vAlign w:val="center"/>
          </w:tcPr>
          <w:p w14:paraId="23E37020" w14:textId="77777777" w:rsidR="002B49AB" w:rsidRPr="004F11AC" w:rsidRDefault="002B49AB" w:rsidP="00E208B7">
            <w:pPr>
              <w:pStyle w:val="COMTabletext"/>
              <w:jc w:val="center"/>
              <w:rPr>
                <w:b/>
                <w:bCs w:val="0"/>
              </w:rPr>
            </w:pPr>
            <w:proofErr w:type="spellStart"/>
            <w:r w:rsidRPr="004F11AC">
              <w:rPr>
                <w:b/>
                <w:bCs w:val="0"/>
              </w:rPr>
              <w:t>IGlar</w:t>
            </w:r>
            <w:proofErr w:type="spellEnd"/>
          </w:p>
        </w:tc>
      </w:tr>
      <w:tr w:rsidR="00BA0730" w:rsidRPr="004F11AC" w14:paraId="2007DE50" w14:textId="77777777" w:rsidTr="008E7F96">
        <w:tc>
          <w:tcPr>
            <w:tcW w:w="9016" w:type="dxa"/>
            <w:gridSpan w:val="10"/>
            <w:tcBorders>
              <w:right w:val="single" w:sz="4" w:space="0" w:color="auto"/>
            </w:tcBorders>
            <w:vAlign w:val="center"/>
          </w:tcPr>
          <w:p w14:paraId="32CA9020" w14:textId="77777777" w:rsidR="002B49AB" w:rsidRPr="004F11AC" w:rsidRDefault="002B49AB" w:rsidP="00E208B7">
            <w:pPr>
              <w:pStyle w:val="COMTabletext"/>
              <w:rPr>
                <w:b/>
              </w:rPr>
            </w:pPr>
            <w:r w:rsidRPr="004F11AC">
              <w:rPr>
                <w:b/>
              </w:rPr>
              <w:t>Summary of key treatment emergent adverse events, n (%)</w:t>
            </w:r>
          </w:p>
        </w:tc>
      </w:tr>
      <w:tr w:rsidR="00BA0730" w:rsidRPr="004F11AC" w14:paraId="37CF4B84" w14:textId="77777777" w:rsidTr="008E7F96">
        <w:trPr>
          <w:tblHeader/>
        </w:trPr>
        <w:tc>
          <w:tcPr>
            <w:tcW w:w="1555" w:type="dxa"/>
            <w:vAlign w:val="center"/>
          </w:tcPr>
          <w:p w14:paraId="68E86FDD" w14:textId="77777777" w:rsidR="002B49AB" w:rsidRPr="004F11AC" w:rsidRDefault="002B49AB" w:rsidP="00E208B7">
            <w:pPr>
              <w:pStyle w:val="COMTabletext"/>
              <w:rPr>
                <w:b/>
              </w:rPr>
            </w:pPr>
            <w:r w:rsidRPr="004F11AC">
              <w:t>N</w:t>
            </w:r>
          </w:p>
        </w:tc>
        <w:tc>
          <w:tcPr>
            <w:tcW w:w="829" w:type="dxa"/>
            <w:vAlign w:val="center"/>
          </w:tcPr>
          <w:p w14:paraId="38185218" w14:textId="77777777" w:rsidR="002B49AB" w:rsidRPr="004F11AC" w:rsidRDefault="002B49AB" w:rsidP="00E208B7">
            <w:pPr>
              <w:pStyle w:val="COMTabletext"/>
              <w:jc w:val="center"/>
              <w:rPr>
                <w:b/>
              </w:rPr>
            </w:pPr>
            <w:r w:rsidRPr="004F11AC">
              <w:t>472</w:t>
            </w:r>
          </w:p>
        </w:tc>
        <w:tc>
          <w:tcPr>
            <w:tcW w:w="829" w:type="dxa"/>
            <w:tcBorders>
              <w:right w:val="double" w:sz="4" w:space="0" w:color="auto"/>
            </w:tcBorders>
            <w:vAlign w:val="center"/>
          </w:tcPr>
          <w:p w14:paraId="18123046" w14:textId="77777777" w:rsidR="002B49AB" w:rsidRPr="004F11AC" w:rsidRDefault="002B49AB" w:rsidP="00E208B7">
            <w:pPr>
              <w:pStyle w:val="COMTabletext"/>
              <w:jc w:val="center"/>
              <w:rPr>
                <w:b/>
              </w:rPr>
            </w:pPr>
            <w:r w:rsidRPr="004F11AC">
              <w:t>154</w:t>
            </w:r>
          </w:p>
        </w:tc>
        <w:tc>
          <w:tcPr>
            <w:tcW w:w="829" w:type="dxa"/>
            <w:tcBorders>
              <w:left w:val="double" w:sz="4" w:space="0" w:color="auto"/>
            </w:tcBorders>
            <w:vAlign w:val="center"/>
          </w:tcPr>
          <w:p w14:paraId="0CD2A0D5" w14:textId="77777777" w:rsidR="002B49AB" w:rsidRPr="004F11AC" w:rsidRDefault="002B49AB" w:rsidP="00E208B7">
            <w:pPr>
              <w:pStyle w:val="COMTabletext"/>
              <w:jc w:val="center"/>
              <w:rPr>
                <w:b/>
              </w:rPr>
            </w:pPr>
            <w:r w:rsidRPr="004F11AC">
              <w:t>164</w:t>
            </w:r>
          </w:p>
        </w:tc>
        <w:tc>
          <w:tcPr>
            <w:tcW w:w="829" w:type="dxa"/>
            <w:vAlign w:val="center"/>
          </w:tcPr>
          <w:p w14:paraId="0770D616" w14:textId="77777777" w:rsidR="002B49AB" w:rsidRPr="004F11AC" w:rsidRDefault="002B49AB" w:rsidP="00E208B7">
            <w:pPr>
              <w:pStyle w:val="COMTabletext"/>
              <w:jc w:val="center"/>
              <w:rPr>
                <w:b/>
              </w:rPr>
            </w:pPr>
            <w:r w:rsidRPr="004F11AC">
              <w:t>165</w:t>
            </w:r>
          </w:p>
        </w:tc>
        <w:tc>
          <w:tcPr>
            <w:tcW w:w="829" w:type="dxa"/>
            <w:tcBorders>
              <w:right w:val="double" w:sz="4" w:space="0" w:color="auto"/>
            </w:tcBorders>
            <w:vAlign w:val="center"/>
          </w:tcPr>
          <w:p w14:paraId="0ED1C125" w14:textId="77777777" w:rsidR="002B49AB" w:rsidRPr="004F11AC" w:rsidRDefault="002B49AB" w:rsidP="00E208B7">
            <w:pPr>
              <w:pStyle w:val="COMTabletext"/>
              <w:jc w:val="center"/>
              <w:rPr>
                <w:b/>
              </w:rPr>
            </w:pPr>
            <w:r w:rsidRPr="004F11AC">
              <w:t>161</w:t>
            </w:r>
          </w:p>
        </w:tc>
        <w:tc>
          <w:tcPr>
            <w:tcW w:w="829" w:type="dxa"/>
            <w:tcBorders>
              <w:left w:val="double" w:sz="4" w:space="0" w:color="auto"/>
            </w:tcBorders>
            <w:vAlign w:val="center"/>
          </w:tcPr>
          <w:p w14:paraId="1FEB4FEE" w14:textId="77777777" w:rsidR="002B49AB" w:rsidRPr="004F11AC" w:rsidRDefault="002B49AB" w:rsidP="00E208B7">
            <w:pPr>
              <w:pStyle w:val="COMTabletext"/>
              <w:jc w:val="center"/>
              <w:rPr>
                <w:b/>
              </w:rPr>
            </w:pPr>
            <w:r w:rsidRPr="004F11AC">
              <w:t>59</w:t>
            </w:r>
          </w:p>
        </w:tc>
        <w:tc>
          <w:tcPr>
            <w:tcW w:w="829" w:type="dxa"/>
            <w:tcBorders>
              <w:right w:val="double" w:sz="4" w:space="0" w:color="auto"/>
            </w:tcBorders>
            <w:vAlign w:val="center"/>
          </w:tcPr>
          <w:p w14:paraId="21662CBD" w14:textId="77777777" w:rsidR="002B49AB" w:rsidRPr="004F11AC" w:rsidRDefault="002B49AB" w:rsidP="00E208B7">
            <w:pPr>
              <w:pStyle w:val="COMTabletext"/>
              <w:jc w:val="center"/>
              <w:rPr>
                <w:b/>
              </w:rPr>
            </w:pPr>
            <w:r w:rsidRPr="004F11AC">
              <w:t>59</w:t>
            </w:r>
          </w:p>
        </w:tc>
        <w:tc>
          <w:tcPr>
            <w:tcW w:w="829" w:type="dxa"/>
            <w:tcBorders>
              <w:left w:val="double" w:sz="4" w:space="0" w:color="auto"/>
            </w:tcBorders>
            <w:vAlign w:val="center"/>
          </w:tcPr>
          <w:p w14:paraId="67CF08E1" w14:textId="77777777" w:rsidR="002B49AB" w:rsidRPr="004F11AC" w:rsidRDefault="002B49AB" w:rsidP="00E208B7">
            <w:pPr>
              <w:pStyle w:val="COMTabletext"/>
              <w:jc w:val="center"/>
              <w:rPr>
                <w:b/>
              </w:rPr>
            </w:pPr>
            <w:r w:rsidRPr="004F11AC">
              <w:t>454</w:t>
            </w:r>
          </w:p>
        </w:tc>
        <w:tc>
          <w:tcPr>
            <w:tcW w:w="829" w:type="dxa"/>
            <w:tcBorders>
              <w:right w:val="single" w:sz="4" w:space="0" w:color="auto"/>
            </w:tcBorders>
            <w:vAlign w:val="center"/>
          </w:tcPr>
          <w:p w14:paraId="0C947EC0" w14:textId="77777777" w:rsidR="002B49AB" w:rsidRPr="004F11AC" w:rsidRDefault="002B49AB" w:rsidP="00E208B7">
            <w:pPr>
              <w:pStyle w:val="COMTabletext"/>
              <w:jc w:val="center"/>
              <w:rPr>
                <w:b/>
              </w:rPr>
            </w:pPr>
            <w:r w:rsidRPr="004F11AC">
              <w:t>460</w:t>
            </w:r>
          </w:p>
        </w:tc>
      </w:tr>
      <w:tr w:rsidR="00BA0730" w:rsidRPr="004F11AC" w14:paraId="0E71C845" w14:textId="77777777" w:rsidTr="008E7F96">
        <w:tc>
          <w:tcPr>
            <w:tcW w:w="1555" w:type="dxa"/>
            <w:vAlign w:val="center"/>
          </w:tcPr>
          <w:p w14:paraId="2690D089" w14:textId="77777777" w:rsidR="002B49AB" w:rsidRPr="004F11AC" w:rsidRDefault="002B49AB" w:rsidP="00E208B7">
            <w:pPr>
              <w:pStyle w:val="COMTabletext"/>
            </w:pPr>
            <w:r w:rsidRPr="004F11AC">
              <w:t>Any TEAEs</w:t>
            </w:r>
          </w:p>
        </w:tc>
        <w:tc>
          <w:tcPr>
            <w:tcW w:w="829" w:type="dxa"/>
            <w:vAlign w:val="center"/>
          </w:tcPr>
          <w:p w14:paraId="1C9CD97C" w14:textId="77777777" w:rsidR="002B49AB" w:rsidRPr="004F11AC" w:rsidRDefault="002B49AB" w:rsidP="00E208B7">
            <w:pPr>
              <w:pStyle w:val="COMTabletext"/>
              <w:jc w:val="center"/>
            </w:pPr>
            <w:r w:rsidRPr="004F11AC">
              <w:t>397 (84.1)</w:t>
            </w:r>
          </w:p>
        </w:tc>
        <w:tc>
          <w:tcPr>
            <w:tcW w:w="829" w:type="dxa"/>
            <w:tcBorders>
              <w:right w:val="double" w:sz="4" w:space="0" w:color="auto"/>
            </w:tcBorders>
            <w:vAlign w:val="center"/>
          </w:tcPr>
          <w:p w14:paraId="485028FD" w14:textId="77777777" w:rsidR="002B49AB" w:rsidRPr="004F11AC" w:rsidRDefault="002B49AB" w:rsidP="00E208B7">
            <w:pPr>
              <w:pStyle w:val="COMTabletext"/>
              <w:jc w:val="center"/>
            </w:pPr>
            <w:r w:rsidRPr="004F11AC">
              <w:t>128 (83.1)</w:t>
            </w:r>
          </w:p>
        </w:tc>
        <w:tc>
          <w:tcPr>
            <w:tcW w:w="829" w:type="dxa"/>
            <w:tcBorders>
              <w:left w:val="double" w:sz="4" w:space="0" w:color="auto"/>
            </w:tcBorders>
            <w:vAlign w:val="center"/>
          </w:tcPr>
          <w:p w14:paraId="46413B91" w14:textId="77777777" w:rsidR="002B49AB" w:rsidRPr="004F11AC" w:rsidRDefault="002B49AB" w:rsidP="00E208B7">
            <w:pPr>
              <w:pStyle w:val="COMTabletext"/>
              <w:jc w:val="center"/>
            </w:pPr>
            <w:r w:rsidRPr="004F11AC">
              <w:t>111 (67.7)</w:t>
            </w:r>
          </w:p>
        </w:tc>
        <w:tc>
          <w:tcPr>
            <w:tcW w:w="829" w:type="dxa"/>
            <w:vAlign w:val="center"/>
          </w:tcPr>
          <w:p w14:paraId="4F96F25B" w14:textId="77777777" w:rsidR="002B49AB" w:rsidRPr="004F11AC" w:rsidRDefault="002B49AB" w:rsidP="00E208B7">
            <w:pPr>
              <w:pStyle w:val="COMTabletext"/>
              <w:jc w:val="center"/>
            </w:pPr>
            <w:r w:rsidRPr="004F11AC">
              <w:t>125 (75.8)</w:t>
            </w:r>
          </w:p>
        </w:tc>
        <w:tc>
          <w:tcPr>
            <w:tcW w:w="829" w:type="dxa"/>
            <w:tcBorders>
              <w:right w:val="double" w:sz="4" w:space="0" w:color="auto"/>
            </w:tcBorders>
            <w:vAlign w:val="center"/>
          </w:tcPr>
          <w:p w14:paraId="6CDC6E3D" w14:textId="77777777" w:rsidR="002B49AB" w:rsidRPr="004F11AC" w:rsidRDefault="002B49AB" w:rsidP="00E208B7">
            <w:pPr>
              <w:pStyle w:val="COMTabletext"/>
              <w:jc w:val="center"/>
            </w:pPr>
            <w:r w:rsidRPr="004F11AC">
              <w:t>116 (72.2)</w:t>
            </w:r>
          </w:p>
        </w:tc>
        <w:tc>
          <w:tcPr>
            <w:tcW w:w="829" w:type="dxa"/>
            <w:tcBorders>
              <w:left w:val="double" w:sz="4" w:space="0" w:color="auto"/>
            </w:tcBorders>
            <w:vAlign w:val="center"/>
          </w:tcPr>
          <w:p w14:paraId="5F7E0A8D" w14:textId="77777777" w:rsidR="002B49AB" w:rsidRPr="004F11AC" w:rsidRDefault="002B49AB" w:rsidP="00E208B7">
            <w:pPr>
              <w:pStyle w:val="COMTabletext"/>
              <w:jc w:val="center"/>
            </w:pPr>
            <w:r w:rsidRPr="004F11AC">
              <w:t>45 (76.3)</w:t>
            </w:r>
          </w:p>
        </w:tc>
        <w:tc>
          <w:tcPr>
            <w:tcW w:w="829" w:type="dxa"/>
            <w:tcBorders>
              <w:right w:val="double" w:sz="4" w:space="0" w:color="auto"/>
            </w:tcBorders>
            <w:vAlign w:val="center"/>
          </w:tcPr>
          <w:p w14:paraId="0167AEC0" w14:textId="77777777" w:rsidR="002B49AB" w:rsidRPr="004F11AC" w:rsidRDefault="002B49AB" w:rsidP="00E208B7">
            <w:pPr>
              <w:pStyle w:val="COMTabletext"/>
              <w:jc w:val="center"/>
            </w:pPr>
            <w:r w:rsidRPr="004F11AC">
              <w:t>39 (66.1)</w:t>
            </w:r>
          </w:p>
        </w:tc>
        <w:tc>
          <w:tcPr>
            <w:tcW w:w="829" w:type="dxa"/>
            <w:tcBorders>
              <w:left w:val="double" w:sz="4" w:space="0" w:color="auto"/>
            </w:tcBorders>
            <w:vAlign w:val="center"/>
          </w:tcPr>
          <w:p w14:paraId="01A7A1F8" w14:textId="77777777" w:rsidR="002B49AB" w:rsidRPr="004F11AC" w:rsidRDefault="002B49AB" w:rsidP="00E208B7">
            <w:pPr>
              <w:pStyle w:val="COMTabletext"/>
              <w:jc w:val="center"/>
            </w:pPr>
            <w:r w:rsidRPr="004F11AC">
              <w:t>294 (64.8)</w:t>
            </w:r>
          </w:p>
        </w:tc>
        <w:tc>
          <w:tcPr>
            <w:tcW w:w="829" w:type="dxa"/>
            <w:tcBorders>
              <w:right w:val="single" w:sz="4" w:space="0" w:color="auto"/>
            </w:tcBorders>
            <w:vAlign w:val="center"/>
          </w:tcPr>
          <w:p w14:paraId="16FD4CA3" w14:textId="77777777" w:rsidR="002B49AB" w:rsidRPr="004F11AC" w:rsidRDefault="002B49AB" w:rsidP="00E208B7">
            <w:pPr>
              <w:pStyle w:val="COMTabletext"/>
              <w:jc w:val="center"/>
            </w:pPr>
            <w:r w:rsidRPr="004F11AC">
              <w:t>310 (67.4)</w:t>
            </w:r>
          </w:p>
        </w:tc>
      </w:tr>
      <w:tr w:rsidR="00BA0730" w:rsidRPr="004F11AC" w14:paraId="0FA56F50" w14:textId="77777777" w:rsidTr="008E7F96">
        <w:tc>
          <w:tcPr>
            <w:tcW w:w="1555" w:type="dxa"/>
            <w:vAlign w:val="center"/>
          </w:tcPr>
          <w:p w14:paraId="3E1CA8FD" w14:textId="77777777" w:rsidR="002B49AB" w:rsidRPr="004F11AC" w:rsidRDefault="002B49AB" w:rsidP="00E208B7">
            <w:pPr>
              <w:pStyle w:val="COMTabletext"/>
            </w:pPr>
            <w:r w:rsidRPr="004F11AC">
              <w:t>Serious TEAEs</w:t>
            </w:r>
          </w:p>
        </w:tc>
        <w:tc>
          <w:tcPr>
            <w:tcW w:w="829" w:type="dxa"/>
            <w:vAlign w:val="center"/>
          </w:tcPr>
          <w:p w14:paraId="6C8BD0A8" w14:textId="77777777" w:rsidR="002B49AB" w:rsidRPr="004F11AC" w:rsidRDefault="002B49AB" w:rsidP="00E208B7">
            <w:pPr>
              <w:pStyle w:val="COMTabletext"/>
              <w:jc w:val="center"/>
            </w:pPr>
            <w:r w:rsidRPr="004F11AC">
              <w:t>49 (10.4)</w:t>
            </w:r>
          </w:p>
        </w:tc>
        <w:tc>
          <w:tcPr>
            <w:tcW w:w="829" w:type="dxa"/>
            <w:tcBorders>
              <w:right w:val="double" w:sz="4" w:space="0" w:color="auto"/>
            </w:tcBorders>
            <w:vAlign w:val="center"/>
          </w:tcPr>
          <w:p w14:paraId="4AD09DFD" w14:textId="77777777" w:rsidR="002B49AB" w:rsidRPr="004F11AC" w:rsidRDefault="002B49AB" w:rsidP="00E208B7">
            <w:pPr>
              <w:pStyle w:val="COMTabletext"/>
              <w:jc w:val="center"/>
            </w:pPr>
            <w:r w:rsidRPr="004F11AC">
              <w:t>17 (11.0)</w:t>
            </w:r>
          </w:p>
        </w:tc>
        <w:tc>
          <w:tcPr>
            <w:tcW w:w="829" w:type="dxa"/>
            <w:tcBorders>
              <w:left w:val="double" w:sz="4" w:space="0" w:color="auto"/>
            </w:tcBorders>
            <w:vAlign w:val="center"/>
          </w:tcPr>
          <w:p w14:paraId="4049CE8C" w14:textId="77777777" w:rsidR="002B49AB" w:rsidRPr="004F11AC" w:rsidRDefault="002B49AB" w:rsidP="00E208B7">
            <w:pPr>
              <w:pStyle w:val="COMTabletext"/>
              <w:jc w:val="center"/>
            </w:pPr>
            <w:r w:rsidRPr="004F11AC">
              <w:t>9 (5.5)</w:t>
            </w:r>
          </w:p>
        </w:tc>
        <w:tc>
          <w:tcPr>
            <w:tcW w:w="829" w:type="dxa"/>
            <w:vAlign w:val="center"/>
          </w:tcPr>
          <w:p w14:paraId="6A85B051" w14:textId="77777777" w:rsidR="002B49AB" w:rsidRPr="004F11AC" w:rsidRDefault="002B49AB" w:rsidP="00E208B7">
            <w:pPr>
              <w:pStyle w:val="COMTabletext"/>
              <w:jc w:val="center"/>
            </w:pPr>
            <w:r w:rsidRPr="004F11AC">
              <w:t>7 (4.2)</w:t>
            </w:r>
          </w:p>
        </w:tc>
        <w:tc>
          <w:tcPr>
            <w:tcW w:w="829" w:type="dxa"/>
            <w:tcBorders>
              <w:right w:val="double" w:sz="4" w:space="0" w:color="auto"/>
            </w:tcBorders>
            <w:vAlign w:val="center"/>
          </w:tcPr>
          <w:p w14:paraId="25C9FD00" w14:textId="77777777" w:rsidR="002B49AB" w:rsidRPr="004F11AC" w:rsidRDefault="002B49AB" w:rsidP="00E208B7">
            <w:pPr>
              <w:pStyle w:val="COMTabletext"/>
              <w:jc w:val="center"/>
            </w:pPr>
            <w:r w:rsidRPr="004F11AC">
              <w:t>8 (5.0)</w:t>
            </w:r>
          </w:p>
        </w:tc>
        <w:tc>
          <w:tcPr>
            <w:tcW w:w="829" w:type="dxa"/>
            <w:tcBorders>
              <w:left w:val="double" w:sz="4" w:space="0" w:color="auto"/>
            </w:tcBorders>
            <w:vAlign w:val="center"/>
          </w:tcPr>
          <w:p w14:paraId="50FBC037" w14:textId="77777777" w:rsidR="002B49AB" w:rsidRPr="004F11AC" w:rsidRDefault="002B49AB" w:rsidP="00E208B7">
            <w:pPr>
              <w:pStyle w:val="COMTabletext"/>
              <w:jc w:val="center"/>
            </w:pPr>
            <w:r w:rsidRPr="004F11AC">
              <w:t>2 (3.4)</w:t>
            </w:r>
          </w:p>
        </w:tc>
        <w:tc>
          <w:tcPr>
            <w:tcW w:w="829" w:type="dxa"/>
            <w:tcBorders>
              <w:right w:val="double" w:sz="4" w:space="0" w:color="auto"/>
            </w:tcBorders>
            <w:vAlign w:val="center"/>
          </w:tcPr>
          <w:p w14:paraId="6509E84D" w14:textId="77777777" w:rsidR="002B49AB" w:rsidRPr="004F11AC" w:rsidRDefault="002B49AB" w:rsidP="00E208B7">
            <w:pPr>
              <w:pStyle w:val="COMTabletext"/>
              <w:jc w:val="center"/>
            </w:pPr>
            <w:r w:rsidRPr="004F11AC">
              <w:t>1 (1.7)</w:t>
            </w:r>
          </w:p>
        </w:tc>
        <w:tc>
          <w:tcPr>
            <w:tcW w:w="829" w:type="dxa"/>
            <w:tcBorders>
              <w:left w:val="double" w:sz="4" w:space="0" w:color="auto"/>
            </w:tcBorders>
            <w:vAlign w:val="center"/>
          </w:tcPr>
          <w:p w14:paraId="4821C882" w14:textId="77777777" w:rsidR="002B49AB" w:rsidRPr="004F11AC" w:rsidRDefault="002B49AB" w:rsidP="00E208B7">
            <w:pPr>
              <w:pStyle w:val="COMTabletext"/>
              <w:jc w:val="center"/>
            </w:pPr>
            <w:r w:rsidRPr="004F11AC">
              <w:t>58 (12.8)</w:t>
            </w:r>
          </w:p>
        </w:tc>
        <w:tc>
          <w:tcPr>
            <w:tcW w:w="829" w:type="dxa"/>
            <w:tcBorders>
              <w:right w:val="single" w:sz="4" w:space="0" w:color="auto"/>
            </w:tcBorders>
            <w:vAlign w:val="center"/>
          </w:tcPr>
          <w:p w14:paraId="53160AB4" w14:textId="77777777" w:rsidR="002B49AB" w:rsidRPr="004F11AC" w:rsidRDefault="002B49AB" w:rsidP="00E208B7">
            <w:pPr>
              <w:pStyle w:val="COMTabletext"/>
              <w:jc w:val="center"/>
            </w:pPr>
            <w:r w:rsidRPr="004F11AC">
              <w:t>70 (15.2)</w:t>
            </w:r>
          </w:p>
        </w:tc>
      </w:tr>
      <w:tr w:rsidR="00BA0730" w:rsidRPr="004F11AC" w14:paraId="0F6A9DD1" w14:textId="77777777" w:rsidTr="008E7F96">
        <w:tc>
          <w:tcPr>
            <w:tcW w:w="1555" w:type="dxa"/>
            <w:vAlign w:val="center"/>
          </w:tcPr>
          <w:p w14:paraId="58AC1452" w14:textId="77777777" w:rsidR="002B49AB" w:rsidRPr="004F11AC" w:rsidRDefault="002B49AB" w:rsidP="00E208B7">
            <w:pPr>
              <w:pStyle w:val="COMTabletext"/>
            </w:pPr>
            <w:r w:rsidRPr="004F11AC">
              <w:t>Severe TEAEs</w:t>
            </w:r>
          </w:p>
        </w:tc>
        <w:tc>
          <w:tcPr>
            <w:tcW w:w="829" w:type="dxa"/>
            <w:vAlign w:val="center"/>
          </w:tcPr>
          <w:p w14:paraId="5C9479D6" w14:textId="77777777" w:rsidR="002B49AB" w:rsidRPr="004F11AC" w:rsidRDefault="002B49AB" w:rsidP="00E208B7">
            <w:pPr>
              <w:pStyle w:val="COMTabletext"/>
              <w:jc w:val="center"/>
            </w:pPr>
            <w:r w:rsidRPr="004F11AC">
              <w:t>75 (15.9)</w:t>
            </w:r>
          </w:p>
        </w:tc>
        <w:tc>
          <w:tcPr>
            <w:tcW w:w="829" w:type="dxa"/>
            <w:tcBorders>
              <w:right w:val="double" w:sz="4" w:space="0" w:color="auto"/>
            </w:tcBorders>
            <w:vAlign w:val="center"/>
          </w:tcPr>
          <w:p w14:paraId="4712DDBC" w14:textId="77777777" w:rsidR="002B49AB" w:rsidRPr="004F11AC" w:rsidRDefault="002B49AB" w:rsidP="00E208B7">
            <w:pPr>
              <w:pStyle w:val="COMTabletext"/>
              <w:jc w:val="center"/>
            </w:pPr>
            <w:r w:rsidRPr="004F11AC">
              <w:t>24 (15.6)</w:t>
            </w:r>
          </w:p>
        </w:tc>
        <w:tc>
          <w:tcPr>
            <w:tcW w:w="829" w:type="dxa"/>
            <w:tcBorders>
              <w:left w:val="double" w:sz="4" w:space="0" w:color="auto"/>
            </w:tcBorders>
            <w:vAlign w:val="center"/>
          </w:tcPr>
          <w:p w14:paraId="39D14AB7" w14:textId="77777777" w:rsidR="002B49AB" w:rsidRPr="004F11AC" w:rsidRDefault="002B49AB" w:rsidP="00E208B7">
            <w:pPr>
              <w:pStyle w:val="COMTabletext"/>
              <w:jc w:val="center"/>
            </w:pPr>
            <w:r w:rsidRPr="004F11AC">
              <w:t>13 (11.6)</w:t>
            </w:r>
          </w:p>
        </w:tc>
        <w:tc>
          <w:tcPr>
            <w:tcW w:w="829" w:type="dxa"/>
            <w:vAlign w:val="center"/>
          </w:tcPr>
          <w:p w14:paraId="2D2C2B05" w14:textId="77777777" w:rsidR="002B49AB" w:rsidRPr="004F11AC" w:rsidRDefault="002B49AB" w:rsidP="00E208B7">
            <w:pPr>
              <w:pStyle w:val="COMTabletext"/>
              <w:jc w:val="center"/>
            </w:pPr>
            <w:r w:rsidRPr="004F11AC">
              <w:t>24 (14.5)</w:t>
            </w:r>
          </w:p>
        </w:tc>
        <w:tc>
          <w:tcPr>
            <w:tcW w:w="829" w:type="dxa"/>
            <w:tcBorders>
              <w:right w:val="double" w:sz="4" w:space="0" w:color="auto"/>
            </w:tcBorders>
            <w:vAlign w:val="center"/>
          </w:tcPr>
          <w:p w14:paraId="127B1ECF" w14:textId="77777777" w:rsidR="002B49AB" w:rsidRPr="004F11AC" w:rsidRDefault="002B49AB" w:rsidP="00E208B7">
            <w:pPr>
              <w:pStyle w:val="COMTabletext"/>
              <w:jc w:val="center"/>
            </w:pPr>
            <w:r w:rsidRPr="004F11AC">
              <w:t>20 (12.2)</w:t>
            </w:r>
          </w:p>
        </w:tc>
        <w:tc>
          <w:tcPr>
            <w:tcW w:w="829" w:type="dxa"/>
            <w:tcBorders>
              <w:left w:val="double" w:sz="4" w:space="0" w:color="auto"/>
            </w:tcBorders>
            <w:vAlign w:val="center"/>
          </w:tcPr>
          <w:p w14:paraId="1859A353" w14:textId="77777777" w:rsidR="002B49AB" w:rsidRPr="004F11AC" w:rsidRDefault="002B49AB" w:rsidP="00E208B7">
            <w:pPr>
              <w:pStyle w:val="COMTabletext"/>
              <w:jc w:val="center"/>
            </w:pPr>
            <w:r w:rsidRPr="004F11AC">
              <w:t>4 (6.8)</w:t>
            </w:r>
          </w:p>
        </w:tc>
        <w:tc>
          <w:tcPr>
            <w:tcW w:w="829" w:type="dxa"/>
            <w:tcBorders>
              <w:right w:val="double" w:sz="4" w:space="0" w:color="auto"/>
            </w:tcBorders>
            <w:vAlign w:val="center"/>
          </w:tcPr>
          <w:p w14:paraId="41DB5C80" w14:textId="77777777" w:rsidR="002B49AB" w:rsidRPr="004F11AC" w:rsidRDefault="002B49AB" w:rsidP="00E208B7">
            <w:pPr>
              <w:pStyle w:val="COMTabletext"/>
              <w:jc w:val="center"/>
            </w:pPr>
            <w:r w:rsidRPr="004F11AC">
              <w:t>1 (1.7)</w:t>
            </w:r>
          </w:p>
        </w:tc>
        <w:tc>
          <w:tcPr>
            <w:tcW w:w="829" w:type="dxa"/>
            <w:tcBorders>
              <w:left w:val="double" w:sz="4" w:space="0" w:color="auto"/>
            </w:tcBorders>
            <w:vAlign w:val="center"/>
          </w:tcPr>
          <w:p w14:paraId="177880EE" w14:textId="77777777" w:rsidR="002B49AB" w:rsidRPr="004F11AC" w:rsidRDefault="002B49AB" w:rsidP="00E208B7">
            <w:pPr>
              <w:pStyle w:val="COMTabletext"/>
              <w:jc w:val="center"/>
            </w:pPr>
            <w:r w:rsidRPr="004F11AC">
              <w:t>43 (9.5)</w:t>
            </w:r>
          </w:p>
        </w:tc>
        <w:tc>
          <w:tcPr>
            <w:tcW w:w="829" w:type="dxa"/>
            <w:tcBorders>
              <w:right w:val="single" w:sz="4" w:space="0" w:color="auto"/>
            </w:tcBorders>
            <w:vAlign w:val="center"/>
          </w:tcPr>
          <w:p w14:paraId="04F6E98E" w14:textId="77777777" w:rsidR="002B49AB" w:rsidRPr="004F11AC" w:rsidRDefault="002B49AB" w:rsidP="00E208B7">
            <w:pPr>
              <w:pStyle w:val="COMTabletext"/>
              <w:jc w:val="center"/>
            </w:pPr>
            <w:r w:rsidRPr="004F11AC">
              <w:t>67 (14.6)</w:t>
            </w:r>
          </w:p>
        </w:tc>
      </w:tr>
      <w:tr w:rsidR="00BA0730" w:rsidRPr="004F11AC" w14:paraId="590C77FD" w14:textId="77777777" w:rsidTr="008E7F96">
        <w:tc>
          <w:tcPr>
            <w:tcW w:w="1555" w:type="dxa"/>
            <w:vAlign w:val="center"/>
          </w:tcPr>
          <w:p w14:paraId="08351B5E" w14:textId="77777777" w:rsidR="002B49AB" w:rsidRPr="004F11AC" w:rsidRDefault="002B49AB" w:rsidP="00E208B7">
            <w:pPr>
              <w:pStyle w:val="COMTabletext"/>
            </w:pPr>
            <w:r w:rsidRPr="004F11AC">
              <w:t>Moderate TEAEs</w:t>
            </w:r>
          </w:p>
        </w:tc>
        <w:tc>
          <w:tcPr>
            <w:tcW w:w="829" w:type="dxa"/>
            <w:vAlign w:val="center"/>
          </w:tcPr>
          <w:p w14:paraId="7867A0B7" w14:textId="77777777" w:rsidR="002B49AB" w:rsidRPr="004F11AC" w:rsidRDefault="002B49AB" w:rsidP="00E208B7">
            <w:pPr>
              <w:pStyle w:val="COMTabletext"/>
              <w:jc w:val="center"/>
            </w:pPr>
            <w:r w:rsidRPr="004F11AC">
              <w:t>201 (42.6)</w:t>
            </w:r>
          </w:p>
        </w:tc>
        <w:tc>
          <w:tcPr>
            <w:tcW w:w="829" w:type="dxa"/>
            <w:tcBorders>
              <w:right w:val="double" w:sz="4" w:space="0" w:color="auto"/>
            </w:tcBorders>
            <w:vAlign w:val="center"/>
          </w:tcPr>
          <w:p w14:paraId="3A8D75D5" w14:textId="77777777" w:rsidR="002B49AB" w:rsidRPr="004F11AC" w:rsidRDefault="002B49AB" w:rsidP="00E208B7">
            <w:pPr>
              <w:pStyle w:val="COMTabletext"/>
              <w:jc w:val="center"/>
            </w:pPr>
            <w:r w:rsidRPr="004F11AC">
              <w:t>60 (39.0)</w:t>
            </w:r>
          </w:p>
        </w:tc>
        <w:tc>
          <w:tcPr>
            <w:tcW w:w="829" w:type="dxa"/>
            <w:tcBorders>
              <w:left w:val="double" w:sz="4" w:space="0" w:color="auto"/>
            </w:tcBorders>
            <w:vAlign w:val="center"/>
          </w:tcPr>
          <w:p w14:paraId="5FEE2ED7" w14:textId="77777777" w:rsidR="002B49AB" w:rsidRPr="004F11AC" w:rsidRDefault="002B49AB" w:rsidP="00E208B7">
            <w:pPr>
              <w:pStyle w:val="COMTabletext"/>
              <w:jc w:val="center"/>
            </w:pPr>
            <w:r w:rsidRPr="004F11AC">
              <w:t>46 (28.0)</w:t>
            </w:r>
          </w:p>
        </w:tc>
        <w:tc>
          <w:tcPr>
            <w:tcW w:w="829" w:type="dxa"/>
            <w:vAlign w:val="center"/>
          </w:tcPr>
          <w:p w14:paraId="4F87CC5D" w14:textId="77777777" w:rsidR="002B49AB" w:rsidRPr="004F11AC" w:rsidRDefault="002B49AB" w:rsidP="00E208B7">
            <w:pPr>
              <w:pStyle w:val="COMTabletext"/>
              <w:jc w:val="center"/>
            </w:pPr>
            <w:r w:rsidRPr="004F11AC">
              <w:t>45 (27.3)</w:t>
            </w:r>
          </w:p>
        </w:tc>
        <w:tc>
          <w:tcPr>
            <w:tcW w:w="829" w:type="dxa"/>
            <w:tcBorders>
              <w:right w:val="double" w:sz="4" w:space="0" w:color="auto"/>
            </w:tcBorders>
            <w:vAlign w:val="center"/>
          </w:tcPr>
          <w:p w14:paraId="27B7F8F5" w14:textId="77777777" w:rsidR="002B49AB" w:rsidRPr="004F11AC" w:rsidRDefault="002B49AB" w:rsidP="00E208B7">
            <w:pPr>
              <w:pStyle w:val="COMTabletext"/>
              <w:jc w:val="center"/>
            </w:pPr>
            <w:r w:rsidRPr="004F11AC">
              <w:t>51 (31.7)</w:t>
            </w:r>
          </w:p>
        </w:tc>
        <w:tc>
          <w:tcPr>
            <w:tcW w:w="829" w:type="dxa"/>
            <w:tcBorders>
              <w:left w:val="double" w:sz="4" w:space="0" w:color="auto"/>
            </w:tcBorders>
            <w:vAlign w:val="center"/>
          </w:tcPr>
          <w:p w14:paraId="57D69B6E" w14:textId="77777777" w:rsidR="002B49AB" w:rsidRPr="004F11AC" w:rsidRDefault="002B49AB" w:rsidP="00E208B7">
            <w:pPr>
              <w:pStyle w:val="COMTabletext"/>
              <w:jc w:val="center"/>
            </w:pPr>
            <w:r w:rsidRPr="004F11AC">
              <w:t>24 (40.7)</w:t>
            </w:r>
          </w:p>
        </w:tc>
        <w:tc>
          <w:tcPr>
            <w:tcW w:w="829" w:type="dxa"/>
            <w:tcBorders>
              <w:right w:val="double" w:sz="4" w:space="0" w:color="auto"/>
            </w:tcBorders>
            <w:vAlign w:val="center"/>
          </w:tcPr>
          <w:p w14:paraId="5F15AF4A" w14:textId="77777777" w:rsidR="002B49AB" w:rsidRPr="004F11AC" w:rsidRDefault="002B49AB" w:rsidP="00E208B7">
            <w:pPr>
              <w:pStyle w:val="COMTabletext"/>
              <w:jc w:val="center"/>
            </w:pPr>
            <w:r w:rsidRPr="004F11AC">
              <w:t>19 (32.2)</w:t>
            </w:r>
          </w:p>
        </w:tc>
        <w:tc>
          <w:tcPr>
            <w:tcW w:w="829" w:type="dxa"/>
            <w:tcBorders>
              <w:left w:val="double" w:sz="4" w:space="0" w:color="auto"/>
            </w:tcBorders>
            <w:vAlign w:val="center"/>
          </w:tcPr>
          <w:p w14:paraId="5DF28C0A" w14:textId="77777777" w:rsidR="002B49AB" w:rsidRPr="004F11AC" w:rsidRDefault="002B49AB" w:rsidP="00E208B7">
            <w:pPr>
              <w:pStyle w:val="COMTabletext"/>
              <w:jc w:val="center"/>
            </w:pPr>
            <w:r w:rsidRPr="004F11AC">
              <w:t>119 (26.2)</w:t>
            </w:r>
          </w:p>
        </w:tc>
        <w:tc>
          <w:tcPr>
            <w:tcW w:w="829" w:type="dxa"/>
            <w:tcBorders>
              <w:right w:val="single" w:sz="4" w:space="0" w:color="auto"/>
            </w:tcBorders>
            <w:vAlign w:val="center"/>
          </w:tcPr>
          <w:p w14:paraId="3CF33386" w14:textId="77777777" w:rsidR="002B49AB" w:rsidRPr="004F11AC" w:rsidRDefault="002B49AB" w:rsidP="00E208B7">
            <w:pPr>
              <w:pStyle w:val="COMTabletext"/>
              <w:jc w:val="center"/>
            </w:pPr>
            <w:r w:rsidRPr="004F11AC">
              <w:t>132 (38.7)</w:t>
            </w:r>
          </w:p>
        </w:tc>
      </w:tr>
      <w:tr w:rsidR="00BA0730" w:rsidRPr="004F11AC" w14:paraId="02629E57" w14:textId="77777777" w:rsidTr="008E7F96">
        <w:tc>
          <w:tcPr>
            <w:tcW w:w="1555" w:type="dxa"/>
            <w:vAlign w:val="center"/>
          </w:tcPr>
          <w:p w14:paraId="4E641CB8" w14:textId="77777777" w:rsidR="002B49AB" w:rsidRPr="004F11AC" w:rsidRDefault="002B49AB" w:rsidP="00E208B7">
            <w:pPr>
              <w:pStyle w:val="COMTabletext"/>
            </w:pPr>
            <w:r w:rsidRPr="004F11AC">
              <w:t>Basal insulin related AEs</w:t>
            </w:r>
          </w:p>
        </w:tc>
        <w:tc>
          <w:tcPr>
            <w:tcW w:w="829" w:type="dxa"/>
            <w:vAlign w:val="center"/>
          </w:tcPr>
          <w:p w14:paraId="71AEA9B0" w14:textId="77777777" w:rsidR="002B49AB" w:rsidRPr="004F11AC" w:rsidRDefault="002B49AB" w:rsidP="00E208B7">
            <w:pPr>
              <w:pStyle w:val="COMTabletext"/>
              <w:jc w:val="center"/>
            </w:pPr>
            <w:r w:rsidRPr="004F11AC">
              <w:t>112 (22.7)</w:t>
            </w:r>
          </w:p>
        </w:tc>
        <w:tc>
          <w:tcPr>
            <w:tcW w:w="829" w:type="dxa"/>
            <w:tcBorders>
              <w:right w:val="double" w:sz="4" w:space="0" w:color="auto"/>
            </w:tcBorders>
            <w:vAlign w:val="center"/>
          </w:tcPr>
          <w:p w14:paraId="54B0C5E3" w14:textId="77777777" w:rsidR="002B49AB" w:rsidRPr="004F11AC" w:rsidRDefault="002B49AB" w:rsidP="00E208B7">
            <w:pPr>
              <w:pStyle w:val="COMTabletext"/>
              <w:jc w:val="center"/>
            </w:pPr>
            <w:r w:rsidRPr="004F11AC">
              <w:t>27 (17.5)</w:t>
            </w:r>
          </w:p>
        </w:tc>
        <w:tc>
          <w:tcPr>
            <w:tcW w:w="829" w:type="dxa"/>
            <w:tcBorders>
              <w:left w:val="double" w:sz="4" w:space="0" w:color="auto"/>
            </w:tcBorders>
            <w:vAlign w:val="center"/>
          </w:tcPr>
          <w:p w14:paraId="1CA48689" w14:textId="77777777" w:rsidR="002B49AB" w:rsidRPr="004F11AC" w:rsidRDefault="002B49AB" w:rsidP="00E208B7">
            <w:pPr>
              <w:pStyle w:val="COMTabletext"/>
              <w:jc w:val="center"/>
            </w:pPr>
            <w:r w:rsidRPr="004F11AC">
              <w:t>41 (25.0)</w:t>
            </w:r>
          </w:p>
        </w:tc>
        <w:tc>
          <w:tcPr>
            <w:tcW w:w="829" w:type="dxa"/>
            <w:vAlign w:val="center"/>
          </w:tcPr>
          <w:p w14:paraId="6EC9ECEA" w14:textId="77777777" w:rsidR="002B49AB" w:rsidRPr="004F11AC" w:rsidRDefault="002B49AB" w:rsidP="00E208B7">
            <w:pPr>
              <w:pStyle w:val="COMTabletext"/>
              <w:jc w:val="center"/>
            </w:pPr>
            <w:r w:rsidRPr="004F11AC">
              <w:t>34 (20.6)</w:t>
            </w:r>
          </w:p>
        </w:tc>
        <w:tc>
          <w:tcPr>
            <w:tcW w:w="829" w:type="dxa"/>
            <w:tcBorders>
              <w:right w:val="double" w:sz="4" w:space="0" w:color="auto"/>
            </w:tcBorders>
            <w:vAlign w:val="center"/>
          </w:tcPr>
          <w:p w14:paraId="5392C139" w14:textId="77777777" w:rsidR="002B49AB" w:rsidRPr="004F11AC" w:rsidRDefault="002B49AB" w:rsidP="00E208B7">
            <w:pPr>
              <w:pStyle w:val="COMTabletext"/>
              <w:jc w:val="center"/>
            </w:pPr>
            <w:r w:rsidRPr="004F11AC">
              <w:t>30 (18.6)</w:t>
            </w:r>
          </w:p>
        </w:tc>
        <w:tc>
          <w:tcPr>
            <w:tcW w:w="829" w:type="dxa"/>
            <w:tcBorders>
              <w:left w:val="double" w:sz="4" w:space="0" w:color="auto"/>
            </w:tcBorders>
            <w:vAlign w:val="center"/>
          </w:tcPr>
          <w:p w14:paraId="400B770E" w14:textId="77777777" w:rsidR="002B49AB" w:rsidRPr="004F11AC" w:rsidRDefault="002B49AB" w:rsidP="00E208B7">
            <w:pPr>
              <w:pStyle w:val="COMTabletext"/>
              <w:jc w:val="center"/>
            </w:pPr>
            <w:r w:rsidRPr="004F11AC">
              <w:t>7 (11.9)</w:t>
            </w:r>
          </w:p>
        </w:tc>
        <w:tc>
          <w:tcPr>
            <w:tcW w:w="829" w:type="dxa"/>
            <w:tcBorders>
              <w:right w:val="double" w:sz="4" w:space="0" w:color="auto"/>
            </w:tcBorders>
            <w:vAlign w:val="center"/>
          </w:tcPr>
          <w:p w14:paraId="12E33BA4" w14:textId="77777777" w:rsidR="002B49AB" w:rsidRPr="004F11AC" w:rsidRDefault="002B49AB" w:rsidP="00E208B7">
            <w:pPr>
              <w:pStyle w:val="COMTabletext"/>
              <w:jc w:val="center"/>
            </w:pPr>
            <w:r w:rsidRPr="004F11AC">
              <w:t>3 (5.1)</w:t>
            </w:r>
          </w:p>
        </w:tc>
        <w:tc>
          <w:tcPr>
            <w:tcW w:w="829" w:type="dxa"/>
            <w:tcBorders>
              <w:left w:val="double" w:sz="4" w:space="0" w:color="auto"/>
            </w:tcBorders>
            <w:vAlign w:val="center"/>
          </w:tcPr>
          <w:p w14:paraId="3273B71B" w14:textId="77777777" w:rsidR="002B49AB" w:rsidRPr="004F11AC" w:rsidRDefault="002B49AB" w:rsidP="00E208B7">
            <w:pPr>
              <w:pStyle w:val="COMTabletext"/>
              <w:jc w:val="center"/>
            </w:pPr>
            <w:r w:rsidRPr="004F11AC">
              <w:t>58 (12.8)</w:t>
            </w:r>
          </w:p>
        </w:tc>
        <w:tc>
          <w:tcPr>
            <w:tcW w:w="829" w:type="dxa"/>
            <w:tcBorders>
              <w:right w:val="single" w:sz="4" w:space="0" w:color="auto"/>
            </w:tcBorders>
            <w:vAlign w:val="center"/>
          </w:tcPr>
          <w:p w14:paraId="1C4446F3" w14:textId="77777777" w:rsidR="002B49AB" w:rsidRPr="004F11AC" w:rsidRDefault="002B49AB" w:rsidP="00E208B7">
            <w:pPr>
              <w:pStyle w:val="COMTabletext"/>
              <w:jc w:val="center"/>
            </w:pPr>
            <w:r w:rsidRPr="004F11AC">
              <w:t>61 (13.3)</w:t>
            </w:r>
          </w:p>
        </w:tc>
      </w:tr>
      <w:tr w:rsidR="00BA0730" w:rsidRPr="004F11AC" w14:paraId="3F9D83CF" w14:textId="77777777" w:rsidTr="008E7F96">
        <w:tc>
          <w:tcPr>
            <w:tcW w:w="1555" w:type="dxa"/>
            <w:vAlign w:val="center"/>
          </w:tcPr>
          <w:p w14:paraId="1C611CB7" w14:textId="77777777" w:rsidR="002B49AB" w:rsidRPr="004F11AC" w:rsidRDefault="002B49AB" w:rsidP="00E208B7">
            <w:pPr>
              <w:pStyle w:val="COMTabletext"/>
            </w:pPr>
            <w:r w:rsidRPr="004F11AC">
              <w:t>Bolus insulin related AEs</w:t>
            </w:r>
          </w:p>
        </w:tc>
        <w:tc>
          <w:tcPr>
            <w:tcW w:w="829" w:type="dxa"/>
            <w:vAlign w:val="center"/>
          </w:tcPr>
          <w:p w14:paraId="5497594B" w14:textId="77777777" w:rsidR="002B49AB" w:rsidRPr="004F11AC" w:rsidRDefault="002B49AB" w:rsidP="00E208B7">
            <w:pPr>
              <w:pStyle w:val="COMTabletext"/>
              <w:jc w:val="center"/>
            </w:pPr>
            <w:r w:rsidRPr="004F11AC">
              <w:t>109 (23.1)</w:t>
            </w:r>
          </w:p>
        </w:tc>
        <w:tc>
          <w:tcPr>
            <w:tcW w:w="829" w:type="dxa"/>
            <w:tcBorders>
              <w:right w:val="double" w:sz="4" w:space="0" w:color="auto"/>
            </w:tcBorders>
            <w:vAlign w:val="center"/>
          </w:tcPr>
          <w:p w14:paraId="4D4987A9" w14:textId="77777777" w:rsidR="002B49AB" w:rsidRPr="004F11AC" w:rsidRDefault="002B49AB" w:rsidP="00E208B7">
            <w:pPr>
              <w:pStyle w:val="COMTabletext"/>
              <w:jc w:val="center"/>
            </w:pPr>
            <w:r w:rsidRPr="004F11AC">
              <w:t>31 (20.1)</w:t>
            </w:r>
          </w:p>
        </w:tc>
        <w:tc>
          <w:tcPr>
            <w:tcW w:w="829" w:type="dxa"/>
            <w:tcBorders>
              <w:left w:val="double" w:sz="4" w:space="0" w:color="auto"/>
            </w:tcBorders>
            <w:vAlign w:val="center"/>
          </w:tcPr>
          <w:p w14:paraId="18E62A13" w14:textId="77777777" w:rsidR="002B49AB" w:rsidRPr="004F11AC" w:rsidRDefault="002B49AB" w:rsidP="00E208B7">
            <w:pPr>
              <w:pStyle w:val="COMTabletext"/>
              <w:jc w:val="center"/>
            </w:pPr>
            <w:r w:rsidRPr="004F11AC">
              <w:t>40 (24.4)</w:t>
            </w:r>
          </w:p>
        </w:tc>
        <w:tc>
          <w:tcPr>
            <w:tcW w:w="829" w:type="dxa"/>
            <w:vAlign w:val="center"/>
          </w:tcPr>
          <w:p w14:paraId="50E8DFE9" w14:textId="77777777" w:rsidR="002B49AB" w:rsidRPr="004F11AC" w:rsidRDefault="002B49AB" w:rsidP="00E208B7">
            <w:pPr>
              <w:pStyle w:val="COMTabletext"/>
              <w:jc w:val="center"/>
            </w:pPr>
            <w:r w:rsidRPr="004F11AC">
              <w:t>27 (16.4)</w:t>
            </w:r>
          </w:p>
        </w:tc>
        <w:tc>
          <w:tcPr>
            <w:tcW w:w="829" w:type="dxa"/>
            <w:tcBorders>
              <w:right w:val="double" w:sz="4" w:space="0" w:color="auto"/>
            </w:tcBorders>
            <w:vAlign w:val="center"/>
          </w:tcPr>
          <w:p w14:paraId="10E2D2A7" w14:textId="77777777" w:rsidR="002B49AB" w:rsidRPr="004F11AC" w:rsidRDefault="002B49AB" w:rsidP="00E208B7">
            <w:pPr>
              <w:pStyle w:val="COMTabletext"/>
              <w:jc w:val="center"/>
            </w:pPr>
            <w:r w:rsidRPr="004F11AC">
              <w:t>26 (16.2)</w:t>
            </w:r>
          </w:p>
        </w:tc>
        <w:tc>
          <w:tcPr>
            <w:tcW w:w="829" w:type="dxa"/>
            <w:tcBorders>
              <w:left w:val="double" w:sz="4" w:space="0" w:color="auto"/>
            </w:tcBorders>
            <w:vAlign w:val="center"/>
          </w:tcPr>
          <w:p w14:paraId="68B7FE72" w14:textId="77777777" w:rsidR="002B49AB" w:rsidRPr="004F11AC" w:rsidRDefault="002B49AB" w:rsidP="00E208B7">
            <w:pPr>
              <w:pStyle w:val="COMTabletext"/>
              <w:jc w:val="center"/>
            </w:pPr>
            <w:r w:rsidRPr="004F11AC">
              <w:t>4 (6.8)</w:t>
            </w:r>
          </w:p>
        </w:tc>
        <w:tc>
          <w:tcPr>
            <w:tcW w:w="829" w:type="dxa"/>
            <w:tcBorders>
              <w:right w:val="double" w:sz="4" w:space="0" w:color="auto"/>
            </w:tcBorders>
            <w:vAlign w:val="center"/>
          </w:tcPr>
          <w:p w14:paraId="75A95AF0" w14:textId="77777777" w:rsidR="002B49AB" w:rsidRPr="004F11AC" w:rsidRDefault="002B49AB" w:rsidP="00E208B7">
            <w:pPr>
              <w:pStyle w:val="COMTabletext"/>
              <w:jc w:val="center"/>
            </w:pPr>
            <w:r w:rsidRPr="004F11AC">
              <w:t>2 (3.4)</w:t>
            </w:r>
          </w:p>
        </w:tc>
        <w:tc>
          <w:tcPr>
            <w:tcW w:w="829" w:type="dxa"/>
            <w:tcBorders>
              <w:left w:val="double" w:sz="4" w:space="0" w:color="auto"/>
            </w:tcBorders>
            <w:vAlign w:val="center"/>
          </w:tcPr>
          <w:p w14:paraId="7D12AF3B" w14:textId="77777777" w:rsidR="002B49AB" w:rsidRPr="004F11AC" w:rsidRDefault="002B49AB" w:rsidP="00E208B7">
            <w:pPr>
              <w:pStyle w:val="COMTabletext"/>
              <w:jc w:val="center"/>
            </w:pPr>
            <w:r w:rsidRPr="004F11AC">
              <w:t>NR</w:t>
            </w:r>
          </w:p>
        </w:tc>
        <w:tc>
          <w:tcPr>
            <w:tcW w:w="829" w:type="dxa"/>
            <w:tcBorders>
              <w:right w:val="single" w:sz="4" w:space="0" w:color="auto"/>
            </w:tcBorders>
            <w:vAlign w:val="center"/>
          </w:tcPr>
          <w:p w14:paraId="50D968FD" w14:textId="77777777" w:rsidR="002B49AB" w:rsidRPr="004F11AC" w:rsidRDefault="002B49AB" w:rsidP="00E208B7">
            <w:pPr>
              <w:pStyle w:val="COMTabletext"/>
              <w:jc w:val="center"/>
            </w:pPr>
            <w:r w:rsidRPr="004F11AC">
              <w:t>NR</w:t>
            </w:r>
          </w:p>
        </w:tc>
      </w:tr>
      <w:tr w:rsidR="00BA0730" w:rsidRPr="004F11AC" w14:paraId="52D93478" w14:textId="77777777" w:rsidTr="008E7F96">
        <w:tc>
          <w:tcPr>
            <w:tcW w:w="1555" w:type="dxa"/>
            <w:vAlign w:val="center"/>
          </w:tcPr>
          <w:p w14:paraId="18D66422" w14:textId="77777777" w:rsidR="002B49AB" w:rsidRPr="004F11AC" w:rsidRDefault="002B49AB" w:rsidP="00E208B7">
            <w:pPr>
              <w:pStyle w:val="COMTabletext"/>
            </w:pPr>
            <w:r w:rsidRPr="004F11AC">
              <w:t>Withdrawal due to AE</w:t>
            </w:r>
          </w:p>
        </w:tc>
        <w:tc>
          <w:tcPr>
            <w:tcW w:w="829" w:type="dxa"/>
            <w:vAlign w:val="center"/>
          </w:tcPr>
          <w:p w14:paraId="73CC2E36" w14:textId="77777777" w:rsidR="002B49AB" w:rsidRPr="004F11AC" w:rsidRDefault="002B49AB" w:rsidP="00E208B7">
            <w:pPr>
              <w:pStyle w:val="COMTabletext"/>
              <w:jc w:val="center"/>
            </w:pPr>
            <w:r w:rsidRPr="004F11AC">
              <w:t>12 (2.5)</w:t>
            </w:r>
          </w:p>
        </w:tc>
        <w:tc>
          <w:tcPr>
            <w:tcW w:w="829" w:type="dxa"/>
            <w:tcBorders>
              <w:right w:val="double" w:sz="4" w:space="0" w:color="auto"/>
            </w:tcBorders>
            <w:vAlign w:val="center"/>
          </w:tcPr>
          <w:p w14:paraId="7B15C0DB" w14:textId="77777777" w:rsidR="002B49AB" w:rsidRPr="004F11AC" w:rsidRDefault="002B49AB" w:rsidP="00E208B7">
            <w:pPr>
              <w:pStyle w:val="COMTabletext"/>
              <w:jc w:val="center"/>
            </w:pPr>
            <w:r w:rsidRPr="004F11AC">
              <w:t>2 (1.3)</w:t>
            </w:r>
          </w:p>
        </w:tc>
        <w:tc>
          <w:tcPr>
            <w:tcW w:w="829" w:type="dxa"/>
            <w:tcBorders>
              <w:left w:val="double" w:sz="4" w:space="0" w:color="auto"/>
            </w:tcBorders>
            <w:vAlign w:val="center"/>
          </w:tcPr>
          <w:p w14:paraId="0C94797D" w14:textId="77777777" w:rsidR="002B49AB" w:rsidRPr="004F11AC" w:rsidRDefault="002B49AB" w:rsidP="00E208B7">
            <w:pPr>
              <w:pStyle w:val="COMTabletext"/>
              <w:jc w:val="center"/>
            </w:pPr>
            <w:r w:rsidRPr="004F11AC">
              <w:t>5 (3.0)</w:t>
            </w:r>
          </w:p>
        </w:tc>
        <w:tc>
          <w:tcPr>
            <w:tcW w:w="829" w:type="dxa"/>
            <w:vAlign w:val="center"/>
          </w:tcPr>
          <w:p w14:paraId="3705617D" w14:textId="77777777" w:rsidR="002B49AB" w:rsidRPr="004F11AC" w:rsidRDefault="002B49AB" w:rsidP="00E208B7">
            <w:pPr>
              <w:pStyle w:val="COMTabletext"/>
              <w:jc w:val="center"/>
            </w:pPr>
            <w:r w:rsidRPr="004F11AC">
              <w:t>4 (2.4)</w:t>
            </w:r>
          </w:p>
        </w:tc>
        <w:tc>
          <w:tcPr>
            <w:tcW w:w="829" w:type="dxa"/>
            <w:tcBorders>
              <w:right w:val="double" w:sz="4" w:space="0" w:color="auto"/>
            </w:tcBorders>
            <w:vAlign w:val="center"/>
          </w:tcPr>
          <w:p w14:paraId="6479D146" w14:textId="77777777" w:rsidR="002B49AB" w:rsidRPr="004F11AC" w:rsidRDefault="002B49AB" w:rsidP="00E208B7">
            <w:pPr>
              <w:pStyle w:val="COMTabletext"/>
              <w:jc w:val="center"/>
            </w:pPr>
            <w:r w:rsidRPr="004F11AC">
              <w:t>1 (0.6)</w:t>
            </w:r>
          </w:p>
        </w:tc>
        <w:tc>
          <w:tcPr>
            <w:tcW w:w="829" w:type="dxa"/>
            <w:tcBorders>
              <w:left w:val="double" w:sz="4" w:space="0" w:color="auto"/>
            </w:tcBorders>
            <w:vAlign w:val="center"/>
          </w:tcPr>
          <w:p w14:paraId="305E549B" w14:textId="77777777" w:rsidR="002B49AB" w:rsidRPr="004F11AC" w:rsidRDefault="002B49AB" w:rsidP="00E208B7">
            <w:pPr>
              <w:pStyle w:val="COMTabletext"/>
              <w:jc w:val="center"/>
            </w:pPr>
            <w:r w:rsidRPr="004F11AC">
              <w:t>2 (3.4)</w:t>
            </w:r>
          </w:p>
        </w:tc>
        <w:tc>
          <w:tcPr>
            <w:tcW w:w="829" w:type="dxa"/>
            <w:tcBorders>
              <w:right w:val="double" w:sz="4" w:space="0" w:color="auto"/>
            </w:tcBorders>
            <w:vAlign w:val="center"/>
          </w:tcPr>
          <w:p w14:paraId="2DE0808C" w14:textId="77777777" w:rsidR="002B49AB" w:rsidRPr="004F11AC" w:rsidRDefault="002B49AB" w:rsidP="00E208B7">
            <w:pPr>
              <w:pStyle w:val="COMTabletext"/>
              <w:jc w:val="center"/>
            </w:pPr>
            <w:r w:rsidRPr="004F11AC">
              <w:t>1 (1.7)</w:t>
            </w:r>
          </w:p>
        </w:tc>
        <w:tc>
          <w:tcPr>
            <w:tcW w:w="829" w:type="dxa"/>
            <w:tcBorders>
              <w:left w:val="double" w:sz="4" w:space="0" w:color="auto"/>
            </w:tcBorders>
            <w:vAlign w:val="center"/>
          </w:tcPr>
          <w:p w14:paraId="18B04438" w14:textId="77777777" w:rsidR="002B49AB" w:rsidRPr="004F11AC" w:rsidRDefault="002B49AB" w:rsidP="00E208B7">
            <w:pPr>
              <w:pStyle w:val="COMTabletext"/>
              <w:jc w:val="center"/>
            </w:pPr>
            <w:r w:rsidRPr="004F11AC">
              <w:t>9 (2.0)</w:t>
            </w:r>
          </w:p>
        </w:tc>
        <w:tc>
          <w:tcPr>
            <w:tcW w:w="829" w:type="dxa"/>
            <w:tcBorders>
              <w:right w:val="single" w:sz="4" w:space="0" w:color="auto"/>
            </w:tcBorders>
            <w:vAlign w:val="center"/>
          </w:tcPr>
          <w:p w14:paraId="3D35C527" w14:textId="77777777" w:rsidR="002B49AB" w:rsidRPr="004F11AC" w:rsidRDefault="002B49AB" w:rsidP="00E208B7">
            <w:pPr>
              <w:pStyle w:val="COMTabletext"/>
              <w:jc w:val="center"/>
            </w:pPr>
            <w:r w:rsidRPr="004F11AC">
              <w:t>7 (1.5)</w:t>
            </w:r>
          </w:p>
        </w:tc>
      </w:tr>
      <w:tr w:rsidR="00BA0730" w:rsidRPr="004F11AC" w14:paraId="400464A8" w14:textId="77777777" w:rsidTr="008E7F96">
        <w:tc>
          <w:tcPr>
            <w:tcW w:w="9016" w:type="dxa"/>
            <w:gridSpan w:val="10"/>
            <w:tcBorders>
              <w:right w:val="single" w:sz="4" w:space="0" w:color="auto"/>
            </w:tcBorders>
            <w:vAlign w:val="center"/>
          </w:tcPr>
          <w:p w14:paraId="71BECE7C" w14:textId="77777777" w:rsidR="002B49AB" w:rsidRPr="004F11AC" w:rsidRDefault="002B49AB" w:rsidP="00E208B7">
            <w:pPr>
              <w:pStyle w:val="COMTabletext"/>
              <w:rPr>
                <w:b/>
              </w:rPr>
            </w:pPr>
            <w:r w:rsidRPr="004F11AC">
              <w:rPr>
                <w:b/>
              </w:rPr>
              <w:t>Treatment emergent adverse events (≥5% of patients), n (%)</w:t>
            </w:r>
          </w:p>
        </w:tc>
      </w:tr>
      <w:tr w:rsidR="00BA0730" w:rsidRPr="004F11AC" w14:paraId="634FBB98" w14:textId="77777777" w:rsidTr="008E7F96">
        <w:tc>
          <w:tcPr>
            <w:tcW w:w="1555" w:type="dxa"/>
            <w:vAlign w:val="center"/>
          </w:tcPr>
          <w:p w14:paraId="03965362" w14:textId="77777777" w:rsidR="002B49AB" w:rsidRPr="004F11AC" w:rsidRDefault="002B49AB" w:rsidP="00E208B7">
            <w:pPr>
              <w:pStyle w:val="COMTabletext"/>
            </w:pPr>
            <w:r w:rsidRPr="004F11AC">
              <w:t>Hypoglycaemia</w:t>
            </w:r>
          </w:p>
        </w:tc>
        <w:tc>
          <w:tcPr>
            <w:tcW w:w="829" w:type="dxa"/>
            <w:vAlign w:val="center"/>
          </w:tcPr>
          <w:p w14:paraId="39097B9E" w14:textId="77777777" w:rsidR="002B49AB" w:rsidRPr="004F11AC" w:rsidRDefault="002B49AB" w:rsidP="00E208B7">
            <w:pPr>
              <w:pStyle w:val="COMTabletext"/>
              <w:jc w:val="center"/>
            </w:pPr>
            <w:r w:rsidRPr="004F11AC">
              <w:t>51 (10.8)</w:t>
            </w:r>
          </w:p>
        </w:tc>
        <w:tc>
          <w:tcPr>
            <w:tcW w:w="829" w:type="dxa"/>
            <w:tcBorders>
              <w:right w:val="double" w:sz="4" w:space="0" w:color="auto"/>
            </w:tcBorders>
            <w:vAlign w:val="center"/>
          </w:tcPr>
          <w:p w14:paraId="3BD82BE6" w14:textId="77777777" w:rsidR="002B49AB" w:rsidRPr="004F11AC" w:rsidRDefault="002B49AB" w:rsidP="00E208B7">
            <w:pPr>
              <w:pStyle w:val="COMTabletext"/>
              <w:jc w:val="center"/>
            </w:pPr>
            <w:r w:rsidRPr="004F11AC">
              <w:t>12 (7.8)</w:t>
            </w:r>
          </w:p>
        </w:tc>
        <w:tc>
          <w:tcPr>
            <w:tcW w:w="829" w:type="dxa"/>
            <w:tcBorders>
              <w:left w:val="double" w:sz="4" w:space="0" w:color="auto"/>
            </w:tcBorders>
            <w:vAlign w:val="center"/>
          </w:tcPr>
          <w:p w14:paraId="6F18E5AD" w14:textId="77777777" w:rsidR="002B49AB" w:rsidRPr="004F11AC" w:rsidRDefault="002B49AB" w:rsidP="00E208B7">
            <w:pPr>
              <w:pStyle w:val="COMTabletext"/>
              <w:jc w:val="center"/>
            </w:pPr>
            <w:r w:rsidRPr="004F11AC">
              <w:t>11 (6.7)</w:t>
            </w:r>
          </w:p>
        </w:tc>
        <w:tc>
          <w:tcPr>
            <w:tcW w:w="829" w:type="dxa"/>
            <w:vAlign w:val="center"/>
          </w:tcPr>
          <w:p w14:paraId="293016DC" w14:textId="77777777" w:rsidR="002B49AB" w:rsidRPr="004F11AC" w:rsidRDefault="002B49AB" w:rsidP="00E208B7">
            <w:pPr>
              <w:pStyle w:val="COMTabletext"/>
              <w:jc w:val="center"/>
            </w:pPr>
            <w:r w:rsidRPr="004F11AC">
              <w:t>18 (10.9)</w:t>
            </w:r>
          </w:p>
        </w:tc>
        <w:tc>
          <w:tcPr>
            <w:tcW w:w="829" w:type="dxa"/>
            <w:tcBorders>
              <w:right w:val="double" w:sz="4" w:space="0" w:color="auto"/>
            </w:tcBorders>
            <w:vAlign w:val="center"/>
          </w:tcPr>
          <w:p w14:paraId="34E9B6E3" w14:textId="77777777" w:rsidR="002B49AB" w:rsidRPr="004F11AC" w:rsidRDefault="002B49AB" w:rsidP="00E208B7">
            <w:pPr>
              <w:pStyle w:val="COMTabletext"/>
              <w:jc w:val="center"/>
            </w:pPr>
            <w:r w:rsidRPr="004F11AC">
              <w:t>10 (6.2)</w:t>
            </w:r>
          </w:p>
        </w:tc>
        <w:tc>
          <w:tcPr>
            <w:tcW w:w="829" w:type="dxa"/>
            <w:tcBorders>
              <w:left w:val="double" w:sz="4" w:space="0" w:color="auto"/>
            </w:tcBorders>
            <w:vAlign w:val="center"/>
          </w:tcPr>
          <w:p w14:paraId="0519E874" w14:textId="77777777" w:rsidR="002B49AB" w:rsidRPr="004F11AC" w:rsidRDefault="002B49AB" w:rsidP="00E208B7">
            <w:pPr>
              <w:pStyle w:val="COMTabletext"/>
              <w:jc w:val="center"/>
            </w:pPr>
            <w:r w:rsidRPr="004F11AC">
              <w:t>-</w:t>
            </w:r>
          </w:p>
        </w:tc>
        <w:tc>
          <w:tcPr>
            <w:tcW w:w="829" w:type="dxa"/>
            <w:tcBorders>
              <w:right w:val="double" w:sz="4" w:space="0" w:color="auto"/>
            </w:tcBorders>
            <w:vAlign w:val="center"/>
          </w:tcPr>
          <w:p w14:paraId="4DF75047" w14:textId="77777777" w:rsidR="002B49AB" w:rsidRPr="004F11AC" w:rsidRDefault="002B49AB" w:rsidP="00E208B7">
            <w:pPr>
              <w:pStyle w:val="COMTabletext"/>
              <w:jc w:val="center"/>
            </w:pPr>
            <w:r w:rsidRPr="004F11AC">
              <w:t>-</w:t>
            </w:r>
          </w:p>
        </w:tc>
        <w:tc>
          <w:tcPr>
            <w:tcW w:w="829" w:type="dxa"/>
            <w:tcBorders>
              <w:left w:val="double" w:sz="4" w:space="0" w:color="auto"/>
            </w:tcBorders>
            <w:vAlign w:val="center"/>
          </w:tcPr>
          <w:p w14:paraId="23CF9F18" w14:textId="77777777" w:rsidR="002B49AB" w:rsidRPr="004F11AC" w:rsidRDefault="002B49AB" w:rsidP="00E208B7">
            <w:pPr>
              <w:pStyle w:val="COMTabletext"/>
              <w:jc w:val="center"/>
            </w:pPr>
            <w:r w:rsidRPr="004F11AC">
              <w:t>17 (3.7)</w:t>
            </w:r>
          </w:p>
        </w:tc>
        <w:tc>
          <w:tcPr>
            <w:tcW w:w="829" w:type="dxa"/>
            <w:tcBorders>
              <w:right w:val="single" w:sz="4" w:space="0" w:color="auto"/>
            </w:tcBorders>
            <w:vAlign w:val="center"/>
          </w:tcPr>
          <w:p w14:paraId="6F171363" w14:textId="77777777" w:rsidR="002B49AB" w:rsidRPr="004F11AC" w:rsidRDefault="002B49AB" w:rsidP="00E208B7">
            <w:pPr>
              <w:pStyle w:val="COMTabletext"/>
              <w:jc w:val="center"/>
            </w:pPr>
            <w:r w:rsidRPr="004F11AC">
              <w:t>33 (7.2)</w:t>
            </w:r>
          </w:p>
        </w:tc>
      </w:tr>
      <w:tr w:rsidR="00BA0730" w:rsidRPr="004F11AC" w14:paraId="309A20A8" w14:textId="77777777" w:rsidTr="008E7F96">
        <w:tc>
          <w:tcPr>
            <w:tcW w:w="1555" w:type="dxa"/>
            <w:vAlign w:val="center"/>
          </w:tcPr>
          <w:p w14:paraId="04DC8F2A" w14:textId="77777777" w:rsidR="002B49AB" w:rsidRPr="004F11AC" w:rsidRDefault="002B49AB" w:rsidP="00E208B7">
            <w:pPr>
              <w:pStyle w:val="COMTabletext"/>
            </w:pPr>
            <w:r w:rsidRPr="004F11AC">
              <w:t>Nasopharyngitis</w:t>
            </w:r>
          </w:p>
        </w:tc>
        <w:tc>
          <w:tcPr>
            <w:tcW w:w="829" w:type="dxa"/>
            <w:vAlign w:val="center"/>
          </w:tcPr>
          <w:p w14:paraId="1C6CE2AD" w14:textId="77777777" w:rsidR="002B49AB" w:rsidRPr="004F11AC" w:rsidRDefault="002B49AB" w:rsidP="00E208B7">
            <w:pPr>
              <w:pStyle w:val="COMTabletext"/>
              <w:jc w:val="center"/>
            </w:pPr>
            <w:r w:rsidRPr="004F11AC">
              <w:t>130 (27.5)</w:t>
            </w:r>
          </w:p>
        </w:tc>
        <w:tc>
          <w:tcPr>
            <w:tcW w:w="829" w:type="dxa"/>
            <w:tcBorders>
              <w:right w:val="double" w:sz="4" w:space="0" w:color="auto"/>
            </w:tcBorders>
            <w:vAlign w:val="center"/>
          </w:tcPr>
          <w:p w14:paraId="1840C4F7" w14:textId="77777777" w:rsidR="002B49AB" w:rsidRPr="004F11AC" w:rsidRDefault="002B49AB" w:rsidP="00E208B7">
            <w:pPr>
              <w:pStyle w:val="COMTabletext"/>
              <w:jc w:val="center"/>
            </w:pPr>
            <w:r w:rsidRPr="004F11AC">
              <w:t>6 (3.9)</w:t>
            </w:r>
          </w:p>
        </w:tc>
        <w:tc>
          <w:tcPr>
            <w:tcW w:w="829" w:type="dxa"/>
            <w:tcBorders>
              <w:left w:val="double" w:sz="4" w:space="0" w:color="auto"/>
            </w:tcBorders>
            <w:vAlign w:val="center"/>
          </w:tcPr>
          <w:p w14:paraId="07D10177" w14:textId="77777777" w:rsidR="002B49AB" w:rsidRPr="004F11AC" w:rsidRDefault="002B49AB" w:rsidP="00E208B7">
            <w:pPr>
              <w:pStyle w:val="COMTabletext"/>
              <w:jc w:val="center"/>
            </w:pPr>
            <w:r w:rsidRPr="004F11AC">
              <w:t>31 (18.9)</w:t>
            </w:r>
          </w:p>
        </w:tc>
        <w:tc>
          <w:tcPr>
            <w:tcW w:w="829" w:type="dxa"/>
            <w:vAlign w:val="center"/>
          </w:tcPr>
          <w:p w14:paraId="7831DB83" w14:textId="77777777" w:rsidR="002B49AB" w:rsidRPr="004F11AC" w:rsidRDefault="002B49AB" w:rsidP="00E208B7">
            <w:pPr>
              <w:pStyle w:val="COMTabletext"/>
              <w:jc w:val="center"/>
            </w:pPr>
            <w:r w:rsidRPr="004F11AC">
              <w:t>43 (26.1)</w:t>
            </w:r>
          </w:p>
        </w:tc>
        <w:tc>
          <w:tcPr>
            <w:tcW w:w="829" w:type="dxa"/>
            <w:tcBorders>
              <w:right w:val="double" w:sz="4" w:space="0" w:color="auto"/>
            </w:tcBorders>
            <w:vAlign w:val="center"/>
          </w:tcPr>
          <w:p w14:paraId="2BBF3404" w14:textId="77777777" w:rsidR="002B49AB" w:rsidRPr="004F11AC" w:rsidRDefault="002B49AB" w:rsidP="00E208B7">
            <w:pPr>
              <w:pStyle w:val="COMTabletext"/>
              <w:jc w:val="center"/>
            </w:pPr>
            <w:r w:rsidRPr="004F11AC">
              <w:t>29 (18.0)</w:t>
            </w:r>
          </w:p>
        </w:tc>
        <w:tc>
          <w:tcPr>
            <w:tcW w:w="829" w:type="dxa"/>
            <w:tcBorders>
              <w:left w:val="double" w:sz="4" w:space="0" w:color="auto"/>
            </w:tcBorders>
            <w:vAlign w:val="center"/>
          </w:tcPr>
          <w:p w14:paraId="613B4801" w14:textId="77777777" w:rsidR="002B49AB" w:rsidRPr="004F11AC" w:rsidRDefault="002B49AB" w:rsidP="00E208B7">
            <w:pPr>
              <w:pStyle w:val="COMTabletext"/>
              <w:jc w:val="center"/>
            </w:pPr>
            <w:r w:rsidRPr="004F11AC">
              <w:t>24 (40.7)</w:t>
            </w:r>
          </w:p>
        </w:tc>
        <w:tc>
          <w:tcPr>
            <w:tcW w:w="829" w:type="dxa"/>
            <w:tcBorders>
              <w:right w:val="double" w:sz="4" w:space="0" w:color="auto"/>
            </w:tcBorders>
            <w:vAlign w:val="center"/>
          </w:tcPr>
          <w:p w14:paraId="3A46444D" w14:textId="77777777" w:rsidR="002B49AB" w:rsidRPr="004F11AC" w:rsidRDefault="002B49AB" w:rsidP="00E208B7">
            <w:pPr>
              <w:pStyle w:val="COMTabletext"/>
              <w:jc w:val="center"/>
            </w:pPr>
            <w:r w:rsidRPr="004F11AC">
              <w:t>15 (25.4)</w:t>
            </w:r>
          </w:p>
        </w:tc>
        <w:tc>
          <w:tcPr>
            <w:tcW w:w="829" w:type="dxa"/>
            <w:tcBorders>
              <w:left w:val="double" w:sz="4" w:space="0" w:color="auto"/>
            </w:tcBorders>
            <w:vAlign w:val="center"/>
          </w:tcPr>
          <w:p w14:paraId="34B71411" w14:textId="77777777" w:rsidR="002B49AB" w:rsidRPr="004F11AC" w:rsidRDefault="002B49AB" w:rsidP="00E208B7">
            <w:pPr>
              <w:pStyle w:val="COMTabletext"/>
              <w:jc w:val="center"/>
            </w:pPr>
            <w:r w:rsidRPr="004F11AC">
              <w:t>68 (15.0)</w:t>
            </w:r>
          </w:p>
        </w:tc>
        <w:tc>
          <w:tcPr>
            <w:tcW w:w="829" w:type="dxa"/>
            <w:tcBorders>
              <w:right w:val="single" w:sz="4" w:space="0" w:color="auto"/>
            </w:tcBorders>
            <w:vAlign w:val="center"/>
          </w:tcPr>
          <w:p w14:paraId="6E899EB3" w14:textId="77777777" w:rsidR="002B49AB" w:rsidRPr="004F11AC" w:rsidRDefault="002B49AB" w:rsidP="00E208B7">
            <w:pPr>
              <w:pStyle w:val="COMTabletext"/>
              <w:jc w:val="center"/>
            </w:pPr>
            <w:r w:rsidRPr="004F11AC">
              <w:t>61 (13.3)</w:t>
            </w:r>
          </w:p>
        </w:tc>
      </w:tr>
      <w:tr w:rsidR="00BA0730" w:rsidRPr="004F11AC" w14:paraId="1E70403A" w14:textId="77777777" w:rsidTr="008E7F96">
        <w:tc>
          <w:tcPr>
            <w:tcW w:w="1555" w:type="dxa"/>
            <w:vAlign w:val="center"/>
          </w:tcPr>
          <w:p w14:paraId="23E3889A" w14:textId="77777777" w:rsidR="002B49AB" w:rsidRPr="004F11AC" w:rsidRDefault="002B49AB" w:rsidP="00E208B7">
            <w:pPr>
              <w:pStyle w:val="COMTabletext"/>
            </w:pPr>
            <w:r w:rsidRPr="004F11AC">
              <w:t>Headache</w:t>
            </w:r>
          </w:p>
        </w:tc>
        <w:tc>
          <w:tcPr>
            <w:tcW w:w="829" w:type="dxa"/>
            <w:vAlign w:val="center"/>
          </w:tcPr>
          <w:p w14:paraId="6AFC3EEE" w14:textId="77777777" w:rsidR="002B49AB" w:rsidRPr="004F11AC" w:rsidRDefault="002B49AB" w:rsidP="00E208B7">
            <w:pPr>
              <w:pStyle w:val="COMTabletext"/>
              <w:jc w:val="center"/>
            </w:pPr>
            <w:r w:rsidRPr="004F11AC">
              <w:t>68 (14.4)</w:t>
            </w:r>
          </w:p>
        </w:tc>
        <w:tc>
          <w:tcPr>
            <w:tcW w:w="829" w:type="dxa"/>
            <w:tcBorders>
              <w:right w:val="double" w:sz="4" w:space="0" w:color="auto"/>
            </w:tcBorders>
            <w:vAlign w:val="center"/>
          </w:tcPr>
          <w:p w14:paraId="6A071922" w14:textId="77777777" w:rsidR="002B49AB" w:rsidRPr="004F11AC" w:rsidRDefault="002B49AB" w:rsidP="00E208B7">
            <w:pPr>
              <w:pStyle w:val="COMTabletext"/>
              <w:jc w:val="center"/>
            </w:pPr>
            <w:r w:rsidRPr="004F11AC">
              <w:t>21 (13.6)</w:t>
            </w:r>
          </w:p>
        </w:tc>
        <w:tc>
          <w:tcPr>
            <w:tcW w:w="829" w:type="dxa"/>
            <w:tcBorders>
              <w:left w:val="double" w:sz="4" w:space="0" w:color="auto"/>
            </w:tcBorders>
            <w:vAlign w:val="center"/>
          </w:tcPr>
          <w:p w14:paraId="2D5C241D" w14:textId="77777777" w:rsidR="002B49AB" w:rsidRPr="004F11AC" w:rsidRDefault="002B49AB" w:rsidP="00E208B7">
            <w:pPr>
              <w:pStyle w:val="COMTabletext"/>
              <w:jc w:val="center"/>
            </w:pPr>
            <w:r w:rsidRPr="004F11AC">
              <w:t>10 (6.1)</w:t>
            </w:r>
          </w:p>
        </w:tc>
        <w:tc>
          <w:tcPr>
            <w:tcW w:w="829" w:type="dxa"/>
            <w:vAlign w:val="center"/>
          </w:tcPr>
          <w:p w14:paraId="42E2428E" w14:textId="77777777" w:rsidR="002B49AB" w:rsidRPr="004F11AC" w:rsidRDefault="002B49AB" w:rsidP="00E208B7">
            <w:pPr>
              <w:pStyle w:val="COMTabletext"/>
              <w:jc w:val="center"/>
            </w:pPr>
            <w:r w:rsidRPr="004F11AC">
              <w:t>16 (9.7)</w:t>
            </w:r>
          </w:p>
        </w:tc>
        <w:tc>
          <w:tcPr>
            <w:tcW w:w="829" w:type="dxa"/>
            <w:tcBorders>
              <w:right w:val="double" w:sz="4" w:space="0" w:color="auto"/>
            </w:tcBorders>
            <w:vAlign w:val="center"/>
          </w:tcPr>
          <w:p w14:paraId="7D200924" w14:textId="77777777" w:rsidR="002B49AB" w:rsidRPr="004F11AC" w:rsidRDefault="002B49AB" w:rsidP="00E208B7">
            <w:pPr>
              <w:pStyle w:val="COMTabletext"/>
              <w:jc w:val="center"/>
            </w:pPr>
            <w:r w:rsidRPr="004F11AC">
              <w:t>18 (11.2)</w:t>
            </w:r>
          </w:p>
        </w:tc>
        <w:tc>
          <w:tcPr>
            <w:tcW w:w="829" w:type="dxa"/>
            <w:tcBorders>
              <w:left w:val="double" w:sz="4" w:space="0" w:color="auto"/>
            </w:tcBorders>
            <w:vAlign w:val="center"/>
          </w:tcPr>
          <w:p w14:paraId="510B95D3" w14:textId="77777777" w:rsidR="002B49AB" w:rsidRPr="004F11AC" w:rsidRDefault="002B49AB" w:rsidP="00E208B7">
            <w:pPr>
              <w:pStyle w:val="COMTabletext"/>
              <w:jc w:val="center"/>
            </w:pPr>
            <w:r w:rsidRPr="004F11AC">
              <w:t>16 (27.1)</w:t>
            </w:r>
          </w:p>
        </w:tc>
        <w:tc>
          <w:tcPr>
            <w:tcW w:w="829" w:type="dxa"/>
            <w:tcBorders>
              <w:right w:val="double" w:sz="4" w:space="0" w:color="auto"/>
            </w:tcBorders>
            <w:vAlign w:val="center"/>
          </w:tcPr>
          <w:p w14:paraId="447FA149" w14:textId="77777777" w:rsidR="002B49AB" w:rsidRPr="004F11AC" w:rsidRDefault="002B49AB" w:rsidP="00E208B7">
            <w:pPr>
              <w:pStyle w:val="COMTabletext"/>
              <w:jc w:val="center"/>
            </w:pPr>
            <w:r w:rsidRPr="004F11AC">
              <w:t>10 (16.9)</w:t>
            </w:r>
          </w:p>
        </w:tc>
        <w:tc>
          <w:tcPr>
            <w:tcW w:w="829" w:type="dxa"/>
            <w:tcBorders>
              <w:left w:val="double" w:sz="4" w:space="0" w:color="auto"/>
            </w:tcBorders>
            <w:vAlign w:val="center"/>
          </w:tcPr>
          <w:p w14:paraId="6F5B3AFE" w14:textId="77777777" w:rsidR="002B49AB" w:rsidRPr="004F11AC" w:rsidRDefault="002B49AB" w:rsidP="00E208B7">
            <w:pPr>
              <w:pStyle w:val="COMTabletext"/>
              <w:jc w:val="center"/>
            </w:pPr>
            <w:r w:rsidRPr="004F11AC">
              <w:t>-</w:t>
            </w:r>
          </w:p>
        </w:tc>
        <w:tc>
          <w:tcPr>
            <w:tcW w:w="829" w:type="dxa"/>
            <w:tcBorders>
              <w:right w:val="single" w:sz="4" w:space="0" w:color="auto"/>
            </w:tcBorders>
            <w:vAlign w:val="center"/>
          </w:tcPr>
          <w:p w14:paraId="19F31B6F" w14:textId="77777777" w:rsidR="002B49AB" w:rsidRPr="004F11AC" w:rsidRDefault="002B49AB" w:rsidP="00E208B7">
            <w:pPr>
              <w:pStyle w:val="COMTabletext"/>
              <w:jc w:val="center"/>
            </w:pPr>
            <w:r w:rsidRPr="004F11AC">
              <w:t>-</w:t>
            </w:r>
          </w:p>
        </w:tc>
      </w:tr>
      <w:tr w:rsidR="00BA0730" w:rsidRPr="004F11AC" w14:paraId="48370CA3" w14:textId="77777777" w:rsidTr="008E7F96">
        <w:tc>
          <w:tcPr>
            <w:tcW w:w="1555" w:type="dxa"/>
            <w:vAlign w:val="center"/>
          </w:tcPr>
          <w:p w14:paraId="535CAECF" w14:textId="77777777" w:rsidR="002B49AB" w:rsidRPr="004F11AC" w:rsidRDefault="002B49AB" w:rsidP="00E208B7">
            <w:pPr>
              <w:pStyle w:val="COMTabletext"/>
            </w:pPr>
            <w:r w:rsidRPr="004F11AC">
              <w:t>Gastroenteritis</w:t>
            </w:r>
          </w:p>
        </w:tc>
        <w:tc>
          <w:tcPr>
            <w:tcW w:w="829" w:type="dxa"/>
            <w:vAlign w:val="center"/>
          </w:tcPr>
          <w:p w14:paraId="25AB2ED1" w14:textId="77777777" w:rsidR="002B49AB" w:rsidRPr="004F11AC" w:rsidRDefault="002B49AB" w:rsidP="00E208B7">
            <w:pPr>
              <w:pStyle w:val="COMTabletext"/>
              <w:jc w:val="center"/>
            </w:pPr>
            <w:r w:rsidRPr="004F11AC">
              <w:t>29 (6.1)</w:t>
            </w:r>
          </w:p>
        </w:tc>
        <w:tc>
          <w:tcPr>
            <w:tcW w:w="829" w:type="dxa"/>
            <w:tcBorders>
              <w:right w:val="double" w:sz="4" w:space="0" w:color="auto"/>
            </w:tcBorders>
            <w:vAlign w:val="center"/>
          </w:tcPr>
          <w:p w14:paraId="332FC5D1" w14:textId="77777777" w:rsidR="002B49AB" w:rsidRPr="004F11AC" w:rsidRDefault="002B49AB" w:rsidP="00E208B7">
            <w:pPr>
              <w:pStyle w:val="COMTabletext"/>
              <w:jc w:val="center"/>
            </w:pPr>
            <w:r w:rsidRPr="004F11AC">
              <w:t>4 (2.6)</w:t>
            </w:r>
          </w:p>
        </w:tc>
        <w:tc>
          <w:tcPr>
            <w:tcW w:w="829" w:type="dxa"/>
            <w:tcBorders>
              <w:left w:val="double" w:sz="4" w:space="0" w:color="auto"/>
            </w:tcBorders>
            <w:vAlign w:val="center"/>
          </w:tcPr>
          <w:p w14:paraId="4AC4BE1D" w14:textId="77777777" w:rsidR="002B49AB" w:rsidRPr="004F11AC" w:rsidRDefault="002B49AB" w:rsidP="00E208B7">
            <w:pPr>
              <w:pStyle w:val="COMTabletext"/>
              <w:jc w:val="center"/>
            </w:pPr>
            <w:r w:rsidRPr="004F11AC">
              <w:t>-</w:t>
            </w:r>
          </w:p>
        </w:tc>
        <w:tc>
          <w:tcPr>
            <w:tcW w:w="829" w:type="dxa"/>
            <w:vAlign w:val="center"/>
          </w:tcPr>
          <w:p w14:paraId="78BE3A8B" w14:textId="77777777" w:rsidR="002B49AB" w:rsidRPr="004F11AC" w:rsidRDefault="002B49AB" w:rsidP="00E208B7">
            <w:pPr>
              <w:pStyle w:val="COMTabletext"/>
              <w:jc w:val="center"/>
            </w:pPr>
            <w:r w:rsidRPr="004F11AC">
              <w:t>-</w:t>
            </w:r>
          </w:p>
        </w:tc>
        <w:tc>
          <w:tcPr>
            <w:tcW w:w="829" w:type="dxa"/>
            <w:tcBorders>
              <w:right w:val="double" w:sz="4" w:space="0" w:color="auto"/>
            </w:tcBorders>
            <w:vAlign w:val="center"/>
          </w:tcPr>
          <w:p w14:paraId="34D8E8CC" w14:textId="77777777" w:rsidR="002B49AB" w:rsidRPr="004F11AC" w:rsidRDefault="002B49AB" w:rsidP="00E208B7">
            <w:pPr>
              <w:pStyle w:val="COMTabletext"/>
              <w:jc w:val="center"/>
            </w:pPr>
            <w:r w:rsidRPr="004F11AC">
              <w:t>-</w:t>
            </w:r>
          </w:p>
        </w:tc>
        <w:tc>
          <w:tcPr>
            <w:tcW w:w="829" w:type="dxa"/>
            <w:tcBorders>
              <w:left w:val="double" w:sz="4" w:space="0" w:color="auto"/>
            </w:tcBorders>
            <w:vAlign w:val="center"/>
          </w:tcPr>
          <w:p w14:paraId="0067AF28" w14:textId="77777777" w:rsidR="002B49AB" w:rsidRPr="004F11AC" w:rsidRDefault="002B49AB" w:rsidP="00E208B7">
            <w:pPr>
              <w:pStyle w:val="COMTabletext"/>
              <w:jc w:val="center"/>
            </w:pPr>
            <w:r w:rsidRPr="004F11AC">
              <w:t>3 (5.1)</w:t>
            </w:r>
          </w:p>
        </w:tc>
        <w:tc>
          <w:tcPr>
            <w:tcW w:w="829" w:type="dxa"/>
            <w:tcBorders>
              <w:right w:val="double" w:sz="4" w:space="0" w:color="auto"/>
            </w:tcBorders>
            <w:vAlign w:val="center"/>
          </w:tcPr>
          <w:p w14:paraId="24B74B3A" w14:textId="77777777" w:rsidR="002B49AB" w:rsidRPr="004F11AC" w:rsidRDefault="002B49AB" w:rsidP="00E208B7">
            <w:pPr>
              <w:pStyle w:val="COMTabletext"/>
              <w:jc w:val="center"/>
            </w:pPr>
            <w:r w:rsidRPr="004F11AC">
              <w:t>2 (3.4)</w:t>
            </w:r>
          </w:p>
        </w:tc>
        <w:tc>
          <w:tcPr>
            <w:tcW w:w="829" w:type="dxa"/>
            <w:tcBorders>
              <w:left w:val="double" w:sz="4" w:space="0" w:color="auto"/>
            </w:tcBorders>
            <w:vAlign w:val="center"/>
          </w:tcPr>
          <w:p w14:paraId="26CDC4AB" w14:textId="77777777" w:rsidR="002B49AB" w:rsidRPr="004F11AC" w:rsidRDefault="002B49AB" w:rsidP="00E208B7">
            <w:pPr>
              <w:pStyle w:val="COMTabletext"/>
              <w:jc w:val="center"/>
            </w:pPr>
            <w:r w:rsidRPr="004F11AC">
              <w:t>-</w:t>
            </w:r>
          </w:p>
        </w:tc>
        <w:tc>
          <w:tcPr>
            <w:tcW w:w="829" w:type="dxa"/>
            <w:tcBorders>
              <w:right w:val="single" w:sz="4" w:space="0" w:color="auto"/>
            </w:tcBorders>
            <w:vAlign w:val="center"/>
          </w:tcPr>
          <w:p w14:paraId="3EFE98C1" w14:textId="77777777" w:rsidR="002B49AB" w:rsidRPr="004F11AC" w:rsidRDefault="002B49AB" w:rsidP="00E208B7">
            <w:pPr>
              <w:pStyle w:val="COMTabletext"/>
              <w:jc w:val="center"/>
            </w:pPr>
            <w:r w:rsidRPr="004F11AC">
              <w:t>-</w:t>
            </w:r>
          </w:p>
        </w:tc>
      </w:tr>
      <w:tr w:rsidR="00BA0730" w:rsidRPr="004F11AC" w14:paraId="73A88580" w14:textId="77777777" w:rsidTr="008E7F96">
        <w:tc>
          <w:tcPr>
            <w:tcW w:w="1555" w:type="dxa"/>
            <w:vAlign w:val="center"/>
          </w:tcPr>
          <w:p w14:paraId="02ECB1F8" w14:textId="77777777" w:rsidR="002B49AB" w:rsidRPr="004F11AC" w:rsidRDefault="002B49AB" w:rsidP="00E208B7">
            <w:pPr>
              <w:pStyle w:val="COMTabletext"/>
            </w:pPr>
            <w:r w:rsidRPr="004F11AC">
              <w:t>Influenza</w:t>
            </w:r>
          </w:p>
        </w:tc>
        <w:tc>
          <w:tcPr>
            <w:tcW w:w="829" w:type="dxa"/>
            <w:vAlign w:val="center"/>
          </w:tcPr>
          <w:p w14:paraId="4D742805" w14:textId="77777777" w:rsidR="002B49AB" w:rsidRPr="004F11AC" w:rsidRDefault="002B49AB" w:rsidP="00E208B7">
            <w:pPr>
              <w:pStyle w:val="COMTabletext"/>
              <w:jc w:val="center"/>
            </w:pPr>
            <w:r w:rsidRPr="004F11AC">
              <w:t>33 (7.0)</w:t>
            </w:r>
          </w:p>
        </w:tc>
        <w:tc>
          <w:tcPr>
            <w:tcW w:w="829" w:type="dxa"/>
            <w:tcBorders>
              <w:right w:val="double" w:sz="4" w:space="0" w:color="auto"/>
            </w:tcBorders>
            <w:vAlign w:val="center"/>
          </w:tcPr>
          <w:p w14:paraId="7C30391B" w14:textId="77777777" w:rsidR="002B49AB" w:rsidRPr="004F11AC" w:rsidRDefault="002B49AB" w:rsidP="00E208B7">
            <w:pPr>
              <w:pStyle w:val="COMTabletext"/>
              <w:jc w:val="center"/>
            </w:pPr>
            <w:r w:rsidRPr="004F11AC">
              <w:t>15 (9.7)</w:t>
            </w:r>
          </w:p>
        </w:tc>
        <w:tc>
          <w:tcPr>
            <w:tcW w:w="829" w:type="dxa"/>
            <w:tcBorders>
              <w:left w:val="double" w:sz="4" w:space="0" w:color="auto"/>
            </w:tcBorders>
            <w:vAlign w:val="center"/>
          </w:tcPr>
          <w:p w14:paraId="610BCA3A" w14:textId="77777777" w:rsidR="002B49AB" w:rsidRPr="004F11AC" w:rsidRDefault="002B49AB" w:rsidP="00E208B7">
            <w:pPr>
              <w:pStyle w:val="COMTabletext"/>
              <w:jc w:val="center"/>
            </w:pPr>
            <w:r w:rsidRPr="004F11AC">
              <w:t>-</w:t>
            </w:r>
          </w:p>
        </w:tc>
        <w:tc>
          <w:tcPr>
            <w:tcW w:w="829" w:type="dxa"/>
            <w:vAlign w:val="center"/>
          </w:tcPr>
          <w:p w14:paraId="1C59F202" w14:textId="77777777" w:rsidR="002B49AB" w:rsidRPr="004F11AC" w:rsidRDefault="002B49AB" w:rsidP="00E208B7">
            <w:pPr>
              <w:pStyle w:val="COMTabletext"/>
              <w:jc w:val="center"/>
            </w:pPr>
            <w:r w:rsidRPr="004F11AC">
              <w:t>-</w:t>
            </w:r>
          </w:p>
        </w:tc>
        <w:tc>
          <w:tcPr>
            <w:tcW w:w="829" w:type="dxa"/>
            <w:tcBorders>
              <w:right w:val="double" w:sz="4" w:space="0" w:color="auto"/>
            </w:tcBorders>
            <w:vAlign w:val="center"/>
          </w:tcPr>
          <w:p w14:paraId="41A5EF86" w14:textId="77777777" w:rsidR="002B49AB" w:rsidRPr="004F11AC" w:rsidRDefault="002B49AB" w:rsidP="00E208B7">
            <w:pPr>
              <w:pStyle w:val="COMTabletext"/>
              <w:jc w:val="center"/>
            </w:pPr>
            <w:r w:rsidRPr="004F11AC">
              <w:t>-</w:t>
            </w:r>
          </w:p>
        </w:tc>
        <w:tc>
          <w:tcPr>
            <w:tcW w:w="829" w:type="dxa"/>
            <w:tcBorders>
              <w:left w:val="double" w:sz="4" w:space="0" w:color="auto"/>
            </w:tcBorders>
            <w:vAlign w:val="center"/>
          </w:tcPr>
          <w:p w14:paraId="15E2B562" w14:textId="77777777" w:rsidR="002B49AB" w:rsidRPr="004F11AC" w:rsidRDefault="002B49AB" w:rsidP="00E208B7">
            <w:pPr>
              <w:pStyle w:val="COMTabletext"/>
              <w:jc w:val="center"/>
            </w:pPr>
            <w:r w:rsidRPr="004F11AC">
              <w:t>6 (10.2)</w:t>
            </w:r>
          </w:p>
        </w:tc>
        <w:tc>
          <w:tcPr>
            <w:tcW w:w="829" w:type="dxa"/>
            <w:tcBorders>
              <w:right w:val="double" w:sz="4" w:space="0" w:color="auto"/>
            </w:tcBorders>
            <w:vAlign w:val="center"/>
          </w:tcPr>
          <w:p w14:paraId="355531F1" w14:textId="77777777" w:rsidR="002B49AB" w:rsidRPr="004F11AC" w:rsidRDefault="002B49AB" w:rsidP="00E208B7">
            <w:pPr>
              <w:pStyle w:val="COMTabletext"/>
              <w:jc w:val="center"/>
            </w:pPr>
            <w:r w:rsidRPr="004F11AC">
              <w:t>3 (5.1)</w:t>
            </w:r>
          </w:p>
        </w:tc>
        <w:tc>
          <w:tcPr>
            <w:tcW w:w="829" w:type="dxa"/>
            <w:tcBorders>
              <w:left w:val="double" w:sz="4" w:space="0" w:color="auto"/>
            </w:tcBorders>
            <w:vAlign w:val="center"/>
          </w:tcPr>
          <w:p w14:paraId="2069AD04" w14:textId="77777777" w:rsidR="002B49AB" w:rsidRPr="004F11AC" w:rsidRDefault="002B49AB" w:rsidP="00E208B7">
            <w:pPr>
              <w:pStyle w:val="COMTabletext"/>
              <w:jc w:val="center"/>
            </w:pPr>
            <w:r w:rsidRPr="004F11AC">
              <w:t>-</w:t>
            </w:r>
          </w:p>
        </w:tc>
        <w:tc>
          <w:tcPr>
            <w:tcW w:w="829" w:type="dxa"/>
            <w:tcBorders>
              <w:right w:val="single" w:sz="4" w:space="0" w:color="auto"/>
            </w:tcBorders>
            <w:vAlign w:val="center"/>
          </w:tcPr>
          <w:p w14:paraId="111F2A5A" w14:textId="77777777" w:rsidR="002B49AB" w:rsidRPr="004F11AC" w:rsidRDefault="002B49AB" w:rsidP="00E208B7">
            <w:pPr>
              <w:pStyle w:val="COMTabletext"/>
              <w:jc w:val="center"/>
            </w:pPr>
            <w:r w:rsidRPr="004F11AC">
              <w:t>-</w:t>
            </w:r>
          </w:p>
        </w:tc>
      </w:tr>
      <w:tr w:rsidR="00BA0730" w:rsidRPr="004F11AC" w14:paraId="320E4B91" w14:textId="77777777" w:rsidTr="008E7F96">
        <w:tc>
          <w:tcPr>
            <w:tcW w:w="1555" w:type="dxa"/>
            <w:vAlign w:val="center"/>
          </w:tcPr>
          <w:p w14:paraId="2316724B" w14:textId="77777777" w:rsidR="002B49AB" w:rsidRPr="004F11AC" w:rsidRDefault="002B49AB" w:rsidP="00E208B7">
            <w:pPr>
              <w:pStyle w:val="COMTabletext"/>
            </w:pPr>
            <w:r w:rsidRPr="004F11AC">
              <w:t>Sinusitis</w:t>
            </w:r>
          </w:p>
        </w:tc>
        <w:tc>
          <w:tcPr>
            <w:tcW w:w="829" w:type="dxa"/>
            <w:vAlign w:val="center"/>
          </w:tcPr>
          <w:p w14:paraId="2F2B6537" w14:textId="77777777" w:rsidR="002B49AB" w:rsidRPr="004F11AC" w:rsidRDefault="002B49AB" w:rsidP="00E208B7">
            <w:pPr>
              <w:pStyle w:val="COMTabletext"/>
              <w:jc w:val="center"/>
            </w:pPr>
            <w:r w:rsidRPr="004F11AC">
              <w:t>37 (7.8)</w:t>
            </w:r>
          </w:p>
        </w:tc>
        <w:tc>
          <w:tcPr>
            <w:tcW w:w="829" w:type="dxa"/>
            <w:tcBorders>
              <w:right w:val="double" w:sz="4" w:space="0" w:color="auto"/>
            </w:tcBorders>
            <w:vAlign w:val="center"/>
          </w:tcPr>
          <w:p w14:paraId="2ED6AAC6" w14:textId="77777777" w:rsidR="002B49AB" w:rsidRPr="004F11AC" w:rsidRDefault="002B49AB" w:rsidP="00E208B7">
            <w:pPr>
              <w:pStyle w:val="COMTabletext"/>
              <w:jc w:val="center"/>
            </w:pPr>
            <w:r w:rsidRPr="004F11AC">
              <w:t>13 (8.4)</w:t>
            </w:r>
          </w:p>
        </w:tc>
        <w:tc>
          <w:tcPr>
            <w:tcW w:w="829" w:type="dxa"/>
            <w:tcBorders>
              <w:left w:val="double" w:sz="4" w:space="0" w:color="auto"/>
            </w:tcBorders>
            <w:vAlign w:val="center"/>
          </w:tcPr>
          <w:p w14:paraId="7C6245D1" w14:textId="77777777" w:rsidR="002B49AB" w:rsidRPr="004F11AC" w:rsidRDefault="002B49AB" w:rsidP="00E208B7">
            <w:pPr>
              <w:pStyle w:val="COMTabletext"/>
              <w:jc w:val="center"/>
            </w:pPr>
            <w:r w:rsidRPr="004F11AC">
              <w:t>-</w:t>
            </w:r>
          </w:p>
        </w:tc>
        <w:tc>
          <w:tcPr>
            <w:tcW w:w="829" w:type="dxa"/>
            <w:vAlign w:val="center"/>
          </w:tcPr>
          <w:p w14:paraId="611D6599" w14:textId="77777777" w:rsidR="002B49AB" w:rsidRPr="004F11AC" w:rsidRDefault="002B49AB" w:rsidP="00E208B7">
            <w:pPr>
              <w:pStyle w:val="COMTabletext"/>
              <w:jc w:val="center"/>
            </w:pPr>
            <w:r w:rsidRPr="004F11AC">
              <w:t>-</w:t>
            </w:r>
          </w:p>
        </w:tc>
        <w:tc>
          <w:tcPr>
            <w:tcW w:w="829" w:type="dxa"/>
            <w:tcBorders>
              <w:right w:val="double" w:sz="4" w:space="0" w:color="auto"/>
            </w:tcBorders>
            <w:vAlign w:val="center"/>
          </w:tcPr>
          <w:p w14:paraId="3FCF9665" w14:textId="77777777" w:rsidR="002B49AB" w:rsidRPr="004F11AC" w:rsidRDefault="002B49AB" w:rsidP="00E208B7">
            <w:pPr>
              <w:pStyle w:val="COMTabletext"/>
              <w:jc w:val="center"/>
            </w:pPr>
            <w:r w:rsidRPr="004F11AC">
              <w:t>-</w:t>
            </w:r>
          </w:p>
        </w:tc>
        <w:tc>
          <w:tcPr>
            <w:tcW w:w="829" w:type="dxa"/>
            <w:tcBorders>
              <w:left w:val="double" w:sz="4" w:space="0" w:color="auto"/>
            </w:tcBorders>
            <w:vAlign w:val="center"/>
          </w:tcPr>
          <w:p w14:paraId="19C9652E" w14:textId="77777777" w:rsidR="002B49AB" w:rsidRPr="004F11AC" w:rsidRDefault="002B49AB" w:rsidP="00E208B7">
            <w:pPr>
              <w:pStyle w:val="COMTabletext"/>
              <w:jc w:val="center"/>
            </w:pPr>
            <w:r w:rsidRPr="004F11AC">
              <w:t>NR</w:t>
            </w:r>
          </w:p>
        </w:tc>
        <w:tc>
          <w:tcPr>
            <w:tcW w:w="829" w:type="dxa"/>
            <w:tcBorders>
              <w:right w:val="double" w:sz="4" w:space="0" w:color="auto"/>
            </w:tcBorders>
            <w:vAlign w:val="center"/>
          </w:tcPr>
          <w:p w14:paraId="5E3B49EF" w14:textId="77777777" w:rsidR="002B49AB" w:rsidRPr="004F11AC" w:rsidRDefault="002B49AB" w:rsidP="00E208B7">
            <w:pPr>
              <w:pStyle w:val="COMTabletext"/>
              <w:jc w:val="center"/>
            </w:pPr>
            <w:r w:rsidRPr="004F11AC">
              <w:t>4 (6.8)</w:t>
            </w:r>
          </w:p>
        </w:tc>
        <w:tc>
          <w:tcPr>
            <w:tcW w:w="829" w:type="dxa"/>
            <w:tcBorders>
              <w:left w:val="double" w:sz="4" w:space="0" w:color="auto"/>
            </w:tcBorders>
            <w:vAlign w:val="center"/>
          </w:tcPr>
          <w:p w14:paraId="239046D1" w14:textId="77777777" w:rsidR="002B49AB" w:rsidRPr="004F11AC" w:rsidRDefault="002B49AB" w:rsidP="00E208B7">
            <w:pPr>
              <w:pStyle w:val="COMTabletext"/>
              <w:jc w:val="center"/>
            </w:pPr>
            <w:r w:rsidRPr="004F11AC">
              <w:t>-</w:t>
            </w:r>
          </w:p>
        </w:tc>
        <w:tc>
          <w:tcPr>
            <w:tcW w:w="829" w:type="dxa"/>
            <w:tcBorders>
              <w:right w:val="single" w:sz="4" w:space="0" w:color="auto"/>
            </w:tcBorders>
            <w:vAlign w:val="center"/>
          </w:tcPr>
          <w:p w14:paraId="70F99677" w14:textId="77777777" w:rsidR="002B49AB" w:rsidRPr="004F11AC" w:rsidRDefault="002B49AB" w:rsidP="00E208B7">
            <w:pPr>
              <w:pStyle w:val="COMTabletext"/>
              <w:jc w:val="center"/>
            </w:pPr>
            <w:r w:rsidRPr="004F11AC">
              <w:t>-</w:t>
            </w:r>
          </w:p>
        </w:tc>
      </w:tr>
      <w:tr w:rsidR="00BA0730" w:rsidRPr="004F11AC" w14:paraId="687CF5D4" w14:textId="77777777" w:rsidTr="008E7F96">
        <w:tc>
          <w:tcPr>
            <w:tcW w:w="1555" w:type="dxa"/>
            <w:vAlign w:val="center"/>
          </w:tcPr>
          <w:p w14:paraId="6975C8B9" w14:textId="77777777" w:rsidR="002B49AB" w:rsidRPr="004F11AC" w:rsidRDefault="002B49AB" w:rsidP="00E208B7">
            <w:pPr>
              <w:pStyle w:val="COMTabletext"/>
            </w:pPr>
            <w:r w:rsidRPr="004F11AC">
              <w:t>URTI</w:t>
            </w:r>
          </w:p>
        </w:tc>
        <w:tc>
          <w:tcPr>
            <w:tcW w:w="829" w:type="dxa"/>
            <w:vAlign w:val="center"/>
          </w:tcPr>
          <w:p w14:paraId="66A2533F" w14:textId="77777777" w:rsidR="002B49AB" w:rsidRPr="004F11AC" w:rsidRDefault="002B49AB" w:rsidP="00E208B7">
            <w:pPr>
              <w:pStyle w:val="COMTabletext"/>
              <w:jc w:val="center"/>
            </w:pPr>
            <w:r w:rsidRPr="004F11AC">
              <w:t>94 (19.9)</w:t>
            </w:r>
          </w:p>
        </w:tc>
        <w:tc>
          <w:tcPr>
            <w:tcW w:w="829" w:type="dxa"/>
            <w:tcBorders>
              <w:right w:val="double" w:sz="4" w:space="0" w:color="auto"/>
            </w:tcBorders>
            <w:vAlign w:val="center"/>
          </w:tcPr>
          <w:p w14:paraId="7C608341" w14:textId="77777777" w:rsidR="002B49AB" w:rsidRPr="004F11AC" w:rsidRDefault="002B49AB" w:rsidP="00E208B7">
            <w:pPr>
              <w:pStyle w:val="COMTabletext"/>
              <w:jc w:val="center"/>
            </w:pPr>
            <w:r w:rsidRPr="004F11AC">
              <w:t>23 (14.9)</w:t>
            </w:r>
          </w:p>
        </w:tc>
        <w:tc>
          <w:tcPr>
            <w:tcW w:w="829" w:type="dxa"/>
            <w:tcBorders>
              <w:left w:val="double" w:sz="4" w:space="0" w:color="auto"/>
            </w:tcBorders>
            <w:vAlign w:val="center"/>
          </w:tcPr>
          <w:p w14:paraId="1D985FFB" w14:textId="77777777" w:rsidR="002B49AB" w:rsidRPr="004F11AC" w:rsidRDefault="002B49AB" w:rsidP="00E208B7">
            <w:pPr>
              <w:pStyle w:val="COMTabletext"/>
              <w:jc w:val="center"/>
            </w:pPr>
            <w:r w:rsidRPr="004F11AC">
              <w:t>6 (3.7)</w:t>
            </w:r>
          </w:p>
        </w:tc>
        <w:tc>
          <w:tcPr>
            <w:tcW w:w="829" w:type="dxa"/>
            <w:vAlign w:val="center"/>
          </w:tcPr>
          <w:p w14:paraId="79A6F453" w14:textId="77777777" w:rsidR="002B49AB" w:rsidRPr="004F11AC" w:rsidRDefault="002B49AB" w:rsidP="00E208B7">
            <w:pPr>
              <w:pStyle w:val="COMTabletext"/>
              <w:jc w:val="center"/>
            </w:pPr>
            <w:r w:rsidRPr="004F11AC">
              <w:t>9 (5.5)</w:t>
            </w:r>
          </w:p>
        </w:tc>
        <w:tc>
          <w:tcPr>
            <w:tcW w:w="829" w:type="dxa"/>
            <w:tcBorders>
              <w:right w:val="double" w:sz="4" w:space="0" w:color="auto"/>
            </w:tcBorders>
            <w:vAlign w:val="center"/>
          </w:tcPr>
          <w:p w14:paraId="14F813AF" w14:textId="77777777" w:rsidR="002B49AB" w:rsidRPr="004F11AC" w:rsidRDefault="002B49AB" w:rsidP="00E208B7">
            <w:pPr>
              <w:pStyle w:val="COMTabletext"/>
              <w:jc w:val="center"/>
            </w:pPr>
            <w:r w:rsidRPr="004F11AC">
              <w:t>13 (8.1)</w:t>
            </w:r>
          </w:p>
        </w:tc>
        <w:tc>
          <w:tcPr>
            <w:tcW w:w="829" w:type="dxa"/>
            <w:tcBorders>
              <w:left w:val="double" w:sz="4" w:space="0" w:color="auto"/>
            </w:tcBorders>
            <w:vAlign w:val="center"/>
          </w:tcPr>
          <w:p w14:paraId="0C17DA0C" w14:textId="77777777" w:rsidR="002B49AB" w:rsidRPr="004F11AC" w:rsidRDefault="002B49AB" w:rsidP="00E208B7">
            <w:pPr>
              <w:pStyle w:val="COMTabletext"/>
              <w:jc w:val="center"/>
            </w:pPr>
            <w:r w:rsidRPr="004F11AC">
              <w:t>2 (3.4)</w:t>
            </w:r>
          </w:p>
        </w:tc>
        <w:tc>
          <w:tcPr>
            <w:tcW w:w="829" w:type="dxa"/>
            <w:tcBorders>
              <w:right w:val="double" w:sz="4" w:space="0" w:color="auto"/>
            </w:tcBorders>
            <w:vAlign w:val="center"/>
          </w:tcPr>
          <w:p w14:paraId="0A14BE0D" w14:textId="77777777" w:rsidR="002B49AB" w:rsidRPr="004F11AC" w:rsidRDefault="002B49AB" w:rsidP="00E208B7">
            <w:pPr>
              <w:pStyle w:val="COMTabletext"/>
              <w:jc w:val="center"/>
            </w:pPr>
            <w:r w:rsidRPr="004F11AC">
              <w:t>7 (11.9)</w:t>
            </w:r>
          </w:p>
        </w:tc>
        <w:tc>
          <w:tcPr>
            <w:tcW w:w="829" w:type="dxa"/>
            <w:tcBorders>
              <w:left w:val="double" w:sz="4" w:space="0" w:color="auto"/>
            </w:tcBorders>
            <w:vAlign w:val="center"/>
          </w:tcPr>
          <w:p w14:paraId="58CBBB55" w14:textId="77777777" w:rsidR="002B49AB" w:rsidRPr="004F11AC" w:rsidRDefault="002B49AB" w:rsidP="00E208B7">
            <w:pPr>
              <w:pStyle w:val="COMTabletext"/>
              <w:jc w:val="center"/>
            </w:pPr>
            <w:r w:rsidRPr="004F11AC">
              <w:t>29 (6.4)</w:t>
            </w:r>
          </w:p>
        </w:tc>
        <w:tc>
          <w:tcPr>
            <w:tcW w:w="829" w:type="dxa"/>
            <w:tcBorders>
              <w:right w:val="single" w:sz="4" w:space="0" w:color="auto"/>
            </w:tcBorders>
            <w:vAlign w:val="center"/>
          </w:tcPr>
          <w:p w14:paraId="1ADE9814" w14:textId="77777777" w:rsidR="002B49AB" w:rsidRPr="004F11AC" w:rsidRDefault="002B49AB" w:rsidP="00E208B7">
            <w:pPr>
              <w:pStyle w:val="COMTabletext"/>
              <w:jc w:val="center"/>
            </w:pPr>
            <w:r w:rsidRPr="004F11AC">
              <w:t>39 (8.5)</w:t>
            </w:r>
          </w:p>
        </w:tc>
      </w:tr>
      <w:tr w:rsidR="00BA0730" w:rsidRPr="004F11AC" w14:paraId="331DD54A" w14:textId="77777777" w:rsidTr="008E7F96">
        <w:tc>
          <w:tcPr>
            <w:tcW w:w="1555" w:type="dxa"/>
            <w:vAlign w:val="center"/>
          </w:tcPr>
          <w:p w14:paraId="1CEFB98F" w14:textId="77777777" w:rsidR="002B49AB" w:rsidRPr="004F11AC" w:rsidRDefault="002B49AB" w:rsidP="00E208B7">
            <w:pPr>
              <w:pStyle w:val="COMTabletext"/>
            </w:pPr>
            <w:r w:rsidRPr="004F11AC">
              <w:t>UTI</w:t>
            </w:r>
          </w:p>
        </w:tc>
        <w:tc>
          <w:tcPr>
            <w:tcW w:w="829" w:type="dxa"/>
            <w:vAlign w:val="center"/>
          </w:tcPr>
          <w:p w14:paraId="33AE59DF" w14:textId="77777777" w:rsidR="002B49AB" w:rsidRPr="004F11AC" w:rsidRDefault="002B49AB" w:rsidP="00E208B7">
            <w:pPr>
              <w:pStyle w:val="COMTabletext"/>
              <w:jc w:val="center"/>
            </w:pPr>
            <w:r w:rsidRPr="004F11AC">
              <w:t>25 (5.3)</w:t>
            </w:r>
          </w:p>
        </w:tc>
        <w:tc>
          <w:tcPr>
            <w:tcW w:w="829" w:type="dxa"/>
            <w:tcBorders>
              <w:right w:val="double" w:sz="4" w:space="0" w:color="auto"/>
            </w:tcBorders>
            <w:vAlign w:val="center"/>
          </w:tcPr>
          <w:p w14:paraId="42BA9F52" w14:textId="77777777" w:rsidR="002B49AB" w:rsidRPr="004F11AC" w:rsidRDefault="002B49AB" w:rsidP="00E208B7">
            <w:pPr>
              <w:pStyle w:val="COMTabletext"/>
              <w:jc w:val="center"/>
            </w:pPr>
            <w:r w:rsidRPr="004F11AC">
              <w:t>8 (5.2)</w:t>
            </w:r>
          </w:p>
        </w:tc>
        <w:tc>
          <w:tcPr>
            <w:tcW w:w="829" w:type="dxa"/>
            <w:tcBorders>
              <w:left w:val="double" w:sz="4" w:space="0" w:color="auto"/>
            </w:tcBorders>
            <w:vAlign w:val="center"/>
          </w:tcPr>
          <w:p w14:paraId="0C7EE86E" w14:textId="77777777" w:rsidR="002B49AB" w:rsidRPr="004F11AC" w:rsidRDefault="002B49AB" w:rsidP="00E208B7">
            <w:pPr>
              <w:pStyle w:val="COMTabletext"/>
              <w:jc w:val="center"/>
            </w:pPr>
            <w:r w:rsidRPr="004F11AC">
              <w:t>-</w:t>
            </w:r>
          </w:p>
        </w:tc>
        <w:tc>
          <w:tcPr>
            <w:tcW w:w="829" w:type="dxa"/>
            <w:vAlign w:val="center"/>
          </w:tcPr>
          <w:p w14:paraId="7BA77D0E" w14:textId="77777777" w:rsidR="002B49AB" w:rsidRPr="004F11AC" w:rsidRDefault="002B49AB" w:rsidP="00E208B7">
            <w:pPr>
              <w:pStyle w:val="COMTabletext"/>
              <w:jc w:val="center"/>
            </w:pPr>
            <w:r w:rsidRPr="004F11AC">
              <w:t>-</w:t>
            </w:r>
          </w:p>
        </w:tc>
        <w:tc>
          <w:tcPr>
            <w:tcW w:w="829" w:type="dxa"/>
            <w:tcBorders>
              <w:right w:val="double" w:sz="4" w:space="0" w:color="auto"/>
            </w:tcBorders>
            <w:vAlign w:val="center"/>
          </w:tcPr>
          <w:p w14:paraId="63756BA8" w14:textId="77777777" w:rsidR="002B49AB" w:rsidRPr="004F11AC" w:rsidRDefault="002B49AB" w:rsidP="00E208B7">
            <w:pPr>
              <w:pStyle w:val="COMTabletext"/>
              <w:jc w:val="center"/>
            </w:pPr>
            <w:r w:rsidRPr="004F11AC">
              <w:t>-</w:t>
            </w:r>
          </w:p>
        </w:tc>
        <w:tc>
          <w:tcPr>
            <w:tcW w:w="829" w:type="dxa"/>
            <w:tcBorders>
              <w:left w:val="double" w:sz="4" w:space="0" w:color="auto"/>
            </w:tcBorders>
            <w:vAlign w:val="center"/>
          </w:tcPr>
          <w:p w14:paraId="2AB009B0" w14:textId="77777777" w:rsidR="002B49AB" w:rsidRPr="004F11AC" w:rsidRDefault="002B49AB" w:rsidP="00E208B7">
            <w:pPr>
              <w:pStyle w:val="COMTabletext"/>
              <w:jc w:val="center"/>
            </w:pPr>
            <w:r w:rsidRPr="004F11AC">
              <w:t>-</w:t>
            </w:r>
          </w:p>
        </w:tc>
        <w:tc>
          <w:tcPr>
            <w:tcW w:w="829" w:type="dxa"/>
            <w:tcBorders>
              <w:right w:val="double" w:sz="4" w:space="0" w:color="auto"/>
            </w:tcBorders>
            <w:vAlign w:val="center"/>
          </w:tcPr>
          <w:p w14:paraId="3E706FDE" w14:textId="77777777" w:rsidR="002B49AB" w:rsidRPr="004F11AC" w:rsidRDefault="002B49AB" w:rsidP="00E208B7">
            <w:pPr>
              <w:pStyle w:val="COMTabletext"/>
              <w:jc w:val="center"/>
            </w:pPr>
            <w:r w:rsidRPr="004F11AC">
              <w:t>-</w:t>
            </w:r>
          </w:p>
        </w:tc>
        <w:tc>
          <w:tcPr>
            <w:tcW w:w="829" w:type="dxa"/>
            <w:tcBorders>
              <w:left w:val="double" w:sz="4" w:space="0" w:color="auto"/>
            </w:tcBorders>
            <w:vAlign w:val="center"/>
          </w:tcPr>
          <w:p w14:paraId="7A8063B3" w14:textId="77777777" w:rsidR="002B49AB" w:rsidRPr="004F11AC" w:rsidRDefault="002B49AB" w:rsidP="00E208B7">
            <w:pPr>
              <w:pStyle w:val="COMTabletext"/>
              <w:jc w:val="center"/>
            </w:pPr>
            <w:r w:rsidRPr="004F11AC">
              <w:t>-</w:t>
            </w:r>
          </w:p>
        </w:tc>
        <w:tc>
          <w:tcPr>
            <w:tcW w:w="829" w:type="dxa"/>
            <w:tcBorders>
              <w:right w:val="single" w:sz="4" w:space="0" w:color="auto"/>
            </w:tcBorders>
            <w:vAlign w:val="center"/>
          </w:tcPr>
          <w:p w14:paraId="2A7DB1E1" w14:textId="77777777" w:rsidR="002B49AB" w:rsidRPr="004F11AC" w:rsidRDefault="002B49AB" w:rsidP="00E208B7">
            <w:pPr>
              <w:pStyle w:val="COMTabletext"/>
              <w:jc w:val="center"/>
            </w:pPr>
            <w:r w:rsidRPr="004F11AC">
              <w:t>-</w:t>
            </w:r>
          </w:p>
        </w:tc>
      </w:tr>
      <w:tr w:rsidR="00BA0730" w:rsidRPr="004F11AC" w14:paraId="771217B4" w14:textId="77777777" w:rsidTr="008E7F96">
        <w:tc>
          <w:tcPr>
            <w:tcW w:w="1555" w:type="dxa"/>
            <w:vAlign w:val="center"/>
          </w:tcPr>
          <w:p w14:paraId="1A8C357A" w14:textId="77777777" w:rsidR="002B49AB" w:rsidRPr="004F11AC" w:rsidRDefault="002B49AB" w:rsidP="00E208B7">
            <w:pPr>
              <w:pStyle w:val="COMTabletext"/>
            </w:pPr>
            <w:r w:rsidRPr="004F11AC">
              <w:t>Diarrhoea</w:t>
            </w:r>
          </w:p>
        </w:tc>
        <w:tc>
          <w:tcPr>
            <w:tcW w:w="829" w:type="dxa"/>
            <w:vAlign w:val="center"/>
          </w:tcPr>
          <w:p w14:paraId="0FEC48A3" w14:textId="77777777" w:rsidR="002B49AB" w:rsidRPr="004F11AC" w:rsidRDefault="002B49AB" w:rsidP="00E208B7">
            <w:pPr>
              <w:pStyle w:val="COMTabletext"/>
              <w:jc w:val="center"/>
            </w:pPr>
            <w:r w:rsidRPr="004F11AC">
              <w:t>25 (5.3)</w:t>
            </w:r>
          </w:p>
        </w:tc>
        <w:tc>
          <w:tcPr>
            <w:tcW w:w="829" w:type="dxa"/>
            <w:tcBorders>
              <w:right w:val="double" w:sz="4" w:space="0" w:color="auto"/>
            </w:tcBorders>
            <w:vAlign w:val="center"/>
          </w:tcPr>
          <w:p w14:paraId="76AB5B58" w14:textId="77777777" w:rsidR="002B49AB" w:rsidRPr="004F11AC" w:rsidRDefault="002B49AB" w:rsidP="00E208B7">
            <w:pPr>
              <w:pStyle w:val="COMTabletext"/>
              <w:jc w:val="center"/>
            </w:pPr>
            <w:r w:rsidRPr="004F11AC">
              <w:t>7 (4.5)</w:t>
            </w:r>
          </w:p>
        </w:tc>
        <w:tc>
          <w:tcPr>
            <w:tcW w:w="829" w:type="dxa"/>
            <w:tcBorders>
              <w:left w:val="double" w:sz="4" w:space="0" w:color="auto"/>
            </w:tcBorders>
            <w:vAlign w:val="center"/>
          </w:tcPr>
          <w:p w14:paraId="26DC3FC6" w14:textId="77777777" w:rsidR="002B49AB" w:rsidRPr="004F11AC" w:rsidRDefault="002B49AB" w:rsidP="00E208B7">
            <w:pPr>
              <w:pStyle w:val="COMTabletext"/>
              <w:jc w:val="center"/>
            </w:pPr>
            <w:r w:rsidRPr="004F11AC">
              <w:t>4 (2.4)</w:t>
            </w:r>
          </w:p>
        </w:tc>
        <w:tc>
          <w:tcPr>
            <w:tcW w:w="829" w:type="dxa"/>
            <w:vAlign w:val="center"/>
          </w:tcPr>
          <w:p w14:paraId="6A874BB2" w14:textId="77777777" w:rsidR="002B49AB" w:rsidRPr="004F11AC" w:rsidRDefault="002B49AB" w:rsidP="00E208B7">
            <w:pPr>
              <w:pStyle w:val="COMTabletext"/>
              <w:jc w:val="center"/>
            </w:pPr>
            <w:r w:rsidRPr="004F11AC">
              <w:t>4 (2.4)</w:t>
            </w:r>
          </w:p>
        </w:tc>
        <w:tc>
          <w:tcPr>
            <w:tcW w:w="829" w:type="dxa"/>
            <w:tcBorders>
              <w:right w:val="double" w:sz="4" w:space="0" w:color="auto"/>
            </w:tcBorders>
            <w:vAlign w:val="center"/>
          </w:tcPr>
          <w:p w14:paraId="636FD16A" w14:textId="77777777" w:rsidR="002B49AB" w:rsidRPr="004F11AC" w:rsidRDefault="002B49AB" w:rsidP="00E208B7">
            <w:pPr>
              <w:pStyle w:val="COMTabletext"/>
              <w:jc w:val="center"/>
            </w:pPr>
            <w:r w:rsidRPr="004F11AC">
              <w:t>9 (5.6)</w:t>
            </w:r>
          </w:p>
        </w:tc>
        <w:tc>
          <w:tcPr>
            <w:tcW w:w="829" w:type="dxa"/>
            <w:tcBorders>
              <w:left w:val="double" w:sz="4" w:space="0" w:color="auto"/>
            </w:tcBorders>
            <w:vAlign w:val="center"/>
          </w:tcPr>
          <w:p w14:paraId="53C1C2F9" w14:textId="77777777" w:rsidR="002B49AB" w:rsidRPr="004F11AC" w:rsidRDefault="002B49AB" w:rsidP="00E208B7">
            <w:pPr>
              <w:pStyle w:val="COMTabletext"/>
              <w:jc w:val="center"/>
            </w:pPr>
            <w:r w:rsidRPr="004F11AC">
              <w:t>2 (3.4)</w:t>
            </w:r>
          </w:p>
        </w:tc>
        <w:tc>
          <w:tcPr>
            <w:tcW w:w="829" w:type="dxa"/>
            <w:tcBorders>
              <w:right w:val="double" w:sz="4" w:space="0" w:color="auto"/>
            </w:tcBorders>
            <w:vAlign w:val="center"/>
          </w:tcPr>
          <w:p w14:paraId="4B61A0C6" w14:textId="77777777" w:rsidR="002B49AB" w:rsidRPr="004F11AC" w:rsidRDefault="002B49AB" w:rsidP="00E208B7">
            <w:pPr>
              <w:pStyle w:val="COMTabletext"/>
              <w:jc w:val="center"/>
            </w:pPr>
            <w:r w:rsidRPr="004F11AC">
              <w:t>4 (6.8)</w:t>
            </w:r>
          </w:p>
        </w:tc>
        <w:tc>
          <w:tcPr>
            <w:tcW w:w="829" w:type="dxa"/>
            <w:tcBorders>
              <w:left w:val="double" w:sz="4" w:space="0" w:color="auto"/>
            </w:tcBorders>
            <w:vAlign w:val="center"/>
          </w:tcPr>
          <w:p w14:paraId="7B61AF5B" w14:textId="77777777" w:rsidR="002B49AB" w:rsidRPr="004F11AC" w:rsidRDefault="002B49AB" w:rsidP="00E208B7">
            <w:pPr>
              <w:pStyle w:val="COMTabletext"/>
              <w:jc w:val="center"/>
            </w:pPr>
            <w:r w:rsidRPr="004F11AC">
              <w:t>-</w:t>
            </w:r>
          </w:p>
        </w:tc>
        <w:tc>
          <w:tcPr>
            <w:tcW w:w="829" w:type="dxa"/>
            <w:tcBorders>
              <w:right w:val="single" w:sz="4" w:space="0" w:color="auto"/>
            </w:tcBorders>
            <w:vAlign w:val="center"/>
          </w:tcPr>
          <w:p w14:paraId="6D9137AF" w14:textId="77777777" w:rsidR="002B49AB" w:rsidRPr="004F11AC" w:rsidRDefault="002B49AB" w:rsidP="00E208B7">
            <w:pPr>
              <w:pStyle w:val="COMTabletext"/>
              <w:jc w:val="center"/>
            </w:pPr>
            <w:r w:rsidRPr="004F11AC">
              <w:t>-</w:t>
            </w:r>
          </w:p>
        </w:tc>
      </w:tr>
      <w:tr w:rsidR="00BA0730" w:rsidRPr="004F11AC" w14:paraId="61A0F941" w14:textId="77777777" w:rsidTr="008E7F96">
        <w:tc>
          <w:tcPr>
            <w:tcW w:w="1555" w:type="dxa"/>
            <w:vAlign w:val="center"/>
          </w:tcPr>
          <w:p w14:paraId="0C243A39" w14:textId="77777777" w:rsidR="002B49AB" w:rsidRPr="004F11AC" w:rsidRDefault="002B49AB" w:rsidP="00E208B7">
            <w:pPr>
              <w:pStyle w:val="COMTabletext"/>
            </w:pPr>
            <w:r w:rsidRPr="004F11AC">
              <w:t>Nausea</w:t>
            </w:r>
          </w:p>
        </w:tc>
        <w:tc>
          <w:tcPr>
            <w:tcW w:w="829" w:type="dxa"/>
            <w:vAlign w:val="center"/>
          </w:tcPr>
          <w:p w14:paraId="64DA4A7C" w14:textId="77777777" w:rsidR="002B49AB" w:rsidRPr="004F11AC" w:rsidRDefault="002B49AB" w:rsidP="00E208B7">
            <w:pPr>
              <w:pStyle w:val="COMTabletext"/>
              <w:jc w:val="center"/>
            </w:pPr>
            <w:r w:rsidRPr="004F11AC">
              <w:t>26 (5.5)</w:t>
            </w:r>
          </w:p>
        </w:tc>
        <w:tc>
          <w:tcPr>
            <w:tcW w:w="829" w:type="dxa"/>
            <w:tcBorders>
              <w:right w:val="double" w:sz="4" w:space="0" w:color="auto"/>
            </w:tcBorders>
            <w:vAlign w:val="center"/>
          </w:tcPr>
          <w:p w14:paraId="25687694" w14:textId="77777777" w:rsidR="002B49AB" w:rsidRPr="004F11AC" w:rsidRDefault="002B49AB" w:rsidP="00E208B7">
            <w:pPr>
              <w:pStyle w:val="COMTabletext"/>
              <w:jc w:val="center"/>
            </w:pPr>
            <w:r w:rsidRPr="004F11AC">
              <w:t>10 (6.5)</w:t>
            </w:r>
          </w:p>
        </w:tc>
        <w:tc>
          <w:tcPr>
            <w:tcW w:w="829" w:type="dxa"/>
            <w:tcBorders>
              <w:left w:val="double" w:sz="4" w:space="0" w:color="auto"/>
            </w:tcBorders>
            <w:vAlign w:val="center"/>
          </w:tcPr>
          <w:p w14:paraId="3399C516" w14:textId="77777777" w:rsidR="002B49AB" w:rsidRPr="004F11AC" w:rsidRDefault="002B49AB" w:rsidP="00E208B7">
            <w:pPr>
              <w:pStyle w:val="COMTabletext"/>
              <w:jc w:val="center"/>
            </w:pPr>
            <w:r w:rsidRPr="004F11AC">
              <w:t>9 (5.5)</w:t>
            </w:r>
          </w:p>
        </w:tc>
        <w:tc>
          <w:tcPr>
            <w:tcW w:w="829" w:type="dxa"/>
            <w:vAlign w:val="center"/>
          </w:tcPr>
          <w:p w14:paraId="2D2AB51C" w14:textId="77777777" w:rsidR="002B49AB" w:rsidRPr="004F11AC" w:rsidRDefault="002B49AB" w:rsidP="00E208B7">
            <w:pPr>
              <w:pStyle w:val="COMTabletext"/>
              <w:jc w:val="center"/>
            </w:pPr>
            <w:r w:rsidRPr="004F11AC">
              <w:t>7 (4.2)</w:t>
            </w:r>
          </w:p>
        </w:tc>
        <w:tc>
          <w:tcPr>
            <w:tcW w:w="829" w:type="dxa"/>
            <w:tcBorders>
              <w:right w:val="double" w:sz="4" w:space="0" w:color="auto"/>
            </w:tcBorders>
            <w:vAlign w:val="center"/>
          </w:tcPr>
          <w:p w14:paraId="5A72BE06" w14:textId="77777777" w:rsidR="002B49AB" w:rsidRPr="004F11AC" w:rsidRDefault="002B49AB" w:rsidP="00E208B7">
            <w:pPr>
              <w:pStyle w:val="COMTabletext"/>
              <w:jc w:val="center"/>
            </w:pPr>
            <w:r w:rsidRPr="004F11AC">
              <w:t>8 (5.0)</w:t>
            </w:r>
          </w:p>
        </w:tc>
        <w:tc>
          <w:tcPr>
            <w:tcW w:w="829" w:type="dxa"/>
            <w:tcBorders>
              <w:left w:val="double" w:sz="4" w:space="0" w:color="auto"/>
            </w:tcBorders>
            <w:vAlign w:val="center"/>
          </w:tcPr>
          <w:p w14:paraId="7EF0D7A0" w14:textId="77777777" w:rsidR="002B49AB" w:rsidRPr="004F11AC" w:rsidRDefault="002B49AB" w:rsidP="00E208B7">
            <w:pPr>
              <w:pStyle w:val="COMTabletext"/>
              <w:jc w:val="center"/>
            </w:pPr>
            <w:r w:rsidRPr="004F11AC">
              <w:t>5 (8.5)</w:t>
            </w:r>
          </w:p>
        </w:tc>
        <w:tc>
          <w:tcPr>
            <w:tcW w:w="829" w:type="dxa"/>
            <w:tcBorders>
              <w:right w:val="double" w:sz="4" w:space="0" w:color="auto"/>
            </w:tcBorders>
            <w:vAlign w:val="center"/>
          </w:tcPr>
          <w:p w14:paraId="788D0118" w14:textId="77777777" w:rsidR="002B49AB" w:rsidRPr="004F11AC" w:rsidRDefault="002B49AB" w:rsidP="00E208B7">
            <w:pPr>
              <w:pStyle w:val="COMTabletext"/>
              <w:jc w:val="center"/>
            </w:pPr>
            <w:r w:rsidRPr="004F11AC">
              <w:t>2 (3.4)</w:t>
            </w:r>
          </w:p>
        </w:tc>
        <w:tc>
          <w:tcPr>
            <w:tcW w:w="829" w:type="dxa"/>
            <w:tcBorders>
              <w:left w:val="double" w:sz="4" w:space="0" w:color="auto"/>
            </w:tcBorders>
            <w:vAlign w:val="center"/>
          </w:tcPr>
          <w:p w14:paraId="546FEC2E" w14:textId="77777777" w:rsidR="002B49AB" w:rsidRPr="004F11AC" w:rsidRDefault="002B49AB" w:rsidP="00E208B7">
            <w:pPr>
              <w:pStyle w:val="COMTabletext"/>
              <w:jc w:val="center"/>
            </w:pPr>
            <w:r w:rsidRPr="004F11AC">
              <w:t>-</w:t>
            </w:r>
          </w:p>
        </w:tc>
        <w:tc>
          <w:tcPr>
            <w:tcW w:w="829" w:type="dxa"/>
            <w:tcBorders>
              <w:right w:val="single" w:sz="4" w:space="0" w:color="auto"/>
            </w:tcBorders>
            <w:vAlign w:val="center"/>
          </w:tcPr>
          <w:p w14:paraId="64C4814B" w14:textId="77777777" w:rsidR="002B49AB" w:rsidRPr="004F11AC" w:rsidRDefault="002B49AB" w:rsidP="00E208B7">
            <w:pPr>
              <w:pStyle w:val="COMTabletext"/>
              <w:jc w:val="center"/>
            </w:pPr>
            <w:r w:rsidRPr="004F11AC">
              <w:t>-</w:t>
            </w:r>
          </w:p>
        </w:tc>
      </w:tr>
      <w:tr w:rsidR="00BA0730" w:rsidRPr="004F11AC" w14:paraId="7ABE95EC" w14:textId="77777777" w:rsidTr="008E7F96">
        <w:tc>
          <w:tcPr>
            <w:tcW w:w="1555" w:type="dxa"/>
            <w:vAlign w:val="center"/>
          </w:tcPr>
          <w:p w14:paraId="778718BD" w14:textId="77777777" w:rsidR="002B49AB" w:rsidRPr="004F11AC" w:rsidRDefault="002B49AB" w:rsidP="00E208B7">
            <w:pPr>
              <w:pStyle w:val="COMTabletext"/>
            </w:pPr>
            <w:r w:rsidRPr="004F11AC">
              <w:t>Vomiting</w:t>
            </w:r>
          </w:p>
        </w:tc>
        <w:tc>
          <w:tcPr>
            <w:tcW w:w="829" w:type="dxa"/>
            <w:vAlign w:val="center"/>
          </w:tcPr>
          <w:p w14:paraId="14CCFA9B" w14:textId="77777777" w:rsidR="002B49AB" w:rsidRPr="004F11AC" w:rsidRDefault="002B49AB" w:rsidP="00E208B7">
            <w:pPr>
              <w:pStyle w:val="COMTabletext"/>
              <w:jc w:val="center"/>
            </w:pPr>
            <w:r w:rsidRPr="004F11AC">
              <w:t>16 (3.4)</w:t>
            </w:r>
          </w:p>
        </w:tc>
        <w:tc>
          <w:tcPr>
            <w:tcW w:w="829" w:type="dxa"/>
            <w:tcBorders>
              <w:right w:val="double" w:sz="4" w:space="0" w:color="auto"/>
            </w:tcBorders>
            <w:vAlign w:val="center"/>
          </w:tcPr>
          <w:p w14:paraId="16B6CE2C" w14:textId="77777777" w:rsidR="002B49AB" w:rsidRPr="004F11AC" w:rsidRDefault="002B49AB" w:rsidP="00E208B7">
            <w:pPr>
              <w:pStyle w:val="COMTabletext"/>
              <w:jc w:val="center"/>
            </w:pPr>
            <w:r w:rsidRPr="004F11AC">
              <w:t>8 (5.2)</w:t>
            </w:r>
          </w:p>
        </w:tc>
        <w:tc>
          <w:tcPr>
            <w:tcW w:w="829" w:type="dxa"/>
            <w:tcBorders>
              <w:left w:val="double" w:sz="4" w:space="0" w:color="auto"/>
            </w:tcBorders>
            <w:vAlign w:val="center"/>
          </w:tcPr>
          <w:p w14:paraId="7E103ADB" w14:textId="77777777" w:rsidR="002B49AB" w:rsidRPr="004F11AC" w:rsidRDefault="002B49AB" w:rsidP="00E208B7">
            <w:pPr>
              <w:pStyle w:val="COMTabletext"/>
              <w:jc w:val="center"/>
            </w:pPr>
            <w:r w:rsidRPr="004F11AC">
              <w:t>4 (2.4)</w:t>
            </w:r>
          </w:p>
        </w:tc>
        <w:tc>
          <w:tcPr>
            <w:tcW w:w="829" w:type="dxa"/>
            <w:vAlign w:val="center"/>
          </w:tcPr>
          <w:p w14:paraId="4FAEF1B2" w14:textId="77777777" w:rsidR="002B49AB" w:rsidRPr="004F11AC" w:rsidRDefault="002B49AB" w:rsidP="00E208B7">
            <w:pPr>
              <w:pStyle w:val="COMTabletext"/>
              <w:jc w:val="center"/>
            </w:pPr>
            <w:r w:rsidRPr="004F11AC">
              <w:t>9 (5.5)</w:t>
            </w:r>
          </w:p>
        </w:tc>
        <w:tc>
          <w:tcPr>
            <w:tcW w:w="829" w:type="dxa"/>
            <w:tcBorders>
              <w:right w:val="double" w:sz="4" w:space="0" w:color="auto"/>
            </w:tcBorders>
            <w:vAlign w:val="center"/>
          </w:tcPr>
          <w:p w14:paraId="057B2989" w14:textId="77777777" w:rsidR="002B49AB" w:rsidRPr="004F11AC" w:rsidRDefault="002B49AB" w:rsidP="00E208B7">
            <w:pPr>
              <w:pStyle w:val="COMTabletext"/>
              <w:jc w:val="center"/>
            </w:pPr>
            <w:r w:rsidRPr="004F11AC">
              <w:t>5 (3.1)</w:t>
            </w:r>
          </w:p>
        </w:tc>
        <w:tc>
          <w:tcPr>
            <w:tcW w:w="829" w:type="dxa"/>
            <w:tcBorders>
              <w:left w:val="double" w:sz="4" w:space="0" w:color="auto"/>
            </w:tcBorders>
            <w:vAlign w:val="center"/>
          </w:tcPr>
          <w:p w14:paraId="60F52783" w14:textId="77777777" w:rsidR="002B49AB" w:rsidRPr="004F11AC" w:rsidRDefault="002B49AB" w:rsidP="00E208B7">
            <w:pPr>
              <w:pStyle w:val="COMTabletext"/>
              <w:jc w:val="center"/>
            </w:pPr>
            <w:r w:rsidRPr="004F11AC">
              <w:t>-</w:t>
            </w:r>
          </w:p>
        </w:tc>
        <w:tc>
          <w:tcPr>
            <w:tcW w:w="829" w:type="dxa"/>
            <w:tcBorders>
              <w:right w:val="double" w:sz="4" w:space="0" w:color="auto"/>
            </w:tcBorders>
            <w:vAlign w:val="center"/>
          </w:tcPr>
          <w:p w14:paraId="37F9B604" w14:textId="77777777" w:rsidR="002B49AB" w:rsidRPr="004F11AC" w:rsidRDefault="002B49AB" w:rsidP="00E208B7">
            <w:pPr>
              <w:pStyle w:val="COMTabletext"/>
              <w:jc w:val="center"/>
            </w:pPr>
            <w:r w:rsidRPr="004F11AC">
              <w:t>-</w:t>
            </w:r>
          </w:p>
        </w:tc>
        <w:tc>
          <w:tcPr>
            <w:tcW w:w="829" w:type="dxa"/>
            <w:tcBorders>
              <w:left w:val="double" w:sz="4" w:space="0" w:color="auto"/>
            </w:tcBorders>
            <w:vAlign w:val="center"/>
          </w:tcPr>
          <w:p w14:paraId="01C880BD" w14:textId="77777777" w:rsidR="002B49AB" w:rsidRPr="004F11AC" w:rsidRDefault="002B49AB" w:rsidP="00E208B7">
            <w:pPr>
              <w:pStyle w:val="COMTabletext"/>
              <w:jc w:val="center"/>
            </w:pPr>
            <w:r w:rsidRPr="004F11AC">
              <w:t>-</w:t>
            </w:r>
          </w:p>
        </w:tc>
        <w:tc>
          <w:tcPr>
            <w:tcW w:w="829" w:type="dxa"/>
            <w:tcBorders>
              <w:right w:val="single" w:sz="4" w:space="0" w:color="auto"/>
            </w:tcBorders>
            <w:vAlign w:val="center"/>
          </w:tcPr>
          <w:p w14:paraId="03FF7881" w14:textId="77777777" w:rsidR="002B49AB" w:rsidRPr="004F11AC" w:rsidRDefault="002B49AB" w:rsidP="00E208B7">
            <w:pPr>
              <w:pStyle w:val="COMTabletext"/>
              <w:jc w:val="center"/>
            </w:pPr>
            <w:r w:rsidRPr="004F11AC">
              <w:t>-</w:t>
            </w:r>
          </w:p>
        </w:tc>
      </w:tr>
      <w:tr w:rsidR="00BA0730" w:rsidRPr="004F11AC" w14:paraId="04FB3BC1" w14:textId="77777777" w:rsidTr="008E7F96">
        <w:tc>
          <w:tcPr>
            <w:tcW w:w="1555" w:type="dxa"/>
            <w:vAlign w:val="center"/>
          </w:tcPr>
          <w:p w14:paraId="7C8A843E" w14:textId="77777777" w:rsidR="002B49AB" w:rsidRPr="004F11AC" w:rsidRDefault="002B49AB" w:rsidP="00E208B7">
            <w:pPr>
              <w:pStyle w:val="COMTabletext"/>
            </w:pPr>
            <w:r w:rsidRPr="004F11AC">
              <w:t>Constipation</w:t>
            </w:r>
          </w:p>
        </w:tc>
        <w:tc>
          <w:tcPr>
            <w:tcW w:w="829" w:type="dxa"/>
            <w:vAlign w:val="center"/>
          </w:tcPr>
          <w:p w14:paraId="690049D0" w14:textId="77777777" w:rsidR="002B49AB" w:rsidRPr="004F11AC" w:rsidRDefault="002B49AB" w:rsidP="00E208B7">
            <w:pPr>
              <w:pStyle w:val="COMTabletext"/>
              <w:jc w:val="center"/>
            </w:pPr>
            <w:r w:rsidRPr="004F11AC">
              <w:t>-</w:t>
            </w:r>
          </w:p>
        </w:tc>
        <w:tc>
          <w:tcPr>
            <w:tcW w:w="829" w:type="dxa"/>
            <w:tcBorders>
              <w:right w:val="double" w:sz="4" w:space="0" w:color="auto"/>
            </w:tcBorders>
            <w:vAlign w:val="center"/>
          </w:tcPr>
          <w:p w14:paraId="4B1CA42D" w14:textId="77777777" w:rsidR="002B49AB" w:rsidRPr="004F11AC" w:rsidRDefault="002B49AB" w:rsidP="00E208B7">
            <w:pPr>
              <w:pStyle w:val="COMTabletext"/>
              <w:jc w:val="center"/>
            </w:pPr>
            <w:r w:rsidRPr="004F11AC">
              <w:t>-</w:t>
            </w:r>
          </w:p>
        </w:tc>
        <w:tc>
          <w:tcPr>
            <w:tcW w:w="829" w:type="dxa"/>
            <w:tcBorders>
              <w:left w:val="double" w:sz="4" w:space="0" w:color="auto"/>
            </w:tcBorders>
            <w:vAlign w:val="center"/>
          </w:tcPr>
          <w:p w14:paraId="24D3369B" w14:textId="77777777" w:rsidR="002B49AB" w:rsidRPr="004F11AC" w:rsidRDefault="002B49AB" w:rsidP="00E208B7">
            <w:pPr>
              <w:pStyle w:val="COMTabletext"/>
              <w:jc w:val="center"/>
            </w:pPr>
            <w:r w:rsidRPr="004F11AC">
              <w:t>-</w:t>
            </w:r>
          </w:p>
        </w:tc>
        <w:tc>
          <w:tcPr>
            <w:tcW w:w="829" w:type="dxa"/>
            <w:vAlign w:val="center"/>
          </w:tcPr>
          <w:p w14:paraId="55E28D22" w14:textId="77777777" w:rsidR="002B49AB" w:rsidRPr="004F11AC" w:rsidRDefault="002B49AB" w:rsidP="00E208B7">
            <w:pPr>
              <w:pStyle w:val="COMTabletext"/>
              <w:jc w:val="center"/>
            </w:pPr>
            <w:r w:rsidRPr="004F11AC">
              <w:t>-</w:t>
            </w:r>
          </w:p>
        </w:tc>
        <w:tc>
          <w:tcPr>
            <w:tcW w:w="829" w:type="dxa"/>
            <w:tcBorders>
              <w:right w:val="double" w:sz="4" w:space="0" w:color="auto"/>
            </w:tcBorders>
            <w:vAlign w:val="center"/>
          </w:tcPr>
          <w:p w14:paraId="6F4D2D5C" w14:textId="77777777" w:rsidR="002B49AB" w:rsidRPr="004F11AC" w:rsidRDefault="002B49AB" w:rsidP="00E208B7">
            <w:pPr>
              <w:pStyle w:val="COMTabletext"/>
              <w:jc w:val="center"/>
            </w:pPr>
            <w:r w:rsidRPr="004F11AC">
              <w:t>-</w:t>
            </w:r>
          </w:p>
        </w:tc>
        <w:tc>
          <w:tcPr>
            <w:tcW w:w="829" w:type="dxa"/>
            <w:tcBorders>
              <w:left w:val="double" w:sz="4" w:space="0" w:color="auto"/>
            </w:tcBorders>
            <w:vAlign w:val="center"/>
          </w:tcPr>
          <w:p w14:paraId="7ED224B8" w14:textId="77777777" w:rsidR="002B49AB" w:rsidRPr="004F11AC" w:rsidRDefault="002B49AB" w:rsidP="00E208B7">
            <w:pPr>
              <w:pStyle w:val="COMTabletext"/>
              <w:jc w:val="center"/>
            </w:pPr>
            <w:r w:rsidRPr="004F11AC">
              <w:t>3 (5.1)</w:t>
            </w:r>
          </w:p>
        </w:tc>
        <w:tc>
          <w:tcPr>
            <w:tcW w:w="829" w:type="dxa"/>
            <w:tcBorders>
              <w:right w:val="double" w:sz="4" w:space="0" w:color="auto"/>
            </w:tcBorders>
            <w:vAlign w:val="center"/>
          </w:tcPr>
          <w:p w14:paraId="5ED7A240" w14:textId="77777777" w:rsidR="002B49AB" w:rsidRPr="004F11AC" w:rsidRDefault="002B49AB" w:rsidP="00E208B7">
            <w:pPr>
              <w:pStyle w:val="COMTabletext"/>
              <w:jc w:val="center"/>
            </w:pPr>
            <w:r w:rsidRPr="004F11AC">
              <w:t>1 (1.7)</w:t>
            </w:r>
          </w:p>
        </w:tc>
        <w:tc>
          <w:tcPr>
            <w:tcW w:w="829" w:type="dxa"/>
            <w:tcBorders>
              <w:left w:val="double" w:sz="4" w:space="0" w:color="auto"/>
            </w:tcBorders>
            <w:vAlign w:val="center"/>
          </w:tcPr>
          <w:p w14:paraId="11785163" w14:textId="77777777" w:rsidR="002B49AB" w:rsidRPr="004F11AC" w:rsidRDefault="002B49AB" w:rsidP="00E208B7">
            <w:pPr>
              <w:pStyle w:val="COMTabletext"/>
              <w:jc w:val="center"/>
            </w:pPr>
            <w:r w:rsidRPr="004F11AC">
              <w:t>-</w:t>
            </w:r>
          </w:p>
        </w:tc>
        <w:tc>
          <w:tcPr>
            <w:tcW w:w="829" w:type="dxa"/>
            <w:tcBorders>
              <w:right w:val="single" w:sz="4" w:space="0" w:color="auto"/>
            </w:tcBorders>
            <w:vAlign w:val="center"/>
          </w:tcPr>
          <w:p w14:paraId="4FD6F82A" w14:textId="77777777" w:rsidR="002B49AB" w:rsidRPr="004F11AC" w:rsidRDefault="002B49AB" w:rsidP="00E208B7">
            <w:pPr>
              <w:pStyle w:val="COMTabletext"/>
              <w:jc w:val="center"/>
            </w:pPr>
            <w:r w:rsidRPr="004F11AC">
              <w:t>-</w:t>
            </w:r>
          </w:p>
        </w:tc>
      </w:tr>
      <w:tr w:rsidR="00BA0730" w:rsidRPr="004F11AC" w14:paraId="65F1F787" w14:textId="77777777" w:rsidTr="008E7F96">
        <w:tc>
          <w:tcPr>
            <w:tcW w:w="1555" w:type="dxa"/>
            <w:vAlign w:val="center"/>
          </w:tcPr>
          <w:p w14:paraId="352FFC15" w14:textId="77777777" w:rsidR="002B49AB" w:rsidRPr="004F11AC" w:rsidRDefault="002B49AB" w:rsidP="00E208B7">
            <w:pPr>
              <w:pStyle w:val="COMTabletext"/>
            </w:pPr>
            <w:r w:rsidRPr="004F11AC">
              <w:t xml:space="preserve">Cough </w:t>
            </w:r>
          </w:p>
        </w:tc>
        <w:tc>
          <w:tcPr>
            <w:tcW w:w="829" w:type="dxa"/>
            <w:vAlign w:val="center"/>
          </w:tcPr>
          <w:p w14:paraId="0CE68879" w14:textId="77777777" w:rsidR="002B49AB" w:rsidRPr="004F11AC" w:rsidRDefault="002B49AB" w:rsidP="00E208B7">
            <w:pPr>
              <w:pStyle w:val="COMTabletext"/>
              <w:jc w:val="center"/>
            </w:pPr>
            <w:r w:rsidRPr="004F11AC">
              <w:t>23 (4.9)</w:t>
            </w:r>
          </w:p>
        </w:tc>
        <w:tc>
          <w:tcPr>
            <w:tcW w:w="829" w:type="dxa"/>
            <w:tcBorders>
              <w:right w:val="double" w:sz="4" w:space="0" w:color="auto"/>
            </w:tcBorders>
            <w:vAlign w:val="center"/>
          </w:tcPr>
          <w:p w14:paraId="030E5171" w14:textId="77777777" w:rsidR="002B49AB" w:rsidRPr="004F11AC" w:rsidRDefault="002B49AB" w:rsidP="00E208B7">
            <w:pPr>
              <w:pStyle w:val="COMTabletext"/>
              <w:jc w:val="center"/>
            </w:pPr>
            <w:r w:rsidRPr="004F11AC">
              <w:t>11 (7.1)</w:t>
            </w:r>
          </w:p>
        </w:tc>
        <w:tc>
          <w:tcPr>
            <w:tcW w:w="829" w:type="dxa"/>
            <w:tcBorders>
              <w:left w:val="double" w:sz="4" w:space="0" w:color="auto"/>
            </w:tcBorders>
            <w:vAlign w:val="center"/>
          </w:tcPr>
          <w:p w14:paraId="57571A77" w14:textId="77777777" w:rsidR="002B49AB" w:rsidRPr="004F11AC" w:rsidRDefault="002B49AB" w:rsidP="00E208B7">
            <w:pPr>
              <w:pStyle w:val="COMTabletext"/>
              <w:jc w:val="center"/>
            </w:pPr>
            <w:r w:rsidRPr="004F11AC">
              <w:t>7 (4.3)</w:t>
            </w:r>
          </w:p>
        </w:tc>
        <w:tc>
          <w:tcPr>
            <w:tcW w:w="829" w:type="dxa"/>
            <w:vAlign w:val="center"/>
          </w:tcPr>
          <w:p w14:paraId="439F2CD6" w14:textId="77777777" w:rsidR="002B49AB" w:rsidRPr="004F11AC" w:rsidRDefault="002B49AB" w:rsidP="00E208B7">
            <w:pPr>
              <w:pStyle w:val="COMTabletext"/>
              <w:jc w:val="center"/>
            </w:pPr>
            <w:r w:rsidRPr="004F11AC">
              <w:t>4 (2.4)</w:t>
            </w:r>
          </w:p>
        </w:tc>
        <w:tc>
          <w:tcPr>
            <w:tcW w:w="829" w:type="dxa"/>
            <w:tcBorders>
              <w:right w:val="double" w:sz="4" w:space="0" w:color="auto"/>
            </w:tcBorders>
            <w:vAlign w:val="center"/>
          </w:tcPr>
          <w:p w14:paraId="4C87E3E9" w14:textId="77777777" w:rsidR="002B49AB" w:rsidRPr="004F11AC" w:rsidRDefault="002B49AB" w:rsidP="00E208B7">
            <w:pPr>
              <w:pStyle w:val="COMTabletext"/>
              <w:jc w:val="center"/>
            </w:pPr>
            <w:r w:rsidRPr="004F11AC">
              <w:t>10 (6.2)</w:t>
            </w:r>
          </w:p>
        </w:tc>
        <w:tc>
          <w:tcPr>
            <w:tcW w:w="829" w:type="dxa"/>
            <w:tcBorders>
              <w:left w:val="double" w:sz="4" w:space="0" w:color="auto"/>
            </w:tcBorders>
            <w:vAlign w:val="center"/>
          </w:tcPr>
          <w:p w14:paraId="143F3724" w14:textId="77777777" w:rsidR="002B49AB" w:rsidRPr="004F11AC" w:rsidRDefault="002B49AB" w:rsidP="00E208B7">
            <w:pPr>
              <w:pStyle w:val="COMTabletext"/>
              <w:jc w:val="center"/>
            </w:pPr>
            <w:r w:rsidRPr="004F11AC">
              <w:t>-</w:t>
            </w:r>
          </w:p>
        </w:tc>
        <w:tc>
          <w:tcPr>
            <w:tcW w:w="829" w:type="dxa"/>
            <w:tcBorders>
              <w:right w:val="double" w:sz="4" w:space="0" w:color="auto"/>
            </w:tcBorders>
            <w:vAlign w:val="center"/>
          </w:tcPr>
          <w:p w14:paraId="58331D38" w14:textId="77777777" w:rsidR="002B49AB" w:rsidRPr="004F11AC" w:rsidRDefault="002B49AB" w:rsidP="00E208B7">
            <w:pPr>
              <w:pStyle w:val="COMTabletext"/>
              <w:jc w:val="center"/>
            </w:pPr>
            <w:r w:rsidRPr="004F11AC">
              <w:t>-</w:t>
            </w:r>
          </w:p>
        </w:tc>
        <w:tc>
          <w:tcPr>
            <w:tcW w:w="829" w:type="dxa"/>
            <w:tcBorders>
              <w:left w:val="double" w:sz="4" w:space="0" w:color="auto"/>
            </w:tcBorders>
            <w:vAlign w:val="center"/>
          </w:tcPr>
          <w:p w14:paraId="3BF4CF93" w14:textId="77777777" w:rsidR="002B49AB" w:rsidRPr="004F11AC" w:rsidRDefault="002B49AB" w:rsidP="00E208B7">
            <w:pPr>
              <w:pStyle w:val="COMTabletext"/>
              <w:jc w:val="center"/>
            </w:pPr>
            <w:r w:rsidRPr="004F11AC">
              <w:t>-</w:t>
            </w:r>
          </w:p>
        </w:tc>
        <w:tc>
          <w:tcPr>
            <w:tcW w:w="829" w:type="dxa"/>
            <w:tcBorders>
              <w:right w:val="single" w:sz="4" w:space="0" w:color="auto"/>
            </w:tcBorders>
            <w:vAlign w:val="center"/>
          </w:tcPr>
          <w:p w14:paraId="39CC1943" w14:textId="77777777" w:rsidR="002B49AB" w:rsidRPr="004F11AC" w:rsidRDefault="002B49AB" w:rsidP="00E208B7">
            <w:pPr>
              <w:pStyle w:val="COMTabletext"/>
              <w:jc w:val="center"/>
            </w:pPr>
            <w:r w:rsidRPr="004F11AC">
              <w:t>-</w:t>
            </w:r>
          </w:p>
        </w:tc>
      </w:tr>
      <w:tr w:rsidR="00BA0730" w:rsidRPr="004F11AC" w14:paraId="2C50E405" w14:textId="77777777" w:rsidTr="008E7F96">
        <w:tc>
          <w:tcPr>
            <w:tcW w:w="1555" w:type="dxa"/>
            <w:vAlign w:val="center"/>
          </w:tcPr>
          <w:p w14:paraId="0EB1EE3B" w14:textId="77777777" w:rsidR="002B49AB" w:rsidRPr="004F11AC" w:rsidRDefault="002B49AB" w:rsidP="00E208B7">
            <w:pPr>
              <w:pStyle w:val="COMTabletext"/>
            </w:pPr>
            <w:r w:rsidRPr="004F11AC">
              <w:t>Bronchitis</w:t>
            </w:r>
          </w:p>
        </w:tc>
        <w:tc>
          <w:tcPr>
            <w:tcW w:w="829" w:type="dxa"/>
            <w:vAlign w:val="center"/>
          </w:tcPr>
          <w:p w14:paraId="5B0D0E65" w14:textId="77777777" w:rsidR="002B49AB" w:rsidRPr="004F11AC" w:rsidRDefault="002B49AB" w:rsidP="00E208B7">
            <w:pPr>
              <w:pStyle w:val="COMTabletext"/>
              <w:jc w:val="center"/>
            </w:pPr>
            <w:r w:rsidRPr="004F11AC">
              <w:t>18 (3.8)</w:t>
            </w:r>
          </w:p>
        </w:tc>
        <w:tc>
          <w:tcPr>
            <w:tcW w:w="829" w:type="dxa"/>
            <w:tcBorders>
              <w:right w:val="double" w:sz="4" w:space="0" w:color="auto"/>
            </w:tcBorders>
            <w:vAlign w:val="center"/>
          </w:tcPr>
          <w:p w14:paraId="1EEE250A" w14:textId="77777777" w:rsidR="002B49AB" w:rsidRPr="004F11AC" w:rsidRDefault="002B49AB" w:rsidP="00E208B7">
            <w:pPr>
              <w:pStyle w:val="COMTabletext"/>
              <w:jc w:val="center"/>
            </w:pPr>
            <w:r w:rsidRPr="004F11AC">
              <w:t>8 (5.2)</w:t>
            </w:r>
          </w:p>
        </w:tc>
        <w:tc>
          <w:tcPr>
            <w:tcW w:w="829" w:type="dxa"/>
            <w:tcBorders>
              <w:left w:val="double" w:sz="4" w:space="0" w:color="auto"/>
            </w:tcBorders>
            <w:vAlign w:val="center"/>
          </w:tcPr>
          <w:p w14:paraId="310FBD23" w14:textId="77777777" w:rsidR="002B49AB" w:rsidRPr="004F11AC" w:rsidRDefault="002B49AB" w:rsidP="00E208B7">
            <w:pPr>
              <w:pStyle w:val="COMTabletext"/>
              <w:jc w:val="center"/>
            </w:pPr>
            <w:r w:rsidRPr="004F11AC">
              <w:t>-</w:t>
            </w:r>
          </w:p>
        </w:tc>
        <w:tc>
          <w:tcPr>
            <w:tcW w:w="829" w:type="dxa"/>
            <w:vAlign w:val="center"/>
          </w:tcPr>
          <w:p w14:paraId="43D7ACA6" w14:textId="77777777" w:rsidR="002B49AB" w:rsidRPr="004F11AC" w:rsidRDefault="002B49AB" w:rsidP="00E208B7">
            <w:pPr>
              <w:pStyle w:val="COMTabletext"/>
              <w:jc w:val="center"/>
            </w:pPr>
            <w:r w:rsidRPr="004F11AC">
              <w:t>-</w:t>
            </w:r>
          </w:p>
        </w:tc>
        <w:tc>
          <w:tcPr>
            <w:tcW w:w="829" w:type="dxa"/>
            <w:tcBorders>
              <w:right w:val="double" w:sz="4" w:space="0" w:color="auto"/>
            </w:tcBorders>
            <w:vAlign w:val="center"/>
          </w:tcPr>
          <w:p w14:paraId="44073A57" w14:textId="77777777" w:rsidR="002B49AB" w:rsidRPr="004F11AC" w:rsidRDefault="002B49AB" w:rsidP="00E208B7">
            <w:pPr>
              <w:pStyle w:val="COMTabletext"/>
              <w:jc w:val="center"/>
            </w:pPr>
            <w:r w:rsidRPr="004F11AC">
              <w:t>-</w:t>
            </w:r>
          </w:p>
        </w:tc>
        <w:tc>
          <w:tcPr>
            <w:tcW w:w="829" w:type="dxa"/>
            <w:tcBorders>
              <w:left w:val="double" w:sz="4" w:space="0" w:color="auto"/>
            </w:tcBorders>
            <w:vAlign w:val="center"/>
          </w:tcPr>
          <w:p w14:paraId="6455F3DE" w14:textId="77777777" w:rsidR="002B49AB" w:rsidRPr="004F11AC" w:rsidRDefault="002B49AB" w:rsidP="00E208B7">
            <w:pPr>
              <w:pStyle w:val="COMTabletext"/>
              <w:jc w:val="center"/>
            </w:pPr>
            <w:r w:rsidRPr="004F11AC">
              <w:t>-</w:t>
            </w:r>
          </w:p>
        </w:tc>
        <w:tc>
          <w:tcPr>
            <w:tcW w:w="829" w:type="dxa"/>
            <w:tcBorders>
              <w:right w:val="double" w:sz="4" w:space="0" w:color="auto"/>
            </w:tcBorders>
            <w:vAlign w:val="center"/>
          </w:tcPr>
          <w:p w14:paraId="50798ACD" w14:textId="77777777" w:rsidR="002B49AB" w:rsidRPr="004F11AC" w:rsidRDefault="002B49AB" w:rsidP="00E208B7">
            <w:pPr>
              <w:pStyle w:val="COMTabletext"/>
              <w:jc w:val="center"/>
            </w:pPr>
            <w:r w:rsidRPr="004F11AC">
              <w:t>-</w:t>
            </w:r>
          </w:p>
        </w:tc>
        <w:tc>
          <w:tcPr>
            <w:tcW w:w="829" w:type="dxa"/>
            <w:tcBorders>
              <w:left w:val="double" w:sz="4" w:space="0" w:color="auto"/>
            </w:tcBorders>
            <w:vAlign w:val="center"/>
          </w:tcPr>
          <w:p w14:paraId="61CEBDAD" w14:textId="77777777" w:rsidR="002B49AB" w:rsidRPr="004F11AC" w:rsidRDefault="002B49AB" w:rsidP="00E208B7">
            <w:pPr>
              <w:pStyle w:val="COMTabletext"/>
              <w:jc w:val="center"/>
            </w:pPr>
            <w:r w:rsidRPr="004F11AC">
              <w:t>-</w:t>
            </w:r>
          </w:p>
        </w:tc>
        <w:tc>
          <w:tcPr>
            <w:tcW w:w="829" w:type="dxa"/>
            <w:tcBorders>
              <w:right w:val="single" w:sz="4" w:space="0" w:color="auto"/>
            </w:tcBorders>
            <w:vAlign w:val="center"/>
          </w:tcPr>
          <w:p w14:paraId="534F8291" w14:textId="77777777" w:rsidR="002B49AB" w:rsidRPr="004F11AC" w:rsidRDefault="002B49AB" w:rsidP="00E208B7">
            <w:pPr>
              <w:pStyle w:val="COMTabletext"/>
              <w:jc w:val="center"/>
            </w:pPr>
            <w:r w:rsidRPr="004F11AC">
              <w:t>-</w:t>
            </w:r>
          </w:p>
        </w:tc>
      </w:tr>
      <w:tr w:rsidR="00BA0730" w:rsidRPr="004F11AC" w14:paraId="1BEBA2CC" w14:textId="77777777" w:rsidTr="008E7F96">
        <w:tc>
          <w:tcPr>
            <w:tcW w:w="1555" w:type="dxa"/>
            <w:vAlign w:val="center"/>
          </w:tcPr>
          <w:p w14:paraId="36486A82" w14:textId="77777777" w:rsidR="002B49AB" w:rsidRPr="004F11AC" w:rsidRDefault="002B49AB" w:rsidP="00E208B7">
            <w:pPr>
              <w:pStyle w:val="COMTabletext"/>
            </w:pPr>
            <w:r w:rsidRPr="004F11AC">
              <w:t>Wrong drug administered</w:t>
            </w:r>
          </w:p>
        </w:tc>
        <w:tc>
          <w:tcPr>
            <w:tcW w:w="829" w:type="dxa"/>
            <w:vAlign w:val="center"/>
          </w:tcPr>
          <w:p w14:paraId="132ADD23" w14:textId="77777777" w:rsidR="002B49AB" w:rsidRPr="004F11AC" w:rsidRDefault="002B49AB" w:rsidP="00E208B7">
            <w:pPr>
              <w:pStyle w:val="COMTabletext"/>
              <w:jc w:val="center"/>
            </w:pPr>
            <w:r w:rsidRPr="004F11AC">
              <w:t>25 (5.3)</w:t>
            </w:r>
          </w:p>
        </w:tc>
        <w:tc>
          <w:tcPr>
            <w:tcW w:w="829" w:type="dxa"/>
            <w:tcBorders>
              <w:right w:val="double" w:sz="4" w:space="0" w:color="auto"/>
            </w:tcBorders>
            <w:vAlign w:val="center"/>
          </w:tcPr>
          <w:p w14:paraId="6E724E5F" w14:textId="77777777" w:rsidR="002B49AB" w:rsidRPr="004F11AC" w:rsidRDefault="002B49AB" w:rsidP="00E208B7">
            <w:pPr>
              <w:pStyle w:val="COMTabletext"/>
              <w:jc w:val="center"/>
            </w:pPr>
            <w:r w:rsidRPr="004F11AC">
              <w:t>5 (3.2)</w:t>
            </w:r>
          </w:p>
        </w:tc>
        <w:tc>
          <w:tcPr>
            <w:tcW w:w="829" w:type="dxa"/>
            <w:tcBorders>
              <w:left w:val="double" w:sz="4" w:space="0" w:color="auto"/>
            </w:tcBorders>
            <w:vAlign w:val="center"/>
          </w:tcPr>
          <w:p w14:paraId="3235775E" w14:textId="77777777" w:rsidR="002B49AB" w:rsidRPr="004F11AC" w:rsidRDefault="002B49AB" w:rsidP="00E208B7">
            <w:pPr>
              <w:pStyle w:val="COMTabletext"/>
              <w:jc w:val="center"/>
            </w:pPr>
            <w:r w:rsidRPr="004F11AC">
              <w:t>9 (5.5)</w:t>
            </w:r>
          </w:p>
        </w:tc>
        <w:tc>
          <w:tcPr>
            <w:tcW w:w="829" w:type="dxa"/>
            <w:vAlign w:val="center"/>
          </w:tcPr>
          <w:p w14:paraId="48311782" w14:textId="77777777" w:rsidR="002B49AB" w:rsidRPr="004F11AC" w:rsidRDefault="002B49AB" w:rsidP="00E208B7">
            <w:pPr>
              <w:pStyle w:val="COMTabletext"/>
              <w:jc w:val="center"/>
            </w:pPr>
            <w:r w:rsidRPr="004F11AC">
              <w:t>9 (5.5)</w:t>
            </w:r>
          </w:p>
        </w:tc>
        <w:tc>
          <w:tcPr>
            <w:tcW w:w="829" w:type="dxa"/>
            <w:tcBorders>
              <w:right w:val="double" w:sz="4" w:space="0" w:color="auto"/>
            </w:tcBorders>
            <w:vAlign w:val="center"/>
          </w:tcPr>
          <w:p w14:paraId="1E5F9F36" w14:textId="77777777" w:rsidR="002B49AB" w:rsidRPr="004F11AC" w:rsidRDefault="002B49AB" w:rsidP="00E208B7">
            <w:pPr>
              <w:pStyle w:val="COMTabletext"/>
              <w:jc w:val="center"/>
            </w:pPr>
            <w:r w:rsidRPr="004F11AC">
              <w:t>7 (4.3)</w:t>
            </w:r>
          </w:p>
        </w:tc>
        <w:tc>
          <w:tcPr>
            <w:tcW w:w="829" w:type="dxa"/>
            <w:tcBorders>
              <w:left w:val="double" w:sz="4" w:space="0" w:color="auto"/>
            </w:tcBorders>
            <w:vAlign w:val="center"/>
          </w:tcPr>
          <w:p w14:paraId="556B8AF2" w14:textId="77777777" w:rsidR="002B49AB" w:rsidRPr="004F11AC" w:rsidRDefault="002B49AB" w:rsidP="00E208B7">
            <w:pPr>
              <w:pStyle w:val="COMTabletext"/>
              <w:jc w:val="center"/>
            </w:pPr>
            <w:r w:rsidRPr="004F11AC">
              <w:t>-</w:t>
            </w:r>
          </w:p>
        </w:tc>
        <w:tc>
          <w:tcPr>
            <w:tcW w:w="829" w:type="dxa"/>
            <w:tcBorders>
              <w:right w:val="double" w:sz="4" w:space="0" w:color="auto"/>
            </w:tcBorders>
            <w:vAlign w:val="center"/>
          </w:tcPr>
          <w:p w14:paraId="19BE45D3" w14:textId="77777777" w:rsidR="002B49AB" w:rsidRPr="004F11AC" w:rsidRDefault="002B49AB" w:rsidP="00E208B7">
            <w:pPr>
              <w:pStyle w:val="COMTabletext"/>
              <w:jc w:val="center"/>
            </w:pPr>
            <w:r w:rsidRPr="004F11AC">
              <w:t>-</w:t>
            </w:r>
          </w:p>
        </w:tc>
        <w:tc>
          <w:tcPr>
            <w:tcW w:w="829" w:type="dxa"/>
            <w:tcBorders>
              <w:left w:val="double" w:sz="4" w:space="0" w:color="auto"/>
            </w:tcBorders>
            <w:vAlign w:val="center"/>
          </w:tcPr>
          <w:p w14:paraId="33897650" w14:textId="77777777" w:rsidR="002B49AB" w:rsidRPr="004F11AC" w:rsidRDefault="002B49AB" w:rsidP="00E208B7">
            <w:pPr>
              <w:pStyle w:val="COMTabletext"/>
              <w:jc w:val="center"/>
            </w:pPr>
            <w:r w:rsidRPr="004F11AC">
              <w:t>-</w:t>
            </w:r>
          </w:p>
        </w:tc>
        <w:tc>
          <w:tcPr>
            <w:tcW w:w="829" w:type="dxa"/>
            <w:tcBorders>
              <w:right w:val="single" w:sz="4" w:space="0" w:color="auto"/>
            </w:tcBorders>
            <w:vAlign w:val="center"/>
          </w:tcPr>
          <w:p w14:paraId="3B8C998E" w14:textId="77777777" w:rsidR="002B49AB" w:rsidRPr="004F11AC" w:rsidRDefault="002B49AB" w:rsidP="00E208B7">
            <w:pPr>
              <w:pStyle w:val="COMTabletext"/>
              <w:jc w:val="center"/>
            </w:pPr>
            <w:r w:rsidRPr="004F11AC">
              <w:t>-</w:t>
            </w:r>
          </w:p>
        </w:tc>
      </w:tr>
    </w:tbl>
    <w:p w14:paraId="39D12727" w14:textId="77777777" w:rsidR="002B49AB" w:rsidRPr="004F11AC" w:rsidRDefault="002B49AB" w:rsidP="00E208B7">
      <w:pPr>
        <w:pStyle w:val="COMTablefooter"/>
      </w:pPr>
      <w:r w:rsidRPr="004F11AC">
        <w:t xml:space="preserve">Source: Tables 2-24, 2-30, 2-35, and 2-40, pp57-78 of the resubmission; Table 14.3.1.3, p756 of the Study 3583 CSR; Table 12-8, p135 of the Study 3770 CSR; Table 14.3.1.4, p311 of the Study 1835 CSR; Table 14.3.1.3, p1021 of the Study 3995 CSR. </w:t>
      </w:r>
    </w:p>
    <w:p w14:paraId="0937DA9F" w14:textId="37ACF1B4" w:rsidR="0034489C" w:rsidRPr="004F11AC" w:rsidRDefault="002B49AB" w:rsidP="00E208B7">
      <w:pPr>
        <w:pStyle w:val="COMTablefooter"/>
      </w:pPr>
      <w:r w:rsidRPr="004F11AC">
        <w:t xml:space="preserve">Abbreviations: </w:t>
      </w:r>
      <w:r w:rsidRPr="004F11AC">
        <w:rPr>
          <w:sz w:val="20"/>
        </w:rPr>
        <w:t xml:space="preserve">CSR, clinical study report; </w:t>
      </w:r>
      <w:r w:rsidRPr="004F11AC">
        <w:t xml:space="preserve">FF, fixed flexible; </w:t>
      </w:r>
      <w:proofErr w:type="spellStart"/>
      <w:r w:rsidRPr="004F11AC">
        <w:t>IDeg</w:t>
      </w:r>
      <w:proofErr w:type="spellEnd"/>
      <w:r w:rsidRPr="004F11AC">
        <w:t xml:space="preserve">, insulin degludec; </w:t>
      </w:r>
      <w:proofErr w:type="spellStart"/>
      <w:r w:rsidRPr="004F11AC">
        <w:t>IGlar</w:t>
      </w:r>
      <w:proofErr w:type="spellEnd"/>
      <w:r w:rsidRPr="004F11AC">
        <w:t xml:space="preserve">, insulin glargine; OD, once daily; </w:t>
      </w:r>
      <w:r w:rsidR="008D6C5B" w:rsidRPr="004F11AC">
        <w:t xml:space="preserve">SAS, safety analysis set; </w:t>
      </w:r>
      <w:r w:rsidRPr="004F11AC">
        <w:t xml:space="preserve">TEAE, treatment emergent adverse events; </w:t>
      </w:r>
      <w:r w:rsidRPr="004F11AC">
        <w:rPr>
          <w:sz w:val="20"/>
        </w:rPr>
        <w:t>URTI, upper respiratory tract infection; UTI, urinary tract infection.</w:t>
      </w:r>
    </w:p>
    <w:p w14:paraId="6836276D" w14:textId="51E994CF" w:rsidR="003679A4" w:rsidRPr="004F11AC" w:rsidRDefault="009C3C12" w:rsidP="00E208B7">
      <w:pPr>
        <w:pStyle w:val="COMexecsummnumbered"/>
      </w:pPr>
      <w:r w:rsidRPr="004F11AC">
        <w:rPr>
          <w:rFonts w:cs="Calibri"/>
        </w:rPr>
        <w:t xml:space="preserve">Large proportions of patients reported at least one adverse event in all studies (64.8-84.1%), with similar proportions of </w:t>
      </w:r>
      <w:r w:rsidR="00F243A0" w:rsidRPr="004F11AC">
        <w:rPr>
          <w:rFonts w:cs="Calibri"/>
        </w:rPr>
        <w:t xml:space="preserve">patients with </w:t>
      </w:r>
      <w:r w:rsidRPr="004F11AC">
        <w:rPr>
          <w:rFonts w:cs="Calibri"/>
        </w:rPr>
        <w:t>serious adverse events and severe adverse events in both treatment arms. The most frequently reported treatment emergent adverse events in both treatment groups across all studies were nasopharyngitis, headache, upper respiratory tract infection, hypoglycaemia, influenza, nausea and sinusitis</w:t>
      </w:r>
      <w:r w:rsidRPr="004F11AC">
        <w:t>.</w:t>
      </w:r>
    </w:p>
    <w:p w14:paraId="31F575DC" w14:textId="0C0827DA" w:rsidR="003679A4" w:rsidRPr="004F11AC" w:rsidRDefault="003679A4" w:rsidP="00E208B7">
      <w:pPr>
        <w:pStyle w:val="COMexecsummnumbered"/>
      </w:pPr>
      <w:r w:rsidRPr="004F11AC">
        <w:t>In Studies 3583, 3770 and 1835, larger proportions of patients treated with insulin degludec reported nasopharyngitis compared to insulin glargine.</w:t>
      </w:r>
    </w:p>
    <w:p w14:paraId="3A94685C" w14:textId="32B516BD" w:rsidR="009C3C12" w:rsidRPr="004F11AC" w:rsidRDefault="009C3C12" w:rsidP="00E208B7">
      <w:pPr>
        <w:pStyle w:val="COMexecsummnumbered"/>
      </w:pPr>
      <w:r w:rsidRPr="004F11AC">
        <w:rPr>
          <w:rFonts w:cs="Calibri"/>
        </w:rPr>
        <w:t>Overall, the proportions of patients reporting adverse events appeared similar between treatment arms.</w:t>
      </w:r>
    </w:p>
    <w:p w14:paraId="04908C7F" w14:textId="415B9B7D" w:rsidR="007F1017" w:rsidRPr="004F11AC" w:rsidRDefault="007F1017" w:rsidP="00E208B7">
      <w:pPr>
        <w:pStyle w:val="COMH2-non-numbered"/>
      </w:pPr>
      <w:bookmarkStart w:id="29" w:name="_Toc22897643"/>
      <w:bookmarkStart w:id="30" w:name="_Toc197595418"/>
      <w:r w:rsidRPr="004F11AC">
        <w:lastRenderedPageBreak/>
        <w:t>Benefits/harms</w:t>
      </w:r>
      <w:bookmarkEnd w:id="29"/>
      <w:bookmarkEnd w:id="30"/>
    </w:p>
    <w:p w14:paraId="0B47EEA4" w14:textId="0E780E58" w:rsidR="00CB070C" w:rsidRPr="004F11AC" w:rsidRDefault="00CB070C" w:rsidP="00E208B7">
      <w:pPr>
        <w:pStyle w:val="COMexecsummnumbered"/>
      </w:pPr>
      <w:r w:rsidRPr="004F11AC">
        <w:t xml:space="preserve">A benefits/harms table was not presented as the resubmission made a claim of </w:t>
      </w:r>
      <w:r w:rsidR="00525CE3">
        <w:t xml:space="preserve">non-inferior </w:t>
      </w:r>
      <w:r w:rsidR="00B3162E">
        <w:t>comparative effectiveness and safety</w:t>
      </w:r>
      <w:r w:rsidRPr="004F11AC">
        <w:t>.</w:t>
      </w:r>
    </w:p>
    <w:p w14:paraId="7A1772B6" w14:textId="23BB3145" w:rsidR="00B60939" w:rsidRPr="004F11AC" w:rsidRDefault="00B60939" w:rsidP="00E208B7">
      <w:pPr>
        <w:pStyle w:val="COMH2-non-numbered"/>
      </w:pPr>
      <w:bookmarkStart w:id="31" w:name="_Toc22897644"/>
      <w:bookmarkStart w:id="32" w:name="_Toc197595419"/>
      <w:r w:rsidRPr="004F11AC">
        <w:t>Clinical claim</w:t>
      </w:r>
      <w:bookmarkEnd w:id="31"/>
      <w:bookmarkEnd w:id="32"/>
    </w:p>
    <w:p w14:paraId="6DFD01D4" w14:textId="4D899773" w:rsidR="006F1AA5" w:rsidRPr="004F11AC" w:rsidRDefault="006F1AA5" w:rsidP="00E208B7">
      <w:pPr>
        <w:pStyle w:val="COMexecsummnumbered"/>
      </w:pPr>
      <w:r w:rsidRPr="004F11AC">
        <w:t xml:space="preserve">The </w:t>
      </w:r>
      <w:r w:rsidR="00250F7E" w:rsidRPr="004F11AC">
        <w:t>re</w:t>
      </w:r>
      <w:r w:rsidRPr="004F11AC">
        <w:t>submission described insulin degludec as non-inferior in terms of effectiveness and safety compared with insulin glargine</w:t>
      </w:r>
      <w:r w:rsidR="00B06449">
        <w:t xml:space="preserve"> 100 I</w:t>
      </w:r>
      <w:r w:rsidR="0022133C">
        <w:t>U</w:t>
      </w:r>
      <w:r w:rsidR="00B06449">
        <w:t>/mL</w:t>
      </w:r>
      <w:r w:rsidRPr="004F11AC">
        <w:t>, with potentially important clinical advantages in nocturnal hypoglycaemia, basal and total insulin doses, flexibility of administration times and use in critical early childhood and pregnancy.</w:t>
      </w:r>
    </w:p>
    <w:p w14:paraId="1E3C1D46" w14:textId="0B0C437C" w:rsidR="006F1AA5" w:rsidRPr="005D7866" w:rsidRDefault="006F1AA5" w:rsidP="00E208B7">
      <w:pPr>
        <w:pStyle w:val="COMexecsummnumbered"/>
        <w:rPr>
          <w:rFonts w:eastAsia="Calibri"/>
        </w:rPr>
      </w:pPr>
      <w:bookmarkStart w:id="33" w:name="_Hlk201754847"/>
      <w:r w:rsidRPr="005D7866">
        <w:t xml:space="preserve">The </w:t>
      </w:r>
      <w:r w:rsidR="00096DFB" w:rsidRPr="005D7866">
        <w:t xml:space="preserve">ESC considered that the </w:t>
      </w:r>
      <w:r w:rsidRPr="005D7866">
        <w:t xml:space="preserve">therapeutic conclusions presented in the </w:t>
      </w:r>
      <w:r w:rsidR="00250F7E" w:rsidRPr="005D7866">
        <w:t>re</w:t>
      </w:r>
      <w:r w:rsidRPr="005D7866">
        <w:t xml:space="preserve">submission </w:t>
      </w:r>
      <w:r w:rsidR="00096DFB" w:rsidRPr="005D7866">
        <w:t>were</w:t>
      </w:r>
      <w:r w:rsidRPr="005D7866">
        <w:t xml:space="preserve"> adequately supported by the evidence presented in the </w:t>
      </w:r>
      <w:r w:rsidR="00250F7E" w:rsidRPr="005D7866">
        <w:t>re</w:t>
      </w:r>
      <w:r w:rsidRPr="005D7866">
        <w:t>submission in terms of non-inferior efficacy and safety, but th</w:t>
      </w:r>
      <w:r w:rsidR="00096DFB" w:rsidRPr="005D7866">
        <w:t>at th</w:t>
      </w:r>
      <w:r w:rsidRPr="005D7866">
        <w:t xml:space="preserve">e claimed clinical advantages </w:t>
      </w:r>
      <w:r w:rsidR="00A2334E" w:rsidRPr="005D7866">
        <w:t>were not supported</w:t>
      </w:r>
      <w:r w:rsidRPr="005D7866">
        <w:t xml:space="preserve"> for the following reasons:</w:t>
      </w:r>
    </w:p>
    <w:bookmarkEnd w:id="33"/>
    <w:p w14:paraId="1157A87E" w14:textId="6C74A130" w:rsidR="00B41FE1" w:rsidRPr="005D7866" w:rsidRDefault="006F1AA5" w:rsidP="00E208B7">
      <w:pPr>
        <w:pStyle w:val="COMexecsummbulletlist"/>
        <w:spacing w:after="0"/>
      </w:pPr>
      <w:r w:rsidRPr="005D7866">
        <w:t xml:space="preserve">Results of the clinical trials generally showed a reduction in the rates of nocturnal hypoglycaemia events in patients treated with insulin degludec compared to insulin glargine. However, the </w:t>
      </w:r>
      <w:r w:rsidR="004954B5" w:rsidRPr="005D7866">
        <w:t xml:space="preserve">evaluation and the ESC considered that the </w:t>
      </w:r>
      <w:r w:rsidRPr="005D7866">
        <w:t>magnitude of benefit likely to be realised in the Australia</w:t>
      </w:r>
      <w:r w:rsidR="00AB38E4" w:rsidRPr="005D7866">
        <w:t>n</w:t>
      </w:r>
      <w:r w:rsidRPr="005D7866">
        <w:t xml:space="preserve"> setting is uncertain, given</w:t>
      </w:r>
      <w:r w:rsidR="00B41FE1" w:rsidRPr="005D7866">
        <w:t>:</w:t>
      </w:r>
    </w:p>
    <w:p w14:paraId="74C57CB0" w14:textId="77777777" w:rsidR="00380E30" w:rsidRPr="005D7866" w:rsidRDefault="006F1AA5" w:rsidP="00E208B7">
      <w:pPr>
        <w:pStyle w:val="COMexecsummbulletlist"/>
        <w:numPr>
          <w:ilvl w:val="1"/>
          <w:numId w:val="6"/>
        </w:numPr>
        <w:spacing w:after="0"/>
        <w:ind w:left="1491" w:hanging="357"/>
      </w:pPr>
      <w:r w:rsidRPr="005D7866">
        <w:t>the clinical outcomes in Studies 3583 and 3770 included asymptomatic episodes of nocturnal hypoglycaemia requiring little or no intervention</w:t>
      </w:r>
      <w:r w:rsidR="00380E30" w:rsidRPr="005D7866">
        <w:t>.</w:t>
      </w:r>
    </w:p>
    <w:p w14:paraId="1A335E3F" w14:textId="49740FFF" w:rsidR="00DE2DDA" w:rsidRPr="005D7866" w:rsidRDefault="006F1AA5" w:rsidP="00E208B7">
      <w:pPr>
        <w:pStyle w:val="COMexecsummbulletlist"/>
        <w:numPr>
          <w:ilvl w:val="1"/>
          <w:numId w:val="6"/>
        </w:numPr>
        <w:spacing w:after="0"/>
        <w:ind w:left="1491" w:hanging="357"/>
      </w:pPr>
      <w:r w:rsidRPr="005D7866">
        <w:t xml:space="preserve">Study 3995 and the </w:t>
      </w:r>
      <w:proofErr w:type="spellStart"/>
      <w:r w:rsidRPr="005D7866">
        <w:t>HypoDeg</w:t>
      </w:r>
      <w:proofErr w:type="spellEnd"/>
      <w:r w:rsidRPr="005D7866">
        <w:t xml:space="preserve"> trial were conducted in enriched population</w:t>
      </w:r>
      <w:r w:rsidR="00380E30" w:rsidRPr="005D7866">
        <w:t>s</w:t>
      </w:r>
      <w:r w:rsidRPr="005D7866">
        <w:t xml:space="preserve"> of T1D patients prone to hypoglycaemia episodes, </w:t>
      </w:r>
      <w:r w:rsidR="00380E30" w:rsidRPr="005D7866">
        <w:t xml:space="preserve">and the results of these trials may </w:t>
      </w:r>
      <w:r w:rsidRPr="005D7866">
        <w:t xml:space="preserve">not </w:t>
      </w:r>
      <w:r w:rsidR="00380E30" w:rsidRPr="005D7866">
        <w:t xml:space="preserve">be </w:t>
      </w:r>
      <w:r w:rsidRPr="005D7866">
        <w:t>applicable to the broader Australian target population.</w:t>
      </w:r>
    </w:p>
    <w:p w14:paraId="033BD8A1" w14:textId="12AB60F0" w:rsidR="006F1AA5" w:rsidRPr="005D7866" w:rsidRDefault="00727524" w:rsidP="00E208B7">
      <w:pPr>
        <w:pStyle w:val="COMexecsummbulletlist"/>
        <w:numPr>
          <w:ilvl w:val="1"/>
          <w:numId w:val="6"/>
        </w:numPr>
        <w:spacing w:after="0"/>
        <w:ind w:left="1491" w:hanging="357"/>
      </w:pPr>
      <w:r w:rsidRPr="005D7866">
        <w:t>c</w:t>
      </w:r>
      <w:r w:rsidR="001B6F9E" w:rsidRPr="005D7866">
        <w:t>omparative r</w:t>
      </w:r>
      <w:r w:rsidR="006F1AA5" w:rsidRPr="005D7866">
        <w:t xml:space="preserve">esults from Study 3770 were only presented for patients randomised to an insulin degludec fixed-flexible dosing regimen, which </w:t>
      </w:r>
      <w:r w:rsidR="00710879" w:rsidRPr="005D7866">
        <w:t>is not likely to</w:t>
      </w:r>
      <w:r w:rsidR="006F1AA5" w:rsidRPr="005D7866">
        <w:t xml:space="preserve"> be applicable the Australian setting.</w:t>
      </w:r>
    </w:p>
    <w:p w14:paraId="34B742C1" w14:textId="4580EE70" w:rsidR="00026C75" w:rsidRPr="005D7866" w:rsidRDefault="004D23A2" w:rsidP="00E208B7">
      <w:pPr>
        <w:pStyle w:val="COMexecsummbulletlist"/>
        <w:numPr>
          <w:ilvl w:val="1"/>
          <w:numId w:val="6"/>
        </w:numPr>
        <w:ind w:left="1434" w:hanging="357"/>
      </w:pPr>
      <w:r w:rsidRPr="005D7866">
        <w:t xml:space="preserve">Studies 3583, 3770, 1835 and 3995 were conducted more than a decade ago, and </w:t>
      </w:r>
      <w:r w:rsidR="00EB5CE5" w:rsidRPr="005D7866">
        <w:t xml:space="preserve">may </w:t>
      </w:r>
      <w:r w:rsidRPr="005D7866">
        <w:t>no longer reflect current clinical practice</w:t>
      </w:r>
      <w:r w:rsidR="00EB5CE5" w:rsidRPr="005D7866">
        <w:t>, with substantial use of CGM</w:t>
      </w:r>
      <w:r w:rsidR="003618D1" w:rsidRPr="005D7866">
        <w:t xml:space="preserve"> affecting monitoring of </w:t>
      </w:r>
      <w:r w:rsidRPr="005D7866">
        <w:t xml:space="preserve">hypoglycaemia episodes </w:t>
      </w:r>
      <w:r w:rsidR="003618D1" w:rsidRPr="005D7866">
        <w:t>and insulin dosing</w:t>
      </w:r>
      <w:r w:rsidR="00080DF3" w:rsidRPr="005D7866">
        <w:t xml:space="preserve"> </w:t>
      </w:r>
      <w:r w:rsidRPr="005D7866">
        <w:t>in the Australian setting.</w:t>
      </w:r>
      <w:r w:rsidR="00DF2127" w:rsidRPr="005D7866">
        <w:t xml:space="preserve"> </w:t>
      </w:r>
    </w:p>
    <w:p w14:paraId="71F18930" w14:textId="150234F9" w:rsidR="00B44484" w:rsidRPr="005D7866" w:rsidRDefault="00B44484" w:rsidP="00E208B7">
      <w:pPr>
        <w:pStyle w:val="COMexecsummbulletlist"/>
      </w:pPr>
      <w:r w:rsidRPr="005D7866">
        <w:t>The clinical evidence supporting the use of insulin degludec in children suggests insulin degludec demonstrates similar efficacy and safety compared to other long-acting insulin analogues. Insulin glargine and other insulin analogues are safely used in children aged ≥1 year</w:t>
      </w:r>
      <w:r w:rsidR="00E15B8E" w:rsidRPr="005D7866">
        <w:rPr>
          <w:rStyle w:val="FootnoteReference"/>
        </w:rPr>
        <w:footnoteReference w:id="2"/>
      </w:r>
      <w:r w:rsidR="009176B5" w:rsidRPr="005D7866">
        <w:t>.</w:t>
      </w:r>
      <w:r w:rsidR="00F771F0" w:rsidRPr="005D7866">
        <w:t xml:space="preserve"> The PSCR stated that the claim relating to age </w:t>
      </w:r>
      <w:r w:rsidR="00F771F0" w:rsidRPr="005D7866">
        <w:lastRenderedPageBreak/>
        <w:t xml:space="preserve">related primarily to the quality of evidence supporting use in younger paediatric patients, </w:t>
      </w:r>
      <w:r w:rsidR="008A0EF4" w:rsidRPr="005D7866">
        <w:t xml:space="preserve">and that for insulin glargine </w:t>
      </w:r>
      <w:r w:rsidR="00CE5846" w:rsidRPr="005D7866">
        <w:t xml:space="preserve">100 IU/mL, </w:t>
      </w:r>
      <w:r w:rsidR="00F771F0" w:rsidRPr="005D7866">
        <w:t xml:space="preserve">the </w:t>
      </w:r>
      <w:r w:rsidR="0011501F" w:rsidRPr="005D7866">
        <w:t xml:space="preserve">evidence in children aged from 2 to 5 years </w:t>
      </w:r>
      <w:r w:rsidR="00D047B4">
        <w:t>was</w:t>
      </w:r>
      <w:r w:rsidR="00D047B4" w:rsidRPr="005D7866">
        <w:t xml:space="preserve"> </w:t>
      </w:r>
      <w:r w:rsidR="0011501F" w:rsidRPr="005D7866">
        <w:t>inconclusive.</w:t>
      </w:r>
      <w:r w:rsidR="007F724F" w:rsidRPr="005D7866">
        <w:t xml:space="preserve"> </w:t>
      </w:r>
      <w:r w:rsidR="007F724F" w:rsidRPr="005D7866">
        <w:rPr>
          <w:szCs w:val="20"/>
        </w:rPr>
        <w:t>The ESC considered that the clinical evidence supporting use of insulin degludec in children suggests that it demonstrates similar efficacy and safety compared to other long-acting insulin analogues. The ESC noted that insulin glargine and other insulin analogues are safely used in children aged ≥1 year, and that the TGA approval for insulin glargine 100 IU/mL does not limit use based on age. The ESC therefore considered that the resubmission’s argument was not supported.</w:t>
      </w:r>
    </w:p>
    <w:p w14:paraId="21956A6F" w14:textId="0B94214C" w:rsidR="00B44484" w:rsidRPr="005D7866" w:rsidRDefault="00B44484" w:rsidP="00E208B7">
      <w:pPr>
        <w:pStyle w:val="COMexecsummbulletlist"/>
      </w:pPr>
      <w:r w:rsidRPr="005D7866">
        <w:t xml:space="preserve">The use of insulin degludec during pregnancy </w:t>
      </w:r>
      <w:r w:rsidR="00006E80">
        <w:t>was</w:t>
      </w:r>
      <w:r w:rsidRPr="005D7866">
        <w:t xml:space="preserve"> under consideration by the TGA</w:t>
      </w:r>
      <w:r w:rsidR="00006E80">
        <w:t xml:space="preserve"> at the time of the ESC meeting</w:t>
      </w:r>
      <w:r w:rsidRPr="005D7866">
        <w:t xml:space="preserve">. The supportive clinical trial (EXACT) presented in the resubmission found insulin degludec was non-inferior to insulin detemir in pregnant women in terms of efficacy and safety.  </w:t>
      </w:r>
      <w:r w:rsidR="008416DF" w:rsidRPr="005D7866">
        <w:t>The PSCR</w:t>
      </w:r>
      <w:r w:rsidR="006545B8" w:rsidRPr="005D7866">
        <w:t xml:space="preserve"> </w:t>
      </w:r>
      <w:r w:rsidR="008416DF" w:rsidRPr="005D7866">
        <w:t xml:space="preserve">stated that the sponsor </w:t>
      </w:r>
      <w:r w:rsidR="00B4006C" w:rsidRPr="005D7866">
        <w:t xml:space="preserve">is </w:t>
      </w:r>
      <w:r w:rsidR="00E16E0B" w:rsidRPr="005D7866">
        <w:t>“</w:t>
      </w:r>
      <w:r w:rsidR="00B4006C" w:rsidRPr="005D7866">
        <w:t xml:space="preserve">not claiming that insulin degludec is any safter than insulin glargine </w:t>
      </w:r>
      <w:r w:rsidR="00E16E0B" w:rsidRPr="005D7866">
        <w:t>[</w:t>
      </w:r>
      <w:r w:rsidR="00B4006C" w:rsidRPr="005D7866">
        <w:t>100 I</w:t>
      </w:r>
      <w:r w:rsidR="00E16E0B" w:rsidRPr="005D7866">
        <w:t>U</w:t>
      </w:r>
      <w:r w:rsidR="00B4006C" w:rsidRPr="005D7866">
        <w:t>/mL</w:t>
      </w:r>
      <w:r w:rsidR="00E16E0B" w:rsidRPr="005D7866">
        <w:t>]</w:t>
      </w:r>
      <w:r w:rsidR="00B4006C" w:rsidRPr="005D7866">
        <w:t xml:space="preserve"> in pregnancy but that its safety is supported by the highest quality randomised controlled trial evidence</w:t>
      </w:r>
      <w:r w:rsidR="00E16E0B" w:rsidRPr="005D7866">
        <w:t xml:space="preserve">”. </w:t>
      </w:r>
      <w:r w:rsidR="006129D9" w:rsidRPr="005D7866">
        <w:t>T</w:t>
      </w:r>
      <w:r w:rsidR="00FB3D92" w:rsidRPr="005D7866">
        <w:t xml:space="preserve">he ESC noted that </w:t>
      </w:r>
      <w:r w:rsidRPr="005D7866">
        <w:t>insulin glargine and other insulin analogues are currently safely used in pregnancy.</w:t>
      </w:r>
    </w:p>
    <w:p w14:paraId="284D9635" w14:textId="0778D0E2" w:rsidR="00227881" w:rsidRDefault="006F1AA5" w:rsidP="00E208B7">
      <w:pPr>
        <w:pStyle w:val="COMexecsummbulletlist"/>
        <w:rPr>
          <w:rFonts w:eastAsia="Calibri"/>
        </w:rPr>
      </w:pPr>
      <w:r w:rsidRPr="005D7866">
        <w:t xml:space="preserve">The </w:t>
      </w:r>
      <w:r w:rsidR="00E85F9D" w:rsidRPr="005D7866">
        <w:t xml:space="preserve">ESC noted that the </w:t>
      </w:r>
      <w:r w:rsidRPr="005D7866">
        <w:t xml:space="preserve">evidence for total daily insulin requirements was not consistent between clinical trials, with some studies showing lower mean total insulin doses for insulin degludec compared to insulin glargine (Studies 3583, 3770, </w:t>
      </w:r>
      <w:proofErr w:type="spellStart"/>
      <w:r w:rsidRPr="005D7866">
        <w:t>HypoDeg</w:t>
      </w:r>
      <w:proofErr w:type="spellEnd"/>
      <w:r w:rsidRPr="005D7866">
        <w:t xml:space="preserve">), and others </w:t>
      </w:r>
      <w:r w:rsidR="0040047E">
        <w:t xml:space="preserve">showing </w:t>
      </w:r>
      <w:r w:rsidRPr="005D7866">
        <w:t>lower insulin glargine dose compared to insulin degludec (Studies 1835, 3995).</w:t>
      </w:r>
      <w:r w:rsidRPr="005D7866">
        <w:rPr>
          <w:rFonts w:eastAsia="Calibri"/>
        </w:rPr>
        <w:t xml:space="preserve"> </w:t>
      </w:r>
      <w:r w:rsidR="00227881" w:rsidRPr="005D7866">
        <w:rPr>
          <w:rFonts w:eastAsia="Calibri"/>
        </w:rPr>
        <w:t xml:space="preserve">The ESC noted that differences in mean insulin dose between insulin degludec and insulin glargine 100 IU/mL varied between the trials but were similar for both treatments. The ESC noted that while results from Study 3770 and Study 3583 (and their extension studies) suggested the daily dose of insulin degludec would be lower than insulin glargine 100 IU/mL, the results of other studies did not. </w:t>
      </w:r>
    </w:p>
    <w:p w14:paraId="664B27A3" w14:textId="41211EDB" w:rsidR="00286315" w:rsidRPr="00BE6750" w:rsidRDefault="00286315" w:rsidP="00E208B7">
      <w:pPr>
        <w:pStyle w:val="COMexecsummnumbered"/>
      </w:pPr>
      <w:r w:rsidRPr="00BE6750">
        <w:rPr>
          <w:rFonts w:eastAsia="Calibri"/>
        </w:rPr>
        <w:t xml:space="preserve">The </w:t>
      </w:r>
      <w:bookmarkStart w:id="34" w:name="_Hlk76376200"/>
      <w:r w:rsidRPr="00BE6750">
        <w:rPr>
          <w:snapToGrid w:val="0"/>
        </w:rPr>
        <w:t xml:space="preserve">PBAC considered that the claim </w:t>
      </w:r>
      <w:r w:rsidR="004B3E00" w:rsidRPr="00BE6750">
        <w:rPr>
          <w:snapToGrid w:val="0"/>
        </w:rPr>
        <w:t xml:space="preserve">that insulin degludec 100 IU/mL has </w:t>
      </w:r>
      <w:r w:rsidR="00F67B7A" w:rsidRPr="00BE6750">
        <w:rPr>
          <w:snapToGrid w:val="0"/>
        </w:rPr>
        <w:t xml:space="preserve">at least </w:t>
      </w:r>
      <w:r w:rsidRPr="00BE6750">
        <w:rPr>
          <w:snapToGrid w:val="0"/>
        </w:rPr>
        <w:t xml:space="preserve">non-inferior comparative effectiveness </w:t>
      </w:r>
      <w:r w:rsidR="004B3E00" w:rsidRPr="00BE6750">
        <w:rPr>
          <w:snapToGrid w:val="0"/>
        </w:rPr>
        <w:t>to insulin glargine 1</w:t>
      </w:r>
      <w:r w:rsidR="00902B89">
        <w:rPr>
          <w:snapToGrid w:val="0"/>
        </w:rPr>
        <w:t>00</w:t>
      </w:r>
      <w:r w:rsidR="004B3E00" w:rsidRPr="00BE6750">
        <w:rPr>
          <w:snapToGrid w:val="0"/>
        </w:rPr>
        <w:t xml:space="preserve"> IU</w:t>
      </w:r>
      <w:r w:rsidR="00BE6750" w:rsidRPr="00BE6750">
        <w:rPr>
          <w:snapToGrid w:val="0"/>
        </w:rPr>
        <w:t xml:space="preserve">/mL </w:t>
      </w:r>
      <w:r w:rsidRPr="00BE6750">
        <w:rPr>
          <w:snapToGrid w:val="0"/>
        </w:rPr>
        <w:t>was reasonable.</w:t>
      </w:r>
    </w:p>
    <w:p w14:paraId="76D004B9" w14:textId="2FAE339D" w:rsidR="00286315" w:rsidRPr="00BE6750" w:rsidRDefault="00286315" w:rsidP="00E208B7">
      <w:pPr>
        <w:pStyle w:val="COMexecsummnumbered"/>
        <w:rPr>
          <w:snapToGrid w:val="0"/>
        </w:rPr>
      </w:pPr>
      <w:r w:rsidRPr="00BE6750">
        <w:rPr>
          <w:snapToGrid w:val="0"/>
        </w:rPr>
        <w:t xml:space="preserve">The PBAC considered that the claim </w:t>
      </w:r>
      <w:r w:rsidR="004B3E00" w:rsidRPr="00BE6750">
        <w:rPr>
          <w:snapToGrid w:val="0"/>
        </w:rPr>
        <w:t>that insulin degludec 100 I</w:t>
      </w:r>
      <w:r w:rsidR="00BE6750" w:rsidRPr="00BE6750">
        <w:rPr>
          <w:snapToGrid w:val="0"/>
        </w:rPr>
        <w:t>U</w:t>
      </w:r>
      <w:r w:rsidR="004B3E00" w:rsidRPr="00BE6750">
        <w:rPr>
          <w:snapToGrid w:val="0"/>
        </w:rPr>
        <w:t>/mL has</w:t>
      </w:r>
      <w:r w:rsidRPr="00BE6750">
        <w:rPr>
          <w:snapToGrid w:val="0"/>
        </w:rPr>
        <w:t xml:space="preserve"> </w:t>
      </w:r>
      <w:r w:rsidR="00F67B7A" w:rsidRPr="00BE6750">
        <w:rPr>
          <w:snapToGrid w:val="0"/>
        </w:rPr>
        <w:t xml:space="preserve">at least non-inferior </w:t>
      </w:r>
      <w:r w:rsidR="00EA7CD4" w:rsidRPr="00BE6750">
        <w:rPr>
          <w:snapToGrid w:val="0"/>
        </w:rPr>
        <w:t xml:space="preserve">comparative </w:t>
      </w:r>
      <w:r w:rsidR="00F67B7A" w:rsidRPr="00BE6750">
        <w:rPr>
          <w:snapToGrid w:val="0"/>
        </w:rPr>
        <w:t>safety compared to insulin glargine</w:t>
      </w:r>
      <w:r w:rsidR="00EA7CD4" w:rsidRPr="00BE6750">
        <w:rPr>
          <w:snapToGrid w:val="0"/>
        </w:rPr>
        <w:t xml:space="preserve"> </w:t>
      </w:r>
      <w:r w:rsidR="00F67B7A" w:rsidRPr="00BE6750">
        <w:rPr>
          <w:snapToGrid w:val="0"/>
        </w:rPr>
        <w:t>100 IU/mL</w:t>
      </w:r>
      <w:r w:rsidR="00C20CE6" w:rsidRPr="00BE6750">
        <w:rPr>
          <w:snapToGrid w:val="0"/>
        </w:rPr>
        <w:t xml:space="preserve"> was reasonable</w:t>
      </w:r>
      <w:r w:rsidRPr="00BE6750">
        <w:rPr>
          <w:snapToGrid w:val="0"/>
        </w:rPr>
        <w:t>.</w:t>
      </w:r>
    </w:p>
    <w:p w14:paraId="74A1172E" w14:textId="128C170E" w:rsidR="00B60939" w:rsidRPr="004F11AC" w:rsidRDefault="00B60939" w:rsidP="00E208B7">
      <w:pPr>
        <w:pStyle w:val="COMH2-non-numbered"/>
      </w:pPr>
      <w:bookmarkStart w:id="35" w:name="_Toc22897645"/>
      <w:bookmarkStart w:id="36" w:name="_Toc197595420"/>
      <w:bookmarkEnd w:id="34"/>
      <w:r w:rsidRPr="004F11AC">
        <w:t>Economic analysis</w:t>
      </w:r>
      <w:bookmarkEnd w:id="35"/>
      <w:bookmarkEnd w:id="36"/>
      <w:r w:rsidR="00491B3A" w:rsidRPr="004F11AC">
        <w:t xml:space="preserve"> </w:t>
      </w:r>
    </w:p>
    <w:p w14:paraId="5CAD7707" w14:textId="77777777" w:rsidR="00280138" w:rsidRPr="005D7866" w:rsidRDefault="00793162" w:rsidP="00E208B7">
      <w:pPr>
        <w:jc w:val="left"/>
        <w:rPr>
          <w:rFonts w:ascii="Arial Narrow" w:eastAsiaTheme="majorEastAsia" w:hAnsi="Arial Narrow" w:cs="Times New Roman"/>
          <w:b/>
          <w:sz w:val="20"/>
        </w:rPr>
      </w:pPr>
      <w:bookmarkStart w:id="37" w:name="_Ref203734876"/>
      <w:r w:rsidRPr="004F11AC">
        <w:t>The resubmission presented a simple cost consequences analysis, listing the comparative per-unit costs of insulin degludec 100 IU/mL versus insulin glargine 100</w:t>
      </w:r>
      <w:r w:rsidR="00F26C86" w:rsidRPr="004F11AC">
        <w:t> </w:t>
      </w:r>
      <w:r w:rsidRPr="004F11AC">
        <w:t xml:space="preserve">IU/mL, and the potential advantages of insulin degludec to the target population of T1D patients, if insulin degludec were listed on the PBS. </w:t>
      </w:r>
      <w:r w:rsidR="00B922B7" w:rsidRPr="004F11AC">
        <w:t>The PBAC Guidelines state that, g</w:t>
      </w:r>
      <w:r w:rsidR="00D933F9" w:rsidRPr="004F11AC">
        <w:t>enerally, a cost</w:t>
      </w:r>
      <w:r w:rsidR="000F651D" w:rsidRPr="004F11AC">
        <w:t xml:space="preserve"> </w:t>
      </w:r>
      <w:r w:rsidR="00D933F9" w:rsidRPr="004F11AC">
        <w:t xml:space="preserve">consequences analysis should not be presented on its </w:t>
      </w:r>
      <w:r w:rsidR="00987506" w:rsidRPr="004F11AC">
        <w:t>own but</w:t>
      </w:r>
      <w:r w:rsidR="00D933F9" w:rsidRPr="004F11AC">
        <w:t xml:space="preserve"> may be useful as a supplementary or preliminary analysis to a cost-effectiveness </w:t>
      </w:r>
      <w:r w:rsidR="00721BF2" w:rsidRPr="004F11AC">
        <w:t xml:space="preserve">or cost-utility </w:t>
      </w:r>
      <w:r w:rsidR="00D933F9" w:rsidRPr="004F11AC">
        <w:t xml:space="preserve">analysis (PBAC </w:t>
      </w:r>
      <w:r w:rsidR="00D933F9" w:rsidRPr="004F11AC">
        <w:lastRenderedPageBreak/>
        <w:t xml:space="preserve">Guidelines V5.0, p64). </w:t>
      </w:r>
      <w:r w:rsidR="00D933F9" w:rsidRPr="005D7866">
        <w:t xml:space="preserve">The </w:t>
      </w:r>
      <w:r w:rsidR="00544E45" w:rsidRPr="005D7866">
        <w:t xml:space="preserve">evaluation and the ESC considered that </w:t>
      </w:r>
      <w:r w:rsidR="00D933F9" w:rsidRPr="005D7866">
        <w:t>use of a cost</w:t>
      </w:r>
      <w:r w:rsidR="000F651D" w:rsidRPr="005D7866">
        <w:t xml:space="preserve"> </w:t>
      </w:r>
      <w:r w:rsidR="00D933F9" w:rsidRPr="005D7866">
        <w:t>consequences analysis was not adequately justified</w:t>
      </w:r>
      <w:r w:rsidR="00721BF2" w:rsidRPr="005D7866">
        <w:t xml:space="preserve"> in the resubmission.</w:t>
      </w:r>
      <w:bookmarkEnd w:id="37"/>
      <w:r w:rsidRPr="005D7866">
        <w:fldChar w:fldCharType="begin"/>
      </w:r>
      <w:r w:rsidRPr="005D7866">
        <w:instrText xml:space="preserve"> REF _Ref196221689 \h </w:instrText>
      </w:r>
      <w:r w:rsidR="005D7866">
        <w:instrText xml:space="preserve"> \* MERGEFORMAT </w:instrText>
      </w:r>
      <w:r w:rsidRPr="005D7866">
        <w:fldChar w:fldCharType="separate"/>
      </w:r>
    </w:p>
    <w:p w14:paraId="026691EF" w14:textId="1F8CE4EE" w:rsidR="00793162" w:rsidRPr="007121AC" w:rsidRDefault="00280138" w:rsidP="00E208B7">
      <w:pPr>
        <w:pStyle w:val="COMexecsummnumbered"/>
      </w:pPr>
      <w:r w:rsidRPr="005D7866">
        <w:t xml:space="preserve">Table </w:t>
      </w:r>
      <w:r>
        <w:rPr>
          <w:noProof/>
        </w:rPr>
        <w:t>9</w:t>
      </w:r>
      <w:r w:rsidR="00793162" w:rsidRPr="005D7866">
        <w:fldChar w:fldCharType="end"/>
      </w:r>
      <w:r w:rsidR="00793162" w:rsidRPr="005D7866">
        <w:t xml:space="preserve"> summarises the cost-consequences analysis presented in the </w:t>
      </w:r>
      <w:r w:rsidR="00553EB9" w:rsidRPr="005D7866">
        <w:t>resubmission</w:t>
      </w:r>
      <w:r w:rsidR="00793162" w:rsidRPr="005D7866">
        <w:t>.</w:t>
      </w:r>
    </w:p>
    <w:p w14:paraId="68387C51" w14:textId="495625F9" w:rsidR="00E408E3" w:rsidRPr="005D7866" w:rsidRDefault="00E408E3" w:rsidP="00E208B7">
      <w:pPr>
        <w:jc w:val="left"/>
        <w:rPr>
          <w:rFonts w:ascii="Arial Narrow" w:eastAsiaTheme="majorEastAsia" w:hAnsi="Arial Narrow" w:cs="Times New Roman"/>
          <w:b/>
          <w:sz w:val="20"/>
        </w:rPr>
      </w:pPr>
      <w:bookmarkStart w:id="38" w:name="_Ref196221689"/>
    </w:p>
    <w:p w14:paraId="5BBD9058" w14:textId="7ADC95A5" w:rsidR="00C6510B" w:rsidRPr="005D7866" w:rsidRDefault="00C6510B" w:rsidP="00E208B7">
      <w:pPr>
        <w:pStyle w:val="COMTableheadingrow"/>
        <w:rPr>
          <w:lang w:val="en-AU"/>
        </w:rPr>
      </w:pPr>
      <w:r w:rsidRPr="005D7866">
        <w:rPr>
          <w:lang w:val="en-AU"/>
        </w:rPr>
        <w:t xml:space="preserve">Table </w:t>
      </w:r>
      <w:r w:rsidRPr="005D7866">
        <w:rPr>
          <w:lang w:val="en-AU"/>
        </w:rPr>
        <w:fldChar w:fldCharType="begin"/>
      </w:r>
      <w:r w:rsidRPr="005D7866">
        <w:rPr>
          <w:lang w:val="en-AU"/>
        </w:rPr>
        <w:instrText xml:space="preserve"> SEQ Table \* ARABIC </w:instrText>
      </w:r>
      <w:r w:rsidRPr="005D7866">
        <w:rPr>
          <w:lang w:val="en-AU"/>
        </w:rPr>
        <w:fldChar w:fldCharType="separate"/>
      </w:r>
      <w:r w:rsidR="00280138">
        <w:rPr>
          <w:noProof/>
          <w:lang w:val="en-AU"/>
        </w:rPr>
        <w:t>9</w:t>
      </w:r>
      <w:r w:rsidRPr="005D7866">
        <w:rPr>
          <w:lang w:val="en-AU"/>
        </w:rPr>
        <w:fldChar w:fldCharType="end"/>
      </w:r>
      <w:bookmarkEnd w:id="38"/>
      <w:r w:rsidRPr="005D7866">
        <w:rPr>
          <w:lang w:val="en-AU"/>
        </w:rPr>
        <w:t>: Cost consequence</w:t>
      </w:r>
      <w:r w:rsidR="00C166C1" w:rsidRPr="005D7866">
        <w:rPr>
          <w:lang w:val="en-AU"/>
        </w:rPr>
        <w:t>s</w:t>
      </w:r>
      <w:r w:rsidRPr="005D7866">
        <w:rPr>
          <w:lang w:val="en-AU"/>
        </w:rPr>
        <w:t xml:space="preserve"> analysis</w:t>
      </w:r>
    </w:p>
    <w:tbl>
      <w:tblPr>
        <w:tblStyle w:val="TableGrid"/>
        <w:tblW w:w="5000" w:type="pct"/>
        <w:tblLook w:val="04A0" w:firstRow="1" w:lastRow="0" w:firstColumn="1" w:lastColumn="0" w:noHBand="0" w:noVBand="1"/>
        <w:tblCaption w:val="Table 9: Cost consequences analysis"/>
      </w:tblPr>
      <w:tblGrid>
        <w:gridCol w:w="2254"/>
        <w:gridCol w:w="2254"/>
        <w:gridCol w:w="2254"/>
        <w:gridCol w:w="2255"/>
      </w:tblGrid>
      <w:tr w:rsidR="00BA0730" w:rsidRPr="005D7866" w14:paraId="2015071A" w14:textId="77777777">
        <w:tc>
          <w:tcPr>
            <w:tcW w:w="2254" w:type="dxa"/>
          </w:tcPr>
          <w:p w14:paraId="12576C2B" w14:textId="77777777" w:rsidR="00C6510B" w:rsidRPr="005D7866" w:rsidRDefault="00C6510B" w:rsidP="00E208B7">
            <w:pPr>
              <w:pStyle w:val="COMTabletext"/>
            </w:pPr>
          </w:p>
        </w:tc>
        <w:tc>
          <w:tcPr>
            <w:tcW w:w="2254" w:type="dxa"/>
            <w:vAlign w:val="center"/>
          </w:tcPr>
          <w:p w14:paraId="3EDD6C30" w14:textId="77777777" w:rsidR="00C6510B" w:rsidRPr="005D7866" w:rsidRDefault="00C6510B" w:rsidP="00E208B7">
            <w:pPr>
              <w:pStyle w:val="COMTabletext"/>
              <w:jc w:val="center"/>
              <w:rPr>
                <w:b/>
                <w:bCs w:val="0"/>
              </w:rPr>
            </w:pPr>
            <w:r w:rsidRPr="005D7866">
              <w:rPr>
                <w:b/>
                <w:bCs w:val="0"/>
              </w:rPr>
              <w:t>Insulin degludec</w:t>
            </w:r>
          </w:p>
        </w:tc>
        <w:tc>
          <w:tcPr>
            <w:tcW w:w="2254" w:type="dxa"/>
            <w:vAlign w:val="center"/>
          </w:tcPr>
          <w:p w14:paraId="4F8C3A9D" w14:textId="77777777" w:rsidR="00C6510B" w:rsidRPr="005D7866" w:rsidRDefault="00C6510B" w:rsidP="00E208B7">
            <w:pPr>
              <w:pStyle w:val="COMTabletext"/>
              <w:jc w:val="center"/>
              <w:rPr>
                <w:b/>
                <w:bCs w:val="0"/>
              </w:rPr>
            </w:pPr>
            <w:r w:rsidRPr="005D7866">
              <w:rPr>
                <w:b/>
                <w:bCs w:val="0"/>
              </w:rPr>
              <w:t>Insulin glargine</w:t>
            </w:r>
          </w:p>
        </w:tc>
        <w:tc>
          <w:tcPr>
            <w:tcW w:w="2255" w:type="dxa"/>
            <w:vAlign w:val="center"/>
          </w:tcPr>
          <w:p w14:paraId="51B17652" w14:textId="77777777" w:rsidR="00C6510B" w:rsidRPr="005D7866" w:rsidRDefault="00C6510B" w:rsidP="00E208B7">
            <w:pPr>
              <w:pStyle w:val="COMTabletext"/>
              <w:jc w:val="center"/>
              <w:rPr>
                <w:b/>
                <w:bCs w:val="0"/>
              </w:rPr>
            </w:pPr>
            <w:r w:rsidRPr="005D7866">
              <w:rPr>
                <w:b/>
                <w:bCs w:val="0"/>
              </w:rPr>
              <w:t>Increment</w:t>
            </w:r>
          </w:p>
        </w:tc>
      </w:tr>
      <w:tr w:rsidR="00BA0730" w:rsidRPr="005D7866" w14:paraId="56B9E34D" w14:textId="77777777">
        <w:tc>
          <w:tcPr>
            <w:tcW w:w="9017" w:type="dxa"/>
            <w:gridSpan w:val="4"/>
          </w:tcPr>
          <w:p w14:paraId="61BE25B8" w14:textId="77777777" w:rsidR="00C6510B" w:rsidRPr="005D7866" w:rsidRDefault="00C6510B" w:rsidP="00E208B7">
            <w:pPr>
              <w:pStyle w:val="COMTabletext"/>
              <w:rPr>
                <w:b/>
                <w:bCs w:val="0"/>
              </w:rPr>
            </w:pPr>
            <w:r w:rsidRPr="005D7866">
              <w:rPr>
                <w:b/>
                <w:bCs w:val="0"/>
              </w:rPr>
              <w:t xml:space="preserve">Costs </w:t>
            </w:r>
          </w:p>
        </w:tc>
      </w:tr>
      <w:tr w:rsidR="00BA0730" w:rsidRPr="005D7866" w14:paraId="78224DFF" w14:textId="77777777">
        <w:tc>
          <w:tcPr>
            <w:tcW w:w="2254" w:type="dxa"/>
          </w:tcPr>
          <w:p w14:paraId="3451EA8C" w14:textId="77777777" w:rsidR="00C6510B" w:rsidRPr="005D7866" w:rsidRDefault="00C6510B" w:rsidP="00E208B7">
            <w:pPr>
              <w:pStyle w:val="COMTabletext"/>
            </w:pPr>
            <w:r w:rsidRPr="005D7866">
              <w:t>DPMQ for 7,500 IU</w:t>
            </w:r>
          </w:p>
        </w:tc>
        <w:tc>
          <w:tcPr>
            <w:tcW w:w="2254" w:type="dxa"/>
            <w:vAlign w:val="center"/>
          </w:tcPr>
          <w:p w14:paraId="459FD413" w14:textId="3DF1C332" w:rsidR="00C6510B" w:rsidRPr="005D7866" w:rsidRDefault="002955A9" w:rsidP="00E208B7">
            <w:pPr>
              <w:pStyle w:val="COMTabletext"/>
              <w:jc w:val="center"/>
            </w:pPr>
            <w:r w:rsidRPr="005D7866">
              <w:t>$</w:t>
            </w:r>
            <w:r w:rsidR="003367FF" w:rsidRPr="003367FF">
              <w:rPr>
                <w:color w:val="000000"/>
                <w:spacing w:val="53"/>
                <w:shd w:val="solid" w:color="000000" w:fill="000000"/>
                <w:fitText w:val="330" w:id="-628903153"/>
                <w14:textFill>
                  <w14:solidFill>
                    <w14:srgbClr w14:val="000000">
                      <w14:alpha w14:val="100000"/>
                    </w14:srgbClr>
                  </w14:solidFill>
                </w14:textFill>
              </w:rPr>
              <w:t>|||</w:t>
            </w:r>
            <w:r w:rsidR="003367FF" w:rsidRPr="003367FF">
              <w:rPr>
                <w:color w:val="000000"/>
                <w:spacing w:val="1"/>
                <w:shd w:val="solid" w:color="000000" w:fill="000000"/>
                <w:fitText w:val="330" w:id="-628903153"/>
                <w14:textFill>
                  <w14:solidFill>
                    <w14:srgbClr w14:val="000000">
                      <w14:alpha w14:val="100000"/>
                    </w14:srgbClr>
                  </w14:solidFill>
                </w14:textFill>
              </w:rPr>
              <w:t>|</w:t>
            </w:r>
            <w:r w:rsidRPr="005D7866">
              <w:t xml:space="preserve"> </w:t>
            </w:r>
            <w:r w:rsidR="007E36CD" w:rsidRPr="005D7866">
              <w:t xml:space="preserve">or </w:t>
            </w:r>
            <w:r w:rsidR="00C6510B" w:rsidRPr="005D7866">
              <w:t>$</w:t>
            </w:r>
            <w:r w:rsidR="003367FF" w:rsidRPr="003367FF">
              <w:rPr>
                <w:color w:val="000000"/>
                <w:spacing w:val="53"/>
                <w:shd w:val="solid" w:color="000000" w:fill="000000"/>
                <w:fitText w:val="330" w:id="-628903152"/>
                <w14:textFill>
                  <w14:solidFill>
                    <w14:srgbClr w14:val="000000">
                      <w14:alpha w14:val="100000"/>
                    </w14:srgbClr>
                  </w14:solidFill>
                </w14:textFill>
              </w:rPr>
              <w:t>|||</w:t>
            </w:r>
            <w:r w:rsidR="003367FF" w:rsidRPr="003367FF">
              <w:rPr>
                <w:color w:val="000000"/>
                <w:spacing w:val="1"/>
                <w:shd w:val="solid" w:color="000000" w:fill="000000"/>
                <w:fitText w:val="330" w:id="-628903152"/>
                <w14:textFill>
                  <w14:solidFill>
                    <w14:srgbClr w14:val="000000">
                      <w14:alpha w14:val="100000"/>
                    </w14:srgbClr>
                  </w14:solidFill>
                </w14:textFill>
              </w:rPr>
              <w:t>|</w:t>
            </w:r>
            <w:r w:rsidR="00C6510B" w:rsidRPr="005D7866">
              <w:rPr>
                <w:vertAlign w:val="superscript"/>
              </w:rPr>
              <w:t>a</w:t>
            </w:r>
          </w:p>
        </w:tc>
        <w:tc>
          <w:tcPr>
            <w:tcW w:w="2254" w:type="dxa"/>
            <w:vAlign w:val="center"/>
          </w:tcPr>
          <w:p w14:paraId="1F97C73A" w14:textId="77777777" w:rsidR="00C6510B" w:rsidRPr="005D7866" w:rsidRDefault="00C6510B" w:rsidP="00E208B7">
            <w:pPr>
              <w:pStyle w:val="COMTabletext"/>
              <w:jc w:val="center"/>
            </w:pPr>
            <w:r w:rsidRPr="005D7866">
              <w:t>$187.42</w:t>
            </w:r>
          </w:p>
        </w:tc>
        <w:tc>
          <w:tcPr>
            <w:tcW w:w="2255" w:type="dxa"/>
            <w:vAlign w:val="center"/>
          </w:tcPr>
          <w:p w14:paraId="1CC2CC3F" w14:textId="1F14048A" w:rsidR="00C6510B" w:rsidRPr="005D7866" w:rsidRDefault="00C6510B" w:rsidP="00E208B7">
            <w:pPr>
              <w:pStyle w:val="COMTabletext"/>
              <w:jc w:val="center"/>
            </w:pPr>
            <w:r w:rsidRPr="005D7866">
              <w:t>$</w:t>
            </w:r>
            <w:r w:rsidR="003367FF" w:rsidRPr="003367FF">
              <w:rPr>
                <w:color w:val="000000"/>
                <w:spacing w:val="53"/>
                <w:shd w:val="solid" w:color="000000" w:fill="000000"/>
                <w:fitText w:val="330" w:id="-628903168"/>
                <w14:textFill>
                  <w14:solidFill>
                    <w14:srgbClr w14:val="000000">
                      <w14:alpha w14:val="100000"/>
                    </w14:srgbClr>
                  </w14:solidFill>
                </w14:textFill>
              </w:rPr>
              <w:t>|||</w:t>
            </w:r>
            <w:r w:rsidR="003367FF" w:rsidRPr="003367FF">
              <w:rPr>
                <w:color w:val="000000"/>
                <w:spacing w:val="1"/>
                <w:shd w:val="solid" w:color="000000" w:fill="000000"/>
                <w:fitText w:val="330" w:id="-628903168"/>
                <w14:textFill>
                  <w14:solidFill>
                    <w14:srgbClr w14:val="000000">
                      <w14:alpha w14:val="100000"/>
                    </w14:srgbClr>
                  </w14:solidFill>
                </w14:textFill>
              </w:rPr>
              <w:t>|</w:t>
            </w:r>
          </w:p>
        </w:tc>
      </w:tr>
      <w:tr w:rsidR="00BA0730" w:rsidRPr="005D7866" w14:paraId="2EB006FF" w14:textId="77777777">
        <w:tc>
          <w:tcPr>
            <w:tcW w:w="9017" w:type="dxa"/>
            <w:gridSpan w:val="4"/>
          </w:tcPr>
          <w:p w14:paraId="571729EB" w14:textId="77777777" w:rsidR="00C6510B" w:rsidRPr="005D7866" w:rsidRDefault="00C6510B" w:rsidP="00E208B7">
            <w:pPr>
              <w:pStyle w:val="COMTabletext"/>
              <w:rPr>
                <w:b/>
                <w:bCs w:val="0"/>
              </w:rPr>
            </w:pPr>
            <w:r w:rsidRPr="005D7866">
              <w:rPr>
                <w:b/>
                <w:bCs w:val="0"/>
              </w:rPr>
              <w:t>Consequences</w:t>
            </w:r>
          </w:p>
        </w:tc>
      </w:tr>
      <w:tr w:rsidR="00BA0730" w:rsidRPr="005D7866" w14:paraId="175E878A" w14:textId="77777777">
        <w:tc>
          <w:tcPr>
            <w:tcW w:w="9017" w:type="dxa"/>
            <w:gridSpan w:val="4"/>
            <w:vAlign w:val="center"/>
          </w:tcPr>
          <w:p w14:paraId="32092A52" w14:textId="77777777" w:rsidR="00C6510B" w:rsidRPr="005D7866" w:rsidRDefault="00C6510B" w:rsidP="00E208B7">
            <w:pPr>
              <w:pStyle w:val="TableBullets"/>
              <w:numPr>
                <w:ilvl w:val="0"/>
                <w:numId w:val="18"/>
              </w:numPr>
              <w:ind w:left="170" w:hanging="170"/>
              <w:rPr>
                <w:rFonts w:ascii="Arial Narrow" w:hAnsi="Arial Narrow"/>
              </w:rPr>
            </w:pPr>
            <w:r w:rsidRPr="005D7866">
              <w:rPr>
                <w:rFonts w:ascii="Arial Narrow" w:hAnsi="Arial Narrow"/>
              </w:rPr>
              <w:t>At least non-inferior glycaemic control.</w:t>
            </w:r>
          </w:p>
          <w:p w14:paraId="24A962C8" w14:textId="77777777" w:rsidR="00C6510B" w:rsidRPr="005D7866" w:rsidRDefault="00C6510B" w:rsidP="00E208B7">
            <w:pPr>
              <w:pStyle w:val="TableBullets"/>
              <w:numPr>
                <w:ilvl w:val="0"/>
                <w:numId w:val="18"/>
              </w:numPr>
              <w:ind w:left="170" w:hanging="170"/>
              <w:rPr>
                <w:rFonts w:ascii="Arial Narrow" w:hAnsi="Arial Narrow"/>
              </w:rPr>
            </w:pPr>
            <w:r w:rsidRPr="005D7866">
              <w:rPr>
                <w:rFonts w:ascii="Arial Narrow" w:hAnsi="Arial Narrow"/>
              </w:rPr>
              <w:t xml:space="preserve">Lower rates of overall and nocturnal hypoglycaemia. </w:t>
            </w:r>
          </w:p>
          <w:p w14:paraId="113F6814" w14:textId="77777777" w:rsidR="00C6510B" w:rsidRPr="005D7866" w:rsidRDefault="00C6510B" w:rsidP="00E208B7">
            <w:pPr>
              <w:pStyle w:val="TableBullets"/>
              <w:numPr>
                <w:ilvl w:val="0"/>
                <w:numId w:val="18"/>
              </w:numPr>
              <w:ind w:left="170" w:hanging="170"/>
              <w:rPr>
                <w:rFonts w:ascii="Arial Narrow" w:hAnsi="Arial Narrow"/>
              </w:rPr>
            </w:pPr>
            <w:r w:rsidRPr="005D7866">
              <w:rPr>
                <w:rFonts w:ascii="Arial Narrow" w:hAnsi="Arial Narrow"/>
              </w:rPr>
              <w:t xml:space="preserve">Pharmacological profile with longer half-life and less day-to-day variability, more flexibility in relation to dose timing and associated improvements in adherence. </w:t>
            </w:r>
          </w:p>
          <w:p w14:paraId="48887D70" w14:textId="5E46B92E" w:rsidR="00C6510B" w:rsidRPr="005D7866" w:rsidRDefault="000F568D" w:rsidP="00E208B7">
            <w:pPr>
              <w:pStyle w:val="TableBullets"/>
              <w:numPr>
                <w:ilvl w:val="0"/>
                <w:numId w:val="18"/>
              </w:numPr>
              <w:ind w:left="170" w:hanging="170"/>
              <w:rPr>
                <w:rFonts w:ascii="Arial Narrow" w:hAnsi="Arial Narrow"/>
              </w:rPr>
            </w:pPr>
            <w:r w:rsidRPr="005D7866">
              <w:rPr>
                <w:rFonts w:ascii="Arial Narrow" w:hAnsi="Arial Narrow"/>
              </w:rPr>
              <w:t>Typically,</w:t>
            </w:r>
            <w:r w:rsidR="00C6510B" w:rsidRPr="005D7866">
              <w:rPr>
                <w:rFonts w:ascii="Arial Narrow" w:hAnsi="Arial Narrow"/>
              </w:rPr>
              <w:t xml:space="preserve"> lower total daily dose requirements when used in a treat to target regimen.</w:t>
            </w:r>
          </w:p>
          <w:p w14:paraId="3741180A" w14:textId="77777777" w:rsidR="00C6510B" w:rsidRPr="005D7866" w:rsidRDefault="00C6510B" w:rsidP="00E208B7">
            <w:pPr>
              <w:pStyle w:val="TableBullets"/>
              <w:numPr>
                <w:ilvl w:val="0"/>
                <w:numId w:val="18"/>
              </w:numPr>
              <w:ind w:left="170" w:hanging="170"/>
              <w:rPr>
                <w:rFonts w:ascii="Arial Narrow" w:hAnsi="Arial Narrow"/>
              </w:rPr>
            </w:pPr>
            <w:r w:rsidRPr="005D7866">
              <w:rPr>
                <w:rFonts w:ascii="Arial Narrow" w:hAnsi="Arial Narrow"/>
              </w:rPr>
              <w:t>Acceptable adverse event profile similar to other long-acting insulins.</w:t>
            </w:r>
          </w:p>
          <w:p w14:paraId="5744161E" w14:textId="77777777" w:rsidR="00C6510B" w:rsidRPr="005D7866" w:rsidRDefault="00C6510B" w:rsidP="00E208B7">
            <w:pPr>
              <w:pStyle w:val="TableBullets"/>
              <w:numPr>
                <w:ilvl w:val="0"/>
                <w:numId w:val="18"/>
              </w:numPr>
              <w:ind w:left="170" w:hanging="170"/>
              <w:rPr>
                <w:rFonts w:ascii="Arial Narrow" w:hAnsi="Arial Narrow"/>
              </w:rPr>
            </w:pPr>
            <w:r w:rsidRPr="005D7866">
              <w:rPr>
                <w:rFonts w:ascii="Arial Narrow" w:hAnsi="Arial Narrow"/>
              </w:rPr>
              <w:t xml:space="preserve">Treatment for children aged </w:t>
            </w:r>
            <w:r w:rsidRPr="005D7866">
              <w:rPr>
                <w:rFonts w:ascii="Arial Narrow" w:hAnsi="Arial Narrow" w:cs="Calibri"/>
              </w:rPr>
              <w:t>≥</w:t>
            </w:r>
            <w:r w:rsidRPr="005D7866">
              <w:rPr>
                <w:rFonts w:ascii="Arial Narrow" w:hAnsi="Arial Narrow"/>
              </w:rPr>
              <w:t>1 year.</w:t>
            </w:r>
          </w:p>
          <w:p w14:paraId="6A11589C" w14:textId="77777777" w:rsidR="00C6510B" w:rsidRPr="005D7866" w:rsidRDefault="00C6510B" w:rsidP="00E208B7">
            <w:pPr>
              <w:pStyle w:val="TableBullets"/>
              <w:numPr>
                <w:ilvl w:val="0"/>
                <w:numId w:val="18"/>
              </w:numPr>
              <w:ind w:left="170" w:hanging="170"/>
              <w:rPr>
                <w:rFonts w:ascii="Arial Narrow" w:hAnsi="Arial Narrow"/>
              </w:rPr>
            </w:pPr>
            <w:r w:rsidRPr="005D7866">
              <w:rPr>
                <w:rFonts w:ascii="Arial Narrow" w:hAnsi="Arial Narrow"/>
              </w:rPr>
              <w:t>An effective and safe option for diabetes in pregnancy based on high clinical trial evidence in pregnant women with T1D.</w:t>
            </w:r>
          </w:p>
          <w:p w14:paraId="36813F1A" w14:textId="77777777" w:rsidR="00C6510B" w:rsidRPr="005D7866" w:rsidRDefault="00C6510B" w:rsidP="00E208B7">
            <w:pPr>
              <w:pStyle w:val="TableBullets"/>
              <w:numPr>
                <w:ilvl w:val="0"/>
                <w:numId w:val="18"/>
              </w:numPr>
              <w:ind w:left="170" w:hanging="170"/>
              <w:rPr>
                <w:rFonts w:ascii="Arial Narrow" w:hAnsi="Arial Narrow"/>
              </w:rPr>
            </w:pPr>
            <w:r w:rsidRPr="005D7866">
              <w:rPr>
                <w:rFonts w:ascii="Arial Narrow" w:hAnsi="Arial Narrow"/>
              </w:rPr>
              <w:t xml:space="preserve">Availability of various pen devices, including </w:t>
            </w:r>
            <w:proofErr w:type="spellStart"/>
            <w:r w:rsidRPr="005D7866">
              <w:rPr>
                <w:rFonts w:ascii="Arial Narrow" w:hAnsi="Arial Narrow"/>
              </w:rPr>
              <w:t>NovoPen</w:t>
            </w:r>
            <w:proofErr w:type="spellEnd"/>
            <w:r w:rsidRPr="005D7866">
              <w:rPr>
                <w:rFonts w:ascii="Arial Narrow" w:hAnsi="Arial Narrow"/>
              </w:rPr>
              <w:t>® 6 which is a connected durable device to aid patient safety.</w:t>
            </w:r>
          </w:p>
        </w:tc>
      </w:tr>
    </w:tbl>
    <w:p w14:paraId="20826A5D" w14:textId="77777777" w:rsidR="00C6510B" w:rsidRPr="005D7866" w:rsidRDefault="00C6510B" w:rsidP="00E208B7">
      <w:pPr>
        <w:pStyle w:val="COMTablefooter"/>
      </w:pPr>
      <w:r w:rsidRPr="005D7866">
        <w:t xml:space="preserve">Source: Table 3-1, p93 of the resubmission. </w:t>
      </w:r>
    </w:p>
    <w:p w14:paraId="46373239" w14:textId="306D9B0C" w:rsidR="00C6510B" w:rsidRPr="005D7866" w:rsidRDefault="00C6510B" w:rsidP="00E208B7">
      <w:pPr>
        <w:pStyle w:val="COMTablefooter"/>
      </w:pPr>
      <w:r w:rsidRPr="005D7866">
        <w:t xml:space="preserve">Abbreviations: DPMQ, dispensed price for maximum quantity; </w:t>
      </w:r>
      <w:r w:rsidR="008E048A" w:rsidRPr="005D7866">
        <w:t xml:space="preserve">EMP, ex-manufacturer price; </w:t>
      </w:r>
      <w:r w:rsidRPr="005D7866">
        <w:t xml:space="preserve">IU, International Units; T1D, type 1 diabetes. </w:t>
      </w:r>
    </w:p>
    <w:p w14:paraId="4E8E96A3" w14:textId="7C00B43C" w:rsidR="00C6510B" w:rsidRPr="005D7866" w:rsidRDefault="00C6510B" w:rsidP="00E208B7">
      <w:pPr>
        <w:pStyle w:val="COMTablefooter"/>
      </w:pPr>
      <w:proofErr w:type="spellStart"/>
      <w:r w:rsidRPr="005D7866">
        <w:rPr>
          <w:vertAlign w:val="superscript"/>
        </w:rPr>
        <w:t>a</w:t>
      </w:r>
      <w:proofErr w:type="spellEnd"/>
      <w:r w:rsidRPr="005D7866">
        <w:t xml:space="preserve"> </w:t>
      </w:r>
      <w:r w:rsidR="004370C7" w:rsidRPr="004370C7">
        <w:t>The effective DPMQ proposed in the resubmission of $</w:t>
      </w:r>
      <w:r w:rsidR="003367FF" w:rsidRPr="003367FF">
        <w:rPr>
          <w:color w:val="000000"/>
          <w:spacing w:val="40"/>
          <w:shd w:val="solid" w:color="000000" w:fill="000000"/>
          <w:fitText w:val="280" w:id="-628903167"/>
          <w14:textFill>
            <w14:solidFill>
              <w14:srgbClr w14:val="000000">
                <w14:alpha w14:val="100000"/>
              </w14:srgbClr>
            </w14:solidFill>
          </w14:textFill>
        </w:rPr>
        <w:t xml:space="preserve">|  </w:t>
      </w:r>
      <w:r w:rsidR="003367FF" w:rsidRPr="003367FF">
        <w:rPr>
          <w:color w:val="000000"/>
          <w:spacing w:val="2"/>
          <w:shd w:val="solid" w:color="000000" w:fill="000000"/>
          <w:fitText w:val="280" w:id="-628903167"/>
          <w14:textFill>
            <w14:solidFill>
              <w14:srgbClr w14:val="000000">
                <w14:alpha w14:val="100000"/>
              </w14:srgbClr>
            </w14:solidFill>
          </w14:textFill>
        </w:rPr>
        <w:t>|</w:t>
      </w:r>
      <w:r w:rsidR="004370C7" w:rsidRPr="004370C7">
        <w:t xml:space="preserve"> included markups calculated based on an EMP of $</w:t>
      </w:r>
      <w:r w:rsidR="003367FF" w:rsidRPr="003367FF">
        <w:rPr>
          <w:color w:val="000000"/>
          <w:spacing w:val="35"/>
          <w:shd w:val="solid" w:color="000000" w:fill="000000"/>
          <w:fitText w:val="265" w:id="-628903166"/>
          <w14:textFill>
            <w14:solidFill>
              <w14:srgbClr w14:val="000000">
                <w14:alpha w14:val="100000"/>
              </w14:srgbClr>
            </w14:solidFill>
          </w14:textFill>
        </w:rPr>
        <w:t xml:space="preserve">|  </w:t>
      </w:r>
      <w:r w:rsidR="003367FF" w:rsidRPr="003367FF">
        <w:rPr>
          <w:color w:val="000000"/>
          <w:spacing w:val="2"/>
          <w:shd w:val="solid" w:color="000000" w:fill="000000"/>
          <w:fitText w:val="265" w:id="-628903166"/>
          <w14:textFill>
            <w14:solidFill>
              <w14:srgbClr w14:val="000000">
                <w14:alpha w14:val="100000"/>
              </w14:srgbClr>
            </w14:solidFill>
          </w14:textFill>
        </w:rPr>
        <w:t>|</w:t>
      </w:r>
      <w:r w:rsidR="004370C7" w:rsidRPr="004370C7">
        <w:t xml:space="preserve"> (calculated from the published DPMQ). It was recalculated during the evaluation to $</w:t>
      </w:r>
      <w:r w:rsidR="003367FF" w:rsidRPr="003367FF">
        <w:rPr>
          <w:color w:val="000000"/>
          <w:spacing w:val="40"/>
          <w:shd w:val="solid" w:color="000000" w:fill="000000"/>
          <w:fitText w:val="280" w:id="-628903165"/>
          <w14:textFill>
            <w14:solidFill>
              <w14:srgbClr w14:val="000000">
                <w14:alpha w14:val="100000"/>
              </w14:srgbClr>
            </w14:solidFill>
          </w14:textFill>
        </w:rPr>
        <w:t xml:space="preserve">|  </w:t>
      </w:r>
      <w:r w:rsidR="003367FF" w:rsidRPr="003367FF">
        <w:rPr>
          <w:color w:val="000000"/>
          <w:spacing w:val="2"/>
          <w:shd w:val="solid" w:color="000000" w:fill="000000"/>
          <w:fitText w:val="280" w:id="-628903165"/>
          <w14:textFill>
            <w14:solidFill>
              <w14:srgbClr w14:val="000000">
                <w14:alpha w14:val="100000"/>
              </w14:srgbClr>
            </w14:solidFill>
          </w14:textFill>
        </w:rPr>
        <w:t>|</w:t>
      </w:r>
      <w:r w:rsidR="004370C7" w:rsidRPr="004370C7">
        <w:t xml:space="preserve"> based on the insulin degludec effective maximum quantity EMP of $</w:t>
      </w:r>
      <w:r w:rsidR="003367FF" w:rsidRPr="003367FF">
        <w:rPr>
          <w:color w:val="000000"/>
          <w:spacing w:val="40"/>
          <w:shd w:val="solid" w:color="000000" w:fill="000000"/>
          <w:fitText w:val="280" w:id="-628903164"/>
          <w14:textFill>
            <w14:solidFill>
              <w14:srgbClr w14:val="000000">
                <w14:alpha w14:val="100000"/>
              </w14:srgbClr>
            </w14:solidFill>
          </w14:textFill>
        </w:rPr>
        <w:t xml:space="preserve">|  </w:t>
      </w:r>
      <w:r w:rsidR="003367FF" w:rsidRPr="003367FF">
        <w:rPr>
          <w:color w:val="000000"/>
          <w:spacing w:val="2"/>
          <w:shd w:val="solid" w:color="000000" w:fill="000000"/>
          <w:fitText w:val="280" w:id="-628903164"/>
          <w14:textFill>
            <w14:solidFill>
              <w14:srgbClr w14:val="000000">
                <w14:alpha w14:val="100000"/>
              </w14:srgbClr>
            </w14:solidFill>
          </w14:textFill>
        </w:rPr>
        <w:t>|</w:t>
      </w:r>
      <w:r w:rsidR="00C22065" w:rsidRPr="005D7866">
        <w:t>.</w:t>
      </w:r>
    </w:p>
    <w:p w14:paraId="150795EC" w14:textId="48DFF442" w:rsidR="00674801" w:rsidRPr="005D7866" w:rsidRDefault="00674801" w:rsidP="00E208B7">
      <w:pPr>
        <w:pStyle w:val="COMexecsummnumbered"/>
      </w:pPr>
      <w:r w:rsidRPr="005D7866">
        <w:t xml:space="preserve">The </w:t>
      </w:r>
      <w:r w:rsidR="00291B64" w:rsidRPr="005D7866">
        <w:t xml:space="preserve">evaluation and the ESC </w:t>
      </w:r>
      <w:r w:rsidR="00EA6320" w:rsidRPr="005D7866">
        <w:t>not</w:t>
      </w:r>
      <w:r w:rsidR="00291B64" w:rsidRPr="005D7866">
        <w:t xml:space="preserve">ed that the </w:t>
      </w:r>
      <w:r w:rsidRPr="005D7866">
        <w:t xml:space="preserve">simple cost consequences analysis did not include quantification of the benefits claimed to accrue to T1D patients in the Australian </w:t>
      </w:r>
      <w:r w:rsidR="00D20F45" w:rsidRPr="005D7866">
        <w:t>setting and</w:t>
      </w:r>
      <w:r w:rsidRPr="005D7866">
        <w:t xml:space="preserve"> </w:t>
      </w:r>
      <w:r w:rsidR="00EA6320" w:rsidRPr="005D7866">
        <w:t>considered that it was</w:t>
      </w:r>
      <w:r w:rsidRPr="005D7866">
        <w:t xml:space="preserve"> difficult to interpret. The </w:t>
      </w:r>
      <w:r w:rsidR="00151A6A" w:rsidRPr="005D7866">
        <w:t>re</w:t>
      </w:r>
      <w:r w:rsidRPr="005D7866">
        <w:t>submission estimated a difference in the price of insulin detemir and insulin glargine of $</w:t>
      </w:r>
      <w:r w:rsidR="003367FF" w:rsidRPr="003367FF">
        <w:rPr>
          <w:color w:val="000000"/>
          <w:w w:val="61"/>
          <w:shd w:val="solid" w:color="000000" w:fill="000000"/>
          <w:fitText w:val="475" w:id="-628903163"/>
          <w14:textFill>
            <w14:solidFill>
              <w14:srgbClr w14:val="000000">
                <w14:alpha w14:val="100000"/>
              </w14:srgbClr>
            </w14:solidFill>
          </w14:textFill>
        </w:rPr>
        <w:t>|||  ||</w:t>
      </w:r>
      <w:r w:rsidR="003367FF" w:rsidRPr="003367FF">
        <w:rPr>
          <w:color w:val="000000"/>
          <w:spacing w:val="5"/>
          <w:w w:val="61"/>
          <w:shd w:val="solid" w:color="000000" w:fill="000000"/>
          <w:fitText w:val="475" w:id="-628903163"/>
          <w14:textFill>
            <w14:solidFill>
              <w14:srgbClr w14:val="000000">
                <w14:alpha w14:val="100000"/>
              </w14:srgbClr>
            </w14:solidFill>
          </w14:textFill>
        </w:rPr>
        <w:t>|</w:t>
      </w:r>
      <w:r w:rsidRPr="005D7866">
        <w:t xml:space="preserve"> ($</w:t>
      </w:r>
      <w:r w:rsidR="003367FF" w:rsidRPr="003367FF">
        <w:rPr>
          <w:color w:val="000000"/>
          <w:w w:val="61"/>
          <w:shd w:val="solid" w:color="000000" w:fill="000000"/>
          <w:fitText w:val="475" w:id="-628903162"/>
          <w14:textFill>
            <w14:solidFill>
              <w14:srgbClr w14:val="000000">
                <w14:alpha w14:val="100000"/>
              </w14:srgbClr>
            </w14:solidFill>
          </w14:textFill>
        </w:rPr>
        <w:t>|||  ||</w:t>
      </w:r>
      <w:r w:rsidR="003367FF" w:rsidRPr="003367FF">
        <w:rPr>
          <w:color w:val="000000"/>
          <w:spacing w:val="5"/>
          <w:w w:val="61"/>
          <w:shd w:val="solid" w:color="000000" w:fill="000000"/>
          <w:fitText w:val="475" w:id="-628903162"/>
          <w14:textFill>
            <w14:solidFill>
              <w14:srgbClr w14:val="000000">
                <w14:alpha w14:val="100000"/>
              </w14:srgbClr>
            </w14:solidFill>
          </w14:textFill>
        </w:rPr>
        <w:t>|</w:t>
      </w:r>
      <w:r w:rsidRPr="005D7866">
        <w:t xml:space="preserve"> - $187.42) based on an effective DPMQ for insulin degludec with markups calculated based on the published EMP rather than the effective EMP for insulin degludec. After </w:t>
      </w:r>
      <w:r w:rsidR="000C1059" w:rsidRPr="005D7866">
        <w:t>recalculating</w:t>
      </w:r>
      <w:r w:rsidRPr="005D7866">
        <w:t xml:space="preserve"> the proposed effective DPMQ, the difference in cost between insulin degludec 100 IU/mL and insulin glargine 100 IU/mL </w:t>
      </w:r>
      <w:r w:rsidR="00135A9C" w:rsidRPr="005D7866">
        <w:t xml:space="preserve">was </w:t>
      </w:r>
      <w:r w:rsidRPr="005D7866">
        <w:t>smaller than estimated in the resubmission ($</w:t>
      </w:r>
      <w:r w:rsidR="003367FF" w:rsidRPr="003367FF">
        <w:rPr>
          <w:color w:val="000000"/>
          <w:w w:val="61"/>
          <w:shd w:val="solid" w:color="000000" w:fill="000000"/>
          <w:fitText w:val="475" w:id="-628903161"/>
          <w14:textFill>
            <w14:solidFill>
              <w14:srgbClr w14:val="000000">
                <w14:alpha w14:val="100000"/>
              </w14:srgbClr>
            </w14:solidFill>
          </w14:textFill>
        </w:rPr>
        <w:t>|||  ||</w:t>
      </w:r>
      <w:r w:rsidR="003367FF" w:rsidRPr="003367FF">
        <w:rPr>
          <w:color w:val="000000"/>
          <w:spacing w:val="5"/>
          <w:w w:val="61"/>
          <w:shd w:val="solid" w:color="000000" w:fill="000000"/>
          <w:fitText w:val="475" w:id="-628903161"/>
          <w14:textFill>
            <w14:solidFill>
              <w14:srgbClr w14:val="000000">
                <w14:alpha w14:val="100000"/>
              </w14:srgbClr>
            </w14:solidFill>
          </w14:textFill>
        </w:rPr>
        <w:t>|</w:t>
      </w:r>
      <w:r w:rsidRPr="005D7866">
        <w:t xml:space="preserve"> - $187.42</w:t>
      </w:r>
      <w:r w:rsidR="005A3690" w:rsidRPr="005D7866">
        <w:t xml:space="preserve"> = $</w:t>
      </w:r>
      <w:r w:rsidR="003367FF" w:rsidRPr="003367FF">
        <w:rPr>
          <w:color w:val="000000"/>
          <w:w w:val="61"/>
          <w:shd w:val="solid" w:color="000000" w:fill="000000"/>
          <w:fitText w:val="475" w:id="-628903160"/>
          <w14:textFill>
            <w14:solidFill>
              <w14:srgbClr w14:val="000000">
                <w14:alpha w14:val="100000"/>
              </w14:srgbClr>
            </w14:solidFill>
          </w14:textFill>
        </w:rPr>
        <w:t>|||  ||</w:t>
      </w:r>
      <w:r w:rsidR="003367FF" w:rsidRPr="003367FF">
        <w:rPr>
          <w:color w:val="000000"/>
          <w:spacing w:val="5"/>
          <w:w w:val="61"/>
          <w:shd w:val="solid" w:color="000000" w:fill="000000"/>
          <w:fitText w:val="475" w:id="-628903160"/>
          <w14:textFill>
            <w14:solidFill>
              <w14:srgbClr w14:val="000000">
                <w14:alpha w14:val="100000"/>
              </w14:srgbClr>
            </w14:solidFill>
          </w14:textFill>
        </w:rPr>
        <w:t>|</w:t>
      </w:r>
      <w:r w:rsidRPr="005D7866">
        <w:t>)</w:t>
      </w:r>
      <w:r w:rsidR="00135A9C" w:rsidRPr="005D7866">
        <w:t xml:space="preserve">. The </w:t>
      </w:r>
      <w:r w:rsidRPr="005D7866">
        <w:t xml:space="preserve">difference in cost </w:t>
      </w:r>
      <w:r w:rsidR="00135A9C" w:rsidRPr="005D7866">
        <w:t xml:space="preserve">was similar when </w:t>
      </w:r>
      <w:r w:rsidRPr="005D7866">
        <w:t>compared to insulin detemir 100 IU/mL ($</w:t>
      </w:r>
      <w:r w:rsidR="003367FF" w:rsidRPr="003367FF">
        <w:rPr>
          <w:color w:val="000000"/>
          <w:w w:val="59"/>
          <w:shd w:val="solid" w:color="000000" w:fill="000000"/>
          <w:fitText w:val="460" w:id="-628903159"/>
          <w14:textFill>
            <w14:solidFill>
              <w14:srgbClr w14:val="000000">
                <w14:alpha w14:val="100000"/>
              </w14:srgbClr>
            </w14:solidFill>
          </w14:textFill>
        </w:rPr>
        <w:t>|||  ||</w:t>
      </w:r>
      <w:r w:rsidR="003367FF" w:rsidRPr="003367FF">
        <w:rPr>
          <w:color w:val="000000"/>
          <w:spacing w:val="5"/>
          <w:w w:val="59"/>
          <w:shd w:val="solid" w:color="000000" w:fill="000000"/>
          <w:fitText w:val="460" w:id="-628903159"/>
          <w14:textFill>
            <w14:solidFill>
              <w14:srgbClr w14:val="000000">
                <w14:alpha w14:val="100000"/>
              </w14:srgbClr>
            </w14:solidFill>
          </w14:textFill>
        </w:rPr>
        <w:t>|</w:t>
      </w:r>
      <w:r w:rsidRPr="005D7866">
        <w:t xml:space="preserve"> - $</w:t>
      </w:r>
      <w:r w:rsidR="003367FF" w:rsidRPr="003367FF">
        <w:rPr>
          <w:color w:val="000000"/>
          <w:w w:val="59"/>
          <w:shd w:val="solid" w:color="000000" w:fill="000000"/>
          <w:fitText w:val="460" w:id="-628903158"/>
          <w14:textFill>
            <w14:solidFill>
              <w14:srgbClr w14:val="000000">
                <w14:alpha w14:val="100000"/>
              </w14:srgbClr>
            </w14:solidFill>
          </w14:textFill>
        </w:rPr>
        <w:t>|||  ||</w:t>
      </w:r>
      <w:r w:rsidR="003367FF" w:rsidRPr="003367FF">
        <w:rPr>
          <w:color w:val="000000"/>
          <w:spacing w:val="5"/>
          <w:w w:val="59"/>
          <w:shd w:val="solid" w:color="000000" w:fill="000000"/>
          <w:fitText w:val="460" w:id="-628903158"/>
          <w14:textFill>
            <w14:solidFill>
              <w14:srgbClr w14:val="000000">
                <w14:alpha w14:val="100000"/>
              </w14:srgbClr>
            </w14:solidFill>
          </w14:textFill>
        </w:rPr>
        <w:t>|</w:t>
      </w:r>
      <w:r w:rsidR="005A3690" w:rsidRPr="005D7866">
        <w:t xml:space="preserve"> = $</w:t>
      </w:r>
      <w:r w:rsidR="003367FF" w:rsidRPr="00A6372C">
        <w:rPr>
          <w:color w:val="000000"/>
          <w:w w:val="59"/>
          <w:shd w:val="solid" w:color="000000" w:fill="000000"/>
          <w:fitText w:val="460" w:id="-628903157"/>
          <w14:textFill>
            <w14:solidFill>
              <w14:srgbClr w14:val="000000">
                <w14:alpha w14:val="100000"/>
              </w14:srgbClr>
            </w14:solidFill>
          </w14:textFill>
        </w:rPr>
        <w:t>|||  ||</w:t>
      </w:r>
      <w:r w:rsidR="003367FF" w:rsidRPr="00A6372C">
        <w:rPr>
          <w:color w:val="000000"/>
          <w:spacing w:val="5"/>
          <w:w w:val="59"/>
          <w:shd w:val="solid" w:color="000000" w:fill="000000"/>
          <w:fitText w:val="460" w:id="-628903157"/>
          <w14:textFill>
            <w14:solidFill>
              <w14:srgbClr w14:val="000000">
                <w14:alpha w14:val="100000"/>
              </w14:srgbClr>
            </w14:solidFill>
          </w14:textFill>
        </w:rPr>
        <w:t>|</w:t>
      </w:r>
      <w:r w:rsidRPr="005D7866">
        <w:t xml:space="preserve">). </w:t>
      </w:r>
    </w:p>
    <w:p w14:paraId="18586DD2" w14:textId="6F69B4F4" w:rsidR="00460881" w:rsidRPr="00706D62" w:rsidRDefault="00460881" w:rsidP="00E208B7">
      <w:pPr>
        <w:pStyle w:val="COMexecsummnumbered"/>
        <w:rPr>
          <w:b/>
          <w:bCs/>
        </w:rPr>
      </w:pPr>
      <w:r w:rsidRPr="005D7866">
        <w:t xml:space="preserve">The resubmission </w:t>
      </w:r>
      <w:r w:rsidR="004954B5" w:rsidRPr="005D7866">
        <w:t>proposed</w:t>
      </w:r>
      <w:r w:rsidRPr="005D7866">
        <w:t xml:space="preserve"> that the higher proposed price for insulin degludec could be considered acceptably cost effective given the small and high need target patient population, unique characteristics of insulin degludec compared to other available therapies, and important clinical/practical advantages it would provide for patients</w:t>
      </w:r>
      <w:r w:rsidR="005579F3" w:rsidRPr="005D7866">
        <w:t xml:space="preserve"> (see</w:t>
      </w:r>
      <w:r w:rsidR="00706D62">
        <w:t xml:space="preserve"> Table 9)</w:t>
      </w:r>
      <w:r w:rsidRPr="005D7866">
        <w:t xml:space="preserve">. </w:t>
      </w:r>
    </w:p>
    <w:p w14:paraId="5F0F3D4C" w14:textId="0443BAA5" w:rsidR="00674801" w:rsidRPr="005D7866" w:rsidRDefault="00674801" w:rsidP="00E208B7">
      <w:pPr>
        <w:pStyle w:val="COMexecsummnumbered"/>
      </w:pPr>
      <w:r w:rsidRPr="005D7866">
        <w:t xml:space="preserve">The </w:t>
      </w:r>
      <w:r w:rsidR="00F96364" w:rsidRPr="005D7866">
        <w:t xml:space="preserve">evaluation and the ESC considered that the </w:t>
      </w:r>
      <w:r w:rsidRPr="005D7866">
        <w:t xml:space="preserve">additional benefits claimed to accrue to T1D patients in the Australian setting with the proposed PBS listing of insulin degludec </w:t>
      </w:r>
      <w:r w:rsidR="00A47D63" w:rsidRPr="005D7866">
        <w:t>we</w:t>
      </w:r>
      <w:r w:rsidRPr="005D7866">
        <w:t>re not adequately justified:</w:t>
      </w:r>
    </w:p>
    <w:p w14:paraId="36CD5D9B" w14:textId="32EFB0ED" w:rsidR="000F651D" w:rsidRPr="005D7866" w:rsidRDefault="00D20F45" w:rsidP="00E208B7">
      <w:pPr>
        <w:pStyle w:val="COMexecsummbulletlist"/>
      </w:pPr>
      <w:r w:rsidRPr="005D7866">
        <w:t>T</w:t>
      </w:r>
      <w:r w:rsidR="000F651D" w:rsidRPr="005D7866">
        <w:t xml:space="preserve">he evaluation and the ESC considered that the claim that insulin degludec provides lower rates of overall hypoglycaemia episodes was not adequately </w:t>
      </w:r>
      <w:r w:rsidR="000F651D" w:rsidRPr="005D7866">
        <w:lastRenderedPageBreak/>
        <w:t xml:space="preserve">justified. While the </w:t>
      </w:r>
      <w:r w:rsidRPr="005D7866">
        <w:t xml:space="preserve">evaluation and the ESC considered that the </w:t>
      </w:r>
      <w:r w:rsidR="000F651D" w:rsidRPr="005D7866">
        <w:t xml:space="preserve">evidence provided in the resubmission supported a reduction in nocturnal hypoglycaemia episodes compared to insulin glargine, the ESC considered the magnitude of benefit in Australian clinical practice to be unclear given the effect </w:t>
      </w:r>
      <w:r w:rsidRPr="005D7866">
        <w:t xml:space="preserve">that higher rates of </w:t>
      </w:r>
      <w:r w:rsidR="000F651D" w:rsidRPr="005D7866">
        <w:t xml:space="preserve">continuous glucose monitoring (88.9% of patients in the ADCQ registry compared to 26% of patients in Study 3585 at randomisation and 22% at week 52) </w:t>
      </w:r>
      <w:r w:rsidRPr="005D7866">
        <w:t xml:space="preserve">might have </w:t>
      </w:r>
      <w:r w:rsidR="000F651D" w:rsidRPr="005D7866">
        <w:t xml:space="preserve">on monitoring of hypoglycaemia episodes and insulin dosing in clinical practice. </w:t>
      </w:r>
    </w:p>
    <w:p w14:paraId="1D250DC8" w14:textId="71752DE1" w:rsidR="00D20F45" w:rsidRPr="005D7866" w:rsidRDefault="00D20F45" w:rsidP="00E208B7">
      <w:pPr>
        <w:pStyle w:val="COMexecsummbulletlist"/>
      </w:pPr>
      <w:r w:rsidRPr="005D7866">
        <w:t xml:space="preserve">The resubmission claimed that a higher price for insulin degludec was reasonable given it can be used in children </w:t>
      </w:r>
      <w:r w:rsidR="004954B5" w:rsidRPr="005D7866">
        <w:t>1 year and older</w:t>
      </w:r>
      <w:r w:rsidRPr="005D7866">
        <w:t xml:space="preserve"> whereas the data to support the use of insulin glargine 100 IU/mL in children aged 2 to 5 years </w:t>
      </w:r>
      <w:r w:rsidR="00825A4D">
        <w:t>was</w:t>
      </w:r>
      <w:r w:rsidR="00825A4D" w:rsidRPr="005D7866">
        <w:t xml:space="preserve"> </w:t>
      </w:r>
      <w:r w:rsidRPr="005D7866">
        <w:t xml:space="preserve">inconclusive. The ESC considered that the clinical evidence supporting use of insulin degludec in children suggests that it demonstrates similar efficacy and safety compared to other long-acting insulin analogues. The ESC noted that insulin glargine and other insulin analogues are safely used in children aged ≥1 year, and that the TGA approval for insulin glargine 100 IU/mL does not limit use based on age. The ESC therefore considered that the resubmission’s argument was not supported. </w:t>
      </w:r>
    </w:p>
    <w:p w14:paraId="2DC733A0" w14:textId="1247319B" w:rsidR="00D20F45" w:rsidRPr="005D7866" w:rsidRDefault="000F651D" w:rsidP="00E208B7">
      <w:pPr>
        <w:pStyle w:val="COMexecsummbulletlist"/>
      </w:pPr>
      <w:r w:rsidRPr="005D7866">
        <w:t xml:space="preserve">The use of insulin degludec during pregnancy </w:t>
      </w:r>
      <w:r w:rsidR="00181B98">
        <w:t>was</w:t>
      </w:r>
      <w:r w:rsidRPr="005D7866">
        <w:t xml:space="preserve"> under consideration by the TGA</w:t>
      </w:r>
      <w:r w:rsidR="00181B98">
        <w:t xml:space="preserve"> at the time of </w:t>
      </w:r>
      <w:r w:rsidR="00DE688A">
        <w:t>the ESC meeting</w:t>
      </w:r>
      <w:r w:rsidRPr="005D7866">
        <w:t xml:space="preserve">. The supportive clinical trial (EXACT) presented in the resubmission found insulin degludec was non-inferior to insulin detemir in pregnant women in terms of efficacy and safety.  </w:t>
      </w:r>
      <w:r w:rsidR="00D20F45" w:rsidRPr="005D7866">
        <w:t xml:space="preserve">The resubmission claimed that a higher price for insulin degludec was reasonable for having an “effective and safe option for use in pregnant women”. The ESC noted that the TGA </w:t>
      </w:r>
      <w:r w:rsidR="000D566B">
        <w:t>was</w:t>
      </w:r>
      <w:r w:rsidR="000D566B" w:rsidRPr="005D7866">
        <w:t xml:space="preserve"> </w:t>
      </w:r>
      <w:r w:rsidR="00D20F45" w:rsidRPr="005D7866">
        <w:t xml:space="preserve">assessing the sponsor’s request to change the pregnancy category for insulin degludec from </w:t>
      </w:r>
      <w:r w:rsidR="004954B5" w:rsidRPr="005D7866">
        <w:t xml:space="preserve">Category </w:t>
      </w:r>
      <w:r w:rsidR="00D20F45" w:rsidRPr="005D7866">
        <w:t xml:space="preserve">B3 to </w:t>
      </w:r>
      <w:r w:rsidR="004954B5" w:rsidRPr="005D7866">
        <w:t xml:space="preserve">Category </w:t>
      </w:r>
      <w:r w:rsidR="00D20F45" w:rsidRPr="005D7866">
        <w:t xml:space="preserve">A. The ESC noted that while insulin glargine </w:t>
      </w:r>
      <w:r w:rsidR="004954B5" w:rsidRPr="005D7866">
        <w:t>is Category B3 in</w:t>
      </w:r>
      <w:r w:rsidR="00D20F45" w:rsidRPr="005D7866">
        <w:t xml:space="preserve"> pregnancy</w:t>
      </w:r>
      <w:r w:rsidR="00D542B5">
        <w:t xml:space="preserve">, </w:t>
      </w:r>
      <w:r w:rsidR="00D20F45" w:rsidRPr="005D7866">
        <w:t xml:space="preserve">it is utilised </w:t>
      </w:r>
      <w:r w:rsidR="007A61CE" w:rsidRPr="005D7866">
        <w:t>saf</w:t>
      </w:r>
      <w:r w:rsidR="00D20F45" w:rsidRPr="005D7866">
        <w:t xml:space="preserve">ely in pregnant patients with T1D in Australia. The ESC considered that a higher price for this consequence was not supported. </w:t>
      </w:r>
    </w:p>
    <w:p w14:paraId="51FDF59C" w14:textId="0BA3A1AD" w:rsidR="000F651D" w:rsidRPr="005D7866" w:rsidRDefault="00D20F45" w:rsidP="00E208B7">
      <w:pPr>
        <w:pStyle w:val="COMexecsummbulletlist"/>
      </w:pPr>
      <w:r w:rsidRPr="005D7866">
        <w:t>T</w:t>
      </w:r>
      <w:r w:rsidR="000F651D" w:rsidRPr="005D7866">
        <w:t>he resubmission claimed that insulin degludec improves adherence, and that it has the advantages of flexible dosing and lower insulin dose requirements. The ESC noted that differences in mean insulin dose between insulin degludec and insulin glargine 100 IU/mL varied between the trials but were similar for both treatments. The ESC further noted that Study 3770 had a fixed flexible dosing arm for insulin degludec which was not relevant to this resubmission. The ESC considered that a higher price for these consequences was not supported.</w:t>
      </w:r>
    </w:p>
    <w:p w14:paraId="16C43871" w14:textId="7D13174E" w:rsidR="000F651D" w:rsidRPr="005D7866" w:rsidRDefault="00D20F45" w:rsidP="00E208B7">
      <w:pPr>
        <w:pStyle w:val="COMexecsummbulletlist"/>
      </w:pPr>
      <w:r w:rsidRPr="005D7866">
        <w:t>The evaluation noted that p</w:t>
      </w:r>
      <w:r w:rsidR="000F651D" w:rsidRPr="005D7866">
        <w:t>re-filled pen devices are available for other insulin analogues.</w:t>
      </w:r>
    </w:p>
    <w:p w14:paraId="589740CC" w14:textId="19EF6BAD" w:rsidR="000F651D" w:rsidRDefault="000F651D" w:rsidP="00E208B7">
      <w:pPr>
        <w:pStyle w:val="3-BodyText"/>
        <w:numPr>
          <w:ilvl w:val="1"/>
          <w:numId w:val="4"/>
        </w:numPr>
        <w:ind w:left="720"/>
        <w:rPr>
          <w:lang w:eastAsia="en-US"/>
        </w:rPr>
      </w:pPr>
      <w:r w:rsidRPr="005D7866">
        <w:t xml:space="preserve">The ESC considered that a CMA </w:t>
      </w:r>
      <w:r w:rsidR="00A815E4" w:rsidRPr="005D7866">
        <w:t xml:space="preserve">to insulin glargine </w:t>
      </w:r>
      <w:r w:rsidRPr="005D7866">
        <w:t>would be appropriate</w:t>
      </w:r>
      <w:r w:rsidR="00224BF2" w:rsidRPr="005D7866">
        <w:t xml:space="preserve"> as there was no basis to support the proposed price premium using the descriptive cost </w:t>
      </w:r>
      <w:r w:rsidR="00224BF2" w:rsidRPr="005D7866">
        <w:lastRenderedPageBreak/>
        <w:t xml:space="preserve">consequences </w:t>
      </w:r>
      <w:r w:rsidR="00894767" w:rsidRPr="005D7866">
        <w:t>analysis. The</w:t>
      </w:r>
      <w:r w:rsidR="00EC7C1D" w:rsidRPr="005D7866">
        <w:t xml:space="preserve"> ESC requested </w:t>
      </w:r>
      <w:r w:rsidR="00B70217" w:rsidRPr="005D7866">
        <w:t>equi-effective doses for insulin d</w:t>
      </w:r>
      <w:r w:rsidR="00633E28" w:rsidRPr="005D7866">
        <w:t>e</w:t>
      </w:r>
      <w:r w:rsidR="00B70217" w:rsidRPr="005D7866">
        <w:t xml:space="preserve">gludec </w:t>
      </w:r>
      <w:r w:rsidR="005E2E94" w:rsidRPr="005D7866">
        <w:t>100 IU/mL and insulin</w:t>
      </w:r>
      <w:r w:rsidR="00265655" w:rsidRPr="005D7866">
        <w:t xml:space="preserve"> glargine</w:t>
      </w:r>
      <w:r w:rsidR="005E2E94" w:rsidRPr="005D7866">
        <w:t xml:space="preserve"> 100 IU/mL, and </w:t>
      </w:r>
      <w:r w:rsidR="00B71419" w:rsidRPr="005D7866">
        <w:t>insulin de</w:t>
      </w:r>
      <w:r w:rsidR="005E2E94" w:rsidRPr="005D7866">
        <w:t>gludec 100 IU/mL and insulin</w:t>
      </w:r>
      <w:r w:rsidR="00265655" w:rsidRPr="005D7866">
        <w:t xml:space="preserve"> glargine</w:t>
      </w:r>
      <w:r w:rsidR="005E2E94" w:rsidRPr="005D7866">
        <w:t xml:space="preserve"> 300 IU/mL be </w:t>
      </w:r>
      <w:r w:rsidR="00EC7C1D" w:rsidRPr="005D7866">
        <w:t>presented in the pre-PBAC response</w:t>
      </w:r>
      <w:r w:rsidR="00265655" w:rsidRPr="005D7866">
        <w:t xml:space="preserve"> for consideration</w:t>
      </w:r>
      <w:r w:rsidR="00EC7C1D" w:rsidRPr="005D7866">
        <w:t>.</w:t>
      </w:r>
    </w:p>
    <w:p w14:paraId="34CC56A2" w14:textId="1B2C75D6" w:rsidR="00D54AA6" w:rsidRDefault="00320C3E" w:rsidP="00E208B7">
      <w:pPr>
        <w:pStyle w:val="COMexecsummnumbered"/>
      </w:pPr>
      <w:r>
        <w:t xml:space="preserve">The </w:t>
      </w:r>
      <w:r w:rsidR="00D54AA6">
        <w:t xml:space="preserve">Pre-PBAC response </w:t>
      </w:r>
      <w:r w:rsidR="00B823EC">
        <w:t>stated that e</w:t>
      </w:r>
      <w:r w:rsidR="00D54AA6">
        <w:t xml:space="preserve">stimation of equi-effective doses for </w:t>
      </w:r>
      <w:r w:rsidR="00B823EC">
        <w:t>insulin degludec</w:t>
      </w:r>
      <w:r w:rsidR="00D54AA6">
        <w:t xml:space="preserve"> 100 IU/mL and the respective </w:t>
      </w:r>
      <w:r w:rsidR="00B823EC">
        <w:t>insulin glargine</w:t>
      </w:r>
      <w:r w:rsidR="00D54AA6">
        <w:t xml:space="preserve"> formulations is not straightforward.  </w:t>
      </w:r>
      <w:r w:rsidR="00DA2C88">
        <w:t xml:space="preserve">The response noted that </w:t>
      </w:r>
      <w:r w:rsidR="00D54AA6">
        <w:t xml:space="preserve">there was some heterogeneity between trials in relation to both basal and total insulin dose requirements with </w:t>
      </w:r>
      <w:r w:rsidR="00DA2C88">
        <w:t xml:space="preserve">insulin degludec </w:t>
      </w:r>
      <w:r w:rsidR="00D54AA6">
        <w:t xml:space="preserve">100 IU/mL </w:t>
      </w:r>
      <w:r w:rsidR="00DA2C88">
        <w:t>and insulin glargine</w:t>
      </w:r>
      <w:r w:rsidR="00D54AA6">
        <w:t xml:space="preserve"> 100 IU/mL, </w:t>
      </w:r>
      <w:r w:rsidR="00DA2C88">
        <w:t xml:space="preserve">which was </w:t>
      </w:r>
      <w:r w:rsidR="00D54AA6">
        <w:t xml:space="preserve">very likely due to differences in study design. </w:t>
      </w:r>
      <w:r w:rsidR="00DA2C88">
        <w:t>The response stated that s</w:t>
      </w:r>
      <w:r w:rsidR="00D54AA6">
        <w:t xml:space="preserve">imilar issues arise when considering available evidence comparing </w:t>
      </w:r>
      <w:r w:rsidR="00DA2C88">
        <w:t>the insulin degludec</w:t>
      </w:r>
      <w:r w:rsidR="00D54AA6">
        <w:t xml:space="preserve"> 100 IU/mL and </w:t>
      </w:r>
      <w:r w:rsidR="00DA2C88">
        <w:t>insulin glargine</w:t>
      </w:r>
      <w:r w:rsidR="00D54AA6">
        <w:t xml:space="preserve"> 300 IU/mL formulations. </w:t>
      </w:r>
      <w:r w:rsidR="00DA2C88">
        <w:t>Notwithstanding</w:t>
      </w:r>
      <w:r w:rsidR="00A9749B">
        <w:t xml:space="preserve">, the </w:t>
      </w:r>
      <w:r w:rsidR="00A90AC0">
        <w:t xml:space="preserve">Pre-PBAC response </w:t>
      </w:r>
      <w:r w:rsidR="00A9749B">
        <w:t>proposed the following equi-effective doses:</w:t>
      </w:r>
    </w:p>
    <w:p w14:paraId="72B0BC39" w14:textId="470F5096" w:rsidR="00D54AA6" w:rsidRDefault="00D54AA6" w:rsidP="00E208B7">
      <w:pPr>
        <w:pStyle w:val="COMexecsummnumbered"/>
        <w:numPr>
          <w:ilvl w:val="0"/>
          <w:numId w:val="45"/>
        </w:numPr>
      </w:pPr>
      <w:r>
        <w:t xml:space="preserve">0.86 IU of </w:t>
      </w:r>
      <w:bookmarkStart w:id="39" w:name="_Hlk204186625"/>
      <w:r w:rsidR="00560212">
        <w:t>insulin degludec</w:t>
      </w:r>
      <w:r>
        <w:t xml:space="preserve"> </w:t>
      </w:r>
      <w:bookmarkEnd w:id="39"/>
      <w:r>
        <w:t xml:space="preserve">(100 IU/mL) is equivalent to 1.00 IU of </w:t>
      </w:r>
      <w:r w:rsidR="00560212">
        <w:t>insulin glargine</w:t>
      </w:r>
      <w:r>
        <w:t xml:space="preserve"> (100 IU/mL) based on results from Study 3583 (Heller et al., 2012), Table 2; </w:t>
      </w:r>
      <w:r w:rsidR="00A9749B">
        <w:t>and</w:t>
      </w:r>
    </w:p>
    <w:p w14:paraId="0131D4DA" w14:textId="2B675FB1" w:rsidR="00D54AA6" w:rsidRDefault="00D54AA6" w:rsidP="00E208B7">
      <w:pPr>
        <w:pStyle w:val="COMexecsummnumbered"/>
        <w:numPr>
          <w:ilvl w:val="0"/>
          <w:numId w:val="45"/>
        </w:numPr>
      </w:pPr>
      <w:r>
        <w:t>0.8</w:t>
      </w:r>
      <w:r w:rsidR="00201556">
        <w:t>26</w:t>
      </w:r>
      <w:r>
        <w:t xml:space="preserve"> IU of </w:t>
      </w:r>
      <w:r w:rsidR="00A90AC0" w:rsidRPr="00A90AC0">
        <w:t xml:space="preserve">insulin degludec </w:t>
      </w:r>
      <w:r>
        <w:t xml:space="preserve">(100 IU/mL) is equivalent to 1:00 IU of </w:t>
      </w:r>
      <w:r w:rsidR="00A90AC0" w:rsidRPr="00A90AC0">
        <w:t xml:space="preserve">insulin glargine </w:t>
      </w:r>
      <w:r>
        <w:t xml:space="preserve">(300 IU/mL) based on the results for the cohort of patients switching from </w:t>
      </w:r>
      <w:r w:rsidR="00A90AC0" w:rsidRPr="00A90AC0">
        <w:t xml:space="preserve">insulin detemir </w:t>
      </w:r>
      <w:r>
        <w:t>in the INEOX trial (Ruiz de Adana et al., 2023) Figure S3</w:t>
      </w:r>
      <w:r w:rsidR="00A9749B">
        <w:t>.</w:t>
      </w:r>
    </w:p>
    <w:p w14:paraId="472842D7" w14:textId="70913EF3" w:rsidR="00C25D9C" w:rsidRPr="0051723B" w:rsidRDefault="00C25D9C" w:rsidP="00E208B7">
      <w:pPr>
        <w:pStyle w:val="COMH2-non-numbered"/>
        <w:rPr>
          <w:iCs/>
        </w:rPr>
      </w:pPr>
      <w:bookmarkStart w:id="40" w:name="_Toc22897646"/>
      <w:bookmarkStart w:id="41" w:name="_Toc197595421"/>
      <w:r w:rsidRPr="0051723B">
        <w:rPr>
          <w:iCs/>
        </w:rPr>
        <w:t>Drug cost/patient</w:t>
      </w:r>
      <w:bookmarkEnd w:id="40"/>
      <w:bookmarkEnd w:id="41"/>
    </w:p>
    <w:p w14:paraId="3DBFE151" w14:textId="1ACBC70D" w:rsidR="00494207" w:rsidRPr="004F11AC" w:rsidRDefault="00B379A8" w:rsidP="00E208B7">
      <w:pPr>
        <w:pStyle w:val="COMexecsummnumbered"/>
      </w:pPr>
      <w:bookmarkStart w:id="42" w:name="_Hlk107307804"/>
      <w:r w:rsidRPr="005D7866">
        <w:t>The resubmission proposed an effective DPMQ of $</w:t>
      </w:r>
      <w:r w:rsidR="003367FF" w:rsidRPr="003367FF">
        <w:rPr>
          <w:color w:val="000000"/>
          <w:w w:val="61"/>
          <w:shd w:val="solid" w:color="000000" w:fill="000000"/>
          <w:fitText w:val="475" w:id="-628903156"/>
          <w14:textFill>
            <w14:solidFill>
              <w14:srgbClr w14:val="000000">
                <w14:alpha w14:val="100000"/>
              </w14:srgbClr>
            </w14:solidFill>
          </w14:textFill>
        </w:rPr>
        <w:t>|||  ||</w:t>
      </w:r>
      <w:r w:rsidR="003367FF" w:rsidRPr="003367FF">
        <w:rPr>
          <w:color w:val="000000"/>
          <w:spacing w:val="5"/>
          <w:w w:val="61"/>
          <w:shd w:val="solid" w:color="000000" w:fill="000000"/>
          <w:fitText w:val="475" w:id="-628903156"/>
          <w14:textFill>
            <w14:solidFill>
              <w14:srgbClr w14:val="000000">
                <w14:alpha w14:val="100000"/>
              </w14:srgbClr>
            </w14:solidFill>
          </w14:textFill>
        </w:rPr>
        <w:t>|</w:t>
      </w:r>
      <w:r w:rsidRPr="005D7866">
        <w:t xml:space="preserve">. </w:t>
      </w:r>
      <w:r w:rsidR="00E41C80" w:rsidRPr="005D7866">
        <w:t xml:space="preserve">The </w:t>
      </w:r>
      <w:r w:rsidR="002853CF" w:rsidRPr="005D7866">
        <w:t xml:space="preserve">recalculated </w:t>
      </w:r>
      <w:r w:rsidR="00E41C80" w:rsidRPr="005D7866">
        <w:t xml:space="preserve">effective DPMQ for insulin degludec </w:t>
      </w:r>
      <w:r w:rsidR="00AA3865" w:rsidRPr="005D7866">
        <w:t xml:space="preserve">was </w:t>
      </w:r>
      <w:r w:rsidR="0024740D" w:rsidRPr="005D7866">
        <w:t>$</w:t>
      </w:r>
      <w:r w:rsidR="003367FF" w:rsidRPr="003367FF">
        <w:rPr>
          <w:color w:val="000000"/>
          <w:w w:val="61"/>
          <w:shd w:val="solid" w:color="000000" w:fill="000000"/>
          <w:fitText w:val="475" w:id="-628903155"/>
          <w14:textFill>
            <w14:solidFill>
              <w14:srgbClr w14:val="000000">
                <w14:alpha w14:val="100000"/>
              </w14:srgbClr>
            </w14:solidFill>
          </w14:textFill>
        </w:rPr>
        <w:t>|||  ||</w:t>
      </w:r>
      <w:r w:rsidR="003367FF" w:rsidRPr="003367FF">
        <w:rPr>
          <w:color w:val="000000"/>
          <w:spacing w:val="5"/>
          <w:w w:val="61"/>
          <w:shd w:val="solid" w:color="000000" w:fill="000000"/>
          <w:fitText w:val="475" w:id="-628903155"/>
          <w14:textFill>
            <w14:solidFill>
              <w14:srgbClr w14:val="000000">
                <w14:alpha w14:val="100000"/>
              </w14:srgbClr>
            </w14:solidFill>
          </w14:textFill>
        </w:rPr>
        <w:t>|</w:t>
      </w:r>
      <w:r w:rsidRPr="005D7866">
        <w:t xml:space="preserve"> (based on the proposed effective </w:t>
      </w:r>
      <w:r w:rsidR="00FF317F" w:rsidRPr="005D7866">
        <w:t>A</w:t>
      </w:r>
      <w:r w:rsidRPr="005D7866">
        <w:t>EMP for</w:t>
      </w:r>
      <w:r w:rsidR="006146BF" w:rsidRPr="005D7866">
        <w:t xml:space="preserve"> the</w:t>
      </w:r>
      <w:r w:rsidRPr="005D7866">
        <w:t xml:space="preserve"> maximum quantity of $</w:t>
      </w:r>
      <w:r w:rsidR="003367FF" w:rsidRPr="00A6372C">
        <w:rPr>
          <w:color w:val="000000"/>
          <w:w w:val="59"/>
          <w:shd w:val="solid" w:color="000000" w:fill="000000"/>
          <w:fitText w:val="460" w:id="-628903154"/>
          <w14:textFill>
            <w14:solidFill>
              <w14:srgbClr w14:val="000000">
                <w14:alpha w14:val="100000"/>
              </w14:srgbClr>
            </w14:solidFill>
          </w14:textFill>
        </w:rPr>
        <w:t>|||  ||</w:t>
      </w:r>
      <w:r w:rsidR="003367FF" w:rsidRPr="00A6372C">
        <w:rPr>
          <w:color w:val="000000"/>
          <w:spacing w:val="5"/>
          <w:w w:val="59"/>
          <w:shd w:val="solid" w:color="000000" w:fill="000000"/>
          <w:fitText w:val="460" w:id="-628903154"/>
          <w14:textFill>
            <w14:solidFill>
              <w14:srgbClr w14:val="000000">
                <w14:alpha w14:val="100000"/>
              </w14:srgbClr>
            </w14:solidFill>
          </w14:textFill>
        </w:rPr>
        <w:t>|</w:t>
      </w:r>
      <w:r w:rsidRPr="005D7866">
        <w:t>, using standard methods)</w:t>
      </w:r>
      <w:r w:rsidR="00E41C80" w:rsidRPr="005D7866">
        <w:t>. The calculation of insulin degludec drug costs were consistent between the economic and budget impact models.</w:t>
      </w:r>
      <w:r w:rsidR="005A3089" w:rsidRPr="004F11AC">
        <w:t xml:space="preserve"> </w:t>
      </w:r>
    </w:p>
    <w:p w14:paraId="268768EF" w14:textId="7EBAF937" w:rsidR="00B60939" w:rsidRPr="004F11AC" w:rsidRDefault="00B60939" w:rsidP="00E208B7">
      <w:pPr>
        <w:pStyle w:val="COMH2-non-numbered"/>
      </w:pPr>
      <w:bookmarkStart w:id="43" w:name="_Toc22897647"/>
      <w:bookmarkStart w:id="44" w:name="_Toc197595422"/>
      <w:bookmarkEnd w:id="42"/>
      <w:r w:rsidRPr="004F11AC">
        <w:t>Estimated PBS usage &amp; financial implications</w:t>
      </w:r>
      <w:bookmarkEnd w:id="43"/>
      <w:bookmarkEnd w:id="44"/>
    </w:p>
    <w:p w14:paraId="4F63DFB5" w14:textId="4574D337" w:rsidR="00F4267A" w:rsidRPr="004F11AC" w:rsidRDefault="00F4267A" w:rsidP="00E208B7">
      <w:pPr>
        <w:pStyle w:val="COMexecsummnumbered"/>
      </w:pPr>
      <w:r w:rsidRPr="004F11AC">
        <w:t xml:space="preserve">This </w:t>
      </w:r>
      <w:r w:rsidR="00D315EA" w:rsidRPr="004F11AC">
        <w:t>re</w:t>
      </w:r>
      <w:r w:rsidRPr="004F11AC">
        <w:t>submission w</w:t>
      </w:r>
      <w:r w:rsidR="00854FC2" w:rsidRPr="004F11AC">
        <w:t>as</w:t>
      </w:r>
      <w:r w:rsidRPr="004F11AC">
        <w:t xml:space="preserve"> not considered by DUSC. The resubmission used a market share approach to estimate the utilisation and financial impact of listing insulin degludec on the PBS, for the treatment of patients with T1D.</w:t>
      </w:r>
    </w:p>
    <w:p w14:paraId="458A0E80" w14:textId="2FABB2F0" w:rsidR="001E5FB0" w:rsidRPr="004F11AC" w:rsidRDefault="00F4267A" w:rsidP="00E208B7">
      <w:pPr>
        <w:pStyle w:val="COMexecsummnumbered"/>
      </w:pPr>
      <w:r w:rsidRPr="004F11AC">
        <w:t>The resubmission noted that insulin detemir will be delisted from the PBS and removed from the market at the end of 2026 (Year 1). It was assumed that patients currently treated with insulin detemir would switch to insulin glargine</w:t>
      </w:r>
      <w:r w:rsidR="00ED54F9" w:rsidRPr="004F11AC">
        <w:t xml:space="preserve"> </w:t>
      </w:r>
      <w:r w:rsidR="00ED54F9" w:rsidRPr="00BB5E13">
        <w:t>100 IU/mL</w:t>
      </w:r>
      <w:r w:rsidRPr="00BB5E13">
        <w:t>,</w:t>
      </w:r>
      <w:r w:rsidRPr="004F11AC">
        <w:t xml:space="preserve"> as the most similar long-acting basal insulin listed on the PBS. The resubmission argued that if insulin degludec is listed on the PBS, all patients currently treated with insulin detemir would instead switch to insulin degludec, as the basal insulin most similar in action to insulin detemir. Therefore, the resubmission estimated the difference in costs to the PBS between the estimated use of insulin degludec and insulin glargine over the first 6 years of listing, as the incremental cost of degludec to the PBS.</w:t>
      </w:r>
      <w:r w:rsidR="00266D29" w:rsidRPr="004F11AC">
        <w:t xml:space="preserve"> </w:t>
      </w:r>
    </w:p>
    <w:p w14:paraId="6690EFC9" w14:textId="005E90D5" w:rsidR="00314E69" w:rsidRPr="00316744" w:rsidRDefault="00314E69" w:rsidP="00E208B7">
      <w:pPr>
        <w:pStyle w:val="COMexecsummnumbered"/>
      </w:pPr>
      <w:r>
        <w:t xml:space="preserve">Table 10 </w:t>
      </w:r>
      <w:r w:rsidR="00F4267A" w:rsidRPr="004F11AC">
        <w:t>summarises the key inputs for financial estimates presented in the resubmission.</w:t>
      </w:r>
      <w:bookmarkStart w:id="45" w:name="_Ref196222354"/>
      <w:r w:rsidR="00A27907">
        <w:t xml:space="preserve"> </w:t>
      </w:r>
    </w:p>
    <w:p w14:paraId="2ADC90BF" w14:textId="353A4065" w:rsidR="002F2731" w:rsidRPr="004F11AC" w:rsidRDefault="002F2731" w:rsidP="00E208B7">
      <w:pPr>
        <w:pStyle w:val="COMtablefigcaption"/>
        <w:keepLines/>
      </w:pPr>
      <w:r w:rsidRPr="004F11AC">
        <w:lastRenderedPageBreak/>
        <w:t xml:space="preserve">Table </w:t>
      </w:r>
      <w:r w:rsidR="00D87C74" w:rsidRPr="004F11AC">
        <w:fldChar w:fldCharType="begin"/>
      </w:r>
      <w:r w:rsidR="00D87C74" w:rsidRPr="004F11AC">
        <w:instrText xml:space="preserve"> SEQ Table \* ARABIC </w:instrText>
      </w:r>
      <w:r w:rsidR="00D87C74" w:rsidRPr="004F11AC">
        <w:fldChar w:fldCharType="separate"/>
      </w:r>
      <w:r w:rsidR="00280138">
        <w:rPr>
          <w:noProof/>
        </w:rPr>
        <w:t>10</w:t>
      </w:r>
      <w:r w:rsidR="00D87C74" w:rsidRPr="004F11AC">
        <w:fldChar w:fldCharType="end"/>
      </w:r>
      <w:bookmarkEnd w:id="45"/>
      <w:r w:rsidRPr="004F11AC">
        <w:t xml:space="preserve">: </w:t>
      </w:r>
      <w:bookmarkStart w:id="46" w:name="_Hlk196222377"/>
      <w:r w:rsidRPr="004F11AC">
        <w:t>Key inputs for financial estimates</w:t>
      </w:r>
      <w:bookmarkEnd w:id="46"/>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Caption w:val="Table 10: Key inputs for financial estimates"/>
      </w:tblPr>
      <w:tblGrid>
        <w:gridCol w:w="1129"/>
        <w:gridCol w:w="1418"/>
        <w:gridCol w:w="1984"/>
        <w:gridCol w:w="4536"/>
      </w:tblGrid>
      <w:tr w:rsidR="00BA0730" w:rsidRPr="005D7866" w14:paraId="5095BAB6" w14:textId="77777777" w:rsidTr="00316744">
        <w:trPr>
          <w:cantSplit/>
          <w:tblHeader/>
        </w:trPr>
        <w:tc>
          <w:tcPr>
            <w:tcW w:w="1129" w:type="dxa"/>
            <w:vAlign w:val="center"/>
          </w:tcPr>
          <w:p w14:paraId="6AA9AB1A" w14:textId="77777777" w:rsidR="002F2731" w:rsidRPr="005D7866" w:rsidRDefault="002F2731" w:rsidP="00E208B7">
            <w:pPr>
              <w:pStyle w:val="COMTableheadingrow"/>
              <w:keepLines/>
              <w:rPr>
                <w:lang w:val="en-AU"/>
              </w:rPr>
            </w:pPr>
            <w:r w:rsidRPr="005D7866">
              <w:rPr>
                <w:lang w:val="en-AU"/>
              </w:rPr>
              <w:t>Data</w:t>
            </w:r>
          </w:p>
        </w:tc>
        <w:tc>
          <w:tcPr>
            <w:tcW w:w="1418" w:type="dxa"/>
            <w:vAlign w:val="center"/>
          </w:tcPr>
          <w:p w14:paraId="0A15FBBC" w14:textId="77777777" w:rsidR="002F2731" w:rsidRPr="005D7866" w:rsidRDefault="002F2731" w:rsidP="00E208B7">
            <w:pPr>
              <w:pStyle w:val="COMTableheadingrow"/>
              <w:keepLines/>
              <w:rPr>
                <w:lang w:val="en-AU"/>
              </w:rPr>
            </w:pPr>
            <w:r w:rsidRPr="005D7866">
              <w:rPr>
                <w:lang w:val="en-AU"/>
              </w:rPr>
              <w:t>Value</w:t>
            </w:r>
          </w:p>
        </w:tc>
        <w:tc>
          <w:tcPr>
            <w:tcW w:w="1984" w:type="dxa"/>
            <w:vAlign w:val="center"/>
          </w:tcPr>
          <w:p w14:paraId="0867155F" w14:textId="77777777" w:rsidR="002F2731" w:rsidRPr="005D7866" w:rsidRDefault="002F2731" w:rsidP="00E208B7">
            <w:pPr>
              <w:pStyle w:val="COMTableheadingrow"/>
              <w:keepLines/>
              <w:rPr>
                <w:lang w:val="en-AU"/>
              </w:rPr>
            </w:pPr>
            <w:r w:rsidRPr="005D7866">
              <w:rPr>
                <w:lang w:val="en-AU"/>
              </w:rPr>
              <w:t>Source</w:t>
            </w:r>
          </w:p>
        </w:tc>
        <w:tc>
          <w:tcPr>
            <w:tcW w:w="4536" w:type="dxa"/>
            <w:vAlign w:val="center"/>
          </w:tcPr>
          <w:p w14:paraId="75AB8838" w14:textId="77777777" w:rsidR="002F2731" w:rsidRPr="005D7866" w:rsidRDefault="002F2731" w:rsidP="00E208B7">
            <w:pPr>
              <w:pStyle w:val="COMTableheadingrow"/>
              <w:keepLines/>
              <w:rPr>
                <w:lang w:val="en-AU"/>
              </w:rPr>
            </w:pPr>
            <w:r w:rsidRPr="005D7866">
              <w:rPr>
                <w:lang w:val="en-AU"/>
              </w:rPr>
              <w:t>Comment</w:t>
            </w:r>
          </w:p>
        </w:tc>
      </w:tr>
      <w:tr w:rsidR="00BA0730" w:rsidRPr="005D7866" w14:paraId="0675F0B1" w14:textId="77777777" w:rsidTr="00316744">
        <w:trPr>
          <w:cantSplit/>
        </w:trPr>
        <w:tc>
          <w:tcPr>
            <w:tcW w:w="9067" w:type="dxa"/>
            <w:gridSpan w:val="4"/>
            <w:vAlign w:val="center"/>
          </w:tcPr>
          <w:p w14:paraId="1B28C763" w14:textId="77777777" w:rsidR="002F2731" w:rsidRPr="005D7866" w:rsidRDefault="002F2731" w:rsidP="00E208B7">
            <w:pPr>
              <w:pStyle w:val="COMTableheadingrow"/>
              <w:keepLines/>
              <w:rPr>
                <w:lang w:val="en-AU"/>
              </w:rPr>
            </w:pPr>
            <w:r w:rsidRPr="005D7866">
              <w:rPr>
                <w:lang w:val="en-AU"/>
              </w:rPr>
              <w:t>Eligible population</w:t>
            </w:r>
          </w:p>
        </w:tc>
      </w:tr>
      <w:tr w:rsidR="00BA0730" w:rsidRPr="005D7866" w14:paraId="3A7449C3" w14:textId="77777777" w:rsidTr="00316744">
        <w:trPr>
          <w:cantSplit/>
        </w:trPr>
        <w:tc>
          <w:tcPr>
            <w:tcW w:w="1129" w:type="dxa"/>
            <w:vAlign w:val="center"/>
          </w:tcPr>
          <w:p w14:paraId="759F73F7" w14:textId="65BCC875" w:rsidR="002F2731" w:rsidRPr="005D7866" w:rsidRDefault="002F2731" w:rsidP="00E208B7">
            <w:pPr>
              <w:pStyle w:val="COMTabletext"/>
              <w:keepNext w:val="0"/>
            </w:pPr>
            <w:r w:rsidRPr="005D7866">
              <w:t>Insulin detemir scripts</w:t>
            </w:r>
          </w:p>
        </w:tc>
        <w:tc>
          <w:tcPr>
            <w:tcW w:w="1418" w:type="dxa"/>
            <w:vAlign w:val="center"/>
          </w:tcPr>
          <w:p w14:paraId="71680497" w14:textId="132C3F7D" w:rsidR="002F2731" w:rsidRPr="005D7866" w:rsidRDefault="002F2731" w:rsidP="00E208B7">
            <w:pPr>
              <w:pStyle w:val="COMTabletext"/>
              <w:keepNext w:val="0"/>
              <w:jc w:val="center"/>
            </w:pPr>
            <w:r w:rsidRPr="005D7866">
              <w:t>30,165</w:t>
            </w:r>
            <w:r w:rsidR="006E0D4E" w:rsidRPr="005D7866">
              <w:t xml:space="preserve"> in 2023</w:t>
            </w:r>
          </w:p>
        </w:tc>
        <w:tc>
          <w:tcPr>
            <w:tcW w:w="1984" w:type="dxa"/>
            <w:vAlign w:val="center"/>
          </w:tcPr>
          <w:p w14:paraId="3E84FE48" w14:textId="77777777" w:rsidR="002F2731" w:rsidRPr="005D7866" w:rsidRDefault="002F2731" w:rsidP="00E208B7">
            <w:pPr>
              <w:pStyle w:val="COMTabletext"/>
              <w:keepNext w:val="0"/>
            </w:pPr>
            <w:r w:rsidRPr="005D7866">
              <w:t>PBS utilisation of insulin detemir for the 2023 calendar year (PBS items 12236B, 9040T).</w:t>
            </w:r>
          </w:p>
        </w:tc>
        <w:tc>
          <w:tcPr>
            <w:tcW w:w="4536" w:type="dxa"/>
            <w:vAlign w:val="center"/>
          </w:tcPr>
          <w:p w14:paraId="0F1BD984" w14:textId="5D822B1C" w:rsidR="002F2731" w:rsidRPr="005D7866" w:rsidRDefault="002F2731" w:rsidP="00E208B7">
            <w:pPr>
              <w:pStyle w:val="TableText"/>
              <w:keepNext w:val="0"/>
              <w:keepLines w:val="0"/>
              <w:widowControl/>
            </w:pPr>
            <w:r w:rsidRPr="005D7866">
              <w:t>The use of the single calendar year 2023 was not reasonable. The numbers of PBS insulin detemir scripts for 2020-2024 show a decrease in scripts over 5 years (2020: 35,335 to 2024: 27,987; Services Australia PBS Item Reports Online).</w:t>
            </w:r>
          </w:p>
        </w:tc>
      </w:tr>
      <w:tr w:rsidR="00BA0730" w:rsidRPr="005D7866" w14:paraId="5354D00A" w14:textId="77777777" w:rsidTr="00316744">
        <w:trPr>
          <w:cantSplit/>
        </w:trPr>
        <w:tc>
          <w:tcPr>
            <w:tcW w:w="1129" w:type="dxa"/>
            <w:vAlign w:val="center"/>
          </w:tcPr>
          <w:p w14:paraId="1A3E8925" w14:textId="77777777" w:rsidR="002F2731" w:rsidRPr="005D7866" w:rsidRDefault="002F2731" w:rsidP="00E208B7">
            <w:pPr>
              <w:pStyle w:val="COMTabletext"/>
              <w:keepNext w:val="0"/>
            </w:pPr>
            <w:r w:rsidRPr="005D7866">
              <w:t xml:space="preserve">Estimated annual script growth </w:t>
            </w:r>
          </w:p>
        </w:tc>
        <w:tc>
          <w:tcPr>
            <w:tcW w:w="1418" w:type="dxa"/>
            <w:tcBorders>
              <w:bottom w:val="single" w:sz="4" w:space="0" w:color="auto"/>
            </w:tcBorders>
            <w:vAlign w:val="center"/>
          </w:tcPr>
          <w:p w14:paraId="6C2018F8" w14:textId="77777777" w:rsidR="002F2731" w:rsidRPr="005D7866" w:rsidRDefault="002F2731" w:rsidP="00E208B7">
            <w:pPr>
              <w:pStyle w:val="COMTabletext"/>
              <w:keepNext w:val="0"/>
              <w:jc w:val="center"/>
            </w:pPr>
            <w:r w:rsidRPr="005D7866">
              <w:t>1.6% per year</w:t>
            </w:r>
          </w:p>
        </w:tc>
        <w:tc>
          <w:tcPr>
            <w:tcW w:w="1984" w:type="dxa"/>
            <w:vAlign w:val="center"/>
          </w:tcPr>
          <w:p w14:paraId="266ADBB4" w14:textId="77777777" w:rsidR="002F2731" w:rsidRPr="005D7866" w:rsidRDefault="002F2731" w:rsidP="00E208B7">
            <w:pPr>
              <w:pStyle w:val="COMTabletext"/>
              <w:keepNext w:val="0"/>
            </w:pPr>
            <w:r w:rsidRPr="005D7866">
              <w:t>Assumed.</w:t>
            </w:r>
          </w:p>
        </w:tc>
        <w:tc>
          <w:tcPr>
            <w:tcW w:w="4536" w:type="dxa"/>
            <w:vAlign w:val="center"/>
          </w:tcPr>
          <w:p w14:paraId="6C7B5ABC" w14:textId="77777777" w:rsidR="002F2731" w:rsidRPr="005D7866" w:rsidRDefault="002F2731" w:rsidP="00E208B7">
            <w:pPr>
              <w:pStyle w:val="TableText"/>
              <w:keepNext w:val="0"/>
              <w:keepLines w:val="0"/>
              <w:widowControl/>
            </w:pPr>
            <w:r w:rsidRPr="005D7866">
              <w:t>This assumption was not reasonable as it is inconsistent with the declining numbers of insulin detemir scripts from 2020 to 2024. Insulin glargine script numbers have also been declining over the same time period.</w:t>
            </w:r>
          </w:p>
        </w:tc>
      </w:tr>
      <w:tr w:rsidR="00BA0730" w:rsidRPr="005D7866" w14:paraId="29250B28" w14:textId="77777777" w:rsidTr="00316744">
        <w:trPr>
          <w:cantSplit/>
        </w:trPr>
        <w:tc>
          <w:tcPr>
            <w:tcW w:w="1129" w:type="dxa"/>
            <w:vAlign w:val="center"/>
          </w:tcPr>
          <w:p w14:paraId="77BDDF47" w14:textId="77777777" w:rsidR="002F2731" w:rsidRPr="005D7866" w:rsidRDefault="002F2731" w:rsidP="00E208B7">
            <w:pPr>
              <w:pStyle w:val="COMTabletext"/>
              <w:keepNext w:val="0"/>
            </w:pPr>
            <w:r w:rsidRPr="005D7866">
              <w:t xml:space="preserve">Estimated use of insulin degludec </w:t>
            </w:r>
          </w:p>
        </w:tc>
        <w:tc>
          <w:tcPr>
            <w:tcW w:w="1418" w:type="dxa"/>
            <w:tcBorders>
              <w:bottom w:val="single" w:sz="4" w:space="0" w:color="auto"/>
            </w:tcBorders>
            <w:vAlign w:val="center"/>
          </w:tcPr>
          <w:p w14:paraId="4A2BAA38" w14:textId="7772F7E6" w:rsidR="002F2731" w:rsidRPr="005D7866" w:rsidRDefault="002F2731" w:rsidP="00E208B7">
            <w:pPr>
              <w:pStyle w:val="COMTabletext"/>
              <w:keepNext w:val="0"/>
              <w:jc w:val="center"/>
            </w:pPr>
            <w:r w:rsidRPr="005B36B1">
              <w:t>100% uptake</w:t>
            </w:r>
            <w:r w:rsidRPr="005D7866">
              <w:t xml:space="preserve"> from insulin detemir scripts (if not discontinued)</w:t>
            </w:r>
          </w:p>
        </w:tc>
        <w:tc>
          <w:tcPr>
            <w:tcW w:w="1984" w:type="dxa"/>
            <w:vAlign w:val="center"/>
          </w:tcPr>
          <w:p w14:paraId="082DF0E7" w14:textId="00FE0E80" w:rsidR="002F2731" w:rsidRPr="005D7866" w:rsidRDefault="000D269E" w:rsidP="00E208B7">
            <w:pPr>
              <w:pStyle w:val="COMTabletext"/>
              <w:keepNext w:val="0"/>
            </w:pPr>
            <w:r w:rsidRPr="005D7866">
              <w:t>It was as</w:t>
            </w:r>
            <w:r w:rsidR="002F2731" w:rsidRPr="005D7866">
              <w:t xml:space="preserve">sumed that all insulin detemir scripts will be substituted by insulin degludec; and insulin degludec will not substitute for other basal insulins (e.g. insulin glargine). </w:t>
            </w:r>
          </w:p>
        </w:tc>
        <w:tc>
          <w:tcPr>
            <w:tcW w:w="4536" w:type="dxa"/>
            <w:vAlign w:val="center"/>
          </w:tcPr>
          <w:p w14:paraId="657F7720" w14:textId="5E24DAD0" w:rsidR="002F2731" w:rsidRPr="005D7866" w:rsidRDefault="002F2731" w:rsidP="00E208B7">
            <w:pPr>
              <w:pStyle w:val="TableText"/>
              <w:keepNext w:val="0"/>
              <w:keepLines w:val="0"/>
              <w:widowControl/>
              <w:spacing w:after="60"/>
            </w:pPr>
            <w:r w:rsidRPr="005D7866">
              <w:t xml:space="preserve">The </w:t>
            </w:r>
            <w:r w:rsidR="00BA2DCF" w:rsidRPr="005D7866">
              <w:t xml:space="preserve">evaluation and the ESC considered that the </w:t>
            </w:r>
            <w:r w:rsidRPr="005D7866">
              <w:t>assumption that all insulin detemir patients will switch to insulin degludec was not reasonable, as some patients may switch to other basal insulins (e.g. insulin glargine).</w:t>
            </w:r>
          </w:p>
          <w:p w14:paraId="660A0314" w14:textId="5D06AA7A" w:rsidR="002F2731" w:rsidRPr="005D7866" w:rsidRDefault="002F2731" w:rsidP="00E208B7">
            <w:pPr>
              <w:pStyle w:val="TableText"/>
              <w:keepNext w:val="0"/>
              <w:keepLines w:val="0"/>
              <w:widowControl/>
            </w:pPr>
            <w:r w:rsidRPr="005D7866">
              <w:t xml:space="preserve">The </w:t>
            </w:r>
            <w:r w:rsidR="00BA2DCF" w:rsidRPr="005D7866">
              <w:t xml:space="preserve">evaluation and the ESC considered that the </w:t>
            </w:r>
            <w:r w:rsidRPr="005D7866">
              <w:t>assumption that insulin degludec will only substitute insulin detemir scripts was not reasonable, given the resubmission noted expert opinion that there is an unmet clinical need for insulin degludec in some patients and insulin degludec may replace insulin glargine or other basal insulins (p14, of the resubmission).</w:t>
            </w:r>
            <w:r w:rsidR="00EE3663" w:rsidRPr="005D7866">
              <w:t xml:space="preserve"> In addition, insulin degludec may replace insulin detemir prior to the intended removal of insulin detemir from the Australian market at the end of 2026.</w:t>
            </w:r>
            <w:r w:rsidR="002503A7">
              <w:t xml:space="preserve"> The PBAC considered that an uptake rate of </w:t>
            </w:r>
            <w:r w:rsidR="00F658E4">
              <w:t xml:space="preserve">approximately </w:t>
            </w:r>
            <w:r w:rsidR="002503A7">
              <w:t xml:space="preserve">80% </w:t>
            </w:r>
            <w:r w:rsidR="002B07C6">
              <w:t xml:space="preserve">was more </w:t>
            </w:r>
            <w:r w:rsidR="00EF1B63">
              <w:t>reasonable.</w:t>
            </w:r>
          </w:p>
        </w:tc>
      </w:tr>
    </w:tbl>
    <w:p w14:paraId="35D4BAB8" w14:textId="66910C17" w:rsidR="002F2731" w:rsidRPr="004F11AC" w:rsidRDefault="002F2731" w:rsidP="00E208B7">
      <w:pPr>
        <w:pStyle w:val="COMTablefooter"/>
      </w:pPr>
      <w:r w:rsidRPr="004F11AC">
        <w:t>Source: p95 of the resubmission; Section 4 Workbook (Tresiba).</w:t>
      </w:r>
      <w:proofErr w:type="spellStart"/>
      <w:r w:rsidRPr="004F11AC">
        <w:t>xls</w:t>
      </w:r>
      <w:r w:rsidR="00746DC9" w:rsidRPr="004F11AC">
        <w:t>m</w:t>
      </w:r>
      <w:proofErr w:type="spellEnd"/>
      <w:r w:rsidRPr="004F11AC">
        <w:t>, attached to the resubmission.</w:t>
      </w:r>
    </w:p>
    <w:p w14:paraId="21159FBD" w14:textId="57B7B389" w:rsidR="00FA1DE9" w:rsidRPr="004F11AC" w:rsidRDefault="00D5027D" w:rsidP="00E208B7">
      <w:pPr>
        <w:pStyle w:val="COMexecsummnumbered"/>
      </w:pPr>
      <w:r w:rsidRPr="004F11AC">
        <w:fldChar w:fldCharType="begin"/>
      </w:r>
      <w:r w:rsidRPr="004F11AC">
        <w:instrText xml:space="preserve"> REF _Ref196247223 \h </w:instrText>
      </w:r>
      <w:r w:rsidRPr="004F11AC">
        <w:fldChar w:fldCharType="separate"/>
      </w:r>
      <w:r w:rsidR="00280138" w:rsidRPr="004F11AC">
        <w:t xml:space="preserve">Table </w:t>
      </w:r>
      <w:r w:rsidR="00280138">
        <w:rPr>
          <w:noProof/>
        </w:rPr>
        <w:t>11</w:t>
      </w:r>
      <w:r w:rsidRPr="004F11AC">
        <w:fldChar w:fldCharType="end"/>
      </w:r>
      <w:r w:rsidRPr="004F11AC">
        <w:t xml:space="preserve"> </w:t>
      </w:r>
      <w:r w:rsidR="00FA1DE9" w:rsidRPr="004F11AC">
        <w:t>presents the estimated utilisation and financial impact of listing insulin degludec on the PBS/RPBS for the treatment of T1D.</w:t>
      </w:r>
    </w:p>
    <w:p w14:paraId="36479644" w14:textId="59CAFFFB" w:rsidR="002F6C30" w:rsidRPr="004F11AC" w:rsidRDefault="002F6C30" w:rsidP="005A07BA">
      <w:pPr>
        <w:pStyle w:val="COMtablefigcaption"/>
        <w:keepLines/>
      </w:pPr>
      <w:bookmarkStart w:id="47" w:name="_Ref196247223"/>
      <w:r w:rsidRPr="004F11AC">
        <w:lastRenderedPageBreak/>
        <w:t xml:space="preserve">Table </w:t>
      </w:r>
      <w:r w:rsidR="00D87C74" w:rsidRPr="004F11AC">
        <w:fldChar w:fldCharType="begin"/>
      </w:r>
      <w:r w:rsidR="00D87C74" w:rsidRPr="004F11AC">
        <w:instrText xml:space="preserve"> SEQ Table \* ARABIC </w:instrText>
      </w:r>
      <w:r w:rsidR="00D87C74" w:rsidRPr="004F11AC">
        <w:fldChar w:fldCharType="separate"/>
      </w:r>
      <w:r w:rsidR="00280138">
        <w:rPr>
          <w:noProof/>
        </w:rPr>
        <w:t>11</w:t>
      </w:r>
      <w:r w:rsidR="00D87C74" w:rsidRPr="004F11AC">
        <w:fldChar w:fldCharType="end"/>
      </w:r>
      <w:bookmarkEnd w:id="47"/>
      <w:r w:rsidRPr="004F11AC">
        <w:t>: Estimated use and financial implications based on the proposed effective price of insulin degludec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1: Estimated use and financial implications based on the proposed effective price of insulin degludec"/>
      </w:tblPr>
      <w:tblGrid>
        <w:gridCol w:w="2405"/>
        <w:gridCol w:w="1102"/>
        <w:gridCol w:w="1102"/>
        <w:gridCol w:w="1102"/>
        <w:gridCol w:w="1102"/>
        <w:gridCol w:w="1102"/>
        <w:gridCol w:w="1102"/>
      </w:tblGrid>
      <w:tr w:rsidR="00BA0730" w:rsidRPr="004E6415" w14:paraId="096E9CDA" w14:textId="77777777">
        <w:trPr>
          <w:tblHeader/>
        </w:trPr>
        <w:tc>
          <w:tcPr>
            <w:tcW w:w="1334" w:type="pct"/>
            <w:vAlign w:val="center"/>
          </w:tcPr>
          <w:p w14:paraId="735C7BA7" w14:textId="77777777" w:rsidR="002F6C30" w:rsidRPr="004E6415" w:rsidRDefault="002F6C30" w:rsidP="005A07BA">
            <w:pPr>
              <w:pStyle w:val="In-tableHeading"/>
              <w:jc w:val="center"/>
              <w:rPr>
                <w:lang w:val="en-AU"/>
              </w:rPr>
            </w:pPr>
          </w:p>
        </w:tc>
        <w:tc>
          <w:tcPr>
            <w:tcW w:w="611" w:type="pct"/>
            <w:vAlign w:val="center"/>
          </w:tcPr>
          <w:p w14:paraId="3E00A46A" w14:textId="77777777" w:rsidR="002F6C30" w:rsidRPr="004E6415" w:rsidRDefault="002F6C30" w:rsidP="005A07BA">
            <w:pPr>
              <w:pStyle w:val="COMTableheadingrow"/>
              <w:keepLines/>
              <w:jc w:val="center"/>
              <w:rPr>
                <w:lang w:val="en-AU"/>
              </w:rPr>
            </w:pPr>
            <w:r w:rsidRPr="004E6415">
              <w:rPr>
                <w:lang w:val="en-AU"/>
              </w:rPr>
              <w:t>Year 1</w:t>
            </w:r>
          </w:p>
        </w:tc>
        <w:tc>
          <w:tcPr>
            <w:tcW w:w="611" w:type="pct"/>
            <w:vAlign w:val="center"/>
          </w:tcPr>
          <w:p w14:paraId="39B03BF8" w14:textId="77777777" w:rsidR="002F6C30" w:rsidRPr="004E6415" w:rsidRDefault="002F6C30" w:rsidP="005A07BA">
            <w:pPr>
              <w:pStyle w:val="COMTableheadingrow"/>
              <w:keepLines/>
              <w:jc w:val="center"/>
              <w:rPr>
                <w:lang w:val="en-AU"/>
              </w:rPr>
            </w:pPr>
            <w:r w:rsidRPr="004E6415">
              <w:rPr>
                <w:lang w:val="en-AU"/>
              </w:rPr>
              <w:t>Year 2</w:t>
            </w:r>
          </w:p>
        </w:tc>
        <w:tc>
          <w:tcPr>
            <w:tcW w:w="611" w:type="pct"/>
            <w:vAlign w:val="center"/>
          </w:tcPr>
          <w:p w14:paraId="38F95B2E" w14:textId="77777777" w:rsidR="002F6C30" w:rsidRPr="004E6415" w:rsidRDefault="002F6C30" w:rsidP="005A07BA">
            <w:pPr>
              <w:pStyle w:val="COMTableheadingrow"/>
              <w:keepLines/>
              <w:jc w:val="center"/>
              <w:rPr>
                <w:lang w:val="en-AU"/>
              </w:rPr>
            </w:pPr>
            <w:r w:rsidRPr="004E6415">
              <w:rPr>
                <w:lang w:val="en-AU"/>
              </w:rPr>
              <w:t>Year 3</w:t>
            </w:r>
          </w:p>
        </w:tc>
        <w:tc>
          <w:tcPr>
            <w:tcW w:w="611" w:type="pct"/>
            <w:vAlign w:val="center"/>
          </w:tcPr>
          <w:p w14:paraId="512BD57E" w14:textId="77777777" w:rsidR="002F6C30" w:rsidRPr="004E6415" w:rsidRDefault="002F6C30" w:rsidP="005A07BA">
            <w:pPr>
              <w:pStyle w:val="COMTableheadingrow"/>
              <w:keepLines/>
              <w:jc w:val="center"/>
              <w:rPr>
                <w:lang w:val="en-AU"/>
              </w:rPr>
            </w:pPr>
            <w:r w:rsidRPr="004E6415">
              <w:rPr>
                <w:lang w:val="en-AU"/>
              </w:rPr>
              <w:t>Year 4</w:t>
            </w:r>
          </w:p>
        </w:tc>
        <w:tc>
          <w:tcPr>
            <w:tcW w:w="611" w:type="pct"/>
            <w:vAlign w:val="center"/>
          </w:tcPr>
          <w:p w14:paraId="19AA1E30" w14:textId="77777777" w:rsidR="002F6C30" w:rsidRPr="004E6415" w:rsidRDefault="002F6C30" w:rsidP="005A07BA">
            <w:pPr>
              <w:pStyle w:val="COMTableheadingrow"/>
              <w:keepLines/>
              <w:jc w:val="center"/>
              <w:rPr>
                <w:lang w:val="en-AU"/>
              </w:rPr>
            </w:pPr>
            <w:r w:rsidRPr="004E6415">
              <w:rPr>
                <w:lang w:val="en-AU"/>
              </w:rPr>
              <w:t>Year 5</w:t>
            </w:r>
          </w:p>
        </w:tc>
        <w:tc>
          <w:tcPr>
            <w:tcW w:w="611" w:type="pct"/>
          </w:tcPr>
          <w:p w14:paraId="2E54E1FE" w14:textId="77777777" w:rsidR="002F6C30" w:rsidRPr="004E6415" w:rsidRDefault="002F6C30" w:rsidP="005A07BA">
            <w:pPr>
              <w:pStyle w:val="COMTableheadingrow"/>
              <w:keepLines/>
              <w:jc w:val="center"/>
              <w:rPr>
                <w:lang w:val="en-AU"/>
              </w:rPr>
            </w:pPr>
            <w:r w:rsidRPr="004E6415">
              <w:rPr>
                <w:lang w:val="en-AU"/>
              </w:rPr>
              <w:t>Year 6</w:t>
            </w:r>
          </w:p>
        </w:tc>
      </w:tr>
      <w:tr w:rsidR="00BA0730" w:rsidRPr="004E6415" w14:paraId="2B0A80A0" w14:textId="77777777">
        <w:tc>
          <w:tcPr>
            <w:tcW w:w="5000" w:type="pct"/>
            <w:gridSpan w:val="7"/>
            <w:vAlign w:val="center"/>
          </w:tcPr>
          <w:p w14:paraId="738406EC" w14:textId="77777777" w:rsidR="002F6C30" w:rsidRPr="004E6415" w:rsidRDefault="002F6C30" w:rsidP="005A07BA">
            <w:pPr>
              <w:pStyle w:val="COMTableheadingrow"/>
              <w:keepLines/>
              <w:rPr>
                <w:lang w:val="en-AU"/>
              </w:rPr>
            </w:pPr>
            <w:r w:rsidRPr="004E6415">
              <w:rPr>
                <w:lang w:val="en-AU"/>
              </w:rPr>
              <w:t>Estimated extent of use</w:t>
            </w:r>
          </w:p>
        </w:tc>
      </w:tr>
      <w:tr w:rsidR="00BA0730" w:rsidRPr="004E6415" w14:paraId="44049242" w14:textId="77777777">
        <w:tc>
          <w:tcPr>
            <w:tcW w:w="1334" w:type="pct"/>
            <w:vAlign w:val="center"/>
          </w:tcPr>
          <w:p w14:paraId="4CF53B63" w14:textId="77777777" w:rsidR="002F6C30" w:rsidRPr="004E6415" w:rsidRDefault="002F6C30" w:rsidP="005A07BA">
            <w:pPr>
              <w:pStyle w:val="COMTabletext"/>
              <w:keepLines/>
              <w:rPr>
                <w:rFonts w:ascii="Times" w:hAnsi="Times"/>
              </w:rPr>
            </w:pPr>
            <w:r w:rsidRPr="004E6415">
              <w:t xml:space="preserve">Number of scripts </w:t>
            </w:r>
            <w:proofErr w:type="spellStart"/>
            <w:r w:rsidRPr="004E6415">
              <w:t>dispensed</w:t>
            </w:r>
            <w:r w:rsidRPr="004E6415">
              <w:rPr>
                <w:vertAlign w:val="superscript"/>
              </w:rPr>
              <w:t>a</w:t>
            </w:r>
            <w:proofErr w:type="spellEnd"/>
          </w:p>
        </w:tc>
        <w:tc>
          <w:tcPr>
            <w:tcW w:w="611" w:type="pct"/>
            <w:vAlign w:val="center"/>
          </w:tcPr>
          <w:p w14:paraId="76F426D1" w14:textId="7E6BFA0A" w:rsidR="002F6C30" w:rsidRPr="00C52770" w:rsidRDefault="003367FF" w:rsidP="005A07BA">
            <w:pPr>
              <w:pStyle w:val="TableText"/>
              <w:widowControl/>
              <w:jc w:val="center"/>
              <w:rPr>
                <w:highlight w:val="darkGray"/>
                <w:vertAlign w:val="superscript"/>
              </w:rPr>
            </w:pPr>
            <w:r w:rsidRPr="003367FF">
              <w:rPr>
                <w:color w:val="000000"/>
                <w:spacing w:val="48"/>
                <w:shd w:val="solid" w:color="000000" w:fill="000000"/>
                <w:fitText w:val="315" w:id="-628903153"/>
                <w14:textFill>
                  <w14:solidFill>
                    <w14:srgbClr w14:val="000000">
                      <w14:alpha w14:val="100000"/>
                    </w14:srgbClr>
                  </w14:solidFill>
                </w14:textFill>
              </w:rPr>
              <w:t>|||</w:t>
            </w:r>
            <w:r w:rsidRPr="003367FF">
              <w:rPr>
                <w:color w:val="000000"/>
                <w:spacing w:val="1"/>
                <w:shd w:val="solid" w:color="000000" w:fill="000000"/>
                <w:fitText w:val="315" w:id="-628903153"/>
                <w14:textFill>
                  <w14:solidFill>
                    <w14:srgbClr w14:val="000000">
                      <w14:alpha w14:val="100000"/>
                    </w14:srgbClr>
                  </w14:solidFill>
                </w14:textFill>
              </w:rPr>
              <w:t>|</w:t>
            </w:r>
            <w:r w:rsidR="00C52770" w:rsidRPr="00C52770">
              <w:rPr>
                <w:vertAlign w:val="superscript"/>
              </w:rPr>
              <w:t>1</w:t>
            </w:r>
          </w:p>
        </w:tc>
        <w:tc>
          <w:tcPr>
            <w:tcW w:w="611" w:type="pct"/>
            <w:vAlign w:val="center"/>
          </w:tcPr>
          <w:p w14:paraId="0F8228AC" w14:textId="17F36F42" w:rsidR="002F6C30" w:rsidRPr="005B36B1" w:rsidRDefault="003367FF" w:rsidP="005A07BA">
            <w:pPr>
              <w:pStyle w:val="TableText"/>
              <w:widowControl/>
              <w:jc w:val="center"/>
              <w:rPr>
                <w:highlight w:val="darkGray"/>
              </w:rPr>
            </w:pPr>
            <w:r w:rsidRPr="003367FF">
              <w:rPr>
                <w:color w:val="000000"/>
                <w:spacing w:val="48"/>
                <w:shd w:val="solid" w:color="000000" w:fill="000000"/>
                <w:fitText w:val="315" w:id="-628903152"/>
                <w14:textFill>
                  <w14:solidFill>
                    <w14:srgbClr w14:val="000000">
                      <w14:alpha w14:val="100000"/>
                    </w14:srgbClr>
                  </w14:solidFill>
                </w14:textFill>
              </w:rPr>
              <w:t>|||</w:t>
            </w:r>
            <w:r w:rsidRPr="003367FF">
              <w:rPr>
                <w:color w:val="000000"/>
                <w:spacing w:val="1"/>
                <w:shd w:val="solid" w:color="000000" w:fill="000000"/>
                <w:fitText w:val="315" w:id="-628903152"/>
                <w14:textFill>
                  <w14:solidFill>
                    <w14:srgbClr w14:val="000000">
                      <w14:alpha w14:val="100000"/>
                    </w14:srgbClr>
                  </w14:solidFill>
                </w14:textFill>
              </w:rPr>
              <w:t>|</w:t>
            </w:r>
            <w:r w:rsidR="00C52770" w:rsidRPr="00C52770">
              <w:rPr>
                <w:vertAlign w:val="superscript"/>
              </w:rPr>
              <w:t>1</w:t>
            </w:r>
          </w:p>
        </w:tc>
        <w:tc>
          <w:tcPr>
            <w:tcW w:w="611" w:type="pct"/>
            <w:vAlign w:val="center"/>
          </w:tcPr>
          <w:p w14:paraId="0F5F14FF" w14:textId="20785AF9" w:rsidR="002F6C30" w:rsidRPr="005B36B1" w:rsidRDefault="003367FF" w:rsidP="005A07BA">
            <w:pPr>
              <w:pStyle w:val="TableText"/>
              <w:widowControl/>
              <w:jc w:val="center"/>
              <w:rPr>
                <w:highlight w:val="darkGray"/>
              </w:rPr>
            </w:pPr>
            <w:r w:rsidRPr="003367FF">
              <w:rPr>
                <w:color w:val="000000"/>
                <w:spacing w:val="48"/>
                <w:shd w:val="solid" w:color="000000" w:fill="000000"/>
                <w:fitText w:val="315" w:id="-628903168"/>
                <w14:textFill>
                  <w14:solidFill>
                    <w14:srgbClr w14:val="000000">
                      <w14:alpha w14:val="100000"/>
                    </w14:srgbClr>
                  </w14:solidFill>
                </w14:textFill>
              </w:rPr>
              <w:t>|||</w:t>
            </w:r>
            <w:r w:rsidRPr="003367FF">
              <w:rPr>
                <w:color w:val="000000"/>
                <w:spacing w:val="1"/>
                <w:shd w:val="solid" w:color="000000" w:fill="000000"/>
                <w:fitText w:val="315" w:id="-628903168"/>
                <w14:textFill>
                  <w14:solidFill>
                    <w14:srgbClr w14:val="000000">
                      <w14:alpha w14:val="100000"/>
                    </w14:srgbClr>
                  </w14:solidFill>
                </w14:textFill>
              </w:rPr>
              <w:t>|</w:t>
            </w:r>
            <w:r w:rsidR="00C52770" w:rsidRPr="00C52770">
              <w:rPr>
                <w:vertAlign w:val="superscript"/>
              </w:rPr>
              <w:t>1</w:t>
            </w:r>
          </w:p>
        </w:tc>
        <w:tc>
          <w:tcPr>
            <w:tcW w:w="611" w:type="pct"/>
            <w:vAlign w:val="center"/>
          </w:tcPr>
          <w:p w14:paraId="4DB52B31" w14:textId="1B120CE8" w:rsidR="002F6C30" w:rsidRPr="005B36B1" w:rsidRDefault="003367FF" w:rsidP="005A07BA">
            <w:pPr>
              <w:pStyle w:val="TableText"/>
              <w:widowControl/>
              <w:jc w:val="center"/>
              <w:rPr>
                <w:highlight w:val="darkGray"/>
              </w:rPr>
            </w:pPr>
            <w:r w:rsidRPr="003367FF">
              <w:rPr>
                <w:color w:val="000000"/>
                <w:spacing w:val="48"/>
                <w:shd w:val="solid" w:color="000000" w:fill="000000"/>
                <w:fitText w:val="315" w:id="-628903167"/>
                <w14:textFill>
                  <w14:solidFill>
                    <w14:srgbClr w14:val="000000">
                      <w14:alpha w14:val="100000"/>
                    </w14:srgbClr>
                  </w14:solidFill>
                </w14:textFill>
              </w:rPr>
              <w:t>|||</w:t>
            </w:r>
            <w:r w:rsidRPr="003367FF">
              <w:rPr>
                <w:color w:val="000000"/>
                <w:spacing w:val="1"/>
                <w:shd w:val="solid" w:color="000000" w:fill="000000"/>
                <w:fitText w:val="315" w:id="-628903167"/>
                <w14:textFill>
                  <w14:solidFill>
                    <w14:srgbClr w14:val="000000">
                      <w14:alpha w14:val="100000"/>
                    </w14:srgbClr>
                  </w14:solidFill>
                </w14:textFill>
              </w:rPr>
              <w:t>|</w:t>
            </w:r>
            <w:r w:rsidR="00C52770" w:rsidRPr="00C52770">
              <w:rPr>
                <w:vertAlign w:val="superscript"/>
              </w:rPr>
              <w:t>1</w:t>
            </w:r>
          </w:p>
        </w:tc>
        <w:tc>
          <w:tcPr>
            <w:tcW w:w="611" w:type="pct"/>
            <w:vAlign w:val="center"/>
          </w:tcPr>
          <w:p w14:paraId="3A46C540" w14:textId="228553D5" w:rsidR="002F6C30" w:rsidRPr="005B36B1" w:rsidRDefault="003367FF" w:rsidP="005A07BA">
            <w:pPr>
              <w:pStyle w:val="TableText"/>
              <w:widowControl/>
              <w:jc w:val="center"/>
              <w:rPr>
                <w:highlight w:val="darkGray"/>
              </w:rPr>
            </w:pPr>
            <w:r w:rsidRPr="003367FF">
              <w:rPr>
                <w:color w:val="000000"/>
                <w:spacing w:val="48"/>
                <w:shd w:val="solid" w:color="000000" w:fill="000000"/>
                <w:fitText w:val="315" w:id="-628903166"/>
                <w14:textFill>
                  <w14:solidFill>
                    <w14:srgbClr w14:val="000000">
                      <w14:alpha w14:val="100000"/>
                    </w14:srgbClr>
                  </w14:solidFill>
                </w14:textFill>
              </w:rPr>
              <w:t>|||</w:t>
            </w:r>
            <w:r w:rsidRPr="003367FF">
              <w:rPr>
                <w:color w:val="000000"/>
                <w:spacing w:val="1"/>
                <w:shd w:val="solid" w:color="000000" w:fill="000000"/>
                <w:fitText w:val="315" w:id="-628903166"/>
                <w14:textFill>
                  <w14:solidFill>
                    <w14:srgbClr w14:val="000000">
                      <w14:alpha w14:val="100000"/>
                    </w14:srgbClr>
                  </w14:solidFill>
                </w14:textFill>
              </w:rPr>
              <w:t>|</w:t>
            </w:r>
            <w:r w:rsidR="00C52770" w:rsidRPr="00C52770">
              <w:rPr>
                <w:vertAlign w:val="superscript"/>
              </w:rPr>
              <w:t>1</w:t>
            </w:r>
          </w:p>
        </w:tc>
        <w:tc>
          <w:tcPr>
            <w:tcW w:w="611" w:type="pct"/>
            <w:vAlign w:val="center"/>
          </w:tcPr>
          <w:p w14:paraId="480A08E8" w14:textId="08619D49" w:rsidR="002F6C30" w:rsidRPr="005B36B1" w:rsidRDefault="003367FF" w:rsidP="005A07BA">
            <w:pPr>
              <w:pStyle w:val="TableText"/>
              <w:widowControl/>
              <w:jc w:val="center"/>
              <w:rPr>
                <w:highlight w:val="darkGray"/>
              </w:rPr>
            </w:pPr>
            <w:r w:rsidRPr="003367FF">
              <w:rPr>
                <w:color w:val="000000"/>
                <w:spacing w:val="48"/>
                <w:shd w:val="solid" w:color="000000" w:fill="000000"/>
                <w:fitText w:val="315" w:id="-628903165"/>
                <w14:textFill>
                  <w14:solidFill>
                    <w14:srgbClr w14:val="000000">
                      <w14:alpha w14:val="100000"/>
                    </w14:srgbClr>
                  </w14:solidFill>
                </w14:textFill>
              </w:rPr>
              <w:t>|||</w:t>
            </w:r>
            <w:r w:rsidRPr="003367FF">
              <w:rPr>
                <w:color w:val="000000"/>
                <w:spacing w:val="1"/>
                <w:shd w:val="solid" w:color="000000" w:fill="000000"/>
                <w:fitText w:val="315" w:id="-628903165"/>
                <w14:textFill>
                  <w14:solidFill>
                    <w14:srgbClr w14:val="000000">
                      <w14:alpha w14:val="100000"/>
                    </w14:srgbClr>
                  </w14:solidFill>
                </w14:textFill>
              </w:rPr>
              <w:t>|</w:t>
            </w:r>
            <w:r w:rsidR="00C52770" w:rsidRPr="00C52770">
              <w:rPr>
                <w:vertAlign w:val="superscript"/>
              </w:rPr>
              <w:t>1</w:t>
            </w:r>
          </w:p>
        </w:tc>
      </w:tr>
      <w:tr w:rsidR="00BA0730" w:rsidRPr="004E6415" w14:paraId="0916C081" w14:textId="77777777">
        <w:tc>
          <w:tcPr>
            <w:tcW w:w="5000" w:type="pct"/>
            <w:gridSpan w:val="7"/>
            <w:vAlign w:val="center"/>
          </w:tcPr>
          <w:p w14:paraId="7E6BCFFB" w14:textId="77777777" w:rsidR="002F6C30" w:rsidRPr="004E6415" w:rsidRDefault="002F6C30" w:rsidP="005A07BA">
            <w:pPr>
              <w:pStyle w:val="COMTableheadingrow"/>
              <w:keepLines/>
              <w:rPr>
                <w:lang w:val="en-AU"/>
              </w:rPr>
            </w:pPr>
            <w:r w:rsidRPr="004E6415">
              <w:rPr>
                <w:lang w:val="en-AU"/>
              </w:rPr>
              <w:t>Estimated financial implications of insulin degludec 100 IU/mL</w:t>
            </w:r>
          </w:p>
        </w:tc>
      </w:tr>
      <w:tr w:rsidR="00BA0730" w:rsidRPr="004E6415" w14:paraId="27D3FF29" w14:textId="77777777" w:rsidTr="00F33BC0">
        <w:tc>
          <w:tcPr>
            <w:tcW w:w="1334" w:type="pct"/>
            <w:vAlign w:val="center"/>
          </w:tcPr>
          <w:p w14:paraId="67FB9A96" w14:textId="08205176" w:rsidR="009D4B0B" w:rsidRPr="004E6415" w:rsidRDefault="009D4B0B" w:rsidP="005A07BA">
            <w:pPr>
              <w:pStyle w:val="COMTabletext"/>
              <w:keepLines/>
            </w:pPr>
            <w:r w:rsidRPr="004E6415">
              <w:t>Cost to PBS/RPBS less copayments (effective DMPQ $</w:t>
            </w:r>
            <w:r w:rsidR="003367FF" w:rsidRPr="003367FF">
              <w:rPr>
                <w:color w:val="000000"/>
                <w:spacing w:val="53"/>
                <w:shd w:val="solid" w:color="000000" w:fill="000000"/>
                <w:fitText w:val="330" w:id="-628903164"/>
                <w14:textFill>
                  <w14:solidFill>
                    <w14:srgbClr w14:val="000000">
                      <w14:alpha w14:val="100000"/>
                    </w14:srgbClr>
                  </w14:solidFill>
                </w14:textFill>
              </w:rPr>
              <w:t>|||</w:t>
            </w:r>
            <w:r w:rsidR="003367FF" w:rsidRPr="003367FF">
              <w:rPr>
                <w:color w:val="000000"/>
                <w:spacing w:val="1"/>
                <w:shd w:val="solid" w:color="000000" w:fill="000000"/>
                <w:fitText w:val="330" w:id="-628903164"/>
                <w14:textFill>
                  <w14:solidFill>
                    <w14:srgbClr w14:val="000000">
                      <w14:alpha w14:val="100000"/>
                    </w14:srgbClr>
                  </w14:solidFill>
                </w14:textFill>
              </w:rPr>
              <w:t>|</w:t>
            </w:r>
            <w:r w:rsidR="00F33BC0" w:rsidRPr="004E6415">
              <w:t>)</w:t>
            </w:r>
          </w:p>
        </w:tc>
        <w:tc>
          <w:tcPr>
            <w:tcW w:w="611" w:type="pct"/>
            <w:vAlign w:val="center"/>
          </w:tcPr>
          <w:p w14:paraId="3A6656F7" w14:textId="64FC0FC0" w:rsidR="009D4B0B" w:rsidRPr="00A00C6D" w:rsidRDefault="009D4B0B" w:rsidP="005A07BA">
            <w:pPr>
              <w:pStyle w:val="TableText"/>
              <w:widowControl/>
              <w:jc w:val="center"/>
              <w:rPr>
                <w:vertAlign w:val="superscript"/>
              </w:rPr>
            </w:pPr>
            <w:r w:rsidRPr="004E6415">
              <w:t>$</w:t>
            </w:r>
            <w:r w:rsidR="003367FF" w:rsidRPr="003367FF">
              <w:rPr>
                <w:color w:val="000000"/>
                <w:spacing w:val="53"/>
                <w:shd w:val="solid" w:color="000000" w:fill="000000"/>
                <w:fitText w:val="330" w:id="-628903163"/>
                <w14:textFill>
                  <w14:solidFill>
                    <w14:srgbClr w14:val="000000">
                      <w14:alpha w14:val="100000"/>
                    </w14:srgbClr>
                  </w14:solidFill>
                </w14:textFill>
              </w:rPr>
              <w:t>|||</w:t>
            </w:r>
            <w:r w:rsidR="003367FF" w:rsidRPr="003367FF">
              <w:rPr>
                <w:color w:val="000000"/>
                <w:spacing w:val="1"/>
                <w:shd w:val="solid" w:color="000000" w:fill="000000"/>
                <w:fitText w:val="330" w:id="-628903163"/>
                <w14:textFill>
                  <w14:solidFill>
                    <w14:srgbClr w14:val="000000">
                      <w14:alpha w14:val="100000"/>
                    </w14:srgbClr>
                  </w14:solidFill>
                </w14:textFill>
              </w:rPr>
              <w:t>|</w:t>
            </w:r>
            <w:r w:rsidR="00A00C6D">
              <w:rPr>
                <w:vertAlign w:val="superscript"/>
              </w:rPr>
              <w:t>2</w:t>
            </w:r>
          </w:p>
        </w:tc>
        <w:tc>
          <w:tcPr>
            <w:tcW w:w="611" w:type="pct"/>
            <w:vAlign w:val="center"/>
          </w:tcPr>
          <w:p w14:paraId="03231FD8" w14:textId="57055426" w:rsidR="009D4B0B" w:rsidRPr="00A00C6D" w:rsidRDefault="009D4B0B" w:rsidP="005A07BA">
            <w:pPr>
              <w:pStyle w:val="TableText"/>
              <w:widowControl/>
              <w:jc w:val="center"/>
              <w:rPr>
                <w:vertAlign w:val="superscript"/>
              </w:rPr>
            </w:pPr>
            <w:r w:rsidRPr="004E6415">
              <w:t>$</w:t>
            </w:r>
            <w:r w:rsidR="003367FF" w:rsidRPr="003367FF">
              <w:rPr>
                <w:color w:val="000000"/>
                <w:spacing w:val="53"/>
                <w:shd w:val="solid" w:color="000000" w:fill="000000"/>
                <w:fitText w:val="330" w:id="-628903162"/>
                <w14:textFill>
                  <w14:solidFill>
                    <w14:srgbClr w14:val="000000">
                      <w14:alpha w14:val="100000"/>
                    </w14:srgbClr>
                  </w14:solidFill>
                </w14:textFill>
              </w:rPr>
              <w:t>|||</w:t>
            </w:r>
            <w:r w:rsidR="003367FF" w:rsidRPr="003367FF">
              <w:rPr>
                <w:color w:val="000000"/>
                <w:spacing w:val="1"/>
                <w:shd w:val="solid" w:color="000000" w:fill="000000"/>
                <w:fitText w:val="330" w:id="-628903162"/>
                <w14:textFill>
                  <w14:solidFill>
                    <w14:srgbClr w14:val="000000">
                      <w14:alpha w14:val="100000"/>
                    </w14:srgbClr>
                  </w14:solidFill>
                </w14:textFill>
              </w:rPr>
              <w:t>|</w:t>
            </w:r>
            <w:r w:rsidR="00A00C6D">
              <w:rPr>
                <w:vertAlign w:val="superscript"/>
              </w:rPr>
              <w:t>2</w:t>
            </w:r>
          </w:p>
        </w:tc>
        <w:tc>
          <w:tcPr>
            <w:tcW w:w="611" w:type="pct"/>
            <w:vAlign w:val="center"/>
          </w:tcPr>
          <w:p w14:paraId="75895A56" w14:textId="616B0D73" w:rsidR="009D4B0B" w:rsidRPr="00A00C6D" w:rsidRDefault="009D4B0B" w:rsidP="005A07BA">
            <w:pPr>
              <w:pStyle w:val="TableText"/>
              <w:widowControl/>
              <w:jc w:val="center"/>
              <w:rPr>
                <w:vertAlign w:val="superscript"/>
              </w:rPr>
            </w:pPr>
            <w:r w:rsidRPr="004E6415">
              <w:t>$</w:t>
            </w:r>
            <w:r w:rsidR="003367FF" w:rsidRPr="003367FF">
              <w:rPr>
                <w:color w:val="000000"/>
                <w:spacing w:val="53"/>
                <w:shd w:val="solid" w:color="000000" w:fill="000000"/>
                <w:fitText w:val="330" w:id="-628903161"/>
                <w14:textFill>
                  <w14:solidFill>
                    <w14:srgbClr w14:val="000000">
                      <w14:alpha w14:val="100000"/>
                    </w14:srgbClr>
                  </w14:solidFill>
                </w14:textFill>
              </w:rPr>
              <w:t>|||</w:t>
            </w:r>
            <w:r w:rsidR="003367FF" w:rsidRPr="003367FF">
              <w:rPr>
                <w:color w:val="000000"/>
                <w:spacing w:val="1"/>
                <w:shd w:val="solid" w:color="000000" w:fill="000000"/>
                <w:fitText w:val="330" w:id="-628903161"/>
                <w14:textFill>
                  <w14:solidFill>
                    <w14:srgbClr w14:val="000000">
                      <w14:alpha w14:val="100000"/>
                    </w14:srgbClr>
                  </w14:solidFill>
                </w14:textFill>
              </w:rPr>
              <w:t>|</w:t>
            </w:r>
            <w:r w:rsidR="00A00C6D">
              <w:rPr>
                <w:vertAlign w:val="superscript"/>
              </w:rPr>
              <w:t>2</w:t>
            </w:r>
          </w:p>
        </w:tc>
        <w:tc>
          <w:tcPr>
            <w:tcW w:w="611" w:type="pct"/>
            <w:vAlign w:val="center"/>
          </w:tcPr>
          <w:p w14:paraId="315B9047" w14:textId="220E4DD3" w:rsidR="009D4B0B" w:rsidRPr="00A00C6D" w:rsidRDefault="009D4B0B" w:rsidP="005A07BA">
            <w:pPr>
              <w:pStyle w:val="TableText"/>
              <w:widowControl/>
              <w:jc w:val="center"/>
              <w:rPr>
                <w:vertAlign w:val="superscript"/>
              </w:rPr>
            </w:pPr>
            <w:r w:rsidRPr="004E6415">
              <w:t>$</w:t>
            </w:r>
            <w:r w:rsidR="003367FF" w:rsidRPr="003367FF">
              <w:rPr>
                <w:color w:val="000000"/>
                <w:spacing w:val="53"/>
                <w:shd w:val="solid" w:color="000000" w:fill="000000"/>
                <w:fitText w:val="330" w:id="-628903160"/>
                <w14:textFill>
                  <w14:solidFill>
                    <w14:srgbClr w14:val="000000">
                      <w14:alpha w14:val="100000"/>
                    </w14:srgbClr>
                  </w14:solidFill>
                </w14:textFill>
              </w:rPr>
              <w:t>|||</w:t>
            </w:r>
            <w:r w:rsidR="003367FF" w:rsidRPr="003367FF">
              <w:rPr>
                <w:color w:val="000000"/>
                <w:spacing w:val="1"/>
                <w:shd w:val="solid" w:color="000000" w:fill="000000"/>
                <w:fitText w:val="330" w:id="-628903160"/>
                <w14:textFill>
                  <w14:solidFill>
                    <w14:srgbClr w14:val="000000">
                      <w14:alpha w14:val="100000"/>
                    </w14:srgbClr>
                  </w14:solidFill>
                </w14:textFill>
              </w:rPr>
              <w:t>|</w:t>
            </w:r>
            <w:r w:rsidR="00A00C6D">
              <w:rPr>
                <w:vertAlign w:val="superscript"/>
              </w:rPr>
              <w:t>2</w:t>
            </w:r>
          </w:p>
        </w:tc>
        <w:tc>
          <w:tcPr>
            <w:tcW w:w="611" w:type="pct"/>
            <w:vAlign w:val="center"/>
          </w:tcPr>
          <w:p w14:paraId="20BAC817" w14:textId="4123B514" w:rsidR="009D4B0B" w:rsidRPr="00A00C6D" w:rsidRDefault="009D4B0B" w:rsidP="005A07BA">
            <w:pPr>
              <w:pStyle w:val="TableText"/>
              <w:widowControl/>
              <w:jc w:val="center"/>
              <w:rPr>
                <w:vertAlign w:val="superscript"/>
              </w:rPr>
            </w:pPr>
            <w:r w:rsidRPr="004E6415">
              <w:t>$</w:t>
            </w:r>
            <w:r w:rsidR="003367FF" w:rsidRPr="003367FF">
              <w:rPr>
                <w:color w:val="000000"/>
                <w:spacing w:val="53"/>
                <w:shd w:val="solid" w:color="000000" w:fill="000000"/>
                <w:fitText w:val="330" w:id="-628903159"/>
                <w14:textFill>
                  <w14:solidFill>
                    <w14:srgbClr w14:val="000000">
                      <w14:alpha w14:val="100000"/>
                    </w14:srgbClr>
                  </w14:solidFill>
                </w14:textFill>
              </w:rPr>
              <w:t>|||</w:t>
            </w:r>
            <w:r w:rsidR="003367FF" w:rsidRPr="003367FF">
              <w:rPr>
                <w:color w:val="000000"/>
                <w:spacing w:val="1"/>
                <w:shd w:val="solid" w:color="000000" w:fill="000000"/>
                <w:fitText w:val="330" w:id="-628903159"/>
                <w14:textFill>
                  <w14:solidFill>
                    <w14:srgbClr w14:val="000000">
                      <w14:alpha w14:val="100000"/>
                    </w14:srgbClr>
                  </w14:solidFill>
                </w14:textFill>
              </w:rPr>
              <w:t>|</w:t>
            </w:r>
            <w:r w:rsidR="00A00C6D">
              <w:rPr>
                <w:vertAlign w:val="superscript"/>
              </w:rPr>
              <w:t>2</w:t>
            </w:r>
          </w:p>
        </w:tc>
        <w:tc>
          <w:tcPr>
            <w:tcW w:w="611" w:type="pct"/>
            <w:vAlign w:val="center"/>
          </w:tcPr>
          <w:p w14:paraId="389ADB18" w14:textId="2AC4B6E9" w:rsidR="009D4B0B" w:rsidRPr="00A00C6D" w:rsidRDefault="009D4B0B" w:rsidP="005A07BA">
            <w:pPr>
              <w:pStyle w:val="TableText"/>
              <w:widowControl/>
              <w:jc w:val="center"/>
              <w:rPr>
                <w:vertAlign w:val="superscript"/>
              </w:rPr>
            </w:pPr>
            <w:r w:rsidRPr="004E6415">
              <w:t>$</w:t>
            </w:r>
            <w:r w:rsidR="003367FF" w:rsidRPr="003367FF">
              <w:rPr>
                <w:color w:val="000000"/>
                <w:spacing w:val="53"/>
                <w:shd w:val="solid" w:color="000000" w:fill="000000"/>
                <w:fitText w:val="330" w:id="-628903158"/>
                <w14:textFill>
                  <w14:solidFill>
                    <w14:srgbClr w14:val="000000">
                      <w14:alpha w14:val="100000"/>
                    </w14:srgbClr>
                  </w14:solidFill>
                </w14:textFill>
              </w:rPr>
              <w:t>|||</w:t>
            </w:r>
            <w:r w:rsidR="003367FF" w:rsidRPr="003367FF">
              <w:rPr>
                <w:color w:val="000000"/>
                <w:spacing w:val="1"/>
                <w:shd w:val="solid" w:color="000000" w:fill="000000"/>
                <w:fitText w:val="330" w:id="-628903158"/>
                <w14:textFill>
                  <w14:solidFill>
                    <w14:srgbClr w14:val="000000">
                      <w14:alpha w14:val="100000"/>
                    </w14:srgbClr>
                  </w14:solidFill>
                </w14:textFill>
              </w:rPr>
              <w:t>|</w:t>
            </w:r>
            <w:r w:rsidR="00A00C6D">
              <w:rPr>
                <w:vertAlign w:val="superscript"/>
              </w:rPr>
              <w:t>2</w:t>
            </w:r>
          </w:p>
        </w:tc>
      </w:tr>
      <w:tr w:rsidR="00BA0730" w:rsidRPr="004E6415" w14:paraId="72C3BA77" w14:textId="77777777">
        <w:tc>
          <w:tcPr>
            <w:tcW w:w="1334" w:type="pct"/>
            <w:vAlign w:val="center"/>
          </w:tcPr>
          <w:p w14:paraId="48E3D321" w14:textId="0F40FB93" w:rsidR="002F6C30" w:rsidRPr="004E6415" w:rsidRDefault="002F6C30" w:rsidP="005A07BA">
            <w:pPr>
              <w:pStyle w:val="COMTabletext"/>
              <w:keepLines/>
            </w:pPr>
            <w:r w:rsidRPr="004E6415">
              <w:t>Cost to PBS/RPBS less copayments</w:t>
            </w:r>
            <w:r w:rsidR="00F33BC0" w:rsidRPr="004E6415">
              <w:t xml:space="preserve"> (effective DPMQ $</w:t>
            </w:r>
            <w:r w:rsidR="003367FF" w:rsidRPr="003367FF">
              <w:rPr>
                <w:color w:val="000000"/>
                <w:spacing w:val="53"/>
                <w:shd w:val="solid" w:color="000000" w:fill="000000"/>
                <w:fitText w:val="330" w:id="-628903157"/>
                <w14:textFill>
                  <w14:solidFill>
                    <w14:srgbClr w14:val="000000">
                      <w14:alpha w14:val="100000"/>
                    </w14:srgbClr>
                  </w14:solidFill>
                </w14:textFill>
              </w:rPr>
              <w:t>|||</w:t>
            </w:r>
            <w:r w:rsidR="003367FF" w:rsidRPr="003367FF">
              <w:rPr>
                <w:color w:val="000000"/>
                <w:spacing w:val="1"/>
                <w:shd w:val="solid" w:color="000000" w:fill="000000"/>
                <w:fitText w:val="330" w:id="-628903157"/>
                <w14:textFill>
                  <w14:solidFill>
                    <w14:srgbClr w14:val="000000">
                      <w14:alpha w14:val="100000"/>
                    </w14:srgbClr>
                  </w14:solidFill>
                </w14:textFill>
              </w:rPr>
              <w:t>|</w:t>
            </w:r>
            <w:r w:rsidR="00F33BC0" w:rsidRPr="004E6415">
              <w:t>)</w:t>
            </w:r>
            <w:r w:rsidR="00882419" w:rsidRPr="004E6415">
              <w:rPr>
                <w:vertAlign w:val="superscript"/>
              </w:rPr>
              <w:t>b</w:t>
            </w:r>
          </w:p>
        </w:tc>
        <w:tc>
          <w:tcPr>
            <w:tcW w:w="611" w:type="pct"/>
            <w:vAlign w:val="center"/>
          </w:tcPr>
          <w:p w14:paraId="672770A7" w14:textId="7AC3ED96" w:rsidR="002F6C30" w:rsidRPr="00A00C6D" w:rsidRDefault="002F6C30" w:rsidP="005A07BA">
            <w:pPr>
              <w:pStyle w:val="TableText"/>
              <w:widowControl/>
              <w:jc w:val="center"/>
              <w:rPr>
                <w:vertAlign w:val="superscript"/>
              </w:rPr>
            </w:pPr>
            <w:r w:rsidRPr="004E6415">
              <w:t>$</w:t>
            </w:r>
            <w:r w:rsidR="003367FF" w:rsidRPr="003367FF">
              <w:rPr>
                <w:color w:val="000000"/>
                <w:spacing w:val="53"/>
                <w:shd w:val="solid" w:color="000000" w:fill="000000"/>
                <w:fitText w:val="330" w:id="-628903156"/>
                <w14:textFill>
                  <w14:solidFill>
                    <w14:srgbClr w14:val="000000">
                      <w14:alpha w14:val="100000"/>
                    </w14:srgbClr>
                  </w14:solidFill>
                </w14:textFill>
              </w:rPr>
              <w:t>|||</w:t>
            </w:r>
            <w:r w:rsidR="003367FF" w:rsidRPr="003367FF">
              <w:rPr>
                <w:color w:val="000000"/>
                <w:spacing w:val="1"/>
                <w:shd w:val="solid" w:color="000000" w:fill="000000"/>
                <w:fitText w:val="330" w:id="-628903156"/>
                <w14:textFill>
                  <w14:solidFill>
                    <w14:srgbClr w14:val="000000">
                      <w14:alpha w14:val="100000"/>
                    </w14:srgbClr>
                  </w14:solidFill>
                </w14:textFill>
              </w:rPr>
              <w:t>|</w:t>
            </w:r>
            <w:r w:rsidR="00A00C6D">
              <w:rPr>
                <w:vertAlign w:val="superscript"/>
              </w:rPr>
              <w:t>2</w:t>
            </w:r>
          </w:p>
        </w:tc>
        <w:tc>
          <w:tcPr>
            <w:tcW w:w="611" w:type="pct"/>
            <w:vAlign w:val="center"/>
          </w:tcPr>
          <w:p w14:paraId="6F19A46F" w14:textId="778D2E00" w:rsidR="002F6C30" w:rsidRPr="00A00C6D" w:rsidRDefault="002F6C30" w:rsidP="005A07BA">
            <w:pPr>
              <w:pStyle w:val="TableText"/>
              <w:widowControl/>
              <w:jc w:val="center"/>
              <w:rPr>
                <w:vertAlign w:val="superscript"/>
              </w:rPr>
            </w:pPr>
            <w:r w:rsidRPr="004E6415">
              <w:t>$</w:t>
            </w:r>
            <w:r w:rsidR="003367FF" w:rsidRPr="003367FF">
              <w:rPr>
                <w:color w:val="000000"/>
                <w:spacing w:val="53"/>
                <w:shd w:val="solid" w:color="000000" w:fill="000000"/>
                <w:fitText w:val="330" w:id="-628903155"/>
                <w14:textFill>
                  <w14:solidFill>
                    <w14:srgbClr w14:val="000000">
                      <w14:alpha w14:val="100000"/>
                    </w14:srgbClr>
                  </w14:solidFill>
                </w14:textFill>
              </w:rPr>
              <w:t>|||</w:t>
            </w:r>
            <w:r w:rsidR="003367FF" w:rsidRPr="003367FF">
              <w:rPr>
                <w:color w:val="000000"/>
                <w:spacing w:val="1"/>
                <w:shd w:val="solid" w:color="000000" w:fill="000000"/>
                <w:fitText w:val="330" w:id="-628903155"/>
                <w14:textFill>
                  <w14:solidFill>
                    <w14:srgbClr w14:val="000000">
                      <w14:alpha w14:val="100000"/>
                    </w14:srgbClr>
                  </w14:solidFill>
                </w14:textFill>
              </w:rPr>
              <w:t>|</w:t>
            </w:r>
            <w:r w:rsidR="00A00C6D">
              <w:rPr>
                <w:vertAlign w:val="superscript"/>
              </w:rPr>
              <w:t>2</w:t>
            </w:r>
          </w:p>
        </w:tc>
        <w:tc>
          <w:tcPr>
            <w:tcW w:w="611" w:type="pct"/>
            <w:vAlign w:val="center"/>
          </w:tcPr>
          <w:p w14:paraId="45C63A7F" w14:textId="0525235F" w:rsidR="002F6C30" w:rsidRPr="00A00C6D" w:rsidRDefault="002F6C30" w:rsidP="005A07BA">
            <w:pPr>
              <w:pStyle w:val="TableText"/>
              <w:widowControl/>
              <w:jc w:val="center"/>
              <w:rPr>
                <w:vertAlign w:val="superscript"/>
              </w:rPr>
            </w:pPr>
            <w:r w:rsidRPr="004E6415">
              <w:t>$</w:t>
            </w:r>
            <w:r w:rsidR="003367FF" w:rsidRPr="003367FF">
              <w:rPr>
                <w:color w:val="000000"/>
                <w:spacing w:val="53"/>
                <w:shd w:val="solid" w:color="000000" w:fill="000000"/>
                <w:fitText w:val="330" w:id="-628903154"/>
                <w14:textFill>
                  <w14:solidFill>
                    <w14:srgbClr w14:val="000000">
                      <w14:alpha w14:val="100000"/>
                    </w14:srgbClr>
                  </w14:solidFill>
                </w14:textFill>
              </w:rPr>
              <w:t>|||</w:t>
            </w:r>
            <w:r w:rsidR="003367FF" w:rsidRPr="003367FF">
              <w:rPr>
                <w:color w:val="000000"/>
                <w:spacing w:val="1"/>
                <w:shd w:val="solid" w:color="000000" w:fill="000000"/>
                <w:fitText w:val="330" w:id="-628903154"/>
                <w14:textFill>
                  <w14:solidFill>
                    <w14:srgbClr w14:val="000000">
                      <w14:alpha w14:val="100000"/>
                    </w14:srgbClr>
                  </w14:solidFill>
                </w14:textFill>
              </w:rPr>
              <w:t>|</w:t>
            </w:r>
            <w:r w:rsidR="00A00C6D">
              <w:rPr>
                <w:vertAlign w:val="superscript"/>
              </w:rPr>
              <w:t>2</w:t>
            </w:r>
          </w:p>
        </w:tc>
        <w:tc>
          <w:tcPr>
            <w:tcW w:w="611" w:type="pct"/>
            <w:vAlign w:val="center"/>
          </w:tcPr>
          <w:p w14:paraId="60BF03DC" w14:textId="1F253D0B" w:rsidR="002F6C30" w:rsidRPr="00A00C6D" w:rsidRDefault="002F6C30" w:rsidP="005A07BA">
            <w:pPr>
              <w:pStyle w:val="TableText"/>
              <w:widowControl/>
              <w:jc w:val="center"/>
              <w:rPr>
                <w:vertAlign w:val="superscript"/>
              </w:rPr>
            </w:pPr>
            <w:r w:rsidRPr="004E6415">
              <w:t>$</w:t>
            </w:r>
            <w:r w:rsidR="003367FF" w:rsidRPr="003367FF">
              <w:rPr>
                <w:color w:val="000000"/>
                <w:spacing w:val="53"/>
                <w:shd w:val="solid" w:color="000000" w:fill="000000"/>
                <w:fitText w:val="330" w:id="-628903153"/>
                <w14:textFill>
                  <w14:solidFill>
                    <w14:srgbClr w14:val="000000">
                      <w14:alpha w14:val="100000"/>
                    </w14:srgbClr>
                  </w14:solidFill>
                </w14:textFill>
              </w:rPr>
              <w:t>|||</w:t>
            </w:r>
            <w:r w:rsidR="003367FF" w:rsidRPr="003367FF">
              <w:rPr>
                <w:color w:val="000000"/>
                <w:spacing w:val="1"/>
                <w:shd w:val="solid" w:color="000000" w:fill="000000"/>
                <w:fitText w:val="330" w:id="-628903153"/>
                <w14:textFill>
                  <w14:solidFill>
                    <w14:srgbClr w14:val="000000">
                      <w14:alpha w14:val="100000"/>
                    </w14:srgbClr>
                  </w14:solidFill>
                </w14:textFill>
              </w:rPr>
              <w:t>|</w:t>
            </w:r>
            <w:r w:rsidR="00A00C6D">
              <w:rPr>
                <w:vertAlign w:val="superscript"/>
              </w:rPr>
              <w:t>2</w:t>
            </w:r>
          </w:p>
        </w:tc>
        <w:tc>
          <w:tcPr>
            <w:tcW w:w="611" w:type="pct"/>
            <w:vAlign w:val="center"/>
          </w:tcPr>
          <w:p w14:paraId="1B03F414" w14:textId="6C9227BC" w:rsidR="002F6C30" w:rsidRPr="00A00C6D" w:rsidRDefault="002F6C30" w:rsidP="005A07BA">
            <w:pPr>
              <w:pStyle w:val="TableText"/>
              <w:widowControl/>
              <w:jc w:val="center"/>
              <w:rPr>
                <w:vertAlign w:val="superscript"/>
              </w:rPr>
            </w:pPr>
            <w:r w:rsidRPr="004E6415">
              <w:t>$</w:t>
            </w:r>
            <w:r w:rsidR="003367FF" w:rsidRPr="003367FF">
              <w:rPr>
                <w:color w:val="000000"/>
                <w:spacing w:val="53"/>
                <w:shd w:val="solid" w:color="000000" w:fill="000000"/>
                <w:fitText w:val="330" w:id="-628903152"/>
                <w14:textFill>
                  <w14:solidFill>
                    <w14:srgbClr w14:val="000000">
                      <w14:alpha w14:val="100000"/>
                    </w14:srgbClr>
                  </w14:solidFill>
                </w14:textFill>
              </w:rPr>
              <w:t>|||</w:t>
            </w:r>
            <w:r w:rsidR="003367FF" w:rsidRPr="003367FF">
              <w:rPr>
                <w:color w:val="000000"/>
                <w:spacing w:val="1"/>
                <w:shd w:val="solid" w:color="000000" w:fill="000000"/>
                <w:fitText w:val="330" w:id="-628903152"/>
                <w14:textFill>
                  <w14:solidFill>
                    <w14:srgbClr w14:val="000000">
                      <w14:alpha w14:val="100000"/>
                    </w14:srgbClr>
                  </w14:solidFill>
                </w14:textFill>
              </w:rPr>
              <w:t>|</w:t>
            </w:r>
            <w:r w:rsidR="00A00C6D">
              <w:rPr>
                <w:vertAlign w:val="superscript"/>
              </w:rPr>
              <w:t>2</w:t>
            </w:r>
          </w:p>
        </w:tc>
        <w:tc>
          <w:tcPr>
            <w:tcW w:w="611" w:type="pct"/>
            <w:vAlign w:val="center"/>
          </w:tcPr>
          <w:p w14:paraId="01B75EFD" w14:textId="169A93FB" w:rsidR="002F6C30" w:rsidRPr="00A00C6D" w:rsidRDefault="002F6C30" w:rsidP="005A07BA">
            <w:pPr>
              <w:pStyle w:val="TableText"/>
              <w:widowControl/>
              <w:jc w:val="center"/>
              <w:rPr>
                <w:vertAlign w:val="superscript"/>
              </w:rPr>
            </w:pPr>
            <w:r w:rsidRPr="004E6415">
              <w:t>$</w:t>
            </w:r>
            <w:r w:rsidR="003367FF" w:rsidRPr="003367FF">
              <w:rPr>
                <w:color w:val="000000"/>
                <w:spacing w:val="53"/>
                <w:shd w:val="solid" w:color="000000" w:fill="000000"/>
                <w:fitText w:val="330" w:id="-628903168"/>
                <w14:textFill>
                  <w14:solidFill>
                    <w14:srgbClr w14:val="000000">
                      <w14:alpha w14:val="100000"/>
                    </w14:srgbClr>
                  </w14:solidFill>
                </w14:textFill>
              </w:rPr>
              <w:t>|||</w:t>
            </w:r>
            <w:r w:rsidR="003367FF" w:rsidRPr="003367FF">
              <w:rPr>
                <w:color w:val="000000"/>
                <w:spacing w:val="1"/>
                <w:shd w:val="solid" w:color="000000" w:fill="000000"/>
                <w:fitText w:val="330" w:id="-628903168"/>
                <w14:textFill>
                  <w14:solidFill>
                    <w14:srgbClr w14:val="000000">
                      <w14:alpha w14:val="100000"/>
                    </w14:srgbClr>
                  </w14:solidFill>
                </w14:textFill>
              </w:rPr>
              <w:t>|</w:t>
            </w:r>
            <w:r w:rsidR="00A00C6D">
              <w:rPr>
                <w:vertAlign w:val="superscript"/>
              </w:rPr>
              <w:t>2</w:t>
            </w:r>
          </w:p>
        </w:tc>
      </w:tr>
      <w:tr w:rsidR="00BA0730" w:rsidRPr="004E6415" w14:paraId="6BEAEA9E" w14:textId="77777777">
        <w:tc>
          <w:tcPr>
            <w:tcW w:w="5000" w:type="pct"/>
            <w:gridSpan w:val="7"/>
            <w:vAlign w:val="center"/>
          </w:tcPr>
          <w:p w14:paraId="59D56E07" w14:textId="2145FEFA" w:rsidR="002F6C30" w:rsidRPr="004E6415" w:rsidRDefault="002F6C30" w:rsidP="005A07BA">
            <w:pPr>
              <w:pStyle w:val="COMTabletext"/>
              <w:keepLines/>
              <w:rPr>
                <w:b/>
                <w:bCs w:val="0"/>
              </w:rPr>
            </w:pPr>
            <w:r w:rsidRPr="004E6415">
              <w:rPr>
                <w:b/>
                <w:bCs w:val="0"/>
              </w:rPr>
              <w:t>Estimated financial implications for insulin detemir 100 IU/mL</w:t>
            </w:r>
            <w:r w:rsidR="0039659A">
              <w:rPr>
                <w:b/>
                <w:bCs w:val="0"/>
              </w:rPr>
              <w:t xml:space="preserve"> </w:t>
            </w:r>
            <w:r w:rsidR="00784D95" w:rsidRPr="004E6415">
              <w:rPr>
                <w:b/>
                <w:bCs w:val="0"/>
              </w:rPr>
              <w:t>(substituted by insulin glargine 100 IU/mL)</w:t>
            </w:r>
          </w:p>
        </w:tc>
      </w:tr>
      <w:tr w:rsidR="00BA0730" w:rsidRPr="004E6415" w14:paraId="07B69BCC" w14:textId="77777777">
        <w:tc>
          <w:tcPr>
            <w:tcW w:w="1334" w:type="pct"/>
            <w:vAlign w:val="center"/>
          </w:tcPr>
          <w:p w14:paraId="2E3794B4" w14:textId="7FBB975E" w:rsidR="002F6C30" w:rsidRPr="004E6415" w:rsidRDefault="002F6C30" w:rsidP="005A07BA">
            <w:pPr>
              <w:pStyle w:val="COMTabletext"/>
              <w:keepLines/>
            </w:pPr>
            <w:r w:rsidRPr="004E6415">
              <w:t>Cost to PBS/RPBS less copayments</w:t>
            </w:r>
            <w:r w:rsidR="00DC4869" w:rsidRPr="004E6415">
              <w:t xml:space="preserve"> </w:t>
            </w:r>
          </w:p>
        </w:tc>
        <w:tc>
          <w:tcPr>
            <w:tcW w:w="611" w:type="pct"/>
            <w:vAlign w:val="center"/>
          </w:tcPr>
          <w:p w14:paraId="2550870C" w14:textId="6B9C8F8B" w:rsidR="002F6C30" w:rsidRPr="00A00C6D" w:rsidRDefault="002F6C30" w:rsidP="005A07BA">
            <w:pPr>
              <w:pStyle w:val="TableText"/>
              <w:widowControl/>
              <w:jc w:val="center"/>
              <w:rPr>
                <w:vertAlign w:val="superscript"/>
              </w:rPr>
            </w:pPr>
            <w:r w:rsidRPr="004E6415">
              <w:t>-$</w:t>
            </w:r>
            <w:r w:rsidR="003367FF" w:rsidRPr="003367FF">
              <w:rPr>
                <w:color w:val="000000"/>
                <w:spacing w:val="53"/>
                <w:shd w:val="solid" w:color="000000" w:fill="000000"/>
                <w:fitText w:val="330" w:id="-628903167"/>
                <w14:textFill>
                  <w14:solidFill>
                    <w14:srgbClr w14:val="000000">
                      <w14:alpha w14:val="100000"/>
                    </w14:srgbClr>
                  </w14:solidFill>
                </w14:textFill>
              </w:rPr>
              <w:t>|||</w:t>
            </w:r>
            <w:r w:rsidR="003367FF" w:rsidRPr="003367FF">
              <w:rPr>
                <w:color w:val="000000"/>
                <w:spacing w:val="1"/>
                <w:shd w:val="solid" w:color="000000" w:fill="000000"/>
                <w:fitText w:val="330" w:id="-628903167"/>
                <w14:textFill>
                  <w14:solidFill>
                    <w14:srgbClr w14:val="000000">
                      <w14:alpha w14:val="100000"/>
                    </w14:srgbClr>
                  </w14:solidFill>
                </w14:textFill>
              </w:rPr>
              <w:t>|</w:t>
            </w:r>
            <w:r w:rsidR="00A00C6D">
              <w:rPr>
                <w:vertAlign w:val="superscript"/>
              </w:rPr>
              <w:t>2</w:t>
            </w:r>
          </w:p>
        </w:tc>
        <w:tc>
          <w:tcPr>
            <w:tcW w:w="611" w:type="pct"/>
            <w:vAlign w:val="center"/>
          </w:tcPr>
          <w:p w14:paraId="1D59A00B" w14:textId="072FA008" w:rsidR="002F6C30" w:rsidRPr="00A00C6D" w:rsidRDefault="002F6C30" w:rsidP="005A07BA">
            <w:pPr>
              <w:pStyle w:val="TableText"/>
              <w:widowControl/>
              <w:jc w:val="center"/>
              <w:rPr>
                <w:vertAlign w:val="superscript"/>
              </w:rPr>
            </w:pPr>
            <w:r w:rsidRPr="004E6415">
              <w:t>-$</w:t>
            </w:r>
            <w:r w:rsidR="003367FF" w:rsidRPr="003367FF">
              <w:rPr>
                <w:color w:val="000000"/>
                <w:spacing w:val="53"/>
                <w:shd w:val="solid" w:color="000000" w:fill="000000"/>
                <w:fitText w:val="330" w:id="-628903166"/>
                <w14:textFill>
                  <w14:solidFill>
                    <w14:srgbClr w14:val="000000">
                      <w14:alpha w14:val="100000"/>
                    </w14:srgbClr>
                  </w14:solidFill>
                </w14:textFill>
              </w:rPr>
              <w:t>|||</w:t>
            </w:r>
            <w:r w:rsidR="003367FF" w:rsidRPr="003367FF">
              <w:rPr>
                <w:color w:val="000000"/>
                <w:spacing w:val="1"/>
                <w:shd w:val="solid" w:color="000000" w:fill="000000"/>
                <w:fitText w:val="330" w:id="-628903166"/>
                <w14:textFill>
                  <w14:solidFill>
                    <w14:srgbClr w14:val="000000">
                      <w14:alpha w14:val="100000"/>
                    </w14:srgbClr>
                  </w14:solidFill>
                </w14:textFill>
              </w:rPr>
              <w:t>|</w:t>
            </w:r>
            <w:r w:rsidR="00A00C6D">
              <w:rPr>
                <w:vertAlign w:val="superscript"/>
              </w:rPr>
              <w:t>2</w:t>
            </w:r>
          </w:p>
        </w:tc>
        <w:tc>
          <w:tcPr>
            <w:tcW w:w="611" w:type="pct"/>
            <w:vAlign w:val="center"/>
          </w:tcPr>
          <w:p w14:paraId="125D80D1" w14:textId="44AA0FEF" w:rsidR="002F6C30" w:rsidRPr="00A00C6D" w:rsidRDefault="002F6C30" w:rsidP="005A07BA">
            <w:pPr>
              <w:pStyle w:val="TableText"/>
              <w:widowControl/>
              <w:jc w:val="center"/>
              <w:rPr>
                <w:vertAlign w:val="superscript"/>
              </w:rPr>
            </w:pPr>
            <w:r w:rsidRPr="004E6415">
              <w:t>-$</w:t>
            </w:r>
            <w:r w:rsidR="003367FF" w:rsidRPr="003367FF">
              <w:rPr>
                <w:color w:val="000000"/>
                <w:spacing w:val="53"/>
                <w:shd w:val="solid" w:color="000000" w:fill="000000"/>
                <w:fitText w:val="330" w:id="-628903165"/>
                <w14:textFill>
                  <w14:solidFill>
                    <w14:srgbClr w14:val="000000">
                      <w14:alpha w14:val="100000"/>
                    </w14:srgbClr>
                  </w14:solidFill>
                </w14:textFill>
              </w:rPr>
              <w:t>|||</w:t>
            </w:r>
            <w:r w:rsidR="003367FF" w:rsidRPr="003367FF">
              <w:rPr>
                <w:color w:val="000000"/>
                <w:spacing w:val="1"/>
                <w:shd w:val="solid" w:color="000000" w:fill="000000"/>
                <w:fitText w:val="330" w:id="-628903165"/>
                <w14:textFill>
                  <w14:solidFill>
                    <w14:srgbClr w14:val="000000">
                      <w14:alpha w14:val="100000"/>
                    </w14:srgbClr>
                  </w14:solidFill>
                </w14:textFill>
              </w:rPr>
              <w:t>|</w:t>
            </w:r>
            <w:r w:rsidR="00A00C6D">
              <w:rPr>
                <w:vertAlign w:val="superscript"/>
              </w:rPr>
              <w:t>2</w:t>
            </w:r>
          </w:p>
        </w:tc>
        <w:tc>
          <w:tcPr>
            <w:tcW w:w="611" w:type="pct"/>
            <w:vAlign w:val="center"/>
          </w:tcPr>
          <w:p w14:paraId="28239BF5" w14:textId="19FE0004" w:rsidR="002F6C30" w:rsidRPr="00A00C6D" w:rsidRDefault="002F6C30" w:rsidP="005A07BA">
            <w:pPr>
              <w:pStyle w:val="TableText"/>
              <w:widowControl/>
              <w:jc w:val="center"/>
              <w:rPr>
                <w:vertAlign w:val="superscript"/>
              </w:rPr>
            </w:pPr>
            <w:r w:rsidRPr="004E6415">
              <w:t>-$</w:t>
            </w:r>
            <w:r w:rsidR="003367FF" w:rsidRPr="003367FF">
              <w:rPr>
                <w:color w:val="000000"/>
                <w:spacing w:val="53"/>
                <w:shd w:val="solid" w:color="000000" w:fill="000000"/>
                <w:fitText w:val="330" w:id="-628903164"/>
                <w14:textFill>
                  <w14:solidFill>
                    <w14:srgbClr w14:val="000000">
                      <w14:alpha w14:val="100000"/>
                    </w14:srgbClr>
                  </w14:solidFill>
                </w14:textFill>
              </w:rPr>
              <w:t>|||</w:t>
            </w:r>
            <w:r w:rsidR="003367FF" w:rsidRPr="003367FF">
              <w:rPr>
                <w:color w:val="000000"/>
                <w:spacing w:val="1"/>
                <w:shd w:val="solid" w:color="000000" w:fill="000000"/>
                <w:fitText w:val="330" w:id="-628903164"/>
                <w14:textFill>
                  <w14:solidFill>
                    <w14:srgbClr w14:val="000000">
                      <w14:alpha w14:val="100000"/>
                    </w14:srgbClr>
                  </w14:solidFill>
                </w14:textFill>
              </w:rPr>
              <w:t>|</w:t>
            </w:r>
            <w:r w:rsidR="00A00C6D">
              <w:rPr>
                <w:vertAlign w:val="superscript"/>
              </w:rPr>
              <w:t>2</w:t>
            </w:r>
          </w:p>
        </w:tc>
        <w:tc>
          <w:tcPr>
            <w:tcW w:w="611" w:type="pct"/>
            <w:vAlign w:val="center"/>
          </w:tcPr>
          <w:p w14:paraId="7922CB29" w14:textId="4BBC7171" w:rsidR="002F6C30" w:rsidRPr="00A00C6D" w:rsidRDefault="002F6C30" w:rsidP="005A07BA">
            <w:pPr>
              <w:pStyle w:val="TableText"/>
              <w:widowControl/>
              <w:jc w:val="center"/>
              <w:rPr>
                <w:vertAlign w:val="superscript"/>
              </w:rPr>
            </w:pPr>
            <w:r w:rsidRPr="004E6415">
              <w:t>-$</w:t>
            </w:r>
            <w:r w:rsidR="003367FF" w:rsidRPr="003367FF">
              <w:rPr>
                <w:color w:val="000000"/>
                <w:spacing w:val="53"/>
                <w:shd w:val="solid" w:color="000000" w:fill="000000"/>
                <w:fitText w:val="330" w:id="-628903163"/>
                <w14:textFill>
                  <w14:solidFill>
                    <w14:srgbClr w14:val="000000">
                      <w14:alpha w14:val="100000"/>
                    </w14:srgbClr>
                  </w14:solidFill>
                </w14:textFill>
              </w:rPr>
              <w:t>|||</w:t>
            </w:r>
            <w:r w:rsidR="003367FF" w:rsidRPr="003367FF">
              <w:rPr>
                <w:color w:val="000000"/>
                <w:spacing w:val="1"/>
                <w:shd w:val="solid" w:color="000000" w:fill="000000"/>
                <w:fitText w:val="330" w:id="-628903163"/>
                <w14:textFill>
                  <w14:solidFill>
                    <w14:srgbClr w14:val="000000">
                      <w14:alpha w14:val="100000"/>
                    </w14:srgbClr>
                  </w14:solidFill>
                </w14:textFill>
              </w:rPr>
              <w:t>|</w:t>
            </w:r>
            <w:r w:rsidR="00A00C6D">
              <w:rPr>
                <w:vertAlign w:val="superscript"/>
              </w:rPr>
              <w:t>2</w:t>
            </w:r>
          </w:p>
        </w:tc>
        <w:tc>
          <w:tcPr>
            <w:tcW w:w="611" w:type="pct"/>
            <w:vAlign w:val="center"/>
          </w:tcPr>
          <w:p w14:paraId="46D8D6D6" w14:textId="65BC7717" w:rsidR="002F6C30" w:rsidRPr="00A00C6D" w:rsidRDefault="002F6C30" w:rsidP="005A07BA">
            <w:pPr>
              <w:pStyle w:val="TableText"/>
              <w:widowControl/>
              <w:jc w:val="center"/>
              <w:rPr>
                <w:vertAlign w:val="superscript"/>
              </w:rPr>
            </w:pPr>
            <w:r w:rsidRPr="004E6415">
              <w:t>-$</w:t>
            </w:r>
            <w:r w:rsidR="003367FF" w:rsidRPr="003367FF">
              <w:rPr>
                <w:color w:val="000000"/>
                <w:spacing w:val="53"/>
                <w:shd w:val="solid" w:color="000000" w:fill="000000"/>
                <w:fitText w:val="330" w:id="-628903162"/>
                <w14:textFill>
                  <w14:solidFill>
                    <w14:srgbClr w14:val="000000">
                      <w14:alpha w14:val="100000"/>
                    </w14:srgbClr>
                  </w14:solidFill>
                </w14:textFill>
              </w:rPr>
              <w:t>|||</w:t>
            </w:r>
            <w:r w:rsidR="003367FF" w:rsidRPr="003367FF">
              <w:rPr>
                <w:color w:val="000000"/>
                <w:spacing w:val="1"/>
                <w:shd w:val="solid" w:color="000000" w:fill="000000"/>
                <w:fitText w:val="330" w:id="-628903162"/>
                <w14:textFill>
                  <w14:solidFill>
                    <w14:srgbClr w14:val="000000">
                      <w14:alpha w14:val="100000"/>
                    </w14:srgbClr>
                  </w14:solidFill>
                </w14:textFill>
              </w:rPr>
              <w:t>|</w:t>
            </w:r>
            <w:r w:rsidR="00A00C6D">
              <w:rPr>
                <w:vertAlign w:val="superscript"/>
              </w:rPr>
              <w:t>2</w:t>
            </w:r>
          </w:p>
        </w:tc>
      </w:tr>
      <w:tr w:rsidR="00BA0730" w:rsidRPr="004E6415" w14:paraId="6C0197FA" w14:textId="77777777">
        <w:tc>
          <w:tcPr>
            <w:tcW w:w="5000" w:type="pct"/>
            <w:gridSpan w:val="7"/>
            <w:vAlign w:val="center"/>
          </w:tcPr>
          <w:p w14:paraId="0383A29A" w14:textId="59EC922A" w:rsidR="002F6C30" w:rsidRPr="004E6415" w:rsidRDefault="002F6C30" w:rsidP="005A07BA">
            <w:pPr>
              <w:pStyle w:val="COMTableheadingrow"/>
              <w:keepLines/>
              <w:rPr>
                <w:lang w:val="en-AU"/>
              </w:rPr>
            </w:pPr>
            <w:r w:rsidRPr="004E6415">
              <w:rPr>
                <w:lang w:val="en-AU"/>
              </w:rPr>
              <w:t>Net financial implications</w:t>
            </w:r>
          </w:p>
        </w:tc>
      </w:tr>
      <w:tr w:rsidR="00BA0730" w:rsidRPr="004E6415" w14:paraId="2C498839" w14:textId="77777777" w:rsidTr="00DB616C">
        <w:tc>
          <w:tcPr>
            <w:tcW w:w="1334" w:type="pct"/>
            <w:vAlign w:val="center"/>
          </w:tcPr>
          <w:p w14:paraId="42B3EB5B" w14:textId="1E0DA4B6" w:rsidR="00A6189A" w:rsidRPr="004E6415" w:rsidRDefault="00A6189A" w:rsidP="005A07BA">
            <w:pPr>
              <w:pStyle w:val="COMTabletext"/>
              <w:keepLines/>
            </w:pPr>
            <w:r w:rsidRPr="004E6415">
              <w:t>Net cost to PBS/RPBS (effective DMPQ $</w:t>
            </w:r>
            <w:r w:rsidR="003367FF" w:rsidRPr="003367FF">
              <w:rPr>
                <w:color w:val="000000"/>
                <w:spacing w:val="48"/>
                <w:shd w:val="solid" w:color="000000" w:fill="000000"/>
                <w:fitText w:val="315" w:id="-628903161"/>
                <w14:textFill>
                  <w14:solidFill>
                    <w14:srgbClr w14:val="000000">
                      <w14:alpha w14:val="100000"/>
                    </w14:srgbClr>
                  </w14:solidFill>
                </w14:textFill>
              </w:rPr>
              <w:t>|||</w:t>
            </w:r>
            <w:r w:rsidR="003367FF" w:rsidRPr="003367FF">
              <w:rPr>
                <w:color w:val="000000"/>
                <w:spacing w:val="1"/>
                <w:shd w:val="solid" w:color="000000" w:fill="000000"/>
                <w:fitText w:val="315" w:id="-628903161"/>
                <w14:textFill>
                  <w14:solidFill>
                    <w14:srgbClr w14:val="000000">
                      <w14:alpha w14:val="100000"/>
                    </w14:srgbClr>
                  </w14:solidFill>
                </w14:textFill>
              </w:rPr>
              <w:t>|</w:t>
            </w:r>
            <w:r w:rsidRPr="004E6415">
              <w:t>)</w:t>
            </w:r>
          </w:p>
        </w:tc>
        <w:tc>
          <w:tcPr>
            <w:tcW w:w="611" w:type="pct"/>
            <w:vAlign w:val="center"/>
          </w:tcPr>
          <w:p w14:paraId="0B58CF8A" w14:textId="4065C420" w:rsidR="00A6189A" w:rsidRPr="00A00C6D" w:rsidRDefault="00A6189A" w:rsidP="005A07BA">
            <w:pPr>
              <w:pStyle w:val="TableText"/>
              <w:widowControl/>
              <w:jc w:val="center"/>
              <w:rPr>
                <w:b/>
                <w:bCs w:val="0"/>
                <w:szCs w:val="20"/>
                <w:vertAlign w:val="superscript"/>
              </w:rPr>
            </w:pPr>
            <w:r w:rsidRPr="004E6415">
              <w:rPr>
                <w:b/>
                <w:bCs w:val="0"/>
              </w:rPr>
              <w:t>$</w:t>
            </w:r>
            <w:r w:rsidR="003367FF" w:rsidRPr="003367FF">
              <w:rPr>
                <w:b/>
                <w:bCs w:val="0"/>
                <w:color w:val="000000"/>
                <w:spacing w:val="58"/>
                <w:shd w:val="solid" w:color="000000" w:fill="000000"/>
                <w:fitText w:val="360" w:id="-628903160"/>
                <w14:textFill>
                  <w14:solidFill>
                    <w14:srgbClr w14:val="000000">
                      <w14:alpha w14:val="100000"/>
                    </w14:srgbClr>
                  </w14:solidFill>
                </w14:textFill>
              </w:rPr>
              <w:t>|||</w:t>
            </w:r>
            <w:r w:rsidR="003367FF" w:rsidRPr="003367FF">
              <w:rPr>
                <w:b/>
                <w:bCs w:val="0"/>
                <w:color w:val="000000"/>
                <w:spacing w:val="3"/>
                <w:shd w:val="solid" w:color="000000" w:fill="000000"/>
                <w:fitText w:val="360" w:id="-628903160"/>
                <w14:textFill>
                  <w14:solidFill>
                    <w14:srgbClr w14:val="000000">
                      <w14:alpha w14:val="100000"/>
                    </w14:srgbClr>
                  </w14:solidFill>
                </w14:textFill>
              </w:rPr>
              <w:t>|</w:t>
            </w:r>
            <w:r w:rsidR="00A00C6D">
              <w:rPr>
                <w:b/>
                <w:bCs w:val="0"/>
                <w:vertAlign w:val="superscript"/>
              </w:rPr>
              <w:t>2</w:t>
            </w:r>
          </w:p>
        </w:tc>
        <w:tc>
          <w:tcPr>
            <w:tcW w:w="611" w:type="pct"/>
            <w:vAlign w:val="center"/>
          </w:tcPr>
          <w:p w14:paraId="691E8D90" w14:textId="0D8B5AB3" w:rsidR="00A6189A" w:rsidRPr="00A00C6D" w:rsidRDefault="00A6189A" w:rsidP="005A07BA">
            <w:pPr>
              <w:pStyle w:val="TableText"/>
              <w:widowControl/>
              <w:jc w:val="center"/>
              <w:rPr>
                <w:b/>
                <w:bCs w:val="0"/>
                <w:szCs w:val="20"/>
                <w:vertAlign w:val="superscript"/>
              </w:rPr>
            </w:pPr>
            <w:r w:rsidRPr="004E6415">
              <w:rPr>
                <w:b/>
                <w:bCs w:val="0"/>
              </w:rPr>
              <w:t>$</w:t>
            </w:r>
            <w:r w:rsidR="003367FF" w:rsidRPr="003367FF">
              <w:rPr>
                <w:b/>
                <w:bCs w:val="0"/>
                <w:color w:val="000000"/>
                <w:spacing w:val="58"/>
                <w:shd w:val="solid" w:color="000000" w:fill="000000"/>
                <w:fitText w:val="360" w:id="-628903159"/>
                <w14:textFill>
                  <w14:solidFill>
                    <w14:srgbClr w14:val="000000">
                      <w14:alpha w14:val="100000"/>
                    </w14:srgbClr>
                  </w14:solidFill>
                </w14:textFill>
              </w:rPr>
              <w:t>|||</w:t>
            </w:r>
            <w:r w:rsidR="003367FF" w:rsidRPr="003367FF">
              <w:rPr>
                <w:b/>
                <w:bCs w:val="0"/>
                <w:color w:val="000000"/>
                <w:spacing w:val="3"/>
                <w:shd w:val="solid" w:color="000000" w:fill="000000"/>
                <w:fitText w:val="360" w:id="-628903159"/>
                <w14:textFill>
                  <w14:solidFill>
                    <w14:srgbClr w14:val="000000">
                      <w14:alpha w14:val="100000"/>
                    </w14:srgbClr>
                  </w14:solidFill>
                </w14:textFill>
              </w:rPr>
              <w:t>|</w:t>
            </w:r>
            <w:r w:rsidR="00A00C6D">
              <w:rPr>
                <w:b/>
                <w:bCs w:val="0"/>
                <w:vertAlign w:val="superscript"/>
              </w:rPr>
              <w:t>2</w:t>
            </w:r>
          </w:p>
        </w:tc>
        <w:tc>
          <w:tcPr>
            <w:tcW w:w="611" w:type="pct"/>
            <w:vAlign w:val="center"/>
          </w:tcPr>
          <w:p w14:paraId="5429C280" w14:textId="2D68CB60" w:rsidR="00A6189A" w:rsidRPr="00A00C6D" w:rsidRDefault="00A6189A" w:rsidP="005A07BA">
            <w:pPr>
              <w:pStyle w:val="TableText"/>
              <w:widowControl/>
              <w:jc w:val="center"/>
              <w:rPr>
                <w:b/>
                <w:bCs w:val="0"/>
                <w:szCs w:val="20"/>
                <w:vertAlign w:val="superscript"/>
              </w:rPr>
            </w:pPr>
            <w:r w:rsidRPr="004E6415">
              <w:rPr>
                <w:b/>
                <w:bCs w:val="0"/>
              </w:rPr>
              <w:t>$</w:t>
            </w:r>
            <w:r w:rsidR="003367FF" w:rsidRPr="003367FF">
              <w:rPr>
                <w:b/>
                <w:bCs w:val="0"/>
                <w:color w:val="000000"/>
                <w:spacing w:val="58"/>
                <w:shd w:val="solid" w:color="000000" w:fill="000000"/>
                <w:fitText w:val="360" w:id="-628903158"/>
                <w14:textFill>
                  <w14:solidFill>
                    <w14:srgbClr w14:val="000000">
                      <w14:alpha w14:val="100000"/>
                    </w14:srgbClr>
                  </w14:solidFill>
                </w14:textFill>
              </w:rPr>
              <w:t>|||</w:t>
            </w:r>
            <w:r w:rsidR="003367FF" w:rsidRPr="003367FF">
              <w:rPr>
                <w:b/>
                <w:bCs w:val="0"/>
                <w:color w:val="000000"/>
                <w:spacing w:val="3"/>
                <w:shd w:val="solid" w:color="000000" w:fill="000000"/>
                <w:fitText w:val="360" w:id="-628903158"/>
                <w14:textFill>
                  <w14:solidFill>
                    <w14:srgbClr w14:val="000000">
                      <w14:alpha w14:val="100000"/>
                    </w14:srgbClr>
                  </w14:solidFill>
                </w14:textFill>
              </w:rPr>
              <w:t>|</w:t>
            </w:r>
            <w:r w:rsidR="00A00C6D">
              <w:rPr>
                <w:b/>
                <w:bCs w:val="0"/>
                <w:vertAlign w:val="superscript"/>
              </w:rPr>
              <w:t>2</w:t>
            </w:r>
          </w:p>
        </w:tc>
        <w:tc>
          <w:tcPr>
            <w:tcW w:w="611" w:type="pct"/>
            <w:vAlign w:val="center"/>
          </w:tcPr>
          <w:p w14:paraId="611785A2" w14:textId="65E49E8C" w:rsidR="00A6189A" w:rsidRPr="00A00C6D" w:rsidRDefault="00A6189A" w:rsidP="005A07BA">
            <w:pPr>
              <w:pStyle w:val="TableText"/>
              <w:widowControl/>
              <w:jc w:val="center"/>
              <w:rPr>
                <w:b/>
                <w:bCs w:val="0"/>
                <w:szCs w:val="20"/>
                <w:vertAlign w:val="superscript"/>
              </w:rPr>
            </w:pPr>
            <w:r w:rsidRPr="004E6415">
              <w:rPr>
                <w:b/>
                <w:bCs w:val="0"/>
              </w:rPr>
              <w:t>$</w:t>
            </w:r>
            <w:r w:rsidR="003367FF" w:rsidRPr="003367FF">
              <w:rPr>
                <w:b/>
                <w:bCs w:val="0"/>
                <w:color w:val="000000"/>
                <w:spacing w:val="58"/>
                <w:shd w:val="solid" w:color="000000" w:fill="000000"/>
                <w:fitText w:val="360" w:id="-628903157"/>
                <w14:textFill>
                  <w14:solidFill>
                    <w14:srgbClr w14:val="000000">
                      <w14:alpha w14:val="100000"/>
                    </w14:srgbClr>
                  </w14:solidFill>
                </w14:textFill>
              </w:rPr>
              <w:t>|||</w:t>
            </w:r>
            <w:r w:rsidR="003367FF" w:rsidRPr="003367FF">
              <w:rPr>
                <w:b/>
                <w:bCs w:val="0"/>
                <w:color w:val="000000"/>
                <w:spacing w:val="3"/>
                <w:shd w:val="solid" w:color="000000" w:fill="000000"/>
                <w:fitText w:val="360" w:id="-628903157"/>
                <w14:textFill>
                  <w14:solidFill>
                    <w14:srgbClr w14:val="000000">
                      <w14:alpha w14:val="100000"/>
                    </w14:srgbClr>
                  </w14:solidFill>
                </w14:textFill>
              </w:rPr>
              <w:t>|</w:t>
            </w:r>
            <w:r w:rsidR="00A00C6D">
              <w:rPr>
                <w:b/>
                <w:bCs w:val="0"/>
                <w:vertAlign w:val="superscript"/>
              </w:rPr>
              <w:t>2</w:t>
            </w:r>
          </w:p>
        </w:tc>
        <w:tc>
          <w:tcPr>
            <w:tcW w:w="611" w:type="pct"/>
            <w:vAlign w:val="center"/>
          </w:tcPr>
          <w:p w14:paraId="5E6E8F96" w14:textId="3E7742C0" w:rsidR="00A6189A" w:rsidRPr="00A00C6D" w:rsidRDefault="00A6189A" w:rsidP="005A07BA">
            <w:pPr>
              <w:pStyle w:val="TableText"/>
              <w:widowControl/>
              <w:jc w:val="center"/>
              <w:rPr>
                <w:b/>
                <w:bCs w:val="0"/>
                <w:szCs w:val="20"/>
                <w:vertAlign w:val="superscript"/>
              </w:rPr>
            </w:pPr>
            <w:r w:rsidRPr="004E6415">
              <w:rPr>
                <w:b/>
                <w:bCs w:val="0"/>
              </w:rPr>
              <w:t>$</w:t>
            </w:r>
            <w:r w:rsidR="003367FF" w:rsidRPr="003367FF">
              <w:rPr>
                <w:b/>
                <w:bCs w:val="0"/>
                <w:color w:val="000000"/>
                <w:spacing w:val="58"/>
                <w:shd w:val="solid" w:color="000000" w:fill="000000"/>
                <w:fitText w:val="360" w:id="-628903156"/>
                <w14:textFill>
                  <w14:solidFill>
                    <w14:srgbClr w14:val="000000">
                      <w14:alpha w14:val="100000"/>
                    </w14:srgbClr>
                  </w14:solidFill>
                </w14:textFill>
              </w:rPr>
              <w:t>|||</w:t>
            </w:r>
            <w:r w:rsidR="003367FF" w:rsidRPr="003367FF">
              <w:rPr>
                <w:b/>
                <w:bCs w:val="0"/>
                <w:color w:val="000000"/>
                <w:spacing w:val="3"/>
                <w:shd w:val="solid" w:color="000000" w:fill="000000"/>
                <w:fitText w:val="360" w:id="-628903156"/>
                <w14:textFill>
                  <w14:solidFill>
                    <w14:srgbClr w14:val="000000">
                      <w14:alpha w14:val="100000"/>
                    </w14:srgbClr>
                  </w14:solidFill>
                </w14:textFill>
              </w:rPr>
              <w:t>|</w:t>
            </w:r>
            <w:r w:rsidR="00A00C6D">
              <w:rPr>
                <w:b/>
                <w:bCs w:val="0"/>
                <w:vertAlign w:val="superscript"/>
              </w:rPr>
              <w:t>2</w:t>
            </w:r>
          </w:p>
        </w:tc>
        <w:tc>
          <w:tcPr>
            <w:tcW w:w="611" w:type="pct"/>
            <w:vAlign w:val="center"/>
          </w:tcPr>
          <w:p w14:paraId="5287515F" w14:textId="7085971E" w:rsidR="00A6189A" w:rsidRPr="00A00C6D" w:rsidRDefault="00A6189A" w:rsidP="005A07BA">
            <w:pPr>
              <w:pStyle w:val="TableText"/>
              <w:widowControl/>
              <w:jc w:val="center"/>
              <w:rPr>
                <w:b/>
                <w:bCs w:val="0"/>
                <w:szCs w:val="20"/>
                <w:vertAlign w:val="superscript"/>
              </w:rPr>
            </w:pPr>
            <w:r w:rsidRPr="004E6415">
              <w:rPr>
                <w:b/>
                <w:bCs w:val="0"/>
              </w:rPr>
              <w:t>$</w:t>
            </w:r>
            <w:r w:rsidR="003367FF" w:rsidRPr="003367FF">
              <w:rPr>
                <w:b/>
                <w:bCs w:val="0"/>
                <w:color w:val="000000"/>
                <w:spacing w:val="58"/>
                <w:shd w:val="solid" w:color="000000" w:fill="000000"/>
                <w:fitText w:val="360" w:id="-628903155"/>
                <w14:textFill>
                  <w14:solidFill>
                    <w14:srgbClr w14:val="000000">
                      <w14:alpha w14:val="100000"/>
                    </w14:srgbClr>
                  </w14:solidFill>
                </w14:textFill>
              </w:rPr>
              <w:t>|||</w:t>
            </w:r>
            <w:r w:rsidR="003367FF" w:rsidRPr="003367FF">
              <w:rPr>
                <w:b/>
                <w:bCs w:val="0"/>
                <w:color w:val="000000"/>
                <w:spacing w:val="3"/>
                <w:shd w:val="solid" w:color="000000" w:fill="000000"/>
                <w:fitText w:val="360" w:id="-628903155"/>
                <w14:textFill>
                  <w14:solidFill>
                    <w14:srgbClr w14:val="000000">
                      <w14:alpha w14:val="100000"/>
                    </w14:srgbClr>
                  </w14:solidFill>
                </w14:textFill>
              </w:rPr>
              <w:t>|</w:t>
            </w:r>
            <w:r w:rsidR="00A00C6D">
              <w:rPr>
                <w:b/>
                <w:bCs w:val="0"/>
                <w:vertAlign w:val="superscript"/>
              </w:rPr>
              <w:t>2</w:t>
            </w:r>
          </w:p>
        </w:tc>
      </w:tr>
      <w:tr w:rsidR="00BA0730" w:rsidRPr="004E6415" w14:paraId="70174ED1" w14:textId="77777777" w:rsidTr="006C221C">
        <w:tc>
          <w:tcPr>
            <w:tcW w:w="1334" w:type="pct"/>
            <w:vAlign w:val="center"/>
          </w:tcPr>
          <w:p w14:paraId="14304E34" w14:textId="7E981552" w:rsidR="00D6265D" w:rsidRPr="004E6415" w:rsidRDefault="00D6265D" w:rsidP="005A07BA">
            <w:pPr>
              <w:pStyle w:val="COMTabletext"/>
              <w:keepLines/>
            </w:pPr>
            <w:r w:rsidRPr="004E6415">
              <w:t>Net cost to PBS/RPBS (effective DPMQ $</w:t>
            </w:r>
            <w:r w:rsidR="003367FF" w:rsidRPr="003367FF">
              <w:rPr>
                <w:color w:val="000000"/>
                <w:spacing w:val="48"/>
                <w:shd w:val="solid" w:color="000000" w:fill="000000"/>
                <w:fitText w:val="315" w:id="-628903154"/>
                <w14:textFill>
                  <w14:solidFill>
                    <w14:srgbClr w14:val="000000">
                      <w14:alpha w14:val="100000"/>
                    </w14:srgbClr>
                  </w14:solidFill>
                </w14:textFill>
              </w:rPr>
              <w:t>|||</w:t>
            </w:r>
            <w:r w:rsidR="003367FF" w:rsidRPr="003367FF">
              <w:rPr>
                <w:color w:val="000000"/>
                <w:spacing w:val="1"/>
                <w:shd w:val="solid" w:color="000000" w:fill="000000"/>
                <w:fitText w:val="315" w:id="-628903154"/>
                <w14:textFill>
                  <w14:solidFill>
                    <w14:srgbClr w14:val="000000">
                      <w14:alpha w14:val="100000"/>
                    </w14:srgbClr>
                  </w14:solidFill>
                </w14:textFill>
              </w:rPr>
              <w:t>|</w:t>
            </w:r>
            <w:r w:rsidRPr="004E6415">
              <w:t>)</w:t>
            </w:r>
            <w:r w:rsidRPr="004E6415">
              <w:rPr>
                <w:vertAlign w:val="superscript"/>
              </w:rPr>
              <w:t>b</w:t>
            </w:r>
          </w:p>
        </w:tc>
        <w:tc>
          <w:tcPr>
            <w:tcW w:w="611" w:type="pct"/>
            <w:vAlign w:val="center"/>
          </w:tcPr>
          <w:p w14:paraId="1C34E873" w14:textId="6ABCED61" w:rsidR="00D6265D" w:rsidRPr="00A00C6D" w:rsidRDefault="00D6265D" w:rsidP="005A07BA">
            <w:pPr>
              <w:pStyle w:val="TableText"/>
              <w:widowControl/>
              <w:jc w:val="center"/>
              <w:rPr>
                <w:vertAlign w:val="superscript"/>
              </w:rPr>
            </w:pPr>
            <w:r w:rsidRPr="004E6415">
              <w:rPr>
                <w:b/>
                <w:szCs w:val="20"/>
              </w:rPr>
              <w:t>$</w:t>
            </w:r>
            <w:r w:rsidR="003367FF" w:rsidRPr="003367FF">
              <w:rPr>
                <w:b/>
                <w:color w:val="000000"/>
                <w:spacing w:val="58"/>
                <w:szCs w:val="20"/>
                <w:shd w:val="solid" w:color="000000" w:fill="000000"/>
                <w:fitText w:val="360" w:id="-628903153"/>
                <w14:textFill>
                  <w14:solidFill>
                    <w14:srgbClr w14:val="000000">
                      <w14:alpha w14:val="100000"/>
                    </w14:srgbClr>
                  </w14:solidFill>
                </w14:textFill>
              </w:rPr>
              <w:t>|||</w:t>
            </w:r>
            <w:r w:rsidR="003367FF" w:rsidRPr="003367FF">
              <w:rPr>
                <w:b/>
                <w:color w:val="000000"/>
                <w:spacing w:val="3"/>
                <w:szCs w:val="20"/>
                <w:shd w:val="solid" w:color="000000" w:fill="000000"/>
                <w:fitText w:val="360" w:id="-628903153"/>
                <w14:textFill>
                  <w14:solidFill>
                    <w14:srgbClr w14:val="000000">
                      <w14:alpha w14:val="100000"/>
                    </w14:srgbClr>
                  </w14:solidFill>
                </w14:textFill>
              </w:rPr>
              <w:t>|</w:t>
            </w:r>
            <w:r w:rsidR="00A00C6D">
              <w:rPr>
                <w:b/>
                <w:szCs w:val="20"/>
                <w:vertAlign w:val="superscript"/>
              </w:rPr>
              <w:t>2</w:t>
            </w:r>
          </w:p>
        </w:tc>
        <w:tc>
          <w:tcPr>
            <w:tcW w:w="611" w:type="pct"/>
            <w:vAlign w:val="center"/>
          </w:tcPr>
          <w:p w14:paraId="34C64929" w14:textId="428651BB" w:rsidR="00D6265D" w:rsidRPr="00A00C6D" w:rsidRDefault="00D6265D" w:rsidP="005A07BA">
            <w:pPr>
              <w:pStyle w:val="TableText"/>
              <w:widowControl/>
              <w:jc w:val="center"/>
              <w:rPr>
                <w:vertAlign w:val="superscript"/>
              </w:rPr>
            </w:pPr>
            <w:r w:rsidRPr="004E6415">
              <w:rPr>
                <w:b/>
                <w:szCs w:val="20"/>
              </w:rPr>
              <w:t>$</w:t>
            </w:r>
            <w:r w:rsidR="003367FF" w:rsidRPr="003367FF">
              <w:rPr>
                <w:b/>
                <w:color w:val="000000"/>
                <w:spacing w:val="58"/>
                <w:szCs w:val="20"/>
                <w:shd w:val="solid" w:color="000000" w:fill="000000"/>
                <w:fitText w:val="360" w:id="-628903152"/>
                <w14:textFill>
                  <w14:solidFill>
                    <w14:srgbClr w14:val="000000">
                      <w14:alpha w14:val="100000"/>
                    </w14:srgbClr>
                  </w14:solidFill>
                </w14:textFill>
              </w:rPr>
              <w:t>|||</w:t>
            </w:r>
            <w:r w:rsidR="003367FF" w:rsidRPr="003367FF">
              <w:rPr>
                <w:b/>
                <w:color w:val="000000"/>
                <w:spacing w:val="3"/>
                <w:szCs w:val="20"/>
                <w:shd w:val="solid" w:color="000000" w:fill="000000"/>
                <w:fitText w:val="360" w:id="-628903152"/>
                <w14:textFill>
                  <w14:solidFill>
                    <w14:srgbClr w14:val="000000">
                      <w14:alpha w14:val="100000"/>
                    </w14:srgbClr>
                  </w14:solidFill>
                </w14:textFill>
              </w:rPr>
              <w:t>|</w:t>
            </w:r>
            <w:r w:rsidR="00A00C6D">
              <w:rPr>
                <w:b/>
                <w:szCs w:val="20"/>
                <w:vertAlign w:val="superscript"/>
              </w:rPr>
              <w:t>2</w:t>
            </w:r>
          </w:p>
        </w:tc>
        <w:tc>
          <w:tcPr>
            <w:tcW w:w="611" w:type="pct"/>
            <w:vAlign w:val="center"/>
          </w:tcPr>
          <w:p w14:paraId="35F18B61" w14:textId="17EE8808" w:rsidR="00D6265D" w:rsidRPr="00A00C6D" w:rsidRDefault="00D6265D" w:rsidP="005A07BA">
            <w:pPr>
              <w:pStyle w:val="TableText"/>
              <w:widowControl/>
              <w:jc w:val="center"/>
              <w:rPr>
                <w:vertAlign w:val="superscript"/>
              </w:rPr>
            </w:pPr>
            <w:r w:rsidRPr="004E6415">
              <w:rPr>
                <w:b/>
                <w:szCs w:val="20"/>
              </w:rPr>
              <w:t>$</w:t>
            </w:r>
            <w:r w:rsidR="003367FF" w:rsidRPr="003367FF">
              <w:rPr>
                <w:b/>
                <w:color w:val="000000"/>
                <w:spacing w:val="58"/>
                <w:szCs w:val="20"/>
                <w:shd w:val="solid" w:color="000000" w:fill="000000"/>
                <w:fitText w:val="360" w:id="-628903168"/>
                <w14:textFill>
                  <w14:solidFill>
                    <w14:srgbClr w14:val="000000">
                      <w14:alpha w14:val="100000"/>
                    </w14:srgbClr>
                  </w14:solidFill>
                </w14:textFill>
              </w:rPr>
              <w:t>|||</w:t>
            </w:r>
            <w:r w:rsidR="003367FF" w:rsidRPr="003367FF">
              <w:rPr>
                <w:b/>
                <w:color w:val="000000"/>
                <w:spacing w:val="3"/>
                <w:szCs w:val="20"/>
                <w:shd w:val="solid" w:color="000000" w:fill="000000"/>
                <w:fitText w:val="360" w:id="-628903168"/>
                <w14:textFill>
                  <w14:solidFill>
                    <w14:srgbClr w14:val="000000">
                      <w14:alpha w14:val="100000"/>
                    </w14:srgbClr>
                  </w14:solidFill>
                </w14:textFill>
              </w:rPr>
              <w:t>|</w:t>
            </w:r>
            <w:r w:rsidR="00A00C6D">
              <w:rPr>
                <w:b/>
                <w:szCs w:val="20"/>
                <w:vertAlign w:val="superscript"/>
              </w:rPr>
              <w:t>2</w:t>
            </w:r>
          </w:p>
        </w:tc>
        <w:tc>
          <w:tcPr>
            <w:tcW w:w="611" w:type="pct"/>
            <w:vAlign w:val="center"/>
          </w:tcPr>
          <w:p w14:paraId="0E7CC7C8" w14:textId="0FD2E0AC" w:rsidR="00D6265D" w:rsidRPr="00A00C6D" w:rsidRDefault="00D6265D" w:rsidP="005A07BA">
            <w:pPr>
              <w:pStyle w:val="TableText"/>
              <w:widowControl/>
              <w:jc w:val="center"/>
              <w:rPr>
                <w:vertAlign w:val="superscript"/>
              </w:rPr>
            </w:pPr>
            <w:r w:rsidRPr="004E6415">
              <w:rPr>
                <w:b/>
                <w:szCs w:val="20"/>
              </w:rPr>
              <w:t>$</w:t>
            </w:r>
            <w:r w:rsidR="003367FF" w:rsidRPr="003367FF">
              <w:rPr>
                <w:b/>
                <w:color w:val="000000"/>
                <w:spacing w:val="58"/>
                <w:szCs w:val="20"/>
                <w:shd w:val="solid" w:color="000000" w:fill="000000"/>
                <w:fitText w:val="360" w:id="-628903167"/>
                <w14:textFill>
                  <w14:solidFill>
                    <w14:srgbClr w14:val="000000">
                      <w14:alpha w14:val="100000"/>
                    </w14:srgbClr>
                  </w14:solidFill>
                </w14:textFill>
              </w:rPr>
              <w:t>|||</w:t>
            </w:r>
            <w:r w:rsidR="003367FF" w:rsidRPr="003367FF">
              <w:rPr>
                <w:b/>
                <w:color w:val="000000"/>
                <w:spacing w:val="3"/>
                <w:szCs w:val="20"/>
                <w:shd w:val="solid" w:color="000000" w:fill="000000"/>
                <w:fitText w:val="360" w:id="-628903167"/>
                <w14:textFill>
                  <w14:solidFill>
                    <w14:srgbClr w14:val="000000">
                      <w14:alpha w14:val="100000"/>
                    </w14:srgbClr>
                  </w14:solidFill>
                </w14:textFill>
              </w:rPr>
              <w:t>|</w:t>
            </w:r>
            <w:r w:rsidR="00A00C6D">
              <w:rPr>
                <w:b/>
                <w:szCs w:val="20"/>
                <w:vertAlign w:val="superscript"/>
              </w:rPr>
              <w:t>2</w:t>
            </w:r>
          </w:p>
        </w:tc>
        <w:tc>
          <w:tcPr>
            <w:tcW w:w="611" w:type="pct"/>
            <w:vAlign w:val="center"/>
          </w:tcPr>
          <w:p w14:paraId="6408F854" w14:textId="4006A058" w:rsidR="00D6265D" w:rsidRPr="00A00C6D" w:rsidRDefault="00D6265D" w:rsidP="005A07BA">
            <w:pPr>
              <w:pStyle w:val="TableText"/>
              <w:widowControl/>
              <w:jc w:val="center"/>
              <w:rPr>
                <w:vertAlign w:val="superscript"/>
              </w:rPr>
            </w:pPr>
            <w:r w:rsidRPr="004E6415">
              <w:rPr>
                <w:b/>
                <w:szCs w:val="20"/>
              </w:rPr>
              <w:t>$</w:t>
            </w:r>
            <w:r w:rsidR="003367FF" w:rsidRPr="003367FF">
              <w:rPr>
                <w:b/>
                <w:color w:val="000000"/>
                <w:spacing w:val="58"/>
                <w:szCs w:val="20"/>
                <w:shd w:val="solid" w:color="000000" w:fill="000000"/>
                <w:fitText w:val="360" w:id="-628903166"/>
                <w14:textFill>
                  <w14:solidFill>
                    <w14:srgbClr w14:val="000000">
                      <w14:alpha w14:val="100000"/>
                    </w14:srgbClr>
                  </w14:solidFill>
                </w14:textFill>
              </w:rPr>
              <w:t>|||</w:t>
            </w:r>
            <w:r w:rsidR="003367FF" w:rsidRPr="003367FF">
              <w:rPr>
                <w:b/>
                <w:color w:val="000000"/>
                <w:spacing w:val="3"/>
                <w:szCs w:val="20"/>
                <w:shd w:val="solid" w:color="000000" w:fill="000000"/>
                <w:fitText w:val="360" w:id="-628903166"/>
                <w14:textFill>
                  <w14:solidFill>
                    <w14:srgbClr w14:val="000000">
                      <w14:alpha w14:val="100000"/>
                    </w14:srgbClr>
                  </w14:solidFill>
                </w14:textFill>
              </w:rPr>
              <w:t>|</w:t>
            </w:r>
            <w:r w:rsidR="00A00C6D">
              <w:rPr>
                <w:b/>
                <w:szCs w:val="20"/>
                <w:vertAlign w:val="superscript"/>
              </w:rPr>
              <w:t>2</w:t>
            </w:r>
          </w:p>
        </w:tc>
        <w:tc>
          <w:tcPr>
            <w:tcW w:w="611" w:type="pct"/>
            <w:vAlign w:val="center"/>
          </w:tcPr>
          <w:p w14:paraId="472BA2F4" w14:textId="4754A869" w:rsidR="00D6265D" w:rsidRPr="00A00C6D" w:rsidRDefault="00D6265D" w:rsidP="005A07BA">
            <w:pPr>
              <w:pStyle w:val="TableText"/>
              <w:widowControl/>
              <w:jc w:val="center"/>
              <w:rPr>
                <w:vertAlign w:val="superscript"/>
              </w:rPr>
            </w:pPr>
            <w:r w:rsidRPr="004E6415">
              <w:rPr>
                <w:b/>
                <w:szCs w:val="20"/>
              </w:rPr>
              <w:t>$</w:t>
            </w:r>
            <w:r w:rsidR="003367FF" w:rsidRPr="003367FF">
              <w:rPr>
                <w:b/>
                <w:color w:val="000000"/>
                <w:spacing w:val="58"/>
                <w:szCs w:val="20"/>
                <w:shd w:val="solid" w:color="000000" w:fill="000000"/>
                <w:fitText w:val="360" w:id="-628903165"/>
                <w14:textFill>
                  <w14:solidFill>
                    <w14:srgbClr w14:val="000000">
                      <w14:alpha w14:val="100000"/>
                    </w14:srgbClr>
                  </w14:solidFill>
                </w14:textFill>
              </w:rPr>
              <w:t>|||</w:t>
            </w:r>
            <w:r w:rsidR="003367FF" w:rsidRPr="003367FF">
              <w:rPr>
                <w:b/>
                <w:color w:val="000000"/>
                <w:spacing w:val="3"/>
                <w:szCs w:val="20"/>
                <w:shd w:val="solid" w:color="000000" w:fill="000000"/>
                <w:fitText w:val="360" w:id="-628903165"/>
                <w14:textFill>
                  <w14:solidFill>
                    <w14:srgbClr w14:val="000000">
                      <w14:alpha w14:val="100000"/>
                    </w14:srgbClr>
                  </w14:solidFill>
                </w14:textFill>
              </w:rPr>
              <w:t>|</w:t>
            </w:r>
            <w:r w:rsidR="00A00C6D">
              <w:rPr>
                <w:b/>
                <w:szCs w:val="20"/>
                <w:vertAlign w:val="superscript"/>
              </w:rPr>
              <w:t>2</w:t>
            </w:r>
          </w:p>
        </w:tc>
      </w:tr>
    </w:tbl>
    <w:p w14:paraId="4937A282" w14:textId="77777777" w:rsidR="002F6C30" w:rsidRPr="004F11AC" w:rsidRDefault="002F6C30" w:rsidP="005A07BA">
      <w:pPr>
        <w:pStyle w:val="COMTablefooter"/>
        <w:keepNext/>
        <w:keepLines/>
      </w:pPr>
      <w:r w:rsidRPr="004F11AC">
        <w:t>Source: Table 4-3, p97, Table 4-4, p98, and Table 4-5, p99 of the resubmission; ‘Section 4 Workbook (Tresiba)’ presented with the resubmission.</w:t>
      </w:r>
    </w:p>
    <w:p w14:paraId="7662355B" w14:textId="636427F4" w:rsidR="002F6C30" w:rsidRPr="004F11AC" w:rsidRDefault="002F6C30" w:rsidP="005A07BA">
      <w:pPr>
        <w:pStyle w:val="COMTablefooter"/>
        <w:keepNext/>
        <w:keepLines/>
      </w:pPr>
      <w:r w:rsidRPr="004F11AC">
        <w:t>Abbreviations: DPMQ, dispensed price for maximum quantity</w:t>
      </w:r>
      <w:r w:rsidR="00925AF9" w:rsidRPr="004F11AC">
        <w:t xml:space="preserve">; </w:t>
      </w:r>
      <w:r w:rsidR="00584FFC" w:rsidRPr="004F11AC">
        <w:t>EMP, ex-manufacturer price</w:t>
      </w:r>
    </w:p>
    <w:p w14:paraId="30A5E5FC" w14:textId="77777777" w:rsidR="002F6C30" w:rsidRPr="004F11AC" w:rsidRDefault="002F6C30" w:rsidP="005A07BA">
      <w:pPr>
        <w:pStyle w:val="COMTablefooter"/>
        <w:keepNext/>
        <w:keepLines/>
        <w:rPr>
          <w:vertAlign w:val="superscript"/>
        </w:rPr>
      </w:pPr>
      <w:proofErr w:type="spellStart"/>
      <w:r w:rsidRPr="004F11AC">
        <w:rPr>
          <w:vertAlign w:val="superscript"/>
        </w:rPr>
        <w:t>a</w:t>
      </w:r>
      <w:proofErr w:type="spellEnd"/>
      <w:r w:rsidRPr="004F11AC">
        <w:t xml:space="preserve"> The 1.6% annual growth rate in scripts was not applied to insulin detemir scripts between 2025 and 2026 (Year 1).</w:t>
      </w:r>
      <w:r w:rsidRPr="004F11AC">
        <w:rPr>
          <w:vertAlign w:val="superscript"/>
        </w:rPr>
        <w:t xml:space="preserve"> </w:t>
      </w:r>
    </w:p>
    <w:p w14:paraId="16C8D70A" w14:textId="289884B0" w:rsidR="005B5E75" w:rsidRDefault="002F6C30" w:rsidP="005A07BA">
      <w:pPr>
        <w:pStyle w:val="COMTablefooter"/>
        <w:keepNext/>
        <w:keepLines/>
        <w:rPr>
          <w:i/>
          <w:szCs w:val="18"/>
        </w:rPr>
      </w:pPr>
      <w:r w:rsidRPr="004F11AC">
        <w:rPr>
          <w:vertAlign w:val="superscript"/>
        </w:rPr>
        <w:t xml:space="preserve">b </w:t>
      </w:r>
      <w:r w:rsidR="00AC2539" w:rsidRPr="004F11AC">
        <w:t>The effective DPMQ proposed in the resubmission included markups calculated based on an EMP of $</w:t>
      </w:r>
      <w:r w:rsidR="003367FF" w:rsidRPr="003367FF">
        <w:rPr>
          <w:color w:val="000000"/>
          <w:spacing w:val="40"/>
          <w:shd w:val="solid" w:color="000000" w:fill="000000"/>
          <w:fitText w:val="280" w:id="-628903164"/>
          <w14:textFill>
            <w14:solidFill>
              <w14:srgbClr w14:val="000000">
                <w14:alpha w14:val="100000"/>
              </w14:srgbClr>
            </w14:solidFill>
          </w14:textFill>
        </w:rPr>
        <w:t xml:space="preserve">|  </w:t>
      </w:r>
      <w:r w:rsidR="003367FF" w:rsidRPr="003367FF">
        <w:rPr>
          <w:color w:val="000000"/>
          <w:spacing w:val="2"/>
          <w:shd w:val="solid" w:color="000000" w:fill="000000"/>
          <w:fitText w:val="280" w:id="-628903164"/>
          <w14:textFill>
            <w14:solidFill>
              <w14:srgbClr w14:val="000000">
                <w14:alpha w14:val="100000"/>
              </w14:srgbClr>
            </w14:solidFill>
          </w14:textFill>
        </w:rPr>
        <w:t>|</w:t>
      </w:r>
      <w:r w:rsidR="00AC2539" w:rsidRPr="004F11AC">
        <w:t xml:space="preserve"> (calculated from the published DPMQ) and was recalculated during the evaluation based on the insulin degludec effective dispensed maximum quantity EMP of $</w:t>
      </w:r>
      <w:r w:rsidR="003367FF" w:rsidRPr="003367FF">
        <w:rPr>
          <w:color w:val="000000"/>
          <w:spacing w:val="40"/>
          <w:shd w:val="solid" w:color="000000" w:fill="000000"/>
          <w:fitText w:val="280" w:id="-628903163"/>
          <w14:textFill>
            <w14:solidFill>
              <w14:srgbClr w14:val="000000">
                <w14:alpha w14:val="100000"/>
              </w14:srgbClr>
            </w14:solidFill>
          </w14:textFill>
        </w:rPr>
        <w:t xml:space="preserve">|  </w:t>
      </w:r>
      <w:r w:rsidR="003367FF" w:rsidRPr="003367FF">
        <w:rPr>
          <w:color w:val="000000"/>
          <w:spacing w:val="2"/>
          <w:shd w:val="solid" w:color="000000" w:fill="000000"/>
          <w:fitText w:val="280" w:id="-628903163"/>
          <w14:textFill>
            <w14:solidFill>
              <w14:srgbClr w14:val="000000">
                <w14:alpha w14:val="100000"/>
              </w14:srgbClr>
            </w14:solidFill>
          </w14:textFill>
        </w:rPr>
        <w:t>|</w:t>
      </w:r>
      <w:r w:rsidRPr="004F11AC">
        <w:t>.</w:t>
      </w:r>
      <w:r w:rsidR="005B5E75" w:rsidRPr="005B5E75">
        <w:rPr>
          <w:i/>
          <w:szCs w:val="18"/>
        </w:rPr>
        <w:t xml:space="preserve"> </w:t>
      </w:r>
    </w:p>
    <w:p w14:paraId="11FF0573" w14:textId="4BD71EE3" w:rsidR="005B5E75" w:rsidRPr="005B5E75" w:rsidRDefault="005B5E75" w:rsidP="005A07BA">
      <w:pPr>
        <w:pStyle w:val="COMTablefooter"/>
        <w:keepNext/>
        <w:keepLines/>
        <w:rPr>
          <w:i/>
        </w:rPr>
      </w:pPr>
      <w:r w:rsidRPr="005B5E75">
        <w:rPr>
          <w:i/>
        </w:rPr>
        <w:t xml:space="preserve">The redacted values correspond to the following ranges: </w:t>
      </w:r>
    </w:p>
    <w:p w14:paraId="7F80CF4F" w14:textId="698167A4" w:rsidR="005B5E75" w:rsidRPr="005B5E75" w:rsidRDefault="005B5E75" w:rsidP="005A07BA">
      <w:pPr>
        <w:pStyle w:val="COMTablefooter"/>
        <w:keepNext/>
        <w:keepLines/>
        <w:rPr>
          <w:i/>
        </w:rPr>
      </w:pPr>
      <w:r w:rsidRPr="005B5E75">
        <w:rPr>
          <w:i/>
          <w:vertAlign w:val="superscript"/>
        </w:rPr>
        <w:t>1</w:t>
      </w:r>
      <w:r w:rsidRPr="005B5E75">
        <w:rPr>
          <w:i/>
        </w:rPr>
        <w:t xml:space="preserve"> </w:t>
      </w:r>
      <w:r w:rsidR="00C52770" w:rsidRPr="00C52770">
        <w:rPr>
          <w:i/>
        </w:rPr>
        <w:t>30,000 to &lt; 40,000</w:t>
      </w:r>
    </w:p>
    <w:p w14:paraId="0B9E154B" w14:textId="0B856761" w:rsidR="005B5E75" w:rsidRPr="005B5E75" w:rsidRDefault="005B5E75" w:rsidP="005A07BA">
      <w:pPr>
        <w:pStyle w:val="COMTablefooter"/>
        <w:keepNext/>
        <w:keepLines/>
        <w:rPr>
          <w:i/>
        </w:rPr>
      </w:pPr>
      <w:r w:rsidRPr="005B5E75">
        <w:rPr>
          <w:i/>
          <w:vertAlign w:val="superscript"/>
        </w:rPr>
        <w:t>2</w:t>
      </w:r>
      <w:r w:rsidRPr="005B5E75">
        <w:rPr>
          <w:i/>
        </w:rPr>
        <w:t xml:space="preserve"> </w:t>
      </w:r>
      <w:r w:rsidR="00A00C6D" w:rsidRPr="00A00C6D">
        <w:rPr>
          <w:i/>
        </w:rPr>
        <w:t>$0 to &lt; $10 million</w:t>
      </w:r>
    </w:p>
    <w:p w14:paraId="20AA120C" w14:textId="2D9D2EF2" w:rsidR="005B5E75" w:rsidRPr="005B5E75" w:rsidRDefault="005B5E75" w:rsidP="00A4238E">
      <w:pPr>
        <w:pStyle w:val="COMTablefooter"/>
      </w:pPr>
    </w:p>
    <w:p w14:paraId="5ED33501" w14:textId="5E3C718F" w:rsidR="0097107D" w:rsidRPr="004F11AC" w:rsidRDefault="00214C8C" w:rsidP="00E208B7">
      <w:pPr>
        <w:pStyle w:val="COMexecsummnumbered"/>
      </w:pPr>
      <w:r w:rsidRPr="004F11AC">
        <w:t xml:space="preserve">The resubmission estimated a net cost to the PBS/RPBS of listing insulin degludec of </w:t>
      </w:r>
      <w:r w:rsidR="00BC2443" w:rsidRPr="00BC2443">
        <w:t>$0 to &lt; $10 million</w:t>
      </w:r>
      <w:r w:rsidRPr="004F11AC">
        <w:t xml:space="preserve"> in Year</w:t>
      </w:r>
      <w:r w:rsidR="004F75FE" w:rsidRPr="004F11AC">
        <w:t xml:space="preserve"> 1, increasing to </w:t>
      </w:r>
      <w:r w:rsidR="00BC2443" w:rsidRPr="00BC2443">
        <w:t>$0 to &lt; $10 million</w:t>
      </w:r>
      <w:r w:rsidR="004F75FE" w:rsidRPr="004F11AC">
        <w:t xml:space="preserve"> in Year 6, a total cost of </w:t>
      </w:r>
      <w:r w:rsidR="00BC2443" w:rsidRPr="00BC2443">
        <w:t>$0 to &lt; $10 million</w:t>
      </w:r>
      <w:r w:rsidR="004F75FE" w:rsidRPr="004F11AC">
        <w:t xml:space="preserve"> over the first 6 years of listing.</w:t>
      </w:r>
    </w:p>
    <w:p w14:paraId="2B038D37" w14:textId="0764FA7F" w:rsidR="00EA1116" w:rsidRPr="004F11AC" w:rsidRDefault="00EA1116" w:rsidP="00E208B7">
      <w:pPr>
        <w:pStyle w:val="COMexecsummnumbered"/>
      </w:pPr>
      <w:r w:rsidRPr="004F11AC">
        <w:t xml:space="preserve">After </w:t>
      </w:r>
      <w:r w:rsidR="008F76B6" w:rsidRPr="004F11AC">
        <w:t xml:space="preserve">recalculating </w:t>
      </w:r>
      <w:r w:rsidRPr="004F11AC">
        <w:t>the effective DPMQ of insulin degludec based on the proposed effective EMP</w:t>
      </w:r>
      <w:r w:rsidR="008E1F78" w:rsidRPr="004F11AC">
        <w:t xml:space="preserve"> using standard methods</w:t>
      </w:r>
      <w:r w:rsidRPr="004F11AC">
        <w:t xml:space="preserve">, the estimated net cost to the PBS/RPBS was </w:t>
      </w:r>
      <w:r w:rsidR="00BC2443" w:rsidRPr="00BC2443">
        <w:t>$0 to &lt; $10 million</w:t>
      </w:r>
      <w:r w:rsidRPr="004F11AC">
        <w:t xml:space="preserve"> in Year 1, increasing to </w:t>
      </w:r>
      <w:r w:rsidR="00BC2443" w:rsidRPr="00BC2443">
        <w:t>$0 to &lt; $10 million</w:t>
      </w:r>
      <w:r w:rsidRPr="004F11AC">
        <w:t xml:space="preserve"> in Year 6, a total cost of </w:t>
      </w:r>
      <w:r w:rsidR="00BC2443" w:rsidRPr="00BC2443">
        <w:t>$0 to &lt; $10 million</w:t>
      </w:r>
      <w:r w:rsidR="00BC2443" w:rsidRPr="00BC2443" w:rsidDel="00BC2443">
        <w:t xml:space="preserve"> </w:t>
      </w:r>
      <w:r w:rsidRPr="004F11AC">
        <w:t>over the first 6 years of listing.</w:t>
      </w:r>
    </w:p>
    <w:p w14:paraId="2ADA7D32" w14:textId="32824C21" w:rsidR="00EA1116" w:rsidRPr="004F11AC" w:rsidRDefault="00EA1116" w:rsidP="00E208B7">
      <w:pPr>
        <w:pStyle w:val="COMexecsummnumbered"/>
      </w:pPr>
      <w:r w:rsidRPr="004F11AC">
        <w:t xml:space="preserve">During the evaluation, a sensitivity analysis was conducted with cost offsets </w:t>
      </w:r>
      <w:r w:rsidR="00DC4869" w:rsidRPr="004F11AC">
        <w:t xml:space="preserve">based </w:t>
      </w:r>
      <w:r w:rsidR="00266B94" w:rsidRPr="004F11AC">
        <w:t>on using</w:t>
      </w:r>
      <w:r w:rsidRPr="004F11AC">
        <w:t xml:space="preserve"> the effective price of insulin detemir (effective DPMQ $</w:t>
      </w:r>
      <w:r w:rsidR="003367FF" w:rsidRPr="003367FF">
        <w:rPr>
          <w:color w:val="000000"/>
          <w:w w:val="61"/>
          <w:shd w:val="solid" w:color="000000" w:fill="000000"/>
          <w:fitText w:val="475" w:id="-628903162"/>
          <w14:textFill>
            <w14:solidFill>
              <w14:srgbClr w14:val="000000">
                <w14:alpha w14:val="100000"/>
              </w14:srgbClr>
            </w14:solidFill>
          </w14:textFill>
        </w:rPr>
        <w:t>|||  ||</w:t>
      </w:r>
      <w:r w:rsidR="003367FF" w:rsidRPr="003367FF">
        <w:rPr>
          <w:color w:val="000000"/>
          <w:spacing w:val="5"/>
          <w:w w:val="61"/>
          <w:shd w:val="solid" w:color="000000" w:fill="000000"/>
          <w:fitText w:val="475" w:id="-628903162"/>
          <w14:textFill>
            <w14:solidFill>
              <w14:srgbClr w14:val="000000">
                <w14:alpha w14:val="100000"/>
              </w14:srgbClr>
            </w14:solidFill>
          </w14:textFill>
        </w:rPr>
        <w:t>|</w:t>
      </w:r>
      <w:r w:rsidRPr="004F11AC">
        <w:t>)</w:t>
      </w:r>
      <w:r w:rsidR="00784D95" w:rsidRPr="004F11AC">
        <w:t xml:space="preserve"> rather than assuming insulin detemir is substituted by insulin glargine 100 IU/</w:t>
      </w:r>
      <w:proofErr w:type="spellStart"/>
      <w:r w:rsidR="00784D95" w:rsidRPr="004F11AC">
        <w:t>mL</w:t>
      </w:r>
      <w:r w:rsidRPr="004F11AC">
        <w:t>.</w:t>
      </w:r>
      <w:proofErr w:type="spellEnd"/>
      <w:r w:rsidRPr="004F11AC">
        <w:t xml:space="preserve"> Based on the sensitivity analysis</w:t>
      </w:r>
      <w:r w:rsidR="00FF23DB" w:rsidRPr="004F11AC">
        <w:t xml:space="preserve"> and using the </w:t>
      </w:r>
      <w:r w:rsidR="008E1F78" w:rsidRPr="004F11AC">
        <w:t>recalculated</w:t>
      </w:r>
      <w:r w:rsidR="00FF23DB" w:rsidRPr="004F11AC">
        <w:t xml:space="preserve"> effective DPMQ of $</w:t>
      </w:r>
      <w:r w:rsidR="003367FF" w:rsidRPr="00A6372C">
        <w:rPr>
          <w:color w:val="000000"/>
          <w:w w:val="61"/>
          <w:shd w:val="solid" w:color="000000" w:fill="000000"/>
          <w:fitText w:val="475" w:id="-628903161"/>
          <w14:textFill>
            <w14:solidFill>
              <w14:srgbClr w14:val="000000">
                <w14:alpha w14:val="100000"/>
              </w14:srgbClr>
            </w14:solidFill>
          </w14:textFill>
        </w:rPr>
        <w:t>|||  ||</w:t>
      </w:r>
      <w:r w:rsidR="003367FF" w:rsidRPr="00A6372C">
        <w:rPr>
          <w:color w:val="000000"/>
          <w:spacing w:val="5"/>
          <w:w w:val="61"/>
          <w:shd w:val="solid" w:color="000000" w:fill="000000"/>
          <w:fitText w:val="475" w:id="-628903161"/>
          <w14:textFill>
            <w14:solidFill>
              <w14:srgbClr w14:val="000000">
                <w14:alpha w14:val="100000"/>
              </w14:srgbClr>
            </w14:solidFill>
          </w14:textFill>
        </w:rPr>
        <w:t>|</w:t>
      </w:r>
      <w:r w:rsidR="00FF23DB" w:rsidRPr="004F11AC">
        <w:t xml:space="preserve"> for insulin degludec</w:t>
      </w:r>
      <w:r w:rsidRPr="004F11AC">
        <w:t xml:space="preserve">, the estimated net cost to the PBS/RPBS </w:t>
      </w:r>
      <w:r w:rsidR="00784D95" w:rsidRPr="004F11AC">
        <w:t xml:space="preserve">was </w:t>
      </w:r>
      <w:r w:rsidR="00D8658A" w:rsidRPr="00D8658A">
        <w:t>$0 to &lt; $10 million</w:t>
      </w:r>
      <w:r w:rsidRPr="004F11AC">
        <w:t xml:space="preserve"> in Year 1, increasing to </w:t>
      </w:r>
      <w:r w:rsidR="00D8658A" w:rsidRPr="00D8658A">
        <w:t>$0 to &lt; $10 million</w:t>
      </w:r>
      <w:r w:rsidRPr="004F11AC">
        <w:t xml:space="preserve"> in Year 6, a total cost of $</w:t>
      </w:r>
      <w:r w:rsidR="00D8658A" w:rsidRPr="00D8658A">
        <w:t>$0 to &lt; $10 million</w:t>
      </w:r>
      <w:r w:rsidRPr="004F11AC">
        <w:t xml:space="preserve"> over the first 6 years of listing.</w:t>
      </w:r>
    </w:p>
    <w:p w14:paraId="1B01B47E" w14:textId="77777777" w:rsidR="00EA1116" w:rsidRPr="004F11AC" w:rsidRDefault="00EA1116" w:rsidP="00E208B7">
      <w:pPr>
        <w:pStyle w:val="COMexecsummnumbered"/>
      </w:pPr>
      <w:r w:rsidRPr="004F11AC">
        <w:t>The estimated utilisation and financial impact of listing insulin degludec on the PBS/RPBS for the treatment of T1D was highly uncertain for the following reasons:</w:t>
      </w:r>
    </w:p>
    <w:p w14:paraId="2B760AA2" w14:textId="77777777" w:rsidR="00EA1116" w:rsidRPr="004F11AC" w:rsidRDefault="00EA1116" w:rsidP="00E208B7">
      <w:pPr>
        <w:pStyle w:val="COMexecsummbulletlist"/>
      </w:pPr>
      <w:r w:rsidRPr="004F11AC">
        <w:t xml:space="preserve">The use of a single calendar year estimate of insulin detemir PBS scripts was not reasonable. Over the past 5 years the numbers of insulin detemir PBS scripts </w:t>
      </w:r>
      <w:r w:rsidRPr="004F11AC">
        <w:lastRenderedPageBreak/>
        <w:t xml:space="preserve">declined from 35,335 scripts in 2020, to 27,987 in 2024. The subsequent application of 1.6% annual growth in scripts was not supported. </w:t>
      </w:r>
    </w:p>
    <w:p w14:paraId="6A82BFEA" w14:textId="53C87F3F" w:rsidR="00EA1116" w:rsidRPr="004E6415" w:rsidRDefault="00EA1116" w:rsidP="00E208B7">
      <w:pPr>
        <w:pStyle w:val="COMexecsummbulletlist"/>
      </w:pPr>
      <w:r w:rsidRPr="004E6415">
        <w:t xml:space="preserve">The </w:t>
      </w:r>
      <w:r w:rsidR="008556D2" w:rsidRPr="004E6415">
        <w:t xml:space="preserve">evaluation and the ESC considered that the </w:t>
      </w:r>
      <w:r w:rsidRPr="004E6415">
        <w:t>assumption that 100% of patients who would otherwise have been treated with insulin detemir in the first 6 years of listing would switch to insulin degludec was not reasonable, as some patients may switch to other PBS</w:t>
      </w:r>
      <w:r w:rsidR="00162467">
        <w:t>-</w:t>
      </w:r>
      <w:r w:rsidRPr="004E6415">
        <w:t xml:space="preserve">listed basal insulins (e.g. insulin glargine 100 IU/mL, insulin glargine 300 IU/mL, insulin degludec 100 IU/mL with insulin </w:t>
      </w:r>
      <w:proofErr w:type="spellStart"/>
      <w:r w:rsidRPr="004E6415">
        <w:t>aspart</w:t>
      </w:r>
      <w:proofErr w:type="spellEnd"/>
      <w:r w:rsidRPr="004E6415">
        <w:t xml:space="preserve">). </w:t>
      </w:r>
      <w:r w:rsidR="007E75AF" w:rsidRPr="004E6415">
        <w:t>The PSCR acknowledged th</w:t>
      </w:r>
      <w:r w:rsidR="003C1495" w:rsidRPr="004E6415">
        <w:t xml:space="preserve">at </w:t>
      </w:r>
      <w:r w:rsidR="00C412DC" w:rsidRPr="004E6415">
        <w:t xml:space="preserve">it </w:t>
      </w:r>
      <w:r w:rsidR="003C1495" w:rsidRPr="004E6415">
        <w:t>is possible that patients who would otherwise have been treated with insulin detemir w</w:t>
      </w:r>
      <w:r w:rsidR="00880360" w:rsidRPr="004E6415">
        <w:t>ill switch to an alternative insulin product or dosing regimen</w:t>
      </w:r>
      <w:r w:rsidR="00250FA0" w:rsidRPr="004E6415">
        <w:t xml:space="preserve"> (e.g. continuous subcutaneous insulin infusion)</w:t>
      </w:r>
      <w:r w:rsidR="00880360" w:rsidRPr="004E6415">
        <w:t xml:space="preserve"> and that others may substitute insulin degludec for other basal insulins or dosing regimens such as insulin glargine.</w:t>
      </w:r>
      <w:r w:rsidR="00AE01CA" w:rsidRPr="004E6415">
        <w:t xml:space="preserve"> </w:t>
      </w:r>
      <w:r w:rsidR="00CE2FE6" w:rsidRPr="004E6415">
        <w:t>The ESC advised that the proportion of patients who would switch to insulin degludec should be reconsidered, since the assumption that the switch rate would be 100% was unreasonable.</w:t>
      </w:r>
    </w:p>
    <w:p w14:paraId="350976C2" w14:textId="313D0C99" w:rsidR="00EA1116" w:rsidRPr="004E6415" w:rsidRDefault="00EA1116" w:rsidP="00E208B7">
      <w:pPr>
        <w:pStyle w:val="COMexecsummbulletlist"/>
      </w:pPr>
      <w:r w:rsidRPr="004E6415">
        <w:t xml:space="preserve">The assumption that insulin degludec would only substitute insulin detemir scripts was not reasonable. The resubmission </w:t>
      </w:r>
      <w:r w:rsidR="000F34B4" w:rsidRPr="004E6415">
        <w:t xml:space="preserve">and the PSCR </w:t>
      </w:r>
      <w:r w:rsidRPr="004E6415">
        <w:t>acknowledged that insulin degludec may also replace insulin glargine or insulin degludec/</w:t>
      </w:r>
      <w:proofErr w:type="spellStart"/>
      <w:r w:rsidRPr="004E6415">
        <w:t>aspart</w:t>
      </w:r>
      <w:proofErr w:type="spellEnd"/>
      <w:r w:rsidRPr="004E6415">
        <w:t>.</w:t>
      </w:r>
    </w:p>
    <w:p w14:paraId="29F021F5" w14:textId="103F31BF" w:rsidR="00573110" w:rsidRPr="004F11AC" w:rsidRDefault="00573110" w:rsidP="00E208B7">
      <w:pPr>
        <w:pStyle w:val="COMexecsummbulletlist"/>
      </w:pPr>
      <w:r w:rsidRPr="004F11AC">
        <w:t xml:space="preserve">There is risk of use of insulin degludec outside of the requested restriction, among patients with </w:t>
      </w:r>
      <w:r w:rsidR="007A2CFC" w:rsidRPr="004F11AC">
        <w:t>T2D</w:t>
      </w:r>
      <w:r w:rsidRPr="004F11AC">
        <w:t>.</w:t>
      </w:r>
    </w:p>
    <w:p w14:paraId="1D73135B" w14:textId="1E500CA8" w:rsidR="00606FBA" w:rsidRDefault="0002500F" w:rsidP="00E208B7">
      <w:pPr>
        <w:pStyle w:val="3-BodyText"/>
        <w:ind w:left="1440"/>
        <w:rPr>
          <w:i/>
          <w:iCs/>
        </w:rPr>
      </w:pPr>
      <w:r w:rsidRPr="0002500F">
        <w:rPr>
          <w:i/>
          <w:iCs/>
        </w:rPr>
        <w:t>For more detail on PBAC’s view, see section 7 PBAC outcome.</w:t>
      </w:r>
    </w:p>
    <w:p w14:paraId="215E5D25" w14:textId="77777777" w:rsidR="00F438DA" w:rsidRPr="00F438DA" w:rsidRDefault="00F438DA" w:rsidP="00E208B7">
      <w:pPr>
        <w:keepNext/>
        <w:numPr>
          <w:ilvl w:val="0"/>
          <w:numId w:val="1"/>
        </w:numPr>
        <w:spacing w:before="240" w:after="120"/>
        <w:jc w:val="left"/>
        <w:outlineLvl w:val="0"/>
        <w:rPr>
          <w:rFonts w:asciiTheme="minorHAnsi" w:hAnsiTheme="minorHAnsi"/>
          <w:b/>
          <w:snapToGrid w:val="0"/>
          <w:sz w:val="32"/>
          <w:szCs w:val="32"/>
        </w:rPr>
      </w:pPr>
      <w:bookmarkStart w:id="48" w:name="_Hlk76381249"/>
      <w:bookmarkStart w:id="49" w:name="_Hlk76377955"/>
      <w:r w:rsidRPr="00F438DA">
        <w:rPr>
          <w:rFonts w:asciiTheme="minorHAnsi" w:hAnsiTheme="minorHAnsi"/>
          <w:b/>
          <w:snapToGrid w:val="0"/>
          <w:sz w:val="32"/>
          <w:szCs w:val="32"/>
        </w:rPr>
        <w:t>PBAC Outcome</w:t>
      </w:r>
    </w:p>
    <w:p w14:paraId="0E31B199" w14:textId="297BF374" w:rsidR="00F26730" w:rsidRPr="007817DB" w:rsidRDefault="00BC19F9" w:rsidP="00E208B7">
      <w:pPr>
        <w:numPr>
          <w:ilvl w:val="1"/>
          <w:numId w:val="1"/>
        </w:numPr>
        <w:spacing w:after="120"/>
        <w:ind w:left="720"/>
        <w:rPr>
          <w:rFonts w:asciiTheme="minorHAnsi" w:hAnsiTheme="minorHAnsi"/>
          <w:snapToGrid w:val="0"/>
          <w:lang w:eastAsia="en-US"/>
        </w:rPr>
      </w:pPr>
      <w:r w:rsidRPr="47E022F8">
        <w:rPr>
          <w:rFonts w:asciiTheme="minorHAnsi" w:hAnsiTheme="minorHAnsi"/>
          <w:snapToGrid w:val="0"/>
          <w:lang w:eastAsia="en-US"/>
        </w:rPr>
        <w:t xml:space="preserve">The PBAC recommended the General Schedule Restricted Benefit listing of insulin degludec for the treatment of type 1 diabetes mellitus (T1D). The PBAC’s recommendation for listing was based on, among other matters, its assessment that the cost-effectiveness of insulin degludec would be acceptable at the price proposed in the resubmission. The PBAC advised that the </w:t>
      </w:r>
      <w:r w:rsidR="001D29D6" w:rsidRPr="47E022F8">
        <w:rPr>
          <w:rFonts w:asciiTheme="minorHAnsi" w:hAnsiTheme="minorHAnsi"/>
          <w:snapToGrid w:val="0"/>
          <w:lang w:eastAsia="en-US"/>
        </w:rPr>
        <w:t>small, proposed</w:t>
      </w:r>
      <w:r w:rsidRPr="47E022F8">
        <w:rPr>
          <w:rFonts w:asciiTheme="minorHAnsi" w:hAnsiTheme="minorHAnsi"/>
          <w:snapToGrid w:val="0"/>
          <w:lang w:eastAsia="en-US"/>
        </w:rPr>
        <w:t xml:space="preserve"> price difference relative to insulin glargine 100 IU/mL was reasonable. However, the PBAC did not accept the cost-consequences approach in the resubmission as a basis for a price advantage. Rather, the PBAC expected that insulin degludec would offer a practical and clinical benefit for some patients, in the absence of insulin detemir being available on the PBS. Moreover, the PBAC considered that a cost-minimisation approach (CMA), although with uncertain equi-effective doses and uncertain substitution from insulin glargine 100 IU/mL and 300 IU/mL, would </w:t>
      </w:r>
      <w:r w:rsidR="00885FB9">
        <w:rPr>
          <w:rFonts w:asciiTheme="minorHAnsi" w:hAnsiTheme="minorHAnsi"/>
          <w:snapToGrid w:val="0"/>
          <w:lang w:eastAsia="en-US"/>
        </w:rPr>
        <w:t>plausibly</w:t>
      </w:r>
      <w:r w:rsidR="00885FB9" w:rsidRPr="47E022F8">
        <w:rPr>
          <w:rFonts w:asciiTheme="minorHAnsi" w:hAnsiTheme="minorHAnsi"/>
          <w:snapToGrid w:val="0"/>
          <w:lang w:eastAsia="en-US"/>
        </w:rPr>
        <w:t xml:space="preserve"> </w:t>
      </w:r>
      <w:r w:rsidRPr="47E022F8">
        <w:rPr>
          <w:rFonts w:asciiTheme="minorHAnsi" w:hAnsiTheme="minorHAnsi"/>
          <w:snapToGrid w:val="0"/>
          <w:lang w:eastAsia="en-US"/>
        </w:rPr>
        <w:t xml:space="preserve">result in a similarly cost-effective price as proposed by the resubmission. The PBAC considered that this uncertainty was acceptable in view </w:t>
      </w:r>
      <w:proofErr w:type="gramStart"/>
      <w:r w:rsidRPr="47E022F8">
        <w:rPr>
          <w:rFonts w:asciiTheme="minorHAnsi" w:hAnsiTheme="minorHAnsi"/>
          <w:snapToGrid w:val="0"/>
          <w:lang w:eastAsia="en-US"/>
        </w:rPr>
        <w:t>of:</w:t>
      </w:r>
      <w:proofErr w:type="gramEnd"/>
      <w:r w:rsidRPr="47E022F8">
        <w:rPr>
          <w:rFonts w:asciiTheme="minorHAnsi" w:hAnsiTheme="minorHAnsi"/>
          <w:snapToGrid w:val="0"/>
          <w:lang w:eastAsia="en-US"/>
        </w:rPr>
        <w:t xml:space="preserve"> the high clinical need for an alternative to insulin detemir as described in the consumer comments; the unlikelihood of any further forthcoming trial evidence; and the estimated modest overall financial impact to the PBS</w:t>
      </w:r>
      <w:r w:rsidR="00034CD7" w:rsidRPr="47E022F8">
        <w:rPr>
          <w:rFonts w:asciiTheme="minorHAnsi" w:hAnsiTheme="minorHAnsi"/>
          <w:snapToGrid w:val="0"/>
          <w:lang w:eastAsia="en-US"/>
        </w:rPr>
        <w:t xml:space="preserve">. </w:t>
      </w:r>
      <w:r w:rsidR="003A6DA2" w:rsidRPr="47E022F8">
        <w:rPr>
          <w:rFonts w:asciiTheme="minorHAnsi" w:hAnsiTheme="minorHAnsi"/>
          <w:snapToGrid w:val="0"/>
          <w:lang w:eastAsia="en-US"/>
        </w:rPr>
        <w:t xml:space="preserve"> </w:t>
      </w:r>
    </w:p>
    <w:p w14:paraId="3425C9B2" w14:textId="24B6ECE9" w:rsidR="00CF166F" w:rsidRPr="00B37C95" w:rsidRDefault="0087782C" w:rsidP="00E208B7">
      <w:pPr>
        <w:pStyle w:val="COMexecsummnumbered"/>
        <w:numPr>
          <w:ilvl w:val="1"/>
          <w:numId w:val="1"/>
        </w:numPr>
        <w:spacing w:before="120" w:after="120"/>
        <w:ind w:left="720"/>
        <w:rPr>
          <w:snapToGrid w:val="0"/>
          <w:lang w:val="en-GB" w:eastAsia="en-US"/>
        </w:rPr>
      </w:pPr>
      <w:r w:rsidRPr="00CF166F">
        <w:rPr>
          <w:rFonts w:eastAsia="Times New Roman" w:cs="Arial"/>
          <w:snapToGrid w:val="0"/>
          <w:szCs w:val="24"/>
          <w:lang w:val="en-GB" w:eastAsia="en-US"/>
        </w:rPr>
        <w:lastRenderedPageBreak/>
        <w:t>The PBAC noted th</w:t>
      </w:r>
      <w:r w:rsidR="00163AAE">
        <w:rPr>
          <w:rFonts w:eastAsia="Times New Roman" w:cs="Arial"/>
          <w:snapToGrid w:val="0"/>
          <w:szCs w:val="24"/>
          <w:lang w:val="en-GB" w:eastAsia="en-US"/>
        </w:rPr>
        <w:t xml:space="preserve">at </w:t>
      </w:r>
      <w:r w:rsidRPr="00CF166F">
        <w:rPr>
          <w:rFonts w:eastAsia="Times New Roman" w:cs="Arial"/>
          <w:snapToGrid w:val="0"/>
          <w:szCs w:val="24"/>
          <w:lang w:val="en-GB" w:eastAsia="en-US"/>
        </w:rPr>
        <w:t xml:space="preserve">insulin detemir </w:t>
      </w:r>
      <w:r w:rsidR="00163AAE">
        <w:rPr>
          <w:rFonts w:eastAsia="Times New Roman" w:cs="Arial"/>
          <w:snapToGrid w:val="0"/>
          <w:szCs w:val="24"/>
          <w:lang w:val="en-GB" w:eastAsia="en-US"/>
        </w:rPr>
        <w:t xml:space="preserve">is scheduled for discontinuation </w:t>
      </w:r>
      <w:r w:rsidRPr="00CF166F">
        <w:rPr>
          <w:rFonts w:eastAsia="Times New Roman" w:cs="Arial"/>
          <w:snapToGrid w:val="0"/>
          <w:szCs w:val="24"/>
          <w:lang w:val="en-GB" w:eastAsia="en-US"/>
        </w:rPr>
        <w:t>from the Australian market towards the end of 2026</w:t>
      </w:r>
      <w:r w:rsidR="00C747C7">
        <w:rPr>
          <w:rFonts w:eastAsia="Times New Roman" w:cs="Arial"/>
          <w:snapToGrid w:val="0"/>
          <w:szCs w:val="24"/>
          <w:lang w:val="en-GB" w:eastAsia="en-US"/>
        </w:rPr>
        <w:t xml:space="preserve"> </w:t>
      </w:r>
      <w:r w:rsidR="00C325D6">
        <w:rPr>
          <w:rFonts w:eastAsia="Times New Roman" w:cs="Arial"/>
          <w:snapToGrid w:val="0"/>
          <w:szCs w:val="24"/>
          <w:lang w:val="en-GB" w:eastAsia="en-US"/>
        </w:rPr>
        <w:t>and</w:t>
      </w:r>
      <w:r w:rsidRPr="00CF166F">
        <w:rPr>
          <w:rFonts w:eastAsia="Times New Roman" w:cs="Arial"/>
          <w:snapToGrid w:val="0"/>
          <w:szCs w:val="24"/>
          <w:lang w:val="en-GB" w:eastAsia="en-US"/>
        </w:rPr>
        <w:t xml:space="preserve"> </w:t>
      </w:r>
      <w:r w:rsidR="00ED1EAD">
        <w:rPr>
          <w:rFonts w:eastAsia="Times New Roman" w:cs="Arial"/>
          <w:snapToGrid w:val="0"/>
          <w:szCs w:val="24"/>
          <w:lang w:val="en-GB" w:eastAsia="en-US"/>
        </w:rPr>
        <w:t xml:space="preserve">that </w:t>
      </w:r>
      <w:r w:rsidR="001D1FB5">
        <w:rPr>
          <w:rFonts w:eastAsia="Times New Roman" w:cs="Arial"/>
          <w:snapToGrid w:val="0"/>
          <w:szCs w:val="24"/>
          <w:lang w:val="en-GB" w:eastAsia="en-US"/>
        </w:rPr>
        <w:t xml:space="preserve">the </w:t>
      </w:r>
      <w:r w:rsidRPr="00CF166F">
        <w:rPr>
          <w:rFonts w:eastAsia="Times New Roman" w:cs="Arial"/>
          <w:snapToGrid w:val="0"/>
          <w:szCs w:val="24"/>
          <w:lang w:val="en-GB" w:eastAsia="en-US"/>
        </w:rPr>
        <w:t>consumer</w:t>
      </w:r>
      <w:r w:rsidR="001875F5">
        <w:rPr>
          <w:rFonts w:eastAsia="Times New Roman" w:cs="Arial"/>
          <w:snapToGrid w:val="0"/>
          <w:szCs w:val="24"/>
          <w:lang w:val="en-GB" w:eastAsia="en-US"/>
        </w:rPr>
        <w:t xml:space="preserve"> comments </w:t>
      </w:r>
      <w:r w:rsidR="001D1FB5">
        <w:rPr>
          <w:rFonts w:eastAsia="Times New Roman" w:cs="Arial"/>
          <w:snapToGrid w:val="0"/>
          <w:szCs w:val="24"/>
          <w:lang w:val="en-GB" w:eastAsia="en-US"/>
        </w:rPr>
        <w:t xml:space="preserve">received </w:t>
      </w:r>
      <w:r w:rsidR="00B378ED">
        <w:rPr>
          <w:rFonts w:eastAsia="Times New Roman" w:cs="Arial"/>
          <w:snapToGrid w:val="0"/>
          <w:szCs w:val="24"/>
          <w:lang w:val="en-GB" w:eastAsia="en-US"/>
        </w:rPr>
        <w:t>on</w:t>
      </w:r>
      <w:r w:rsidR="001D1FB5">
        <w:rPr>
          <w:rFonts w:eastAsia="Times New Roman" w:cs="Arial"/>
          <w:snapToGrid w:val="0"/>
          <w:szCs w:val="24"/>
          <w:lang w:val="en-GB" w:eastAsia="en-US"/>
        </w:rPr>
        <w:t xml:space="preserve"> this submission </w:t>
      </w:r>
      <w:r w:rsidR="001875F5">
        <w:rPr>
          <w:rFonts w:eastAsia="Times New Roman" w:cs="Arial"/>
          <w:snapToGrid w:val="0"/>
          <w:szCs w:val="24"/>
          <w:lang w:val="en-GB" w:eastAsia="en-US"/>
        </w:rPr>
        <w:t xml:space="preserve">stated </w:t>
      </w:r>
      <w:r w:rsidR="00C773ED">
        <w:rPr>
          <w:rFonts w:eastAsia="Times New Roman" w:cs="Arial"/>
          <w:snapToGrid w:val="0"/>
          <w:szCs w:val="24"/>
          <w:lang w:val="en-GB" w:eastAsia="en-US"/>
        </w:rPr>
        <w:t xml:space="preserve">that </w:t>
      </w:r>
      <w:r w:rsidRPr="00CF166F">
        <w:rPr>
          <w:rFonts w:eastAsia="Times New Roman" w:cs="Arial"/>
          <w:snapToGrid w:val="0"/>
          <w:szCs w:val="24"/>
          <w:lang w:val="en-GB" w:eastAsia="en-US"/>
        </w:rPr>
        <w:t>people living with T1D</w:t>
      </w:r>
      <w:r w:rsidR="00EE5840" w:rsidRPr="00CF166F">
        <w:rPr>
          <w:rFonts w:eastAsia="Times New Roman" w:cs="Arial"/>
          <w:snapToGrid w:val="0"/>
          <w:szCs w:val="24"/>
          <w:lang w:val="en-GB" w:eastAsia="en-US"/>
        </w:rPr>
        <w:t xml:space="preserve"> </w:t>
      </w:r>
      <w:r w:rsidR="00CE753A" w:rsidRPr="00CF166F">
        <w:rPr>
          <w:rFonts w:eastAsia="Times New Roman" w:cs="Arial"/>
          <w:snapToGrid w:val="0"/>
          <w:szCs w:val="24"/>
          <w:lang w:val="en-GB" w:eastAsia="en-US"/>
        </w:rPr>
        <w:t>value having</w:t>
      </w:r>
      <w:r w:rsidR="00EE5840" w:rsidRPr="00CF166F">
        <w:rPr>
          <w:rFonts w:eastAsia="Times New Roman" w:cs="Arial"/>
          <w:snapToGrid w:val="0"/>
          <w:szCs w:val="24"/>
          <w:lang w:val="en-GB" w:eastAsia="en-US"/>
        </w:rPr>
        <w:t xml:space="preserve"> a choice of insulin treatments</w:t>
      </w:r>
      <w:r w:rsidR="00163AAE">
        <w:rPr>
          <w:rFonts w:eastAsia="Times New Roman" w:cs="Arial"/>
          <w:snapToGrid w:val="0"/>
          <w:szCs w:val="24"/>
          <w:lang w:val="en-GB" w:eastAsia="en-US"/>
        </w:rPr>
        <w:t xml:space="preserve">. The PBAC </w:t>
      </w:r>
      <w:r w:rsidR="004E5C61">
        <w:rPr>
          <w:rFonts w:eastAsia="Times New Roman" w:cs="Arial"/>
          <w:snapToGrid w:val="0"/>
          <w:szCs w:val="24"/>
          <w:lang w:val="en-GB" w:eastAsia="en-US"/>
        </w:rPr>
        <w:t>noted</w:t>
      </w:r>
      <w:r w:rsidR="004A1B52">
        <w:rPr>
          <w:rFonts w:eastAsia="Times New Roman" w:cs="Arial"/>
          <w:snapToGrid w:val="0"/>
          <w:szCs w:val="24"/>
          <w:lang w:val="en-GB" w:eastAsia="en-US"/>
        </w:rPr>
        <w:t xml:space="preserve"> that </w:t>
      </w:r>
      <w:r w:rsidR="000B33CE">
        <w:rPr>
          <w:rFonts w:eastAsia="Times New Roman" w:cs="Arial"/>
          <w:snapToGrid w:val="0"/>
          <w:szCs w:val="24"/>
          <w:lang w:val="en-GB" w:eastAsia="en-US"/>
        </w:rPr>
        <w:t>not all p</w:t>
      </w:r>
      <w:r w:rsidR="001421A9">
        <w:rPr>
          <w:rFonts w:eastAsia="Times New Roman" w:cs="Arial"/>
          <w:snapToGrid w:val="0"/>
          <w:szCs w:val="24"/>
          <w:lang w:val="en-GB" w:eastAsia="en-US"/>
        </w:rPr>
        <w:t>atients</w:t>
      </w:r>
      <w:r w:rsidR="000B33CE">
        <w:rPr>
          <w:rFonts w:eastAsia="Times New Roman" w:cs="Arial"/>
          <w:snapToGrid w:val="0"/>
          <w:szCs w:val="24"/>
          <w:lang w:val="en-GB" w:eastAsia="en-US"/>
        </w:rPr>
        <w:t xml:space="preserve"> do well on insulin glargine</w:t>
      </w:r>
      <w:r w:rsidR="00790BE4">
        <w:rPr>
          <w:rFonts w:eastAsia="Times New Roman" w:cs="Arial"/>
          <w:snapToGrid w:val="0"/>
          <w:szCs w:val="24"/>
          <w:lang w:val="en-GB" w:eastAsia="en-US"/>
        </w:rPr>
        <w:t xml:space="preserve"> and </w:t>
      </w:r>
      <w:r w:rsidR="00ED1EAD">
        <w:rPr>
          <w:rFonts w:eastAsia="Times New Roman" w:cs="Arial"/>
          <w:snapToGrid w:val="0"/>
          <w:szCs w:val="24"/>
          <w:lang w:val="en-GB" w:eastAsia="en-US"/>
        </w:rPr>
        <w:t xml:space="preserve">that </w:t>
      </w:r>
      <w:r w:rsidR="00790BE4">
        <w:rPr>
          <w:rFonts w:eastAsia="Times New Roman" w:cs="Arial"/>
          <w:snapToGrid w:val="0"/>
          <w:szCs w:val="24"/>
          <w:lang w:val="en-GB" w:eastAsia="en-US"/>
        </w:rPr>
        <w:t>some p</w:t>
      </w:r>
      <w:r w:rsidR="001421A9">
        <w:rPr>
          <w:rFonts w:eastAsia="Times New Roman" w:cs="Arial"/>
          <w:snapToGrid w:val="0"/>
          <w:szCs w:val="24"/>
          <w:lang w:val="en-GB" w:eastAsia="en-US"/>
        </w:rPr>
        <w:t>atients</w:t>
      </w:r>
      <w:r w:rsidR="00790BE4">
        <w:rPr>
          <w:rFonts w:eastAsia="Times New Roman" w:cs="Arial"/>
          <w:snapToGrid w:val="0"/>
          <w:szCs w:val="24"/>
          <w:lang w:val="en-GB" w:eastAsia="en-US"/>
        </w:rPr>
        <w:t xml:space="preserve"> </w:t>
      </w:r>
      <w:r w:rsidR="00556BF1">
        <w:rPr>
          <w:rFonts w:eastAsia="Times New Roman" w:cs="Arial"/>
          <w:snapToGrid w:val="0"/>
          <w:szCs w:val="24"/>
          <w:lang w:val="en-GB" w:eastAsia="en-US"/>
        </w:rPr>
        <w:t xml:space="preserve">living </w:t>
      </w:r>
      <w:r w:rsidR="00BE697A">
        <w:rPr>
          <w:rFonts w:eastAsia="Times New Roman" w:cs="Arial"/>
          <w:snapToGrid w:val="0"/>
          <w:szCs w:val="24"/>
          <w:lang w:val="en-GB" w:eastAsia="en-US"/>
        </w:rPr>
        <w:t>with T1D have issues with nocturnal hypoglycaemia</w:t>
      </w:r>
      <w:r w:rsidR="001F3231">
        <w:rPr>
          <w:rFonts w:eastAsia="Times New Roman" w:cs="Arial"/>
          <w:snapToGrid w:val="0"/>
          <w:szCs w:val="24"/>
          <w:lang w:val="en-GB" w:eastAsia="en-US"/>
        </w:rPr>
        <w:t>. The PBAC</w:t>
      </w:r>
      <w:r w:rsidR="001F5774">
        <w:rPr>
          <w:rFonts w:eastAsia="Times New Roman" w:cs="Arial"/>
          <w:snapToGrid w:val="0"/>
          <w:szCs w:val="24"/>
          <w:lang w:val="en-GB" w:eastAsia="en-US"/>
        </w:rPr>
        <w:t xml:space="preserve"> </w:t>
      </w:r>
      <w:r w:rsidR="001F5774" w:rsidRPr="001F5774">
        <w:rPr>
          <w:rFonts w:eastAsia="Times New Roman" w:cs="Arial"/>
          <w:snapToGrid w:val="0"/>
          <w:szCs w:val="24"/>
          <w:lang w:val="en-GB" w:eastAsia="en-US"/>
        </w:rPr>
        <w:t xml:space="preserve">considered that </w:t>
      </w:r>
      <w:r w:rsidR="007C1A0A">
        <w:rPr>
          <w:rFonts w:eastAsia="Times New Roman" w:cs="Arial"/>
          <w:snapToGrid w:val="0"/>
          <w:szCs w:val="24"/>
          <w:lang w:val="en-GB" w:eastAsia="en-US"/>
        </w:rPr>
        <w:t xml:space="preserve">it is important for patients </w:t>
      </w:r>
      <w:r w:rsidR="001F3231">
        <w:rPr>
          <w:rFonts w:eastAsia="Times New Roman" w:cs="Arial"/>
          <w:snapToGrid w:val="0"/>
          <w:szCs w:val="24"/>
          <w:lang w:val="en-GB" w:eastAsia="en-US"/>
        </w:rPr>
        <w:t xml:space="preserve">(in conjunction with their clinicians) </w:t>
      </w:r>
      <w:r w:rsidR="007C1A0A">
        <w:rPr>
          <w:rFonts w:eastAsia="Times New Roman" w:cs="Arial"/>
          <w:snapToGrid w:val="0"/>
          <w:szCs w:val="24"/>
          <w:lang w:val="en-GB" w:eastAsia="en-US"/>
        </w:rPr>
        <w:t xml:space="preserve">to have a </w:t>
      </w:r>
      <w:r w:rsidR="001F5774" w:rsidRPr="001F5774">
        <w:rPr>
          <w:rFonts w:eastAsia="Times New Roman" w:cs="Arial"/>
          <w:snapToGrid w:val="0"/>
          <w:szCs w:val="24"/>
          <w:lang w:val="en-GB" w:eastAsia="en-US"/>
        </w:rPr>
        <w:t>choice of insulin treatments</w:t>
      </w:r>
      <w:r w:rsidR="001F3231">
        <w:rPr>
          <w:rFonts w:eastAsia="Times New Roman" w:cs="Arial"/>
          <w:snapToGrid w:val="0"/>
          <w:szCs w:val="24"/>
          <w:lang w:val="en-GB" w:eastAsia="en-US"/>
        </w:rPr>
        <w:t xml:space="preserve"> available</w:t>
      </w:r>
      <w:r w:rsidR="001F5774">
        <w:rPr>
          <w:rFonts w:eastAsia="Times New Roman" w:cs="Arial"/>
          <w:snapToGrid w:val="0"/>
          <w:szCs w:val="24"/>
          <w:lang w:val="en-GB" w:eastAsia="en-US"/>
        </w:rPr>
        <w:t>.</w:t>
      </w:r>
    </w:p>
    <w:p w14:paraId="63A79378" w14:textId="6F27F301" w:rsidR="00B37C95" w:rsidRPr="00CF166F" w:rsidRDefault="00B37C95" w:rsidP="00E208B7">
      <w:pPr>
        <w:pStyle w:val="COMexecsummnumbered"/>
        <w:numPr>
          <w:ilvl w:val="1"/>
          <w:numId w:val="1"/>
        </w:numPr>
        <w:spacing w:before="120" w:after="120"/>
        <w:ind w:left="720"/>
        <w:rPr>
          <w:snapToGrid w:val="0"/>
          <w:lang w:val="en-GB" w:eastAsia="en-US"/>
        </w:rPr>
      </w:pPr>
      <w:r>
        <w:rPr>
          <w:rFonts w:eastAsia="Times New Roman" w:cs="Arial"/>
          <w:snapToGrid w:val="0"/>
          <w:szCs w:val="24"/>
          <w:lang w:val="en-GB" w:eastAsia="en-US"/>
        </w:rPr>
        <w:t xml:space="preserve">The PBAC </w:t>
      </w:r>
      <w:r w:rsidR="00D94FAC">
        <w:rPr>
          <w:rFonts w:eastAsia="Times New Roman" w:cs="Arial"/>
          <w:snapToGrid w:val="0"/>
          <w:szCs w:val="24"/>
          <w:lang w:val="en-GB" w:eastAsia="en-US"/>
        </w:rPr>
        <w:t>considered th</w:t>
      </w:r>
      <w:r>
        <w:rPr>
          <w:rFonts w:eastAsia="Times New Roman" w:cs="Arial"/>
          <w:snapToGrid w:val="0"/>
          <w:szCs w:val="24"/>
          <w:lang w:val="en-GB" w:eastAsia="en-US"/>
        </w:rPr>
        <w:t>at</w:t>
      </w:r>
      <w:r w:rsidR="00D94FAC">
        <w:rPr>
          <w:rFonts w:eastAsia="Times New Roman" w:cs="Arial"/>
          <w:snapToGrid w:val="0"/>
          <w:szCs w:val="24"/>
          <w:lang w:val="en-GB" w:eastAsia="en-US"/>
        </w:rPr>
        <w:t xml:space="preserve"> whil</w:t>
      </w:r>
      <w:r w:rsidR="0026053C">
        <w:rPr>
          <w:rFonts w:eastAsia="Times New Roman" w:cs="Arial"/>
          <w:snapToGrid w:val="0"/>
          <w:szCs w:val="24"/>
          <w:lang w:val="en-GB" w:eastAsia="en-US"/>
        </w:rPr>
        <w:t>st</w:t>
      </w:r>
      <w:r>
        <w:rPr>
          <w:rFonts w:eastAsia="Times New Roman" w:cs="Arial"/>
          <w:snapToGrid w:val="0"/>
          <w:szCs w:val="24"/>
          <w:lang w:val="en-GB" w:eastAsia="en-US"/>
        </w:rPr>
        <w:t xml:space="preserve"> </w:t>
      </w:r>
      <w:r w:rsidR="00BA7166">
        <w:rPr>
          <w:rFonts w:eastAsia="Times New Roman" w:cs="Arial"/>
          <w:snapToGrid w:val="0"/>
          <w:szCs w:val="24"/>
          <w:lang w:val="en-GB" w:eastAsia="en-US"/>
        </w:rPr>
        <w:t xml:space="preserve">there </w:t>
      </w:r>
      <w:r w:rsidR="00B378ED">
        <w:rPr>
          <w:rFonts w:eastAsia="Times New Roman" w:cs="Arial"/>
          <w:snapToGrid w:val="0"/>
          <w:szCs w:val="24"/>
          <w:lang w:val="en-GB" w:eastAsia="en-US"/>
        </w:rPr>
        <w:t>i</w:t>
      </w:r>
      <w:r w:rsidR="00BA7166">
        <w:rPr>
          <w:rFonts w:eastAsia="Times New Roman" w:cs="Arial"/>
          <w:snapToGrid w:val="0"/>
          <w:szCs w:val="24"/>
          <w:lang w:val="en-GB" w:eastAsia="en-US"/>
        </w:rPr>
        <w:t xml:space="preserve">s a risk of use outside of the restriction </w:t>
      </w:r>
      <w:r w:rsidR="00B378ED">
        <w:rPr>
          <w:rFonts w:eastAsia="Times New Roman" w:cs="Arial"/>
          <w:snapToGrid w:val="0"/>
          <w:szCs w:val="24"/>
          <w:lang w:val="en-GB" w:eastAsia="en-US"/>
        </w:rPr>
        <w:t xml:space="preserve">in patients who do not have T1D, </w:t>
      </w:r>
      <w:r w:rsidR="00D94FAC">
        <w:rPr>
          <w:rFonts w:eastAsia="Times New Roman" w:cs="Arial"/>
          <w:snapToGrid w:val="0"/>
          <w:szCs w:val="24"/>
          <w:lang w:val="en-GB" w:eastAsia="en-US"/>
        </w:rPr>
        <w:t xml:space="preserve">that </w:t>
      </w:r>
      <w:r w:rsidR="007B0888">
        <w:rPr>
          <w:rFonts w:eastAsia="Times New Roman" w:cs="Arial"/>
          <w:snapToGrid w:val="0"/>
          <w:szCs w:val="24"/>
          <w:lang w:val="en-GB" w:eastAsia="en-US"/>
        </w:rPr>
        <w:t>a Restricted Benefit listing would be appropriate for insulin degludec</w:t>
      </w:r>
      <w:r w:rsidR="008861CC">
        <w:rPr>
          <w:rFonts w:eastAsia="Times New Roman" w:cs="Arial"/>
          <w:snapToGrid w:val="0"/>
          <w:szCs w:val="24"/>
          <w:lang w:val="en-GB" w:eastAsia="en-US"/>
        </w:rPr>
        <w:t>,</w:t>
      </w:r>
      <w:r w:rsidR="0066117C">
        <w:rPr>
          <w:rFonts w:eastAsia="Times New Roman" w:cs="Arial"/>
          <w:snapToGrid w:val="0"/>
          <w:szCs w:val="24"/>
          <w:lang w:val="en-GB" w:eastAsia="en-US"/>
        </w:rPr>
        <w:t xml:space="preserve"> noting that this is consistent with the current insulin detemir listings</w:t>
      </w:r>
      <w:r w:rsidR="00762650">
        <w:rPr>
          <w:rFonts w:eastAsia="Times New Roman" w:cs="Arial"/>
          <w:snapToGrid w:val="0"/>
          <w:szCs w:val="24"/>
          <w:lang w:val="en-GB" w:eastAsia="en-US"/>
        </w:rPr>
        <w:t xml:space="preserve">. </w:t>
      </w:r>
    </w:p>
    <w:p w14:paraId="34F901D5" w14:textId="4CA6B3B4" w:rsidR="004A364B" w:rsidRPr="00EE5E1B" w:rsidRDefault="004A364B" w:rsidP="00E208B7">
      <w:pPr>
        <w:pStyle w:val="COMexecsummnumbered"/>
        <w:numPr>
          <w:ilvl w:val="1"/>
          <w:numId w:val="1"/>
        </w:numPr>
        <w:spacing w:before="120" w:after="120"/>
        <w:ind w:left="720"/>
        <w:rPr>
          <w:snapToGrid w:val="0"/>
          <w:lang w:val="en-GB" w:eastAsia="en-US"/>
        </w:rPr>
      </w:pPr>
      <w:r w:rsidRPr="00CF166F">
        <w:rPr>
          <w:snapToGrid w:val="0"/>
          <w:lang w:val="en-GB" w:eastAsia="en-US"/>
        </w:rPr>
        <w:t xml:space="preserve">The PBAC noted that </w:t>
      </w:r>
      <w:r w:rsidR="007437DD">
        <w:rPr>
          <w:snapToGrid w:val="0"/>
          <w:lang w:val="en-GB" w:eastAsia="en-US"/>
        </w:rPr>
        <w:t xml:space="preserve">the </w:t>
      </w:r>
      <w:r w:rsidRPr="00CF166F">
        <w:rPr>
          <w:snapToGrid w:val="0"/>
          <w:lang w:val="en-GB" w:eastAsia="en-US"/>
        </w:rPr>
        <w:t xml:space="preserve">resubmission proposed insulin glargine 100 IU/mL as the main comparator. The </w:t>
      </w:r>
      <w:r w:rsidR="00422434" w:rsidRPr="00CF166F">
        <w:rPr>
          <w:snapToGrid w:val="0"/>
          <w:lang w:val="en-GB" w:eastAsia="en-US"/>
        </w:rPr>
        <w:t>PBAC</w:t>
      </w:r>
      <w:r w:rsidRPr="00CF166F">
        <w:rPr>
          <w:snapToGrid w:val="0"/>
          <w:lang w:val="en-GB" w:eastAsia="en-US"/>
        </w:rPr>
        <w:t xml:space="preserve"> </w:t>
      </w:r>
      <w:r w:rsidR="00D4199F">
        <w:rPr>
          <w:snapToGrid w:val="0"/>
          <w:lang w:val="en-GB" w:eastAsia="en-US"/>
        </w:rPr>
        <w:t>accepted this, however</w:t>
      </w:r>
      <w:r w:rsidR="009234F5">
        <w:rPr>
          <w:snapToGrid w:val="0"/>
          <w:lang w:val="en-GB" w:eastAsia="en-US"/>
        </w:rPr>
        <w:t xml:space="preserve">, </w:t>
      </w:r>
      <w:r w:rsidRPr="00CF166F">
        <w:rPr>
          <w:snapToGrid w:val="0"/>
          <w:lang w:val="en-GB" w:eastAsia="en-US"/>
        </w:rPr>
        <w:t>noted that the pharmacokinetic profile of insulin degludec was most similar to insulin glargine 300 IU/</w:t>
      </w:r>
      <w:proofErr w:type="spellStart"/>
      <w:r w:rsidRPr="00CF166F">
        <w:rPr>
          <w:snapToGrid w:val="0"/>
          <w:lang w:val="en-GB" w:eastAsia="en-US"/>
        </w:rPr>
        <w:t>mL</w:t>
      </w:r>
      <w:r w:rsidR="009234F5">
        <w:rPr>
          <w:snapToGrid w:val="0"/>
          <w:lang w:val="en-GB" w:eastAsia="en-US"/>
        </w:rPr>
        <w:t>.</w:t>
      </w:r>
      <w:proofErr w:type="spellEnd"/>
      <w:r w:rsidRPr="00CF166F">
        <w:rPr>
          <w:snapToGrid w:val="0"/>
          <w:lang w:val="en-GB" w:eastAsia="en-US"/>
        </w:rPr>
        <w:t xml:space="preserve"> </w:t>
      </w:r>
      <w:r w:rsidR="009234F5">
        <w:rPr>
          <w:snapToGrid w:val="0"/>
          <w:lang w:val="en-GB" w:eastAsia="en-US"/>
        </w:rPr>
        <w:t>I</w:t>
      </w:r>
      <w:r w:rsidR="00422434" w:rsidRPr="00CF166F">
        <w:rPr>
          <w:snapToGrid w:val="0"/>
          <w:lang w:val="en-GB" w:eastAsia="en-US"/>
        </w:rPr>
        <w:t xml:space="preserve">n line with advice from the ESC, </w:t>
      </w:r>
      <w:r w:rsidR="009234F5">
        <w:rPr>
          <w:snapToGrid w:val="0"/>
          <w:lang w:val="en-GB" w:eastAsia="en-US"/>
        </w:rPr>
        <w:t xml:space="preserve">the PBAC </w:t>
      </w:r>
      <w:r w:rsidR="00422434" w:rsidRPr="00CF166F">
        <w:rPr>
          <w:snapToGrid w:val="0"/>
          <w:lang w:val="en-GB" w:eastAsia="en-US"/>
        </w:rPr>
        <w:t xml:space="preserve">considered that </w:t>
      </w:r>
      <w:r w:rsidRPr="00CF166F">
        <w:rPr>
          <w:snapToGrid w:val="0"/>
          <w:lang w:val="en-GB" w:eastAsia="en-US"/>
        </w:rPr>
        <w:t xml:space="preserve">insulin glargine 300 IU/mL would be an </w:t>
      </w:r>
      <w:r w:rsidR="00D4199F">
        <w:rPr>
          <w:snapToGrid w:val="0"/>
          <w:lang w:val="en-GB" w:eastAsia="en-US"/>
        </w:rPr>
        <w:t>alternative</w:t>
      </w:r>
      <w:r w:rsidRPr="00CF166F">
        <w:rPr>
          <w:snapToGrid w:val="0"/>
          <w:lang w:val="en-GB" w:eastAsia="en-US"/>
        </w:rPr>
        <w:t xml:space="preserve"> comparator, noting that insulin glargine 100 IU/mL and 300 IU/mL are not interchangeable</w:t>
      </w:r>
      <w:r w:rsidRPr="00EE5E1B">
        <w:rPr>
          <w:snapToGrid w:val="0"/>
          <w:lang w:val="en-GB" w:eastAsia="en-US"/>
        </w:rPr>
        <w:t xml:space="preserve">. </w:t>
      </w:r>
      <w:r w:rsidR="00885FB9" w:rsidRPr="00EE5E1B">
        <w:rPr>
          <w:rFonts w:ascii="Calibri" w:hAnsi="Calibri" w:cs="Calibri"/>
          <w:lang w:val="en-GB"/>
        </w:rPr>
        <w:t>The PBAC noted the sponsor’s advice that “</w:t>
      </w:r>
      <w:r w:rsidR="00885FB9" w:rsidRPr="00EE5E1B">
        <w:rPr>
          <w:rFonts w:ascii="Calibri" w:hAnsi="Calibri" w:cs="Calibri"/>
        </w:rPr>
        <w:t>any crossover period during which insulin degludec and insulin detemir were both PBS listed would be short and transitional in nature</w:t>
      </w:r>
      <w:proofErr w:type="gramStart"/>
      <w:r w:rsidR="00885FB9" w:rsidRPr="00EE5E1B">
        <w:rPr>
          <w:rFonts w:ascii="Calibri" w:hAnsi="Calibri" w:cs="Calibri"/>
        </w:rPr>
        <w:t>”, and</w:t>
      </w:r>
      <w:proofErr w:type="gramEnd"/>
      <w:r w:rsidR="00885FB9" w:rsidRPr="00EE5E1B">
        <w:rPr>
          <w:rFonts w:ascii="Calibri" w:hAnsi="Calibri" w:cs="Calibri"/>
        </w:rPr>
        <w:t xml:space="preserve"> considered it reasonable to exclude insulin detemir as a comparator on this basis </w:t>
      </w:r>
      <w:proofErr w:type="gramStart"/>
      <w:r w:rsidR="00885FB9" w:rsidRPr="00EE5E1B">
        <w:rPr>
          <w:rFonts w:ascii="Calibri" w:hAnsi="Calibri" w:cs="Calibri"/>
        </w:rPr>
        <w:t>and also</w:t>
      </w:r>
      <w:proofErr w:type="gramEnd"/>
      <w:r w:rsidR="00885FB9" w:rsidRPr="00EE5E1B">
        <w:rPr>
          <w:rFonts w:ascii="Calibri" w:hAnsi="Calibri" w:cs="Calibri"/>
        </w:rPr>
        <w:t xml:space="preserve"> since some patients may reasonably be expected to transition to insulin glargine before insulin detemir delists. However, the PBAC advised that if any crossover period was protracted, then the rationale for excluding insulin detemir as a relevant comparator was not well justified.</w:t>
      </w:r>
    </w:p>
    <w:p w14:paraId="164D7C06" w14:textId="091B1AEC" w:rsidR="00E95432" w:rsidRDefault="00E11E5F" w:rsidP="00E208B7">
      <w:pPr>
        <w:numPr>
          <w:ilvl w:val="1"/>
          <w:numId w:val="1"/>
        </w:numPr>
        <w:spacing w:before="120" w:after="120"/>
        <w:ind w:left="720"/>
        <w:rPr>
          <w:snapToGrid w:val="0"/>
          <w:lang w:val="en-GB" w:eastAsia="en-US"/>
        </w:rPr>
      </w:pPr>
      <w:r>
        <w:rPr>
          <w:rFonts w:asciiTheme="minorHAnsi" w:hAnsiTheme="minorHAnsi"/>
          <w:snapToGrid w:val="0"/>
          <w:lang w:val="en-GB" w:eastAsia="en-US"/>
        </w:rPr>
        <w:t xml:space="preserve">The PBAC noted that the resubmission presented </w:t>
      </w:r>
      <w:r w:rsidR="006D4F3B">
        <w:rPr>
          <w:rFonts w:asciiTheme="minorHAnsi" w:hAnsiTheme="minorHAnsi"/>
          <w:snapToGrid w:val="0"/>
          <w:lang w:val="en-GB" w:eastAsia="en-US"/>
        </w:rPr>
        <w:t>data from</w:t>
      </w:r>
      <w:r w:rsidR="006D4F3B" w:rsidRPr="006D4F3B">
        <w:rPr>
          <w:snapToGrid w:val="0"/>
          <w:lang w:val="en-GB" w:eastAsia="en-US"/>
        </w:rPr>
        <w:t xml:space="preserve"> </w:t>
      </w:r>
      <w:r w:rsidR="00CB6E66">
        <w:rPr>
          <w:snapToGrid w:val="0"/>
          <w:lang w:val="en-GB" w:eastAsia="en-US"/>
        </w:rPr>
        <w:t>two</w:t>
      </w:r>
      <w:r w:rsidR="00EC6535">
        <w:rPr>
          <w:snapToGrid w:val="0"/>
          <w:lang w:val="en-GB" w:eastAsia="en-US"/>
        </w:rPr>
        <w:t xml:space="preserve"> randomised head-to-head </w:t>
      </w:r>
      <w:r w:rsidR="00CB3900">
        <w:rPr>
          <w:snapToGrid w:val="0"/>
          <w:lang w:val="en-GB" w:eastAsia="en-US"/>
        </w:rPr>
        <w:t>trials Study</w:t>
      </w:r>
      <w:r w:rsidR="005361BC">
        <w:rPr>
          <w:snapToGrid w:val="0"/>
          <w:lang w:val="en-GB" w:eastAsia="en-US"/>
        </w:rPr>
        <w:t xml:space="preserve"> </w:t>
      </w:r>
      <w:r w:rsidR="004234CF">
        <w:rPr>
          <w:snapToGrid w:val="0"/>
          <w:lang w:val="en-GB" w:eastAsia="en-US"/>
        </w:rPr>
        <w:t xml:space="preserve">3583 and </w:t>
      </w:r>
      <w:r w:rsidR="00CB3900">
        <w:rPr>
          <w:snapToGrid w:val="0"/>
          <w:lang w:val="en-GB" w:eastAsia="en-US"/>
        </w:rPr>
        <w:t xml:space="preserve">Study </w:t>
      </w:r>
      <w:r w:rsidR="004234CF">
        <w:rPr>
          <w:snapToGrid w:val="0"/>
          <w:lang w:val="en-GB" w:eastAsia="en-US"/>
        </w:rPr>
        <w:t>3770</w:t>
      </w:r>
      <w:r w:rsidR="00E95432">
        <w:rPr>
          <w:snapToGrid w:val="0"/>
          <w:lang w:val="en-GB" w:eastAsia="en-US"/>
        </w:rPr>
        <w:t xml:space="preserve">, which </w:t>
      </w:r>
      <w:r w:rsidR="005361BC">
        <w:rPr>
          <w:snapToGrid w:val="0"/>
          <w:lang w:val="en-GB" w:eastAsia="en-US"/>
        </w:rPr>
        <w:t>were previously considered by the PBAC in March 2013</w:t>
      </w:r>
      <w:r w:rsidR="00E95432">
        <w:rPr>
          <w:snapToGrid w:val="0"/>
          <w:lang w:val="en-GB" w:eastAsia="en-US"/>
        </w:rPr>
        <w:t xml:space="preserve">, </w:t>
      </w:r>
      <w:r w:rsidR="00181D45">
        <w:rPr>
          <w:snapToGrid w:val="0"/>
          <w:lang w:val="en-GB" w:eastAsia="en-US"/>
        </w:rPr>
        <w:t>a</w:t>
      </w:r>
      <w:r w:rsidR="006A0C46">
        <w:rPr>
          <w:snapToGrid w:val="0"/>
          <w:lang w:val="en-GB" w:eastAsia="en-US"/>
        </w:rPr>
        <w:t>s well as a</w:t>
      </w:r>
      <w:r w:rsidR="00181D45">
        <w:rPr>
          <w:snapToGrid w:val="0"/>
          <w:lang w:val="en-GB" w:eastAsia="en-US"/>
        </w:rPr>
        <w:t>dditional</w:t>
      </w:r>
      <w:r w:rsidR="00EC6535">
        <w:rPr>
          <w:snapToGrid w:val="0"/>
          <w:lang w:val="en-GB" w:eastAsia="en-US"/>
        </w:rPr>
        <w:t xml:space="preserve"> data</w:t>
      </w:r>
      <w:r w:rsidR="006B39D3">
        <w:rPr>
          <w:snapToGrid w:val="0"/>
          <w:lang w:val="en-GB" w:eastAsia="en-US"/>
        </w:rPr>
        <w:t xml:space="preserve"> </w:t>
      </w:r>
      <w:r w:rsidR="00E95432">
        <w:rPr>
          <w:snapToGrid w:val="0"/>
          <w:lang w:val="en-GB" w:eastAsia="en-US"/>
        </w:rPr>
        <w:t xml:space="preserve">from </w:t>
      </w:r>
      <w:r w:rsidR="00181D45">
        <w:rPr>
          <w:snapToGrid w:val="0"/>
          <w:lang w:val="en-GB" w:eastAsia="en-US"/>
        </w:rPr>
        <w:t xml:space="preserve">the </w:t>
      </w:r>
      <w:r w:rsidR="00CB6E66">
        <w:rPr>
          <w:snapToGrid w:val="0"/>
          <w:lang w:val="en-GB" w:eastAsia="en-US"/>
        </w:rPr>
        <w:t xml:space="preserve">three </w:t>
      </w:r>
      <w:r w:rsidR="00181D45">
        <w:rPr>
          <w:snapToGrid w:val="0"/>
          <w:lang w:val="en-GB" w:eastAsia="en-US"/>
        </w:rPr>
        <w:t>randomised</w:t>
      </w:r>
      <w:r w:rsidR="00CB3900">
        <w:rPr>
          <w:snapToGrid w:val="0"/>
          <w:lang w:val="en-GB" w:eastAsia="en-US"/>
        </w:rPr>
        <w:t xml:space="preserve"> trials</w:t>
      </w:r>
      <w:r w:rsidR="00FE404D">
        <w:rPr>
          <w:snapToGrid w:val="0"/>
          <w:lang w:val="en-GB" w:eastAsia="en-US"/>
        </w:rPr>
        <w:t xml:space="preserve"> </w:t>
      </w:r>
      <w:r w:rsidR="00CB3900">
        <w:rPr>
          <w:snapToGrid w:val="0"/>
          <w:lang w:val="en-GB" w:eastAsia="en-US"/>
        </w:rPr>
        <w:t xml:space="preserve">Study </w:t>
      </w:r>
      <w:r w:rsidR="00FE404D">
        <w:rPr>
          <w:snapToGrid w:val="0"/>
          <w:lang w:val="en-GB" w:eastAsia="en-US"/>
        </w:rPr>
        <w:t xml:space="preserve">1835, </w:t>
      </w:r>
      <w:r w:rsidR="00CB3900">
        <w:rPr>
          <w:snapToGrid w:val="0"/>
          <w:lang w:val="en-GB" w:eastAsia="en-US"/>
        </w:rPr>
        <w:t xml:space="preserve">Study </w:t>
      </w:r>
      <w:r w:rsidR="00FE404D">
        <w:rPr>
          <w:snapToGrid w:val="0"/>
          <w:lang w:val="en-GB" w:eastAsia="en-US"/>
        </w:rPr>
        <w:t xml:space="preserve">3995 and </w:t>
      </w:r>
      <w:proofErr w:type="spellStart"/>
      <w:r w:rsidR="008F063F">
        <w:rPr>
          <w:snapToGrid w:val="0"/>
          <w:lang w:val="en-GB" w:eastAsia="en-US"/>
        </w:rPr>
        <w:t>HypoDeg</w:t>
      </w:r>
      <w:proofErr w:type="spellEnd"/>
      <w:r w:rsidR="006B39D3">
        <w:rPr>
          <w:snapToGrid w:val="0"/>
          <w:lang w:val="en-GB" w:eastAsia="en-US"/>
        </w:rPr>
        <w:t xml:space="preserve">, </w:t>
      </w:r>
      <w:r w:rsidR="00BB6B19">
        <w:rPr>
          <w:snapToGrid w:val="0"/>
          <w:lang w:val="en-GB" w:eastAsia="en-US"/>
        </w:rPr>
        <w:t xml:space="preserve">2 network meta-analyses </w:t>
      </w:r>
      <w:r w:rsidR="006A0C46">
        <w:rPr>
          <w:snapToGrid w:val="0"/>
          <w:lang w:val="en-GB" w:eastAsia="en-US"/>
        </w:rPr>
        <w:t>and</w:t>
      </w:r>
      <w:r w:rsidR="006B39D3">
        <w:rPr>
          <w:snapToGrid w:val="0"/>
          <w:lang w:val="en-GB" w:eastAsia="en-US"/>
        </w:rPr>
        <w:t xml:space="preserve"> supportive </w:t>
      </w:r>
      <w:r w:rsidR="00BB6B19">
        <w:rPr>
          <w:snapToGrid w:val="0"/>
          <w:lang w:val="en-GB" w:eastAsia="en-US"/>
        </w:rPr>
        <w:t xml:space="preserve">data </w:t>
      </w:r>
      <w:r w:rsidR="006B39D3">
        <w:rPr>
          <w:snapToGrid w:val="0"/>
          <w:lang w:val="en-GB" w:eastAsia="en-US"/>
        </w:rPr>
        <w:t xml:space="preserve">summaries in selected patient groups from an additional 11 </w:t>
      </w:r>
      <w:r w:rsidR="00EC6535">
        <w:rPr>
          <w:snapToGrid w:val="0"/>
          <w:lang w:val="en-GB" w:eastAsia="en-US"/>
        </w:rPr>
        <w:t>studies</w:t>
      </w:r>
      <w:r w:rsidR="006B39D3">
        <w:rPr>
          <w:snapToGrid w:val="0"/>
          <w:lang w:val="en-GB" w:eastAsia="en-US"/>
        </w:rPr>
        <w:t>.</w:t>
      </w:r>
    </w:p>
    <w:p w14:paraId="092124B1" w14:textId="3ECD6A33" w:rsidR="004615D8" w:rsidRPr="00987BDD" w:rsidRDefault="005D1FF9" w:rsidP="00E208B7">
      <w:pPr>
        <w:pStyle w:val="COMexecsummnumbered"/>
        <w:rPr>
          <w:rFonts w:eastAsia="Times New Roman" w:cs="Arial"/>
          <w:snapToGrid w:val="0"/>
          <w:szCs w:val="24"/>
          <w:lang w:val="en-GB" w:eastAsia="en-US"/>
        </w:rPr>
      </w:pPr>
      <w:r>
        <w:rPr>
          <w:snapToGrid w:val="0"/>
          <w:lang w:val="en-GB" w:eastAsia="en-US"/>
        </w:rPr>
        <w:t>I</w:t>
      </w:r>
      <w:r w:rsidRPr="005D1FF9">
        <w:rPr>
          <w:snapToGrid w:val="0"/>
          <w:lang w:val="en-GB" w:eastAsia="en-US"/>
        </w:rPr>
        <w:t>n line with its recommendation from the March 2013 PBAC meeting (section 9, insulin degludec PSD, March 2013 PBAC meeting)</w:t>
      </w:r>
      <w:r>
        <w:rPr>
          <w:snapToGrid w:val="0"/>
          <w:lang w:val="en-GB" w:eastAsia="en-US"/>
        </w:rPr>
        <w:t xml:space="preserve"> and b</w:t>
      </w:r>
      <w:r w:rsidR="004615D8">
        <w:rPr>
          <w:snapToGrid w:val="0"/>
          <w:lang w:val="en-GB" w:eastAsia="en-US"/>
        </w:rPr>
        <w:t>ased on the data presented, t</w:t>
      </w:r>
      <w:r w:rsidR="004615D8" w:rsidRPr="008B4114">
        <w:rPr>
          <w:snapToGrid w:val="0"/>
          <w:lang w:val="en-GB" w:eastAsia="en-US"/>
        </w:rPr>
        <w:t xml:space="preserve">he </w:t>
      </w:r>
      <w:r w:rsidR="004615D8">
        <w:rPr>
          <w:snapToGrid w:val="0"/>
          <w:lang w:val="en-GB" w:eastAsia="en-US"/>
        </w:rPr>
        <w:t>PBAC</w:t>
      </w:r>
      <w:r w:rsidR="004615D8" w:rsidRPr="008B4114">
        <w:rPr>
          <w:snapToGrid w:val="0"/>
          <w:lang w:val="en-GB" w:eastAsia="en-US"/>
        </w:rPr>
        <w:t xml:space="preserve"> considered that </w:t>
      </w:r>
      <w:r w:rsidR="004615D8">
        <w:rPr>
          <w:snapToGrid w:val="0"/>
          <w:lang w:val="en-GB" w:eastAsia="en-US"/>
        </w:rPr>
        <w:t>insulin degludec was</w:t>
      </w:r>
      <w:r w:rsidR="004615D8" w:rsidRPr="008B4114">
        <w:rPr>
          <w:snapToGrid w:val="0"/>
          <w:lang w:val="en-GB" w:eastAsia="en-US"/>
        </w:rPr>
        <w:t xml:space="preserve"> at least non-inferior </w:t>
      </w:r>
      <w:r w:rsidR="004615D8">
        <w:rPr>
          <w:snapToGrid w:val="0"/>
          <w:lang w:val="en-GB" w:eastAsia="en-US"/>
        </w:rPr>
        <w:t xml:space="preserve">in terms of comparative </w:t>
      </w:r>
      <w:r w:rsidR="004615D8" w:rsidRPr="008B4114">
        <w:rPr>
          <w:snapToGrid w:val="0"/>
          <w:lang w:val="en-GB" w:eastAsia="en-US"/>
        </w:rPr>
        <w:t>effectiveness</w:t>
      </w:r>
      <w:r w:rsidR="00E4680A">
        <w:rPr>
          <w:snapToGrid w:val="0"/>
          <w:lang w:val="en-GB" w:eastAsia="en-US"/>
        </w:rPr>
        <w:t xml:space="preserve"> </w:t>
      </w:r>
      <w:r w:rsidR="004615D8" w:rsidRPr="008B4114">
        <w:rPr>
          <w:snapToGrid w:val="0"/>
          <w:lang w:val="en-GB" w:eastAsia="en-US"/>
        </w:rPr>
        <w:t>to insulin glargine 100 IU/</w:t>
      </w:r>
      <w:proofErr w:type="spellStart"/>
      <w:r w:rsidR="004615D8" w:rsidRPr="008B4114">
        <w:rPr>
          <w:snapToGrid w:val="0"/>
          <w:lang w:val="en-GB" w:eastAsia="en-US"/>
        </w:rPr>
        <w:t>mL</w:t>
      </w:r>
      <w:r w:rsidR="004615D8">
        <w:rPr>
          <w:snapToGrid w:val="0"/>
          <w:lang w:val="en-GB" w:eastAsia="en-US"/>
        </w:rPr>
        <w:t>.</w:t>
      </w:r>
      <w:proofErr w:type="spellEnd"/>
      <w:r w:rsidR="00726724">
        <w:rPr>
          <w:snapToGrid w:val="0"/>
          <w:lang w:val="en-GB" w:eastAsia="en-US"/>
        </w:rPr>
        <w:t xml:space="preserve"> The PBAC </w:t>
      </w:r>
      <w:r w:rsidR="00642710">
        <w:rPr>
          <w:snapToGrid w:val="0"/>
          <w:lang w:val="en-GB" w:eastAsia="en-US"/>
        </w:rPr>
        <w:t>also considered that insulin degludec had at least non-inferior safety relative to insulin glargine 100 IU/</w:t>
      </w:r>
      <w:proofErr w:type="spellStart"/>
      <w:r w:rsidR="00642710">
        <w:rPr>
          <w:snapToGrid w:val="0"/>
          <w:lang w:val="en-GB" w:eastAsia="en-US"/>
        </w:rPr>
        <w:t>mL</w:t>
      </w:r>
      <w:r w:rsidR="005C2F10">
        <w:rPr>
          <w:snapToGrid w:val="0"/>
          <w:lang w:val="en-GB" w:eastAsia="en-US"/>
        </w:rPr>
        <w:t>.</w:t>
      </w:r>
      <w:proofErr w:type="spellEnd"/>
      <w:r w:rsidR="008511A7">
        <w:rPr>
          <w:snapToGrid w:val="0"/>
          <w:lang w:val="en-GB" w:eastAsia="en-US"/>
        </w:rPr>
        <w:t xml:space="preserve"> </w:t>
      </w:r>
      <w:r w:rsidR="008511A7" w:rsidRPr="008565DF">
        <w:rPr>
          <w:snapToGrid w:val="0"/>
          <w:lang w:val="en-GB" w:eastAsia="en-US"/>
        </w:rPr>
        <w:t xml:space="preserve">The PBAC </w:t>
      </w:r>
      <w:r w:rsidR="000142FF" w:rsidRPr="008565DF">
        <w:rPr>
          <w:snapToGrid w:val="0"/>
          <w:lang w:val="en-GB" w:eastAsia="en-US"/>
        </w:rPr>
        <w:t xml:space="preserve">had not considered evidence that would suggest insulin degludec </w:t>
      </w:r>
      <w:r w:rsidR="008571E2" w:rsidRPr="008565DF">
        <w:rPr>
          <w:snapToGrid w:val="0"/>
          <w:lang w:val="en-GB" w:eastAsia="en-US"/>
        </w:rPr>
        <w:t>would not also be at least non-inferior in effectiveness and safety when compared to insulin glargine 300 IU/</w:t>
      </w:r>
      <w:proofErr w:type="spellStart"/>
      <w:r w:rsidR="008571E2" w:rsidRPr="008565DF">
        <w:rPr>
          <w:snapToGrid w:val="0"/>
          <w:lang w:val="en-GB" w:eastAsia="en-US"/>
        </w:rPr>
        <w:t>mL.</w:t>
      </w:r>
      <w:proofErr w:type="spellEnd"/>
      <w:r w:rsidR="008571E2">
        <w:rPr>
          <w:snapToGrid w:val="0"/>
          <w:lang w:val="en-GB" w:eastAsia="en-US"/>
        </w:rPr>
        <w:t xml:space="preserve"> </w:t>
      </w:r>
    </w:p>
    <w:p w14:paraId="3582CA73" w14:textId="49ABD9DF" w:rsidR="00E0610B" w:rsidRDefault="00E0610B" w:rsidP="00E208B7">
      <w:pPr>
        <w:pStyle w:val="COMexecsummnumbered"/>
        <w:numPr>
          <w:ilvl w:val="1"/>
          <w:numId w:val="1"/>
        </w:numPr>
        <w:ind w:left="720"/>
        <w:rPr>
          <w:snapToGrid w:val="0"/>
          <w:lang w:val="en-GB" w:eastAsia="en-US"/>
        </w:rPr>
      </w:pPr>
      <w:r>
        <w:rPr>
          <w:rFonts w:eastAsia="Times New Roman" w:cs="Arial"/>
          <w:snapToGrid w:val="0"/>
          <w:szCs w:val="24"/>
          <w:lang w:val="en-GB" w:eastAsia="en-US"/>
        </w:rPr>
        <w:t xml:space="preserve">The PBAC </w:t>
      </w:r>
      <w:r w:rsidR="00FA143A">
        <w:rPr>
          <w:rFonts w:eastAsia="Times New Roman" w:cs="Arial"/>
          <w:snapToGrid w:val="0"/>
          <w:szCs w:val="24"/>
          <w:lang w:val="en-GB" w:eastAsia="en-US"/>
        </w:rPr>
        <w:t xml:space="preserve">specifically </w:t>
      </w:r>
      <w:r>
        <w:rPr>
          <w:rFonts w:eastAsia="Times New Roman" w:cs="Arial"/>
          <w:snapToGrid w:val="0"/>
          <w:szCs w:val="24"/>
          <w:lang w:val="en-GB" w:eastAsia="en-US"/>
        </w:rPr>
        <w:t xml:space="preserve">noted that </w:t>
      </w:r>
      <w:r w:rsidR="002D0368">
        <w:rPr>
          <w:rFonts w:eastAsia="Times New Roman" w:cs="Arial"/>
          <w:snapToGrid w:val="0"/>
          <w:szCs w:val="24"/>
          <w:lang w:val="en-GB" w:eastAsia="en-US"/>
        </w:rPr>
        <w:t xml:space="preserve">patients treated with </w:t>
      </w:r>
      <w:r w:rsidR="00D77562">
        <w:rPr>
          <w:rFonts w:eastAsia="Times New Roman" w:cs="Arial"/>
          <w:snapToGrid w:val="0"/>
          <w:szCs w:val="24"/>
          <w:lang w:val="en-GB" w:eastAsia="en-US"/>
        </w:rPr>
        <w:t>insulin degludec</w:t>
      </w:r>
      <w:r w:rsidR="002D0368">
        <w:rPr>
          <w:rFonts w:eastAsia="Times New Roman" w:cs="Arial"/>
          <w:snapToGrid w:val="0"/>
          <w:szCs w:val="24"/>
          <w:lang w:val="en-GB" w:eastAsia="en-US"/>
        </w:rPr>
        <w:t xml:space="preserve"> had </w:t>
      </w:r>
      <w:r w:rsidR="00D77562">
        <w:rPr>
          <w:rFonts w:eastAsia="Times New Roman" w:cs="Arial"/>
          <w:snapToGrid w:val="0"/>
          <w:szCs w:val="24"/>
          <w:lang w:val="en-GB" w:eastAsia="en-US"/>
        </w:rPr>
        <w:t xml:space="preserve">lower rates of </w:t>
      </w:r>
      <w:r w:rsidR="006C1BF6">
        <w:rPr>
          <w:rFonts w:eastAsia="Times New Roman" w:cs="Arial"/>
          <w:snapToGrid w:val="0"/>
          <w:szCs w:val="24"/>
          <w:lang w:val="en-GB" w:eastAsia="en-US"/>
        </w:rPr>
        <w:t xml:space="preserve">confirmed </w:t>
      </w:r>
      <w:r w:rsidR="00D77562">
        <w:rPr>
          <w:rFonts w:eastAsia="Times New Roman" w:cs="Arial"/>
          <w:snapToGrid w:val="0"/>
          <w:szCs w:val="24"/>
          <w:lang w:val="en-GB" w:eastAsia="en-US"/>
        </w:rPr>
        <w:t>nocturnal hypoglycaemia</w:t>
      </w:r>
      <w:r w:rsidR="00F67908">
        <w:rPr>
          <w:rFonts w:eastAsia="Times New Roman" w:cs="Arial"/>
          <w:snapToGrid w:val="0"/>
          <w:szCs w:val="24"/>
          <w:lang w:val="en-GB" w:eastAsia="en-US"/>
        </w:rPr>
        <w:t xml:space="preserve"> </w:t>
      </w:r>
      <w:r w:rsidR="003C7D61">
        <w:rPr>
          <w:rFonts w:eastAsia="Times New Roman" w:cs="Arial"/>
          <w:snapToGrid w:val="0"/>
          <w:szCs w:val="24"/>
          <w:lang w:val="en-GB" w:eastAsia="en-US"/>
        </w:rPr>
        <w:t>than</w:t>
      </w:r>
      <w:r w:rsidR="00F67908">
        <w:rPr>
          <w:rFonts w:eastAsia="Times New Roman" w:cs="Arial"/>
          <w:snapToGrid w:val="0"/>
          <w:szCs w:val="24"/>
          <w:lang w:val="en-GB" w:eastAsia="en-US"/>
        </w:rPr>
        <w:t xml:space="preserve"> </w:t>
      </w:r>
      <w:r w:rsidR="002D0368">
        <w:rPr>
          <w:rFonts w:eastAsia="Times New Roman" w:cs="Arial"/>
          <w:snapToGrid w:val="0"/>
          <w:szCs w:val="24"/>
          <w:lang w:val="en-GB" w:eastAsia="en-US"/>
        </w:rPr>
        <w:t xml:space="preserve">patients treated with </w:t>
      </w:r>
      <w:r w:rsidR="00F67908">
        <w:rPr>
          <w:rFonts w:eastAsia="Times New Roman" w:cs="Arial"/>
          <w:snapToGrid w:val="0"/>
          <w:szCs w:val="24"/>
          <w:lang w:val="en-GB" w:eastAsia="en-US"/>
        </w:rPr>
        <w:t>insulin glargine 100 IU/mL</w:t>
      </w:r>
      <w:r w:rsidR="006C1BF6">
        <w:rPr>
          <w:rFonts w:eastAsia="Times New Roman" w:cs="Arial"/>
          <w:snapToGrid w:val="0"/>
          <w:szCs w:val="24"/>
          <w:lang w:val="en-GB" w:eastAsia="en-US"/>
        </w:rPr>
        <w:t xml:space="preserve"> (</w:t>
      </w:r>
      <w:r w:rsidR="00431D1C">
        <w:rPr>
          <w:rFonts w:eastAsia="Times New Roman" w:cs="Arial"/>
          <w:snapToGrid w:val="0"/>
          <w:szCs w:val="24"/>
          <w:lang w:val="en-GB" w:eastAsia="en-US"/>
        </w:rPr>
        <w:t xml:space="preserve">as detailed in </w:t>
      </w:r>
      <w:r w:rsidR="006C1BF6">
        <w:rPr>
          <w:rFonts w:eastAsia="Times New Roman" w:cs="Arial"/>
          <w:snapToGrid w:val="0"/>
          <w:szCs w:val="24"/>
          <w:lang w:val="en-GB" w:eastAsia="en-US"/>
        </w:rPr>
        <w:t>Table 6)</w:t>
      </w:r>
      <w:r w:rsidR="00A270FF">
        <w:rPr>
          <w:rFonts w:eastAsia="Times New Roman" w:cs="Arial"/>
          <w:snapToGrid w:val="0"/>
          <w:szCs w:val="24"/>
          <w:lang w:val="en-GB" w:eastAsia="en-US"/>
        </w:rPr>
        <w:t>, and</w:t>
      </w:r>
      <w:r w:rsidR="00D77562">
        <w:rPr>
          <w:rFonts w:eastAsia="Times New Roman" w:cs="Arial"/>
          <w:snapToGrid w:val="0"/>
          <w:szCs w:val="24"/>
          <w:lang w:val="en-GB" w:eastAsia="en-US"/>
        </w:rPr>
        <w:t xml:space="preserve"> </w:t>
      </w:r>
      <w:r w:rsidR="008D32DD">
        <w:rPr>
          <w:rFonts w:eastAsia="Times New Roman" w:cs="Arial"/>
          <w:snapToGrid w:val="0"/>
          <w:szCs w:val="24"/>
          <w:lang w:val="en-GB" w:eastAsia="en-US"/>
        </w:rPr>
        <w:t>considere</w:t>
      </w:r>
      <w:r w:rsidR="00CD502C">
        <w:rPr>
          <w:rFonts w:eastAsia="Times New Roman" w:cs="Arial"/>
          <w:snapToGrid w:val="0"/>
          <w:szCs w:val="24"/>
          <w:lang w:val="en-GB" w:eastAsia="en-US"/>
        </w:rPr>
        <w:t xml:space="preserve">d that </w:t>
      </w:r>
      <w:r w:rsidR="006C2DB2">
        <w:rPr>
          <w:rFonts w:eastAsia="Times New Roman" w:cs="Arial"/>
          <w:snapToGrid w:val="0"/>
          <w:szCs w:val="24"/>
          <w:lang w:val="en-GB" w:eastAsia="en-US"/>
        </w:rPr>
        <w:t xml:space="preserve">increased use of </w:t>
      </w:r>
      <w:r w:rsidR="00CE714E">
        <w:rPr>
          <w:rFonts w:eastAsia="Times New Roman" w:cs="Arial"/>
          <w:snapToGrid w:val="0"/>
          <w:szCs w:val="24"/>
          <w:lang w:val="en-GB" w:eastAsia="en-US"/>
        </w:rPr>
        <w:t xml:space="preserve">continuous </w:t>
      </w:r>
      <w:r w:rsidR="00CE714E">
        <w:rPr>
          <w:rFonts w:eastAsia="Times New Roman" w:cs="Arial"/>
          <w:snapToGrid w:val="0"/>
          <w:szCs w:val="24"/>
          <w:lang w:val="en-GB" w:eastAsia="en-US"/>
        </w:rPr>
        <w:lastRenderedPageBreak/>
        <w:t xml:space="preserve">glucose monitoring </w:t>
      </w:r>
      <w:r w:rsidR="002049FB">
        <w:rPr>
          <w:rFonts w:eastAsia="Times New Roman" w:cs="Arial"/>
          <w:snapToGrid w:val="0"/>
          <w:szCs w:val="24"/>
          <w:lang w:val="en-GB" w:eastAsia="en-US"/>
        </w:rPr>
        <w:t xml:space="preserve">has not meant that these episodes will not occur, but </w:t>
      </w:r>
      <w:r w:rsidR="00C8135A">
        <w:rPr>
          <w:rFonts w:eastAsia="Times New Roman" w:cs="Arial"/>
          <w:snapToGrid w:val="0"/>
          <w:szCs w:val="24"/>
          <w:lang w:val="en-GB" w:eastAsia="en-US"/>
        </w:rPr>
        <w:t xml:space="preserve">has assisted in documenting </w:t>
      </w:r>
      <w:r w:rsidR="002049FB">
        <w:rPr>
          <w:rFonts w:eastAsia="Times New Roman" w:cs="Arial"/>
          <w:snapToGrid w:val="0"/>
          <w:szCs w:val="24"/>
          <w:lang w:val="en-GB" w:eastAsia="en-US"/>
        </w:rPr>
        <w:t>th</w:t>
      </w:r>
      <w:r w:rsidR="000325E7">
        <w:rPr>
          <w:rFonts w:eastAsia="Times New Roman" w:cs="Arial"/>
          <w:snapToGrid w:val="0"/>
          <w:szCs w:val="24"/>
          <w:lang w:val="en-GB" w:eastAsia="en-US"/>
        </w:rPr>
        <w:t>eir occurrence so that further episodes can be reduced and/or managed more effectively</w:t>
      </w:r>
      <w:r w:rsidR="00F67908">
        <w:rPr>
          <w:rFonts w:eastAsia="Times New Roman" w:cs="Arial"/>
          <w:snapToGrid w:val="0"/>
          <w:szCs w:val="24"/>
          <w:lang w:val="en-GB" w:eastAsia="en-US"/>
        </w:rPr>
        <w:t xml:space="preserve">. </w:t>
      </w:r>
    </w:p>
    <w:p w14:paraId="48280C16" w14:textId="1608EE7C" w:rsidR="007E05BE" w:rsidRDefault="00987BDD" w:rsidP="00E208B7">
      <w:pPr>
        <w:pStyle w:val="COMexecsummnumbered"/>
        <w:numPr>
          <w:ilvl w:val="1"/>
          <w:numId w:val="1"/>
        </w:numPr>
        <w:ind w:left="720"/>
        <w:rPr>
          <w:rFonts w:eastAsia="Times New Roman" w:cs="Arial"/>
          <w:snapToGrid w:val="0"/>
          <w:szCs w:val="24"/>
          <w:lang w:val="en-GB" w:eastAsia="en-US"/>
        </w:rPr>
      </w:pPr>
      <w:r w:rsidRPr="009959CA">
        <w:rPr>
          <w:rFonts w:eastAsia="Times New Roman" w:cs="Arial"/>
          <w:snapToGrid w:val="0"/>
          <w:szCs w:val="24"/>
          <w:lang w:val="en-GB" w:eastAsia="en-US"/>
        </w:rPr>
        <w:t xml:space="preserve">The PBAC </w:t>
      </w:r>
      <w:r w:rsidR="00023817">
        <w:rPr>
          <w:rFonts w:eastAsia="Times New Roman" w:cs="Arial"/>
          <w:snapToGrid w:val="0"/>
          <w:szCs w:val="24"/>
          <w:lang w:val="en-GB" w:eastAsia="en-US"/>
        </w:rPr>
        <w:t>noted</w:t>
      </w:r>
      <w:r w:rsidRPr="009959CA">
        <w:rPr>
          <w:rFonts w:eastAsia="Times New Roman" w:cs="Arial"/>
          <w:snapToGrid w:val="0"/>
          <w:szCs w:val="24"/>
          <w:lang w:val="en-GB" w:eastAsia="en-US"/>
        </w:rPr>
        <w:t xml:space="preserve"> the claimed potentially important clinical advantages for some patients</w:t>
      </w:r>
      <w:r w:rsidR="003C1FEB">
        <w:rPr>
          <w:rFonts w:eastAsia="Times New Roman" w:cs="Arial"/>
          <w:snapToGrid w:val="0"/>
          <w:szCs w:val="24"/>
          <w:lang w:val="en-GB" w:eastAsia="en-US"/>
        </w:rPr>
        <w:t xml:space="preserve"> (see </w:t>
      </w:r>
      <w:r w:rsidR="003C1FEB" w:rsidRPr="00C95915">
        <w:rPr>
          <w:rFonts w:eastAsia="Times New Roman" w:cs="Arial"/>
          <w:snapToGrid w:val="0"/>
          <w:szCs w:val="24"/>
          <w:lang w:val="en-GB" w:eastAsia="en-US"/>
        </w:rPr>
        <w:t xml:space="preserve">paragraph </w:t>
      </w:r>
      <w:r w:rsidR="00426D0B" w:rsidRPr="00C95915">
        <w:rPr>
          <w:rFonts w:eastAsia="Times New Roman" w:cs="Arial"/>
          <w:snapToGrid w:val="0"/>
          <w:szCs w:val="24"/>
          <w:lang w:val="en-GB" w:eastAsia="en-US"/>
        </w:rPr>
        <w:t>6.</w:t>
      </w:r>
      <w:r w:rsidR="0061130B" w:rsidRPr="00C95915">
        <w:rPr>
          <w:rFonts w:eastAsia="Times New Roman" w:cs="Arial"/>
          <w:snapToGrid w:val="0"/>
          <w:szCs w:val="24"/>
          <w:lang w:val="en-GB" w:eastAsia="en-US"/>
        </w:rPr>
        <w:t>54</w:t>
      </w:r>
      <w:r w:rsidR="003C1FEB">
        <w:rPr>
          <w:rFonts w:eastAsia="Times New Roman" w:cs="Arial"/>
          <w:snapToGrid w:val="0"/>
          <w:szCs w:val="24"/>
          <w:lang w:val="en-GB" w:eastAsia="en-US"/>
        </w:rPr>
        <w:t>)</w:t>
      </w:r>
      <w:r w:rsidR="00B8126D" w:rsidRPr="009959CA">
        <w:rPr>
          <w:rFonts w:eastAsia="Times New Roman" w:cs="Arial"/>
          <w:snapToGrid w:val="0"/>
          <w:szCs w:val="24"/>
          <w:lang w:val="en-GB" w:eastAsia="en-US"/>
        </w:rPr>
        <w:t xml:space="preserve"> and </w:t>
      </w:r>
      <w:r w:rsidR="003C1FEB">
        <w:rPr>
          <w:rFonts w:eastAsia="Times New Roman" w:cs="Arial"/>
          <w:snapToGrid w:val="0"/>
          <w:szCs w:val="24"/>
          <w:lang w:val="en-GB" w:eastAsia="en-US"/>
        </w:rPr>
        <w:t xml:space="preserve">agreed with the </w:t>
      </w:r>
      <w:r w:rsidR="00991CAB">
        <w:rPr>
          <w:rFonts w:eastAsia="Times New Roman" w:cs="Arial"/>
          <w:snapToGrid w:val="0"/>
          <w:szCs w:val="24"/>
          <w:lang w:val="en-GB" w:eastAsia="en-US"/>
        </w:rPr>
        <w:t xml:space="preserve">expert advice in the </w:t>
      </w:r>
      <w:r w:rsidR="009332FD">
        <w:rPr>
          <w:rFonts w:eastAsia="Times New Roman" w:cs="Arial"/>
          <w:snapToGrid w:val="0"/>
          <w:szCs w:val="24"/>
          <w:lang w:val="en-GB" w:eastAsia="en-US"/>
        </w:rPr>
        <w:t xml:space="preserve">PSCR and </w:t>
      </w:r>
      <w:r w:rsidR="00991CAB">
        <w:rPr>
          <w:rFonts w:eastAsia="Times New Roman" w:cs="Arial"/>
          <w:snapToGrid w:val="0"/>
          <w:szCs w:val="24"/>
          <w:lang w:val="en-GB" w:eastAsia="en-US"/>
        </w:rPr>
        <w:t xml:space="preserve">pre-PBAC response that </w:t>
      </w:r>
      <w:r w:rsidR="009332FD">
        <w:t>there may be practical advantages of this therapy over alternative insulin preparations for some patients with T1D. However,</w:t>
      </w:r>
      <w:r w:rsidR="00B8126D" w:rsidRPr="009959CA">
        <w:rPr>
          <w:rFonts w:eastAsia="Times New Roman" w:cs="Arial"/>
          <w:snapToGrid w:val="0"/>
          <w:szCs w:val="24"/>
          <w:lang w:val="en-GB" w:eastAsia="en-US"/>
        </w:rPr>
        <w:t xml:space="preserve"> t</w:t>
      </w:r>
      <w:r w:rsidR="007E05BE" w:rsidRPr="009959CA">
        <w:rPr>
          <w:rFonts w:eastAsia="Times New Roman" w:cs="Arial"/>
          <w:snapToGrid w:val="0"/>
          <w:szCs w:val="24"/>
          <w:lang w:val="en-GB" w:eastAsia="en-US"/>
        </w:rPr>
        <w:t xml:space="preserve">he PBAC </w:t>
      </w:r>
      <w:r w:rsidR="008A1F58">
        <w:rPr>
          <w:rFonts w:eastAsia="Times New Roman" w:cs="Arial"/>
          <w:snapToGrid w:val="0"/>
          <w:szCs w:val="24"/>
          <w:lang w:val="en-GB" w:eastAsia="en-US"/>
        </w:rPr>
        <w:t xml:space="preserve">noted that </w:t>
      </w:r>
      <w:r w:rsidR="00FE6453">
        <w:rPr>
          <w:rFonts w:eastAsia="Times New Roman" w:cs="Arial"/>
          <w:snapToGrid w:val="0"/>
          <w:szCs w:val="24"/>
          <w:lang w:val="en-GB" w:eastAsia="en-US"/>
        </w:rPr>
        <w:t xml:space="preserve">the use of a </w:t>
      </w:r>
      <w:r w:rsidR="008A1F58">
        <w:rPr>
          <w:rFonts w:eastAsia="Times New Roman" w:cs="Arial"/>
          <w:snapToGrid w:val="0"/>
          <w:szCs w:val="24"/>
          <w:lang w:val="en-GB" w:eastAsia="en-US"/>
        </w:rPr>
        <w:t>cost-consequence analys</w:t>
      </w:r>
      <w:r w:rsidR="00FE6453">
        <w:rPr>
          <w:rFonts w:eastAsia="Times New Roman" w:cs="Arial"/>
          <w:snapToGrid w:val="0"/>
          <w:szCs w:val="24"/>
          <w:lang w:val="en-GB" w:eastAsia="en-US"/>
        </w:rPr>
        <w:t>i</w:t>
      </w:r>
      <w:r w:rsidR="008A1F58">
        <w:rPr>
          <w:rFonts w:eastAsia="Times New Roman" w:cs="Arial"/>
          <w:snapToGrid w:val="0"/>
          <w:szCs w:val="24"/>
          <w:lang w:val="en-GB" w:eastAsia="en-US"/>
        </w:rPr>
        <w:t xml:space="preserve">s </w:t>
      </w:r>
      <w:r w:rsidR="00FE6453">
        <w:rPr>
          <w:rFonts w:eastAsia="Times New Roman" w:cs="Arial"/>
          <w:snapToGrid w:val="0"/>
          <w:szCs w:val="24"/>
          <w:lang w:val="en-GB" w:eastAsia="en-US"/>
        </w:rPr>
        <w:t>was not adequately justified</w:t>
      </w:r>
      <w:r w:rsidR="00F5573C">
        <w:rPr>
          <w:rFonts w:eastAsia="Times New Roman" w:cs="Arial"/>
          <w:snapToGrid w:val="0"/>
          <w:szCs w:val="24"/>
          <w:lang w:val="en-GB" w:eastAsia="en-US"/>
        </w:rPr>
        <w:t xml:space="preserve"> (see paragraph </w:t>
      </w:r>
      <w:r w:rsidR="00FE6453">
        <w:rPr>
          <w:rFonts w:eastAsia="Times New Roman" w:cs="Arial"/>
          <w:snapToGrid w:val="0"/>
          <w:szCs w:val="24"/>
          <w:lang w:val="en-GB" w:eastAsia="en-US"/>
        </w:rPr>
        <w:fldChar w:fldCharType="begin"/>
      </w:r>
      <w:r w:rsidR="00FE6453">
        <w:rPr>
          <w:rFonts w:eastAsia="Times New Roman" w:cs="Arial"/>
          <w:snapToGrid w:val="0"/>
          <w:szCs w:val="24"/>
          <w:lang w:val="en-GB" w:eastAsia="en-US"/>
        </w:rPr>
        <w:instrText xml:space="preserve"> REF _Ref203734876 \r \h </w:instrText>
      </w:r>
      <w:r w:rsidR="00FE6453">
        <w:rPr>
          <w:rFonts w:eastAsia="Times New Roman" w:cs="Arial"/>
          <w:snapToGrid w:val="0"/>
          <w:szCs w:val="24"/>
          <w:lang w:val="en-GB" w:eastAsia="en-US"/>
        </w:rPr>
      </w:r>
      <w:r w:rsidR="00FE6453">
        <w:rPr>
          <w:rFonts w:eastAsia="Times New Roman" w:cs="Arial"/>
          <w:snapToGrid w:val="0"/>
          <w:szCs w:val="24"/>
          <w:lang w:val="en-GB" w:eastAsia="en-US"/>
        </w:rPr>
        <w:fldChar w:fldCharType="separate"/>
      </w:r>
      <w:r w:rsidR="00280138">
        <w:rPr>
          <w:rFonts w:eastAsia="Times New Roman" w:cs="Arial"/>
          <w:snapToGrid w:val="0"/>
          <w:szCs w:val="24"/>
          <w:lang w:val="en-GB" w:eastAsia="en-US"/>
        </w:rPr>
        <w:t>0</w:t>
      </w:r>
      <w:r w:rsidR="00FE6453">
        <w:rPr>
          <w:rFonts w:eastAsia="Times New Roman" w:cs="Arial"/>
          <w:snapToGrid w:val="0"/>
          <w:szCs w:val="24"/>
          <w:lang w:val="en-GB" w:eastAsia="en-US"/>
        </w:rPr>
        <w:fldChar w:fldCharType="end"/>
      </w:r>
      <w:r w:rsidR="00FE6453">
        <w:rPr>
          <w:rFonts w:eastAsia="Times New Roman" w:cs="Arial"/>
          <w:snapToGrid w:val="0"/>
          <w:szCs w:val="24"/>
          <w:lang w:val="en-GB" w:eastAsia="en-US"/>
        </w:rPr>
        <w:t>)</w:t>
      </w:r>
      <w:r w:rsidR="004804EA">
        <w:rPr>
          <w:rFonts w:eastAsia="Times New Roman" w:cs="Arial"/>
          <w:snapToGrid w:val="0"/>
          <w:szCs w:val="24"/>
          <w:lang w:val="en-GB" w:eastAsia="en-US"/>
        </w:rPr>
        <w:t xml:space="preserve"> </w:t>
      </w:r>
      <w:r w:rsidR="001C0C9D">
        <w:rPr>
          <w:rFonts w:eastAsia="Times New Roman" w:cs="Arial"/>
          <w:snapToGrid w:val="0"/>
          <w:szCs w:val="24"/>
          <w:lang w:val="en-GB" w:eastAsia="en-US"/>
        </w:rPr>
        <w:t xml:space="preserve">and </w:t>
      </w:r>
      <w:r w:rsidR="00DC72FE">
        <w:rPr>
          <w:rFonts w:eastAsia="Times New Roman" w:cs="Arial"/>
          <w:snapToGrid w:val="0"/>
          <w:szCs w:val="24"/>
          <w:lang w:val="en-GB" w:eastAsia="en-US"/>
        </w:rPr>
        <w:t xml:space="preserve">it </w:t>
      </w:r>
      <w:r w:rsidR="007E05BE" w:rsidRPr="009959CA">
        <w:rPr>
          <w:rFonts w:eastAsia="Times New Roman" w:cs="Arial"/>
          <w:snapToGrid w:val="0"/>
          <w:szCs w:val="24"/>
          <w:lang w:val="en-GB" w:eastAsia="en-US"/>
        </w:rPr>
        <w:t xml:space="preserve">did not accept </w:t>
      </w:r>
      <w:r w:rsidR="004425B6">
        <w:rPr>
          <w:rFonts w:eastAsia="Times New Roman" w:cs="Arial"/>
          <w:snapToGrid w:val="0"/>
          <w:szCs w:val="24"/>
          <w:lang w:val="en-GB" w:eastAsia="en-US"/>
        </w:rPr>
        <w:t>this w</w:t>
      </w:r>
      <w:r w:rsidR="00D55200">
        <w:rPr>
          <w:rFonts w:eastAsia="Times New Roman" w:cs="Arial"/>
          <w:snapToGrid w:val="0"/>
          <w:szCs w:val="24"/>
          <w:lang w:val="en-GB" w:eastAsia="en-US"/>
        </w:rPr>
        <w:t>a</w:t>
      </w:r>
      <w:r w:rsidR="004425B6">
        <w:rPr>
          <w:rFonts w:eastAsia="Times New Roman" w:cs="Arial"/>
          <w:snapToGrid w:val="0"/>
          <w:szCs w:val="24"/>
          <w:lang w:val="en-GB" w:eastAsia="en-US"/>
        </w:rPr>
        <w:t>s a reasonable approach</w:t>
      </w:r>
      <w:r w:rsidR="007E05BE" w:rsidRPr="009959CA">
        <w:rPr>
          <w:rFonts w:eastAsia="Times New Roman" w:cs="Arial"/>
          <w:snapToGrid w:val="0"/>
          <w:szCs w:val="24"/>
          <w:lang w:val="en-GB" w:eastAsia="en-US"/>
        </w:rPr>
        <w:t>.</w:t>
      </w:r>
      <w:r w:rsidR="006747CE" w:rsidRPr="006747CE">
        <w:t xml:space="preserve"> </w:t>
      </w:r>
      <w:r w:rsidR="00500514">
        <w:t xml:space="preserve">Nonetheless, the PBAC advised that </w:t>
      </w:r>
      <w:r w:rsidR="00912126">
        <w:t>insulin degludec would be cost-effective at the price proposed in the resubmission</w:t>
      </w:r>
      <w:r w:rsidR="006747CE" w:rsidRPr="009959CA">
        <w:rPr>
          <w:rFonts w:eastAsia="Times New Roman" w:cs="Arial"/>
          <w:snapToGrid w:val="0"/>
          <w:szCs w:val="24"/>
          <w:lang w:val="en-GB" w:eastAsia="en-US"/>
        </w:rPr>
        <w:t>.</w:t>
      </w:r>
      <w:r w:rsidR="007E05BE" w:rsidRPr="009959CA">
        <w:rPr>
          <w:rFonts w:eastAsia="Times New Roman" w:cs="Arial"/>
          <w:snapToGrid w:val="0"/>
          <w:szCs w:val="24"/>
          <w:lang w:val="en-GB" w:eastAsia="en-US"/>
        </w:rPr>
        <w:t xml:space="preserve"> </w:t>
      </w:r>
      <w:r w:rsidR="005D57F5">
        <w:rPr>
          <w:rFonts w:eastAsia="Times New Roman" w:cs="Arial"/>
          <w:snapToGrid w:val="0"/>
          <w:szCs w:val="24"/>
          <w:lang w:val="en-GB" w:eastAsia="en-US"/>
        </w:rPr>
        <w:t>The PBAC reached this conclusion in view of the expected clinical advantages for some patients in the absence of insulin detemir and in view of</w:t>
      </w:r>
      <w:r w:rsidR="007201F6">
        <w:rPr>
          <w:rFonts w:eastAsia="Times New Roman" w:cs="Arial"/>
          <w:snapToGrid w:val="0"/>
          <w:szCs w:val="24"/>
          <w:lang w:val="en-GB" w:eastAsia="en-US"/>
        </w:rPr>
        <w:t xml:space="preserve"> </w:t>
      </w:r>
      <w:r w:rsidR="007D156C">
        <w:rPr>
          <w:rFonts w:eastAsia="Times New Roman" w:cs="Arial"/>
          <w:snapToGrid w:val="0"/>
          <w:szCs w:val="24"/>
          <w:lang w:val="en-GB" w:eastAsia="en-US"/>
        </w:rPr>
        <w:t>a scenario in which</w:t>
      </w:r>
      <w:r w:rsidR="007201F6">
        <w:rPr>
          <w:rFonts w:eastAsia="Times New Roman" w:cs="Arial"/>
          <w:snapToGrid w:val="0"/>
          <w:szCs w:val="24"/>
          <w:lang w:val="en-GB" w:eastAsia="en-US"/>
        </w:rPr>
        <w:t xml:space="preserve"> a CMA compared with insulin glargine 100 IU/mL and 300 IU/mL could </w:t>
      </w:r>
      <w:r w:rsidR="00885FB9">
        <w:rPr>
          <w:rFonts w:eastAsia="Times New Roman" w:cs="Arial"/>
          <w:snapToGrid w:val="0"/>
          <w:szCs w:val="24"/>
          <w:lang w:val="en-GB" w:eastAsia="en-US"/>
        </w:rPr>
        <w:t xml:space="preserve">plausibly </w:t>
      </w:r>
      <w:r w:rsidR="007201F6">
        <w:rPr>
          <w:rFonts w:eastAsia="Times New Roman" w:cs="Arial"/>
          <w:snapToGrid w:val="0"/>
          <w:szCs w:val="24"/>
          <w:lang w:val="en-GB" w:eastAsia="en-US"/>
        </w:rPr>
        <w:t xml:space="preserve">be expected to result in a comparable price. </w:t>
      </w:r>
    </w:p>
    <w:p w14:paraId="11185346" w14:textId="55B2E084" w:rsidR="00C14EDB" w:rsidRDefault="00C14EDB" w:rsidP="00E208B7">
      <w:pPr>
        <w:numPr>
          <w:ilvl w:val="1"/>
          <w:numId w:val="1"/>
        </w:numPr>
        <w:spacing w:after="120"/>
        <w:ind w:left="720"/>
        <w:rPr>
          <w:rFonts w:asciiTheme="minorHAnsi" w:hAnsiTheme="minorHAnsi"/>
          <w:snapToGrid w:val="0"/>
          <w:lang w:val="en-GB" w:eastAsia="en-US"/>
        </w:rPr>
      </w:pPr>
      <w:r>
        <w:rPr>
          <w:rFonts w:asciiTheme="minorHAnsi" w:hAnsiTheme="minorHAnsi"/>
          <w:snapToGrid w:val="0"/>
          <w:lang w:val="en-GB" w:eastAsia="en-US"/>
        </w:rPr>
        <w:t xml:space="preserve">Whilst heterogeneity between trials made the determination of equi-effective doses uncertain, the Committee </w:t>
      </w:r>
      <w:r w:rsidR="0018152C">
        <w:rPr>
          <w:rFonts w:asciiTheme="minorHAnsi" w:hAnsiTheme="minorHAnsi"/>
          <w:snapToGrid w:val="0"/>
          <w:lang w:val="en-GB" w:eastAsia="en-US"/>
        </w:rPr>
        <w:t>noted</w:t>
      </w:r>
      <w:r>
        <w:rPr>
          <w:rFonts w:asciiTheme="minorHAnsi" w:hAnsiTheme="minorHAnsi"/>
          <w:snapToGrid w:val="0"/>
          <w:lang w:val="en-GB" w:eastAsia="en-US"/>
        </w:rPr>
        <w:t xml:space="preserve"> the equi-effective doses proposed by the sponsor, with these being:</w:t>
      </w:r>
    </w:p>
    <w:p w14:paraId="6D3F64B7" w14:textId="77777777" w:rsidR="00C14EDB" w:rsidRPr="008E47FC" w:rsidRDefault="00C14EDB" w:rsidP="00E208B7">
      <w:pPr>
        <w:spacing w:after="120"/>
        <w:ind w:left="720"/>
        <w:rPr>
          <w:snapToGrid w:val="0"/>
          <w:lang w:val="en-GB" w:eastAsia="en-US"/>
        </w:rPr>
      </w:pPr>
      <w:r>
        <w:rPr>
          <w:snapToGrid w:val="0"/>
          <w:lang w:val="en-GB" w:eastAsia="en-US"/>
        </w:rPr>
        <w:t>1</w:t>
      </w:r>
      <w:r w:rsidRPr="008E47FC">
        <w:rPr>
          <w:snapToGrid w:val="0"/>
          <w:lang w:val="en-GB" w:eastAsia="en-US"/>
        </w:rPr>
        <w:t xml:space="preserve"> </w:t>
      </w:r>
      <w:r>
        <w:rPr>
          <w:snapToGrid w:val="0"/>
          <w:lang w:val="en-GB" w:eastAsia="en-US"/>
        </w:rPr>
        <w:t>unit</w:t>
      </w:r>
      <w:r w:rsidRPr="008E47FC">
        <w:rPr>
          <w:snapToGrid w:val="0"/>
          <w:lang w:val="en-GB" w:eastAsia="en-US"/>
        </w:rPr>
        <w:t xml:space="preserve"> of </w:t>
      </w:r>
      <w:r>
        <w:rPr>
          <w:snapToGrid w:val="0"/>
          <w:lang w:val="en-GB" w:eastAsia="en-US"/>
        </w:rPr>
        <w:t>insulin degludec</w:t>
      </w:r>
      <w:r w:rsidRPr="008E47FC">
        <w:rPr>
          <w:snapToGrid w:val="0"/>
          <w:lang w:val="en-GB" w:eastAsia="en-US"/>
        </w:rPr>
        <w:t xml:space="preserve"> (100 IU/mL) is equivalent to </w:t>
      </w:r>
      <w:r>
        <w:rPr>
          <w:snapToGrid w:val="0"/>
          <w:lang w:val="en-GB" w:eastAsia="en-US"/>
        </w:rPr>
        <w:t>1.16</w:t>
      </w:r>
      <w:r w:rsidRPr="008E47FC">
        <w:rPr>
          <w:snapToGrid w:val="0"/>
          <w:lang w:val="en-GB" w:eastAsia="en-US"/>
        </w:rPr>
        <w:t xml:space="preserve"> </w:t>
      </w:r>
      <w:r>
        <w:rPr>
          <w:snapToGrid w:val="0"/>
          <w:lang w:val="en-GB" w:eastAsia="en-US"/>
        </w:rPr>
        <w:t>units</w:t>
      </w:r>
      <w:r w:rsidRPr="008E47FC">
        <w:rPr>
          <w:snapToGrid w:val="0"/>
          <w:lang w:val="en-GB" w:eastAsia="en-US"/>
        </w:rPr>
        <w:t xml:space="preserve"> of </w:t>
      </w:r>
      <w:r>
        <w:rPr>
          <w:snapToGrid w:val="0"/>
          <w:lang w:val="en-GB" w:eastAsia="en-US"/>
        </w:rPr>
        <w:t>insulin glargine</w:t>
      </w:r>
      <w:r w:rsidRPr="008E47FC">
        <w:rPr>
          <w:snapToGrid w:val="0"/>
          <w:lang w:val="en-GB" w:eastAsia="en-US"/>
        </w:rPr>
        <w:t xml:space="preserve"> (100 IU/mL); and</w:t>
      </w:r>
    </w:p>
    <w:p w14:paraId="3407BAD7" w14:textId="77777777" w:rsidR="00C14EDB" w:rsidRPr="008E47FC" w:rsidRDefault="00C14EDB" w:rsidP="00E208B7">
      <w:pPr>
        <w:spacing w:after="120"/>
        <w:ind w:left="720"/>
        <w:rPr>
          <w:snapToGrid w:val="0"/>
          <w:lang w:val="en-GB" w:eastAsia="en-US"/>
        </w:rPr>
      </w:pPr>
      <w:r>
        <w:rPr>
          <w:snapToGrid w:val="0"/>
          <w:lang w:val="en-GB" w:eastAsia="en-US"/>
        </w:rPr>
        <w:t>1</w:t>
      </w:r>
      <w:r w:rsidRPr="008E47FC">
        <w:rPr>
          <w:snapToGrid w:val="0"/>
          <w:lang w:val="en-GB" w:eastAsia="en-US"/>
        </w:rPr>
        <w:t xml:space="preserve"> </w:t>
      </w:r>
      <w:r>
        <w:rPr>
          <w:snapToGrid w:val="0"/>
          <w:lang w:val="en-GB" w:eastAsia="en-US"/>
        </w:rPr>
        <w:t>unit</w:t>
      </w:r>
      <w:r w:rsidRPr="008E47FC">
        <w:rPr>
          <w:snapToGrid w:val="0"/>
          <w:lang w:val="en-GB" w:eastAsia="en-US"/>
        </w:rPr>
        <w:t xml:space="preserve"> of </w:t>
      </w:r>
      <w:r>
        <w:rPr>
          <w:snapToGrid w:val="0"/>
          <w:lang w:val="en-GB" w:eastAsia="en-US"/>
        </w:rPr>
        <w:t>insulin degludec</w:t>
      </w:r>
      <w:r w:rsidRPr="008E47FC">
        <w:rPr>
          <w:snapToGrid w:val="0"/>
          <w:lang w:val="en-GB" w:eastAsia="en-US"/>
        </w:rPr>
        <w:t xml:space="preserve"> (100 IU/mL) is equivalent to </w:t>
      </w:r>
      <w:r>
        <w:rPr>
          <w:snapToGrid w:val="0"/>
          <w:lang w:val="en-GB" w:eastAsia="en-US"/>
        </w:rPr>
        <w:t>1.21</w:t>
      </w:r>
      <w:r w:rsidRPr="008E47FC">
        <w:rPr>
          <w:snapToGrid w:val="0"/>
          <w:lang w:val="en-GB" w:eastAsia="en-US"/>
        </w:rPr>
        <w:t xml:space="preserve"> </w:t>
      </w:r>
      <w:r>
        <w:rPr>
          <w:snapToGrid w:val="0"/>
          <w:lang w:val="en-GB" w:eastAsia="en-US"/>
        </w:rPr>
        <w:t>units</w:t>
      </w:r>
      <w:r w:rsidRPr="008E47FC">
        <w:rPr>
          <w:snapToGrid w:val="0"/>
          <w:lang w:val="en-GB" w:eastAsia="en-US"/>
        </w:rPr>
        <w:t xml:space="preserve"> of </w:t>
      </w:r>
      <w:r>
        <w:rPr>
          <w:snapToGrid w:val="0"/>
          <w:lang w:val="en-GB" w:eastAsia="en-US"/>
        </w:rPr>
        <w:t>insulin glargine</w:t>
      </w:r>
      <w:r w:rsidRPr="008E47FC">
        <w:rPr>
          <w:snapToGrid w:val="0"/>
          <w:lang w:val="en-GB" w:eastAsia="en-US"/>
        </w:rPr>
        <w:t xml:space="preserve"> (300 IU/mL)</w:t>
      </w:r>
      <w:r>
        <w:rPr>
          <w:snapToGrid w:val="0"/>
          <w:lang w:val="en-GB" w:eastAsia="en-US"/>
        </w:rPr>
        <w:t xml:space="preserve"> in patients who are switching from insulin detemir.</w:t>
      </w:r>
    </w:p>
    <w:p w14:paraId="6B9DA43F" w14:textId="4BBFB873" w:rsidR="00BF3690" w:rsidRPr="007E7563" w:rsidRDefault="00C5383E" w:rsidP="00E208B7">
      <w:pPr>
        <w:numPr>
          <w:ilvl w:val="1"/>
          <w:numId w:val="1"/>
        </w:numPr>
        <w:spacing w:after="120"/>
        <w:ind w:left="720"/>
        <w:rPr>
          <w:rFonts w:asciiTheme="minorHAnsi" w:hAnsiTheme="minorHAnsi"/>
          <w:snapToGrid w:val="0"/>
          <w:lang w:val="en-GB" w:eastAsia="en-US"/>
        </w:rPr>
      </w:pPr>
      <w:r w:rsidRPr="007E7563">
        <w:rPr>
          <w:rFonts w:asciiTheme="minorHAnsi" w:hAnsiTheme="minorHAnsi"/>
          <w:snapToGrid w:val="0"/>
          <w:lang w:val="en-GB" w:eastAsia="en-US"/>
        </w:rPr>
        <w:t>The PBAC noted that based on the proposed equi-effective doses, a CMA compared to insulin glargine 100 IU/mL would result in a higher price compared to that proposed in the resubmission. However, as noted above, the PBAC considered that insulin glargine 300 IU/mL was an alternative comparator, and it advised that some patients would switch from insulin detemir to insulin glargine 300 IU/</w:t>
      </w:r>
      <w:proofErr w:type="spellStart"/>
      <w:r w:rsidRPr="007E7563">
        <w:rPr>
          <w:rFonts w:asciiTheme="minorHAnsi" w:hAnsiTheme="minorHAnsi"/>
          <w:snapToGrid w:val="0"/>
          <w:lang w:val="en-GB" w:eastAsia="en-US"/>
        </w:rPr>
        <w:t>mL.</w:t>
      </w:r>
      <w:proofErr w:type="spellEnd"/>
      <w:r w:rsidRPr="007E7563">
        <w:rPr>
          <w:rFonts w:asciiTheme="minorHAnsi" w:hAnsiTheme="minorHAnsi"/>
          <w:snapToGrid w:val="0"/>
          <w:lang w:val="en-GB" w:eastAsia="en-US"/>
        </w:rPr>
        <w:t xml:space="preserve"> Given the dose relativities previously accepted to inform the pricing of insulin glargine 300 IU/mL (1 unit 300 IU/mL being equi-effective to 0.84 units of insulin glargine 100 IU/mL, see para 5.4), the PBAC considered the a CMA with a mixed comparator of insulin glargine 100 IU/mL and 300 IU/mL would likely result in a price reasonably comparable to that proposed in the resubmission</w:t>
      </w:r>
      <w:r w:rsidR="00732440" w:rsidRPr="007E7563">
        <w:rPr>
          <w:rFonts w:asciiTheme="minorHAnsi" w:hAnsiTheme="minorHAnsi"/>
          <w:snapToGrid w:val="0"/>
          <w:lang w:val="en-GB" w:eastAsia="en-US"/>
        </w:rPr>
        <w:t>.</w:t>
      </w:r>
      <w:r w:rsidR="002E6852" w:rsidRPr="007E7563">
        <w:rPr>
          <w:rFonts w:asciiTheme="minorHAnsi" w:hAnsiTheme="minorHAnsi"/>
          <w:snapToGrid w:val="0"/>
          <w:lang w:val="en-GB" w:eastAsia="en-US"/>
        </w:rPr>
        <w:t xml:space="preserve"> </w:t>
      </w:r>
    </w:p>
    <w:p w14:paraId="6B2BB0A3" w14:textId="6AC44A96" w:rsidR="00B6791A" w:rsidRDefault="008B7E0C" w:rsidP="00E208B7">
      <w:pPr>
        <w:numPr>
          <w:ilvl w:val="1"/>
          <w:numId w:val="1"/>
        </w:numPr>
        <w:spacing w:after="120"/>
        <w:ind w:left="720"/>
        <w:rPr>
          <w:rFonts w:asciiTheme="minorHAnsi" w:hAnsiTheme="minorHAnsi"/>
          <w:snapToGrid w:val="0"/>
          <w:lang w:val="en-GB" w:eastAsia="en-US"/>
        </w:rPr>
      </w:pPr>
      <w:r>
        <w:rPr>
          <w:rFonts w:asciiTheme="minorHAnsi" w:hAnsiTheme="minorHAnsi"/>
          <w:snapToGrid w:val="0"/>
          <w:lang w:val="en-GB" w:eastAsia="en-US"/>
        </w:rPr>
        <w:t>With respect to the financial estimates presented by the resubmission, t</w:t>
      </w:r>
      <w:r w:rsidR="00510834">
        <w:rPr>
          <w:rFonts w:asciiTheme="minorHAnsi" w:hAnsiTheme="minorHAnsi"/>
          <w:snapToGrid w:val="0"/>
          <w:lang w:val="en-GB" w:eastAsia="en-US"/>
        </w:rPr>
        <w:t xml:space="preserve">he PBAC </w:t>
      </w:r>
      <w:r w:rsidR="00B6791A">
        <w:rPr>
          <w:rFonts w:asciiTheme="minorHAnsi" w:hAnsiTheme="minorHAnsi"/>
          <w:snapToGrid w:val="0"/>
          <w:lang w:val="en-GB" w:eastAsia="en-US"/>
        </w:rPr>
        <w:t xml:space="preserve">considered that uptake from </w:t>
      </w:r>
      <w:r w:rsidR="00857966">
        <w:rPr>
          <w:rFonts w:asciiTheme="minorHAnsi" w:hAnsiTheme="minorHAnsi"/>
          <w:snapToGrid w:val="0"/>
          <w:lang w:val="en-GB" w:eastAsia="en-US"/>
        </w:rPr>
        <w:t xml:space="preserve">patients switching from </w:t>
      </w:r>
      <w:r w:rsidR="00B6791A">
        <w:rPr>
          <w:rFonts w:asciiTheme="minorHAnsi" w:hAnsiTheme="minorHAnsi"/>
          <w:snapToGrid w:val="0"/>
          <w:lang w:val="en-GB" w:eastAsia="en-US"/>
        </w:rPr>
        <w:t xml:space="preserve">insulin detemir </w:t>
      </w:r>
      <w:r w:rsidR="001D2893">
        <w:rPr>
          <w:rFonts w:asciiTheme="minorHAnsi" w:hAnsiTheme="minorHAnsi"/>
          <w:snapToGrid w:val="0"/>
          <w:lang w:val="en-GB" w:eastAsia="en-US"/>
        </w:rPr>
        <w:t>would be lower than 100%</w:t>
      </w:r>
      <w:r w:rsidR="00F658E4">
        <w:rPr>
          <w:rFonts w:asciiTheme="minorHAnsi" w:hAnsiTheme="minorHAnsi"/>
          <w:snapToGrid w:val="0"/>
          <w:lang w:val="en-GB" w:eastAsia="en-US"/>
        </w:rPr>
        <w:t xml:space="preserve"> (</w:t>
      </w:r>
      <w:r w:rsidR="00034428">
        <w:rPr>
          <w:rFonts w:asciiTheme="minorHAnsi" w:hAnsiTheme="minorHAnsi"/>
          <w:snapToGrid w:val="0"/>
          <w:lang w:val="en-GB" w:eastAsia="en-US"/>
        </w:rPr>
        <w:t xml:space="preserve">more likely to be </w:t>
      </w:r>
      <w:r w:rsidR="00F658E4">
        <w:rPr>
          <w:rFonts w:asciiTheme="minorHAnsi" w:hAnsiTheme="minorHAnsi"/>
          <w:snapToGrid w:val="0"/>
          <w:lang w:val="en-GB" w:eastAsia="en-US"/>
        </w:rPr>
        <w:t>in the range of 80%)</w:t>
      </w:r>
      <w:r w:rsidR="00B6791A">
        <w:rPr>
          <w:rFonts w:asciiTheme="minorHAnsi" w:hAnsiTheme="minorHAnsi"/>
          <w:snapToGrid w:val="0"/>
          <w:lang w:val="en-GB" w:eastAsia="en-US"/>
        </w:rPr>
        <w:t xml:space="preserve">, with some patients </w:t>
      </w:r>
      <w:r w:rsidR="00D877FE">
        <w:rPr>
          <w:rFonts w:asciiTheme="minorHAnsi" w:hAnsiTheme="minorHAnsi"/>
          <w:snapToGrid w:val="0"/>
          <w:lang w:val="en-GB" w:eastAsia="en-US"/>
        </w:rPr>
        <w:t>switch</w:t>
      </w:r>
      <w:r w:rsidR="002E02F3">
        <w:rPr>
          <w:rFonts w:asciiTheme="minorHAnsi" w:hAnsiTheme="minorHAnsi"/>
          <w:snapToGrid w:val="0"/>
          <w:lang w:val="en-GB" w:eastAsia="en-US"/>
        </w:rPr>
        <w:t>ing</w:t>
      </w:r>
      <w:r w:rsidR="00D877FE">
        <w:rPr>
          <w:rFonts w:asciiTheme="minorHAnsi" w:hAnsiTheme="minorHAnsi"/>
          <w:snapToGrid w:val="0"/>
          <w:lang w:val="en-GB" w:eastAsia="en-US"/>
        </w:rPr>
        <w:t xml:space="preserve"> to insulin glargine</w:t>
      </w:r>
      <w:r w:rsidR="00FB7CFC">
        <w:rPr>
          <w:rFonts w:asciiTheme="minorHAnsi" w:hAnsiTheme="minorHAnsi"/>
          <w:snapToGrid w:val="0"/>
          <w:lang w:val="en-GB" w:eastAsia="en-US"/>
        </w:rPr>
        <w:t xml:space="preserve">. The PBAC also considered </w:t>
      </w:r>
      <w:r w:rsidR="00B23965">
        <w:rPr>
          <w:rFonts w:asciiTheme="minorHAnsi" w:hAnsiTheme="minorHAnsi"/>
          <w:snapToGrid w:val="0"/>
          <w:lang w:val="en-GB" w:eastAsia="en-US"/>
        </w:rPr>
        <w:t xml:space="preserve">that some patients using insulin glargine would </w:t>
      </w:r>
      <w:r w:rsidR="00B30A0D">
        <w:rPr>
          <w:rFonts w:asciiTheme="minorHAnsi" w:hAnsiTheme="minorHAnsi"/>
          <w:snapToGrid w:val="0"/>
          <w:lang w:val="en-GB" w:eastAsia="en-US"/>
        </w:rPr>
        <w:t xml:space="preserve">want to try something new and therefore </w:t>
      </w:r>
      <w:r w:rsidR="002E02F3">
        <w:rPr>
          <w:rFonts w:asciiTheme="minorHAnsi" w:hAnsiTheme="minorHAnsi"/>
          <w:snapToGrid w:val="0"/>
          <w:lang w:val="en-GB" w:eastAsia="en-US"/>
        </w:rPr>
        <w:t>be switched</w:t>
      </w:r>
      <w:r w:rsidR="002D6291">
        <w:rPr>
          <w:rFonts w:asciiTheme="minorHAnsi" w:hAnsiTheme="minorHAnsi"/>
          <w:snapToGrid w:val="0"/>
          <w:lang w:val="en-GB" w:eastAsia="en-US"/>
        </w:rPr>
        <w:t xml:space="preserve"> to insulin degludec. </w:t>
      </w:r>
      <w:r w:rsidR="006B453D">
        <w:rPr>
          <w:rFonts w:asciiTheme="minorHAnsi" w:hAnsiTheme="minorHAnsi"/>
          <w:snapToGrid w:val="0"/>
          <w:lang w:val="en-GB" w:eastAsia="en-US"/>
        </w:rPr>
        <w:t>Overall, the PB</w:t>
      </w:r>
      <w:r w:rsidR="001A2467">
        <w:rPr>
          <w:rFonts w:asciiTheme="minorHAnsi" w:hAnsiTheme="minorHAnsi"/>
          <w:snapToGrid w:val="0"/>
          <w:lang w:val="en-GB" w:eastAsia="en-US"/>
        </w:rPr>
        <w:t>A</w:t>
      </w:r>
      <w:r w:rsidR="006B453D">
        <w:rPr>
          <w:rFonts w:asciiTheme="minorHAnsi" w:hAnsiTheme="minorHAnsi"/>
          <w:snapToGrid w:val="0"/>
          <w:lang w:val="en-GB" w:eastAsia="en-US"/>
        </w:rPr>
        <w:t>C considered the estimated cost of $</w:t>
      </w:r>
      <w:r w:rsidR="00EB799E" w:rsidRPr="00EB799E">
        <w:rPr>
          <w:rFonts w:asciiTheme="minorHAnsi" w:hAnsiTheme="minorHAnsi"/>
          <w:snapToGrid w:val="0"/>
          <w:lang w:val="en-GB" w:eastAsia="en-US"/>
        </w:rPr>
        <w:t>0 to &lt; $10 million</w:t>
      </w:r>
      <w:r w:rsidR="006B453D">
        <w:rPr>
          <w:rFonts w:asciiTheme="minorHAnsi" w:hAnsiTheme="minorHAnsi"/>
          <w:snapToGrid w:val="0"/>
          <w:lang w:val="en-GB" w:eastAsia="en-US"/>
        </w:rPr>
        <w:t xml:space="preserve"> over 6 years </w:t>
      </w:r>
      <w:r w:rsidR="00BC178A" w:rsidRPr="00BC178A">
        <w:rPr>
          <w:rFonts w:asciiTheme="minorHAnsi" w:hAnsiTheme="minorHAnsi"/>
          <w:snapToGrid w:val="0"/>
          <w:lang w:val="en-GB" w:eastAsia="en-US"/>
        </w:rPr>
        <w:t xml:space="preserve">for approximately </w:t>
      </w:r>
      <w:r w:rsidR="008A4659" w:rsidRPr="008A4659">
        <w:rPr>
          <w:rFonts w:asciiTheme="minorHAnsi" w:hAnsiTheme="minorHAnsi"/>
          <w:snapToGrid w:val="0"/>
          <w:lang w:val="en-GB" w:eastAsia="en-US"/>
        </w:rPr>
        <w:t>10,000 to &lt; 20,000</w:t>
      </w:r>
      <w:r w:rsidR="00BC178A" w:rsidRPr="00BC178A">
        <w:rPr>
          <w:rFonts w:asciiTheme="minorHAnsi" w:hAnsiTheme="minorHAnsi"/>
          <w:snapToGrid w:val="0"/>
          <w:lang w:val="en-GB" w:eastAsia="en-US"/>
        </w:rPr>
        <w:t xml:space="preserve"> patients per annum </w:t>
      </w:r>
      <w:r w:rsidR="00114479">
        <w:rPr>
          <w:rFonts w:asciiTheme="minorHAnsi" w:hAnsiTheme="minorHAnsi"/>
          <w:snapToGrid w:val="0"/>
          <w:lang w:val="en-GB" w:eastAsia="en-US"/>
        </w:rPr>
        <w:t>(</w:t>
      </w:r>
      <w:r w:rsidR="00D05CCA">
        <w:rPr>
          <w:rFonts w:asciiTheme="minorHAnsi" w:hAnsiTheme="minorHAnsi"/>
          <w:snapToGrid w:val="0"/>
          <w:lang w:val="en-GB" w:eastAsia="en-US"/>
        </w:rPr>
        <w:t xml:space="preserve">based on approximately </w:t>
      </w:r>
      <w:r w:rsidR="00221780" w:rsidRPr="00221780">
        <w:rPr>
          <w:rFonts w:asciiTheme="minorHAnsi" w:hAnsiTheme="minorHAnsi"/>
          <w:snapToGrid w:val="0"/>
          <w:lang w:val="en-GB" w:eastAsia="en-US"/>
        </w:rPr>
        <w:lastRenderedPageBreak/>
        <w:t>30,000 to &lt; 40,000</w:t>
      </w:r>
      <w:r w:rsidR="00221780">
        <w:rPr>
          <w:rFonts w:asciiTheme="minorHAnsi" w:hAnsiTheme="minorHAnsi"/>
          <w:snapToGrid w:val="0"/>
          <w:lang w:val="en-GB" w:eastAsia="en-US"/>
        </w:rPr>
        <w:t xml:space="preserve"> </w:t>
      </w:r>
      <w:r w:rsidR="004F65A8">
        <w:rPr>
          <w:rFonts w:asciiTheme="minorHAnsi" w:hAnsiTheme="minorHAnsi"/>
          <w:snapToGrid w:val="0"/>
          <w:lang w:val="en-GB" w:eastAsia="en-US"/>
        </w:rPr>
        <w:t>scripts</w:t>
      </w:r>
      <w:r w:rsidR="00114479">
        <w:rPr>
          <w:rFonts w:asciiTheme="minorHAnsi" w:hAnsiTheme="minorHAnsi"/>
          <w:snapToGrid w:val="0"/>
          <w:lang w:val="en-GB" w:eastAsia="en-US"/>
        </w:rPr>
        <w:t xml:space="preserve">) </w:t>
      </w:r>
      <w:r w:rsidR="006B453D">
        <w:rPr>
          <w:rFonts w:asciiTheme="minorHAnsi" w:hAnsiTheme="minorHAnsi"/>
          <w:snapToGrid w:val="0"/>
          <w:lang w:val="en-GB" w:eastAsia="en-US"/>
        </w:rPr>
        <w:t xml:space="preserve">may be an overestimate, particularly as </w:t>
      </w:r>
      <w:r w:rsidR="006B453D" w:rsidRPr="006B453D">
        <w:rPr>
          <w:rFonts w:asciiTheme="minorHAnsi" w:hAnsiTheme="minorHAnsi"/>
          <w:snapToGrid w:val="0"/>
          <w:lang w:val="en-GB" w:eastAsia="en-US"/>
        </w:rPr>
        <w:t>more people transition to insulin pumps which only use quick acting insulin</w:t>
      </w:r>
      <w:r w:rsidR="006B453D">
        <w:rPr>
          <w:rFonts w:asciiTheme="minorHAnsi" w:hAnsiTheme="minorHAnsi"/>
          <w:snapToGrid w:val="0"/>
          <w:lang w:val="en-GB" w:eastAsia="en-US"/>
        </w:rPr>
        <w:t>.</w:t>
      </w:r>
    </w:p>
    <w:p w14:paraId="596341C2" w14:textId="0B454854" w:rsidR="00CA1279" w:rsidRPr="00043F67" w:rsidRDefault="00F438DA" w:rsidP="00E208B7">
      <w:pPr>
        <w:numPr>
          <w:ilvl w:val="1"/>
          <w:numId w:val="1"/>
        </w:numPr>
        <w:spacing w:before="120" w:after="120"/>
        <w:ind w:left="720"/>
        <w:rPr>
          <w:rFonts w:asciiTheme="minorHAnsi" w:hAnsiTheme="minorHAnsi" w:cs="Times New Roman"/>
          <w:b/>
          <w:bCs/>
          <w:lang w:val="en-GB" w:eastAsia="en-US"/>
        </w:rPr>
      </w:pPr>
      <w:r w:rsidRPr="00CA1279">
        <w:rPr>
          <w:rFonts w:asciiTheme="minorHAnsi" w:hAnsiTheme="minorHAnsi"/>
          <w:bCs/>
          <w:snapToGrid w:val="0"/>
          <w:lang w:val="en-GB" w:eastAsia="en-US"/>
        </w:rPr>
        <w:t xml:space="preserve">The PBAC advised that </w:t>
      </w:r>
      <w:r w:rsidR="009048D0" w:rsidRPr="00CA1279">
        <w:rPr>
          <w:rFonts w:asciiTheme="minorHAnsi" w:hAnsiTheme="minorHAnsi"/>
          <w:bCs/>
          <w:snapToGrid w:val="0"/>
          <w:lang w:val="en-GB" w:eastAsia="en-US"/>
        </w:rPr>
        <w:t xml:space="preserve">insulin </w:t>
      </w:r>
      <w:r w:rsidR="009048D0" w:rsidRPr="00EC4CB5">
        <w:rPr>
          <w:rFonts w:asciiTheme="minorHAnsi" w:hAnsiTheme="minorHAnsi"/>
          <w:bCs/>
          <w:snapToGrid w:val="0"/>
          <w:lang w:val="en-GB" w:eastAsia="en-US"/>
        </w:rPr>
        <w:t>degludec</w:t>
      </w:r>
      <w:r w:rsidRPr="00EC4CB5">
        <w:rPr>
          <w:rFonts w:asciiTheme="minorHAnsi" w:hAnsiTheme="minorHAnsi"/>
          <w:bCs/>
          <w:snapToGrid w:val="0"/>
          <w:lang w:val="en-GB" w:eastAsia="en-US"/>
        </w:rPr>
        <w:t xml:space="preserve"> is suitable for</w:t>
      </w:r>
      <w:r w:rsidRPr="00CA1279">
        <w:rPr>
          <w:rFonts w:asciiTheme="minorHAnsi" w:hAnsiTheme="minorHAnsi"/>
          <w:bCs/>
          <w:snapToGrid w:val="0"/>
          <w:lang w:val="en-GB" w:eastAsia="en-US"/>
        </w:rPr>
        <w:t xml:space="preserve"> prescribing by nurse practitioners. </w:t>
      </w:r>
    </w:p>
    <w:p w14:paraId="4C010D2D" w14:textId="7E64D21E" w:rsidR="00043F67" w:rsidRPr="00043F67" w:rsidRDefault="00043F67" w:rsidP="00E208B7">
      <w:pPr>
        <w:numPr>
          <w:ilvl w:val="1"/>
          <w:numId w:val="1"/>
        </w:numPr>
        <w:spacing w:before="120" w:after="120"/>
        <w:ind w:left="720"/>
        <w:rPr>
          <w:rFonts w:asciiTheme="minorHAnsi" w:hAnsiTheme="minorHAnsi" w:cs="Times New Roman"/>
          <w:b/>
          <w:bCs/>
          <w:lang w:val="en-GB" w:eastAsia="en-US"/>
        </w:rPr>
      </w:pPr>
      <w:r>
        <w:rPr>
          <w:rFonts w:asciiTheme="minorHAnsi" w:hAnsiTheme="minorHAnsi"/>
          <w:bCs/>
          <w:snapToGrid w:val="0"/>
          <w:lang w:val="en-GB" w:eastAsia="en-US"/>
        </w:rPr>
        <w:t xml:space="preserve">The PBAC </w:t>
      </w:r>
      <w:r w:rsidR="00802718">
        <w:rPr>
          <w:rFonts w:asciiTheme="minorHAnsi" w:hAnsiTheme="minorHAnsi"/>
          <w:bCs/>
          <w:snapToGrid w:val="0"/>
          <w:lang w:val="en-GB" w:eastAsia="en-US"/>
        </w:rPr>
        <w:t>recommend</w:t>
      </w:r>
      <w:r>
        <w:rPr>
          <w:rFonts w:asciiTheme="minorHAnsi" w:hAnsiTheme="minorHAnsi"/>
          <w:bCs/>
          <w:snapToGrid w:val="0"/>
          <w:lang w:val="en-GB" w:eastAsia="en-US"/>
        </w:rPr>
        <w:t xml:space="preserve">ed that the Early Supply Rule should apply. </w:t>
      </w:r>
    </w:p>
    <w:p w14:paraId="3A88AF4C" w14:textId="6E498AE8" w:rsidR="00043F67" w:rsidRPr="00CA1279" w:rsidRDefault="004A414C" w:rsidP="00E208B7">
      <w:pPr>
        <w:numPr>
          <w:ilvl w:val="1"/>
          <w:numId w:val="1"/>
        </w:numPr>
        <w:spacing w:before="120" w:after="120"/>
        <w:ind w:left="720"/>
        <w:rPr>
          <w:rFonts w:asciiTheme="minorHAnsi" w:hAnsiTheme="minorHAnsi" w:cs="Times New Roman"/>
          <w:b/>
          <w:bCs/>
          <w:lang w:val="en-GB" w:eastAsia="en-US"/>
        </w:rPr>
      </w:pPr>
      <w:r w:rsidRPr="00D8553E">
        <w:rPr>
          <w:rFonts w:asciiTheme="minorHAnsi" w:hAnsiTheme="minorHAnsi"/>
          <w:bCs/>
          <w:snapToGrid w:val="0"/>
          <w:lang w:val="en-GB"/>
        </w:rPr>
        <w:t xml:space="preserve">The PBAC recommended that </w:t>
      </w:r>
      <w:r>
        <w:rPr>
          <w:rFonts w:asciiTheme="minorHAnsi" w:hAnsiTheme="minorHAnsi"/>
          <w:bCs/>
          <w:snapToGrid w:val="0"/>
          <w:lang w:val="en-GB"/>
        </w:rPr>
        <w:t>insulin degludec</w:t>
      </w:r>
      <w:r w:rsidRPr="00D8553E">
        <w:rPr>
          <w:rFonts w:asciiTheme="minorHAnsi" w:hAnsiTheme="minorHAnsi"/>
          <w:bCs/>
          <w:snapToGrid w:val="0"/>
          <w:lang w:val="en-GB"/>
        </w:rPr>
        <w:t xml:space="preserve"> should </w:t>
      </w:r>
      <w:r>
        <w:rPr>
          <w:rFonts w:asciiTheme="minorHAnsi" w:hAnsiTheme="minorHAnsi"/>
          <w:bCs/>
          <w:snapToGrid w:val="0"/>
          <w:lang w:val="en-GB"/>
        </w:rPr>
        <w:t xml:space="preserve">not </w:t>
      </w:r>
      <w:r w:rsidRPr="00D8553E">
        <w:rPr>
          <w:rFonts w:asciiTheme="minorHAnsi" w:hAnsiTheme="minorHAnsi"/>
          <w:bCs/>
          <w:snapToGrid w:val="0"/>
          <w:lang w:val="en-GB"/>
        </w:rPr>
        <w:t>be treated as interchangeable on an individual patient basis with any other drugs</w:t>
      </w:r>
      <w:r w:rsidR="001D3098">
        <w:rPr>
          <w:rFonts w:asciiTheme="minorHAnsi" w:hAnsiTheme="minorHAnsi"/>
          <w:bCs/>
          <w:snapToGrid w:val="0"/>
          <w:lang w:val="en-GB" w:eastAsia="en-US"/>
        </w:rPr>
        <w:t>.</w:t>
      </w:r>
    </w:p>
    <w:p w14:paraId="094DAB85" w14:textId="6900E478" w:rsidR="00F438DA" w:rsidRPr="00CA1279" w:rsidRDefault="00F438DA" w:rsidP="00E208B7">
      <w:pPr>
        <w:numPr>
          <w:ilvl w:val="1"/>
          <w:numId w:val="1"/>
        </w:numPr>
        <w:spacing w:before="120" w:after="120"/>
        <w:ind w:left="720"/>
        <w:rPr>
          <w:rFonts w:asciiTheme="minorHAnsi" w:hAnsiTheme="minorHAnsi" w:cs="Times New Roman"/>
          <w:b/>
          <w:bCs/>
          <w:lang w:val="en-GB" w:eastAsia="en-US"/>
        </w:rPr>
      </w:pPr>
      <w:r w:rsidRPr="00CA1279">
        <w:rPr>
          <w:rFonts w:asciiTheme="minorHAnsi" w:hAnsiTheme="minorHAnsi" w:cstheme="minorHAnsi"/>
          <w:lang w:val="en-GB" w:eastAsia="en-US"/>
        </w:rPr>
        <w:t xml:space="preserve">The PBAC noted that because </w:t>
      </w:r>
      <w:r w:rsidR="00CA1279">
        <w:rPr>
          <w:rFonts w:asciiTheme="minorHAnsi" w:hAnsiTheme="minorHAnsi" w:cstheme="minorHAnsi"/>
          <w:lang w:val="en-GB" w:eastAsia="en-US"/>
        </w:rPr>
        <w:t>insulin degludec</w:t>
      </w:r>
      <w:r w:rsidRPr="00CA1279">
        <w:rPr>
          <w:rFonts w:asciiTheme="minorHAnsi" w:hAnsiTheme="minorHAnsi" w:cstheme="minorHAnsi"/>
          <w:lang w:val="en-GB" w:eastAsia="en-US"/>
        </w:rPr>
        <w:t xml:space="preserve"> is not expected to provide a substantial</w:t>
      </w:r>
      <w:r w:rsidRPr="00CA1279">
        <w:rPr>
          <w:rFonts w:asciiTheme="minorHAnsi" w:hAnsiTheme="minorHAnsi" w:cs="Times New Roman"/>
          <w:bCs/>
          <w:lang w:val="en-GB" w:eastAsia="en-US"/>
        </w:rPr>
        <w:t xml:space="preserve"> and clinically relevant improvement in efficacy, or reduction of toxicity, over </w:t>
      </w:r>
      <w:r w:rsidR="00DA1442">
        <w:rPr>
          <w:rFonts w:asciiTheme="minorHAnsi" w:hAnsiTheme="minorHAnsi" w:cs="Times New Roman"/>
          <w:bCs/>
          <w:lang w:val="en-GB" w:eastAsia="en-US"/>
        </w:rPr>
        <w:t>insulin glargine</w:t>
      </w:r>
      <w:r w:rsidRPr="00CA1279">
        <w:rPr>
          <w:rFonts w:asciiTheme="minorHAnsi" w:hAnsiTheme="minorHAnsi" w:cs="Times New Roman"/>
          <w:bCs/>
          <w:lang w:val="en-GB" w:eastAsia="en-US"/>
        </w:rPr>
        <w:t xml:space="preserve">, or not expected to address a high and urgent unmet clinical need given the presence of an alternative therapy, the criteria prescribed by the </w:t>
      </w:r>
      <w:r w:rsidRPr="00CA1279">
        <w:rPr>
          <w:rFonts w:asciiTheme="minorHAnsi" w:hAnsiTheme="minorHAnsi" w:cs="Times New Roman"/>
          <w:bCs/>
          <w:i/>
          <w:lang w:val="en-GB" w:eastAsia="en-US"/>
        </w:rPr>
        <w:t>National Health (Pharmaceuticals and Vaccines – Cost Recovery) Regulations 2022</w:t>
      </w:r>
      <w:r w:rsidRPr="00CA1279">
        <w:rPr>
          <w:rFonts w:asciiTheme="minorHAnsi" w:hAnsiTheme="minorHAnsi" w:cs="Times New Roman"/>
          <w:bCs/>
          <w:lang w:val="en-GB" w:eastAsia="en-US"/>
        </w:rPr>
        <w:t xml:space="preserve"> for Pricing Pathway A were not met.</w:t>
      </w:r>
    </w:p>
    <w:p w14:paraId="09708E8D" w14:textId="5A0B0600" w:rsidR="00975A92" w:rsidRPr="00F438DA" w:rsidRDefault="00F438DA" w:rsidP="00E208B7">
      <w:pPr>
        <w:numPr>
          <w:ilvl w:val="1"/>
          <w:numId w:val="1"/>
        </w:numPr>
        <w:spacing w:before="120" w:after="120"/>
        <w:ind w:left="720"/>
        <w:rPr>
          <w:rFonts w:asciiTheme="minorHAnsi" w:hAnsiTheme="minorHAnsi"/>
          <w:bCs/>
          <w:i/>
          <w:snapToGrid w:val="0"/>
          <w:lang w:val="en-GB" w:eastAsia="en-US"/>
        </w:rPr>
      </w:pPr>
      <w:r w:rsidRPr="00F438DA">
        <w:rPr>
          <w:rFonts w:asciiTheme="minorHAnsi" w:hAnsiTheme="minorHAnsi"/>
          <w:bCs/>
          <w:snapToGrid w:val="0"/>
          <w:lang w:val="en-GB" w:eastAsia="en-US"/>
        </w:rPr>
        <w:t xml:space="preserve">The PBAC noted that this </w:t>
      </w:r>
      <w:r w:rsidR="00C00EB5">
        <w:rPr>
          <w:rFonts w:asciiTheme="minorHAnsi" w:hAnsiTheme="minorHAnsi"/>
          <w:bCs/>
          <w:snapToGrid w:val="0"/>
          <w:lang w:val="en-GB" w:eastAsia="en-US"/>
        </w:rPr>
        <w:t>re</w:t>
      </w:r>
      <w:r w:rsidRPr="00F438DA">
        <w:rPr>
          <w:rFonts w:asciiTheme="minorHAnsi" w:hAnsiTheme="minorHAnsi"/>
          <w:bCs/>
          <w:snapToGrid w:val="0"/>
          <w:lang w:val="en-GB" w:eastAsia="en-US"/>
        </w:rPr>
        <w:t>submission is not eligible for an Independent Review</w:t>
      </w:r>
      <w:r w:rsidR="00975A92">
        <w:rPr>
          <w:rFonts w:asciiTheme="minorHAnsi" w:hAnsiTheme="minorHAnsi"/>
          <w:bCs/>
          <w:snapToGrid w:val="0"/>
          <w:lang w:val="en-GB" w:eastAsia="en-US"/>
        </w:rPr>
        <w:t xml:space="preserve"> as it received a positive recommendation</w:t>
      </w:r>
      <w:r w:rsidRPr="00F438DA">
        <w:rPr>
          <w:rFonts w:asciiTheme="minorHAnsi" w:hAnsiTheme="minorHAnsi"/>
          <w:bCs/>
          <w:snapToGrid w:val="0"/>
          <w:lang w:val="en-GB" w:eastAsia="en-US"/>
        </w:rPr>
        <w:t xml:space="preserve">. </w:t>
      </w:r>
    </w:p>
    <w:p w14:paraId="22C0DD5C" w14:textId="46E6E09E" w:rsidR="00316744" w:rsidRDefault="00316744" w:rsidP="00E208B7">
      <w:pPr>
        <w:jc w:val="left"/>
        <w:rPr>
          <w:rFonts w:asciiTheme="minorHAnsi" w:hAnsiTheme="minorHAnsi"/>
          <w:bCs/>
          <w:snapToGrid w:val="0"/>
          <w:lang w:val="en-GB" w:eastAsia="en-US"/>
        </w:rPr>
      </w:pPr>
      <w:r>
        <w:rPr>
          <w:rFonts w:asciiTheme="minorHAnsi" w:hAnsiTheme="minorHAnsi"/>
          <w:bCs/>
          <w:snapToGrid w:val="0"/>
          <w:lang w:val="en-GB" w:eastAsia="en-US"/>
        </w:rPr>
        <w:br w:type="page"/>
      </w:r>
    </w:p>
    <w:p w14:paraId="5BF8E7C4" w14:textId="77777777" w:rsidR="00F438DA" w:rsidRPr="00F438DA" w:rsidRDefault="00F438DA" w:rsidP="00E208B7">
      <w:pPr>
        <w:spacing w:before="240"/>
        <w:rPr>
          <w:rFonts w:asciiTheme="minorHAnsi" w:hAnsiTheme="minorHAnsi"/>
          <w:b/>
          <w:bCs/>
          <w:snapToGrid w:val="0"/>
          <w:lang w:val="en-GB" w:eastAsia="en-US"/>
        </w:rPr>
      </w:pPr>
      <w:r w:rsidRPr="00F438DA">
        <w:rPr>
          <w:rFonts w:asciiTheme="minorHAnsi" w:hAnsiTheme="minorHAnsi"/>
          <w:b/>
          <w:bCs/>
          <w:snapToGrid w:val="0"/>
          <w:lang w:val="en-GB" w:eastAsia="en-US"/>
        </w:rPr>
        <w:lastRenderedPageBreak/>
        <w:t>Outcome:</w:t>
      </w:r>
    </w:p>
    <w:p w14:paraId="76E01FC5" w14:textId="7B41B155" w:rsidR="00F438DA" w:rsidRPr="00F438DA" w:rsidRDefault="00F438DA" w:rsidP="00E208B7">
      <w:pPr>
        <w:spacing w:after="120"/>
        <w:rPr>
          <w:rFonts w:asciiTheme="minorHAnsi" w:hAnsiTheme="minorHAnsi"/>
          <w:bCs/>
          <w:snapToGrid w:val="0"/>
          <w:lang w:val="en-GB" w:eastAsia="en-US"/>
        </w:rPr>
      </w:pPr>
      <w:r w:rsidRPr="00F438DA">
        <w:rPr>
          <w:rFonts w:asciiTheme="minorHAnsi" w:hAnsiTheme="minorHAnsi"/>
          <w:bCs/>
          <w:snapToGrid w:val="0"/>
          <w:lang w:val="en-GB" w:eastAsia="en-US"/>
        </w:rPr>
        <w:t xml:space="preserve">Recommended </w:t>
      </w:r>
    </w:p>
    <w:bookmarkEnd w:id="48"/>
    <w:p w14:paraId="39ED61BC" w14:textId="77777777" w:rsidR="00F438DA" w:rsidRPr="00F438DA" w:rsidRDefault="00F438DA" w:rsidP="00E208B7">
      <w:pPr>
        <w:keepNext/>
        <w:numPr>
          <w:ilvl w:val="0"/>
          <w:numId w:val="1"/>
        </w:numPr>
        <w:spacing w:before="240" w:after="120"/>
        <w:jc w:val="left"/>
        <w:outlineLvl w:val="0"/>
        <w:rPr>
          <w:rFonts w:asciiTheme="minorHAnsi" w:hAnsiTheme="minorHAnsi"/>
          <w:b/>
          <w:snapToGrid w:val="0"/>
          <w:sz w:val="32"/>
          <w:szCs w:val="32"/>
        </w:rPr>
      </w:pPr>
      <w:r w:rsidRPr="00F438DA">
        <w:rPr>
          <w:rFonts w:asciiTheme="minorHAnsi" w:hAnsiTheme="minorHAnsi"/>
          <w:b/>
          <w:snapToGrid w:val="0"/>
          <w:sz w:val="32"/>
          <w:szCs w:val="32"/>
        </w:rPr>
        <w:t>Recommended listing</w:t>
      </w:r>
    </w:p>
    <w:p w14:paraId="455C43DF" w14:textId="77777777" w:rsidR="00C03B2E" w:rsidRPr="00C03B2E" w:rsidRDefault="00C03B2E" w:rsidP="00E208B7">
      <w:pPr>
        <w:numPr>
          <w:ilvl w:val="1"/>
          <w:numId w:val="1"/>
        </w:numPr>
        <w:spacing w:after="120"/>
        <w:ind w:left="720"/>
        <w:contextualSpacing/>
        <w:jc w:val="left"/>
        <w:rPr>
          <w:rFonts w:asciiTheme="minorHAnsi" w:hAnsiTheme="minorHAnsi"/>
          <w:b/>
          <w:bCs/>
          <w:snapToGrid w:val="0"/>
          <w:lang w:eastAsia="en-US"/>
        </w:rPr>
      </w:pPr>
      <w:r>
        <w:rPr>
          <w:rFonts w:asciiTheme="minorHAnsi" w:hAnsiTheme="minorHAnsi"/>
          <w:bCs/>
          <w:snapToGrid w:val="0"/>
          <w:lang w:eastAsia="en-US"/>
        </w:rPr>
        <w:t xml:space="preserve">Add new item: </w:t>
      </w:r>
    </w:p>
    <w:bookmarkEnd w:id="49"/>
    <w:p w14:paraId="723EFBE7" w14:textId="48C31A3A" w:rsidR="00EE1286" w:rsidRPr="004F11AC" w:rsidRDefault="00EE1286" w:rsidP="00E208B7">
      <w:pPr>
        <w:jc w:val="left"/>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5"/>
        <w:gridCol w:w="709"/>
        <w:gridCol w:w="2526"/>
        <w:gridCol w:w="811"/>
        <w:gridCol w:w="812"/>
        <w:gridCol w:w="811"/>
        <w:gridCol w:w="812"/>
        <w:gridCol w:w="1831"/>
      </w:tblGrid>
      <w:tr w:rsidR="00BA0730" w:rsidRPr="00C03B2E" w14:paraId="67FB4020" w14:textId="77777777">
        <w:trPr>
          <w:cantSplit/>
          <w:trHeight w:val="20"/>
        </w:trPr>
        <w:tc>
          <w:tcPr>
            <w:tcW w:w="3939" w:type="dxa"/>
            <w:gridSpan w:val="3"/>
            <w:vAlign w:val="center"/>
          </w:tcPr>
          <w:p w14:paraId="06E7ADAA" w14:textId="77777777" w:rsidR="00EE1286" w:rsidRPr="00C03B2E" w:rsidRDefault="00EE1286" w:rsidP="00E208B7">
            <w:pPr>
              <w:keepLines/>
              <w:rPr>
                <w:rFonts w:ascii="Arial Narrow" w:hAnsi="Arial Narrow"/>
                <w:b/>
                <w:bCs/>
                <w:sz w:val="20"/>
                <w:szCs w:val="20"/>
              </w:rPr>
            </w:pPr>
            <w:r w:rsidRPr="00C03B2E">
              <w:rPr>
                <w:rFonts w:ascii="Arial Narrow" w:hAnsi="Arial Narrow"/>
                <w:b/>
                <w:bCs/>
                <w:sz w:val="20"/>
                <w:szCs w:val="20"/>
              </w:rPr>
              <w:t>MEDICINAL PRODUCT</w:t>
            </w:r>
          </w:p>
          <w:p w14:paraId="00FE0A23" w14:textId="77777777" w:rsidR="00EE1286" w:rsidRPr="00C03B2E" w:rsidRDefault="00EE1286" w:rsidP="00E208B7">
            <w:pPr>
              <w:keepLines/>
              <w:rPr>
                <w:rFonts w:ascii="Arial Narrow" w:hAnsi="Arial Narrow"/>
                <w:b/>
                <w:sz w:val="20"/>
                <w:szCs w:val="20"/>
              </w:rPr>
            </w:pPr>
            <w:r w:rsidRPr="00C03B2E">
              <w:rPr>
                <w:rFonts w:ascii="Arial Narrow" w:hAnsi="Arial Narrow"/>
                <w:b/>
                <w:bCs/>
                <w:sz w:val="20"/>
                <w:szCs w:val="20"/>
              </w:rPr>
              <w:t>medicinal product pack</w:t>
            </w:r>
          </w:p>
        </w:tc>
        <w:tc>
          <w:tcPr>
            <w:tcW w:w="811" w:type="dxa"/>
            <w:vAlign w:val="center"/>
          </w:tcPr>
          <w:p w14:paraId="2CD7851F" w14:textId="77777777" w:rsidR="00EE1286" w:rsidRPr="00C03B2E" w:rsidRDefault="00EE1286" w:rsidP="00E208B7">
            <w:pPr>
              <w:keepLines/>
              <w:jc w:val="center"/>
              <w:rPr>
                <w:rFonts w:ascii="Arial Narrow" w:hAnsi="Arial Narrow"/>
                <w:b/>
                <w:sz w:val="20"/>
                <w:szCs w:val="20"/>
              </w:rPr>
            </w:pPr>
            <w:r w:rsidRPr="00C03B2E">
              <w:rPr>
                <w:rFonts w:ascii="Arial Narrow" w:hAnsi="Arial Narrow"/>
                <w:b/>
                <w:sz w:val="20"/>
                <w:szCs w:val="20"/>
              </w:rPr>
              <w:t>PBS item code</w:t>
            </w:r>
          </w:p>
        </w:tc>
        <w:tc>
          <w:tcPr>
            <w:tcW w:w="812" w:type="dxa"/>
            <w:vAlign w:val="center"/>
          </w:tcPr>
          <w:p w14:paraId="631ACB7C" w14:textId="77777777" w:rsidR="00EE1286" w:rsidRPr="00C03B2E" w:rsidRDefault="00EE1286" w:rsidP="00E208B7">
            <w:pPr>
              <w:keepLines/>
              <w:jc w:val="center"/>
              <w:rPr>
                <w:rFonts w:ascii="Arial Narrow" w:hAnsi="Arial Narrow"/>
                <w:b/>
                <w:sz w:val="20"/>
                <w:szCs w:val="20"/>
              </w:rPr>
            </w:pPr>
            <w:r w:rsidRPr="00C03B2E">
              <w:rPr>
                <w:rFonts w:ascii="Arial Narrow" w:hAnsi="Arial Narrow"/>
                <w:b/>
                <w:sz w:val="20"/>
                <w:szCs w:val="20"/>
              </w:rPr>
              <w:t>Max. qty packs</w:t>
            </w:r>
          </w:p>
        </w:tc>
        <w:tc>
          <w:tcPr>
            <w:tcW w:w="811" w:type="dxa"/>
            <w:vAlign w:val="center"/>
          </w:tcPr>
          <w:p w14:paraId="15FD2E9A" w14:textId="77777777" w:rsidR="00EE1286" w:rsidRPr="00C03B2E" w:rsidRDefault="00EE1286" w:rsidP="00E208B7">
            <w:pPr>
              <w:keepLines/>
              <w:jc w:val="center"/>
              <w:rPr>
                <w:rFonts w:ascii="Arial Narrow" w:hAnsi="Arial Narrow"/>
                <w:b/>
                <w:sz w:val="20"/>
                <w:szCs w:val="20"/>
              </w:rPr>
            </w:pPr>
            <w:r w:rsidRPr="00C03B2E">
              <w:rPr>
                <w:rFonts w:ascii="Arial Narrow" w:hAnsi="Arial Narrow"/>
                <w:b/>
                <w:sz w:val="20"/>
                <w:szCs w:val="20"/>
              </w:rPr>
              <w:t>Max. qty units</w:t>
            </w:r>
          </w:p>
        </w:tc>
        <w:tc>
          <w:tcPr>
            <w:tcW w:w="812" w:type="dxa"/>
            <w:vAlign w:val="center"/>
          </w:tcPr>
          <w:p w14:paraId="2CF17DF2" w14:textId="77777777" w:rsidR="00EE1286" w:rsidRPr="00C03B2E" w:rsidRDefault="00EE1286" w:rsidP="00E208B7">
            <w:pPr>
              <w:keepLines/>
              <w:jc w:val="center"/>
              <w:rPr>
                <w:rFonts w:ascii="Arial Narrow" w:hAnsi="Arial Narrow"/>
                <w:b/>
                <w:sz w:val="20"/>
                <w:szCs w:val="20"/>
              </w:rPr>
            </w:pPr>
            <w:r w:rsidRPr="00C03B2E">
              <w:rPr>
                <w:rFonts w:ascii="Arial Narrow" w:hAnsi="Arial Narrow"/>
                <w:b/>
                <w:sz w:val="20"/>
                <w:szCs w:val="20"/>
              </w:rPr>
              <w:t>№.of</w:t>
            </w:r>
          </w:p>
          <w:p w14:paraId="47798900" w14:textId="77777777" w:rsidR="00EE1286" w:rsidRPr="00C03B2E" w:rsidRDefault="00EE1286" w:rsidP="00E208B7">
            <w:pPr>
              <w:keepLines/>
              <w:jc w:val="center"/>
              <w:rPr>
                <w:rFonts w:ascii="Arial Narrow" w:hAnsi="Arial Narrow"/>
                <w:b/>
                <w:sz w:val="20"/>
                <w:szCs w:val="20"/>
              </w:rPr>
            </w:pPr>
            <w:r w:rsidRPr="00C03B2E">
              <w:rPr>
                <w:rFonts w:ascii="Arial Narrow" w:hAnsi="Arial Narrow"/>
                <w:b/>
                <w:sz w:val="20"/>
                <w:szCs w:val="20"/>
              </w:rPr>
              <w:t>Rpts</w:t>
            </w:r>
          </w:p>
        </w:tc>
        <w:tc>
          <w:tcPr>
            <w:tcW w:w="1831" w:type="dxa"/>
            <w:vAlign w:val="center"/>
          </w:tcPr>
          <w:p w14:paraId="1C89A7E8" w14:textId="77777777" w:rsidR="00EE1286" w:rsidRPr="00C03B2E" w:rsidRDefault="00EE1286" w:rsidP="00E208B7">
            <w:pPr>
              <w:keepLines/>
              <w:rPr>
                <w:rFonts w:ascii="Arial Narrow" w:hAnsi="Arial Narrow"/>
                <w:b/>
                <w:sz w:val="20"/>
                <w:szCs w:val="20"/>
              </w:rPr>
            </w:pPr>
            <w:r w:rsidRPr="00C03B2E">
              <w:rPr>
                <w:rFonts w:ascii="Arial Narrow" w:hAnsi="Arial Narrow"/>
                <w:b/>
                <w:sz w:val="20"/>
                <w:szCs w:val="20"/>
              </w:rPr>
              <w:t>Available brands</w:t>
            </w:r>
          </w:p>
        </w:tc>
      </w:tr>
      <w:tr w:rsidR="00BA0730" w:rsidRPr="00C03B2E" w14:paraId="773C3655" w14:textId="77777777">
        <w:trPr>
          <w:cantSplit/>
          <w:trHeight w:val="20"/>
        </w:trPr>
        <w:tc>
          <w:tcPr>
            <w:tcW w:w="9016" w:type="dxa"/>
            <w:gridSpan w:val="8"/>
            <w:vAlign w:val="center"/>
          </w:tcPr>
          <w:p w14:paraId="2CD80B74" w14:textId="77777777" w:rsidR="00EE1286" w:rsidRPr="00C03B2E" w:rsidRDefault="00EE1286" w:rsidP="00E208B7">
            <w:pPr>
              <w:keepLines/>
              <w:rPr>
                <w:rFonts w:ascii="Arial Narrow" w:hAnsi="Arial Narrow"/>
                <w:sz w:val="20"/>
                <w:szCs w:val="20"/>
              </w:rPr>
            </w:pPr>
            <w:r w:rsidRPr="00C03B2E">
              <w:rPr>
                <w:rFonts w:ascii="Arial Narrow" w:hAnsi="Arial Narrow"/>
                <w:sz w:val="20"/>
                <w:szCs w:val="20"/>
              </w:rPr>
              <w:t>INSULIN DEGLUDEC </w:t>
            </w:r>
          </w:p>
        </w:tc>
      </w:tr>
      <w:tr w:rsidR="00BA0730" w:rsidRPr="00C03B2E" w14:paraId="2259A3C3" w14:textId="77777777">
        <w:trPr>
          <w:cantSplit/>
          <w:trHeight w:val="20"/>
        </w:trPr>
        <w:tc>
          <w:tcPr>
            <w:tcW w:w="3939" w:type="dxa"/>
            <w:gridSpan w:val="3"/>
            <w:vAlign w:val="center"/>
          </w:tcPr>
          <w:p w14:paraId="5BFD48DF" w14:textId="0C05CB91" w:rsidR="00EE1286" w:rsidRPr="00D25DB5" w:rsidRDefault="00EE1286" w:rsidP="00E208B7">
            <w:pPr>
              <w:keepLines/>
              <w:rPr>
                <w:rFonts w:ascii="Arial Narrow" w:hAnsi="Arial Narrow"/>
                <w:sz w:val="20"/>
                <w:szCs w:val="20"/>
                <w:lang w:val="fr-FR"/>
              </w:rPr>
            </w:pPr>
            <w:proofErr w:type="spellStart"/>
            <w:r w:rsidRPr="00D25DB5">
              <w:rPr>
                <w:rFonts w:ascii="Arial Narrow" w:hAnsi="Arial Narrow"/>
                <w:sz w:val="20"/>
                <w:szCs w:val="20"/>
                <w:lang w:val="fr-FR"/>
              </w:rPr>
              <w:t>Insulin</w:t>
            </w:r>
            <w:proofErr w:type="spellEnd"/>
            <w:r w:rsidRPr="00D25DB5">
              <w:rPr>
                <w:rFonts w:ascii="Arial Narrow" w:hAnsi="Arial Narrow"/>
                <w:sz w:val="20"/>
                <w:szCs w:val="20"/>
                <w:lang w:val="fr-FR"/>
              </w:rPr>
              <w:t xml:space="preserve"> degludec 100 </w:t>
            </w:r>
            <w:proofErr w:type="spellStart"/>
            <w:r w:rsidRPr="00D25DB5">
              <w:rPr>
                <w:rFonts w:ascii="Arial Narrow" w:hAnsi="Arial Narrow"/>
                <w:sz w:val="20"/>
                <w:szCs w:val="20"/>
                <w:lang w:val="fr-FR"/>
              </w:rPr>
              <w:t>units</w:t>
            </w:r>
            <w:proofErr w:type="spellEnd"/>
            <w:r w:rsidRPr="00D25DB5">
              <w:rPr>
                <w:rFonts w:ascii="Arial Narrow" w:hAnsi="Arial Narrow"/>
                <w:sz w:val="20"/>
                <w:szCs w:val="20"/>
                <w:lang w:val="fr-FR"/>
              </w:rPr>
              <w:t>/</w:t>
            </w:r>
            <w:proofErr w:type="spellStart"/>
            <w:r w:rsidRPr="00D25DB5">
              <w:rPr>
                <w:rFonts w:ascii="Arial Narrow" w:hAnsi="Arial Narrow"/>
                <w:sz w:val="20"/>
                <w:szCs w:val="20"/>
                <w:lang w:val="fr-FR"/>
              </w:rPr>
              <w:t>mL</w:t>
            </w:r>
            <w:proofErr w:type="spellEnd"/>
            <w:r w:rsidRPr="00D25DB5">
              <w:rPr>
                <w:rFonts w:ascii="Arial Narrow" w:hAnsi="Arial Narrow"/>
                <w:sz w:val="20"/>
                <w:szCs w:val="20"/>
                <w:lang w:val="fr-FR"/>
              </w:rPr>
              <w:t xml:space="preserve"> injection, </w:t>
            </w:r>
          </w:p>
          <w:p w14:paraId="4CD40DEE" w14:textId="1C494F00" w:rsidR="00EE1286" w:rsidRPr="00C03B2E" w:rsidRDefault="00EE1286" w:rsidP="00E208B7">
            <w:pPr>
              <w:keepLines/>
              <w:rPr>
                <w:rFonts w:ascii="Arial Narrow" w:hAnsi="Arial Narrow"/>
                <w:sz w:val="20"/>
                <w:szCs w:val="20"/>
              </w:rPr>
            </w:pPr>
            <w:r w:rsidRPr="00C03B2E">
              <w:rPr>
                <w:rFonts w:ascii="Arial Narrow" w:hAnsi="Arial Narrow"/>
                <w:sz w:val="20"/>
                <w:szCs w:val="20"/>
              </w:rPr>
              <w:t>5 x 3 mL cartridges </w:t>
            </w:r>
          </w:p>
        </w:tc>
        <w:tc>
          <w:tcPr>
            <w:tcW w:w="811" w:type="dxa"/>
            <w:vAlign w:val="center"/>
          </w:tcPr>
          <w:p w14:paraId="3A29CB4B" w14:textId="77777777" w:rsidR="00EE1286" w:rsidRDefault="00EE1286" w:rsidP="00E208B7">
            <w:pPr>
              <w:keepLines/>
              <w:jc w:val="center"/>
              <w:rPr>
                <w:rFonts w:ascii="Arial Narrow" w:hAnsi="Arial Narrow"/>
                <w:sz w:val="20"/>
                <w:szCs w:val="20"/>
              </w:rPr>
            </w:pPr>
            <w:r w:rsidRPr="00C03B2E">
              <w:rPr>
                <w:rFonts w:ascii="Arial Narrow" w:hAnsi="Arial Narrow"/>
                <w:sz w:val="20"/>
                <w:szCs w:val="20"/>
              </w:rPr>
              <w:t>NEW</w:t>
            </w:r>
          </w:p>
          <w:p w14:paraId="7E2749BC" w14:textId="03196788" w:rsidR="004879F7" w:rsidRPr="004879F7" w:rsidRDefault="004879F7" w:rsidP="00E208B7">
            <w:pPr>
              <w:keepLines/>
              <w:jc w:val="center"/>
              <w:rPr>
                <w:rFonts w:ascii="Arial Narrow" w:hAnsi="Arial Narrow"/>
                <w:sz w:val="12"/>
                <w:szCs w:val="12"/>
              </w:rPr>
            </w:pPr>
            <w:r>
              <w:rPr>
                <w:rFonts w:ascii="Arial Narrow" w:hAnsi="Arial Narrow"/>
                <w:sz w:val="12"/>
                <w:szCs w:val="12"/>
              </w:rPr>
              <w:t>MP NP</w:t>
            </w:r>
          </w:p>
        </w:tc>
        <w:tc>
          <w:tcPr>
            <w:tcW w:w="812" w:type="dxa"/>
            <w:vAlign w:val="center"/>
          </w:tcPr>
          <w:p w14:paraId="4444AF2D" w14:textId="77777777" w:rsidR="00EE1286" w:rsidRPr="00C03B2E" w:rsidRDefault="00EE1286" w:rsidP="00E208B7">
            <w:pPr>
              <w:keepLines/>
              <w:jc w:val="center"/>
              <w:rPr>
                <w:rFonts w:ascii="Arial Narrow" w:hAnsi="Arial Narrow"/>
                <w:sz w:val="20"/>
                <w:szCs w:val="20"/>
              </w:rPr>
            </w:pPr>
            <w:r w:rsidRPr="00C03B2E">
              <w:rPr>
                <w:rFonts w:ascii="Arial Narrow" w:hAnsi="Arial Narrow"/>
                <w:sz w:val="20"/>
                <w:szCs w:val="20"/>
              </w:rPr>
              <w:t>5</w:t>
            </w:r>
          </w:p>
        </w:tc>
        <w:tc>
          <w:tcPr>
            <w:tcW w:w="811" w:type="dxa"/>
            <w:vAlign w:val="center"/>
          </w:tcPr>
          <w:p w14:paraId="1A01312F" w14:textId="77777777" w:rsidR="00EE1286" w:rsidRPr="00C03B2E" w:rsidRDefault="00EE1286" w:rsidP="00E208B7">
            <w:pPr>
              <w:keepLines/>
              <w:jc w:val="center"/>
              <w:rPr>
                <w:rFonts w:ascii="Arial Narrow" w:hAnsi="Arial Narrow"/>
                <w:sz w:val="20"/>
                <w:szCs w:val="20"/>
              </w:rPr>
            </w:pPr>
            <w:r w:rsidRPr="00C03B2E">
              <w:rPr>
                <w:rFonts w:ascii="Arial Narrow" w:hAnsi="Arial Narrow"/>
                <w:sz w:val="20"/>
                <w:szCs w:val="20"/>
              </w:rPr>
              <w:t>5</w:t>
            </w:r>
          </w:p>
        </w:tc>
        <w:tc>
          <w:tcPr>
            <w:tcW w:w="812" w:type="dxa"/>
            <w:vAlign w:val="center"/>
          </w:tcPr>
          <w:p w14:paraId="3AC897C4" w14:textId="77777777" w:rsidR="00EE1286" w:rsidRPr="00C03B2E" w:rsidRDefault="00EE1286" w:rsidP="00E208B7">
            <w:pPr>
              <w:keepLines/>
              <w:jc w:val="center"/>
              <w:rPr>
                <w:rFonts w:ascii="Arial Narrow" w:hAnsi="Arial Narrow"/>
                <w:sz w:val="20"/>
                <w:szCs w:val="20"/>
              </w:rPr>
            </w:pPr>
            <w:r w:rsidRPr="00C03B2E">
              <w:rPr>
                <w:rFonts w:ascii="Arial Narrow" w:hAnsi="Arial Narrow"/>
                <w:sz w:val="20"/>
                <w:szCs w:val="20"/>
              </w:rPr>
              <w:t>1</w:t>
            </w:r>
          </w:p>
        </w:tc>
        <w:tc>
          <w:tcPr>
            <w:tcW w:w="1831" w:type="dxa"/>
            <w:vAlign w:val="center"/>
          </w:tcPr>
          <w:p w14:paraId="3C72FCD1" w14:textId="77777777" w:rsidR="00EE1286" w:rsidRPr="00C03B2E" w:rsidRDefault="00EE1286" w:rsidP="00E208B7">
            <w:pPr>
              <w:keepLines/>
              <w:rPr>
                <w:rFonts w:ascii="Arial Narrow" w:hAnsi="Arial Narrow"/>
                <w:sz w:val="20"/>
                <w:szCs w:val="20"/>
              </w:rPr>
            </w:pPr>
            <w:r w:rsidRPr="00C03B2E">
              <w:rPr>
                <w:rFonts w:ascii="Arial Narrow" w:hAnsi="Arial Narrow"/>
                <w:sz w:val="20"/>
                <w:szCs w:val="20"/>
              </w:rPr>
              <w:t>Tresiba</w:t>
            </w:r>
          </w:p>
        </w:tc>
      </w:tr>
      <w:tr w:rsidR="00BA0730" w:rsidRPr="00C03B2E" w14:paraId="76BD18F4" w14:textId="77777777">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63EC2E67" w14:textId="77777777" w:rsidR="00EE1286" w:rsidRPr="00C03B2E" w:rsidRDefault="00EE1286" w:rsidP="00E208B7">
            <w:pPr>
              <w:rPr>
                <w:rFonts w:ascii="Arial Narrow" w:hAnsi="Arial Narrow"/>
                <w:sz w:val="20"/>
                <w:szCs w:val="20"/>
              </w:rPr>
            </w:pPr>
          </w:p>
        </w:tc>
      </w:tr>
      <w:tr w:rsidR="00BA0730" w:rsidRPr="00C03B2E" w14:paraId="15429245" w14:textId="77777777">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4F734C4A" w14:textId="50B94B13" w:rsidR="00EE1286" w:rsidRPr="00C03B2E" w:rsidRDefault="00EE1286" w:rsidP="00E208B7">
            <w:pPr>
              <w:keepLines/>
              <w:rPr>
                <w:rFonts w:ascii="Arial Narrow" w:hAnsi="Arial Narrow"/>
                <w:b/>
                <w:sz w:val="20"/>
                <w:szCs w:val="20"/>
              </w:rPr>
            </w:pPr>
            <w:r w:rsidRPr="00C03B2E">
              <w:rPr>
                <w:rFonts w:ascii="Arial Narrow" w:hAnsi="Arial Narrow"/>
                <w:b/>
                <w:sz w:val="20"/>
                <w:szCs w:val="20"/>
              </w:rPr>
              <w:t>Restriction Summary [new1] / Treatment of Concept: [new1A</w:t>
            </w:r>
            <w:r w:rsidR="002F7FD1" w:rsidRPr="00C03B2E">
              <w:rPr>
                <w:rFonts w:ascii="Arial Narrow" w:hAnsi="Arial Narrow"/>
                <w:b/>
                <w:sz w:val="20"/>
                <w:szCs w:val="20"/>
              </w:rPr>
              <w:t>]</w:t>
            </w:r>
          </w:p>
        </w:tc>
      </w:tr>
      <w:tr w:rsidR="00BA0730" w:rsidRPr="00C03B2E" w14:paraId="5AF4B238" w14:textId="77777777">
        <w:tblPrEx>
          <w:tblCellMar>
            <w:top w:w="15" w:type="dxa"/>
            <w:bottom w:w="15" w:type="dxa"/>
          </w:tblCellMar>
          <w:tblLook w:val="04A0" w:firstRow="1" w:lastRow="0" w:firstColumn="1" w:lastColumn="0" w:noHBand="0" w:noVBand="1"/>
        </w:tblPrEx>
        <w:trPr>
          <w:trHeight w:val="20"/>
        </w:trPr>
        <w:tc>
          <w:tcPr>
            <w:tcW w:w="1413" w:type="dxa"/>
            <w:gridSpan w:val="2"/>
            <w:vMerge w:val="restart"/>
            <w:tcBorders>
              <w:top w:val="single" w:sz="4" w:space="0" w:color="auto"/>
              <w:left w:val="single" w:sz="4" w:space="0" w:color="auto"/>
              <w:right w:val="single" w:sz="4" w:space="0" w:color="auto"/>
            </w:tcBorders>
          </w:tcPr>
          <w:p w14:paraId="35F21D4F" w14:textId="77777777" w:rsidR="00EE1286" w:rsidRPr="00C03B2E" w:rsidRDefault="00EE1286" w:rsidP="00E208B7">
            <w:pPr>
              <w:jc w:val="center"/>
              <w:rPr>
                <w:rFonts w:ascii="Arial Narrow" w:hAnsi="Arial Narrow"/>
                <w:b/>
                <w:sz w:val="20"/>
                <w:szCs w:val="20"/>
              </w:rPr>
            </w:pPr>
            <w:r w:rsidRPr="00C03B2E">
              <w:rPr>
                <w:rFonts w:ascii="Arial Narrow" w:hAnsi="Arial Narrow"/>
                <w:b/>
                <w:sz w:val="20"/>
                <w:szCs w:val="20"/>
              </w:rPr>
              <w:t xml:space="preserve">Concept ID </w:t>
            </w:r>
            <w:r w:rsidRPr="00C03B2E">
              <w:rPr>
                <w:rFonts w:ascii="Arial Narrow" w:hAnsi="Arial Narrow"/>
                <w:sz w:val="20"/>
                <w:szCs w:val="20"/>
              </w:rPr>
              <w:t>(for internal Dept. use)</w:t>
            </w:r>
          </w:p>
        </w:tc>
        <w:tc>
          <w:tcPr>
            <w:tcW w:w="7603" w:type="dxa"/>
            <w:gridSpan w:val="6"/>
            <w:tcBorders>
              <w:top w:val="single" w:sz="4" w:space="0" w:color="auto"/>
              <w:left w:val="single" w:sz="4" w:space="0" w:color="auto"/>
              <w:bottom w:val="single" w:sz="4" w:space="0" w:color="auto"/>
              <w:right w:val="single" w:sz="4" w:space="0" w:color="auto"/>
            </w:tcBorders>
            <w:vAlign w:val="center"/>
          </w:tcPr>
          <w:p w14:paraId="245B3B0A" w14:textId="77777777" w:rsidR="00EE1286" w:rsidRPr="00C03B2E" w:rsidRDefault="00EE1286" w:rsidP="00E208B7">
            <w:pPr>
              <w:keepLines/>
              <w:rPr>
                <w:rFonts w:ascii="Arial Narrow" w:hAnsi="Arial Narrow"/>
                <w:sz w:val="20"/>
                <w:szCs w:val="20"/>
              </w:rPr>
            </w:pPr>
            <w:r w:rsidRPr="00C03B2E">
              <w:rPr>
                <w:rFonts w:ascii="Arial Narrow" w:hAnsi="Arial Narrow"/>
                <w:b/>
                <w:sz w:val="20"/>
                <w:szCs w:val="20"/>
              </w:rPr>
              <w:t>Category / Program:</w:t>
            </w:r>
            <w:r w:rsidRPr="00C03B2E">
              <w:rPr>
                <w:rFonts w:ascii="Arial Narrow" w:hAnsi="Arial Narrow"/>
                <w:sz w:val="20"/>
                <w:szCs w:val="20"/>
              </w:rPr>
              <w:t xml:space="preserve"> </w:t>
            </w:r>
            <w:r w:rsidRPr="00C03B2E">
              <w:rPr>
                <w:rFonts w:ascii="Arial Narrow" w:eastAsia="Calibri" w:hAnsi="Arial Narrow"/>
                <w:sz w:val="20"/>
                <w:szCs w:val="20"/>
              </w:rPr>
              <w:fldChar w:fldCharType="begin">
                <w:ffData>
                  <w:name w:val=""/>
                  <w:enabled/>
                  <w:calcOnExit w:val="0"/>
                  <w:checkBox>
                    <w:sizeAuto/>
                    <w:default w:val="1"/>
                  </w:checkBox>
                </w:ffData>
              </w:fldChar>
            </w:r>
            <w:r w:rsidRPr="00C03B2E">
              <w:rPr>
                <w:rFonts w:ascii="Arial Narrow" w:eastAsia="Calibri" w:hAnsi="Arial Narrow"/>
                <w:sz w:val="20"/>
                <w:szCs w:val="20"/>
              </w:rPr>
              <w:instrText xml:space="preserve"> FORMCHECKBOX </w:instrText>
            </w:r>
            <w:r w:rsidRPr="00C03B2E">
              <w:rPr>
                <w:rFonts w:ascii="Arial Narrow" w:eastAsia="Calibri" w:hAnsi="Arial Narrow"/>
                <w:sz w:val="20"/>
                <w:szCs w:val="20"/>
              </w:rPr>
            </w:r>
            <w:r w:rsidRPr="00C03B2E">
              <w:rPr>
                <w:rFonts w:ascii="Arial Narrow" w:eastAsia="Calibri" w:hAnsi="Arial Narrow"/>
                <w:sz w:val="20"/>
                <w:szCs w:val="20"/>
              </w:rPr>
              <w:fldChar w:fldCharType="separate"/>
            </w:r>
            <w:r w:rsidRPr="00C03B2E">
              <w:rPr>
                <w:rFonts w:ascii="Arial Narrow" w:eastAsia="Calibri" w:hAnsi="Arial Narrow"/>
                <w:sz w:val="20"/>
                <w:szCs w:val="20"/>
              </w:rPr>
              <w:fldChar w:fldCharType="end"/>
            </w:r>
            <w:r w:rsidRPr="00C03B2E">
              <w:rPr>
                <w:rFonts w:ascii="Arial Narrow" w:eastAsia="Calibri" w:hAnsi="Arial Narrow"/>
                <w:sz w:val="20"/>
                <w:szCs w:val="20"/>
              </w:rPr>
              <w:t xml:space="preserve"> GENERAL - General Schedule (Code GE) </w:t>
            </w:r>
          </w:p>
        </w:tc>
      </w:tr>
      <w:tr w:rsidR="00BA0730" w:rsidRPr="00C03B2E" w14:paraId="6DC5A1BD" w14:textId="77777777">
        <w:tblPrEx>
          <w:tblCellMar>
            <w:top w:w="15" w:type="dxa"/>
            <w:bottom w:w="15" w:type="dxa"/>
          </w:tblCellMar>
          <w:tblLook w:val="04A0" w:firstRow="1" w:lastRow="0" w:firstColumn="1" w:lastColumn="0" w:noHBand="0" w:noVBand="1"/>
        </w:tblPrEx>
        <w:trPr>
          <w:trHeight w:val="20"/>
        </w:trPr>
        <w:tc>
          <w:tcPr>
            <w:tcW w:w="1413" w:type="dxa"/>
            <w:gridSpan w:val="2"/>
            <w:vMerge/>
            <w:tcBorders>
              <w:left w:val="single" w:sz="4" w:space="0" w:color="auto"/>
              <w:right w:val="single" w:sz="4" w:space="0" w:color="auto"/>
            </w:tcBorders>
          </w:tcPr>
          <w:p w14:paraId="7865E209" w14:textId="77777777" w:rsidR="00EE1286" w:rsidRPr="00C03B2E" w:rsidRDefault="00EE1286" w:rsidP="00E208B7">
            <w:pPr>
              <w:rPr>
                <w:rFonts w:ascii="Arial Narrow" w:hAnsi="Arial Narrow"/>
                <w:sz w:val="20"/>
                <w:szCs w:val="20"/>
              </w:rPr>
            </w:pPr>
          </w:p>
        </w:tc>
        <w:tc>
          <w:tcPr>
            <w:tcW w:w="7603" w:type="dxa"/>
            <w:gridSpan w:val="6"/>
            <w:tcBorders>
              <w:top w:val="single" w:sz="4" w:space="0" w:color="auto"/>
              <w:left w:val="single" w:sz="4" w:space="0" w:color="auto"/>
              <w:bottom w:val="single" w:sz="4" w:space="0" w:color="auto"/>
              <w:right w:val="single" w:sz="4" w:space="0" w:color="auto"/>
            </w:tcBorders>
            <w:vAlign w:val="center"/>
          </w:tcPr>
          <w:p w14:paraId="779D6F59" w14:textId="77777777" w:rsidR="00EE1286" w:rsidRPr="00C03B2E" w:rsidRDefault="00EE1286" w:rsidP="00E208B7">
            <w:pPr>
              <w:keepLines/>
            </w:pPr>
            <w:r w:rsidRPr="00C03B2E">
              <w:rPr>
                <w:rFonts w:ascii="Arial Narrow" w:hAnsi="Arial Narrow"/>
                <w:b/>
                <w:sz w:val="20"/>
                <w:szCs w:val="20"/>
              </w:rPr>
              <w:t xml:space="preserve">Prescriber type: </w:t>
            </w:r>
            <w:r w:rsidRPr="00C03B2E">
              <w:rPr>
                <w:rFonts w:ascii="Arial Narrow" w:hAnsi="Arial Narrow"/>
                <w:sz w:val="20"/>
                <w:szCs w:val="20"/>
              </w:rPr>
              <w:fldChar w:fldCharType="begin">
                <w:ffData>
                  <w:name w:val=""/>
                  <w:enabled/>
                  <w:calcOnExit w:val="0"/>
                  <w:checkBox>
                    <w:sizeAuto/>
                    <w:default w:val="1"/>
                  </w:checkBox>
                </w:ffData>
              </w:fldChar>
            </w:r>
            <w:r w:rsidRPr="00C03B2E">
              <w:rPr>
                <w:rFonts w:ascii="Arial Narrow" w:hAnsi="Arial Narrow"/>
                <w:sz w:val="20"/>
                <w:szCs w:val="20"/>
              </w:rPr>
              <w:instrText xml:space="preserve"> FORMCHECKBOX </w:instrText>
            </w:r>
            <w:r w:rsidRPr="00C03B2E">
              <w:rPr>
                <w:rFonts w:ascii="Arial Narrow" w:hAnsi="Arial Narrow"/>
                <w:sz w:val="20"/>
                <w:szCs w:val="20"/>
              </w:rPr>
            </w:r>
            <w:r w:rsidRPr="00C03B2E">
              <w:rPr>
                <w:rFonts w:ascii="Arial Narrow" w:hAnsi="Arial Narrow"/>
                <w:sz w:val="20"/>
                <w:szCs w:val="20"/>
              </w:rPr>
              <w:fldChar w:fldCharType="separate"/>
            </w:r>
            <w:r w:rsidRPr="00C03B2E">
              <w:rPr>
                <w:rFonts w:ascii="Arial Narrow" w:hAnsi="Arial Narrow"/>
                <w:sz w:val="20"/>
                <w:szCs w:val="20"/>
              </w:rPr>
              <w:fldChar w:fldCharType="end"/>
            </w:r>
            <w:r w:rsidRPr="00C03B2E">
              <w:rPr>
                <w:rFonts w:ascii="Arial Narrow" w:hAnsi="Arial Narrow"/>
                <w:sz w:val="20"/>
                <w:szCs w:val="20"/>
              </w:rPr>
              <w:t xml:space="preserve">Medical Practitioners </w:t>
            </w:r>
            <w:r w:rsidRPr="00C03B2E">
              <w:rPr>
                <w:rFonts w:ascii="Arial Narrow" w:hAnsi="Arial Narrow"/>
                <w:sz w:val="20"/>
                <w:szCs w:val="20"/>
              </w:rPr>
              <w:fldChar w:fldCharType="begin">
                <w:ffData>
                  <w:name w:val="Check3"/>
                  <w:enabled/>
                  <w:calcOnExit w:val="0"/>
                  <w:checkBox>
                    <w:sizeAuto/>
                    <w:default w:val="1"/>
                  </w:checkBox>
                </w:ffData>
              </w:fldChar>
            </w:r>
            <w:bookmarkStart w:id="50" w:name="Check3"/>
            <w:r w:rsidRPr="00C03B2E">
              <w:rPr>
                <w:rFonts w:ascii="Arial Narrow" w:hAnsi="Arial Narrow"/>
                <w:sz w:val="20"/>
                <w:szCs w:val="20"/>
              </w:rPr>
              <w:instrText xml:space="preserve"> FORMCHECKBOX </w:instrText>
            </w:r>
            <w:r w:rsidRPr="00C03B2E">
              <w:rPr>
                <w:rFonts w:ascii="Arial Narrow" w:hAnsi="Arial Narrow"/>
                <w:sz w:val="20"/>
                <w:szCs w:val="20"/>
              </w:rPr>
            </w:r>
            <w:r w:rsidRPr="00C03B2E">
              <w:rPr>
                <w:rFonts w:ascii="Arial Narrow" w:hAnsi="Arial Narrow"/>
                <w:sz w:val="20"/>
                <w:szCs w:val="20"/>
              </w:rPr>
              <w:fldChar w:fldCharType="separate"/>
            </w:r>
            <w:r w:rsidRPr="00C03B2E">
              <w:rPr>
                <w:rFonts w:ascii="Arial Narrow" w:hAnsi="Arial Narrow"/>
                <w:sz w:val="20"/>
                <w:szCs w:val="20"/>
              </w:rPr>
              <w:fldChar w:fldCharType="end"/>
            </w:r>
            <w:bookmarkEnd w:id="50"/>
            <w:r w:rsidRPr="00C03B2E">
              <w:rPr>
                <w:rFonts w:ascii="Arial Narrow" w:hAnsi="Arial Narrow"/>
                <w:sz w:val="20"/>
                <w:szCs w:val="20"/>
              </w:rPr>
              <w:t xml:space="preserve">Nurse practitioners </w:t>
            </w:r>
          </w:p>
        </w:tc>
      </w:tr>
      <w:tr w:rsidR="00BA0730" w:rsidRPr="00C03B2E" w14:paraId="26B047F4" w14:textId="77777777">
        <w:tblPrEx>
          <w:tblCellMar>
            <w:top w:w="15" w:type="dxa"/>
            <w:bottom w:w="15" w:type="dxa"/>
          </w:tblCellMar>
          <w:tblLook w:val="04A0" w:firstRow="1" w:lastRow="0" w:firstColumn="1" w:lastColumn="0" w:noHBand="0" w:noVBand="1"/>
        </w:tblPrEx>
        <w:trPr>
          <w:trHeight w:val="20"/>
        </w:trPr>
        <w:tc>
          <w:tcPr>
            <w:tcW w:w="1413" w:type="dxa"/>
            <w:gridSpan w:val="2"/>
            <w:vMerge/>
            <w:tcBorders>
              <w:left w:val="single" w:sz="4" w:space="0" w:color="auto"/>
              <w:right w:val="single" w:sz="4" w:space="0" w:color="auto"/>
            </w:tcBorders>
          </w:tcPr>
          <w:p w14:paraId="51DACBF7" w14:textId="77777777" w:rsidR="00EE1286" w:rsidRPr="00C03B2E" w:rsidRDefault="00EE1286" w:rsidP="00E208B7">
            <w:pPr>
              <w:rPr>
                <w:rFonts w:ascii="Arial Narrow" w:hAnsi="Arial Narrow"/>
                <w:sz w:val="20"/>
                <w:szCs w:val="20"/>
              </w:rPr>
            </w:pPr>
          </w:p>
        </w:tc>
        <w:tc>
          <w:tcPr>
            <w:tcW w:w="7603" w:type="dxa"/>
            <w:gridSpan w:val="6"/>
            <w:tcBorders>
              <w:top w:val="single" w:sz="4" w:space="0" w:color="auto"/>
              <w:left w:val="single" w:sz="4" w:space="0" w:color="auto"/>
              <w:bottom w:val="single" w:sz="4" w:space="0" w:color="auto"/>
              <w:right w:val="single" w:sz="4" w:space="0" w:color="auto"/>
            </w:tcBorders>
            <w:vAlign w:val="center"/>
          </w:tcPr>
          <w:p w14:paraId="51CFA9C2" w14:textId="77777777" w:rsidR="00EE1286" w:rsidRPr="00C03B2E" w:rsidRDefault="00EE1286" w:rsidP="00E208B7">
            <w:pPr>
              <w:keepLines/>
              <w:rPr>
                <w:rFonts w:ascii="Arial Narrow" w:hAnsi="Arial Narrow"/>
                <w:b/>
                <w:sz w:val="20"/>
                <w:szCs w:val="20"/>
              </w:rPr>
            </w:pPr>
            <w:r w:rsidRPr="00C03B2E">
              <w:rPr>
                <w:rFonts w:ascii="Arial Narrow" w:hAnsi="Arial Narrow"/>
                <w:b/>
                <w:sz w:val="20"/>
                <w:szCs w:val="20"/>
              </w:rPr>
              <w:t xml:space="preserve">Restriction type: </w:t>
            </w:r>
            <w:r w:rsidRPr="00C03B2E">
              <w:rPr>
                <w:rFonts w:ascii="Arial Narrow" w:eastAsia="Calibri" w:hAnsi="Arial Narrow"/>
                <w:sz w:val="20"/>
                <w:szCs w:val="20"/>
              </w:rPr>
              <w:fldChar w:fldCharType="begin">
                <w:ffData>
                  <w:name w:val="Check1"/>
                  <w:enabled/>
                  <w:calcOnExit w:val="0"/>
                  <w:checkBox>
                    <w:sizeAuto/>
                    <w:default w:val="1"/>
                  </w:checkBox>
                </w:ffData>
              </w:fldChar>
            </w:r>
            <w:bookmarkStart w:id="51" w:name="Check1"/>
            <w:r w:rsidRPr="00C03B2E">
              <w:rPr>
                <w:rFonts w:ascii="Arial Narrow" w:eastAsia="Calibri" w:hAnsi="Arial Narrow"/>
                <w:sz w:val="20"/>
                <w:szCs w:val="20"/>
              </w:rPr>
              <w:instrText xml:space="preserve"> FORMCHECKBOX </w:instrText>
            </w:r>
            <w:r w:rsidRPr="00C03B2E">
              <w:rPr>
                <w:rFonts w:ascii="Arial Narrow" w:eastAsia="Calibri" w:hAnsi="Arial Narrow"/>
                <w:sz w:val="20"/>
                <w:szCs w:val="20"/>
              </w:rPr>
            </w:r>
            <w:r w:rsidRPr="00C03B2E">
              <w:rPr>
                <w:rFonts w:ascii="Arial Narrow" w:eastAsia="Calibri" w:hAnsi="Arial Narrow"/>
                <w:sz w:val="20"/>
                <w:szCs w:val="20"/>
              </w:rPr>
              <w:fldChar w:fldCharType="separate"/>
            </w:r>
            <w:r w:rsidRPr="00C03B2E">
              <w:rPr>
                <w:rFonts w:ascii="Arial Narrow" w:eastAsia="Calibri" w:hAnsi="Arial Narrow"/>
                <w:sz w:val="20"/>
                <w:szCs w:val="20"/>
              </w:rPr>
              <w:fldChar w:fldCharType="end"/>
            </w:r>
            <w:bookmarkEnd w:id="51"/>
            <w:r w:rsidRPr="00C03B2E">
              <w:rPr>
                <w:rFonts w:ascii="Arial Narrow" w:eastAsia="Calibri" w:hAnsi="Arial Narrow"/>
                <w:sz w:val="20"/>
                <w:szCs w:val="20"/>
              </w:rPr>
              <w:t>Restricted benefit</w:t>
            </w:r>
          </w:p>
        </w:tc>
      </w:tr>
      <w:tr w:rsidR="00BA0730" w:rsidRPr="00C03B2E" w14:paraId="55151FB4" w14:textId="77777777">
        <w:tblPrEx>
          <w:tblCellMar>
            <w:top w:w="15" w:type="dxa"/>
            <w:bottom w:w="15" w:type="dxa"/>
          </w:tblCellMar>
          <w:tblLook w:val="04A0" w:firstRow="1" w:lastRow="0" w:firstColumn="1" w:lastColumn="0" w:noHBand="0" w:noVBand="1"/>
        </w:tblPrEx>
        <w:trPr>
          <w:trHeight w:val="727"/>
        </w:trPr>
        <w:tc>
          <w:tcPr>
            <w:tcW w:w="704" w:type="dxa"/>
            <w:tcBorders>
              <w:left w:val="single" w:sz="4" w:space="0" w:color="auto"/>
              <w:right w:val="single" w:sz="4" w:space="0" w:color="auto"/>
            </w:tcBorders>
            <w:textDirection w:val="btLr"/>
            <w:vAlign w:val="center"/>
          </w:tcPr>
          <w:p w14:paraId="53C51243" w14:textId="77777777" w:rsidR="00EE1286" w:rsidRPr="00C03B2E" w:rsidRDefault="00EE1286" w:rsidP="00E208B7">
            <w:pPr>
              <w:jc w:val="center"/>
              <w:rPr>
                <w:rFonts w:ascii="Arial Narrow" w:hAnsi="Arial Narrow"/>
                <w:sz w:val="16"/>
                <w:szCs w:val="16"/>
              </w:rPr>
            </w:pPr>
            <w:r w:rsidRPr="00C03B2E">
              <w:rPr>
                <w:rFonts w:ascii="Arial Narrow" w:hAnsi="Arial Narrow"/>
                <w:sz w:val="16"/>
                <w:szCs w:val="16"/>
              </w:rPr>
              <w:t>Prescribing rule level</w:t>
            </w:r>
          </w:p>
        </w:tc>
        <w:tc>
          <w:tcPr>
            <w:tcW w:w="709" w:type="dxa"/>
            <w:vAlign w:val="center"/>
          </w:tcPr>
          <w:p w14:paraId="4A5A7E23" w14:textId="224F504F" w:rsidR="00EE1286" w:rsidRPr="00C03B2E" w:rsidRDefault="00EE1286" w:rsidP="00E208B7">
            <w:pPr>
              <w:jc w:val="center"/>
              <w:rPr>
                <w:rFonts w:ascii="Arial Narrow" w:hAnsi="Arial Narrow"/>
                <w:sz w:val="20"/>
                <w:szCs w:val="20"/>
              </w:rPr>
            </w:pPr>
          </w:p>
        </w:tc>
        <w:tc>
          <w:tcPr>
            <w:tcW w:w="7603" w:type="dxa"/>
            <w:gridSpan w:val="6"/>
            <w:vAlign w:val="center"/>
          </w:tcPr>
          <w:p w14:paraId="0CA5F0D7" w14:textId="77777777" w:rsidR="00EE1286" w:rsidRPr="00C03B2E" w:rsidRDefault="00EE1286" w:rsidP="00E208B7">
            <w:pPr>
              <w:rPr>
                <w:rFonts w:ascii="Arial Narrow" w:hAnsi="Arial Narrow"/>
                <w:sz w:val="20"/>
                <w:szCs w:val="20"/>
              </w:rPr>
            </w:pPr>
            <w:r w:rsidRPr="00C03B2E">
              <w:rPr>
                <w:rFonts w:ascii="Arial Narrow" w:hAnsi="Arial Narrow"/>
                <w:b/>
                <w:bCs/>
                <w:sz w:val="20"/>
                <w:szCs w:val="20"/>
              </w:rPr>
              <w:t xml:space="preserve">Administrative Advice: </w:t>
            </w:r>
            <w:r w:rsidRPr="00C03B2E">
              <w:rPr>
                <w:rFonts w:ascii="Arial Narrow" w:hAnsi="Arial Narrow"/>
                <w:bCs/>
                <w:sz w:val="20"/>
                <w:szCs w:val="20"/>
              </w:rPr>
              <w:t>Special Pricing Arrangements apply.</w:t>
            </w:r>
          </w:p>
        </w:tc>
      </w:tr>
      <w:tr w:rsidR="00BA0730" w:rsidRPr="00C03B2E" w14:paraId="6A5768A9" w14:textId="77777777">
        <w:tblPrEx>
          <w:tblCellMar>
            <w:top w:w="15" w:type="dxa"/>
            <w:bottom w:w="15" w:type="dxa"/>
          </w:tblCellMar>
          <w:tblLook w:val="04A0" w:firstRow="1" w:lastRow="0" w:firstColumn="1" w:lastColumn="0" w:noHBand="0" w:noVBand="1"/>
        </w:tblPrEx>
        <w:trPr>
          <w:cantSplit/>
          <w:trHeight w:val="20"/>
        </w:trPr>
        <w:tc>
          <w:tcPr>
            <w:tcW w:w="1413" w:type="dxa"/>
            <w:gridSpan w:val="2"/>
            <w:vMerge w:val="restart"/>
            <w:vAlign w:val="center"/>
          </w:tcPr>
          <w:p w14:paraId="266E0DB1" w14:textId="77777777" w:rsidR="00EE1286" w:rsidRPr="00C03B2E" w:rsidRDefault="00EE1286" w:rsidP="00E208B7">
            <w:pPr>
              <w:keepLines/>
              <w:jc w:val="center"/>
              <w:rPr>
                <w:rFonts w:ascii="Arial Narrow" w:hAnsi="Arial Narrow"/>
                <w:sz w:val="20"/>
                <w:szCs w:val="20"/>
              </w:rPr>
            </w:pPr>
          </w:p>
        </w:tc>
        <w:tc>
          <w:tcPr>
            <w:tcW w:w="7603" w:type="dxa"/>
            <w:gridSpan w:val="6"/>
            <w:vAlign w:val="center"/>
          </w:tcPr>
          <w:p w14:paraId="670FF5D9" w14:textId="77777777" w:rsidR="00EE1286" w:rsidRPr="00C03B2E" w:rsidRDefault="00EE1286" w:rsidP="00E208B7">
            <w:pPr>
              <w:keepLines/>
              <w:rPr>
                <w:rFonts w:ascii="Arial Narrow" w:hAnsi="Arial Narrow"/>
                <w:bCs/>
                <w:sz w:val="20"/>
                <w:szCs w:val="20"/>
              </w:rPr>
            </w:pPr>
            <w:proofErr w:type="spellStart"/>
            <w:r w:rsidRPr="00C03B2E">
              <w:rPr>
                <w:rFonts w:ascii="Arial Narrow" w:hAnsi="Arial Narrow"/>
                <w:b/>
                <w:bCs/>
                <w:sz w:val="20"/>
                <w:szCs w:val="20"/>
              </w:rPr>
              <w:t>Episodicity</w:t>
            </w:r>
            <w:proofErr w:type="spellEnd"/>
            <w:r w:rsidRPr="00C03B2E">
              <w:rPr>
                <w:rFonts w:ascii="Arial Narrow" w:hAnsi="Arial Narrow"/>
                <w:b/>
                <w:bCs/>
                <w:sz w:val="20"/>
                <w:szCs w:val="20"/>
              </w:rPr>
              <w:t xml:space="preserve">: </w:t>
            </w:r>
            <w:r w:rsidRPr="00C03B2E">
              <w:rPr>
                <w:rFonts w:ascii="Arial Narrow" w:hAnsi="Arial Narrow"/>
                <w:bCs/>
                <w:sz w:val="20"/>
                <w:szCs w:val="20"/>
              </w:rPr>
              <w:t xml:space="preserve">[blank] </w:t>
            </w:r>
          </w:p>
        </w:tc>
      </w:tr>
      <w:tr w:rsidR="00BA0730" w:rsidRPr="00C03B2E" w14:paraId="232A124B" w14:textId="77777777">
        <w:tblPrEx>
          <w:tblCellMar>
            <w:top w:w="15" w:type="dxa"/>
            <w:bottom w:w="15" w:type="dxa"/>
          </w:tblCellMar>
          <w:tblLook w:val="04A0" w:firstRow="1" w:lastRow="0" w:firstColumn="1" w:lastColumn="0" w:noHBand="0" w:noVBand="1"/>
        </w:tblPrEx>
        <w:trPr>
          <w:cantSplit/>
          <w:trHeight w:val="20"/>
        </w:trPr>
        <w:tc>
          <w:tcPr>
            <w:tcW w:w="1413" w:type="dxa"/>
            <w:gridSpan w:val="2"/>
            <w:vMerge/>
            <w:vAlign w:val="center"/>
          </w:tcPr>
          <w:p w14:paraId="36570BA3" w14:textId="77777777" w:rsidR="00EE1286" w:rsidRPr="00C03B2E" w:rsidRDefault="00EE1286" w:rsidP="00E208B7">
            <w:pPr>
              <w:keepLines/>
              <w:jc w:val="center"/>
              <w:rPr>
                <w:rFonts w:ascii="Arial Narrow" w:hAnsi="Arial Narrow"/>
                <w:sz w:val="20"/>
                <w:szCs w:val="20"/>
              </w:rPr>
            </w:pPr>
          </w:p>
        </w:tc>
        <w:tc>
          <w:tcPr>
            <w:tcW w:w="7603" w:type="dxa"/>
            <w:gridSpan w:val="6"/>
            <w:vAlign w:val="center"/>
          </w:tcPr>
          <w:p w14:paraId="446649CD" w14:textId="77777777" w:rsidR="00EE1286" w:rsidRPr="00C03B2E" w:rsidRDefault="00EE1286" w:rsidP="00E208B7">
            <w:pPr>
              <w:keepLines/>
              <w:rPr>
                <w:rFonts w:ascii="Arial Narrow" w:hAnsi="Arial Narrow"/>
                <w:b/>
                <w:bCs/>
                <w:sz w:val="20"/>
                <w:szCs w:val="20"/>
              </w:rPr>
            </w:pPr>
            <w:r w:rsidRPr="00C03B2E">
              <w:rPr>
                <w:rFonts w:ascii="Arial Narrow" w:hAnsi="Arial Narrow"/>
                <w:b/>
                <w:bCs/>
                <w:sz w:val="20"/>
                <w:szCs w:val="20"/>
              </w:rPr>
              <w:t xml:space="preserve">Severity: </w:t>
            </w:r>
            <w:r w:rsidRPr="00C03B2E">
              <w:rPr>
                <w:rFonts w:ascii="Arial Narrow" w:hAnsi="Arial Narrow"/>
                <w:bCs/>
                <w:sz w:val="20"/>
                <w:szCs w:val="20"/>
              </w:rPr>
              <w:t xml:space="preserve">[blank] </w:t>
            </w:r>
          </w:p>
        </w:tc>
      </w:tr>
      <w:tr w:rsidR="00BA0730" w:rsidRPr="00C03B2E" w14:paraId="022D3295" w14:textId="77777777">
        <w:tblPrEx>
          <w:tblCellMar>
            <w:top w:w="15" w:type="dxa"/>
            <w:bottom w:w="15" w:type="dxa"/>
          </w:tblCellMar>
          <w:tblLook w:val="04A0" w:firstRow="1" w:lastRow="0" w:firstColumn="1" w:lastColumn="0" w:noHBand="0" w:noVBand="1"/>
        </w:tblPrEx>
        <w:trPr>
          <w:cantSplit/>
          <w:trHeight w:val="20"/>
        </w:trPr>
        <w:tc>
          <w:tcPr>
            <w:tcW w:w="1413" w:type="dxa"/>
            <w:gridSpan w:val="2"/>
            <w:vMerge/>
            <w:vAlign w:val="center"/>
          </w:tcPr>
          <w:p w14:paraId="200C9267" w14:textId="77777777" w:rsidR="00EE1286" w:rsidRPr="00C03B2E" w:rsidRDefault="00EE1286" w:rsidP="00E208B7">
            <w:pPr>
              <w:keepLines/>
              <w:jc w:val="center"/>
              <w:rPr>
                <w:rFonts w:ascii="Arial Narrow" w:hAnsi="Arial Narrow"/>
                <w:sz w:val="20"/>
                <w:szCs w:val="20"/>
              </w:rPr>
            </w:pPr>
          </w:p>
        </w:tc>
        <w:tc>
          <w:tcPr>
            <w:tcW w:w="7603" w:type="dxa"/>
            <w:gridSpan w:val="6"/>
            <w:vAlign w:val="center"/>
          </w:tcPr>
          <w:p w14:paraId="1D593404" w14:textId="77777777" w:rsidR="00EE1286" w:rsidRPr="00C03B2E" w:rsidRDefault="00EE1286" w:rsidP="00E208B7">
            <w:pPr>
              <w:keepLines/>
              <w:rPr>
                <w:rFonts w:ascii="Arial Narrow" w:hAnsi="Arial Narrow"/>
                <w:b/>
                <w:bCs/>
                <w:sz w:val="20"/>
                <w:szCs w:val="20"/>
              </w:rPr>
            </w:pPr>
            <w:r w:rsidRPr="00C03B2E">
              <w:rPr>
                <w:rFonts w:ascii="Arial Narrow" w:hAnsi="Arial Narrow"/>
                <w:b/>
                <w:bCs/>
                <w:sz w:val="20"/>
                <w:szCs w:val="20"/>
              </w:rPr>
              <w:t xml:space="preserve">Condition: </w:t>
            </w:r>
            <w:r w:rsidRPr="00C03B2E">
              <w:rPr>
                <w:rFonts w:ascii="Arial Narrow" w:hAnsi="Arial Narrow"/>
                <w:bCs/>
                <w:sz w:val="20"/>
                <w:szCs w:val="20"/>
              </w:rPr>
              <w:t>Type 1 diabetes</w:t>
            </w:r>
          </w:p>
        </w:tc>
      </w:tr>
      <w:tr w:rsidR="00BA0730" w:rsidRPr="00C03B2E" w14:paraId="74021BB6" w14:textId="77777777">
        <w:tblPrEx>
          <w:tblCellMar>
            <w:top w:w="15" w:type="dxa"/>
            <w:bottom w:w="15" w:type="dxa"/>
          </w:tblCellMar>
          <w:tblLook w:val="04A0" w:firstRow="1" w:lastRow="0" w:firstColumn="1" w:lastColumn="0" w:noHBand="0" w:noVBand="1"/>
        </w:tblPrEx>
        <w:trPr>
          <w:cantSplit/>
          <w:trHeight w:val="20"/>
        </w:trPr>
        <w:tc>
          <w:tcPr>
            <w:tcW w:w="1413" w:type="dxa"/>
            <w:gridSpan w:val="2"/>
            <w:vAlign w:val="center"/>
            <w:hideMark/>
          </w:tcPr>
          <w:p w14:paraId="1AFA294A" w14:textId="57C8A736" w:rsidR="00EE1286" w:rsidRPr="00C03B2E" w:rsidRDefault="00EE1286" w:rsidP="00E208B7">
            <w:pPr>
              <w:keepLines/>
              <w:jc w:val="center"/>
              <w:rPr>
                <w:rFonts w:ascii="Arial Narrow" w:hAnsi="Arial Narrow"/>
                <w:sz w:val="20"/>
                <w:szCs w:val="20"/>
              </w:rPr>
            </w:pPr>
          </w:p>
        </w:tc>
        <w:tc>
          <w:tcPr>
            <w:tcW w:w="7603" w:type="dxa"/>
            <w:gridSpan w:val="6"/>
            <w:vAlign w:val="center"/>
            <w:hideMark/>
          </w:tcPr>
          <w:p w14:paraId="0A0EC757" w14:textId="77777777" w:rsidR="00EE1286" w:rsidRPr="00C03B2E" w:rsidRDefault="00EE1286" w:rsidP="00E208B7">
            <w:pPr>
              <w:keepLines/>
              <w:rPr>
                <w:rFonts w:ascii="Arial Narrow" w:hAnsi="Arial Narrow"/>
                <w:sz w:val="20"/>
                <w:szCs w:val="20"/>
              </w:rPr>
            </w:pPr>
            <w:r w:rsidRPr="00C03B2E">
              <w:rPr>
                <w:rFonts w:ascii="Arial Narrow" w:hAnsi="Arial Narrow"/>
                <w:b/>
                <w:bCs/>
                <w:sz w:val="20"/>
                <w:szCs w:val="20"/>
              </w:rPr>
              <w:t>Indication:</w:t>
            </w:r>
            <w:r w:rsidRPr="00C03B2E">
              <w:rPr>
                <w:rFonts w:ascii="Arial Narrow" w:hAnsi="Arial Narrow"/>
                <w:sz w:val="20"/>
                <w:szCs w:val="20"/>
              </w:rPr>
              <w:t xml:space="preserve"> Type 1 diabetes</w:t>
            </w:r>
          </w:p>
        </w:tc>
      </w:tr>
      <w:tr w:rsidR="00EE1286" w:rsidRPr="00C03B2E" w14:paraId="35F0E123" w14:textId="77777777">
        <w:tblPrEx>
          <w:tblCellMar>
            <w:top w:w="15" w:type="dxa"/>
            <w:bottom w:w="15" w:type="dxa"/>
          </w:tblCellMar>
          <w:tblLook w:val="04A0" w:firstRow="1" w:lastRow="0" w:firstColumn="1" w:lastColumn="0" w:noHBand="0" w:noVBand="1"/>
        </w:tblPrEx>
        <w:trPr>
          <w:cantSplit/>
          <w:trHeight w:val="20"/>
        </w:trPr>
        <w:tc>
          <w:tcPr>
            <w:tcW w:w="1413" w:type="dxa"/>
            <w:gridSpan w:val="2"/>
            <w:vAlign w:val="center"/>
            <w:hideMark/>
          </w:tcPr>
          <w:p w14:paraId="0FEDFD6C" w14:textId="77777777" w:rsidR="00EE1286" w:rsidRPr="00C03B2E" w:rsidRDefault="00EE1286" w:rsidP="00E208B7">
            <w:pPr>
              <w:jc w:val="center"/>
              <w:rPr>
                <w:rFonts w:ascii="Arial Narrow" w:hAnsi="Arial Narrow"/>
                <w:sz w:val="20"/>
                <w:szCs w:val="20"/>
              </w:rPr>
            </w:pPr>
          </w:p>
        </w:tc>
        <w:tc>
          <w:tcPr>
            <w:tcW w:w="7603" w:type="dxa"/>
            <w:gridSpan w:val="6"/>
            <w:vAlign w:val="center"/>
            <w:hideMark/>
          </w:tcPr>
          <w:p w14:paraId="381FC5B7" w14:textId="77777777" w:rsidR="00EE1286" w:rsidRPr="00C03B2E" w:rsidRDefault="00EE1286" w:rsidP="00E208B7">
            <w:pPr>
              <w:rPr>
                <w:rFonts w:ascii="Arial Narrow" w:hAnsi="Arial Narrow"/>
                <w:sz w:val="20"/>
                <w:szCs w:val="20"/>
              </w:rPr>
            </w:pPr>
            <w:r w:rsidRPr="00C03B2E">
              <w:rPr>
                <w:rFonts w:ascii="Arial Narrow" w:hAnsi="Arial Narrow"/>
                <w:b/>
                <w:bCs/>
                <w:sz w:val="20"/>
                <w:szCs w:val="20"/>
              </w:rPr>
              <w:t>Treatment Phase:</w:t>
            </w:r>
            <w:r w:rsidRPr="00C03B2E">
              <w:rPr>
                <w:rFonts w:ascii="Arial Narrow" w:hAnsi="Arial Narrow"/>
                <w:sz w:val="20"/>
                <w:szCs w:val="20"/>
              </w:rPr>
              <w:t xml:space="preserve"> [blank] </w:t>
            </w:r>
          </w:p>
        </w:tc>
      </w:tr>
    </w:tbl>
    <w:p w14:paraId="74F9C584" w14:textId="77777777" w:rsidR="00EE1286" w:rsidRPr="004F11AC" w:rsidRDefault="00EE1286" w:rsidP="00E208B7"/>
    <w:p w14:paraId="66E14E99" w14:textId="1CD7AA5C" w:rsidR="002038AA" w:rsidRDefault="00AE0219" w:rsidP="00E208B7">
      <w:pPr>
        <w:jc w:val="left"/>
        <w:rPr>
          <w:rFonts w:asciiTheme="minorHAnsi" w:hAnsiTheme="minorHAnsi"/>
          <w:b/>
          <w:i/>
          <w:iCs/>
          <w:snapToGrid w:val="0"/>
          <w:lang w:val="en-GB" w:eastAsia="en-US"/>
        </w:rPr>
      </w:pPr>
      <w:r w:rsidRPr="00F438DA">
        <w:rPr>
          <w:rFonts w:asciiTheme="minorHAnsi" w:hAnsiTheme="minorHAnsi"/>
          <w:b/>
          <w:i/>
          <w:iCs/>
          <w:snapToGrid w:val="0"/>
          <w:lang w:val="en-GB" w:eastAsia="en-US"/>
        </w:rPr>
        <w:t>Th</w:t>
      </w:r>
      <w:r w:rsidR="00277AE6">
        <w:rPr>
          <w:rFonts w:asciiTheme="minorHAnsi" w:hAnsiTheme="minorHAnsi"/>
          <w:b/>
          <w:i/>
          <w:iCs/>
          <w:snapToGrid w:val="0"/>
          <w:lang w:val="en-GB" w:eastAsia="en-US"/>
        </w:rPr>
        <w:t>is</w:t>
      </w:r>
      <w:r w:rsidRPr="00F438DA">
        <w:rPr>
          <w:rFonts w:asciiTheme="minorHAnsi" w:hAnsiTheme="minorHAnsi"/>
          <w:b/>
          <w:i/>
          <w:iCs/>
          <w:snapToGrid w:val="0"/>
          <w:lang w:val="en-GB" w:eastAsia="en-US"/>
        </w:rPr>
        <w:t xml:space="preserve"> restriction may be subject to further review. Should there be any changes made to the restriction the sponsor will be informed.</w:t>
      </w:r>
    </w:p>
    <w:p w14:paraId="15A258A7" w14:textId="77777777" w:rsidR="002038AA" w:rsidRPr="002038AA" w:rsidRDefault="002038AA" w:rsidP="002038AA">
      <w:pPr>
        <w:keepNext/>
        <w:spacing w:before="240" w:after="120"/>
        <w:ind w:left="720" w:hanging="720"/>
        <w:jc w:val="left"/>
        <w:outlineLvl w:val="0"/>
        <w:rPr>
          <w:rFonts w:asciiTheme="minorHAnsi" w:hAnsiTheme="minorHAnsi"/>
          <w:b/>
          <w:bCs/>
          <w:snapToGrid w:val="0"/>
          <w:sz w:val="32"/>
          <w:szCs w:val="32"/>
          <w:lang w:val="en-GB"/>
        </w:rPr>
      </w:pPr>
      <w:r w:rsidRPr="002038AA">
        <w:rPr>
          <w:rFonts w:asciiTheme="minorHAnsi" w:hAnsiTheme="minorHAnsi"/>
          <w:b/>
          <w:snapToGrid w:val="0"/>
          <w:sz w:val="32"/>
          <w:szCs w:val="32"/>
        </w:rPr>
        <w:t>9</w:t>
      </w:r>
      <w:r w:rsidRPr="002038AA">
        <w:rPr>
          <w:rFonts w:asciiTheme="minorHAnsi" w:hAnsiTheme="minorHAnsi"/>
          <w:b/>
          <w:snapToGrid w:val="0"/>
          <w:sz w:val="32"/>
          <w:szCs w:val="32"/>
        </w:rPr>
        <w:tab/>
        <w:t>Context for Decision</w:t>
      </w:r>
    </w:p>
    <w:p w14:paraId="102FBB10" w14:textId="77777777" w:rsidR="002038AA" w:rsidRPr="002038AA" w:rsidRDefault="002038AA" w:rsidP="002038AA">
      <w:pPr>
        <w:spacing w:after="120"/>
        <w:ind w:left="720"/>
        <w:rPr>
          <w:rFonts w:asciiTheme="minorHAnsi" w:hAnsiTheme="minorHAnsi"/>
          <w:bCs/>
          <w:lang w:val="en-GB"/>
        </w:rPr>
      </w:pPr>
      <w:r w:rsidRPr="002038AA">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122817BA" w14:textId="77777777" w:rsidR="002038AA" w:rsidRPr="002038AA" w:rsidRDefault="002038AA" w:rsidP="002038AA">
      <w:pPr>
        <w:keepNext/>
        <w:spacing w:before="240" w:after="120"/>
        <w:ind w:left="720" w:hanging="720"/>
        <w:jc w:val="left"/>
        <w:outlineLvl w:val="0"/>
        <w:rPr>
          <w:rFonts w:asciiTheme="minorHAnsi" w:hAnsiTheme="minorHAnsi"/>
          <w:b/>
          <w:snapToGrid w:val="0"/>
          <w:sz w:val="32"/>
          <w:szCs w:val="32"/>
        </w:rPr>
      </w:pPr>
      <w:r w:rsidRPr="002038AA">
        <w:rPr>
          <w:rFonts w:asciiTheme="minorHAnsi" w:hAnsiTheme="minorHAnsi"/>
          <w:b/>
          <w:snapToGrid w:val="0"/>
          <w:sz w:val="32"/>
          <w:szCs w:val="32"/>
        </w:rPr>
        <w:lastRenderedPageBreak/>
        <w:t>10</w:t>
      </w:r>
      <w:r w:rsidRPr="002038AA">
        <w:rPr>
          <w:rFonts w:asciiTheme="minorHAnsi" w:hAnsiTheme="minorHAnsi"/>
          <w:b/>
          <w:snapToGrid w:val="0"/>
          <w:sz w:val="32"/>
          <w:szCs w:val="32"/>
        </w:rPr>
        <w:tab/>
        <w:t>Sponsor’s Comment</w:t>
      </w:r>
    </w:p>
    <w:p w14:paraId="46EF28A2" w14:textId="161A648D" w:rsidR="00753B29" w:rsidRPr="004F11AC" w:rsidRDefault="00D07744" w:rsidP="003367FF">
      <w:pPr>
        <w:pStyle w:val="3-BodyText"/>
        <w:ind w:left="709" w:firstLine="11"/>
        <w:rPr>
          <w:b/>
          <w:snapToGrid w:val="0"/>
          <w:sz w:val="32"/>
          <w:szCs w:val="32"/>
        </w:rPr>
      </w:pPr>
      <w:r w:rsidRPr="00D07744">
        <w:t xml:space="preserve">Novo Nordisk is pleased that the PBAC has agreed to the listing of Tresiba® (insulin degludec) 100 IU/mL for the treatment of Type 1 diabetes mellitus (T1DM). This will provide another important and valuable option for patients living with T1DM.  </w:t>
      </w:r>
    </w:p>
    <w:sectPr w:rsidR="00753B29" w:rsidRPr="004F11AC" w:rsidSect="00D077C2">
      <w:headerReference w:type="even" r:id="rId12"/>
      <w:headerReference w:type="default" r:id="rId13"/>
      <w:footerReference w:type="even" r:id="rId14"/>
      <w:footerReference w:type="default" r:id="rId15"/>
      <w:headerReference w:type="first" r:id="rId16"/>
      <w:footerReference w:type="first" r:id="rId17"/>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3DBCD" w14:textId="77777777" w:rsidR="00AF3B9F" w:rsidRDefault="00AF3B9F" w:rsidP="00124A51">
      <w:r>
        <w:separator/>
      </w:r>
    </w:p>
    <w:p w14:paraId="41141E77" w14:textId="77777777" w:rsidR="00AF3B9F" w:rsidRDefault="00AF3B9F"/>
    <w:p w14:paraId="3BE190A6" w14:textId="77777777" w:rsidR="00AF3B9F" w:rsidRDefault="00AF3B9F"/>
    <w:p w14:paraId="57770CD7" w14:textId="77777777" w:rsidR="00AF3B9F" w:rsidRDefault="00AF3B9F"/>
  </w:endnote>
  <w:endnote w:type="continuationSeparator" w:id="0">
    <w:p w14:paraId="314AB8FD" w14:textId="77777777" w:rsidR="00AF3B9F" w:rsidRDefault="00AF3B9F" w:rsidP="00124A51">
      <w:r>
        <w:continuationSeparator/>
      </w:r>
    </w:p>
    <w:p w14:paraId="1AA79DA0" w14:textId="77777777" w:rsidR="00AF3B9F" w:rsidRDefault="00AF3B9F"/>
    <w:p w14:paraId="2B56C331" w14:textId="77777777" w:rsidR="00AF3B9F" w:rsidRDefault="00AF3B9F"/>
    <w:p w14:paraId="3A8AEDE4" w14:textId="77777777" w:rsidR="00AF3B9F" w:rsidRDefault="00AF3B9F"/>
  </w:endnote>
  <w:endnote w:type="continuationNotice" w:id="1">
    <w:p w14:paraId="5089BEAC" w14:textId="77777777" w:rsidR="00AF3B9F" w:rsidRDefault="00AF3B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863E3" w14:textId="19373368" w:rsidR="003367FF" w:rsidRDefault="00DB3D32">
    <w:pPr>
      <w:pStyle w:val="Footer"/>
    </w:pPr>
    <w:r>
      <w:rPr>
        <w:noProof/>
      </w:rPr>
      <mc:AlternateContent>
        <mc:Choice Requires="wps">
          <w:drawing>
            <wp:anchor distT="0" distB="0" distL="0" distR="0" simplePos="0" relativeHeight="251662336" behindDoc="0" locked="0" layoutInCell="1" allowOverlap="1" wp14:anchorId="75BBE3CF" wp14:editId="1AA74337">
              <wp:simplePos x="635" y="635"/>
              <wp:positionH relativeFrom="page">
                <wp:align>center</wp:align>
              </wp:positionH>
              <wp:positionV relativeFrom="page">
                <wp:align>bottom</wp:align>
              </wp:positionV>
              <wp:extent cx="551815" cy="376555"/>
              <wp:effectExtent l="0" t="0" r="635" b="0"/>
              <wp:wrapNone/>
              <wp:docPr id="105811027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8C281AE" w14:textId="58F5DFC7" w:rsidR="00DB3D32" w:rsidRPr="00DB3D32" w:rsidRDefault="00DB3D32" w:rsidP="00DB3D32">
                          <w:pPr>
                            <w:rPr>
                              <w:rFonts w:eastAsia="Calibri" w:cs="Calibri"/>
                              <w:noProof/>
                              <w:color w:val="FF0000"/>
                            </w:rPr>
                          </w:pPr>
                          <w:r w:rsidRPr="00DB3D32">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BBE3CF"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78C281AE" w14:textId="58F5DFC7" w:rsidR="00DB3D32" w:rsidRPr="00DB3D32" w:rsidRDefault="00DB3D32" w:rsidP="00DB3D32">
                    <w:pPr>
                      <w:rPr>
                        <w:rFonts w:eastAsia="Calibri" w:cs="Calibri"/>
                        <w:noProof/>
                        <w:color w:val="FF0000"/>
                      </w:rPr>
                    </w:pPr>
                    <w:r w:rsidRPr="00DB3D32">
                      <w:rPr>
                        <w:rFonts w:eastAsia="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8ECBB" w14:textId="77777777" w:rsidR="00873D35" w:rsidRDefault="00DB3D32">
    <w:pPr>
      <w:pStyle w:val="Footer"/>
      <w:jc w:val="center"/>
    </w:pPr>
    <w:r>
      <w:rPr>
        <w:noProof/>
      </w:rPr>
      <mc:AlternateContent>
        <mc:Choice Requires="wps">
          <w:drawing>
            <wp:anchor distT="0" distB="0" distL="0" distR="0" simplePos="0" relativeHeight="251663360" behindDoc="0" locked="0" layoutInCell="1" allowOverlap="1" wp14:anchorId="62C33CB0" wp14:editId="6086D32D">
              <wp:simplePos x="635" y="635"/>
              <wp:positionH relativeFrom="page">
                <wp:align>center</wp:align>
              </wp:positionH>
              <wp:positionV relativeFrom="page">
                <wp:align>bottom</wp:align>
              </wp:positionV>
              <wp:extent cx="551815" cy="376555"/>
              <wp:effectExtent l="0" t="0" r="635" b="0"/>
              <wp:wrapNone/>
              <wp:docPr id="154037911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6370CAA" w14:textId="68EDBB82" w:rsidR="00DB3D32" w:rsidRPr="00DB3D32" w:rsidRDefault="00DB3D32" w:rsidP="00DB3D32">
                          <w:pPr>
                            <w:rPr>
                              <w:rFonts w:eastAsia="Calibri" w:cs="Calibri"/>
                              <w:noProof/>
                              <w:color w:val="FF0000"/>
                            </w:rPr>
                          </w:pPr>
                          <w:r w:rsidRPr="00DB3D32">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C33CB0"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66370CAA" w14:textId="68EDBB82" w:rsidR="00DB3D32" w:rsidRPr="00DB3D32" w:rsidRDefault="00DB3D32" w:rsidP="00DB3D32">
                    <w:pPr>
                      <w:rPr>
                        <w:rFonts w:eastAsia="Calibri" w:cs="Calibri"/>
                        <w:noProof/>
                        <w:color w:val="FF0000"/>
                      </w:rPr>
                    </w:pPr>
                    <w:r w:rsidRPr="00DB3D32">
                      <w:rPr>
                        <w:rFonts w:eastAsia="Calibri" w:cs="Calibri"/>
                        <w:noProof/>
                        <w:color w:val="FF0000"/>
                      </w:rPr>
                      <w:t>OFFICIAL</w:t>
                    </w:r>
                  </w:p>
                </w:txbxContent>
              </v:textbox>
              <w10:wrap anchorx="page" anchory="page"/>
            </v:shape>
          </w:pict>
        </mc:Fallback>
      </mc:AlternateContent>
    </w:r>
  </w:p>
  <w:sdt>
    <w:sdtPr>
      <w:id w:val="-441073053"/>
      <w:docPartObj>
        <w:docPartGallery w:val="Page Numbers (Bottom of Page)"/>
        <w:docPartUnique/>
      </w:docPartObj>
    </w:sdtPr>
    <w:sdtEndPr>
      <w:rPr>
        <w:noProof/>
      </w:rPr>
    </w:sdtEndPr>
    <w:sdtContent>
      <w:p w14:paraId="16106447" w14:textId="68613EF3" w:rsidR="009B2174" w:rsidRDefault="009B2174">
        <w:pPr>
          <w:pStyle w:val="Footer"/>
          <w:jc w:val="center"/>
        </w:pPr>
      </w:p>
      <w:p w14:paraId="1D56BFE9" w14:textId="742A4E72" w:rsidR="00E96ACD" w:rsidRDefault="00E96ACD">
        <w:pPr>
          <w:pStyle w:val="Footer"/>
          <w:jc w:val="center"/>
        </w:pPr>
        <w:r w:rsidRPr="009B2174">
          <w:rPr>
            <w:b/>
            <w:bCs/>
          </w:rPr>
          <w:fldChar w:fldCharType="begin"/>
        </w:r>
        <w:r w:rsidRPr="009B2174">
          <w:rPr>
            <w:b/>
            <w:bCs/>
          </w:rPr>
          <w:instrText xml:space="preserve"> PAGE   \* MERGEFORMAT </w:instrText>
        </w:r>
        <w:r w:rsidRPr="009B2174">
          <w:rPr>
            <w:b/>
            <w:bCs/>
          </w:rPr>
          <w:fldChar w:fldCharType="separate"/>
        </w:r>
        <w:r w:rsidRPr="009B2174">
          <w:rPr>
            <w:b/>
            <w:bCs/>
            <w:noProof/>
          </w:rPr>
          <w:t>2</w:t>
        </w:r>
        <w:r w:rsidRPr="009B2174">
          <w:rPr>
            <w:b/>
            <w:bCs/>
            <w:noProof/>
          </w:rPr>
          <w:fldChar w:fldCharType="end"/>
        </w:r>
      </w:p>
    </w:sdtContent>
  </w:sdt>
  <w:p w14:paraId="37484CD3" w14:textId="35EB6FE8" w:rsidR="00D843F2" w:rsidRPr="007C1CD9" w:rsidRDefault="00D843F2" w:rsidP="00AB5410">
    <w:pPr>
      <w:pStyle w:val="Page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4343E" w14:textId="40DA72EB" w:rsidR="003367FF" w:rsidRDefault="00DB3D32">
    <w:pPr>
      <w:pStyle w:val="Footer"/>
    </w:pPr>
    <w:r>
      <w:rPr>
        <w:noProof/>
      </w:rPr>
      <mc:AlternateContent>
        <mc:Choice Requires="wps">
          <w:drawing>
            <wp:anchor distT="0" distB="0" distL="0" distR="0" simplePos="0" relativeHeight="251661312" behindDoc="0" locked="0" layoutInCell="1" allowOverlap="1" wp14:anchorId="17776C9A" wp14:editId="47A109F1">
              <wp:simplePos x="635" y="635"/>
              <wp:positionH relativeFrom="page">
                <wp:align>center</wp:align>
              </wp:positionH>
              <wp:positionV relativeFrom="page">
                <wp:align>bottom</wp:align>
              </wp:positionV>
              <wp:extent cx="551815" cy="376555"/>
              <wp:effectExtent l="0" t="0" r="635" b="0"/>
              <wp:wrapNone/>
              <wp:docPr id="21730824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625BC1E" w14:textId="60AE92E7" w:rsidR="00DB3D32" w:rsidRPr="00DB3D32" w:rsidRDefault="00DB3D32" w:rsidP="00DB3D32">
                          <w:pPr>
                            <w:rPr>
                              <w:rFonts w:eastAsia="Calibri" w:cs="Calibri"/>
                              <w:noProof/>
                              <w:color w:val="FF0000"/>
                            </w:rPr>
                          </w:pPr>
                          <w:r w:rsidRPr="00DB3D32">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776C9A"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3625BC1E" w14:textId="60AE92E7" w:rsidR="00DB3D32" w:rsidRPr="00DB3D32" w:rsidRDefault="00DB3D32" w:rsidP="00DB3D32">
                    <w:pPr>
                      <w:rPr>
                        <w:rFonts w:eastAsia="Calibri" w:cs="Calibri"/>
                        <w:noProof/>
                        <w:color w:val="FF0000"/>
                      </w:rPr>
                    </w:pPr>
                    <w:r w:rsidRPr="00DB3D32">
                      <w:rPr>
                        <w:rFonts w:eastAsia="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208DA" w14:textId="77777777" w:rsidR="00AF3B9F" w:rsidRDefault="00AF3B9F" w:rsidP="00124A51">
      <w:r>
        <w:separator/>
      </w:r>
    </w:p>
    <w:p w14:paraId="2E1A3F41" w14:textId="77777777" w:rsidR="00AF3B9F" w:rsidRDefault="00AF3B9F"/>
    <w:p w14:paraId="3FF972F6" w14:textId="77777777" w:rsidR="00AF3B9F" w:rsidRDefault="00AF3B9F"/>
    <w:p w14:paraId="5FBC12BE" w14:textId="77777777" w:rsidR="00AF3B9F" w:rsidRDefault="00AF3B9F"/>
  </w:footnote>
  <w:footnote w:type="continuationSeparator" w:id="0">
    <w:p w14:paraId="1183EB98" w14:textId="77777777" w:rsidR="00AF3B9F" w:rsidRDefault="00AF3B9F" w:rsidP="00124A51">
      <w:r>
        <w:continuationSeparator/>
      </w:r>
    </w:p>
    <w:p w14:paraId="0CF1D281" w14:textId="77777777" w:rsidR="00AF3B9F" w:rsidRDefault="00AF3B9F"/>
    <w:p w14:paraId="34255FC1" w14:textId="77777777" w:rsidR="00AF3B9F" w:rsidRDefault="00AF3B9F"/>
    <w:p w14:paraId="18D72E21" w14:textId="77777777" w:rsidR="00AF3B9F" w:rsidRDefault="00AF3B9F"/>
  </w:footnote>
  <w:footnote w:type="continuationNotice" w:id="1">
    <w:p w14:paraId="434CE398" w14:textId="77777777" w:rsidR="00AF3B9F" w:rsidRDefault="00AF3B9F"/>
  </w:footnote>
  <w:footnote w:id="2">
    <w:p w14:paraId="5B7AF3E1" w14:textId="6809A9E8" w:rsidR="00E15B8E" w:rsidRPr="008E048A" w:rsidRDefault="00E15B8E">
      <w:pPr>
        <w:pStyle w:val="FootnoteText"/>
      </w:pPr>
      <w:r>
        <w:rPr>
          <w:rStyle w:val="FootnoteReference"/>
        </w:rPr>
        <w:footnoteRef/>
      </w:r>
      <w:r>
        <w:t xml:space="preserve"> </w:t>
      </w:r>
      <w:r w:rsidRPr="008E048A">
        <w:t>Clinical practice guidelines: Diabetes mellitus, Royal Children’s Hospital Melbourne; UpToDate: Type 1 diabetes mellitus in children and adolescents, Insulin therapy, Accessed 5 May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B2256" w14:textId="43E8F8A8" w:rsidR="003367FF" w:rsidRDefault="00DB3D32">
    <w:pPr>
      <w:pStyle w:val="Header"/>
    </w:pPr>
    <w:r>
      <w:rPr>
        <w:noProof/>
      </w:rPr>
      <mc:AlternateContent>
        <mc:Choice Requires="wps">
          <w:drawing>
            <wp:anchor distT="0" distB="0" distL="0" distR="0" simplePos="0" relativeHeight="251659264" behindDoc="0" locked="0" layoutInCell="1" allowOverlap="1" wp14:anchorId="5B98108F" wp14:editId="678DA9F9">
              <wp:simplePos x="635" y="635"/>
              <wp:positionH relativeFrom="page">
                <wp:align>center</wp:align>
              </wp:positionH>
              <wp:positionV relativeFrom="page">
                <wp:align>top</wp:align>
              </wp:positionV>
              <wp:extent cx="551815" cy="376555"/>
              <wp:effectExtent l="0" t="0" r="635" b="4445"/>
              <wp:wrapNone/>
              <wp:docPr id="46700179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8213760" w14:textId="5D564C05" w:rsidR="00DB3D32" w:rsidRPr="00DB3D32" w:rsidRDefault="00DB3D32" w:rsidP="00DB3D32">
                          <w:pPr>
                            <w:rPr>
                              <w:rFonts w:eastAsia="Calibri" w:cs="Calibri"/>
                              <w:noProof/>
                              <w:color w:val="FF0000"/>
                            </w:rPr>
                          </w:pPr>
                          <w:r w:rsidRPr="00DB3D32">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98108F"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68213760" w14:textId="5D564C05" w:rsidR="00DB3D32" w:rsidRPr="00DB3D32" w:rsidRDefault="00DB3D32" w:rsidP="00DB3D32">
                    <w:pPr>
                      <w:rPr>
                        <w:rFonts w:eastAsia="Calibri" w:cs="Calibri"/>
                        <w:noProof/>
                        <w:color w:val="FF0000"/>
                      </w:rPr>
                    </w:pPr>
                    <w:r w:rsidRPr="00DB3D32">
                      <w:rPr>
                        <w:rFonts w:eastAsia="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5E204" w14:textId="69C93D83" w:rsidR="00D843F2" w:rsidRPr="00A51C91" w:rsidRDefault="00DB3D32" w:rsidP="00A7587E">
    <w:pPr>
      <w:pStyle w:val="Header"/>
      <w:rPr>
        <w:rFonts w:asciiTheme="minorHAnsi" w:hAnsiTheme="minorHAnsi"/>
        <w:color w:val="808080"/>
      </w:rPr>
    </w:pPr>
    <w:r>
      <w:rPr>
        <w:rFonts w:asciiTheme="minorHAnsi" w:hAnsiTheme="minorHAnsi"/>
        <w:noProof/>
        <w:color w:val="808080"/>
      </w:rPr>
      <mc:AlternateContent>
        <mc:Choice Requires="wps">
          <w:drawing>
            <wp:anchor distT="0" distB="0" distL="0" distR="0" simplePos="0" relativeHeight="251660288" behindDoc="0" locked="0" layoutInCell="1" allowOverlap="1" wp14:anchorId="6849BDC1" wp14:editId="751FD622">
              <wp:simplePos x="635" y="635"/>
              <wp:positionH relativeFrom="page">
                <wp:align>center</wp:align>
              </wp:positionH>
              <wp:positionV relativeFrom="page">
                <wp:align>top</wp:align>
              </wp:positionV>
              <wp:extent cx="551815" cy="376555"/>
              <wp:effectExtent l="0" t="0" r="635" b="4445"/>
              <wp:wrapNone/>
              <wp:docPr id="149214649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17F465B" w14:textId="3ABB0919" w:rsidR="00DB3D32" w:rsidRPr="00DB3D32" w:rsidRDefault="00DB3D32" w:rsidP="00DB3D32">
                          <w:pPr>
                            <w:rPr>
                              <w:rFonts w:eastAsia="Calibri" w:cs="Calibri"/>
                              <w:noProof/>
                              <w:color w:val="FF0000"/>
                            </w:rPr>
                          </w:pPr>
                          <w:r w:rsidRPr="00DB3D32">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49BDC1"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717F465B" w14:textId="3ABB0919" w:rsidR="00DB3D32" w:rsidRPr="00DB3D32" w:rsidRDefault="00DB3D32" w:rsidP="00DB3D32">
                    <w:pPr>
                      <w:rPr>
                        <w:rFonts w:eastAsia="Calibri" w:cs="Calibri"/>
                        <w:noProof/>
                        <w:color w:val="FF0000"/>
                      </w:rPr>
                    </w:pPr>
                    <w:r w:rsidRPr="00DB3D32">
                      <w:rPr>
                        <w:rFonts w:eastAsia="Calibri" w:cs="Calibri"/>
                        <w:noProof/>
                        <w:color w:val="FF0000"/>
                      </w:rPr>
                      <w:t>OFFICIAL</w:t>
                    </w:r>
                  </w:p>
                </w:txbxContent>
              </v:textbox>
              <w10:wrap anchorx="page" anchory="page"/>
            </v:shape>
          </w:pict>
        </mc:Fallback>
      </mc:AlternateContent>
    </w:r>
    <w:r w:rsidR="00615EE3">
      <w:rPr>
        <w:rFonts w:asciiTheme="minorHAnsi" w:hAnsiTheme="minorHAnsi"/>
        <w:color w:val="808080"/>
      </w:rPr>
      <w:t>Public Summary Document</w:t>
    </w:r>
    <w:r w:rsidR="00A7587E">
      <w:rPr>
        <w:rFonts w:asciiTheme="minorHAnsi" w:hAnsiTheme="minorHAnsi"/>
        <w:color w:val="808080"/>
      </w:rPr>
      <w:t xml:space="preserve"> – </w:t>
    </w:r>
    <w:r w:rsidR="006C18AE">
      <w:rPr>
        <w:rFonts w:asciiTheme="minorHAnsi" w:hAnsiTheme="minorHAnsi"/>
        <w:color w:val="808080"/>
      </w:rPr>
      <w:t>July</w:t>
    </w:r>
    <w:r w:rsidR="00D843F2">
      <w:rPr>
        <w:rFonts w:asciiTheme="minorHAnsi" w:hAnsiTheme="minorHAnsi"/>
        <w:color w:val="808080"/>
      </w:rPr>
      <w:t xml:space="preserve"> 202</w:t>
    </w:r>
    <w:r w:rsidR="006C18AE">
      <w:rPr>
        <w:rFonts w:asciiTheme="minorHAnsi" w:hAnsiTheme="minorHAnsi"/>
        <w:color w:val="808080"/>
      </w:rPr>
      <w:t>5</w:t>
    </w:r>
    <w:r w:rsidR="00D843F2">
      <w:rPr>
        <w:rFonts w:asciiTheme="minorHAnsi" w:hAnsiTheme="minorHAnsi"/>
        <w:color w:val="808080"/>
      </w:rPr>
      <w:t xml:space="preserve"> </w:t>
    </w:r>
    <w:r w:rsidR="00D843F2" w:rsidRPr="00195452">
      <w:rPr>
        <w:rFonts w:asciiTheme="minorHAnsi" w:hAnsiTheme="minorHAnsi"/>
        <w:color w:val="808080"/>
      </w:rPr>
      <w:t>PBAC Meeting</w:t>
    </w:r>
  </w:p>
  <w:p w14:paraId="03AF943B" w14:textId="77777777" w:rsidR="00D843F2" w:rsidRPr="008C7ECB" w:rsidRDefault="00D843F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F7B6E" w14:textId="466A1CBA" w:rsidR="003367FF" w:rsidRDefault="00DB3D32">
    <w:pPr>
      <w:pStyle w:val="Header"/>
    </w:pPr>
    <w:r>
      <w:rPr>
        <w:noProof/>
      </w:rPr>
      <mc:AlternateContent>
        <mc:Choice Requires="wps">
          <w:drawing>
            <wp:anchor distT="0" distB="0" distL="0" distR="0" simplePos="0" relativeHeight="251658240" behindDoc="0" locked="0" layoutInCell="1" allowOverlap="1" wp14:anchorId="6FDCE7E1" wp14:editId="57536CE7">
              <wp:simplePos x="635" y="635"/>
              <wp:positionH relativeFrom="page">
                <wp:align>center</wp:align>
              </wp:positionH>
              <wp:positionV relativeFrom="page">
                <wp:align>top</wp:align>
              </wp:positionV>
              <wp:extent cx="551815" cy="376555"/>
              <wp:effectExtent l="0" t="0" r="635" b="4445"/>
              <wp:wrapNone/>
              <wp:docPr id="187183491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71BF537" w14:textId="569B057D" w:rsidR="00DB3D32" w:rsidRPr="00DB3D32" w:rsidRDefault="00DB3D32" w:rsidP="00DB3D32">
                          <w:pPr>
                            <w:rPr>
                              <w:rFonts w:eastAsia="Calibri" w:cs="Calibri"/>
                              <w:noProof/>
                              <w:color w:val="FF0000"/>
                            </w:rPr>
                          </w:pPr>
                          <w:r w:rsidRPr="00DB3D32">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DCE7E1" id="_x0000_t202" coordsize="21600,21600" o:spt="202" path="m,l,21600r21600,l21600,xe">
              <v:stroke joinstyle="miter"/>
              <v:path gradientshapeok="t" o:connecttype="rect"/>
            </v:shapetype>
            <v:shape id="Text Box 1" o:spid="_x0000_s1030" type="#_x0000_t202" alt="OFFICIAL" style="position:absolute;left:0;text-align:left;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071BF537" w14:textId="569B057D" w:rsidR="00DB3D32" w:rsidRPr="00DB3D32" w:rsidRDefault="00DB3D32" w:rsidP="00DB3D32">
                    <w:pPr>
                      <w:rPr>
                        <w:rFonts w:eastAsia="Calibri" w:cs="Calibri"/>
                        <w:noProof/>
                        <w:color w:val="FF0000"/>
                      </w:rPr>
                    </w:pPr>
                    <w:r w:rsidRPr="00DB3D32">
                      <w:rPr>
                        <w:rFonts w:eastAsia="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44277F4"/>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F73EC6F2"/>
    <w:lvl w:ilvl="0">
      <w:start w:val="1"/>
      <w:numFmt w:val="bullet"/>
      <w:pStyle w:val="COMbodybulletlist"/>
      <w:lvlText w:val=""/>
      <w:lvlJc w:val="left"/>
      <w:pPr>
        <w:tabs>
          <w:tab w:val="num" w:pos="360"/>
        </w:tabs>
        <w:ind w:left="360" w:hanging="360"/>
      </w:pPr>
      <w:rPr>
        <w:rFonts w:ascii="Symbol" w:hAnsi="Symbol" w:hint="default"/>
      </w:rPr>
    </w:lvl>
  </w:abstractNum>
  <w:abstractNum w:abstractNumId="2" w15:restartNumberingAfterBreak="0">
    <w:nsid w:val="001E358E"/>
    <w:multiLevelType w:val="hybridMultilevel"/>
    <w:tmpl w:val="6916F34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2122860"/>
    <w:multiLevelType w:val="hybridMultilevel"/>
    <w:tmpl w:val="54F6F2B6"/>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5" w15:restartNumberingAfterBreak="0">
    <w:nsid w:val="04F26268"/>
    <w:multiLevelType w:val="hybridMultilevel"/>
    <w:tmpl w:val="D7881410"/>
    <w:lvl w:ilvl="0" w:tplc="ED78C1F4">
      <w:start w:val="1"/>
      <w:numFmt w:val="bullet"/>
      <w:lvlText w:val=""/>
      <w:lvlJc w:val="left"/>
      <w:pPr>
        <w:ind w:left="720" w:hanging="360"/>
      </w:pPr>
      <w:rPr>
        <w:rFonts w:ascii="Symbol" w:hAnsi="Symbol"/>
      </w:rPr>
    </w:lvl>
    <w:lvl w:ilvl="1" w:tplc="5CD0EFDC">
      <w:start w:val="1"/>
      <w:numFmt w:val="bullet"/>
      <w:lvlText w:val=""/>
      <w:lvlJc w:val="left"/>
      <w:pPr>
        <w:ind w:left="720" w:hanging="360"/>
      </w:pPr>
      <w:rPr>
        <w:rFonts w:ascii="Symbol" w:hAnsi="Symbol"/>
      </w:rPr>
    </w:lvl>
    <w:lvl w:ilvl="2" w:tplc="54F6CAB8">
      <w:start w:val="1"/>
      <w:numFmt w:val="bullet"/>
      <w:lvlText w:val=""/>
      <w:lvlJc w:val="left"/>
      <w:pPr>
        <w:ind w:left="720" w:hanging="360"/>
      </w:pPr>
      <w:rPr>
        <w:rFonts w:ascii="Symbol" w:hAnsi="Symbol"/>
      </w:rPr>
    </w:lvl>
    <w:lvl w:ilvl="3" w:tplc="8098E93E">
      <w:start w:val="1"/>
      <w:numFmt w:val="bullet"/>
      <w:lvlText w:val=""/>
      <w:lvlJc w:val="left"/>
      <w:pPr>
        <w:ind w:left="720" w:hanging="360"/>
      </w:pPr>
      <w:rPr>
        <w:rFonts w:ascii="Symbol" w:hAnsi="Symbol"/>
      </w:rPr>
    </w:lvl>
    <w:lvl w:ilvl="4" w:tplc="704C9902">
      <w:start w:val="1"/>
      <w:numFmt w:val="bullet"/>
      <w:lvlText w:val=""/>
      <w:lvlJc w:val="left"/>
      <w:pPr>
        <w:ind w:left="720" w:hanging="360"/>
      </w:pPr>
      <w:rPr>
        <w:rFonts w:ascii="Symbol" w:hAnsi="Symbol"/>
      </w:rPr>
    </w:lvl>
    <w:lvl w:ilvl="5" w:tplc="82904656">
      <w:start w:val="1"/>
      <w:numFmt w:val="bullet"/>
      <w:lvlText w:val=""/>
      <w:lvlJc w:val="left"/>
      <w:pPr>
        <w:ind w:left="720" w:hanging="360"/>
      </w:pPr>
      <w:rPr>
        <w:rFonts w:ascii="Symbol" w:hAnsi="Symbol"/>
      </w:rPr>
    </w:lvl>
    <w:lvl w:ilvl="6" w:tplc="BD90F56A">
      <w:start w:val="1"/>
      <w:numFmt w:val="bullet"/>
      <w:lvlText w:val=""/>
      <w:lvlJc w:val="left"/>
      <w:pPr>
        <w:ind w:left="720" w:hanging="360"/>
      </w:pPr>
      <w:rPr>
        <w:rFonts w:ascii="Symbol" w:hAnsi="Symbol"/>
      </w:rPr>
    </w:lvl>
    <w:lvl w:ilvl="7" w:tplc="7248BB44">
      <w:start w:val="1"/>
      <w:numFmt w:val="bullet"/>
      <w:lvlText w:val=""/>
      <w:lvlJc w:val="left"/>
      <w:pPr>
        <w:ind w:left="720" w:hanging="360"/>
      </w:pPr>
      <w:rPr>
        <w:rFonts w:ascii="Symbol" w:hAnsi="Symbol"/>
      </w:rPr>
    </w:lvl>
    <w:lvl w:ilvl="8" w:tplc="BED8DFF4">
      <w:start w:val="1"/>
      <w:numFmt w:val="bullet"/>
      <w:lvlText w:val=""/>
      <w:lvlJc w:val="left"/>
      <w:pPr>
        <w:ind w:left="720" w:hanging="360"/>
      </w:pPr>
      <w:rPr>
        <w:rFonts w:ascii="Symbol" w:hAnsi="Symbol"/>
      </w:rPr>
    </w:lvl>
  </w:abstractNum>
  <w:abstractNum w:abstractNumId="6" w15:restartNumberingAfterBreak="0">
    <w:nsid w:val="09292B5D"/>
    <w:multiLevelType w:val="hybridMultilevel"/>
    <w:tmpl w:val="9A88BF02"/>
    <w:lvl w:ilvl="0" w:tplc="337688B0">
      <w:numFmt w:val="bullet"/>
      <w:lvlText w:val="-"/>
      <w:lvlJc w:val="left"/>
      <w:pPr>
        <w:ind w:left="720" w:hanging="360"/>
      </w:pPr>
      <w:rPr>
        <w:rFonts w:ascii="Arial Narrow" w:eastAsiaTheme="majorEastAsia" w:hAnsi="Arial Narrow" w:cstheme="majorBidi"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F06E74"/>
    <w:multiLevelType w:val="hybridMultilevel"/>
    <w:tmpl w:val="32BE164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1FB219F8"/>
    <w:multiLevelType w:val="hybridMultilevel"/>
    <w:tmpl w:val="6AA268C6"/>
    <w:lvl w:ilvl="0" w:tplc="CBD8965C">
      <w:start w:val="1"/>
      <w:numFmt w:val="bullet"/>
      <w:pStyle w:val="COMexecsummmainissuesbullets"/>
      <w:lvlText w:val=""/>
      <w:lvlJc w:val="left"/>
      <w:pPr>
        <w:ind w:left="369" w:hanging="360"/>
      </w:pPr>
      <w:rPr>
        <w:rFonts w:ascii="Symbol" w:hAnsi="Symbol" w:hint="default"/>
        <w:color w:val="auto"/>
      </w:rPr>
    </w:lvl>
    <w:lvl w:ilvl="1" w:tplc="0C090003">
      <w:start w:val="1"/>
      <w:numFmt w:val="bullet"/>
      <w:lvlText w:val="o"/>
      <w:lvlJc w:val="left"/>
      <w:pPr>
        <w:ind w:left="1089" w:hanging="360"/>
      </w:pPr>
      <w:rPr>
        <w:rFonts w:ascii="Courier New" w:hAnsi="Courier New" w:cs="Courier New" w:hint="default"/>
      </w:rPr>
    </w:lvl>
    <w:lvl w:ilvl="2" w:tplc="0C090005" w:tentative="1">
      <w:start w:val="1"/>
      <w:numFmt w:val="bullet"/>
      <w:lvlText w:val=""/>
      <w:lvlJc w:val="left"/>
      <w:pPr>
        <w:ind w:left="1809" w:hanging="360"/>
      </w:pPr>
      <w:rPr>
        <w:rFonts w:ascii="Wingdings" w:hAnsi="Wingdings" w:hint="default"/>
      </w:rPr>
    </w:lvl>
    <w:lvl w:ilvl="3" w:tplc="0C090001" w:tentative="1">
      <w:start w:val="1"/>
      <w:numFmt w:val="bullet"/>
      <w:lvlText w:val=""/>
      <w:lvlJc w:val="left"/>
      <w:pPr>
        <w:ind w:left="2529" w:hanging="360"/>
      </w:pPr>
      <w:rPr>
        <w:rFonts w:ascii="Symbol" w:hAnsi="Symbol" w:hint="default"/>
      </w:rPr>
    </w:lvl>
    <w:lvl w:ilvl="4" w:tplc="0C090003" w:tentative="1">
      <w:start w:val="1"/>
      <w:numFmt w:val="bullet"/>
      <w:lvlText w:val="o"/>
      <w:lvlJc w:val="left"/>
      <w:pPr>
        <w:ind w:left="3249" w:hanging="360"/>
      </w:pPr>
      <w:rPr>
        <w:rFonts w:ascii="Courier New" w:hAnsi="Courier New" w:cs="Courier New" w:hint="default"/>
      </w:rPr>
    </w:lvl>
    <w:lvl w:ilvl="5" w:tplc="0C090005" w:tentative="1">
      <w:start w:val="1"/>
      <w:numFmt w:val="bullet"/>
      <w:lvlText w:val=""/>
      <w:lvlJc w:val="left"/>
      <w:pPr>
        <w:ind w:left="3969" w:hanging="360"/>
      </w:pPr>
      <w:rPr>
        <w:rFonts w:ascii="Wingdings" w:hAnsi="Wingdings" w:hint="default"/>
      </w:rPr>
    </w:lvl>
    <w:lvl w:ilvl="6" w:tplc="0C090001" w:tentative="1">
      <w:start w:val="1"/>
      <w:numFmt w:val="bullet"/>
      <w:lvlText w:val=""/>
      <w:lvlJc w:val="left"/>
      <w:pPr>
        <w:ind w:left="4689" w:hanging="360"/>
      </w:pPr>
      <w:rPr>
        <w:rFonts w:ascii="Symbol" w:hAnsi="Symbol" w:hint="default"/>
      </w:rPr>
    </w:lvl>
    <w:lvl w:ilvl="7" w:tplc="0C090003" w:tentative="1">
      <w:start w:val="1"/>
      <w:numFmt w:val="bullet"/>
      <w:lvlText w:val="o"/>
      <w:lvlJc w:val="left"/>
      <w:pPr>
        <w:ind w:left="5409" w:hanging="360"/>
      </w:pPr>
      <w:rPr>
        <w:rFonts w:ascii="Courier New" w:hAnsi="Courier New" w:cs="Courier New" w:hint="default"/>
      </w:rPr>
    </w:lvl>
    <w:lvl w:ilvl="8" w:tplc="0C090005" w:tentative="1">
      <w:start w:val="1"/>
      <w:numFmt w:val="bullet"/>
      <w:lvlText w:val=""/>
      <w:lvlJc w:val="left"/>
      <w:pPr>
        <w:ind w:left="6129" w:hanging="360"/>
      </w:pPr>
      <w:rPr>
        <w:rFonts w:ascii="Wingdings" w:hAnsi="Wingdings" w:hint="default"/>
      </w:rPr>
    </w:lvl>
  </w:abstractNum>
  <w:abstractNum w:abstractNumId="10"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3FE6F2C"/>
    <w:multiLevelType w:val="hybridMultilevel"/>
    <w:tmpl w:val="ED36B782"/>
    <w:lvl w:ilvl="0" w:tplc="878A1B70">
      <w:numFmt w:val="bullet"/>
      <w:lvlText w:val="-"/>
      <w:lvlJc w:val="left"/>
      <w:pPr>
        <w:ind w:left="3053" w:hanging="360"/>
      </w:pPr>
      <w:rPr>
        <w:rFonts w:ascii="Calibri Light" w:eastAsia="Calibri" w:hAnsi="Calibri Light" w:cs="Calibri Light"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9F421BB"/>
    <w:multiLevelType w:val="hybridMultilevel"/>
    <w:tmpl w:val="78D858D2"/>
    <w:lvl w:ilvl="0" w:tplc="EC566554">
      <w:start w:val="1"/>
      <w:numFmt w:val="bullet"/>
      <w:lvlText w:val=""/>
      <w:lvlJc w:val="left"/>
      <w:pPr>
        <w:ind w:left="720" w:hanging="360"/>
      </w:pPr>
      <w:rPr>
        <w:rFonts w:ascii="Symbol" w:hAnsi="Symbol"/>
      </w:rPr>
    </w:lvl>
    <w:lvl w:ilvl="1" w:tplc="A6DE2618">
      <w:start w:val="1"/>
      <w:numFmt w:val="bullet"/>
      <w:lvlText w:val=""/>
      <w:lvlJc w:val="left"/>
      <w:pPr>
        <w:ind w:left="720" w:hanging="360"/>
      </w:pPr>
      <w:rPr>
        <w:rFonts w:ascii="Symbol" w:hAnsi="Symbol"/>
      </w:rPr>
    </w:lvl>
    <w:lvl w:ilvl="2" w:tplc="D6F29700">
      <w:start w:val="1"/>
      <w:numFmt w:val="bullet"/>
      <w:lvlText w:val=""/>
      <w:lvlJc w:val="left"/>
      <w:pPr>
        <w:ind w:left="720" w:hanging="360"/>
      </w:pPr>
      <w:rPr>
        <w:rFonts w:ascii="Symbol" w:hAnsi="Symbol"/>
      </w:rPr>
    </w:lvl>
    <w:lvl w:ilvl="3" w:tplc="76700788">
      <w:start w:val="1"/>
      <w:numFmt w:val="bullet"/>
      <w:lvlText w:val=""/>
      <w:lvlJc w:val="left"/>
      <w:pPr>
        <w:ind w:left="720" w:hanging="360"/>
      </w:pPr>
      <w:rPr>
        <w:rFonts w:ascii="Symbol" w:hAnsi="Symbol"/>
      </w:rPr>
    </w:lvl>
    <w:lvl w:ilvl="4" w:tplc="5D46C8E4">
      <w:start w:val="1"/>
      <w:numFmt w:val="bullet"/>
      <w:lvlText w:val=""/>
      <w:lvlJc w:val="left"/>
      <w:pPr>
        <w:ind w:left="720" w:hanging="360"/>
      </w:pPr>
      <w:rPr>
        <w:rFonts w:ascii="Symbol" w:hAnsi="Symbol"/>
      </w:rPr>
    </w:lvl>
    <w:lvl w:ilvl="5" w:tplc="8BFA8508">
      <w:start w:val="1"/>
      <w:numFmt w:val="bullet"/>
      <w:lvlText w:val=""/>
      <w:lvlJc w:val="left"/>
      <w:pPr>
        <w:ind w:left="720" w:hanging="360"/>
      </w:pPr>
      <w:rPr>
        <w:rFonts w:ascii="Symbol" w:hAnsi="Symbol"/>
      </w:rPr>
    </w:lvl>
    <w:lvl w:ilvl="6" w:tplc="1AE2C7DE">
      <w:start w:val="1"/>
      <w:numFmt w:val="bullet"/>
      <w:lvlText w:val=""/>
      <w:lvlJc w:val="left"/>
      <w:pPr>
        <w:ind w:left="720" w:hanging="360"/>
      </w:pPr>
      <w:rPr>
        <w:rFonts w:ascii="Symbol" w:hAnsi="Symbol"/>
      </w:rPr>
    </w:lvl>
    <w:lvl w:ilvl="7" w:tplc="15D284C8">
      <w:start w:val="1"/>
      <w:numFmt w:val="bullet"/>
      <w:lvlText w:val=""/>
      <w:lvlJc w:val="left"/>
      <w:pPr>
        <w:ind w:left="720" w:hanging="360"/>
      </w:pPr>
      <w:rPr>
        <w:rFonts w:ascii="Symbol" w:hAnsi="Symbol"/>
      </w:rPr>
    </w:lvl>
    <w:lvl w:ilvl="8" w:tplc="575E1576">
      <w:start w:val="1"/>
      <w:numFmt w:val="bullet"/>
      <w:lvlText w:val=""/>
      <w:lvlJc w:val="left"/>
      <w:pPr>
        <w:ind w:left="720" w:hanging="360"/>
      </w:pPr>
      <w:rPr>
        <w:rFonts w:ascii="Symbol" w:hAnsi="Symbol"/>
      </w:rPr>
    </w:lvl>
  </w:abstractNum>
  <w:abstractNum w:abstractNumId="14"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D497646"/>
    <w:multiLevelType w:val="hybridMultilevel"/>
    <w:tmpl w:val="63145256"/>
    <w:lvl w:ilvl="0" w:tplc="218664B0">
      <w:start w:val="1"/>
      <w:numFmt w:val="bullet"/>
      <w:lvlText w:val=""/>
      <w:lvlJc w:val="left"/>
      <w:pPr>
        <w:ind w:left="720" w:hanging="360"/>
      </w:pPr>
      <w:rPr>
        <w:rFonts w:ascii="Symbol" w:hAnsi="Symbol"/>
      </w:rPr>
    </w:lvl>
    <w:lvl w:ilvl="1" w:tplc="2E60A6A6">
      <w:start w:val="1"/>
      <w:numFmt w:val="bullet"/>
      <w:lvlText w:val=""/>
      <w:lvlJc w:val="left"/>
      <w:pPr>
        <w:ind w:left="720" w:hanging="360"/>
      </w:pPr>
      <w:rPr>
        <w:rFonts w:ascii="Symbol" w:hAnsi="Symbol"/>
      </w:rPr>
    </w:lvl>
    <w:lvl w:ilvl="2" w:tplc="C31CA7D4">
      <w:start w:val="1"/>
      <w:numFmt w:val="bullet"/>
      <w:lvlText w:val=""/>
      <w:lvlJc w:val="left"/>
      <w:pPr>
        <w:ind w:left="720" w:hanging="360"/>
      </w:pPr>
      <w:rPr>
        <w:rFonts w:ascii="Symbol" w:hAnsi="Symbol"/>
      </w:rPr>
    </w:lvl>
    <w:lvl w:ilvl="3" w:tplc="0F42D9F6">
      <w:start w:val="1"/>
      <w:numFmt w:val="bullet"/>
      <w:lvlText w:val=""/>
      <w:lvlJc w:val="left"/>
      <w:pPr>
        <w:ind w:left="720" w:hanging="360"/>
      </w:pPr>
      <w:rPr>
        <w:rFonts w:ascii="Symbol" w:hAnsi="Symbol"/>
      </w:rPr>
    </w:lvl>
    <w:lvl w:ilvl="4" w:tplc="73944E6E">
      <w:start w:val="1"/>
      <w:numFmt w:val="bullet"/>
      <w:lvlText w:val=""/>
      <w:lvlJc w:val="left"/>
      <w:pPr>
        <w:ind w:left="720" w:hanging="360"/>
      </w:pPr>
      <w:rPr>
        <w:rFonts w:ascii="Symbol" w:hAnsi="Symbol"/>
      </w:rPr>
    </w:lvl>
    <w:lvl w:ilvl="5" w:tplc="4A7CCAE8">
      <w:start w:val="1"/>
      <w:numFmt w:val="bullet"/>
      <w:lvlText w:val=""/>
      <w:lvlJc w:val="left"/>
      <w:pPr>
        <w:ind w:left="720" w:hanging="360"/>
      </w:pPr>
      <w:rPr>
        <w:rFonts w:ascii="Symbol" w:hAnsi="Symbol"/>
      </w:rPr>
    </w:lvl>
    <w:lvl w:ilvl="6" w:tplc="B5144706">
      <w:start w:val="1"/>
      <w:numFmt w:val="bullet"/>
      <w:lvlText w:val=""/>
      <w:lvlJc w:val="left"/>
      <w:pPr>
        <w:ind w:left="720" w:hanging="360"/>
      </w:pPr>
      <w:rPr>
        <w:rFonts w:ascii="Symbol" w:hAnsi="Symbol"/>
      </w:rPr>
    </w:lvl>
    <w:lvl w:ilvl="7" w:tplc="300ED634">
      <w:start w:val="1"/>
      <w:numFmt w:val="bullet"/>
      <w:lvlText w:val=""/>
      <w:lvlJc w:val="left"/>
      <w:pPr>
        <w:ind w:left="720" w:hanging="360"/>
      </w:pPr>
      <w:rPr>
        <w:rFonts w:ascii="Symbol" w:hAnsi="Symbol"/>
      </w:rPr>
    </w:lvl>
    <w:lvl w:ilvl="8" w:tplc="37B8DFEE">
      <w:start w:val="1"/>
      <w:numFmt w:val="bullet"/>
      <w:lvlText w:val=""/>
      <w:lvlJc w:val="left"/>
      <w:pPr>
        <w:ind w:left="720" w:hanging="360"/>
      </w:pPr>
      <w:rPr>
        <w:rFonts w:ascii="Symbol" w:hAnsi="Symbol"/>
      </w:rPr>
    </w:lvl>
  </w:abstractNum>
  <w:abstractNum w:abstractNumId="16" w15:restartNumberingAfterBreak="0">
    <w:nsid w:val="32DD174A"/>
    <w:multiLevelType w:val="hybridMultilevel"/>
    <w:tmpl w:val="4AC6FF7A"/>
    <w:lvl w:ilvl="0" w:tplc="7B2A8FEA">
      <w:start w:val="1"/>
      <w:numFmt w:val="bullet"/>
      <w:lvlText w:val=""/>
      <w:lvlJc w:val="left"/>
      <w:pPr>
        <w:ind w:left="720" w:hanging="360"/>
      </w:pPr>
      <w:rPr>
        <w:rFonts w:ascii="Symbol" w:hAnsi="Symbol"/>
      </w:rPr>
    </w:lvl>
    <w:lvl w:ilvl="1" w:tplc="A02414DA">
      <w:start w:val="1"/>
      <w:numFmt w:val="bullet"/>
      <w:lvlText w:val=""/>
      <w:lvlJc w:val="left"/>
      <w:pPr>
        <w:ind w:left="720" w:hanging="360"/>
      </w:pPr>
      <w:rPr>
        <w:rFonts w:ascii="Symbol" w:hAnsi="Symbol"/>
      </w:rPr>
    </w:lvl>
    <w:lvl w:ilvl="2" w:tplc="3650F7F6">
      <w:start w:val="1"/>
      <w:numFmt w:val="bullet"/>
      <w:lvlText w:val=""/>
      <w:lvlJc w:val="left"/>
      <w:pPr>
        <w:ind w:left="720" w:hanging="360"/>
      </w:pPr>
      <w:rPr>
        <w:rFonts w:ascii="Symbol" w:hAnsi="Symbol"/>
      </w:rPr>
    </w:lvl>
    <w:lvl w:ilvl="3" w:tplc="39A85DDA">
      <w:start w:val="1"/>
      <w:numFmt w:val="bullet"/>
      <w:lvlText w:val=""/>
      <w:lvlJc w:val="left"/>
      <w:pPr>
        <w:ind w:left="720" w:hanging="360"/>
      </w:pPr>
      <w:rPr>
        <w:rFonts w:ascii="Symbol" w:hAnsi="Symbol"/>
      </w:rPr>
    </w:lvl>
    <w:lvl w:ilvl="4" w:tplc="F81AACC8">
      <w:start w:val="1"/>
      <w:numFmt w:val="bullet"/>
      <w:lvlText w:val=""/>
      <w:lvlJc w:val="left"/>
      <w:pPr>
        <w:ind w:left="720" w:hanging="360"/>
      </w:pPr>
      <w:rPr>
        <w:rFonts w:ascii="Symbol" w:hAnsi="Symbol"/>
      </w:rPr>
    </w:lvl>
    <w:lvl w:ilvl="5" w:tplc="E9E80E68">
      <w:start w:val="1"/>
      <w:numFmt w:val="bullet"/>
      <w:lvlText w:val=""/>
      <w:lvlJc w:val="left"/>
      <w:pPr>
        <w:ind w:left="720" w:hanging="360"/>
      </w:pPr>
      <w:rPr>
        <w:rFonts w:ascii="Symbol" w:hAnsi="Symbol"/>
      </w:rPr>
    </w:lvl>
    <w:lvl w:ilvl="6" w:tplc="1360B9E4">
      <w:start w:val="1"/>
      <w:numFmt w:val="bullet"/>
      <w:lvlText w:val=""/>
      <w:lvlJc w:val="left"/>
      <w:pPr>
        <w:ind w:left="720" w:hanging="360"/>
      </w:pPr>
      <w:rPr>
        <w:rFonts w:ascii="Symbol" w:hAnsi="Symbol"/>
      </w:rPr>
    </w:lvl>
    <w:lvl w:ilvl="7" w:tplc="12F45A1C">
      <w:start w:val="1"/>
      <w:numFmt w:val="bullet"/>
      <w:lvlText w:val=""/>
      <w:lvlJc w:val="left"/>
      <w:pPr>
        <w:ind w:left="720" w:hanging="360"/>
      </w:pPr>
      <w:rPr>
        <w:rFonts w:ascii="Symbol" w:hAnsi="Symbol"/>
      </w:rPr>
    </w:lvl>
    <w:lvl w:ilvl="8" w:tplc="446438AA">
      <w:start w:val="1"/>
      <w:numFmt w:val="bullet"/>
      <w:lvlText w:val=""/>
      <w:lvlJc w:val="left"/>
      <w:pPr>
        <w:ind w:left="720" w:hanging="360"/>
      </w:pPr>
      <w:rPr>
        <w:rFonts w:ascii="Symbol" w:hAnsi="Symbol"/>
      </w:rPr>
    </w:lvl>
  </w:abstractNum>
  <w:abstractNum w:abstractNumId="17" w15:restartNumberingAfterBreak="0">
    <w:nsid w:val="33AD38CB"/>
    <w:multiLevelType w:val="hybridMultilevel"/>
    <w:tmpl w:val="F5D0D970"/>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0265D5"/>
    <w:multiLevelType w:val="hybridMultilevel"/>
    <w:tmpl w:val="D5C6CB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FE4353"/>
    <w:multiLevelType w:val="hybridMultilevel"/>
    <w:tmpl w:val="170444A8"/>
    <w:lvl w:ilvl="0" w:tplc="399A3B2E">
      <w:numFmt w:val="bullet"/>
      <w:lvlText w:val="-"/>
      <w:lvlJc w:val="left"/>
      <w:pPr>
        <w:ind w:left="931" w:hanging="360"/>
      </w:pPr>
      <w:rPr>
        <w:rFonts w:ascii="Calibri" w:eastAsia="Calibri" w:hAnsi="Calibri" w:cs="Calibri" w:hint="default"/>
      </w:rPr>
    </w:lvl>
    <w:lvl w:ilvl="1" w:tplc="0C090003" w:tentative="1">
      <w:start w:val="1"/>
      <w:numFmt w:val="bullet"/>
      <w:lvlText w:val="o"/>
      <w:lvlJc w:val="left"/>
      <w:pPr>
        <w:ind w:left="1651" w:hanging="360"/>
      </w:pPr>
      <w:rPr>
        <w:rFonts w:ascii="Courier New" w:hAnsi="Courier New" w:cs="Courier New" w:hint="default"/>
      </w:rPr>
    </w:lvl>
    <w:lvl w:ilvl="2" w:tplc="0C090005" w:tentative="1">
      <w:start w:val="1"/>
      <w:numFmt w:val="bullet"/>
      <w:lvlText w:val=""/>
      <w:lvlJc w:val="left"/>
      <w:pPr>
        <w:ind w:left="2371" w:hanging="360"/>
      </w:pPr>
      <w:rPr>
        <w:rFonts w:ascii="Wingdings" w:hAnsi="Wingdings" w:hint="default"/>
      </w:rPr>
    </w:lvl>
    <w:lvl w:ilvl="3" w:tplc="0C090001" w:tentative="1">
      <w:start w:val="1"/>
      <w:numFmt w:val="bullet"/>
      <w:lvlText w:val=""/>
      <w:lvlJc w:val="left"/>
      <w:pPr>
        <w:ind w:left="3091" w:hanging="360"/>
      </w:pPr>
      <w:rPr>
        <w:rFonts w:ascii="Symbol" w:hAnsi="Symbol" w:hint="default"/>
      </w:rPr>
    </w:lvl>
    <w:lvl w:ilvl="4" w:tplc="0C090003" w:tentative="1">
      <w:start w:val="1"/>
      <w:numFmt w:val="bullet"/>
      <w:lvlText w:val="o"/>
      <w:lvlJc w:val="left"/>
      <w:pPr>
        <w:ind w:left="3811" w:hanging="360"/>
      </w:pPr>
      <w:rPr>
        <w:rFonts w:ascii="Courier New" w:hAnsi="Courier New" w:cs="Courier New" w:hint="default"/>
      </w:rPr>
    </w:lvl>
    <w:lvl w:ilvl="5" w:tplc="0C090005" w:tentative="1">
      <w:start w:val="1"/>
      <w:numFmt w:val="bullet"/>
      <w:lvlText w:val=""/>
      <w:lvlJc w:val="left"/>
      <w:pPr>
        <w:ind w:left="4531" w:hanging="360"/>
      </w:pPr>
      <w:rPr>
        <w:rFonts w:ascii="Wingdings" w:hAnsi="Wingdings" w:hint="default"/>
      </w:rPr>
    </w:lvl>
    <w:lvl w:ilvl="6" w:tplc="0C090001" w:tentative="1">
      <w:start w:val="1"/>
      <w:numFmt w:val="bullet"/>
      <w:lvlText w:val=""/>
      <w:lvlJc w:val="left"/>
      <w:pPr>
        <w:ind w:left="5251" w:hanging="360"/>
      </w:pPr>
      <w:rPr>
        <w:rFonts w:ascii="Symbol" w:hAnsi="Symbol" w:hint="default"/>
      </w:rPr>
    </w:lvl>
    <w:lvl w:ilvl="7" w:tplc="0C090003" w:tentative="1">
      <w:start w:val="1"/>
      <w:numFmt w:val="bullet"/>
      <w:lvlText w:val="o"/>
      <w:lvlJc w:val="left"/>
      <w:pPr>
        <w:ind w:left="5971" w:hanging="360"/>
      </w:pPr>
      <w:rPr>
        <w:rFonts w:ascii="Courier New" w:hAnsi="Courier New" w:cs="Courier New" w:hint="default"/>
      </w:rPr>
    </w:lvl>
    <w:lvl w:ilvl="8" w:tplc="0C090005" w:tentative="1">
      <w:start w:val="1"/>
      <w:numFmt w:val="bullet"/>
      <w:lvlText w:val=""/>
      <w:lvlJc w:val="left"/>
      <w:pPr>
        <w:ind w:left="6691" w:hanging="360"/>
      </w:pPr>
      <w:rPr>
        <w:rFonts w:ascii="Wingdings" w:hAnsi="Wingdings" w:hint="default"/>
      </w:rPr>
    </w:lvl>
  </w:abstractNum>
  <w:abstractNum w:abstractNumId="20" w15:restartNumberingAfterBreak="0">
    <w:nsid w:val="38A41993"/>
    <w:multiLevelType w:val="hybridMultilevel"/>
    <w:tmpl w:val="60864AFC"/>
    <w:lvl w:ilvl="0" w:tplc="FFFFFFFF">
      <w:start w:val="1"/>
      <w:numFmt w:val="bullet"/>
      <w:lvlText w:val=""/>
      <w:lvlJc w:val="left"/>
      <w:pPr>
        <w:ind w:left="720" w:hanging="360"/>
      </w:pPr>
      <w:rPr>
        <w:rFonts w:ascii="Symbol" w:hAnsi="Symbol" w:hint="default"/>
        <w:color w:val="auto"/>
      </w:rPr>
    </w:lvl>
    <w:lvl w:ilvl="1" w:tplc="399A3B2E">
      <w:numFmt w:val="bullet"/>
      <w:lvlText w:val="-"/>
      <w:lvlJc w:val="left"/>
      <w:pPr>
        <w:ind w:left="1440" w:hanging="360"/>
      </w:pPr>
      <w:rPr>
        <w:rFonts w:ascii="Calibri" w:eastAsia="Calibr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ECE13B0"/>
    <w:multiLevelType w:val="hybridMultilevel"/>
    <w:tmpl w:val="F3A8F48A"/>
    <w:lvl w:ilvl="0" w:tplc="ED14AB96">
      <w:start w:val="1"/>
      <w:numFmt w:val="bullet"/>
      <w:lvlText w:val=""/>
      <w:lvlJc w:val="left"/>
      <w:pPr>
        <w:ind w:left="720" w:hanging="360"/>
      </w:pPr>
      <w:rPr>
        <w:rFonts w:ascii="Symbol" w:hAnsi="Symbol"/>
      </w:rPr>
    </w:lvl>
    <w:lvl w:ilvl="1" w:tplc="2568583E">
      <w:start w:val="1"/>
      <w:numFmt w:val="bullet"/>
      <w:lvlText w:val=""/>
      <w:lvlJc w:val="left"/>
      <w:pPr>
        <w:ind w:left="720" w:hanging="360"/>
      </w:pPr>
      <w:rPr>
        <w:rFonts w:ascii="Symbol" w:hAnsi="Symbol"/>
      </w:rPr>
    </w:lvl>
    <w:lvl w:ilvl="2" w:tplc="9872C3AC">
      <w:start w:val="1"/>
      <w:numFmt w:val="bullet"/>
      <w:lvlText w:val=""/>
      <w:lvlJc w:val="left"/>
      <w:pPr>
        <w:ind w:left="720" w:hanging="360"/>
      </w:pPr>
      <w:rPr>
        <w:rFonts w:ascii="Symbol" w:hAnsi="Symbol"/>
      </w:rPr>
    </w:lvl>
    <w:lvl w:ilvl="3" w:tplc="554829E2">
      <w:start w:val="1"/>
      <w:numFmt w:val="bullet"/>
      <w:lvlText w:val=""/>
      <w:lvlJc w:val="left"/>
      <w:pPr>
        <w:ind w:left="720" w:hanging="360"/>
      </w:pPr>
      <w:rPr>
        <w:rFonts w:ascii="Symbol" w:hAnsi="Symbol"/>
      </w:rPr>
    </w:lvl>
    <w:lvl w:ilvl="4" w:tplc="447247D6">
      <w:start w:val="1"/>
      <w:numFmt w:val="bullet"/>
      <w:lvlText w:val=""/>
      <w:lvlJc w:val="left"/>
      <w:pPr>
        <w:ind w:left="720" w:hanging="360"/>
      </w:pPr>
      <w:rPr>
        <w:rFonts w:ascii="Symbol" w:hAnsi="Symbol"/>
      </w:rPr>
    </w:lvl>
    <w:lvl w:ilvl="5" w:tplc="59CEBE8A">
      <w:start w:val="1"/>
      <w:numFmt w:val="bullet"/>
      <w:lvlText w:val=""/>
      <w:lvlJc w:val="left"/>
      <w:pPr>
        <w:ind w:left="720" w:hanging="360"/>
      </w:pPr>
      <w:rPr>
        <w:rFonts w:ascii="Symbol" w:hAnsi="Symbol"/>
      </w:rPr>
    </w:lvl>
    <w:lvl w:ilvl="6" w:tplc="49AE1DE6">
      <w:start w:val="1"/>
      <w:numFmt w:val="bullet"/>
      <w:lvlText w:val=""/>
      <w:lvlJc w:val="left"/>
      <w:pPr>
        <w:ind w:left="720" w:hanging="360"/>
      </w:pPr>
      <w:rPr>
        <w:rFonts w:ascii="Symbol" w:hAnsi="Symbol"/>
      </w:rPr>
    </w:lvl>
    <w:lvl w:ilvl="7" w:tplc="76EC9E2A">
      <w:start w:val="1"/>
      <w:numFmt w:val="bullet"/>
      <w:lvlText w:val=""/>
      <w:lvlJc w:val="left"/>
      <w:pPr>
        <w:ind w:left="720" w:hanging="360"/>
      </w:pPr>
      <w:rPr>
        <w:rFonts w:ascii="Symbol" w:hAnsi="Symbol"/>
      </w:rPr>
    </w:lvl>
    <w:lvl w:ilvl="8" w:tplc="26E46954">
      <w:start w:val="1"/>
      <w:numFmt w:val="bullet"/>
      <w:lvlText w:val=""/>
      <w:lvlJc w:val="left"/>
      <w:pPr>
        <w:ind w:left="720" w:hanging="360"/>
      </w:pPr>
      <w:rPr>
        <w:rFonts w:ascii="Symbol" w:hAnsi="Symbol"/>
      </w:rPr>
    </w:lvl>
  </w:abstractNum>
  <w:abstractNum w:abstractNumId="22" w15:restartNumberingAfterBreak="0">
    <w:nsid w:val="42737F3F"/>
    <w:multiLevelType w:val="hybridMultilevel"/>
    <w:tmpl w:val="BD3C3A22"/>
    <w:lvl w:ilvl="0" w:tplc="7E7E49F6">
      <w:start w:val="1"/>
      <w:numFmt w:val="bullet"/>
      <w:lvlText w:val=""/>
      <w:lvlJc w:val="left"/>
      <w:pPr>
        <w:ind w:left="720" w:hanging="360"/>
      </w:pPr>
      <w:rPr>
        <w:rFonts w:ascii="Symbol" w:hAnsi="Symbol"/>
      </w:rPr>
    </w:lvl>
    <w:lvl w:ilvl="1" w:tplc="DA021434">
      <w:start w:val="1"/>
      <w:numFmt w:val="bullet"/>
      <w:lvlText w:val=""/>
      <w:lvlJc w:val="left"/>
      <w:pPr>
        <w:ind w:left="720" w:hanging="360"/>
      </w:pPr>
      <w:rPr>
        <w:rFonts w:ascii="Symbol" w:hAnsi="Symbol"/>
      </w:rPr>
    </w:lvl>
    <w:lvl w:ilvl="2" w:tplc="8F38D994">
      <w:start w:val="1"/>
      <w:numFmt w:val="bullet"/>
      <w:lvlText w:val=""/>
      <w:lvlJc w:val="left"/>
      <w:pPr>
        <w:ind w:left="720" w:hanging="360"/>
      </w:pPr>
      <w:rPr>
        <w:rFonts w:ascii="Symbol" w:hAnsi="Symbol"/>
      </w:rPr>
    </w:lvl>
    <w:lvl w:ilvl="3" w:tplc="BCB610EA">
      <w:start w:val="1"/>
      <w:numFmt w:val="bullet"/>
      <w:lvlText w:val=""/>
      <w:lvlJc w:val="left"/>
      <w:pPr>
        <w:ind w:left="720" w:hanging="360"/>
      </w:pPr>
      <w:rPr>
        <w:rFonts w:ascii="Symbol" w:hAnsi="Symbol"/>
      </w:rPr>
    </w:lvl>
    <w:lvl w:ilvl="4" w:tplc="307EA6F8">
      <w:start w:val="1"/>
      <w:numFmt w:val="bullet"/>
      <w:lvlText w:val=""/>
      <w:lvlJc w:val="left"/>
      <w:pPr>
        <w:ind w:left="720" w:hanging="360"/>
      </w:pPr>
      <w:rPr>
        <w:rFonts w:ascii="Symbol" w:hAnsi="Symbol"/>
      </w:rPr>
    </w:lvl>
    <w:lvl w:ilvl="5" w:tplc="23889C22">
      <w:start w:val="1"/>
      <w:numFmt w:val="bullet"/>
      <w:lvlText w:val=""/>
      <w:lvlJc w:val="left"/>
      <w:pPr>
        <w:ind w:left="720" w:hanging="360"/>
      </w:pPr>
      <w:rPr>
        <w:rFonts w:ascii="Symbol" w:hAnsi="Symbol"/>
      </w:rPr>
    </w:lvl>
    <w:lvl w:ilvl="6" w:tplc="5BB832E0">
      <w:start w:val="1"/>
      <w:numFmt w:val="bullet"/>
      <w:lvlText w:val=""/>
      <w:lvlJc w:val="left"/>
      <w:pPr>
        <w:ind w:left="720" w:hanging="360"/>
      </w:pPr>
      <w:rPr>
        <w:rFonts w:ascii="Symbol" w:hAnsi="Symbol"/>
      </w:rPr>
    </w:lvl>
    <w:lvl w:ilvl="7" w:tplc="2EE6802A">
      <w:start w:val="1"/>
      <w:numFmt w:val="bullet"/>
      <w:lvlText w:val=""/>
      <w:lvlJc w:val="left"/>
      <w:pPr>
        <w:ind w:left="720" w:hanging="360"/>
      </w:pPr>
      <w:rPr>
        <w:rFonts w:ascii="Symbol" w:hAnsi="Symbol"/>
      </w:rPr>
    </w:lvl>
    <w:lvl w:ilvl="8" w:tplc="405EC8BC">
      <w:start w:val="1"/>
      <w:numFmt w:val="bullet"/>
      <w:lvlText w:val=""/>
      <w:lvlJc w:val="left"/>
      <w:pPr>
        <w:ind w:left="720" w:hanging="360"/>
      </w:pPr>
      <w:rPr>
        <w:rFonts w:ascii="Symbol" w:hAnsi="Symbol"/>
      </w:rPr>
    </w:lvl>
  </w:abstractNum>
  <w:abstractNum w:abstractNumId="23"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8D67A6"/>
    <w:multiLevelType w:val="hybridMultilevel"/>
    <w:tmpl w:val="B6CC420C"/>
    <w:lvl w:ilvl="0" w:tplc="8708BECA">
      <w:start w:val="1"/>
      <w:numFmt w:val="bullet"/>
      <w:pStyle w:val="COMexecsummbulletlist"/>
      <w:lvlText w:val=""/>
      <w:lvlJc w:val="left"/>
      <w:pPr>
        <w:ind w:left="720" w:hanging="360"/>
      </w:pPr>
      <w:rPr>
        <w:rFonts w:ascii="Symbol" w:hAnsi="Symbol" w:hint="default"/>
      </w:rPr>
    </w:lvl>
    <w:lvl w:ilvl="1" w:tplc="9AD8E340">
      <w:start w:val="1"/>
      <w:numFmt w:val="bullet"/>
      <w:lvlText w:val="-"/>
      <w:lvlJc w:val="left"/>
      <w:pPr>
        <w:ind w:left="1440" w:hanging="360"/>
      </w:pPr>
      <w:rPr>
        <w:rFonts w:ascii="Arial Narrow" w:eastAsiaTheme="majorEastAsia" w:hAnsi="Arial Narrow" w:cstheme="maj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A926F7"/>
    <w:multiLevelType w:val="hybridMultilevel"/>
    <w:tmpl w:val="06F893B2"/>
    <w:lvl w:ilvl="0" w:tplc="BD2A7A3A">
      <w:start w:val="1"/>
      <w:numFmt w:val="bullet"/>
      <w:lvlText w:val=""/>
      <w:lvlJc w:val="left"/>
      <w:pPr>
        <w:ind w:left="720" w:hanging="360"/>
      </w:pPr>
      <w:rPr>
        <w:rFonts w:ascii="Symbol" w:hAnsi="Symbol"/>
      </w:rPr>
    </w:lvl>
    <w:lvl w:ilvl="1" w:tplc="A3C091FC">
      <w:start w:val="1"/>
      <w:numFmt w:val="bullet"/>
      <w:lvlText w:val=""/>
      <w:lvlJc w:val="left"/>
      <w:pPr>
        <w:ind w:left="720" w:hanging="360"/>
      </w:pPr>
      <w:rPr>
        <w:rFonts w:ascii="Symbol" w:hAnsi="Symbol"/>
      </w:rPr>
    </w:lvl>
    <w:lvl w:ilvl="2" w:tplc="157A366A">
      <w:start w:val="1"/>
      <w:numFmt w:val="bullet"/>
      <w:lvlText w:val=""/>
      <w:lvlJc w:val="left"/>
      <w:pPr>
        <w:ind w:left="720" w:hanging="360"/>
      </w:pPr>
      <w:rPr>
        <w:rFonts w:ascii="Symbol" w:hAnsi="Symbol"/>
      </w:rPr>
    </w:lvl>
    <w:lvl w:ilvl="3" w:tplc="F9CE198C">
      <w:start w:val="1"/>
      <w:numFmt w:val="bullet"/>
      <w:lvlText w:val=""/>
      <w:lvlJc w:val="left"/>
      <w:pPr>
        <w:ind w:left="720" w:hanging="360"/>
      </w:pPr>
      <w:rPr>
        <w:rFonts w:ascii="Symbol" w:hAnsi="Symbol"/>
      </w:rPr>
    </w:lvl>
    <w:lvl w:ilvl="4" w:tplc="73BA0030">
      <w:start w:val="1"/>
      <w:numFmt w:val="bullet"/>
      <w:lvlText w:val=""/>
      <w:lvlJc w:val="left"/>
      <w:pPr>
        <w:ind w:left="720" w:hanging="360"/>
      </w:pPr>
      <w:rPr>
        <w:rFonts w:ascii="Symbol" w:hAnsi="Symbol"/>
      </w:rPr>
    </w:lvl>
    <w:lvl w:ilvl="5" w:tplc="AF22418A">
      <w:start w:val="1"/>
      <w:numFmt w:val="bullet"/>
      <w:lvlText w:val=""/>
      <w:lvlJc w:val="left"/>
      <w:pPr>
        <w:ind w:left="720" w:hanging="360"/>
      </w:pPr>
      <w:rPr>
        <w:rFonts w:ascii="Symbol" w:hAnsi="Symbol"/>
      </w:rPr>
    </w:lvl>
    <w:lvl w:ilvl="6" w:tplc="DBC6BCD2">
      <w:start w:val="1"/>
      <w:numFmt w:val="bullet"/>
      <w:lvlText w:val=""/>
      <w:lvlJc w:val="left"/>
      <w:pPr>
        <w:ind w:left="720" w:hanging="360"/>
      </w:pPr>
      <w:rPr>
        <w:rFonts w:ascii="Symbol" w:hAnsi="Symbol"/>
      </w:rPr>
    </w:lvl>
    <w:lvl w:ilvl="7" w:tplc="4EA22FF2">
      <w:start w:val="1"/>
      <w:numFmt w:val="bullet"/>
      <w:lvlText w:val=""/>
      <w:lvlJc w:val="left"/>
      <w:pPr>
        <w:ind w:left="720" w:hanging="360"/>
      </w:pPr>
      <w:rPr>
        <w:rFonts w:ascii="Symbol" w:hAnsi="Symbol"/>
      </w:rPr>
    </w:lvl>
    <w:lvl w:ilvl="8" w:tplc="BC128D66">
      <w:start w:val="1"/>
      <w:numFmt w:val="bullet"/>
      <w:lvlText w:val=""/>
      <w:lvlJc w:val="left"/>
      <w:pPr>
        <w:ind w:left="720" w:hanging="360"/>
      </w:pPr>
      <w:rPr>
        <w:rFonts w:ascii="Symbol" w:hAnsi="Symbol"/>
      </w:rPr>
    </w:lvl>
  </w:abstractNum>
  <w:abstractNum w:abstractNumId="26" w15:restartNumberingAfterBreak="0">
    <w:nsid w:val="46B832EB"/>
    <w:multiLevelType w:val="hybridMultilevel"/>
    <w:tmpl w:val="3C700A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2B7EF1"/>
    <w:multiLevelType w:val="hybridMultilevel"/>
    <w:tmpl w:val="4F666876"/>
    <w:lvl w:ilvl="0" w:tplc="E244CF14">
      <w:start w:val="1"/>
      <w:numFmt w:val="bullet"/>
      <w:lvlText w:val=""/>
      <w:lvlJc w:val="left"/>
      <w:pPr>
        <w:ind w:left="720" w:hanging="360"/>
      </w:pPr>
      <w:rPr>
        <w:rFonts w:ascii="Symbol" w:hAnsi="Symbol"/>
      </w:rPr>
    </w:lvl>
    <w:lvl w:ilvl="1" w:tplc="ED9C2BF4">
      <w:start w:val="1"/>
      <w:numFmt w:val="bullet"/>
      <w:lvlText w:val=""/>
      <w:lvlJc w:val="left"/>
      <w:pPr>
        <w:ind w:left="720" w:hanging="360"/>
      </w:pPr>
      <w:rPr>
        <w:rFonts w:ascii="Symbol" w:hAnsi="Symbol"/>
      </w:rPr>
    </w:lvl>
    <w:lvl w:ilvl="2" w:tplc="768EC82A">
      <w:start w:val="1"/>
      <w:numFmt w:val="bullet"/>
      <w:lvlText w:val=""/>
      <w:lvlJc w:val="left"/>
      <w:pPr>
        <w:ind w:left="720" w:hanging="360"/>
      </w:pPr>
      <w:rPr>
        <w:rFonts w:ascii="Symbol" w:hAnsi="Symbol"/>
      </w:rPr>
    </w:lvl>
    <w:lvl w:ilvl="3" w:tplc="6914C2A8">
      <w:start w:val="1"/>
      <w:numFmt w:val="bullet"/>
      <w:lvlText w:val=""/>
      <w:lvlJc w:val="left"/>
      <w:pPr>
        <w:ind w:left="720" w:hanging="360"/>
      </w:pPr>
      <w:rPr>
        <w:rFonts w:ascii="Symbol" w:hAnsi="Symbol"/>
      </w:rPr>
    </w:lvl>
    <w:lvl w:ilvl="4" w:tplc="1A6E3AE2">
      <w:start w:val="1"/>
      <w:numFmt w:val="bullet"/>
      <w:lvlText w:val=""/>
      <w:lvlJc w:val="left"/>
      <w:pPr>
        <w:ind w:left="720" w:hanging="360"/>
      </w:pPr>
      <w:rPr>
        <w:rFonts w:ascii="Symbol" w:hAnsi="Symbol"/>
      </w:rPr>
    </w:lvl>
    <w:lvl w:ilvl="5" w:tplc="47FA9272">
      <w:start w:val="1"/>
      <w:numFmt w:val="bullet"/>
      <w:lvlText w:val=""/>
      <w:lvlJc w:val="left"/>
      <w:pPr>
        <w:ind w:left="720" w:hanging="360"/>
      </w:pPr>
      <w:rPr>
        <w:rFonts w:ascii="Symbol" w:hAnsi="Symbol"/>
      </w:rPr>
    </w:lvl>
    <w:lvl w:ilvl="6" w:tplc="91FE5CB8">
      <w:start w:val="1"/>
      <w:numFmt w:val="bullet"/>
      <w:lvlText w:val=""/>
      <w:lvlJc w:val="left"/>
      <w:pPr>
        <w:ind w:left="720" w:hanging="360"/>
      </w:pPr>
      <w:rPr>
        <w:rFonts w:ascii="Symbol" w:hAnsi="Symbol"/>
      </w:rPr>
    </w:lvl>
    <w:lvl w:ilvl="7" w:tplc="99B2A9AC">
      <w:start w:val="1"/>
      <w:numFmt w:val="bullet"/>
      <w:lvlText w:val=""/>
      <w:lvlJc w:val="left"/>
      <w:pPr>
        <w:ind w:left="720" w:hanging="360"/>
      </w:pPr>
      <w:rPr>
        <w:rFonts w:ascii="Symbol" w:hAnsi="Symbol"/>
      </w:rPr>
    </w:lvl>
    <w:lvl w:ilvl="8" w:tplc="9F4EF1A6">
      <w:start w:val="1"/>
      <w:numFmt w:val="bullet"/>
      <w:lvlText w:val=""/>
      <w:lvlJc w:val="left"/>
      <w:pPr>
        <w:ind w:left="720" w:hanging="360"/>
      </w:pPr>
      <w:rPr>
        <w:rFonts w:ascii="Symbol" w:hAnsi="Symbol"/>
      </w:rPr>
    </w:lvl>
  </w:abstractNum>
  <w:abstractNum w:abstractNumId="28" w15:restartNumberingAfterBreak="0">
    <w:nsid w:val="4D0B5312"/>
    <w:multiLevelType w:val="hybridMultilevel"/>
    <w:tmpl w:val="40AA207A"/>
    <w:lvl w:ilvl="0" w:tplc="2DA80146">
      <w:start w:val="1"/>
      <w:numFmt w:val="bullet"/>
      <w:lvlText w:val=""/>
      <w:lvlJc w:val="left"/>
      <w:pPr>
        <w:ind w:left="720" w:hanging="360"/>
      </w:pPr>
      <w:rPr>
        <w:rFonts w:ascii="Symbol" w:hAnsi="Symbol"/>
      </w:rPr>
    </w:lvl>
    <w:lvl w:ilvl="1" w:tplc="363E67F6">
      <w:start w:val="1"/>
      <w:numFmt w:val="bullet"/>
      <w:lvlText w:val=""/>
      <w:lvlJc w:val="left"/>
      <w:pPr>
        <w:ind w:left="720" w:hanging="360"/>
      </w:pPr>
      <w:rPr>
        <w:rFonts w:ascii="Symbol" w:hAnsi="Symbol"/>
      </w:rPr>
    </w:lvl>
    <w:lvl w:ilvl="2" w:tplc="A1A828DE">
      <w:start w:val="1"/>
      <w:numFmt w:val="bullet"/>
      <w:lvlText w:val=""/>
      <w:lvlJc w:val="left"/>
      <w:pPr>
        <w:ind w:left="720" w:hanging="360"/>
      </w:pPr>
      <w:rPr>
        <w:rFonts w:ascii="Symbol" w:hAnsi="Symbol"/>
      </w:rPr>
    </w:lvl>
    <w:lvl w:ilvl="3" w:tplc="51DCCB4E">
      <w:start w:val="1"/>
      <w:numFmt w:val="bullet"/>
      <w:lvlText w:val=""/>
      <w:lvlJc w:val="left"/>
      <w:pPr>
        <w:ind w:left="720" w:hanging="360"/>
      </w:pPr>
      <w:rPr>
        <w:rFonts w:ascii="Symbol" w:hAnsi="Symbol"/>
      </w:rPr>
    </w:lvl>
    <w:lvl w:ilvl="4" w:tplc="29A04DDA">
      <w:start w:val="1"/>
      <w:numFmt w:val="bullet"/>
      <w:lvlText w:val=""/>
      <w:lvlJc w:val="left"/>
      <w:pPr>
        <w:ind w:left="720" w:hanging="360"/>
      </w:pPr>
      <w:rPr>
        <w:rFonts w:ascii="Symbol" w:hAnsi="Symbol"/>
      </w:rPr>
    </w:lvl>
    <w:lvl w:ilvl="5" w:tplc="1D4A0362">
      <w:start w:val="1"/>
      <w:numFmt w:val="bullet"/>
      <w:lvlText w:val=""/>
      <w:lvlJc w:val="left"/>
      <w:pPr>
        <w:ind w:left="720" w:hanging="360"/>
      </w:pPr>
      <w:rPr>
        <w:rFonts w:ascii="Symbol" w:hAnsi="Symbol"/>
      </w:rPr>
    </w:lvl>
    <w:lvl w:ilvl="6" w:tplc="143CA3FC">
      <w:start w:val="1"/>
      <w:numFmt w:val="bullet"/>
      <w:lvlText w:val=""/>
      <w:lvlJc w:val="left"/>
      <w:pPr>
        <w:ind w:left="720" w:hanging="360"/>
      </w:pPr>
      <w:rPr>
        <w:rFonts w:ascii="Symbol" w:hAnsi="Symbol"/>
      </w:rPr>
    </w:lvl>
    <w:lvl w:ilvl="7" w:tplc="6DE2D622">
      <w:start w:val="1"/>
      <w:numFmt w:val="bullet"/>
      <w:lvlText w:val=""/>
      <w:lvlJc w:val="left"/>
      <w:pPr>
        <w:ind w:left="720" w:hanging="360"/>
      </w:pPr>
      <w:rPr>
        <w:rFonts w:ascii="Symbol" w:hAnsi="Symbol"/>
      </w:rPr>
    </w:lvl>
    <w:lvl w:ilvl="8" w:tplc="6AE8E5C0">
      <w:start w:val="1"/>
      <w:numFmt w:val="bullet"/>
      <w:lvlText w:val=""/>
      <w:lvlJc w:val="left"/>
      <w:pPr>
        <w:ind w:left="720" w:hanging="360"/>
      </w:pPr>
      <w:rPr>
        <w:rFonts w:ascii="Symbol" w:hAnsi="Symbol"/>
      </w:rPr>
    </w:lvl>
  </w:abstractNum>
  <w:abstractNum w:abstractNumId="29"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30"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80A3DE6"/>
    <w:multiLevelType w:val="hybridMultilevel"/>
    <w:tmpl w:val="8E7EFDD0"/>
    <w:lvl w:ilvl="0" w:tplc="AF7CBB06">
      <w:start w:val="1"/>
      <w:numFmt w:val="decimal"/>
      <w:lvlText w:val="%1."/>
      <w:lvlJc w:val="left"/>
      <w:pPr>
        <w:ind w:left="363" w:hanging="360"/>
      </w:pPr>
      <w:rPr>
        <w:rFonts w:hint="default"/>
        <w:color w:val="auto"/>
      </w:rPr>
    </w:lvl>
    <w:lvl w:ilvl="1" w:tplc="0C090019" w:tentative="1">
      <w:start w:val="1"/>
      <w:numFmt w:val="lowerLetter"/>
      <w:lvlText w:val="%2."/>
      <w:lvlJc w:val="left"/>
      <w:pPr>
        <w:ind w:left="1083" w:hanging="360"/>
      </w:pPr>
    </w:lvl>
    <w:lvl w:ilvl="2" w:tplc="0C09001B" w:tentative="1">
      <w:start w:val="1"/>
      <w:numFmt w:val="lowerRoman"/>
      <w:lvlText w:val="%3."/>
      <w:lvlJc w:val="right"/>
      <w:pPr>
        <w:ind w:left="1803" w:hanging="180"/>
      </w:pPr>
    </w:lvl>
    <w:lvl w:ilvl="3" w:tplc="0C09000F" w:tentative="1">
      <w:start w:val="1"/>
      <w:numFmt w:val="decimal"/>
      <w:lvlText w:val="%4."/>
      <w:lvlJc w:val="left"/>
      <w:pPr>
        <w:ind w:left="2523" w:hanging="360"/>
      </w:pPr>
    </w:lvl>
    <w:lvl w:ilvl="4" w:tplc="0C090019" w:tentative="1">
      <w:start w:val="1"/>
      <w:numFmt w:val="lowerLetter"/>
      <w:lvlText w:val="%5."/>
      <w:lvlJc w:val="left"/>
      <w:pPr>
        <w:ind w:left="3243" w:hanging="360"/>
      </w:pPr>
    </w:lvl>
    <w:lvl w:ilvl="5" w:tplc="0C09001B" w:tentative="1">
      <w:start w:val="1"/>
      <w:numFmt w:val="lowerRoman"/>
      <w:lvlText w:val="%6."/>
      <w:lvlJc w:val="right"/>
      <w:pPr>
        <w:ind w:left="3963" w:hanging="180"/>
      </w:pPr>
    </w:lvl>
    <w:lvl w:ilvl="6" w:tplc="0C09000F" w:tentative="1">
      <w:start w:val="1"/>
      <w:numFmt w:val="decimal"/>
      <w:lvlText w:val="%7."/>
      <w:lvlJc w:val="left"/>
      <w:pPr>
        <w:ind w:left="4683" w:hanging="360"/>
      </w:pPr>
    </w:lvl>
    <w:lvl w:ilvl="7" w:tplc="0C090019" w:tentative="1">
      <w:start w:val="1"/>
      <w:numFmt w:val="lowerLetter"/>
      <w:lvlText w:val="%8."/>
      <w:lvlJc w:val="left"/>
      <w:pPr>
        <w:ind w:left="5403" w:hanging="360"/>
      </w:pPr>
    </w:lvl>
    <w:lvl w:ilvl="8" w:tplc="0C09001B" w:tentative="1">
      <w:start w:val="1"/>
      <w:numFmt w:val="lowerRoman"/>
      <w:lvlText w:val="%9."/>
      <w:lvlJc w:val="right"/>
      <w:pPr>
        <w:ind w:left="6123" w:hanging="180"/>
      </w:pPr>
    </w:lvl>
  </w:abstractNum>
  <w:abstractNum w:abstractNumId="32" w15:restartNumberingAfterBreak="0">
    <w:nsid w:val="58C95270"/>
    <w:multiLevelType w:val="hybridMultilevel"/>
    <w:tmpl w:val="B06EDA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9D1017C"/>
    <w:multiLevelType w:val="hybridMultilevel"/>
    <w:tmpl w:val="4378D1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B0214B0"/>
    <w:multiLevelType w:val="hybridMultilevel"/>
    <w:tmpl w:val="659800CA"/>
    <w:lvl w:ilvl="0" w:tplc="0C090001">
      <w:start w:val="1"/>
      <w:numFmt w:val="bullet"/>
      <w:lvlText w:val=""/>
      <w:lvlJc w:val="left"/>
      <w:pPr>
        <w:ind w:left="720" w:hanging="360"/>
      </w:pPr>
      <w:rPr>
        <w:rFonts w:ascii="Symbol" w:hAnsi="Symbol" w:hint="default"/>
      </w:rPr>
    </w:lvl>
    <w:lvl w:ilvl="1" w:tplc="9AD8E340">
      <w:start w:val="1"/>
      <w:numFmt w:val="bullet"/>
      <w:lvlText w:val="-"/>
      <w:lvlJc w:val="left"/>
      <w:pPr>
        <w:ind w:left="1440" w:hanging="360"/>
      </w:pPr>
      <w:rPr>
        <w:rFonts w:ascii="Arial Narrow" w:eastAsiaTheme="majorEastAsia" w:hAnsi="Arial Narrow" w:cstheme="maj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6" w15:restartNumberingAfterBreak="0">
    <w:nsid w:val="60084FBF"/>
    <w:multiLevelType w:val="hybridMultilevel"/>
    <w:tmpl w:val="47C2347C"/>
    <w:lvl w:ilvl="0" w:tplc="F148F3DE">
      <w:start w:val="1"/>
      <w:numFmt w:val="bullet"/>
      <w:pStyle w:val="TableBullets"/>
      <w:lvlText w:val=""/>
      <w:lvlJc w:val="left"/>
      <w:pPr>
        <w:ind w:left="720" w:hanging="360"/>
      </w:pPr>
      <w:rPr>
        <w:rFonts w:ascii="Symbol" w:hAnsi="Symbol" w:hint="default"/>
      </w:rPr>
    </w:lvl>
    <w:lvl w:ilvl="1" w:tplc="1D12A830">
      <w:start w:val="1"/>
      <w:numFmt w:val="bullet"/>
      <w:lvlText w:val="o"/>
      <w:lvlJc w:val="left"/>
      <w:pPr>
        <w:ind w:left="1440" w:hanging="360"/>
      </w:pPr>
      <w:rPr>
        <w:rFonts w:ascii="Courier New" w:hAnsi="Courier New" w:hint="default"/>
      </w:rPr>
    </w:lvl>
    <w:lvl w:ilvl="2" w:tplc="A74A67F0" w:tentative="1">
      <w:start w:val="1"/>
      <w:numFmt w:val="bullet"/>
      <w:lvlText w:val=""/>
      <w:lvlJc w:val="left"/>
      <w:pPr>
        <w:ind w:left="2160" w:hanging="360"/>
      </w:pPr>
      <w:rPr>
        <w:rFonts w:ascii="Wingdings" w:hAnsi="Wingdings" w:hint="default"/>
      </w:rPr>
    </w:lvl>
    <w:lvl w:ilvl="3" w:tplc="E64A2F02" w:tentative="1">
      <w:start w:val="1"/>
      <w:numFmt w:val="bullet"/>
      <w:lvlText w:val=""/>
      <w:lvlJc w:val="left"/>
      <w:pPr>
        <w:ind w:left="2880" w:hanging="360"/>
      </w:pPr>
      <w:rPr>
        <w:rFonts w:ascii="Symbol" w:hAnsi="Symbol" w:hint="default"/>
      </w:rPr>
    </w:lvl>
    <w:lvl w:ilvl="4" w:tplc="D02848B0" w:tentative="1">
      <w:start w:val="1"/>
      <w:numFmt w:val="bullet"/>
      <w:lvlText w:val="o"/>
      <w:lvlJc w:val="left"/>
      <w:pPr>
        <w:ind w:left="3600" w:hanging="360"/>
      </w:pPr>
      <w:rPr>
        <w:rFonts w:ascii="Courier New" w:hAnsi="Courier New" w:hint="default"/>
      </w:rPr>
    </w:lvl>
    <w:lvl w:ilvl="5" w:tplc="D9BED9B8" w:tentative="1">
      <w:start w:val="1"/>
      <w:numFmt w:val="bullet"/>
      <w:lvlText w:val=""/>
      <w:lvlJc w:val="left"/>
      <w:pPr>
        <w:ind w:left="4320" w:hanging="360"/>
      </w:pPr>
      <w:rPr>
        <w:rFonts w:ascii="Wingdings" w:hAnsi="Wingdings" w:hint="default"/>
      </w:rPr>
    </w:lvl>
    <w:lvl w:ilvl="6" w:tplc="EF1A4758" w:tentative="1">
      <w:start w:val="1"/>
      <w:numFmt w:val="bullet"/>
      <w:lvlText w:val=""/>
      <w:lvlJc w:val="left"/>
      <w:pPr>
        <w:ind w:left="5040" w:hanging="360"/>
      </w:pPr>
      <w:rPr>
        <w:rFonts w:ascii="Symbol" w:hAnsi="Symbol" w:hint="default"/>
      </w:rPr>
    </w:lvl>
    <w:lvl w:ilvl="7" w:tplc="559A819E" w:tentative="1">
      <w:start w:val="1"/>
      <w:numFmt w:val="bullet"/>
      <w:lvlText w:val="o"/>
      <w:lvlJc w:val="left"/>
      <w:pPr>
        <w:ind w:left="5760" w:hanging="360"/>
      </w:pPr>
      <w:rPr>
        <w:rFonts w:ascii="Courier New" w:hAnsi="Courier New" w:hint="default"/>
      </w:rPr>
    </w:lvl>
    <w:lvl w:ilvl="8" w:tplc="2CC4BB5C" w:tentative="1">
      <w:start w:val="1"/>
      <w:numFmt w:val="bullet"/>
      <w:lvlText w:val=""/>
      <w:lvlJc w:val="left"/>
      <w:pPr>
        <w:ind w:left="6480" w:hanging="360"/>
      </w:pPr>
      <w:rPr>
        <w:rFonts w:ascii="Wingdings" w:hAnsi="Wingdings" w:hint="default"/>
      </w:rPr>
    </w:lvl>
  </w:abstractNum>
  <w:abstractNum w:abstractNumId="37" w15:restartNumberingAfterBreak="0">
    <w:nsid w:val="67D22548"/>
    <w:multiLevelType w:val="hybridMultilevel"/>
    <w:tmpl w:val="DF6CC9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89E3DE6"/>
    <w:multiLevelType w:val="hybridMultilevel"/>
    <w:tmpl w:val="BCF21988"/>
    <w:lvl w:ilvl="0" w:tplc="B616008E">
      <w:start w:val="1"/>
      <w:numFmt w:val="bullet"/>
      <w:lvlText w:val=""/>
      <w:lvlJc w:val="left"/>
      <w:pPr>
        <w:ind w:left="1060" w:hanging="360"/>
      </w:pPr>
      <w:rPr>
        <w:rFonts w:ascii="Symbol" w:hAnsi="Symbol"/>
      </w:rPr>
    </w:lvl>
    <w:lvl w:ilvl="1" w:tplc="B70A7A44">
      <w:start w:val="1"/>
      <w:numFmt w:val="bullet"/>
      <w:lvlText w:val=""/>
      <w:lvlJc w:val="left"/>
      <w:pPr>
        <w:ind w:left="1060" w:hanging="360"/>
      </w:pPr>
      <w:rPr>
        <w:rFonts w:ascii="Symbol" w:hAnsi="Symbol"/>
      </w:rPr>
    </w:lvl>
    <w:lvl w:ilvl="2" w:tplc="E328F08C">
      <w:start w:val="1"/>
      <w:numFmt w:val="bullet"/>
      <w:lvlText w:val=""/>
      <w:lvlJc w:val="left"/>
      <w:pPr>
        <w:ind w:left="1060" w:hanging="360"/>
      </w:pPr>
      <w:rPr>
        <w:rFonts w:ascii="Symbol" w:hAnsi="Symbol"/>
      </w:rPr>
    </w:lvl>
    <w:lvl w:ilvl="3" w:tplc="C5FCF120">
      <w:start w:val="1"/>
      <w:numFmt w:val="bullet"/>
      <w:lvlText w:val=""/>
      <w:lvlJc w:val="left"/>
      <w:pPr>
        <w:ind w:left="1060" w:hanging="360"/>
      </w:pPr>
      <w:rPr>
        <w:rFonts w:ascii="Symbol" w:hAnsi="Symbol"/>
      </w:rPr>
    </w:lvl>
    <w:lvl w:ilvl="4" w:tplc="D88E47E2">
      <w:start w:val="1"/>
      <w:numFmt w:val="bullet"/>
      <w:lvlText w:val=""/>
      <w:lvlJc w:val="left"/>
      <w:pPr>
        <w:ind w:left="1060" w:hanging="360"/>
      </w:pPr>
      <w:rPr>
        <w:rFonts w:ascii="Symbol" w:hAnsi="Symbol"/>
      </w:rPr>
    </w:lvl>
    <w:lvl w:ilvl="5" w:tplc="177C580A">
      <w:start w:val="1"/>
      <w:numFmt w:val="bullet"/>
      <w:lvlText w:val=""/>
      <w:lvlJc w:val="left"/>
      <w:pPr>
        <w:ind w:left="1060" w:hanging="360"/>
      </w:pPr>
      <w:rPr>
        <w:rFonts w:ascii="Symbol" w:hAnsi="Symbol"/>
      </w:rPr>
    </w:lvl>
    <w:lvl w:ilvl="6" w:tplc="CDF83D6E">
      <w:start w:val="1"/>
      <w:numFmt w:val="bullet"/>
      <w:lvlText w:val=""/>
      <w:lvlJc w:val="left"/>
      <w:pPr>
        <w:ind w:left="1060" w:hanging="360"/>
      </w:pPr>
      <w:rPr>
        <w:rFonts w:ascii="Symbol" w:hAnsi="Symbol"/>
      </w:rPr>
    </w:lvl>
    <w:lvl w:ilvl="7" w:tplc="0D083C62">
      <w:start w:val="1"/>
      <w:numFmt w:val="bullet"/>
      <w:lvlText w:val=""/>
      <w:lvlJc w:val="left"/>
      <w:pPr>
        <w:ind w:left="1060" w:hanging="360"/>
      </w:pPr>
      <w:rPr>
        <w:rFonts w:ascii="Symbol" w:hAnsi="Symbol"/>
      </w:rPr>
    </w:lvl>
    <w:lvl w:ilvl="8" w:tplc="028401AE">
      <w:start w:val="1"/>
      <w:numFmt w:val="bullet"/>
      <w:lvlText w:val=""/>
      <w:lvlJc w:val="left"/>
      <w:pPr>
        <w:ind w:left="1060" w:hanging="360"/>
      </w:pPr>
      <w:rPr>
        <w:rFonts w:ascii="Symbol" w:hAnsi="Symbol"/>
      </w:rPr>
    </w:lvl>
  </w:abstractNum>
  <w:abstractNum w:abstractNumId="39" w15:restartNumberingAfterBreak="0">
    <w:nsid w:val="6AF22442"/>
    <w:multiLevelType w:val="hybridMultilevel"/>
    <w:tmpl w:val="9BA0DDB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B927BA3"/>
    <w:multiLevelType w:val="hybridMultilevel"/>
    <w:tmpl w:val="A2A66328"/>
    <w:lvl w:ilvl="0" w:tplc="589A6E3A">
      <w:start w:val="1"/>
      <w:numFmt w:val="bullet"/>
      <w:lvlText w:val=""/>
      <w:lvlJc w:val="left"/>
      <w:pPr>
        <w:ind w:left="720" w:hanging="360"/>
      </w:pPr>
      <w:rPr>
        <w:rFonts w:ascii="Symbol" w:hAnsi="Symbol"/>
      </w:rPr>
    </w:lvl>
    <w:lvl w:ilvl="1" w:tplc="6CF213F2">
      <w:start w:val="1"/>
      <w:numFmt w:val="bullet"/>
      <w:lvlText w:val=""/>
      <w:lvlJc w:val="left"/>
      <w:pPr>
        <w:ind w:left="720" w:hanging="360"/>
      </w:pPr>
      <w:rPr>
        <w:rFonts w:ascii="Symbol" w:hAnsi="Symbol"/>
      </w:rPr>
    </w:lvl>
    <w:lvl w:ilvl="2" w:tplc="CC78B622">
      <w:start w:val="1"/>
      <w:numFmt w:val="bullet"/>
      <w:lvlText w:val=""/>
      <w:lvlJc w:val="left"/>
      <w:pPr>
        <w:ind w:left="720" w:hanging="360"/>
      </w:pPr>
      <w:rPr>
        <w:rFonts w:ascii="Symbol" w:hAnsi="Symbol"/>
      </w:rPr>
    </w:lvl>
    <w:lvl w:ilvl="3" w:tplc="BAAAB4C6">
      <w:start w:val="1"/>
      <w:numFmt w:val="bullet"/>
      <w:lvlText w:val=""/>
      <w:lvlJc w:val="left"/>
      <w:pPr>
        <w:ind w:left="720" w:hanging="360"/>
      </w:pPr>
      <w:rPr>
        <w:rFonts w:ascii="Symbol" w:hAnsi="Symbol"/>
      </w:rPr>
    </w:lvl>
    <w:lvl w:ilvl="4" w:tplc="B65097E2">
      <w:start w:val="1"/>
      <w:numFmt w:val="bullet"/>
      <w:lvlText w:val=""/>
      <w:lvlJc w:val="left"/>
      <w:pPr>
        <w:ind w:left="720" w:hanging="360"/>
      </w:pPr>
      <w:rPr>
        <w:rFonts w:ascii="Symbol" w:hAnsi="Symbol"/>
      </w:rPr>
    </w:lvl>
    <w:lvl w:ilvl="5" w:tplc="46D4C3CA">
      <w:start w:val="1"/>
      <w:numFmt w:val="bullet"/>
      <w:lvlText w:val=""/>
      <w:lvlJc w:val="left"/>
      <w:pPr>
        <w:ind w:left="720" w:hanging="360"/>
      </w:pPr>
      <w:rPr>
        <w:rFonts w:ascii="Symbol" w:hAnsi="Symbol"/>
      </w:rPr>
    </w:lvl>
    <w:lvl w:ilvl="6" w:tplc="D3B6AD9E">
      <w:start w:val="1"/>
      <w:numFmt w:val="bullet"/>
      <w:lvlText w:val=""/>
      <w:lvlJc w:val="left"/>
      <w:pPr>
        <w:ind w:left="720" w:hanging="360"/>
      </w:pPr>
      <w:rPr>
        <w:rFonts w:ascii="Symbol" w:hAnsi="Symbol"/>
      </w:rPr>
    </w:lvl>
    <w:lvl w:ilvl="7" w:tplc="2AA8E878">
      <w:start w:val="1"/>
      <w:numFmt w:val="bullet"/>
      <w:lvlText w:val=""/>
      <w:lvlJc w:val="left"/>
      <w:pPr>
        <w:ind w:left="720" w:hanging="360"/>
      </w:pPr>
      <w:rPr>
        <w:rFonts w:ascii="Symbol" w:hAnsi="Symbol"/>
      </w:rPr>
    </w:lvl>
    <w:lvl w:ilvl="8" w:tplc="C1BCD6BE">
      <w:start w:val="1"/>
      <w:numFmt w:val="bullet"/>
      <w:lvlText w:val=""/>
      <w:lvlJc w:val="left"/>
      <w:pPr>
        <w:ind w:left="720" w:hanging="360"/>
      </w:pPr>
      <w:rPr>
        <w:rFonts w:ascii="Symbol" w:hAnsi="Symbol"/>
      </w:rPr>
    </w:lvl>
  </w:abstractNum>
  <w:abstractNum w:abstractNumId="41" w15:restartNumberingAfterBreak="0">
    <w:nsid w:val="6CFC4F5D"/>
    <w:multiLevelType w:val="hybridMultilevel"/>
    <w:tmpl w:val="C1EAAA30"/>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42"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1325E0A"/>
    <w:multiLevelType w:val="hybridMultilevel"/>
    <w:tmpl w:val="CDB091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66008C0"/>
    <w:multiLevelType w:val="hybridMultilevel"/>
    <w:tmpl w:val="9D7291EA"/>
    <w:lvl w:ilvl="0" w:tplc="5D6A2FFE">
      <w:start w:val="1"/>
      <w:numFmt w:val="bullet"/>
      <w:lvlText w:val=""/>
      <w:lvlJc w:val="left"/>
      <w:pPr>
        <w:ind w:left="1060" w:hanging="360"/>
      </w:pPr>
      <w:rPr>
        <w:rFonts w:ascii="Symbol" w:hAnsi="Symbol"/>
      </w:rPr>
    </w:lvl>
    <w:lvl w:ilvl="1" w:tplc="8BE8AE52">
      <w:start w:val="1"/>
      <w:numFmt w:val="bullet"/>
      <w:lvlText w:val=""/>
      <w:lvlJc w:val="left"/>
      <w:pPr>
        <w:ind w:left="1060" w:hanging="360"/>
      </w:pPr>
      <w:rPr>
        <w:rFonts w:ascii="Symbol" w:hAnsi="Symbol"/>
      </w:rPr>
    </w:lvl>
    <w:lvl w:ilvl="2" w:tplc="FD8EDC2A">
      <w:start w:val="1"/>
      <w:numFmt w:val="bullet"/>
      <w:lvlText w:val=""/>
      <w:lvlJc w:val="left"/>
      <w:pPr>
        <w:ind w:left="1060" w:hanging="360"/>
      </w:pPr>
      <w:rPr>
        <w:rFonts w:ascii="Symbol" w:hAnsi="Symbol"/>
      </w:rPr>
    </w:lvl>
    <w:lvl w:ilvl="3" w:tplc="D9EA6932">
      <w:start w:val="1"/>
      <w:numFmt w:val="bullet"/>
      <w:lvlText w:val=""/>
      <w:lvlJc w:val="left"/>
      <w:pPr>
        <w:ind w:left="1060" w:hanging="360"/>
      </w:pPr>
      <w:rPr>
        <w:rFonts w:ascii="Symbol" w:hAnsi="Symbol"/>
      </w:rPr>
    </w:lvl>
    <w:lvl w:ilvl="4" w:tplc="0CFC59C8">
      <w:start w:val="1"/>
      <w:numFmt w:val="bullet"/>
      <w:lvlText w:val=""/>
      <w:lvlJc w:val="left"/>
      <w:pPr>
        <w:ind w:left="1060" w:hanging="360"/>
      </w:pPr>
      <w:rPr>
        <w:rFonts w:ascii="Symbol" w:hAnsi="Symbol"/>
      </w:rPr>
    </w:lvl>
    <w:lvl w:ilvl="5" w:tplc="CB2A9334">
      <w:start w:val="1"/>
      <w:numFmt w:val="bullet"/>
      <w:lvlText w:val=""/>
      <w:lvlJc w:val="left"/>
      <w:pPr>
        <w:ind w:left="1060" w:hanging="360"/>
      </w:pPr>
      <w:rPr>
        <w:rFonts w:ascii="Symbol" w:hAnsi="Symbol"/>
      </w:rPr>
    </w:lvl>
    <w:lvl w:ilvl="6" w:tplc="D38A0710">
      <w:start w:val="1"/>
      <w:numFmt w:val="bullet"/>
      <w:lvlText w:val=""/>
      <w:lvlJc w:val="left"/>
      <w:pPr>
        <w:ind w:left="1060" w:hanging="360"/>
      </w:pPr>
      <w:rPr>
        <w:rFonts w:ascii="Symbol" w:hAnsi="Symbol"/>
      </w:rPr>
    </w:lvl>
    <w:lvl w:ilvl="7" w:tplc="626C4256">
      <w:start w:val="1"/>
      <w:numFmt w:val="bullet"/>
      <w:lvlText w:val=""/>
      <w:lvlJc w:val="left"/>
      <w:pPr>
        <w:ind w:left="1060" w:hanging="360"/>
      </w:pPr>
      <w:rPr>
        <w:rFonts w:ascii="Symbol" w:hAnsi="Symbol"/>
      </w:rPr>
    </w:lvl>
    <w:lvl w:ilvl="8" w:tplc="5C2A4A7A">
      <w:start w:val="1"/>
      <w:numFmt w:val="bullet"/>
      <w:lvlText w:val=""/>
      <w:lvlJc w:val="left"/>
      <w:pPr>
        <w:ind w:left="1060" w:hanging="360"/>
      </w:pPr>
      <w:rPr>
        <w:rFonts w:ascii="Symbol" w:hAnsi="Symbol"/>
      </w:rPr>
    </w:lvl>
  </w:abstractNum>
  <w:abstractNum w:abstractNumId="45" w15:restartNumberingAfterBreak="0">
    <w:nsid w:val="784D033C"/>
    <w:multiLevelType w:val="multilevel"/>
    <w:tmpl w:val="320409CE"/>
    <w:lvl w:ilvl="0">
      <w:start w:val="1"/>
      <w:numFmt w:val="decimal"/>
      <w:pStyle w:val="COMH1-numbered"/>
      <w:lvlText w:val="%1"/>
      <w:lvlJc w:val="left"/>
      <w:pPr>
        <w:ind w:left="720" w:hanging="720"/>
      </w:pPr>
      <w:rPr>
        <w:rFonts w:hint="default"/>
        <w:b/>
      </w:rPr>
    </w:lvl>
    <w:lvl w:ilvl="1">
      <w:start w:val="1"/>
      <w:numFmt w:val="decimal"/>
      <w:pStyle w:val="COMexecsummnumbered"/>
      <w:lvlText w:val="%1.%2"/>
      <w:lvlJc w:val="left"/>
      <w:pPr>
        <w:ind w:left="2847" w:hanging="720"/>
      </w:pPr>
      <w:rPr>
        <w:rFonts w:hint="default"/>
        <w:b w:val="0"/>
        <w:bCs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816186631">
    <w:abstractNumId w:val="45"/>
  </w:num>
  <w:num w:numId="2" w16cid:durableId="917793048">
    <w:abstractNumId w:val="23"/>
  </w:num>
  <w:num w:numId="3" w16cid:durableId="9892165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48839230">
    <w:abstractNumId w:val="45"/>
  </w:num>
  <w:num w:numId="5" w16cid:durableId="521091235">
    <w:abstractNumId w:val="1"/>
  </w:num>
  <w:num w:numId="6" w16cid:durableId="2123836775">
    <w:abstractNumId w:val="24"/>
  </w:num>
  <w:num w:numId="7" w16cid:durableId="690643893">
    <w:abstractNumId w:val="9"/>
  </w:num>
  <w:num w:numId="8" w16cid:durableId="690843778">
    <w:abstractNumId w:val="4"/>
  </w:num>
  <w:num w:numId="9" w16cid:durableId="1767849614">
    <w:abstractNumId w:val="0"/>
  </w:num>
  <w:num w:numId="10" w16cid:durableId="2092967121">
    <w:abstractNumId w:val="12"/>
  </w:num>
  <w:num w:numId="11" w16cid:durableId="1214779313">
    <w:abstractNumId w:val="19"/>
  </w:num>
  <w:num w:numId="12" w16cid:durableId="206070923">
    <w:abstractNumId w:val="43"/>
  </w:num>
  <w:num w:numId="13" w16cid:durableId="1357462320">
    <w:abstractNumId w:val="37"/>
  </w:num>
  <w:num w:numId="14" w16cid:durableId="22633412">
    <w:abstractNumId w:val="18"/>
  </w:num>
  <w:num w:numId="15" w16cid:durableId="1238203772">
    <w:abstractNumId w:val="34"/>
  </w:num>
  <w:num w:numId="16" w16cid:durableId="1295284104">
    <w:abstractNumId w:val="36"/>
  </w:num>
  <w:num w:numId="17" w16cid:durableId="1638022864">
    <w:abstractNumId w:val="41"/>
  </w:num>
  <w:num w:numId="18" w16cid:durableId="1478187032">
    <w:abstractNumId w:val="6"/>
  </w:num>
  <w:num w:numId="19" w16cid:durableId="320543630">
    <w:abstractNumId w:val="17"/>
  </w:num>
  <w:num w:numId="20" w16cid:durableId="1086459592">
    <w:abstractNumId w:val="20"/>
  </w:num>
  <w:num w:numId="21" w16cid:durableId="1159419867">
    <w:abstractNumId w:val="31"/>
  </w:num>
  <w:num w:numId="22" w16cid:durableId="642276201">
    <w:abstractNumId w:val="26"/>
  </w:num>
  <w:num w:numId="23" w16cid:durableId="126240624">
    <w:abstractNumId w:val="39"/>
  </w:num>
  <w:num w:numId="24" w16cid:durableId="1462529667">
    <w:abstractNumId w:val="44"/>
  </w:num>
  <w:num w:numId="25" w16cid:durableId="204488095">
    <w:abstractNumId w:val="21"/>
  </w:num>
  <w:num w:numId="26" w16cid:durableId="2094932533">
    <w:abstractNumId w:val="27"/>
  </w:num>
  <w:num w:numId="27" w16cid:durableId="1724013366">
    <w:abstractNumId w:val="38"/>
  </w:num>
  <w:num w:numId="28" w16cid:durableId="1426801937">
    <w:abstractNumId w:val="13"/>
  </w:num>
  <w:num w:numId="29" w16cid:durableId="167254302">
    <w:abstractNumId w:val="25"/>
  </w:num>
  <w:num w:numId="30" w16cid:durableId="941456133">
    <w:abstractNumId w:val="9"/>
  </w:num>
  <w:num w:numId="31" w16cid:durableId="1862472514">
    <w:abstractNumId w:val="33"/>
  </w:num>
  <w:num w:numId="32" w16cid:durableId="1573005167">
    <w:abstractNumId w:val="29"/>
  </w:num>
  <w:num w:numId="33" w16cid:durableId="408699874">
    <w:abstractNumId w:val="30"/>
  </w:num>
  <w:num w:numId="34" w16cid:durableId="1569418770">
    <w:abstractNumId w:val="7"/>
  </w:num>
  <w:num w:numId="35" w16cid:durableId="705176722">
    <w:abstractNumId w:val="3"/>
  </w:num>
  <w:num w:numId="36" w16cid:durableId="1926569401">
    <w:abstractNumId w:val="11"/>
  </w:num>
  <w:num w:numId="37" w16cid:durableId="1979457665">
    <w:abstractNumId w:val="14"/>
  </w:num>
  <w:num w:numId="38" w16cid:durableId="2038313566">
    <w:abstractNumId w:val="10"/>
  </w:num>
  <w:num w:numId="39" w16cid:durableId="1297443176">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9997201">
    <w:abstractNumId w:val="42"/>
  </w:num>
  <w:num w:numId="41" w16cid:durableId="438910136">
    <w:abstractNumId w:val="15"/>
  </w:num>
  <w:num w:numId="42" w16cid:durableId="1797486309">
    <w:abstractNumId w:val="40"/>
  </w:num>
  <w:num w:numId="43" w16cid:durableId="1315380651">
    <w:abstractNumId w:val="28"/>
  </w:num>
  <w:num w:numId="44" w16cid:durableId="1036391156">
    <w:abstractNumId w:val="22"/>
  </w:num>
  <w:num w:numId="45" w16cid:durableId="320739025">
    <w:abstractNumId w:val="8"/>
  </w:num>
  <w:num w:numId="46" w16cid:durableId="918829676">
    <w:abstractNumId w:val="2"/>
  </w:num>
  <w:num w:numId="47" w16cid:durableId="297801859">
    <w:abstractNumId w:val="5"/>
  </w:num>
  <w:num w:numId="48" w16cid:durableId="659386231">
    <w:abstractNumId w:val="16"/>
  </w:num>
  <w:num w:numId="49" w16cid:durableId="724567308">
    <w:abstractNumId w:val="3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084"/>
    <w:rsid w:val="0000050F"/>
    <w:rsid w:val="00000790"/>
    <w:rsid w:val="000009A2"/>
    <w:rsid w:val="00000F6D"/>
    <w:rsid w:val="0000108A"/>
    <w:rsid w:val="0000110B"/>
    <w:rsid w:val="000016D7"/>
    <w:rsid w:val="000017CB"/>
    <w:rsid w:val="00001BDF"/>
    <w:rsid w:val="0000211B"/>
    <w:rsid w:val="000022DC"/>
    <w:rsid w:val="000025AA"/>
    <w:rsid w:val="00002652"/>
    <w:rsid w:val="00002940"/>
    <w:rsid w:val="00002D71"/>
    <w:rsid w:val="00002DFD"/>
    <w:rsid w:val="0000333F"/>
    <w:rsid w:val="00003379"/>
    <w:rsid w:val="00003499"/>
    <w:rsid w:val="0000351C"/>
    <w:rsid w:val="00003724"/>
    <w:rsid w:val="000039B7"/>
    <w:rsid w:val="00003B94"/>
    <w:rsid w:val="00004740"/>
    <w:rsid w:val="0000478F"/>
    <w:rsid w:val="00004996"/>
    <w:rsid w:val="000056B9"/>
    <w:rsid w:val="000058EC"/>
    <w:rsid w:val="00005AC8"/>
    <w:rsid w:val="00005F48"/>
    <w:rsid w:val="000061FC"/>
    <w:rsid w:val="0000639A"/>
    <w:rsid w:val="00006951"/>
    <w:rsid w:val="00006C11"/>
    <w:rsid w:val="00006E80"/>
    <w:rsid w:val="00006FC2"/>
    <w:rsid w:val="0000752B"/>
    <w:rsid w:val="00007CDB"/>
    <w:rsid w:val="00007F5F"/>
    <w:rsid w:val="00007FB5"/>
    <w:rsid w:val="000108BE"/>
    <w:rsid w:val="00010B69"/>
    <w:rsid w:val="00010CDF"/>
    <w:rsid w:val="00010CFA"/>
    <w:rsid w:val="000115AB"/>
    <w:rsid w:val="00011989"/>
    <w:rsid w:val="00011BDE"/>
    <w:rsid w:val="00011BEC"/>
    <w:rsid w:val="00012621"/>
    <w:rsid w:val="000126CA"/>
    <w:rsid w:val="00012DAB"/>
    <w:rsid w:val="00012F78"/>
    <w:rsid w:val="00012F93"/>
    <w:rsid w:val="00013247"/>
    <w:rsid w:val="0001356B"/>
    <w:rsid w:val="00013A14"/>
    <w:rsid w:val="000142BA"/>
    <w:rsid w:val="000142CB"/>
    <w:rsid w:val="000142FF"/>
    <w:rsid w:val="00014349"/>
    <w:rsid w:val="00014693"/>
    <w:rsid w:val="0001472D"/>
    <w:rsid w:val="00014A67"/>
    <w:rsid w:val="00014C5D"/>
    <w:rsid w:val="0001523B"/>
    <w:rsid w:val="0001535A"/>
    <w:rsid w:val="000156D0"/>
    <w:rsid w:val="00015886"/>
    <w:rsid w:val="00015CEF"/>
    <w:rsid w:val="000162EF"/>
    <w:rsid w:val="00016B39"/>
    <w:rsid w:val="00016DA2"/>
    <w:rsid w:val="00016FF1"/>
    <w:rsid w:val="00017047"/>
    <w:rsid w:val="00017341"/>
    <w:rsid w:val="00017522"/>
    <w:rsid w:val="00017799"/>
    <w:rsid w:val="000207C9"/>
    <w:rsid w:val="000210EF"/>
    <w:rsid w:val="0002152D"/>
    <w:rsid w:val="0002225F"/>
    <w:rsid w:val="00022AB5"/>
    <w:rsid w:val="00022EA0"/>
    <w:rsid w:val="000235C8"/>
    <w:rsid w:val="00023763"/>
    <w:rsid w:val="00023817"/>
    <w:rsid w:val="00023B42"/>
    <w:rsid w:val="0002463E"/>
    <w:rsid w:val="000248AE"/>
    <w:rsid w:val="000249B6"/>
    <w:rsid w:val="00024B49"/>
    <w:rsid w:val="00024D08"/>
    <w:rsid w:val="00024EB5"/>
    <w:rsid w:val="0002500F"/>
    <w:rsid w:val="00025EF1"/>
    <w:rsid w:val="00026971"/>
    <w:rsid w:val="00026B18"/>
    <w:rsid w:val="00026C75"/>
    <w:rsid w:val="00027081"/>
    <w:rsid w:val="000274B8"/>
    <w:rsid w:val="00027D70"/>
    <w:rsid w:val="00030A0B"/>
    <w:rsid w:val="00030A41"/>
    <w:rsid w:val="00030CF0"/>
    <w:rsid w:val="00031060"/>
    <w:rsid w:val="00031CF3"/>
    <w:rsid w:val="000325E7"/>
    <w:rsid w:val="00032A5C"/>
    <w:rsid w:val="000334EE"/>
    <w:rsid w:val="00033863"/>
    <w:rsid w:val="000339F6"/>
    <w:rsid w:val="00033D49"/>
    <w:rsid w:val="00034242"/>
    <w:rsid w:val="00034268"/>
    <w:rsid w:val="00034428"/>
    <w:rsid w:val="0003454C"/>
    <w:rsid w:val="000347AB"/>
    <w:rsid w:val="0003486D"/>
    <w:rsid w:val="00034C5A"/>
    <w:rsid w:val="00034CD7"/>
    <w:rsid w:val="00034D1E"/>
    <w:rsid w:val="000350B0"/>
    <w:rsid w:val="000354B2"/>
    <w:rsid w:val="0003576F"/>
    <w:rsid w:val="00035896"/>
    <w:rsid w:val="00035DC0"/>
    <w:rsid w:val="00035ECE"/>
    <w:rsid w:val="00035FAB"/>
    <w:rsid w:val="000361BF"/>
    <w:rsid w:val="00036829"/>
    <w:rsid w:val="00036879"/>
    <w:rsid w:val="00036EB5"/>
    <w:rsid w:val="00037803"/>
    <w:rsid w:val="00037C0F"/>
    <w:rsid w:val="00037E24"/>
    <w:rsid w:val="0004045E"/>
    <w:rsid w:val="00040895"/>
    <w:rsid w:val="000410A0"/>
    <w:rsid w:val="00041542"/>
    <w:rsid w:val="0004198D"/>
    <w:rsid w:val="000426F6"/>
    <w:rsid w:val="00042864"/>
    <w:rsid w:val="00042A4A"/>
    <w:rsid w:val="00042C15"/>
    <w:rsid w:val="00042CE9"/>
    <w:rsid w:val="000435EE"/>
    <w:rsid w:val="000438C5"/>
    <w:rsid w:val="00043BC2"/>
    <w:rsid w:val="00043C37"/>
    <w:rsid w:val="00043F67"/>
    <w:rsid w:val="00044670"/>
    <w:rsid w:val="0004474C"/>
    <w:rsid w:val="00045017"/>
    <w:rsid w:val="00045392"/>
    <w:rsid w:val="00045460"/>
    <w:rsid w:val="0004560B"/>
    <w:rsid w:val="000459AB"/>
    <w:rsid w:val="00045A2B"/>
    <w:rsid w:val="000460E8"/>
    <w:rsid w:val="000463F1"/>
    <w:rsid w:val="000467F3"/>
    <w:rsid w:val="0004698F"/>
    <w:rsid w:val="00046D64"/>
    <w:rsid w:val="000477FB"/>
    <w:rsid w:val="00047A08"/>
    <w:rsid w:val="00047BD7"/>
    <w:rsid w:val="00047D47"/>
    <w:rsid w:val="00047F2B"/>
    <w:rsid w:val="000500C6"/>
    <w:rsid w:val="00050398"/>
    <w:rsid w:val="000507F3"/>
    <w:rsid w:val="000508C2"/>
    <w:rsid w:val="00050A00"/>
    <w:rsid w:val="00050A15"/>
    <w:rsid w:val="00050C57"/>
    <w:rsid w:val="000518AE"/>
    <w:rsid w:val="000521E6"/>
    <w:rsid w:val="0005245E"/>
    <w:rsid w:val="00052B07"/>
    <w:rsid w:val="00052EDC"/>
    <w:rsid w:val="00052F54"/>
    <w:rsid w:val="00053174"/>
    <w:rsid w:val="000539D0"/>
    <w:rsid w:val="00053A98"/>
    <w:rsid w:val="00053F86"/>
    <w:rsid w:val="0005432C"/>
    <w:rsid w:val="00054621"/>
    <w:rsid w:val="000546D7"/>
    <w:rsid w:val="00054A30"/>
    <w:rsid w:val="00054A8D"/>
    <w:rsid w:val="00054FBF"/>
    <w:rsid w:val="00055169"/>
    <w:rsid w:val="00055595"/>
    <w:rsid w:val="00055CB1"/>
    <w:rsid w:val="00055DBF"/>
    <w:rsid w:val="000561A5"/>
    <w:rsid w:val="00056E05"/>
    <w:rsid w:val="00056ECF"/>
    <w:rsid w:val="00057667"/>
    <w:rsid w:val="000577B4"/>
    <w:rsid w:val="00057975"/>
    <w:rsid w:val="00057AEA"/>
    <w:rsid w:val="00057BB5"/>
    <w:rsid w:val="000604DF"/>
    <w:rsid w:val="00060FED"/>
    <w:rsid w:val="0006146B"/>
    <w:rsid w:val="00061629"/>
    <w:rsid w:val="00061863"/>
    <w:rsid w:val="0006206E"/>
    <w:rsid w:val="00062324"/>
    <w:rsid w:val="000625BB"/>
    <w:rsid w:val="0006269C"/>
    <w:rsid w:val="00063DA8"/>
    <w:rsid w:val="000642BE"/>
    <w:rsid w:val="00064378"/>
    <w:rsid w:val="00064C26"/>
    <w:rsid w:val="000653B5"/>
    <w:rsid w:val="00065599"/>
    <w:rsid w:val="000656D7"/>
    <w:rsid w:val="00065E4A"/>
    <w:rsid w:val="00065F43"/>
    <w:rsid w:val="0006623E"/>
    <w:rsid w:val="00066360"/>
    <w:rsid w:val="00066998"/>
    <w:rsid w:val="00066A74"/>
    <w:rsid w:val="00066AF8"/>
    <w:rsid w:val="000671D4"/>
    <w:rsid w:val="0006744D"/>
    <w:rsid w:val="000676B5"/>
    <w:rsid w:val="00067821"/>
    <w:rsid w:val="00067C21"/>
    <w:rsid w:val="00070775"/>
    <w:rsid w:val="00070C8C"/>
    <w:rsid w:val="0007108D"/>
    <w:rsid w:val="00071248"/>
    <w:rsid w:val="00071DC7"/>
    <w:rsid w:val="000720B9"/>
    <w:rsid w:val="00072482"/>
    <w:rsid w:val="00072563"/>
    <w:rsid w:val="00072951"/>
    <w:rsid w:val="00072AEB"/>
    <w:rsid w:val="00072B64"/>
    <w:rsid w:val="00072D94"/>
    <w:rsid w:val="00072EE0"/>
    <w:rsid w:val="0007368B"/>
    <w:rsid w:val="000737F7"/>
    <w:rsid w:val="00073C1A"/>
    <w:rsid w:val="00073C83"/>
    <w:rsid w:val="0007407B"/>
    <w:rsid w:val="0007445E"/>
    <w:rsid w:val="00074B0B"/>
    <w:rsid w:val="0007519D"/>
    <w:rsid w:val="00075A43"/>
    <w:rsid w:val="00075A87"/>
    <w:rsid w:val="00075E17"/>
    <w:rsid w:val="000764F4"/>
    <w:rsid w:val="0007672F"/>
    <w:rsid w:val="00076B54"/>
    <w:rsid w:val="00076C6E"/>
    <w:rsid w:val="00076DEA"/>
    <w:rsid w:val="000774F0"/>
    <w:rsid w:val="0008023A"/>
    <w:rsid w:val="00080284"/>
    <w:rsid w:val="00080766"/>
    <w:rsid w:val="000807F8"/>
    <w:rsid w:val="00080909"/>
    <w:rsid w:val="00080DF3"/>
    <w:rsid w:val="00080E7B"/>
    <w:rsid w:val="000811DE"/>
    <w:rsid w:val="000812CA"/>
    <w:rsid w:val="000815AB"/>
    <w:rsid w:val="000817E0"/>
    <w:rsid w:val="00081850"/>
    <w:rsid w:val="00081E63"/>
    <w:rsid w:val="0008258D"/>
    <w:rsid w:val="00082DF5"/>
    <w:rsid w:val="0008300F"/>
    <w:rsid w:val="0008315A"/>
    <w:rsid w:val="0008318E"/>
    <w:rsid w:val="000833A6"/>
    <w:rsid w:val="00083E99"/>
    <w:rsid w:val="00084000"/>
    <w:rsid w:val="00084FA8"/>
    <w:rsid w:val="000853FE"/>
    <w:rsid w:val="00085646"/>
    <w:rsid w:val="000856C5"/>
    <w:rsid w:val="00085C31"/>
    <w:rsid w:val="00085EBF"/>
    <w:rsid w:val="0008609C"/>
    <w:rsid w:val="000872D1"/>
    <w:rsid w:val="000873FA"/>
    <w:rsid w:val="000874E3"/>
    <w:rsid w:val="0008768B"/>
    <w:rsid w:val="00087897"/>
    <w:rsid w:val="00087FCD"/>
    <w:rsid w:val="00090137"/>
    <w:rsid w:val="000902D9"/>
    <w:rsid w:val="000905A6"/>
    <w:rsid w:val="00090709"/>
    <w:rsid w:val="00090A9B"/>
    <w:rsid w:val="00090C7E"/>
    <w:rsid w:val="00090F95"/>
    <w:rsid w:val="000911AC"/>
    <w:rsid w:val="00091558"/>
    <w:rsid w:val="0009180A"/>
    <w:rsid w:val="0009184C"/>
    <w:rsid w:val="0009213B"/>
    <w:rsid w:val="00092600"/>
    <w:rsid w:val="0009262B"/>
    <w:rsid w:val="0009289C"/>
    <w:rsid w:val="00092CCF"/>
    <w:rsid w:val="00093310"/>
    <w:rsid w:val="00093B28"/>
    <w:rsid w:val="0009445C"/>
    <w:rsid w:val="00094586"/>
    <w:rsid w:val="00095020"/>
    <w:rsid w:val="00095200"/>
    <w:rsid w:val="00095209"/>
    <w:rsid w:val="000953FE"/>
    <w:rsid w:val="0009576B"/>
    <w:rsid w:val="00095B3A"/>
    <w:rsid w:val="00095FE5"/>
    <w:rsid w:val="00096284"/>
    <w:rsid w:val="00096884"/>
    <w:rsid w:val="00096935"/>
    <w:rsid w:val="00096DFB"/>
    <w:rsid w:val="0009720F"/>
    <w:rsid w:val="000973F2"/>
    <w:rsid w:val="000A037B"/>
    <w:rsid w:val="000A0482"/>
    <w:rsid w:val="000A06E1"/>
    <w:rsid w:val="000A06FB"/>
    <w:rsid w:val="000A0A55"/>
    <w:rsid w:val="000A1038"/>
    <w:rsid w:val="000A1998"/>
    <w:rsid w:val="000A1BC0"/>
    <w:rsid w:val="000A1DA4"/>
    <w:rsid w:val="000A28D1"/>
    <w:rsid w:val="000A2F9E"/>
    <w:rsid w:val="000A31A8"/>
    <w:rsid w:val="000A38F9"/>
    <w:rsid w:val="000A3AD9"/>
    <w:rsid w:val="000A3E47"/>
    <w:rsid w:val="000A425A"/>
    <w:rsid w:val="000A4AE6"/>
    <w:rsid w:val="000A502B"/>
    <w:rsid w:val="000A522B"/>
    <w:rsid w:val="000A54E0"/>
    <w:rsid w:val="000A54E6"/>
    <w:rsid w:val="000A5FD8"/>
    <w:rsid w:val="000A6039"/>
    <w:rsid w:val="000A62E2"/>
    <w:rsid w:val="000A673E"/>
    <w:rsid w:val="000A6A5C"/>
    <w:rsid w:val="000A6C89"/>
    <w:rsid w:val="000A6F70"/>
    <w:rsid w:val="000A6F92"/>
    <w:rsid w:val="000A7209"/>
    <w:rsid w:val="000A7296"/>
    <w:rsid w:val="000A7453"/>
    <w:rsid w:val="000A7A24"/>
    <w:rsid w:val="000A7A5A"/>
    <w:rsid w:val="000A7D08"/>
    <w:rsid w:val="000A7FDB"/>
    <w:rsid w:val="000B0121"/>
    <w:rsid w:val="000B0670"/>
    <w:rsid w:val="000B069A"/>
    <w:rsid w:val="000B0E66"/>
    <w:rsid w:val="000B0E75"/>
    <w:rsid w:val="000B152D"/>
    <w:rsid w:val="000B1CD8"/>
    <w:rsid w:val="000B21D9"/>
    <w:rsid w:val="000B2DCB"/>
    <w:rsid w:val="000B2FB8"/>
    <w:rsid w:val="000B33CE"/>
    <w:rsid w:val="000B3749"/>
    <w:rsid w:val="000B425C"/>
    <w:rsid w:val="000B45A3"/>
    <w:rsid w:val="000B4684"/>
    <w:rsid w:val="000B4BBF"/>
    <w:rsid w:val="000B4C5F"/>
    <w:rsid w:val="000B5130"/>
    <w:rsid w:val="000B5159"/>
    <w:rsid w:val="000B5308"/>
    <w:rsid w:val="000B5B42"/>
    <w:rsid w:val="000B5CE0"/>
    <w:rsid w:val="000B5DBB"/>
    <w:rsid w:val="000B62B6"/>
    <w:rsid w:val="000B65BB"/>
    <w:rsid w:val="000B6CAC"/>
    <w:rsid w:val="000B7612"/>
    <w:rsid w:val="000B78AE"/>
    <w:rsid w:val="000B7974"/>
    <w:rsid w:val="000B7C01"/>
    <w:rsid w:val="000B7D86"/>
    <w:rsid w:val="000C0041"/>
    <w:rsid w:val="000C0051"/>
    <w:rsid w:val="000C04C1"/>
    <w:rsid w:val="000C07FA"/>
    <w:rsid w:val="000C1059"/>
    <w:rsid w:val="000C1570"/>
    <w:rsid w:val="000C197A"/>
    <w:rsid w:val="000C217B"/>
    <w:rsid w:val="000C23A8"/>
    <w:rsid w:val="000C23FA"/>
    <w:rsid w:val="000C2507"/>
    <w:rsid w:val="000C26E3"/>
    <w:rsid w:val="000C2A2C"/>
    <w:rsid w:val="000C2C72"/>
    <w:rsid w:val="000C37F6"/>
    <w:rsid w:val="000C3DF9"/>
    <w:rsid w:val="000C4AD3"/>
    <w:rsid w:val="000C4C1E"/>
    <w:rsid w:val="000C4CF2"/>
    <w:rsid w:val="000C4F2F"/>
    <w:rsid w:val="000C51ED"/>
    <w:rsid w:val="000C59DF"/>
    <w:rsid w:val="000C63BE"/>
    <w:rsid w:val="000C6713"/>
    <w:rsid w:val="000C69D5"/>
    <w:rsid w:val="000C6EE0"/>
    <w:rsid w:val="000C754D"/>
    <w:rsid w:val="000C7C37"/>
    <w:rsid w:val="000C7FB4"/>
    <w:rsid w:val="000D02DD"/>
    <w:rsid w:val="000D06BD"/>
    <w:rsid w:val="000D1157"/>
    <w:rsid w:val="000D147C"/>
    <w:rsid w:val="000D159F"/>
    <w:rsid w:val="000D16B0"/>
    <w:rsid w:val="000D16C4"/>
    <w:rsid w:val="000D16DA"/>
    <w:rsid w:val="000D1BFC"/>
    <w:rsid w:val="000D1D5D"/>
    <w:rsid w:val="000D232C"/>
    <w:rsid w:val="000D269E"/>
    <w:rsid w:val="000D27BF"/>
    <w:rsid w:val="000D281A"/>
    <w:rsid w:val="000D2848"/>
    <w:rsid w:val="000D326A"/>
    <w:rsid w:val="000D3756"/>
    <w:rsid w:val="000D44BA"/>
    <w:rsid w:val="000D4B28"/>
    <w:rsid w:val="000D4F5D"/>
    <w:rsid w:val="000D505B"/>
    <w:rsid w:val="000D51FB"/>
    <w:rsid w:val="000D5260"/>
    <w:rsid w:val="000D566B"/>
    <w:rsid w:val="000D5A04"/>
    <w:rsid w:val="000D61C4"/>
    <w:rsid w:val="000D7385"/>
    <w:rsid w:val="000D7B70"/>
    <w:rsid w:val="000E0640"/>
    <w:rsid w:val="000E0CA5"/>
    <w:rsid w:val="000E0EE6"/>
    <w:rsid w:val="000E135D"/>
    <w:rsid w:val="000E20AF"/>
    <w:rsid w:val="000E2175"/>
    <w:rsid w:val="000E2291"/>
    <w:rsid w:val="000E2455"/>
    <w:rsid w:val="000E2487"/>
    <w:rsid w:val="000E274E"/>
    <w:rsid w:val="000E2FE5"/>
    <w:rsid w:val="000E3122"/>
    <w:rsid w:val="000E3E47"/>
    <w:rsid w:val="000E41C4"/>
    <w:rsid w:val="000E420A"/>
    <w:rsid w:val="000E4974"/>
    <w:rsid w:val="000E4A21"/>
    <w:rsid w:val="000E4A34"/>
    <w:rsid w:val="000E510C"/>
    <w:rsid w:val="000E59F8"/>
    <w:rsid w:val="000E5D00"/>
    <w:rsid w:val="000E63F3"/>
    <w:rsid w:val="000E6A53"/>
    <w:rsid w:val="000E7326"/>
    <w:rsid w:val="000E73C2"/>
    <w:rsid w:val="000E7590"/>
    <w:rsid w:val="000E7BFA"/>
    <w:rsid w:val="000F00BA"/>
    <w:rsid w:val="000F0327"/>
    <w:rsid w:val="000F04B2"/>
    <w:rsid w:val="000F059A"/>
    <w:rsid w:val="000F0A3A"/>
    <w:rsid w:val="000F0BD1"/>
    <w:rsid w:val="000F126C"/>
    <w:rsid w:val="000F1943"/>
    <w:rsid w:val="000F1B7E"/>
    <w:rsid w:val="000F2714"/>
    <w:rsid w:val="000F2BAA"/>
    <w:rsid w:val="000F316A"/>
    <w:rsid w:val="000F349B"/>
    <w:rsid w:val="000F34B4"/>
    <w:rsid w:val="000F3786"/>
    <w:rsid w:val="000F3C74"/>
    <w:rsid w:val="000F3D83"/>
    <w:rsid w:val="000F42ED"/>
    <w:rsid w:val="000F4BB8"/>
    <w:rsid w:val="000F4BCC"/>
    <w:rsid w:val="000F4CEC"/>
    <w:rsid w:val="000F4FA9"/>
    <w:rsid w:val="000F53FB"/>
    <w:rsid w:val="000F568D"/>
    <w:rsid w:val="000F6020"/>
    <w:rsid w:val="000F651D"/>
    <w:rsid w:val="000F6B65"/>
    <w:rsid w:val="000F6CE1"/>
    <w:rsid w:val="000F6E32"/>
    <w:rsid w:val="000F7127"/>
    <w:rsid w:val="000F72EB"/>
    <w:rsid w:val="000F73F6"/>
    <w:rsid w:val="000F7A89"/>
    <w:rsid w:val="000F7B54"/>
    <w:rsid w:val="000F7F82"/>
    <w:rsid w:val="00100063"/>
    <w:rsid w:val="001000B3"/>
    <w:rsid w:val="00100305"/>
    <w:rsid w:val="00100A15"/>
    <w:rsid w:val="00100E49"/>
    <w:rsid w:val="00100F8A"/>
    <w:rsid w:val="0010127F"/>
    <w:rsid w:val="0010139A"/>
    <w:rsid w:val="001013A2"/>
    <w:rsid w:val="00101689"/>
    <w:rsid w:val="001019CC"/>
    <w:rsid w:val="00101A4D"/>
    <w:rsid w:val="00101D3D"/>
    <w:rsid w:val="00102396"/>
    <w:rsid w:val="001024B2"/>
    <w:rsid w:val="0010304B"/>
    <w:rsid w:val="00103460"/>
    <w:rsid w:val="001037FF"/>
    <w:rsid w:val="00103F34"/>
    <w:rsid w:val="0010452E"/>
    <w:rsid w:val="001046CB"/>
    <w:rsid w:val="001048CC"/>
    <w:rsid w:val="00104D70"/>
    <w:rsid w:val="00104EDA"/>
    <w:rsid w:val="001059FE"/>
    <w:rsid w:val="00105AE2"/>
    <w:rsid w:val="0010604D"/>
    <w:rsid w:val="001060C6"/>
    <w:rsid w:val="00106216"/>
    <w:rsid w:val="00106A23"/>
    <w:rsid w:val="00106B80"/>
    <w:rsid w:val="00106CDF"/>
    <w:rsid w:val="00106E8B"/>
    <w:rsid w:val="0010712B"/>
    <w:rsid w:val="00107494"/>
    <w:rsid w:val="0010786B"/>
    <w:rsid w:val="0011028D"/>
    <w:rsid w:val="0011032E"/>
    <w:rsid w:val="001103DE"/>
    <w:rsid w:val="00110590"/>
    <w:rsid w:val="00110895"/>
    <w:rsid w:val="00111008"/>
    <w:rsid w:val="00111D8E"/>
    <w:rsid w:val="001130A7"/>
    <w:rsid w:val="0011314C"/>
    <w:rsid w:val="001133BE"/>
    <w:rsid w:val="0011348B"/>
    <w:rsid w:val="00113DFB"/>
    <w:rsid w:val="001142AC"/>
    <w:rsid w:val="00114479"/>
    <w:rsid w:val="00114BDB"/>
    <w:rsid w:val="00114CD7"/>
    <w:rsid w:val="0011501F"/>
    <w:rsid w:val="001151F9"/>
    <w:rsid w:val="00115982"/>
    <w:rsid w:val="00115CC7"/>
    <w:rsid w:val="001160B0"/>
    <w:rsid w:val="001163ED"/>
    <w:rsid w:val="00116748"/>
    <w:rsid w:val="00116C53"/>
    <w:rsid w:val="00117BB3"/>
    <w:rsid w:val="00117EC5"/>
    <w:rsid w:val="00117EE7"/>
    <w:rsid w:val="00120CDD"/>
    <w:rsid w:val="00120EC0"/>
    <w:rsid w:val="0012108E"/>
    <w:rsid w:val="00121799"/>
    <w:rsid w:val="00121EB1"/>
    <w:rsid w:val="001222FC"/>
    <w:rsid w:val="0012235A"/>
    <w:rsid w:val="0012288B"/>
    <w:rsid w:val="0012290C"/>
    <w:rsid w:val="00122E98"/>
    <w:rsid w:val="00123886"/>
    <w:rsid w:val="00123902"/>
    <w:rsid w:val="00123B82"/>
    <w:rsid w:val="00123CAF"/>
    <w:rsid w:val="00124309"/>
    <w:rsid w:val="00124534"/>
    <w:rsid w:val="00124694"/>
    <w:rsid w:val="00124A51"/>
    <w:rsid w:val="00125B89"/>
    <w:rsid w:val="00125ED2"/>
    <w:rsid w:val="00126044"/>
    <w:rsid w:val="00126532"/>
    <w:rsid w:val="00126621"/>
    <w:rsid w:val="0012689B"/>
    <w:rsid w:val="00126B1D"/>
    <w:rsid w:val="00126F28"/>
    <w:rsid w:val="00126F95"/>
    <w:rsid w:val="00127A44"/>
    <w:rsid w:val="00127EB9"/>
    <w:rsid w:val="00127F8F"/>
    <w:rsid w:val="001301E9"/>
    <w:rsid w:val="001308F0"/>
    <w:rsid w:val="0013091A"/>
    <w:rsid w:val="00130C37"/>
    <w:rsid w:val="00130C49"/>
    <w:rsid w:val="00131422"/>
    <w:rsid w:val="0013142C"/>
    <w:rsid w:val="00131D82"/>
    <w:rsid w:val="0013212D"/>
    <w:rsid w:val="00132553"/>
    <w:rsid w:val="0013291A"/>
    <w:rsid w:val="001329A5"/>
    <w:rsid w:val="00132AD0"/>
    <w:rsid w:val="00132B22"/>
    <w:rsid w:val="00132BFE"/>
    <w:rsid w:val="0013343C"/>
    <w:rsid w:val="00133D36"/>
    <w:rsid w:val="001344FE"/>
    <w:rsid w:val="00134655"/>
    <w:rsid w:val="00134858"/>
    <w:rsid w:val="001349F3"/>
    <w:rsid w:val="00135A8E"/>
    <w:rsid w:val="00135A9C"/>
    <w:rsid w:val="00135BE2"/>
    <w:rsid w:val="00135D7C"/>
    <w:rsid w:val="00136772"/>
    <w:rsid w:val="00136AC8"/>
    <w:rsid w:val="00136B42"/>
    <w:rsid w:val="00136EED"/>
    <w:rsid w:val="00136F75"/>
    <w:rsid w:val="0013743B"/>
    <w:rsid w:val="00137591"/>
    <w:rsid w:val="00137645"/>
    <w:rsid w:val="00137958"/>
    <w:rsid w:val="00137F07"/>
    <w:rsid w:val="0014015A"/>
    <w:rsid w:val="00140E99"/>
    <w:rsid w:val="001410BB"/>
    <w:rsid w:val="00141980"/>
    <w:rsid w:val="00141A68"/>
    <w:rsid w:val="00141E85"/>
    <w:rsid w:val="001421A9"/>
    <w:rsid w:val="001426B5"/>
    <w:rsid w:val="00142FCB"/>
    <w:rsid w:val="001434EA"/>
    <w:rsid w:val="0014375D"/>
    <w:rsid w:val="00143AFF"/>
    <w:rsid w:val="00143CA6"/>
    <w:rsid w:val="00143D7E"/>
    <w:rsid w:val="00143F67"/>
    <w:rsid w:val="0014464F"/>
    <w:rsid w:val="0014479F"/>
    <w:rsid w:val="00145025"/>
    <w:rsid w:val="00145234"/>
    <w:rsid w:val="00145540"/>
    <w:rsid w:val="001455CE"/>
    <w:rsid w:val="001456B0"/>
    <w:rsid w:val="0014570A"/>
    <w:rsid w:val="00145B0E"/>
    <w:rsid w:val="00145E2C"/>
    <w:rsid w:val="00146086"/>
    <w:rsid w:val="00146327"/>
    <w:rsid w:val="001464A7"/>
    <w:rsid w:val="0014673C"/>
    <w:rsid w:val="0014687E"/>
    <w:rsid w:val="00146D1B"/>
    <w:rsid w:val="00146DC6"/>
    <w:rsid w:val="0014798A"/>
    <w:rsid w:val="00147ACD"/>
    <w:rsid w:val="00147DEC"/>
    <w:rsid w:val="00150102"/>
    <w:rsid w:val="001507A5"/>
    <w:rsid w:val="0015128D"/>
    <w:rsid w:val="00151696"/>
    <w:rsid w:val="00151911"/>
    <w:rsid w:val="00151A6A"/>
    <w:rsid w:val="00151F8C"/>
    <w:rsid w:val="00152732"/>
    <w:rsid w:val="001529F4"/>
    <w:rsid w:val="001533EC"/>
    <w:rsid w:val="00153ABB"/>
    <w:rsid w:val="00153BD1"/>
    <w:rsid w:val="001540F9"/>
    <w:rsid w:val="0015415E"/>
    <w:rsid w:val="00154451"/>
    <w:rsid w:val="001544A8"/>
    <w:rsid w:val="001547AB"/>
    <w:rsid w:val="001548C7"/>
    <w:rsid w:val="001549DF"/>
    <w:rsid w:val="00154A9B"/>
    <w:rsid w:val="00154B92"/>
    <w:rsid w:val="00155391"/>
    <w:rsid w:val="001558D0"/>
    <w:rsid w:val="00155C4C"/>
    <w:rsid w:val="00156782"/>
    <w:rsid w:val="00156DE4"/>
    <w:rsid w:val="00156F8F"/>
    <w:rsid w:val="00157130"/>
    <w:rsid w:val="001571EE"/>
    <w:rsid w:val="001576B1"/>
    <w:rsid w:val="00157954"/>
    <w:rsid w:val="00157D02"/>
    <w:rsid w:val="00157D1E"/>
    <w:rsid w:val="001602CB"/>
    <w:rsid w:val="0016047B"/>
    <w:rsid w:val="00160A4C"/>
    <w:rsid w:val="00161072"/>
    <w:rsid w:val="001611C2"/>
    <w:rsid w:val="001616FC"/>
    <w:rsid w:val="00161A6E"/>
    <w:rsid w:val="00162467"/>
    <w:rsid w:val="001626AD"/>
    <w:rsid w:val="00162821"/>
    <w:rsid w:val="00162913"/>
    <w:rsid w:val="00162CC2"/>
    <w:rsid w:val="00163510"/>
    <w:rsid w:val="0016390E"/>
    <w:rsid w:val="00163A54"/>
    <w:rsid w:val="00163AAE"/>
    <w:rsid w:val="00163EFF"/>
    <w:rsid w:val="00163F66"/>
    <w:rsid w:val="00164128"/>
    <w:rsid w:val="0016474A"/>
    <w:rsid w:val="0016478E"/>
    <w:rsid w:val="00165267"/>
    <w:rsid w:val="00165EC4"/>
    <w:rsid w:val="00165F8A"/>
    <w:rsid w:val="001661FB"/>
    <w:rsid w:val="001665BC"/>
    <w:rsid w:val="001665DD"/>
    <w:rsid w:val="001668DA"/>
    <w:rsid w:val="001671A0"/>
    <w:rsid w:val="0016767F"/>
    <w:rsid w:val="00167726"/>
    <w:rsid w:val="00167777"/>
    <w:rsid w:val="00167879"/>
    <w:rsid w:val="00170078"/>
    <w:rsid w:val="00170154"/>
    <w:rsid w:val="00170978"/>
    <w:rsid w:val="001709D6"/>
    <w:rsid w:val="00170B46"/>
    <w:rsid w:val="001711D8"/>
    <w:rsid w:val="001718D5"/>
    <w:rsid w:val="001720FB"/>
    <w:rsid w:val="0017219B"/>
    <w:rsid w:val="00172379"/>
    <w:rsid w:val="00172622"/>
    <w:rsid w:val="00172798"/>
    <w:rsid w:val="00172CE7"/>
    <w:rsid w:val="00172E31"/>
    <w:rsid w:val="00173251"/>
    <w:rsid w:val="001732F5"/>
    <w:rsid w:val="00173339"/>
    <w:rsid w:val="00173565"/>
    <w:rsid w:val="00173B07"/>
    <w:rsid w:val="00173BF5"/>
    <w:rsid w:val="00173E4F"/>
    <w:rsid w:val="00174307"/>
    <w:rsid w:val="00174643"/>
    <w:rsid w:val="001751FA"/>
    <w:rsid w:val="00175AEC"/>
    <w:rsid w:val="00175E1E"/>
    <w:rsid w:val="00176539"/>
    <w:rsid w:val="001768E0"/>
    <w:rsid w:val="00176EDA"/>
    <w:rsid w:val="001770F6"/>
    <w:rsid w:val="00177F65"/>
    <w:rsid w:val="00180A3E"/>
    <w:rsid w:val="00180A95"/>
    <w:rsid w:val="00180E2B"/>
    <w:rsid w:val="00181170"/>
    <w:rsid w:val="0018152C"/>
    <w:rsid w:val="00181B98"/>
    <w:rsid w:val="00181C10"/>
    <w:rsid w:val="00181D45"/>
    <w:rsid w:val="00181D9C"/>
    <w:rsid w:val="00181E20"/>
    <w:rsid w:val="00182A02"/>
    <w:rsid w:val="00182E9C"/>
    <w:rsid w:val="00182EA6"/>
    <w:rsid w:val="00182F3A"/>
    <w:rsid w:val="0018336C"/>
    <w:rsid w:val="001835AE"/>
    <w:rsid w:val="00183724"/>
    <w:rsid w:val="001837FF"/>
    <w:rsid w:val="001848D7"/>
    <w:rsid w:val="00184929"/>
    <w:rsid w:val="00184988"/>
    <w:rsid w:val="00184B0E"/>
    <w:rsid w:val="001858F7"/>
    <w:rsid w:val="00185994"/>
    <w:rsid w:val="00185CE1"/>
    <w:rsid w:val="0018626F"/>
    <w:rsid w:val="00186513"/>
    <w:rsid w:val="00186953"/>
    <w:rsid w:val="00186DB7"/>
    <w:rsid w:val="0018752F"/>
    <w:rsid w:val="001875F5"/>
    <w:rsid w:val="001876C6"/>
    <w:rsid w:val="0018788D"/>
    <w:rsid w:val="0018789F"/>
    <w:rsid w:val="00187CC2"/>
    <w:rsid w:val="00190121"/>
    <w:rsid w:val="001909D7"/>
    <w:rsid w:val="001910D5"/>
    <w:rsid w:val="00191C2E"/>
    <w:rsid w:val="00191E98"/>
    <w:rsid w:val="0019203E"/>
    <w:rsid w:val="00192318"/>
    <w:rsid w:val="00192E99"/>
    <w:rsid w:val="001934DC"/>
    <w:rsid w:val="00193838"/>
    <w:rsid w:val="00194716"/>
    <w:rsid w:val="00194AD8"/>
    <w:rsid w:val="00194CD0"/>
    <w:rsid w:val="001950CF"/>
    <w:rsid w:val="001950FF"/>
    <w:rsid w:val="00195222"/>
    <w:rsid w:val="00195452"/>
    <w:rsid w:val="00196CF9"/>
    <w:rsid w:val="001975D8"/>
    <w:rsid w:val="00197936"/>
    <w:rsid w:val="00197BD5"/>
    <w:rsid w:val="00197E7A"/>
    <w:rsid w:val="00197FC2"/>
    <w:rsid w:val="001A02F4"/>
    <w:rsid w:val="001A038A"/>
    <w:rsid w:val="001A066D"/>
    <w:rsid w:val="001A0E3B"/>
    <w:rsid w:val="001A0FCF"/>
    <w:rsid w:val="001A0FF0"/>
    <w:rsid w:val="001A10B2"/>
    <w:rsid w:val="001A178E"/>
    <w:rsid w:val="001A1918"/>
    <w:rsid w:val="001A1D07"/>
    <w:rsid w:val="001A2467"/>
    <w:rsid w:val="001A2621"/>
    <w:rsid w:val="001A31AB"/>
    <w:rsid w:val="001A4364"/>
    <w:rsid w:val="001A43FA"/>
    <w:rsid w:val="001A47C5"/>
    <w:rsid w:val="001A4CF5"/>
    <w:rsid w:val="001A5137"/>
    <w:rsid w:val="001A59FB"/>
    <w:rsid w:val="001A5E2A"/>
    <w:rsid w:val="001A5E9E"/>
    <w:rsid w:val="001A632D"/>
    <w:rsid w:val="001A6354"/>
    <w:rsid w:val="001A6366"/>
    <w:rsid w:val="001A63C4"/>
    <w:rsid w:val="001A6642"/>
    <w:rsid w:val="001A7A79"/>
    <w:rsid w:val="001A7AE8"/>
    <w:rsid w:val="001A7CAC"/>
    <w:rsid w:val="001B0062"/>
    <w:rsid w:val="001B01BA"/>
    <w:rsid w:val="001B1894"/>
    <w:rsid w:val="001B1A92"/>
    <w:rsid w:val="001B1FD3"/>
    <w:rsid w:val="001B204E"/>
    <w:rsid w:val="001B2372"/>
    <w:rsid w:val="001B2DEC"/>
    <w:rsid w:val="001B30DA"/>
    <w:rsid w:val="001B3443"/>
    <w:rsid w:val="001B3B57"/>
    <w:rsid w:val="001B3BA0"/>
    <w:rsid w:val="001B3C59"/>
    <w:rsid w:val="001B4627"/>
    <w:rsid w:val="001B46DB"/>
    <w:rsid w:val="001B4A4F"/>
    <w:rsid w:val="001B4D20"/>
    <w:rsid w:val="001B4E2A"/>
    <w:rsid w:val="001B500B"/>
    <w:rsid w:val="001B5037"/>
    <w:rsid w:val="001B6135"/>
    <w:rsid w:val="001B62EC"/>
    <w:rsid w:val="001B675B"/>
    <w:rsid w:val="001B6F9E"/>
    <w:rsid w:val="001B71D2"/>
    <w:rsid w:val="001B7A46"/>
    <w:rsid w:val="001B7ADD"/>
    <w:rsid w:val="001B7BD8"/>
    <w:rsid w:val="001B7F84"/>
    <w:rsid w:val="001C002E"/>
    <w:rsid w:val="001C0C9D"/>
    <w:rsid w:val="001C1829"/>
    <w:rsid w:val="001C19A3"/>
    <w:rsid w:val="001C1AAF"/>
    <w:rsid w:val="001C2107"/>
    <w:rsid w:val="001C2898"/>
    <w:rsid w:val="001C28E6"/>
    <w:rsid w:val="001C29A6"/>
    <w:rsid w:val="001C2A9B"/>
    <w:rsid w:val="001C3127"/>
    <w:rsid w:val="001C3C3A"/>
    <w:rsid w:val="001C3DD6"/>
    <w:rsid w:val="001C3DE5"/>
    <w:rsid w:val="001C4080"/>
    <w:rsid w:val="001C4299"/>
    <w:rsid w:val="001C4874"/>
    <w:rsid w:val="001C577A"/>
    <w:rsid w:val="001C5A8B"/>
    <w:rsid w:val="001C5A8E"/>
    <w:rsid w:val="001C5F94"/>
    <w:rsid w:val="001C66E3"/>
    <w:rsid w:val="001C6D04"/>
    <w:rsid w:val="001C6E66"/>
    <w:rsid w:val="001C755C"/>
    <w:rsid w:val="001C7ED2"/>
    <w:rsid w:val="001D1088"/>
    <w:rsid w:val="001D1100"/>
    <w:rsid w:val="001D12CD"/>
    <w:rsid w:val="001D1391"/>
    <w:rsid w:val="001D1660"/>
    <w:rsid w:val="001D17AC"/>
    <w:rsid w:val="001D1B0B"/>
    <w:rsid w:val="001D1E3E"/>
    <w:rsid w:val="001D1FB5"/>
    <w:rsid w:val="001D213A"/>
    <w:rsid w:val="001D22F3"/>
    <w:rsid w:val="001D25BA"/>
    <w:rsid w:val="001D25D7"/>
    <w:rsid w:val="001D261C"/>
    <w:rsid w:val="001D2795"/>
    <w:rsid w:val="001D2893"/>
    <w:rsid w:val="001D29D6"/>
    <w:rsid w:val="001D3098"/>
    <w:rsid w:val="001D3CDC"/>
    <w:rsid w:val="001D4297"/>
    <w:rsid w:val="001D4CF1"/>
    <w:rsid w:val="001D50B2"/>
    <w:rsid w:val="001D5148"/>
    <w:rsid w:val="001D540A"/>
    <w:rsid w:val="001D5649"/>
    <w:rsid w:val="001D57BE"/>
    <w:rsid w:val="001D5AB4"/>
    <w:rsid w:val="001D5E01"/>
    <w:rsid w:val="001D5E4C"/>
    <w:rsid w:val="001D608F"/>
    <w:rsid w:val="001D71F4"/>
    <w:rsid w:val="001D7645"/>
    <w:rsid w:val="001D76AE"/>
    <w:rsid w:val="001D79C9"/>
    <w:rsid w:val="001D7BB9"/>
    <w:rsid w:val="001E0265"/>
    <w:rsid w:val="001E0423"/>
    <w:rsid w:val="001E0576"/>
    <w:rsid w:val="001E0693"/>
    <w:rsid w:val="001E0992"/>
    <w:rsid w:val="001E0F58"/>
    <w:rsid w:val="001E1277"/>
    <w:rsid w:val="001E16B6"/>
    <w:rsid w:val="001E1734"/>
    <w:rsid w:val="001E1829"/>
    <w:rsid w:val="001E1E86"/>
    <w:rsid w:val="001E238E"/>
    <w:rsid w:val="001E2483"/>
    <w:rsid w:val="001E27B3"/>
    <w:rsid w:val="001E2ABE"/>
    <w:rsid w:val="001E2B1E"/>
    <w:rsid w:val="001E2BAF"/>
    <w:rsid w:val="001E2CFF"/>
    <w:rsid w:val="001E2F24"/>
    <w:rsid w:val="001E2FCC"/>
    <w:rsid w:val="001E30D4"/>
    <w:rsid w:val="001E3228"/>
    <w:rsid w:val="001E34DF"/>
    <w:rsid w:val="001E3BDA"/>
    <w:rsid w:val="001E4DEB"/>
    <w:rsid w:val="001E5087"/>
    <w:rsid w:val="001E50FF"/>
    <w:rsid w:val="001E52EB"/>
    <w:rsid w:val="001E57C7"/>
    <w:rsid w:val="001E59E1"/>
    <w:rsid w:val="001E5BE4"/>
    <w:rsid w:val="001E5EF3"/>
    <w:rsid w:val="001E5FB0"/>
    <w:rsid w:val="001E61D2"/>
    <w:rsid w:val="001E6D9E"/>
    <w:rsid w:val="001E740C"/>
    <w:rsid w:val="001E7B36"/>
    <w:rsid w:val="001F00F9"/>
    <w:rsid w:val="001F0624"/>
    <w:rsid w:val="001F0C9B"/>
    <w:rsid w:val="001F0EDC"/>
    <w:rsid w:val="001F1235"/>
    <w:rsid w:val="001F140B"/>
    <w:rsid w:val="001F1537"/>
    <w:rsid w:val="001F162E"/>
    <w:rsid w:val="001F1B41"/>
    <w:rsid w:val="001F1CB3"/>
    <w:rsid w:val="001F1F31"/>
    <w:rsid w:val="001F2220"/>
    <w:rsid w:val="001F25DA"/>
    <w:rsid w:val="001F261A"/>
    <w:rsid w:val="001F2BBF"/>
    <w:rsid w:val="001F2D19"/>
    <w:rsid w:val="001F3231"/>
    <w:rsid w:val="001F38B5"/>
    <w:rsid w:val="001F38FA"/>
    <w:rsid w:val="001F3DD9"/>
    <w:rsid w:val="001F4081"/>
    <w:rsid w:val="001F490F"/>
    <w:rsid w:val="001F5774"/>
    <w:rsid w:val="001F5CB1"/>
    <w:rsid w:val="001F5CE1"/>
    <w:rsid w:val="001F7361"/>
    <w:rsid w:val="001F7CCB"/>
    <w:rsid w:val="002000B9"/>
    <w:rsid w:val="002003D6"/>
    <w:rsid w:val="00200C65"/>
    <w:rsid w:val="002011B0"/>
    <w:rsid w:val="00201304"/>
    <w:rsid w:val="00201556"/>
    <w:rsid w:val="0020160F"/>
    <w:rsid w:val="0020176D"/>
    <w:rsid w:val="00203181"/>
    <w:rsid w:val="00203783"/>
    <w:rsid w:val="002037FD"/>
    <w:rsid w:val="0020385F"/>
    <w:rsid w:val="002038AA"/>
    <w:rsid w:val="0020394D"/>
    <w:rsid w:val="00203ADD"/>
    <w:rsid w:val="0020436D"/>
    <w:rsid w:val="002049FB"/>
    <w:rsid w:val="0020526B"/>
    <w:rsid w:val="002053E2"/>
    <w:rsid w:val="00205630"/>
    <w:rsid w:val="002059CE"/>
    <w:rsid w:val="00205F75"/>
    <w:rsid w:val="002063B7"/>
    <w:rsid w:val="00206653"/>
    <w:rsid w:val="002068A0"/>
    <w:rsid w:val="00206F88"/>
    <w:rsid w:val="00207021"/>
    <w:rsid w:val="00207159"/>
    <w:rsid w:val="0020732F"/>
    <w:rsid w:val="00207904"/>
    <w:rsid w:val="00207CF5"/>
    <w:rsid w:val="00207D00"/>
    <w:rsid w:val="00207F65"/>
    <w:rsid w:val="002103DB"/>
    <w:rsid w:val="002105C1"/>
    <w:rsid w:val="0021115C"/>
    <w:rsid w:val="002116FD"/>
    <w:rsid w:val="002118FD"/>
    <w:rsid w:val="002125A7"/>
    <w:rsid w:val="0021291E"/>
    <w:rsid w:val="002138CA"/>
    <w:rsid w:val="00213D93"/>
    <w:rsid w:val="00213EF5"/>
    <w:rsid w:val="00214029"/>
    <w:rsid w:val="002141C5"/>
    <w:rsid w:val="00214803"/>
    <w:rsid w:val="00214C8C"/>
    <w:rsid w:val="0021620F"/>
    <w:rsid w:val="00216BF5"/>
    <w:rsid w:val="00217022"/>
    <w:rsid w:val="0021748B"/>
    <w:rsid w:val="0021791C"/>
    <w:rsid w:val="00217B55"/>
    <w:rsid w:val="00217D04"/>
    <w:rsid w:val="00217DA3"/>
    <w:rsid w:val="00220175"/>
    <w:rsid w:val="00220463"/>
    <w:rsid w:val="00220BF5"/>
    <w:rsid w:val="00220C50"/>
    <w:rsid w:val="00221190"/>
    <w:rsid w:val="0022133C"/>
    <w:rsid w:val="00221780"/>
    <w:rsid w:val="00221828"/>
    <w:rsid w:val="00221B3B"/>
    <w:rsid w:val="00221CDA"/>
    <w:rsid w:val="00221E4C"/>
    <w:rsid w:val="00221F3B"/>
    <w:rsid w:val="00221F44"/>
    <w:rsid w:val="00221F47"/>
    <w:rsid w:val="002225D0"/>
    <w:rsid w:val="0022294A"/>
    <w:rsid w:val="00222B01"/>
    <w:rsid w:val="00222B90"/>
    <w:rsid w:val="0022300B"/>
    <w:rsid w:val="002234B4"/>
    <w:rsid w:val="00223734"/>
    <w:rsid w:val="00223A45"/>
    <w:rsid w:val="00223B49"/>
    <w:rsid w:val="00223C94"/>
    <w:rsid w:val="00223D5A"/>
    <w:rsid w:val="002240B7"/>
    <w:rsid w:val="00224396"/>
    <w:rsid w:val="002246DE"/>
    <w:rsid w:val="00224A0F"/>
    <w:rsid w:val="00224B17"/>
    <w:rsid w:val="00224BF2"/>
    <w:rsid w:val="00224DA1"/>
    <w:rsid w:val="00224DD4"/>
    <w:rsid w:val="00225424"/>
    <w:rsid w:val="00225518"/>
    <w:rsid w:val="002262CA"/>
    <w:rsid w:val="002264E2"/>
    <w:rsid w:val="00226B3E"/>
    <w:rsid w:val="00226C1D"/>
    <w:rsid w:val="00226FEA"/>
    <w:rsid w:val="00227716"/>
    <w:rsid w:val="00227881"/>
    <w:rsid w:val="002278A0"/>
    <w:rsid w:val="0023037C"/>
    <w:rsid w:val="00230577"/>
    <w:rsid w:val="00230662"/>
    <w:rsid w:val="00230763"/>
    <w:rsid w:val="002309CC"/>
    <w:rsid w:val="00230A28"/>
    <w:rsid w:val="00230C3A"/>
    <w:rsid w:val="00231BA9"/>
    <w:rsid w:val="0023209F"/>
    <w:rsid w:val="00232AF4"/>
    <w:rsid w:val="00232B42"/>
    <w:rsid w:val="002338D1"/>
    <w:rsid w:val="00233C01"/>
    <w:rsid w:val="00233C79"/>
    <w:rsid w:val="0023413C"/>
    <w:rsid w:val="002345F1"/>
    <w:rsid w:val="002346F0"/>
    <w:rsid w:val="0023595C"/>
    <w:rsid w:val="00235A15"/>
    <w:rsid w:val="0023629D"/>
    <w:rsid w:val="00236997"/>
    <w:rsid w:val="0023699B"/>
    <w:rsid w:val="002369F1"/>
    <w:rsid w:val="00236D87"/>
    <w:rsid w:val="00236DFB"/>
    <w:rsid w:val="00237001"/>
    <w:rsid w:val="00237255"/>
    <w:rsid w:val="002373B7"/>
    <w:rsid w:val="00237836"/>
    <w:rsid w:val="00237A04"/>
    <w:rsid w:val="00237C0B"/>
    <w:rsid w:val="00237D69"/>
    <w:rsid w:val="00240310"/>
    <w:rsid w:val="002409DD"/>
    <w:rsid w:val="00240A75"/>
    <w:rsid w:val="00241064"/>
    <w:rsid w:val="00241138"/>
    <w:rsid w:val="002424AF"/>
    <w:rsid w:val="00242BBA"/>
    <w:rsid w:val="00243371"/>
    <w:rsid w:val="002439DC"/>
    <w:rsid w:val="0024413A"/>
    <w:rsid w:val="002441D2"/>
    <w:rsid w:val="0024429A"/>
    <w:rsid w:val="002442CC"/>
    <w:rsid w:val="002446D8"/>
    <w:rsid w:val="0024479A"/>
    <w:rsid w:val="0024496B"/>
    <w:rsid w:val="00244DC8"/>
    <w:rsid w:val="00244E7F"/>
    <w:rsid w:val="002458BA"/>
    <w:rsid w:val="00245C7E"/>
    <w:rsid w:val="00245CE9"/>
    <w:rsid w:val="00246347"/>
    <w:rsid w:val="0024636C"/>
    <w:rsid w:val="0024653B"/>
    <w:rsid w:val="0024740D"/>
    <w:rsid w:val="00247584"/>
    <w:rsid w:val="00247925"/>
    <w:rsid w:val="002479CF"/>
    <w:rsid w:val="00247B01"/>
    <w:rsid w:val="00247C9C"/>
    <w:rsid w:val="002503A7"/>
    <w:rsid w:val="00250A08"/>
    <w:rsid w:val="00250F7E"/>
    <w:rsid w:val="00250FA0"/>
    <w:rsid w:val="00250FD8"/>
    <w:rsid w:val="00251006"/>
    <w:rsid w:val="00251077"/>
    <w:rsid w:val="002522DF"/>
    <w:rsid w:val="002524D5"/>
    <w:rsid w:val="00253024"/>
    <w:rsid w:val="00253A17"/>
    <w:rsid w:val="00253B1D"/>
    <w:rsid w:val="00253D8D"/>
    <w:rsid w:val="002541C9"/>
    <w:rsid w:val="002542D7"/>
    <w:rsid w:val="002546C6"/>
    <w:rsid w:val="00254C2A"/>
    <w:rsid w:val="00254C90"/>
    <w:rsid w:val="00254DCF"/>
    <w:rsid w:val="0025515D"/>
    <w:rsid w:val="0025519B"/>
    <w:rsid w:val="0025534B"/>
    <w:rsid w:val="00255455"/>
    <w:rsid w:val="00255BB7"/>
    <w:rsid w:val="002560EE"/>
    <w:rsid w:val="00256131"/>
    <w:rsid w:val="0025622C"/>
    <w:rsid w:val="002563F8"/>
    <w:rsid w:val="00257541"/>
    <w:rsid w:val="00257A39"/>
    <w:rsid w:val="00257AC4"/>
    <w:rsid w:val="00257BBE"/>
    <w:rsid w:val="0026032F"/>
    <w:rsid w:val="0026051E"/>
    <w:rsid w:val="0026053C"/>
    <w:rsid w:val="0026057E"/>
    <w:rsid w:val="002606B2"/>
    <w:rsid w:val="00260DE9"/>
    <w:rsid w:val="002618EA"/>
    <w:rsid w:val="00261934"/>
    <w:rsid w:val="002619A4"/>
    <w:rsid w:val="00261CD0"/>
    <w:rsid w:val="00261EEF"/>
    <w:rsid w:val="002623F2"/>
    <w:rsid w:val="00262520"/>
    <w:rsid w:val="00262664"/>
    <w:rsid w:val="002626EF"/>
    <w:rsid w:val="00262A1A"/>
    <w:rsid w:val="00262A87"/>
    <w:rsid w:val="00262C4E"/>
    <w:rsid w:val="00262DFD"/>
    <w:rsid w:val="0026368C"/>
    <w:rsid w:val="00263B12"/>
    <w:rsid w:val="002640DB"/>
    <w:rsid w:val="002649D0"/>
    <w:rsid w:val="00264D26"/>
    <w:rsid w:val="00265655"/>
    <w:rsid w:val="002656EB"/>
    <w:rsid w:val="002658B2"/>
    <w:rsid w:val="00265971"/>
    <w:rsid w:val="00265DBC"/>
    <w:rsid w:val="00265DE1"/>
    <w:rsid w:val="00266645"/>
    <w:rsid w:val="002666FC"/>
    <w:rsid w:val="002669D3"/>
    <w:rsid w:val="00266B94"/>
    <w:rsid w:val="00266D29"/>
    <w:rsid w:val="00266DBB"/>
    <w:rsid w:val="0026712E"/>
    <w:rsid w:val="00267195"/>
    <w:rsid w:val="00267642"/>
    <w:rsid w:val="00267AEA"/>
    <w:rsid w:val="00267E4A"/>
    <w:rsid w:val="002700E6"/>
    <w:rsid w:val="002702EC"/>
    <w:rsid w:val="00270D79"/>
    <w:rsid w:val="00270E9B"/>
    <w:rsid w:val="0027186D"/>
    <w:rsid w:val="00271EAF"/>
    <w:rsid w:val="0027241A"/>
    <w:rsid w:val="0027294B"/>
    <w:rsid w:val="0027320C"/>
    <w:rsid w:val="002733DB"/>
    <w:rsid w:val="002735C6"/>
    <w:rsid w:val="00273738"/>
    <w:rsid w:val="00273972"/>
    <w:rsid w:val="00273EB4"/>
    <w:rsid w:val="0027414D"/>
    <w:rsid w:val="002741C5"/>
    <w:rsid w:val="00274425"/>
    <w:rsid w:val="002744AE"/>
    <w:rsid w:val="00274682"/>
    <w:rsid w:val="0027492C"/>
    <w:rsid w:val="00274B21"/>
    <w:rsid w:val="00274D48"/>
    <w:rsid w:val="00275158"/>
    <w:rsid w:val="002752A7"/>
    <w:rsid w:val="002753E8"/>
    <w:rsid w:val="002756F9"/>
    <w:rsid w:val="00275C5A"/>
    <w:rsid w:val="002761AF"/>
    <w:rsid w:val="0027635C"/>
    <w:rsid w:val="002768AC"/>
    <w:rsid w:val="002773E2"/>
    <w:rsid w:val="002779EE"/>
    <w:rsid w:val="00277AE6"/>
    <w:rsid w:val="00277FA6"/>
    <w:rsid w:val="00280138"/>
    <w:rsid w:val="002802D5"/>
    <w:rsid w:val="00280EBA"/>
    <w:rsid w:val="00281014"/>
    <w:rsid w:val="0028105F"/>
    <w:rsid w:val="0028118B"/>
    <w:rsid w:val="002812CE"/>
    <w:rsid w:val="002812E9"/>
    <w:rsid w:val="00281879"/>
    <w:rsid w:val="00281B5E"/>
    <w:rsid w:val="00282113"/>
    <w:rsid w:val="002825A1"/>
    <w:rsid w:val="0028267B"/>
    <w:rsid w:val="00282772"/>
    <w:rsid w:val="00282C6D"/>
    <w:rsid w:val="00283D19"/>
    <w:rsid w:val="00284391"/>
    <w:rsid w:val="00284981"/>
    <w:rsid w:val="00284B10"/>
    <w:rsid w:val="002853CF"/>
    <w:rsid w:val="00285BCE"/>
    <w:rsid w:val="00285E15"/>
    <w:rsid w:val="0028602B"/>
    <w:rsid w:val="00286315"/>
    <w:rsid w:val="0028654D"/>
    <w:rsid w:val="0028665D"/>
    <w:rsid w:val="002872CD"/>
    <w:rsid w:val="00287526"/>
    <w:rsid w:val="00287708"/>
    <w:rsid w:val="002877A4"/>
    <w:rsid w:val="00287947"/>
    <w:rsid w:val="002879F1"/>
    <w:rsid w:val="0029020C"/>
    <w:rsid w:val="00290515"/>
    <w:rsid w:val="00291928"/>
    <w:rsid w:val="00291B64"/>
    <w:rsid w:val="00291F39"/>
    <w:rsid w:val="00292028"/>
    <w:rsid w:val="002922F0"/>
    <w:rsid w:val="00292B7D"/>
    <w:rsid w:val="00292F89"/>
    <w:rsid w:val="0029317E"/>
    <w:rsid w:val="00293220"/>
    <w:rsid w:val="00293380"/>
    <w:rsid w:val="00293ACE"/>
    <w:rsid w:val="00293F6B"/>
    <w:rsid w:val="002946D2"/>
    <w:rsid w:val="00294AA5"/>
    <w:rsid w:val="00294AF9"/>
    <w:rsid w:val="002955A9"/>
    <w:rsid w:val="00295684"/>
    <w:rsid w:val="00295E4C"/>
    <w:rsid w:val="00297078"/>
    <w:rsid w:val="002970AE"/>
    <w:rsid w:val="002975CA"/>
    <w:rsid w:val="0029762F"/>
    <w:rsid w:val="002979DE"/>
    <w:rsid w:val="002A0305"/>
    <w:rsid w:val="002A0333"/>
    <w:rsid w:val="002A060F"/>
    <w:rsid w:val="002A0851"/>
    <w:rsid w:val="002A0C94"/>
    <w:rsid w:val="002A14AB"/>
    <w:rsid w:val="002A1BC2"/>
    <w:rsid w:val="002A2589"/>
    <w:rsid w:val="002A2714"/>
    <w:rsid w:val="002A2ADE"/>
    <w:rsid w:val="002A2B18"/>
    <w:rsid w:val="002A2EDA"/>
    <w:rsid w:val="002A2F50"/>
    <w:rsid w:val="002A31B4"/>
    <w:rsid w:val="002A3AD7"/>
    <w:rsid w:val="002A3C02"/>
    <w:rsid w:val="002A3E10"/>
    <w:rsid w:val="002A3EBD"/>
    <w:rsid w:val="002A4FB8"/>
    <w:rsid w:val="002A501B"/>
    <w:rsid w:val="002A5473"/>
    <w:rsid w:val="002A567C"/>
    <w:rsid w:val="002A5C2B"/>
    <w:rsid w:val="002A647E"/>
    <w:rsid w:val="002A657E"/>
    <w:rsid w:val="002A6CA2"/>
    <w:rsid w:val="002A7578"/>
    <w:rsid w:val="002A75EB"/>
    <w:rsid w:val="002A78AD"/>
    <w:rsid w:val="002A7943"/>
    <w:rsid w:val="002A79C6"/>
    <w:rsid w:val="002A7DAB"/>
    <w:rsid w:val="002A7F67"/>
    <w:rsid w:val="002B05A1"/>
    <w:rsid w:val="002B07C6"/>
    <w:rsid w:val="002B07D4"/>
    <w:rsid w:val="002B09A4"/>
    <w:rsid w:val="002B09E3"/>
    <w:rsid w:val="002B0D0A"/>
    <w:rsid w:val="002B0D44"/>
    <w:rsid w:val="002B140D"/>
    <w:rsid w:val="002B1638"/>
    <w:rsid w:val="002B17EC"/>
    <w:rsid w:val="002B18C6"/>
    <w:rsid w:val="002B1C1F"/>
    <w:rsid w:val="002B1C5E"/>
    <w:rsid w:val="002B2340"/>
    <w:rsid w:val="002B2B1E"/>
    <w:rsid w:val="002B330B"/>
    <w:rsid w:val="002B3CBA"/>
    <w:rsid w:val="002B4136"/>
    <w:rsid w:val="002B432F"/>
    <w:rsid w:val="002B48A6"/>
    <w:rsid w:val="002B49AB"/>
    <w:rsid w:val="002B4F8D"/>
    <w:rsid w:val="002B52DF"/>
    <w:rsid w:val="002B62B3"/>
    <w:rsid w:val="002B62BC"/>
    <w:rsid w:val="002B63DF"/>
    <w:rsid w:val="002B6754"/>
    <w:rsid w:val="002B6CCE"/>
    <w:rsid w:val="002B6CDD"/>
    <w:rsid w:val="002B6EA6"/>
    <w:rsid w:val="002C0114"/>
    <w:rsid w:val="002C072F"/>
    <w:rsid w:val="002C0C52"/>
    <w:rsid w:val="002C1078"/>
    <w:rsid w:val="002C12E3"/>
    <w:rsid w:val="002C1390"/>
    <w:rsid w:val="002C2510"/>
    <w:rsid w:val="002C2775"/>
    <w:rsid w:val="002C27C1"/>
    <w:rsid w:val="002C296F"/>
    <w:rsid w:val="002C2E3F"/>
    <w:rsid w:val="002C2F2E"/>
    <w:rsid w:val="002C315C"/>
    <w:rsid w:val="002C326C"/>
    <w:rsid w:val="002C32FF"/>
    <w:rsid w:val="002C36E3"/>
    <w:rsid w:val="002C4322"/>
    <w:rsid w:val="002C4963"/>
    <w:rsid w:val="002C5099"/>
    <w:rsid w:val="002C5889"/>
    <w:rsid w:val="002C5C37"/>
    <w:rsid w:val="002C5DE6"/>
    <w:rsid w:val="002C632E"/>
    <w:rsid w:val="002C681A"/>
    <w:rsid w:val="002C71BC"/>
    <w:rsid w:val="002C71CE"/>
    <w:rsid w:val="002D0368"/>
    <w:rsid w:val="002D08F8"/>
    <w:rsid w:val="002D0FAB"/>
    <w:rsid w:val="002D14C1"/>
    <w:rsid w:val="002D166B"/>
    <w:rsid w:val="002D17A0"/>
    <w:rsid w:val="002D1A2D"/>
    <w:rsid w:val="002D1E51"/>
    <w:rsid w:val="002D2089"/>
    <w:rsid w:val="002D2577"/>
    <w:rsid w:val="002D37CF"/>
    <w:rsid w:val="002D3D1B"/>
    <w:rsid w:val="002D3F58"/>
    <w:rsid w:val="002D477A"/>
    <w:rsid w:val="002D516D"/>
    <w:rsid w:val="002D5457"/>
    <w:rsid w:val="002D54B0"/>
    <w:rsid w:val="002D577C"/>
    <w:rsid w:val="002D5ACF"/>
    <w:rsid w:val="002D5B35"/>
    <w:rsid w:val="002D6225"/>
    <w:rsid w:val="002D6291"/>
    <w:rsid w:val="002D67BB"/>
    <w:rsid w:val="002D6855"/>
    <w:rsid w:val="002D688C"/>
    <w:rsid w:val="002D7832"/>
    <w:rsid w:val="002D7D72"/>
    <w:rsid w:val="002D7DAE"/>
    <w:rsid w:val="002E01CB"/>
    <w:rsid w:val="002E02F3"/>
    <w:rsid w:val="002E06D6"/>
    <w:rsid w:val="002E0ADC"/>
    <w:rsid w:val="002E1021"/>
    <w:rsid w:val="002E1071"/>
    <w:rsid w:val="002E1186"/>
    <w:rsid w:val="002E149F"/>
    <w:rsid w:val="002E15B9"/>
    <w:rsid w:val="002E1BA7"/>
    <w:rsid w:val="002E1DE6"/>
    <w:rsid w:val="002E20E9"/>
    <w:rsid w:val="002E2158"/>
    <w:rsid w:val="002E2634"/>
    <w:rsid w:val="002E37D4"/>
    <w:rsid w:val="002E3C80"/>
    <w:rsid w:val="002E3DAF"/>
    <w:rsid w:val="002E4355"/>
    <w:rsid w:val="002E43FE"/>
    <w:rsid w:val="002E4863"/>
    <w:rsid w:val="002E4F02"/>
    <w:rsid w:val="002E504F"/>
    <w:rsid w:val="002E5112"/>
    <w:rsid w:val="002E5339"/>
    <w:rsid w:val="002E65DD"/>
    <w:rsid w:val="002E6852"/>
    <w:rsid w:val="002E701D"/>
    <w:rsid w:val="002E73A7"/>
    <w:rsid w:val="002E7615"/>
    <w:rsid w:val="002E771B"/>
    <w:rsid w:val="002E7722"/>
    <w:rsid w:val="002E775B"/>
    <w:rsid w:val="002E7B41"/>
    <w:rsid w:val="002E7B8A"/>
    <w:rsid w:val="002F0644"/>
    <w:rsid w:val="002F07BA"/>
    <w:rsid w:val="002F0CA4"/>
    <w:rsid w:val="002F0DA9"/>
    <w:rsid w:val="002F0F10"/>
    <w:rsid w:val="002F1014"/>
    <w:rsid w:val="002F10C0"/>
    <w:rsid w:val="002F14CE"/>
    <w:rsid w:val="002F1686"/>
    <w:rsid w:val="002F1C13"/>
    <w:rsid w:val="002F1E24"/>
    <w:rsid w:val="002F1E3B"/>
    <w:rsid w:val="002F2190"/>
    <w:rsid w:val="002F22AB"/>
    <w:rsid w:val="002F239D"/>
    <w:rsid w:val="002F260E"/>
    <w:rsid w:val="002F2731"/>
    <w:rsid w:val="002F2FF2"/>
    <w:rsid w:val="002F3349"/>
    <w:rsid w:val="002F3DFF"/>
    <w:rsid w:val="002F3EF9"/>
    <w:rsid w:val="002F4ABC"/>
    <w:rsid w:val="002F4E93"/>
    <w:rsid w:val="002F511A"/>
    <w:rsid w:val="002F5695"/>
    <w:rsid w:val="002F58A1"/>
    <w:rsid w:val="002F5B7B"/>
    <w:rsid w:val="002F643C"/>
    <w:rsid w:val="002F6C27"/>
    <w:rsid w:val="002F6C30"/>
    <w:rsid w:val="002F6FC1"/>
    <w:rsid w:val="002F71C0"/>
    <w:rsid w:val="002F74F1"/>
    <w:rsid w:val="002F7550"/>
    <w:rsid w:val="002F7946"/>
    <w:rsid w:val="002F7FD1"/>
    <w:rsid w:val="003004E5"/>
    <w:rsid w:val="003008B2"/>
    <w:rsid w:val="00300DD3"/>
    <w:rsid w:val="00301017"/>
    <w:rsid w:val="0030155F"/>
    <w:rsid w:val="00301835"/>
    <w:rsid w:val="0030208C"/>
    <w:rsid w:val="0030296E"/>
    <w:rsid w:val="00302BEF"/>
    <w:rsid w:val="00302F4A"/>
    <w:rsid w:val="0030306C"/>
    <w:rsid w:val="003032B1"/>
    <w:rsid w:val="003039CF"/>
    <w:rsid w:val="00303DDC"/>
    <w:rsid w:val="00304367"/>
    <w:rsid w:val="003047FC"/>
    <w:rsid w:val="00304FFE"/>
    <w:rsid w:val="0030587B"/>
    <w:rsid w:val="00305B39"/>
    <w:rsid w:val="00305FC1"/>
    <w:rsid w:val="003061F5"/>
    <w:rsid w:val="0030626E"/>
    <w:rsid w:val="00306496"/>
    <w:rsid w:val="003066D0"/>
    <w:rsid w:val="00306881"/>
    <w:rsid w:val="00306D3E"/>
    <w:rsid w:val="00306D98"/>
    <w:rsid w:val="0030786C"/>
    <w:rsid w:val="00310091"/>
    <w:rsid w:val="0031031A"/>
    <w:rsid w:val="00310981"/>
    <w:rsid w:val="003109FF"/>
    <w:rsid w:val="00310A57"/>
    <w:rsid w:val="00310AA7"/>
    <w:rsid w:val="00311174"/>
    <w:rsid w:val="0031150A"/>
    <w:rsid w:val="0031157F"/>
    <w:rsid w:val="00311D9B"/>
    <w:rsid w:val="00311DEA"/>
    <w:rsid w:val="00311F22"/>
    <w:rsid w:val="00312354"/>
    <w:rsid w:val="003124D9"/>
    <w:rsid w:val="00312594"/>
    <w:rsid w:val="003127D3"/>
    <w:rsid w:val="003129B1"/>
    <w:rsid w:val="00312ABB"/>
    <w:rsid w:val="00312CBC"/>
    <w:rsid w:val="00312FFA"/>
    <w:rsid w:val="00313031"/>
    <w:rsid w:val="0031316F"/>
    <w:rsid w:val="00313610"/>
    <w:rsid w:val="00313875"/>
    <w:rsid w:val="00313C1A"/>
    <w:rsid w:val="00313D74"/>
    <w:rsid w:val="003140F5"/>
    <w:rsid w:val="00314134"/>
    <w:rsid w:val="003142A0"/>
    <w:rsid w:val="00314E69"/>
    <w:rsid w:val="0031508C"/>
    <w:rsid w:val="0031514F"/>
    <w:rsid w:val="00315289"/>
    <w:rsid w:val="00315417"/>
    <w:rsid w:val="00315498"/>
    <w:rsid w:val="00315925"/>
    <w:rsid w:val="00315A84"/>
    <w:rsid w:val="00315AEE"/>
    <w:rsid w:val="00315FA8"/>
    <w:rsid w:val="00316073"/>
    <w:rsid w:val="003161F8"/>
    <w:rsid w:val="00316274"/>
    <w:rsid w:val="00316474"/>
    <w:rsid w:val="003164BE"/>
    <w:rsid w:val="00316552"/>
    <w:rsid w:val="003165AF"/>
    <w:rsid w:val="00316744"/>
    <w:rsid w:val="00317F21"/>
    <w:rsid w:val="003204F5"/>
    <w:rsid w:val="003207FC"/>
    <w:rsid w:val="00320C3E"/>
    <w:rsid w:val="00320D49"/>
    <w:rsid w:val="00320E38"/>
    <w:rsid w:val="00321290"/>
    <w:rsid w:val="003216E1"/>
    <w:rsid w:val="00321899"/>
    <w:rsid w:val="00321EA7"/>
    <w:rsid w:val="003220F9"/>
    <w:rsid w:val="00322107"/>
    <w:rsid w:val="00322355"/>
    <w:rsid w:val="00322846"/>
    <w:rsid w:val="00322A52"/>
    <w:rsid w:val="00322CDE"/>
    <w:rsid w:val="0032349D"/>
    <w:rsid w:val="00323712"/>
    <w:rsid w:val="00323B24"/>
    <w:rsid w:val="00323CC8"/>
    <w:rsid w:val="00323D2A"/>
    <w:rsid w:val="003243D0"/>
    <w:rsid w:val="003249C8"/>
    <w:rsid w:val="00324AAF"/>
    <w:rsid w:val="00324B07"/>
    <w:rsid w:val="003256F6"/>
    <w:rsid w:val="00325FD9"/>
    <w:rsid w:val="0032620E"/>
    <w:rsid w:val="003265CD"/>
    <w:rsid w:val="00326DA7"/>
    <w:rsid w:val="003270E4"/>
    <w:rsid w:val="00327915"/>
    <w:rsid w:val="00327CA0"/>
    <w:rsid w:val="003300A3"/>
    <w:rsid w:val="00330312"/>
    <w:rsid w:val="00330DAA"/>
    <w:rsid w:val="00330F5C"/>
    <w:rsid w:val="003313B5"/>
    <w:rsid w:val="00331B75"/>
    <w:rsid w:val="00331C2A"/>
    <w:rsid w:val="0033260D"/>
    <w:rsid w:val="00332CA1"/>
    <w:rsid w:val="003335E8"/>
    <w:rsid w:val="003336C0"/>
    <w:rsid w:val="00333727"/>
    <w:rsid w:val="00333DB7"/>
    <w:rsid w:val="00334264"/>
    <w:rsid w:val="00334B1C"/>
    <w:rsid w:val="00334D9A"/>
    <w:rsid w:val="00334DA4"/>
    <w:rsid w:val="0033554C"/>
    <w:rsid w:val="00335759"/>
    <w:rsid w:val="003359C6"/>
    <w:rsid w:val="00335CB4"/>
    <w:rsid w:val="00336085"/>
    <w:rsid w:val="0033632A"/>
    <w:rsid w:val="00336335"/>
    <w:rsid w:val="003366C9"/>
    <w:rsid w:val="003367FF"/>
    <w:rsid w:val="00336ACB"/>
    <w:rsid w:val="003371B0"/>
    <w:rsid w:val="00337575"/>
    <w:rsid w:val="00337BFF"/>
    <w:rsid w:val="003403E0"/>
    <w:rsid w:val="003406A2"/>
    <w:rsid w:val="0034071B"/>
    <w:rsid w:val="00340807"/>
    <w:rsid w:val="00340B89"/>
    <w:rsid w:val="00340DCE"/>
    <w:rsid w:val="00340DF1"/>
    <w:rsid w:val="00341B08"/>
    <w:rsid w:val="00341D2A"/>
    <w:rsid w:val="003427C0"/>
    <w:rsid w:val="00342D24"/>
    <w:rsid w:val="00342E86"/>
    <w:rsid w:val="00343353"/>
    <w:rsid w:val="003435BB"/>
    <w:rsid w:val="00343B7A"/>
    <w:rsid w:val="003442B5"/>
    <w:rsid w:val="0034489C"/>
    <w:rsid w:val="00344BB5"/>
    <w:rsid w:val="00344E78"/>
    <w:rsid w:val="0034539A"/>
    <w:rsid w:val="003457CF"/>
    <w:rsid w:val="00345E9E"/>
    <w:rsid w:val="00346B83"/>
    <w:rsid w:val="003471D4"/>
    <w:rsid w:val="00347881"/>
    <w:rsid w:val="00347944"/>
    <w:rsid w:val="00347958"/>
    <w:rsid w:val="00347E26"/>
    <w:rsid w:val="00347E48"/>
    <w:rsid w:val="003505D4"/>
    <w:rsid w:val="003505E3"/>
    <w:rsid w:val="0035096A"/>
    <w:rsid w:val="00350DE8"/>
    <w:rsid w:val="00350F26"/>
    <w:rsid w:val="00351767"/>
    <w:rsid w:val="003517F9"/>
    <w:rsid w:val="00351914"/>
    <w:rsid w:val="00351A81"/>
    <w:rsid w:val="00351B04"/>
    <w:rsid w:val="00351BA9"/>
    <w:rsid w:val="00351D9E"/>
    <w:rsid w:val="00352775"/>
    <w:rsid w:val="00352A82"/>
    <w:rsid w:val="0035358A"/>
    <w:rsid w:val="003536FC"/>
    <w:rsid w:val="00353752"/>
    <w:rsid w:val="0035497D"/>
    <w:rsid w:val="00354A69"/>
    <w:rsid w:val="00354DEB"/>
    <w:rsid w:val="00354F64"/>
    <w:rsid w:val="003553DB"/>
    <w:rsid w:val="00355560"/>
    <w:rsid w:val="00355A72"/>
    <w:rsid w:val="00355B78"/>
    <w:rsid w:val="0035620E"/>
    <w:rsid w:val="00356B98"/>
    <w:rsid w:val="00356CA3"/>
    <w:rsid w:val="00356DBE"/>
    <w:rsid w:val="00356F3F"/>
    <w:rsid w:val="0035701B"/>
    <w:rsid w:val="003575BE"/>
    <w:rsid w:val="00360345"/>
    <w:rsid w:val="003603DD"/>
    <w:rsid w:val="003607A8"/>
    <w:rsid w:val="00360A80"/>
    <w:rsid w:val="0036122D"/>
    <w:rsid w:val="00361663"/>
    <w:rsid w:val="003618D1"/>
    <w:rsid w:val="00361A05"/>
    <w:rsid w:val="00361A25"/>
    <w:rsid w:val="003624C4"/>
    <w:rsid w:val="003628DE"/>
    <w:rsid w:val="00362E9C"/>
    <w:rsid w:val="00363010"/>
    <w:rsid w:val="003630BF"/>
    <w:rsid w:val="0036314E"/>
    <w:rsid w:val="0036325A"/>
    <w:rsid w:val="003634EB"/>
    <w:rsid w:val="00363B00"/>
    <w:rsid w:val="0036400D"/>
    <w:rsid w:val="00364A71"/>
    <w:rsid w:val="00364D31"/>
    <w:rsid w:val="00364D70"/>
    <w:rsid w:val="00364EA8"/>
    <w:rsid w:val="003653EC"/>
    <w:rsid w:val="003654AC"/>
    <w:rsid w:val="003658FF"/>
    <w:rsid w:val="00365EB6"/>
    <w:rsid w:val="00366773"/>
    <w:rsid w:val="00367622"/>
    <w:rsid w:val="003679A4"/>
    <w:rsid w:val="00367CF8"/>
    <w:rsid w:val="00370388"/>
    <w:rsid w:val="003708C6"/>
    <w:rsid w:val="00370DB2"/>
    <w:rsid w:val="003710BE"/>
    <w:rsid w:val="003710CF"/>
    <w:rsid w:val="003711D7"/>
    <w:rsid w:val="003718CC"/>
    <w:rsid w:val="00371BB4"/>
    <w:rsid w:val="00371E3C"/>
    <w:rsid w:val="0037285A"/>
    <w:rsid w:val="00372AD3"/>
    <w:rsid w:val="0037358A"/>
    <w:rsid w:val="00373CEA"/>
    <w:rsid w:val="00374337"/>
    <w:rsid w:val="0037452B"/>
    <w:rsid w:val="003750F6"/>
    <w:rsid w:val="0037517F"/>
    <w:rsid w:val="003754CC"/>
    <w:rsid w:val="003756FF"/>
    <w:rsid w:val="00375A43"/>
    <w:rsid w:val="003760FC"/>
    <w:rsid w:val="00376D1D"/>
    <w:rsid w:val="003777F9"/>
    <w:rsid w:val="00377E3B"/>
    <w:rsid w:val="00380455"/>
    <w:rsid w:val="00380E30"/>
    <w:rsid w:val="00381188"/>
    <w:rsid w:val="0038177C"/>
    <w:rsid w:val="003818A0"/>
    <w:rsid w:val="00381BE5"/>
    <w:rsid w:val="00381EBA"/>
    <w:rsid w:val="00382310"/>
    <w:rsid w:val="0038288D"/>
    <w:rsid w:val="00382B98"/>
    <w:rsid w:val="00382BB1"/>
    <w:rsid w:val="00382EB7"/>
    <w:rsid w:val="003832AF"/>
    <w:rsid w:val="003832C5"/>
    <w:rsid w:val="00383390"/>
    <w:rsid w:val="0038365C"/>
    <w:rsid w:val="0038369B"/>
    <w:rsid w:val="00383811"/>
    <w:rsid w:val="00383B78"/>
    <w:rsid w:val="003840A6"/>
    <w:rsid w:val="00384179"/>
    <w:rsid w:val="003849A9"/>
    <w:rsid w:val="00384C14"/>
    <w:rsid w:val="00384DD3"/>
    <w:rsid w:val="00385764"/>
    <w:rsid w:val="00385A9D"/>
    <w:rsid w:val="003865D9"/>
    <w:rsid w:val="00386EE1"/>
    <w:rsid w:val="00386FC8"/>
    <w:rsid w:val="00387031"/>
    <w:rsid w:val="003870BE"/>
    <w:rsid w:val="00387121"/>
    <w:rsid w:val="00387E3B"/>
    <w:rsid w:val="003900BB"/>
    <w:rsid w:val="003900BD"/>
    <w:rsid w:val="003902B1"/>
    <w:rsid w:val="00390ABD"/>
    <w:rsid w:val="00390DFF"/>
    <w:rsid w:val="003910D8"/>
    <w:rsid w:val="003910E8"/>
    <w:rsid w:val="00391316"/>
    <w:rsid w:val="00391540"/>
    <w:rsid w:val="00391548"/>
    <w:rsid w:val="0039179C"/>
    <w:rsid w:val="00391899"/>
    <w:rsid w:val="003923AF"/>
    <w:rsid w:val="00392642"/>
    <w:rsid w:val="0039367E"/>
    <w:rsid w:val="00393AEB"/>
    <w:rsid w:val="00394037"/>
    <w:rsid w:val="003940CF"/>
    <w:rsid w:val="00394423"/>
    <w:rsid w:val="00395D4F"/>
    <w:rsid w:val="00395F8D"/>
    <w:rsid w:val="003962BC"/>
    <w:rsid w:val="003964CD"/>
    <w:rsid w:val="0039659A"/>
    <w:rsid w:val="00396896"/>
    <w:rsid w:val="00396A8E"/>
    <w:rsid w:val="00396C00"/>
    <w:rsid w:val="00396D2D"/>
    <w:rsid w:val="00396FD0"/>
    <w:rsid w:val="00397478"/>
    <w:rsid w:val="0039776A"/>
    <w:rsid w:val="0039782A"/>
    <w:rsid w:val="00397946"/>
    <w:rsid w:val="00397B34"/>
    <w:rsid w:val="00397DCA"/>
    <w:rsid w:val="00397EC5"/>
    <w:rsid w:val="003A0636"/>
    <w:rsid w:val="003A1A7A"/>
    <w:rsid w:val="003A2392"/>
    <w:rsid w:val="003A266F"/>
    <w:rsid w:val="003A270E"/>
    <w:rsid w:val="003A2831"/>
    <w:rsid w:val="003A30B0"/>
    <w:rsid w:val="003A34D9"/>
    <w:rsid w:val="003A34E0"/>
    <w:rsid w:val="003A3629"/>
    <w:rsid w:val="003A3CB6"/>
    <w:rsid w:val="003A3ED1"/>
    <w:rsid w:val="003A3F91"/>
    <w:rsid w:val="003A418A"/>
    <w:rsid w:val="003A4490"/>
    <w:rsid w:val="003A44DB"/>
    <w:rsid w:val="003A4C14"/>
    <w:rsid w:val="003A4CA6"/>
    <w:rsid w:val="003A4DD5"/>
    <w:rsid w:val="003A5035"/>
    <w:rsid w:val="003A525C"/>
    <w:rsid w:val="003A569F"/>
    <w:rsid w:val="003A5DF4"/>
    <w:rsid w:val="003A62E4"/>
    <w:rsid w:val="003A62FE"/>
    <w:rsid w:val="003A6570"/>
    <w:rsid w:val="003A6DA2"/>
    <w:rsid w:val="003A6FAC"/>
    <w:rsid w:val="003A701B"/>
    <w:rsid w:val="003A71FD"/>
    <w:rsid w:val="003A73A4"/>
    <w:rsid w:val="003A74BF"/>
    <w:rsid w:val="003A7D96"/>
    <w:rsid w:val="003B0582"/>
    <w:rsid w:val="003B088F"/>
    <w:rsid w:val="003B0FAB"/>
    <w:rsid w:val="003B1481"/>
    <w:rsid w:val="003B20D2"/>
    <w:rsid w:val="003B2191"/>
    <w:rsid w:val="003B25D2"/>
    <w:rsid w:val="003B26B7"/>
    <w:rsid w:val="003B2B2C"/>
    <w:rsid w:val="003B2CF5"/>
    <w:rsid w:val="003B2F04"/>
    <w:rsid w:val="003B2F2E"/>
    <w:rsid w:val="003B3596"/>
    <w:rsid w:val="003B3697"/>
    <w:rsid w:val="003B3971"/>
    <w:rsid w:val="003B4806"/>
    <w:rsid w:val="003B4909"/>
    <w:rsid w:val="003B4BC2"/>
    <w:rsid w:val="003B55D1"/>
    <w:rsid w:val="003B577E"/>
    <w:rsid w:val="003B593B"/>
    <w:rsid w:val="003B5B61"/>
    <w:rsid w:val="003B5F36"/>
    <w:rsid w:val="003B631F"/>
    <w:rsid w:val="003B6A7F"/>
    <w:rsid w:val="003B6F2B"/>
    <w:rsid w:val="003B7421"/>
    <w:rsid w:val="003B7706"/>
    <w:rsid w:val="003C02E2"/>
    <w:rsid w:val="003C08DC"/>
    <w:rsid w:val="003C10C3"/>
    <w:rsid w:val="003C1495"/>
    <w:rsid w:val="003C1654"/>
    <w:rsid w:val="003C167B"/>
    <w:rsid w:val="003C1E7F"/>
    <w:rsid w:val="003C1FEB"/>
    <w:rsid w:val="003C21BF"/>
    <w:rsid w:val="003C22AF"/>
    <w:rsid w:val="003C25A4"/>
    <w:rsid w:val="003C2D2D"/>
    <w:rsid w:val="003C387F"/>
    <w:rsid w:val="003C3DC6"/>
    <w:rsid w:val="003C42FB"/>
    <w:rsid w:val="003C472B"/>
    <w:rsid w:val="003C5542"/>
    <w:rsid w:val="003C5967"/>
    <w:rsid w:val="003C5E37"/>
    <w:rsid w:val="003C608B"/>
    <w:rsid w:val="003C6683"/>
    <w:rsid w:val="003C66F9"/>
    <w:rsid w:val="003C7119"/>
    <w:rsid w:val="003C7259"/>
    <w:rsid w:val="003C76EF"/>
    <w:rsid w:val="003C7C15"/>
    <w:rsid w:val="003C7D19"/>
    <w:rsid w:val="003C7D2F"/>
    <w:rsid w:val="003C7D61"/>
    <w:rsid w:val="003C7FDC"/>
    <w:rsid w:val="003D03CF"/>
    <w:rsid w:val="003D0C5A"/>
    <w:rsid w:val="003D17C7"/>
    <w:rsid w:val="003D1828"/>
    <w:rsid w:val="003D19AE"/>
    <w:rsid w:val="003D1D2E"/>
    <w:rsid w:val="003D1DE4"/>
    <w:rsid w:val="003D1E9A"/>
    <w:rsid w:val="003D240C"/>
    <w:rsid w:val="003D2422"/>
    <w:rsid w:val="003D2B78"/>
    <w:rsid w:val="003D315F"/>
    <w:rsid w:val="003D38DC"/>
    <w:rsid w:val="003D39A1"/>
    <w:rsid w:val="003D3FBF"/>
    <w:rsid w:val="003D40A6"/>
    <w:rsid w:val="003D446B"/>
    <w:rsid w:val="003D46F6"/>
    <w:rsid w:val="003D47DF"/>
    <w:rsid w:val="003D4A30"/>
    <w:rsid w:val="003D4D44"/>
    <w:rsid w:val="003D4DC8"/>
    <w:rsid w:val="003D5116"/>
    <w:rsid w:val="003D572A"/>
    <w:rsid w:val="003D5822"/>
    <w:rsid w:val="003D5DE7"/>
    <w:rsid w:val="003D633E"/>
    <w:rsid w:val="003D6448"/>
    <w:rsid w:val="003D65E8"/>
    <w:rsid w:val="003D6621"/>
    <w:rsid w:val="003D667E"/>
    <w:rsid w:val="003D70A3"/>
    <w:rsid w:val="003D7452"/>
    <w:rsid w:val="003D79BB"/>
    <w:rsid w:val="003D7C98"/>
    <w:rsid w:val="003D7D9D"/>
    <w:rsid w:val="003E00AC"/>
    <w:rsid w:val="003E03C8"/>
    <w:rsid w:val="003E0543"/>
    <w:rsid w:val="003E13A3"/>
    <w:rsid w:val="003E1C30"/>
    <w:rsid w:val="003E1D02"/>
    <w:rsid w:val="003E1D92"/>
    <w:rsid w:val="003E24E4"/>
    <w:rsid w:val="003E2B84"/>
    <w:rsid w:val="003E313D"/>
    <w:rsid w:val="003E32D6"/>
    <w:rsid w:val="003E33D7"/>
    <w:rsid w:val="003E36A3"/>
    <w:rsid w:val="003E378C"/>
    <w:rsid w:val="003E39DA"/>
    <w:rsid w:val="003E40DD"/>
    <w:rsid w:val="003E48C1"/>
    <w:rsid w:val="003E49CA"/>
    <w:rsid w:val="003E4A71"/>
    <w:rsid w:val="003E4F31"/>
    <w:rsid w:val="003E52EC"/>
    <w:rsid w:val="003E5603"/>
    <w:rsid w:val="003E64C6"/>
    <w:rsid w:val="003E6A1F"/>
    <w:rsid w:val="003E70F3"/>
    <w:rsid w:val="003E749E"/>
    <w:rsid w:val="003E75B5"/>
    <w:rsid w:val="003E76F7"/>
    <w:rsid w:val="003E7F86"/>
    <w:rsid w:val="003F0066"/>
    <w:rsid w:val="003F0612"/>
    <w:rsid w:val="003F0747"/>
    <w:rsid w:val="003F079A"/>
    <w:rsid w:val="003F07CE"/>
    <w:rsid w:val="003F0A67"/>
    <w:rsid w:val="003F0CDA"/>
    <w:rsid w:val="003F1089"/>
    <w:rsid w:val="003F1C79"/>
    <w:rsid w:val="003F204F"/>
    <w:rsid w:val="003F2222"/>
    <w:rsid w:val="003F245F"/>
    <w:rsid w:val="003F2A26"/>
    <w:rsid w:val="003F2A59"/>
    <w:rsid w:val="003F2DCC"/>
    <w:rsid w:val="003F36E6"/>
    <w:rsid w:val="003F382D"/>
    <w:rsid w:val="003F4156"/>
    <w:rsid w:val="003F41E4"/>
    <w:rsid w:val="003F4258"/>
    <w:rsid w:val="003F4312"/>
    <w:rsid w:val="003F4B32"/>
    <w:rsid w:val="003F4ED3"/>
    <w:rsid w:val="003F5061"/>
    <w:rsid w:val="003F5568"/>
    <w:rsid w:val="003F5ADF"/>
    <w:rsid w:val="003F5CE6"/>
    <w:rsid w:val="003F5E92"/>
    <w:rsid w:val="003F5EB0"/>
    <w:rsid w:val="003F5FB7"/>
    <w:rsid w:val="003F613C"/>
    <w:rsid w:val="003F6923"/>
    <w:rsid w:val="003F6A75"/>
    <w:rsid w:val="003F6BBA"/>
    <w:rsid w:val="003F6EFF"/>
    <w:rsid w:val="003F726A"/>
    <w:rsid w:val="003F73BF"/>
    <w:rsid w:val="003F7AE6"/>
    <w:rsid w:val="003F7DC9"/>
    <w:rsid w:val="00400000"/>
    <w:rsid w:val="0040047E"/>
    <w:rsid w:val="00400752"/>
    <w:rsid w:val="004007A7"/>
    <w:rsid w:val="004008A9"/>
    <w:rsid w:val="00400B1A"/>
    <w:rsid w:val="00400B29"/>
    <w:rsid w:val="00400B3D"/>
    <w:rsid w:val="00400CD2"/>
    <w:rsid w:val="00400F31"/>
    <w:rsid w:val="004019F6"/>
    <w:rsid w:val="004019FE"/>
    <w:rsid w:val="00402812"/>
    <w:rsid w:val="004028BD"/>
    <w:rsid w:val="0040290A"/>
    <w:rsid w:val="00402B51"/>
    <w:rsid w:val="004030D0"/>
    <w:rsid w:val="00403361"/>
    <w:rsid w:val="00403A55"/>
    <w:rsid w:val="00403D43"/>
    <w:rsid w:val="00403DEC"/>
    <w:rsid w:val="0040423B"/>
    <w:rsid w:val="004043AE"/>
    <w:rsid w:val="0040445F"/>
    <w:rsid w:val="004044B9"/>
    <w:rsid w:val="004049C6"/>
    <w:rsid w:val="0040504B"/>
    <w:rsid w:val="00405910"/>
    <w:rsid w:val="004059F4"/>
    <w:rsid w:val="00405E36"/>
    <w:rsid w:val="00405F58"/>
    <w:rsid w:val="004069AD"/>
    <w:rsid w:val="00406AD4"/>
    <w:rsid w:val="00407A46"/>
    <w:rsid w:val="00407D77"/>
    <w:rsid w:val="00407FE5"/>
    <w:rsid w:val="004101B0"/>
    <w:rsid w:val="00410326"/>
    <w:rsid w:val="0041052E"/>
    <w:rsid w:val="004106AE"/>
    <w:rsid w:val="00410708"/>
    <w:rsid w:val="00410EC7"/>
    <w:rsid w:val="004110BA"/>
    <w:rsid w:val="00411164"/>
    <w:rsid w:val="0041144C"/>
    <w:rsid w:val="00411B39"/>
    <w:rsid w:val="00411F53"/>
    <w:rsid w:val="004124DE"/>
    <w:rsid w:val="004127A7"/>
    <w:rsid w:val="00412A2F"/>
    <w:rsid w:val="00412EA4"/>
    <w:rsid w:val="004136ED"/>
    <w:rsid w:val="00413A1E"/>
    <w:rsid w:val="00413C03"/>
    <w:rsid w:val="00413F34"/>
    <w:rsid w:val="00414476"/>
    <w:rsid w:val="00414C2E"/>
    <w:rsid w:val="004151BD"/>
    <w:rsid w:val="004151CF"/>
    <w:rsid w:val="00415759"/>
    <w:rsid w:val="00415E62"/>
    <w:rsid w:val="00416364"/>
    <w:rsid w:val="0041667E"/>
    <w:rsid w:val="0041682D"/>
    <w:rsid w:val="00416932"/>
    <w:rsid w:val="00416D89"/>
    <w:rsid w:val="004202D4"/>
    <w:rsid w:val="0042047F"/>
    <w:rsid w:val="00420698"/>
    <w:rsid w:val="00420AA6"/>
    <w:rsid w:val="00420B9F"/>
    <w:rsid w:val="0042130E"/>
    <w:rsid w:val="0042192C"/>
    <w:rsid w:val="00421B7C"/>
    <w:rsid w:val="00422260"/>
    <w:rsid w:val="00422434"/>
    <w:rsid w:val="004227EC"/>
    <w:rsid w:val="00422DD1"/>
    <w:rsid w:val="0042313B"/>
    <w:rsid w:val="004234CF"/>
    <w:rsid w:val="004240E6"/>
    <w:rsid w:val="0042413F"/>
    <w:rsid w:val="00424236"/>
    <w:rsid w:val="00424253"/>
    <w:rsid w:val="0042491B"/>
    <w:rsid w:val="004250FC"/>
    <w:rsid w:val="004251FC"/>
    <w:rsid w:val="00425636"/>
    <w:rsid w:val="00425B55"/>
    <w:rsid w:val="00425E7C"/>
    <w:rsid w:val="004261CF"/>
    <w:rsid w:val="004265E9"/>
    <w:rsid w:val="00426956"/>
    <w:rsid w:val="00426A76"/>
    <w:rsid w:val="00426D0B"/>
    <w:rsid w:val="00426EE4"/>
    <w:rsid w:val="00426F66"/>
    <w:rsid w:val="004278D8"/>
    <w:rsid w:val="004319F8"/>
    <w:rsid w:val="00431B8B"/>
    <w:rsid w:val="00431D1C"/>
    <w:rsid w:val="00431DA2"/>
    <w:rsid w:val="00431E55"/>
    <w:rsid w:val="004321F6"/>
    <w:rsid w:val="00432D39"/>
    <w:rsid w:val="00433044"/>
    <w:rsid w:val="00433747"/>
    <w:rsid w:val="00433764"/>
    <w:rsid w:val="0043380B"/>
    <w:rsid w:val="00433969"/>
    <w:rsid w:val="00434088"/>
    <w:rsid w:val="0043453F"/>
    <w:rsid w:val="004346AB"/>
    <w:rsid w:val="00434EA7"/>
    <w:rsid w:val="004350B4"/>
    <w:rsid w:val="00435591"/>
    <w:rsid w:val="004355C0"/>
    <w:rsid w:val="00436366"/>
    <w:rsid w:val="0043656F"/>
    <w:rsid w:val="0043665B"/>
    <w:rsid w:val="004370C7"/>
    <w:rsid w:val="0043719D"/>
    <w:rsid w:val="00437307"/>
    <w:rsid w:val="004375B9"/>
    <w:rsid w:val="00437B9E"/>
    <w:rsid w:val="004402E5"/>
    <w:rsid w:val="0044035B"/>
    <w:rsid w:val="0044063A"/>
    <w:rsid w:val="00441328"/>
    <w:rsid w:val="00441748"/>
    <w:rsid w:val="00442122"/>
    <w:rsid w:val="004425B6"/>
    <w:rsid w:val="004428D0"/>
    <w:rsid w:val="004431E3"/>
    <w:rsid w:val="004433D6"/>
    <w:rsid w:val="0044397B"/>
    <w:rsid w:val="004439D5"/>
    <w:rsid w:val="004440A6"/>
    <w:rsid w:val="00444185"/>
    <w:rsid w:val="004443A7"/>
    <w:rsid w:val="0044442C"/>
    <w:rsid w:val="004445DD"/>
    <w:rsid w:val="00444675"/>
    <w:rsid w:val="00444A77"/>
    <w:rsid w:val="0044527C"/>
    <w:rsid w:val="00445941"/>
    <w:rsid w:val="00445B9E"/>
    <w:rsid w:val="00445E62"/>
    <w:rsid w:val="00446213"/>
    <w:rsid w:val="004464EB"/>
    <w:rsid w:val="00446CE6"/>
    <w:rsid w:val="00446D76"/>
    <w:rsid w:val="00446ED4"/>
    <w:rsid w:val="004472D1"/>
    <w:rsid w:val="0044769C"/>
    <w:rsid w:val="00447900"/>
    <w:rsid w:val="00447D26"/>
    <w:rsid w:val="00447D6A"/>
    <w:rsid w:val="00447DFC"/>
    <w:rsid w:val="00450523"/>
    <w:rsid w:val="00450661"/>
    <w:rsid w:val="00450680"/>
    <w:rsid w:val="00450944"/>
    <w:rsid w:val="00450ABA"/>
    <w:rsid w:val="00450FDD"/>
    <w:rsid w:val="004513D7"/>
    <w:rsid w:val="00451E90"/>
    <w:rsid w:val="00452574"/>
    <w:rsid w:val="00452A7F"/>
    <w:rsid w:val="00452AB8"/>
    <w:rsid w:val="00452E57"/>
    <w:rsid w:val="004539F1"/>
    <w:rsid w:val="00453B44"/>
    <w:rsid w:val="00454339"/>
    <w:rsid w:val="00454436"/>
    <w:rsid w:val="004544D1"/>
    <w:rsid w:val="0045459D"/>
    <w:rsid w:val="004547CF"/>
    <w:rsid w:val="004547FD"/>
    <w:rsid w:val="00454C5C"/>
    <w:rsid w:val="004552F9"/>
    <w:rsid w:val="00455534"/>
    <w:rsid w:val="00455D45"/>
    <w:rsid w:val="004561D9"/>
    <w:rsid w:val="004563E9"/>
    <w:rsid w:val="00457007"/>
    <w:rsid w:val="00457333"/>
    <w:rsid w:val="004579E2"/>
    <w:rsid w:val="00460023"/>
    <w:rsid w:val="00460230"/>
    <w:rsid w:val="00460881"/>
    <w:rsid w:val="00460E01"/>
    <w:rsid w:val="004615D8"/>
    <w:rsid w:val="0046185A"/>
    <w:rsid w:val="00462804"/>
    <w:rsid w:val="004634BD"/>
    <w:rsid w:val="0046375C"/>
    <w:rsid w:val="00463864"/>
    <w:rsid w:val="00463971"/>
    <w:rsid w:val="00463B87"/>
    <w:rsid w:val="00463E43"/>
    <w:rsid w:val="004641DA"/>
    <w:rsid w:val="00464595"/>
    <w:rsid w:val="00464BD3"/>
    <w:rsid w:val="00464F26"/>
    <w:rsid w:val="004658B5"/>
    <w:rsid w:val="00465A92"/>
    <w:rsid w:val="00466B12"/>
    <w:rsid w:val="00466EF9"/>
    <w:rsid w:val="00466F19"/>
    <w:rsid w:val="00466FC3"/>
    <w:rsid w:val="004671DB"/>
    <w:rsid w:val="00467A39"/>
    <w:rsid w:val="004706DB"/>
    <w:rsid w:val="00471CBA"/>
    <w:rsid w:val="00471E42"/>
    <w:rsid w:val="00471E9C"/>
    <w:rsid w:val="00471EA5"/>
    <w:rsid w:val="0047244F"/>
    <w:rsid w:val="004728E1"/>
    <w:rsid w:val="00472A79"/>
    <w:rsid w:val="0047350C"/>
    <w:rsid w:val="00473F19"/>
    <w:rsid w:val="00474976"/>
    <w:rsid w:val="004757BC"/>
    <w:rsid w:val="0047593C"/>
    <w:rsid w:val="00475B14"/>
    <w:rsid w:val="00475E22"/>
    <w:rsid w:val="00475EEC"/>
    <w:rsid w:val="004760B2"/>
    <w:rsid w:val="004760C0"/>
    <w:rsid w:val="00476C39"/>
    <w:rsid w:val="00476CDB"/>
    <w:rsid w:val="00476CED"/>
    <w:rsid w:val="00476D34"/>
    <w:rsid w:val="004772F8"/>
    <w:rsid w:val="00477C9A"/>
    <w:rsid w:val="00477D59"/>
    <w:rsid w:val="00480142"/>
    <w:rsid w:val="004804EA"/>
    <w:rsid w:val="0048055F"/>
    <w:rsid w:val="0048088E"/>
    <w:rsid w:val="00480F2B"/>
    <w:rsid w:val="004816C3"/>
    <w:rsid w:val="00481C01"/>
    <w:rsid w:val="00482720"/>
    <w:rsid w:val="00482F56"/>
    <w:rsid w:val="004835E7"/>
    <w:rsid w:val="00484223"/>
    <w:rsid w:val="0048465A"/>
    <w:rsid w:val="00484779"/>
    <w:rsid w:val="004847DF"/>
    <w:rsid w:val="00484B7B"/>
    <w:rsid w:val="00484C11"/>
    <w:rsid w:val="0048574B"/>
    <w:rsid w:val="004859E1"/>
    <w:rsid w:val="00485A74"/>
    <w:rsid w:val="00485AA7"/>
    <w:rsid w:val="00485BA4"/>
    <w:rsid w:val="00486699"/>
    <w:rsid w:val="00486704"/>
    <w:rsid w:val="004867E2"/>
    <w:rsid w:val="00486859"/>
    <w:rsid w:val="0048696E"/>
    <w:rsid w:val="00486A4E"/>
    <w:rsid w:val="004874D0"/>
    <w:rsid w:val="004879F7"/>
    <w:rsid w:val="00487CC2"/>
    <w:rsid w:val="00487FCA"/>
    <w:rsid w:val="00490B17"/>
    <w:rsid w:val="004913A8"/>
    <w:rsid w:val="004915A0"/>
    <w:rsid w:val="00491B3A"/>
    <w:rsid w:val="0049231D"/>
    <w:rsid w:val="0049233F"/>
    <w:rsid w:val="004924CD"/>
    <w:rsid w:val="00492675"/>
    <w:rsid w:val="00492CFD"/>
    <w:rsid w:val="00492D32"/>
    <w:rsid w:val="00493940"/>
    <w:rsid w:val="00493961"/>
    <w:rsid w:val="00494207"/>
    <w:rsid w:val="0049435E"/>
    <w:rsid w:val="004946E3"/>
    <w:rsid w:val="00494DD5"/>
    <w:rsid w:val="0049525F"/>
    <w:rsid w:val="004954B5"/>
    <w:rsid w:val="004962D2"/>
    <w:rsid w:val="004962E3"/>
    <w:rsid w:val="00496500"/>
    <w:rsid w:val="00496760"/>
    <w:rsid w:val="0049683F"/>
    <w:rsid w:val="00496B11"/>
    <w:rsid w:val="00496B6A"/>
    <w:rsid w:val="00496DEF"/>
    <w:rsid w:val="00497B1C"/>
    <w:rsid w:val="004A010E"/>
    <w:rsid w:val="004A03EC"/>
    <w:rsid w:val="004A0995"/>
    <w:rsid w:val="004A0DA1"/>
    <w:rsid w:val="004A1130"/>
    <w:rsid w:val="004A11DD"/>
    <w:rsid w:val="004A13BC"/>
    <w:rsid w:val="004A13D6"/>
    <w:rsid w:val="004A1B52"/>
    <w:rsid w:val="004A2389"/>
    <w:rsid w:val="004A2467"/>
    <w:rsid w:val="004A3164"/>
    <w:rsid w:val="004A35D7"/>
    <w:rsid w:val="004A364B"/>
    <w:rsid w:val="004A414C"/>
    <w:rsid w:val="004A4167"/>
    <w:rsid w:val="004A47CB"/>
    <w:rsid w:val="004A483B"/>
    <w:rsid w:val="004A5213"/>
    <w:rsid w:val="004A52E9"/>
    <w:rsid w:val="004A59EA"/>
    <w:rsid w:val="004A5E08"/>
    <w:rsid w:val="004A5F69"/>
    <w:rsid w:val="004A6040"/>
    <w:rsid w:val="004A6597"/>
    <w:rsid w:val="004A680B"/>
    <w:rsid w:val="004A698B"/>
    <w:rsid w:val="004A71D3"/>
    <w:rsid w:val="004A7751"/>
    <w:rsid w:val="004A7848"/>
    <w:rsid w:val="004A7852"/>
    <w:rsid w:val="004A793B"/>
    <w:rsid w:val="004A7D0E"/>
    <w:rsid w:val="004B04E4"/>
    <w:rsid w:val="004B1653"/>
    <w:rsid w:val="004B16E5"/>
    <w:rsid w:val="004B1CB4"/>
    <w:rsid w:val="004B2779"/>
    <w:rsid w:val="004B296F"/>
    <w:rsid w:val="004B2E78"/>
    <w:rsid w:val="004B2F18"/>
    <w:rsid w:val="004B2F66"/>
    <w:rsid w:val="004B33F7"/>
    <w:rsid w:val="004B3702"/>
    <w:rsid w:val="004B3DDB"/>
    <w:rsid w:val="004B3E00"/>
    <w:rsid w:val="004B4026"/>
    <w:rsid w:val="004B44FD"/>
    <w:rsid w:val="004B4CF3"/>
    <w:rsid w:val="004B5394"/>
    <w:rsid w:val="004B567E"/>
    <w:rsid w:val="004B5CFC"/>
    <w:rsid w:val="004B6E4A"/>
    <w:rsid w:val="004B6F79"/>
    <w:rsid w:val="004B757E"/>
    <w:rsid w:val="004B7602"/>
    <w:rsid w:val="004B764E"/>
    <w:rsid w:val="004B774D"/>
    <w:rsid w:val="004B7C94"/>
    <w:rsid w:val="004B7F6C"/>
    <w:rsid w:val="004B7FD9"/>
    <w:rsid w:val="004C035A"/>
    <w:rsid w:val="004C0447"/>
    <w:rsid w:val="004C0F70"/>
    <w:rsid w:val="004C11A8"/>
    <w:rsid w:val="004C1236"/>
    <w:rsid w:val="004C1C5B"/>
    <w:rsid w:val="004C25B3"/>
    <w:rsid w:val="004C2AC2"/>
    <w:rsid w:val="004C2B47"/>
    <w:rsid w:val="004C2BC3"/>
    <w:rsid w:val="004C2D4B"/>
    <w:rsid w:val="004C3515"/>
    <w:rsid w:val="004C3700"/>
    <w:rsid w:val="004C3862"/>
    <w:rsid w:val="004C3B02"/>
    <w:rsid w:val="004C3C21"/>
    <w:rsid w:val="004C4A17"/>
    <w:rsid w:val="004C4AED"/>
    <w:rsid w:val="004C4C73"/>
    <w:rsid w:val="004C51F3"/>
    <w:rsid w:val="004C5875"/>
    <w:rsid w:val="004C5917"/>
    <w:rsid w:val="004C6480"/>
    <w:rsid w:val="004C6507"/>
    <w:rsid w:val="004C6787"/>
    <w:rsid w:val="004C6A93"/>
    <w:rsid w:val="004C705A"/>
    <w:rsid w:val="004C7126"/>
    <w:rsid w:val="004C73E9"/>
    <w:rsid w:val="004C79C6"/>
    <w:rsid w:val="004C7AE6"/>
    <w:rsid w:val="004C7B3E"/>
    <w:rsid w:val="004D0195"/>
    <w:rsid w:val="004D0604"/>
    <w:rsid w:val="004D1BB3"/>
    <w:rsid w:val="004D1DB7"/>
    <w:rsid w:val="004D23A2"/>
    <w:rsid w:val="004D2C2D"/>
    <w:rsid w:val="004D32AA"/>
    <w:rsid w:val="004D3887"/>
    <w:rsid w:val="004D40CE"/>
    <w:rsid w:val="004D419B"/>
    <w:rsid w:val="004D4276"/>
    <w:rsid w:val="004D442F"/>
    <w:rsid w:val="004D45DF"/>
    <w:rsid w:val="004D4A3D"/>
    <w:rsid w:val="004D4BAE"/>
    <w:rsid w:val="004D4E51"/>
    <w:rsid w:val="004D5009"/>
    <w:rsid w:val="004D5524"/>
    <w:rsid w:val="004D5A08"/>
    <w:rsid w:val="004D61D2"/>
    <w:rsid w:val="004D69B5"/>
    <w:rsid w:val="004D7227"/>
    <w:rsid w:val="004D77A8"/>
    <w:rsid w:val="004D7B5E"/>
    <w:rsid w:val="004E0509"/>
    <w:rsid w:val="004E09A3"/>
    <w:rsid w:val="004E0D97"/>
    <w:rsid w:val="004E0E7F"/>
    <w:rsid w:val="004E0EB8"/>
    <w:rsid w:val="004E0FFC"/>
    <w:rsid w:val="004E1284"/>
    <w:rsid w:val="004E18E9"/>
    <w:rsid w:val="004E1926"/>
    <w:rsid w:val="004E207A"/>
    <w:rsid w:val="004E2815"/>
    <w:rsid w:val="004E2ADC"/>
    <w:rsid w:val="004E2BDF"/>
    <w:rsid w:val="004E2C4E"/>
    <w:rsid w:val="004E3194"/>
    <w:rsid w:val="004E327B"/>
    <w:rsid w:val="004E3574"/>
    <w:rsid w:val="004E35CE"/>
    <w:rsid w:val="004E43B2"/>
    <w:rsid w:val="004E495A"/>
    <w:rsid w:val="004E5991"/>
    <w:rsid w:val="004E5C61"/>
    <w:rsid w:val="004E61D5"/>
    <w:rsid w:val="004E6415"/>
    <w:rsid w:val="004E7082"/>
    <w:rsid w:val="004E77F3"/>
    <w:rsid w:val="004E7A8A"/>
    <w:rsid w:val="004E7B9D"/>
    <w:rsid w:val="004E7EE1"/>
    <w:rsid w:val="004F11AC"/>
    <w:rsid w:val="004F16AB"/>
    <w:rsid w:val="004F190E"/>
    <w:rsid w:val="004F1D02"/>
    <w:rsid w:val="004F1F0F"/>
    <w:rsid w:val="004F22B7"/>
    <w:rsid w:val="004F243B"/>
    <w:rsid w:val="004F2611"/>
    <w:rsid w:val="004F2679"/>
    <w:rsid w:val="004F2F21"/>
    <w:rsid w:val="004F2F8B"/>
    <w:rsid w:val="004F3CD2"/>
    <w:rsid w:val="004F3DE5"/>
    <w:rsid w:val="004F42BE"/>
    <w:rsid w:val="004F47F9"/>
    <w:rsid w:val="004F4958"/>
    <w:rsid w:val="004F4B9B"/>
    <w:rsid w:val="004F4EF1"/>
    <w:rsid w:val="004F54E7"/>
    <w:rsid w:val="004F6279"/>
    <w:rsid w:val="004F630F"/>
    <w:rsid w:val="004F65A8"/>
    <w:rsid w:val="004F6913"/>
    <w:rsid w:val="004F6EB4"/>
    <w:rsid w:val="004F71E1"/>
    <w:rsid w:val="004F75FE"/>
    <w:rsid w:val="004F7865"/>
    <w:rsid w:val="004F7E8F"/>
    <w:rsid w:val="00500081"/>
    <w:rsid w:val="00500464"/>
    <w:rsid w:val="00500514"/>
    <w:rsid w:val="005006A9"/>
    <w:rsid w:val="00500F47"/>
    <w:rsid w:val="00500FB9"/>
    <w:rsid w:val="00501164"/>
    <w:rsid w:val="00501308"/>
    <w:rsid w:val="00501717"/>
    <w:rsid w:val="0050174E"/>
    <w:rsid w:val="00501854"/>
    <w:rsid w:val="00501C28"/>
    <w:rsid w:val="00501E5D"/>
    <w:rsid w:val="0050216A"/>
    <w:rsid w:val="0050219B"/>
    <w:rsid w:val="00502283"/>
    <w:rsid w:val="0050252E"/>
    <w:rsid w:val="00502F95"/>
    <w:rsid w:val="005032A9"/>
    <w:rsid w:val="00503F17"/>
    <w:rsid w:val="00503F3A"/>
    <w:rsid w:val="00504078"/>
    <w:rsid w:val="00504162"/>
    <w:rsid w:val="005042D2"/>
    <w:rsid w:val="005045D5"/>
    <w:rsid w:val="00504BFD"/>
    <w:rsid w:val="00505668"/>
    <w:rsid w:val="00506356"/>
    <w:rsid w:val="00506928"/>
    <w:rsid w:val="00506C6B"/>
    <w:rsid w:val="00506D2E"/>
    <w:rsid w:val="00506D96"/>
    <w:rsid w:val="005070DC"/>
    <w:rsid w:val="0050712F"/>
    <w:rsid w:val="0050714E"/>
    <w:rsid w:val="005073E7"/>
    <w:rsid w:val="005077EF"/>
    <w:rsid w:val="00510663"/>
    <w:rsid w:val="00510834"/>
    <w:rsid w:val="00510946"/>
    <w:rsid w:val="005110B7"/>
    <w:rsid w:val="0051177F"/>
    <w:rsid w:val="00511AD5"/>
    <w:rsid w:val="00511DC7"/>
    <w:rsid w:val="0051207D"/>
    <w:rsid w:val="0051281C"/>
    <w:rsid w:val="00512F96"/>
    <w:rsid w:val="005131B7"/>
    <w:rsid w:val="00513698"/>
    <w:rsid w:val="00513821"/>
    <w:rsid w:val="005139EA"/>
    <w:rsid w:val="00513B7F"/>
    <w:rsid w:val="005142C5"/>
    <w:rsid w:val="00514691"/>
    <w:rsid w:val="0051501B"/>
    <w:rsid w:val="005152B5"/>
    <w:rsid w:val="00515886"/>
    <w:rsid w:val="005159F1"/>
    <w:rsid w:val="00515ABE"/>
    <w:rsid w:val="00515DD5"/>
    <w:rsid w:val="005164D9"/>
    <w:rsid w:val="00516671"/>
    <w:rsid w:val="00516BC4"/>
    <w:rsid w:val="00516FB5"/>
    <w:rsid w:val="0051723B"/>
    <w:rsid w:val="0051784F"/>
    <w:rsid w:val="00517C04"/>
    <w:rsid w:val="00517CF8"/>
    <w:rsid w:val="00520251"/>
    <w:rsid w:val="0052057D"/>
    <w:rsid w:val="00520FFF"/>
    <w:rsid w:val="0052123C"/>
    <w:rsid w:val="00521319"/>
    <w:rsid w:val="00521D7C"/>
    <w:rsid w:val="00522331"/>
    <w:rsid w:val="00522BC8"/>
    <w:rsid w:val="00522BD5"/>
    <w:rsid w:val="00522E8F"/>
    <w:rsid w:val="00523B57"/>
    <w:rsid w:val="00523C28"/>
    <w:rsid w:val="00523E6E"/>
    <w:rsid w:val="0052415D"/>
    <w:rsid w:val="0052469D"/>
    <w:rsid w:val="00524F85"/>
    <w:rsid w:val="005257FE"/>
    <w:rsid w:val="00525CE3"/>
    <w:rsid w:val="00526057"/>
    <w:rsid w:val="005261A0"/>
    <w:rsid w:val="005268A9"/>
    <w:rsid w:val="00526967"/>
    <w:rsid w:val="005278D6"/>
    <w:rsid w:val="00527BEC"/>
    <w:rsid w:val="00527C0A"/>
    <w:rsid w:val="00530218"/>
    <w:rsid w:val="00530571"/>
    <w:rsid w:val="00530761"/>
    <w:rsid w:val="00530CE1"/>
    <w:rsid w:val="00531320"/>
    <w:rsid w:val="0053176B"/>
    <w:rsid w:val="00531A6D"/>
    <w:rsid w:val="00531B37"/>
    <w:rsid w:val="005325FB"/>
    <w:rsid w:val="00532F08"/>
    <w:rsid w:val="00533611"/>
    <w:rsid w:val="00533EEE"/>
    <w:rsid w:val="005341B3"/>
    <w:rsid w:val="005349F2"/>
    <w:rsid w:val="005355E7"/>
    <w:rsid w:val="00535BAE"/>
    <w:rsid w:val="00535C6B"/>
    <w:rsid w:val="00535DD7"/>
    <w:rsid w:val="00535FB8"/>
    <w:rsid w:val="005361BC"/>
    <w:rsid w:val="00536762"/>
    <w:rsid w:val="005369BD"/>
    <w:rsid w:val="00536BA1"/>
    <w:rsid w:val="00536F42"/>
    <w:rsid w:val="00537182"/>
    <w:rsid w:val="00540B9F"/>
    <w:rsid w:val="00540D87"/>
    <w:rsid w:val="00540F53"/>
    <w:rsid w:val="005419C4"/>
    <w:rsid w:val="00541B75"/>
    <w:rsid w:val="00541EDD"/>
    <w:rsid w:val="0054224F"/>
    <w:rsid w:val="0054236F"/>
    <w:rsid w:val="005425F9"/>
    <w:rsid w:val="00542743"/>
    <w:rsid w:val="00542966"/>
    <w:rsid w:val="00542C2D"/>
    <w:rsid w:val="00542F05"/>
    <w:rsid w:val="00543312"/>
    <w:rsid w:val="005441C5"/>
    <w:rsid w:val="005442AF"/>
    <w:rsid w:val="00544A26"/>
    <w:rsid w:val="00544DDB"/>
    <w:rsid w:val="00544E45"/>
    <w:rsid w:val="00545096"/>
    <w:rsid w:val="00545688"/>
    <w:rsid w:val="00545A84"/>
    <w:rsid w:val="00545D4C"/>
    <w:rsid w:val="005460E3"/>
    <w:rsid w:val="005464FE"/>
    <w:rsid w:val="00546871"/>
    <w:rsid w:val="00546AB1"/>
    <w:rsid w:val="005472F4"/>
    <w:rsid w:val="00547347"/>
    <w:rsid w:val="005478BD"/>
    <w:rsid w:val="00547983"/>
    <w:rsid w:val="005479DF"/>
    <w:rsid w:val="005479E3"/>
    <w:rsid w:val="00547DD8"/>
    <w:rsid w:val="00547FD2"/>
    <w:rsid w:val="005501B2"/>
    <w:rsid w:val="00550A47"/>
    <w:rsid w:val="00550D75"/>
    <w:rsid w:val="0055132C"/>
    <w:rsid w:val="00551985"/>
    <w:rsid w:val="00551B54"/>
    <w:rsid w:val="00552526"/>
    <w:rsid w:val="005528C5"/>
    <w:rsid w:val="0055296A"/>
    <w:rsid w:val="00552A83"/>
    <w:rsid w:val="00552B68"/>
    <w:rsid w:val="00552BD3"/>
    <w:rsid w:val="00552D2A"/>
    <w:rsid w:val="005532A0"/>
    <w:rsid w:val="005535D6"/>
    <w:rsid w:val="005536F5"/>
    <w:rsid w:val="00553CF0"/>
    <w:rsid w:val="00553CF4"/>
    <w:rsid w:val="00553EB9"/>
    <w:rsid w:val="005541DA"/>
    <w:rsid w:val="005546B8"/>
    <w:rsid w:val="00555109"/>
    <w:rsid w:val="00555225"/>
    <w:rsid w:val="00555607"/>
    <w:rsid w:val="00555832"/>
    <w:rsid w:val="00555D5E"/>
    <w:rsid w:val="00555FDF"/>
    <w:rsid w:val="0055605D"/>
    <w:rsid w:val="00556B35"/>
    <w:rsid w:val="00556BF1"/>
    <w:rsid w:val="00556E13"/>
    <w:rsid w:val="00557054"/>
    <w:rsid w:val="0055741A"/>
    <w:rsid w:val="00557782"/>
    <w:rsid w:val="005579F3"/>
    <w:rsid w:val="00557DAD"/>
    <w:rsid w:val="00557F0B"/>
    <w:rsid w:val="00560210"/>
    <w:rsid w:val="00560212"/>
    <w:rsid w:val="005611B7"/>
    <w:rsid w:val="005618D4"/>
    <w:rsid w:val="00561BF9"/>
    <w:rsid w:val="00561F21"/>
    <w:rsid w:val="0056288C"/>
    <w:rsid w:val="00563A28"/>
    <w:rsid w:val="005646A5"/>
    <w:rsid w:val="0056473F"/>
    <w:rsid w:val="005647C3"/>
    <w:rsid w:val="00564867"/>
    <w:rsid w:val="00564A47"/>
    <w:rsid w:val="00564BA1"/>
    <w:rsid w:val="00564C67"/>
    <w:rsid w:val="00564CD3"/>
    <w:rsid w:val="00565207"/>
    <w:rsid w:val="0056524E"/>
    <w:rsid w:val="00565336"/>
    <w:rsid w:val="005656B6"/>
    <w:rsid w:val="00565C79"/>
    <w:rsid w:val="00565DF0"/>
    <w:rsid w:val="0056608C"/>
    <w:rsid w:val="00566261"/>
    <w:rsid w:val="005663E7"/>
    <w:rsid w:val="00566565"/>
    <w:rsid w:val="0056685D"/>
    <w:rsid w:val="0056696F"/>
    <w:rsid w:val="005669BD"/>
    <w:rsid w:val="0056789B"/>
    <w:rsid w:val="00567CC9"/>
    <w:rsid w:val="00567E6F"/>
    <w:rsid w:val="0057033B"/>
    <w:rsid w:val="00570402"/>
    <w:rsid w:val="005709E3"/>
    <w:rsid w:val="00570DED"/>
    <w:rsid w:val="005714B5"/>
    <w:rsid w:val="00571694"/>
    <w:rsid w:val="00571914"/>
    <w:rsid w:val="00571E05"/>
    <w:rsid w:val="00572269"/>
    <w:rsid w:val="005723BB"/>
    <w:rsid w:val="0057244A"/>
    <w:rsid w:val="00572465"/>
    <w:rsid w:val="00572C2F"/>
    <w:rsid w:val="00572E62"/>
    <w:rsid w:val="00572F26"/>
    <w:rsid w:val="00573067"/>
    <w:rsid w:val="0057307F"/>
    <w:rsid w:val="00573110"/>
    <w:rsid w:val="00574195"/>
    <w:rsid w:val="00574333"/>
    <w:rsid w:val="005750C5"/>
    <w:rsid w:val="0057528A"/>
    <w:rsid w:val="005752DE"/>
    <w:rsid w:val="00575BDB"/>
    <w:rsid w:val="00575D60"/>
    <w:rsid w:val="00575D8D"/>
    <w:rsid w:val="0057627F"/>
    <w:rsid w:val="00576624"/>
    <w:rsid w:val="0057662F"/>
    <w:rsid w:val="005766A8"/>
    <w:rsid w:val="00576972"/>
    <w:rsid w:val="00576BBF"/>
    <w:rsid w:val="00576D77"/>
    <w:rsid w:val="00576FBF"/>
    <w:rsid w:val="00577248"/>
    <w:rsid w:val="005777A3"/>
    <w:rsid w:val="00577FFA"/>
    <w:rsid w:val="005805B8"/>
    <w:rsid w:val="00580D35"/>
    <w:rsid w:val="005814EB"/>
    <w:rsid w:val="00582040"/>
    <w:rsid w:val="005823A8"/>
    <w:rsid w:val="00583699"/>
    <w:rsid w:val="00584195"/>
    <w:rsid w:val="0058444B"/>
    <w:rsid w:val="005847B7"/>
    <w:rsid w:val="00584C66"/>
    <w:rsid w:val="00584FFC"/>
    <w:rsid w:val="005856BC"/>
    <w:rsid w:val="00585B76"/>
    <w:rsid w:val="00585B94"/>
    <w:rsid w:val="00585CDD"/>
    <w:rsid w:val="00586755"/>
    <w:rsid w:val="00586C71"/>
    <w:rsid w:val="00587058"/>
    <w:rsid w:val="005870EE"/>
    <w:rsid w:val="005872A5"/>
    <w:rsid w:val="00587574"/>
    <w:rsid w:val="00587757"/>
    <w:rsid w:val="0058780C"/>
    <w:rsid w:val="00587D82"/>
    <w:rsid w:val="00587F2C"/>
    <w:rsid w:val="005904CE"/>
    <w:rsid w:val="00590746"/>
    <w:rsid w:val="00590D50"/>
    <w:rsid w:val="0059104B"/>
    <w:rsid w:val="00591087"/>
    <w:rsid w:val="00591957"/>
    <w:rsid w:val="00592898"/>
    <w:rsid w:val="00592AAD"/>
    <w:rsid w:val="00592FF5"/>
    <w:rsid w:val="00593BAB"/>
    <w:rsid w:val="00594A1E"/>
    <w:rsid w:val="00594E51"/>
    <w:rsid w:val="00595130"/>
    <w:rsid w:val="005958CE"/>
    <w:rsid w:val="005962B0"/>
    <w:rsid w:val="00596F69"/>
    <w:rsid w:val="0059733B"/>
    <w:rsid w:val="005977AB"/>
    <w:rsid w:val="00597B03"/>
    <w:rsid w:val="00597BF9"/>
    <w:rsid w:val="005A07BA"/>
    <w:rsid w:val="005A08FE"/>
    <w:rsid w:val="005A0C11"/>
    <w:rsid w:val="005A0FE6"/>
    <w:rsid w:val="005A18B5"/>
    <w:rsid w:val="005A1ACF"/>
    <w:rsid w:val="005A1C85"/>
    <w:rsid w:val="005A21F4"/>
    <w:rsid w:val="005A2CC7"/>
    <w:rsid w:val="005A3089"/>
    <w:rsid w:val="005A308E"/>
    <w:rsid w:val="005A309A"/>
    <w:rsid w:val="005A330E"/>
    <w:rsid w:val="005A3333"/>
    <w:rsid w:val="005A3690"/>
    <w:rsid w:val="005A373D"/>
    <w:rsid w:val="005A3762"/>
    <w:rsid w:val="005A394E"/>
    <w:rsid w:val="005A397D"/>
    <w:rsid w:val="005A5886"/>
    <w:rsid w:val="005A5BB9"/>
    <w:rsid w:val="005A66E7"/>
    <w:rsid w:val="005A7ADC"/>
    <w:rsid w:val="005B053C"/>
    <w:rsid w:val="005B07A7"/>
    <w:rsid w:val="005B0876"/>
    <w:rsid w:val="005B0B58"/>
    <w:rsid w:val="005B1086"/>
    <w:rsid w:val="005B10AE"/>
    <w:rsid w:val="005B1963"/>
    <w:rsid w:val="005B1FC4"/>
    <w:rsid w:val="005B2007"/>
    <w:rsid w:val="005B2333"/>
    <w:rsid w:val="005B2484"/>
    <w:rsid w:val="005B2CED"/>
    <w:rsid w:val="005B2F0F"/>
    <w:rsid w:val="005B2F80"/>
    <w:rsid w:val="005B33E3"/>
    <w:rsid w:val="005B366F"/>
    <w:rsid w:val="005B36B1"/>
    <w:rsid w:val="005B3D23"/>
    <w:rsid w:val="005B4553"/>
    <w:rsid w:val="005B4770"/>
    <w:rsid w:val="005B4A32"/>
    <w:rsid w:val="005B4E53"/>
    <w:rsid w:val="005B523B"/>
    <w:rsid w:val="005B5471"/>
    <w:rsid w:val="005B5857"/>
    <w:rsid w:val="005B5E75"/>
    <w:rsid w:val="005B5EC6"/>
    <w:rsid w:val="005B60A1"/>
    <w:rsid w:val="005B62E7"/>
    <w:rsid w:val="005B63F9"/>
    <w:rsid w:val="005B6516"/>
    <w:rsid w:val="005B66C3"/>
    <w:rsid w:val="005B673B"/>
    <w:rsid w:val="005B6836"/>
    <w:rsid w:val="005B6F56"/>
    <w:rsid w:val="005B6F86"/>
    <w:rsid w:val="005B70F9"/>
    <w:rsid w:val="005B736F"/>
    <w:rsid w:val="005B77A8"/>
    <w:rsid w:val="005B7AA3"/>
    <w:rsid w:val="005C0A7D"/>
    <w:rsid w:val="005C0D1F"/>
    <w:rsid w:val="005C1050"/>
    <w:rsid w:val="005C122A"/>
    <w:rsid w:val="005C19C4"/>
    <w:rsid w:val="005C1B83"/>
    <w:rsid w:val="005C1BD5"/>
    <w:rsid w:val="005C203E"/>
    <w:rsid w:val="005C221B"/>
    <w:rsid w:val="005C25FF"/>
    <w:rsid w:val="005C2D55"/>
    <w:rsid w:val="005C2ED8"/>
    <w:rsid w:val="005C2F10"/>
    <w:rsid w:val="005C31DF"/>
    <w:rsid w:val="005C346B"/>
    <w:rsid w:val="005C38C6"/>
    <w:rsid w:val="005C4696"/>
    <w:rsid w:val="005C46A1"/>
    <w:rsid w:val="005C4708"/>
    <w:rsid w:val="005C4B68"/>
    <w:rsid w:val="005C51E5"/>
    <w:rsid w:val="005C5A08"/>
    <w:rsid w:val="005C5ABC"/>
    <w:rsid w:val="005C5D04"/>
    <w:rsid w:val="005C7284"/>
    <w:rsid w:val="005C7440"/>
    <w:rsid w:val="005C7BA4"/>
    <w:rsid w:val="005C7E55"/>
    <w:rsid w:val="005C7F9D"/>
    <w:rsid w:val="005D0261"/>
    <w:rsid w:val="005D044D"/>
    <w:rsid w:val="005D07B3"/>
    <w:rsid w:val="005D0ABD"/>
    <w:rsid w:val="005D0B5F"/>
    <w:rsid w:val="005D0C2A"/>
    <w:rsid w:val="005D0E2F"/>
    <w:rsid w:val="005D14B5"/>
    <w:rsid w:val="005D1637"/>
    <w:rsid w:val="005D17A7"/>
    <w:rsid w:val="005D18AD"/>
    <w:rsid w:val="005D1BA7"/>
    <w:rsid w:val="005D1FF9"/>
    <w:rsid w:val="005D26B4"/>
    <w:rsid w:val="005D2E81"/>
    <w:rsid w:val="005D3270"/>
    <w:rsid w:val="005D332A"/>
    <w:rsid w:val="005D3749"/>
    <w:rsid w:val="005D389A"/>
    <w:rsid w:val="005D3C40"/>
    <w:rsid w:val="005D4114"/>
    <w:rsid w:val="005D4870"/>
    <w:rsid w:val="005D4A8E"/>
    <w:rsid w:val="005D5155"/>
    <w:rsid w:val="005D5652"/>
    <w:rsid w:val="005D5674"/>
    <w:rsid w:val="005D576B"/>
    <w:rsid w:val="005D5795"/>
    <w:rsid w:val="005D57F5"/>
    <w:rsid w:val="005D5BF4"/>
    <w:rsid w:val="005D61D2"/>
    <w:rsid w:val="005D6716"/>
    <w:rsid w:val="005D7522"/>
    <w:rsid w:val="005D7866"/>
    <w:rsid w:val="005D7DE7"/>
    <w:rsid w:val="005D7E8B"/>
    <w:rsid w:val="005E01D8"/>
    <w:rsid w:val="005E05FA"/>
    <w:rsid w:val="005E08EB"/>
    <w:rsid w:val="005E1226"/>
    <w:rsid w:val="005E1995"/>
    <w:rsid w:val="005E1F03"/>
    <w:rsid w:val="005E235A"/>
    <w:rsid w:val="005E2CEA"/>
    <w:rsid w:val="005E2E94"/>
    <w:rsid w:val="005E315A"/>
    <w:rsid w:val="005E35B5"/>
    <w:rsid w:val="005E3A44"/>
    <w:rsid w:val="005E3E6C"/>
    <w:rsid w:val="005E483B"/>
    <w:rsid w:val="005E4DB4"/>
    <w:rsid w:val="005E4DC1"/>
    <w:rsid w:val="005E51C7"/>
    <w:rsid w:val="005E53E6"/>
    <w:rsid w:val="005E5423"/>
    <w:rsid w:val="005E5B68"/>
    <w:rsid w:val="005E5CAF"/>
    <w:rsid w:val="005E6CBC"/>
    <w:rsid w:val="005E6F23"/>
    <w:rsid w:val="005E72FF"/>
    <w:rsid w:val="005E73C0"/>
    <w:rsid w:val="005E73D8"/>
    <w:rsid w:val="005E7F59"/>
    <w:rsid w:val="005F03F1"/>
    <w:rsid w:val="005F0494"/>
    <w:rsid w:val="005F07ED"/>
    <w:rsid w:val="005F0B86"/>
    <w:rsid w:val="005F0BEC"/>
    <w:rsid w:val="005F0DD0"/>
    <w:rsid w:val="005F0FDB"/>
    <w:rsid w:val="005F10F1"/>
    <w:rsid w:val="005F19D1"/>
    <w:rsid w:val="005F19E7"/>
    <w:rsid w:val="005F1BA5"/>
    <w:rsid w:val="005F1BA7"/>
    <w:rsid w:val="005F2706"/>
    <w:rsid w:val="005F2EA0"/>
    <w:rsid w:val="005F2FEC"/>
    <w:rsid w:val="005F32B1"/>
    <w:rsid w:val="005F337D"/>
    <w:rsid w:val="005F3A69"/>
    <w:rsid w:val="005F3B79"/>
    <w:rsid w:val="005F3FB8"/>
    <w:rsid w:val="005F44A0"/>
    <w:rsid w:val="005F4863"/>
    <w:rsid w:val="005F54C3"/>
    <w:rsid w:val="005F582F"/>
    <w:rsid w:val="005F5C57"/>
    <w:rsid w:val="005F5D02"/>
    <w:rsid w:val="005F6A8F"/>
    <w:rsid w:val="005F6A99"/>
    <w:rsid w:val="005F6BB7"/>
    <w:rsid w:val="005F6BD4"/>
    <w:rsid w:val="005F6DD9"/>
    <w:rsid w:val="005F6E47"/>
    <w:rsid w:val="005F7150"/>
    <w:rsid w:val="005F7588"/>
    <w:rsid w:val="005F798A"/>
    <w:rsid w:val="00600507"/>
    <w:rsid w:val="006009F8"/>
    <w:rsid w:val="00600AF2"/>
    <w:rsid w:val="00600EF0"/>
    <w:rsid w:val="006012F0"/>
    <w:rsid w:val="00601A52"/>
    <w:rsid w:val="00601A57"/>
    <w:rsid w:val="00601C26"/>
    <w:rsid w:val="006028D3"/>
    <w:rsid w:val="00602EF5"/>
    <w:rsid w:val="00603465"/>
    <w:rsid w:val="00603DB9"/>
    <w:rsid w:val="00604A0E"/>
    <w:rsid w:val="00605198"/>
    <w:rsid w:val="006064B0"/>
    <w:rsid w:val="006064BE"/>
    <w:rsid w:val="00606AAA"/>
    <w:rsid w:val="00606FBA"/>
    <w:rsid w:val="00607669"/>
    <w:rsid w:val="006076F4"/>
    <w:rsid w:val="006077E5"/>
    <w:rsid w:val="0060784F"/>
    <w:rsid w:val="006079B7"/>
    <w:rsid w:val="00607AFD"/>
    <w:rsid w:val="006101F9"/>
    <w:rsid w:val="006112CA"/>
    <w:rsid w:val="0061130B"/>
    <w:rsid w:val="00611577"/>
    <w:rsid w:val="00611601"/>
    <w:rsid w:val="00611768"/>
    <w:rsid w:val="00611A4C"/>
    <w:rsid w:val="00611A85"/>
    <w:rsid w:val="00611B12"/>
    <w:rsid w:val="00611E7B"/>
    <w:rsid w:val="00612384"/>
    <w:rsid w:val="006129D9"/>
    <w:rsid w:val="00612EBD"/>
    <w:rsid w:val="00612F97"/>
    <w:rsid w:val="0061345D"/>
    <w:rsid w:val="00613A33"/>
    <w:rsid w:val="00613BA6"/>
    <w:rsid w:val="006146BF"/>
    <w:rsid w:val="006148A8"/>
    <w:rsid w:val="00614EB7"/>
    <w:rsid w:val="0061501E"/>
    <w:rsid w:val="0061549B"/>
    <w:rsid w:val="00615B26"/>
    <w:rsid w:val="00615E6E"/>
    <w:rsid w:val="00615EE3"/>
    <w:rsid w:val="00616349"/>
    <w:rsid w:val="00616802"/>
    <w:rsid w:val="00616CD7"/>
    <w:rsid w:val="006172C8"/>
    <w:rsid w:val="00617E12"/>
    <w:rsid w:val="006201FB"/>
    <w:rsid w:val="00620728"/>
    <w:rsid w:val="0062084E"/>
    <w:rsid w:val="00620B34"/>
    <w:rsid w:val="00620C25"/>
    <w:rsid w:val="00620D3A"/>
    <w:rsid w:val="00620D76"/>
    <w:rsid w:val="00620E09"/>
    <w:rsid w:val="00621477"/>
    <w:rsid w:val="006214DB"/>
    <w:rsid w:val="006214F9"/>
    <w:rsid w:val="00621ADA"/>
    <w:rsid w:val="00622035"/>
    <w:rsid w:val="00622083"/>
    <w:rsid w:val="00622E8E"/>
    <w:rsid w:val="00622ED1"/>
    <w:rsid w:val="00623111"/>
    <w:rsid w:val="00623583"/>
    <w:rsid w:val="00623E83"/>
    <w:rsid w:val="00623F64"/>
    <w:rsid w:val="00623F7B"/>
    <w:rsid w:val="006243DD"/>
    <w:rsid w:val="0062461E"/>
    <w:rsid w:val="00624BD4"/>
    <w:rsid w:val="00624EA1"/>
    <w:rsid w:val="00624EAD"/>
    <w:rsid w:val="00624F52"/>
    <w:rsid w:val="0062536E"/>
    <w:rsid w:val="0062543F"/>
    <w:rsid w:val="006255FC"/>
    <w:rsid w:val="00625718"/>
    <w:rsid w:val="00625C6C"/>
    <w:rsid w:val="00625E49"/>
    <w:rsid w:val="006266AE"/>
    <w:rsid w:val="00626AA0"/>
    <w:rsid w:val="00626B3D"/>
    <w:rsid w:val="00630733"/>
    <w:rsid w:val="0063158F"/>
    <w:rsid w:val="00631D6B"/>
    <w:rsid w:val="00631E97"/>
    <w:rsid w:val="00632183"/>
    <w:rsid w:val="006330A1"/>
    <w:rsid w:val="00633520"/>
    <w:rsid w:val="00633806"/>
    <w:rsid w:val="00633A48"/>
    <w:rsid w:val="00633E28"/>
    <w:rsid w:val="00633F66"/>
    <w:rsid w:val="006344CA"/>
    <w:rsid w:val="006346C8"/>
    <w:rsid w:val="0063479F"/>
    <w:rsid w:val="00635283"/>
    <w:rsid w:val="00635331"/>
    <w:rsid w:val="006353F0"/>
    <w:rsid w:val="00635545"/>
    <w:rsid w:val="006357B5"/>
    <w:rsid w:val="006357D4"/>
    <w:rsid w:val="006364A1"/>
    <w:rsid w:val="0063678E"/>
    <w:rsid w:val="006367D2"/>
    <w:rsid w:val="00636F0C"/>
    <w:rsid w:val="00637BFD"/>
    <w:rsid w:val="00637C5C"/>
    <w:rsid w:val="00637DE0"/>
    <w:rsid w:val="00637E7E"/>
    <w:rsid w:val="00637F57"/>
    <w:rsid w:val="0064012D"/>
    <w:rsid w:val="006409A5"/>
    <w:rsid w:val="00641050"/>
    <w:rsid w:val="006412CE"/>
    <w:rsid w:val="0064164D"/>
    <w:rsid w:val="00641788"/>
    <w:rsid w:val="00641C4E"/>
    <w:rsid w:val="00641FB3"/>
    <w:rsid w:val="00642133"/>
    <w:rsid w:val="006425BD"/>
    <w:rsid w:val="00642710"/>
    <w:rsid w:val="00642ECD"/>
    <w:rsid w:val="006431B1"/>
    <w:rsid w:val="0064333A"/>
    <w:rsid w:val="00643406"/>
    <w:rsid w:val="0064345C"/>
    <w:rsid w:val="00643ECF"/>
    <w:rsid w:val="0064434C"/>
    <w:rsid w:val="00644422"/>
    <w:rsid w:val="00644AE7"/>
    <w:rsid w:val="00644C60"/>
    <w:rsid w:val="0064529F"/>
    <w:rsid w:val="00645D13"/>
    <w:rsid w:val="006469E8"/>
    <w:rsid w:val="00646EB2"/>
    <w:rsid w:val="006471CC"/>
    <w:rsid w:val="006472FE"/>
    <w:rsid w:val="00647713"/>
    <w:rsid w:val="00647A29"/>
    <w:rsid w:val="00647A7D"/>
    <w:rsid w:val="00647C14"/>
    <w:rsid w:val="00650474"/>
    <w:rsid w:val="006504A5"/>
    <w:rsid w:val="0065079F"/>
    <w:rsid w:val="00650DD1"/>
    <w:rsid w:val="006513D8"/>
    <w:rsid w:val="0065205D"/>
    <w:rsid w:val="00652A28"/>
    <w:rsid w:val="00653412"/>
    <w:rsid w:val="0065379F"/>
    <w:rsid w:val="00653928"/>
    <w:rsid w:val="00653B04"/>
    <w:rsid w:val="00653D6B"/>
    <w:rsid w:val="0065426D"/>
    <w:rsid w:val="0065427E"/>
    <w:rsid w:val="006544D4"/>
    <w:rsid w:val="006545B8"/>
    <w:rsid w:val="006551BD"/>
    <w:rsid w:val="0065594D"/>
    <w:rsid w:val="00655966"/>
    <w:rsid w:val="00655D77"/>
    <w:rsid w:val="00655F1F"/>
    <w:rsid w:val="00656091"/>
    <w:rsid w:val="00656188"/>
    <w:rsid w:val="006561FB"/>
    <w:rsid w:val="00656DC0"/>
    <w:rsid w:val="0065715A"/>
    <w:rsid w:val="0065737B"/>
    <w:rsid w:val="006577FD"/>
    <w:rsid w:val="00657F7A"/>
    <w:rsid w:val="0066067B"/>
    <w:rsid w:val="00660D5A"/>
    <w:rsid w:val="006610F1"/>
    <w:rsid w:val="0066117C"/>
    <w:rsid w:val="00661753"/>
    <w:rsid w:val="00661B83"/>
    <w:rsid w:val="00661C6B"/>
    <w:rsid w:val="0066255E"/>
    <w:rsid w:val="00662B28"/>
    <w:rsid w:val="00662D3E"/>
    <w:rsid w:val="00663217"/>
    <w:rsid w:val="0066357F"/>
    <w:rsid w:val="00663752"/>
    <w:rsid w:val="00664C9B"/>
    <w:rsid w:val="00665114"/>
    <w:rsid w:val="00665ABE"/>
    <w:rsid w:val="00667019"/>
    <w:rsid w:val="006675BC"/>
    <w:rsid w:val="00667BE3"/>
    <w:rsid w:val="00670410"/>
    <w:rsid w:val="006708B5"/>
    <w:rsid w:val="00670C0D"/>
    <w:rsid w:val="00671004"/>
    <w:rsid w:val="006713EC"/>
    <w:rsid w:val="006716AF"/>
    <w:rsid w:val="006718A9"/>
    <w:rsid w:val="00671BCE"/>
    <w:rsid w:val="00672252"/>
    <w:rsid w:val="00672646"/>
    <w:rsid w:val="00672693"/>
    <w:rsid w:val="0067329F"/>
    <w:rsid w:val="006734E9"/>
    <w:rsid w:val="006735C6"/>
    <w:rsid w:val="00673C0D"/>
    <w:rsid w:val="00674732"/>
    <w:rsid w:val="006747CE"/>
    <w:rsid w:val="00674801"/>
    <w:rsid w:val="00674852"/>
    <w:rsid w:val="00674E42"/>
    <w:rsid w:val="00675696"/>
    <w:rsid w:val="00675B34"/>
    <w:rsid w:val="00675BE8"/>
    <w:rsid w:val="00675F8B"/>
    <w:rsid w:val="00676139"/>
    <w:rsid w:val="00676309"/>
    <w:rsid w:val="00676563"/>
    <w:rsid w:val="00676ACF"/>
    <w:rsid w:val="00677862"/>
    <w:rsid w:val="00677A48"/>
    <w:rsid w:val="00677A76"/>
    <w:rsid w:val="0068031E"/>
    <w:rsid w:val="00680607"/>
    <w:rsid w:val="006810BB"/>
    <w:rsid w:val="006813F8"/>
    <w:rsid w:val="0068151A"/>
    <w:rsid w:val="00681552"/>
    <w:rsid w:val="006818F8"/>
    <w:rsid w:val="00681B35"/>
    <w:rsid w:val="006820A3"/>
    <w:rsid w:val="00682112"/>
    <w:rsid w:val="00682572"/>
    <w:rsid w:val="00682BA6"/>
    <w:rsid w:val="00682D4A"/>
    <w:rsid w:val="00682F98"/>
    <w:rsid w:val="0068319C"/>
    <w:rsid w:val="00683267"/>
    <w:rsid w:val="0068341A"/>
    <w:rsid w:val="0068403E"/>
    <w:rsid w:val="00684174"/>
    <w:rsid w:val="00684303"/>
    <w:rsid w:val="00684B37"/>
    <w:rsid w:val="006850EC"/>
    <w:rsid w:val="0068510E"/>
    <w:rsid w:val="006856E3"/>
    <w:rsid w:val="00685790"/>
    <w:rsid w:val="0068640C"/>
    <w:rsid w:val="0068682C"/>
    <w:rsid w:val="00686957"/>
    <w:rsid w:val="0068710A"/>
    <w:rsid w:val="00687113"/>
    <w:rsid w:val="006872BA"/>
    <w:rsid w:val="00687A64"/>
    <w:rsid w:val="00690129"/>
    <w:rsid w:val="0069025D"/>
    <w:rsid w:val="0069067F"/>
    <w:rsid w:val="00690795"/>
    <w:rsid w:val="00690A87"/>
    <w:rsid w:val="00690E7B"/>
    <w:rsid w:val="00691366"/>
    <w:rsid w:val="006914FE"/>
    <w:rsid w:val="00691648"/>
    <w:rsid w:val="006917D7"/>
    <w:rsid w:val="00692577"/>
    <w:rsid w:val="006928B0"/>
    <w:rsid w:val="00692EA3"/>
    <w:rsid w:val="00693313"/>
    <w:rsid w:val="00693456"/>
    <w:rsid w:val="0069357F"/>
    <w:rsid w:val="0069434C"/>
    <w:rsid w:val="006944CE"/>
    <w:rsid w:val="006945CE"/>
    <w:rsid w:val="0069474A"/>
    <w:rsid w:val="006947AF"/>
    <w:rsid w:val="00694F44"/>
    <w:rsid w:val="00695342"/>
    <w:rsid w:val="00695EA2"/>
    <w:rsid w:val="00695EE7"/>
    <w:rsid w:val="00695FF3"/>
    <w:rsid w:val="006966B2"/>
    <w:rsid w:val="00696753"/>
    <w:rsid w:val="00696CCD"/>
    <w:rsid w:val="00696D45"/>
    <w:rsid w:val="00696EF9"/>
    <w:rsid w:val="00696F51"/>
    <w:rsid w:val="006979A5"/>
    <w:rsid w:val="006A016F"/>
    <w:rsid w:val="006A0196"/>
    <w:rsid w:val="006A01C2"/>
    <w:rsid w:val="006A028C"/>
    <w:rsid w:val="006A02C0"/>
    <w:rsid w:val="006A03F4"/>
    <w:rsid w:val="006A0C46"/>
    <w:rsid w:val="006A0DF7"/>
    <w:rsid w:val="006A0F8E"/>
    <w:rsid w:val="006A1212"/>
    <w:rsid w:val="006A1258"/>
    <w:rsid w:val="006A13F2"/>
    <w:rsid w:val="006A1683"/>
    <w:rsid w:val="006A1D77"/>
    <w:rsid w:val="006A21F5"/>
    <w:rsid w:val="006A29FC"/>
    <w:rsid w:val="006A2AAC"/>
    <w:rsid w:val="006A3078"/>
    <w:rsid w:val="006A35F5"/>
    <w:rsid w:val="006A3819"/>
    <w:rsid w:val="006A4321"/>
    <w:rsid w:val="006A43D9"/>
    <w:rsid w:val="006A5A6A"/>
    <w:rsid w:val="006A5AE3"/>
    <w:rsid w:val="006A5E48"/>
    <w:rsid w:val="006A6B99"/>
    <w:rsid w:val="006A6DD0"/>
    <w:rsid w:val="006A6E2A"/>
    <w:rsid w:val="006A76A9"/>
    <w:rsid w:val="006A79AE"/>
    <w:rsid w:val="006A7B73"/>
    <w:rsid w:val="006A7E5F"/>
    <w:rsid w:val="006A7EF6"/>
    <w:rsid w:val="006B0171"/>
    <w:rsid w:val="006B0F41"/>
    <w:rsid w:val="006B1133"/>
    <w:rsid w:val="006B149B"/>
    <w:rsid w:val="006B14E3"/>
    <w:rsid w:val="006B1994"/>
    <w:rsid w:val="006B2044"/>
    <w:rsid w:val="006B261B"/>
    <w:rsid w:val="006B2C90"/>
    <w:rsid w:val="006B2F47"/>
    <w:rsid w:val="006B2FC5"/>
    <w:rsid w:val="006B3294"/>
    <w:rsid w:val="006B35E6"/>
    <w:rsid w:val="006B39D3"/>
    <w:rsid w:val="006B3FD3"/>
    <w:rsid w:val="006B438D"/>
    <w:rsid w:val="006B453D"/>
    <w:rsid w:val="006B45EE"/>
    <w:rsid w:val="006B465A"/>
    <w:rsid w:val="006B4806"/>
    <w:rsid w:val="006B485E"/>
    <w:rsid w:val="006B4BF3"/>
    <w:rsid w:val="006B54C6"/>
    <w:rsid w:val="006B5E0A"/>
    <w:rsid w:val="006B5E93"/>
    <w:rsid w:val="006B672E"/>
    <w:rsid w:val="006B6A62"/>
    <w:rsid w:val="006B6DD0"/>
    <w:rsid w:val="006B7546"/>
    <w:rsid w:val="006B75B4"/>
    <w:rsid w:val="006B7A4F"/>
    <w:rsid w:val="006B7B46"/>
    <w:rsid w:val="006B7EB7"/>
    <w:rsid w:val="006C0399"/>
    <w:rsid w:val="006C0601"/>
    <w:rsid w:val="006C092F"/>
    <w:rsid w:val="006C10DC"/>
    <w:rsid w:val="006C162E"/>
    <w:rsid w:val="006C18AE"/>
    <w:rsid w:val="006C1AC4"/>
    <w:rsid w:val="006C1BF6"/>
    <w:rsid w:val="006C221C"/>
    <w:rsid w:val="006C229B"/>
    <w:rsid w:val="006C22A3"/>
    <w:rsid w:val="006C2503"/>
    <w:rsid w:val="006C2A8E"/>
    <w:rsid w:val="006C2DB2"/>
    <w:rsid w:val="006C3255"/>
    <w:rsid w:val="006C35B8"/>
    <w:rsid w:val="006C3A5E"/>
    <w:rsid w:val="006C3F26"/>
    <w:rsid w:val="006C42D9"/>
    <w:rsid w:val="006C4911"/>
    <w:rsid w:val="006C5262"/>
    <w:rsid w:val="006C531A"/>
    <w:rsid w:val="006C545F"/>
    <w:rsid w:val="006C56F8"/>
    <w:rsid w:val="006C742C"/>
    <w:rsid w:val="006D00B9"/>
    <w:rsid w:val="006D0465"/>
    <w:rsid w:val="006D0576"/>
    <w:rsid w:val="006D0BF3"/>
    <w:rsid w:val="006D0D17"/>
    <w:rsid w:val="006D10BA"/>
    <w:rsid w:val="006D12E3"/>
    <w:rsid w:val="006D1559"/>
    <w:rsid w:val="006D165F"/>
    <w:rsid w:val="006D1B79"/>
    <w:rsid w:val="006D28BF"/>
    <w:rsid w:val="006D2ADE"/>
    <w:rsid w:val="006D3C7D"/>
    <w:rsid w:val="006D3DC8"/>
    <w:rsid w:val="006D4528"/>
    <w:rsid w:val="006D4659"/>
    <w:rsid w:val="006D4AB8"/>
    <w:rsid w:val="006D4B25"/>
    <w:rsid w:val="006D4DB0"/>
    <w:rsid w:val="006D4EAA"/>
    <w:rsid w:val="006D4F3B"/>
    <w:rsid w:val="006D5450"/>
    <w:rsid w:val="006D5D5F"/>
    <w:rsid w:val="006D5E24"/>
    <w:rsid w:val="006D6648"/>
    <w:rsid w:val="006D68FB"/>
    <w:rsid w:val="006D6E67"/>
    <w:rsid w:val="006D71CB"/>
    <w:rsid w:val="006D74F6"/>
    <w:rsid w:val="006D7695"/>
    <w:rsid w:val="006D7D0A"/>
    <w:rsid w:val="006E0D05"/>
    <w:rsid w:val="006E0D4E"/>
    <w:rsid w:val="006E0E31"/>
    <w:rsid w:val="006E0EDB"/>
    <w:rsid w:val="006E130E"/>
    <w:rsid w:val="006E2868"/>
    <w:rsid w:val="006E2960"/>
    <w:rsid w:val="006E299A"/>
    <w:rsid w:val="006E2A2B"/>
    <w:rsid w:val="006E33F2"/>
    <w:rsid w:val="006E357B"/>
    <w:rsid w:val="006E385A"/>
    <w:rsid w:val="006E3EB5"/>
    <w:rsid w:val="006E41AA"/>
    <w:rsid w:val="006E41BA"/>
    <w:rsid w:val="006E44DE"/>
    <w:rsid w:val="006E4549"/>
    <w:rsid w:val="006E47F9"/>
    <w:rsid w:val="006E4992"/>
    <w:rsid w:val="006E57A1"/>
    <w:rsid w:val="006E5B73"/>
    <w:rsid w:val="006E5BF3"/>
    <w:rsid w:val="006E6176"/>
    <w:rsid w:val="006E64A9"/>
    <w:rsid w:val="006E6B33"/>
    <w:rsid w:val="006E6CAB"/>
    <w:rsid w:val="006E722B"/>
    <w:rsid w:val="006E79D7"/>
    <w:rsid w:val="006F094A"/>
    <w:rsid w:val="006F0B56"/>
    <w:rsid w:val="006F0E97"/>
    <w:rsid w:val="006F1586"/>
    <w:rsid w:val="006F1596"/>
    <w:rsid w:val="006F1652"/>
    <w:rsid w:val="006F1A17"/>
    <w:rsid w:val="006F1AA5"/>
    <w:rsid w:val="006F28C2"/>
    <w:rsid w:val="006F292B"/>
    <w:rsid w:val="006F306C"/>
    <w:rsid w:val="006F3543"/>
    <w:rsid w:val="006F37D2"/>
    <w:rsid w:val="006F3952"/>
    <w:rsid w:val="006F3B4A"/>
    <w:rsid w:val="006F412A"/>
    <w:rsid w:val="006F4E79"/>
    <w:rsid w:val="006F4FEF"/>
    <w:rsid w:val="006F5732"/>
    <w:rsid w:val="006F59A5"/>
    <w:rsid w:val="006F5ABA"/>
    <w:rsid w:val="006F5B12"/>
    <w:rsid w:val="006F63A5"/>
    <w:rsid w:val="006F6E5F"/>
    <w:rsid w:val="006F6EFD"/>
    <w:rsid w:val="006F71BE"/>
    <w:rsid w:val="006F7336"/>
    <w:rsid w:val="0070004A"/>
    <w:rsid w:val="0070008E"/>
    <w:rsid w:val="0070023D"/>
    <w:rsid w:val="00700967"/>
    <w:rsid w:val="00700BD0"/>
    <w:rsid w:val="0070142B"/>
    <w:rsid w:val="00701551"/>
    <w:rsid w:val="00702736"/>
    <w:rsid w:val="0070276E"/>
    <w:rsid w:val="00702942"/>
    <w:rsid w:val="0070295E"/>
    <w:rsid w:val="00702A82"/>
    <w:rsid w:val="00702CAB"/>
    <w:rsid w:val="00702F8F"/>
    <w:rsid w:val="00703469"/>
    <w:rsid w:val="00703BFA"/>
    <w:rsid w:val="00704165"/>
    <w:rsid w:val="00704D5B"/>
    <w:rsid w:val="00704D9B"/>
    <w:rsid w:val="00705E93"/>
    <w:rsid w:val="00705FCF"/>
    <w:rsid w:val="007064A9"/>
    <w:rsid w:val="0070678D"/>
    <w:rsid w:val="00706815"/>
    <w:rsid w:val="00706D29"/>
    <w:rsid w:val="00706D62"/>
    <w:rsid w:val="00706EA2"/>
    <w:rsid w:val="007071A2"/>
    <w:rsid w:val="007072EC"/>
    <w:rsid w:val="007073E5"/>
    <w:rsid w:val="0070760B"/>
    <w:rsid w:val="007079D8"/>
    <w:rsid w:val="007079FC"/>
    <w:rsid w:val="00707C63"/>
    <w:rsid w:val="007101CD"/>
    <w:rsid w:val="00710360"/>
    <w:rsid w:val="0071045B"/>
    <w:rsid w:val="007107FE"/>
    <w:rsid w:val="00710879"/>
    <w:rsid w:val="00710A28"/>
    <w:rsid w:val="00710D85"/>
    <w:rsid w:val="00710DE7"/>
    <w:rsid w:val="0071119A"/>
    <w:rsid w:val="0071161D"/>
    <w:rsid w:val="00711A36"/>
    <w:rsid w:val="007121AC"/>
    <w:rsid w:val="007125D3"/>
    <w:rsid w:val="0071291A"/>
    <w:rsid w:val="00713A55"/>
    <w:rsid w:val="00713F31"/>
    <w:rsid w:val="00714255"/>
    <w:rsid w:val="00714C26"/>
    <w:rsid w:val="00714E58"/>
    <w:rsid w:val="0071529C"/>
    <w:rsid w:val="00715987"/>
    <w:rsid w:val="00715B6C"/>
    <w:rsid w:val="00715B8B"/>
    <w:rsid w:val="00715C83"/>
    <w:rsid w:val="00715E96"/>
    <w:rsid w:val="00716681"/>
    <w:rsid w:val="00716B1C"/>
    <w:rsid w:val="00716E80"/>
    <w:rsid w:val="00716F57"/>
    <w:rsid w:val="007170DA"/>
    <w:rsid w:val="007172AD"/>
    <w:rsid w:val="0071732E"/>
    <w:rsid w:val="00717546"/>
    <w:rsid w:val="00717AEC"/>
    <w:rsid w:val="007201F6"/>
    <w:rsid w:val="00720801"/>
    <w:rsid w:val="00720D2E"/>
    <w:rsid w:val="007215EA"/>
    <w:rsid w:val="00721BF2"/>
    <w:rsid w:val="00722779"/>
    <w:rsid w:val="00722A27"/>
    <w:rsid w:val="00722B1B"/>
    <w:rsid w:val="007233C5"/>
    <w:rsid w:val="0072416F"/>
    <w:rsid w:val="007241BD"/>
    <w:rsid w:val="007249B9"/>
    <w:rsid w:val="00724CB7"/>
    <w:rsid w:val="00724EAF"/>
    <w:rsid w:val="0072599F"/>
    <w:rsid w:val="00725AAB"/>
    <w:rsid w:val="00726115"/>
    <w:rsid w:val="00726676"/>
    <w:rsid w:val="00726724"/>
    <w:rsid w:val="00726AB5"/>
    <w:rsid w:val="007272AA"/>
    <w:rsid w:val="00727524"/>
    <w:rsid w:val="007277AE"/>
    <w:rsid w:val="00727C94"/>
    <w:rsid w:val="00727CD6"/>
    <w:rsid w:val="00730086"/>
    <w:rsid w:val="0073059A"/>
    <w:rsid w:val="00730DAB"/>
    <w:rsid w:val="00731A06"/>
    <w:rsid w:val="00731B0A"/>
    <w:rsid w:val="00731B1E"/>
    <w:rsid w:val="00731BE3"/>
    <w:rsid w:val="00731EAE"/>
    <w:rsid w:val="007322DA"/>
    <w:rsid w:val="0073241C"/>
    <w:rsid w:val="00732440"/>
    <w:rsid w:val="00732905"/>
    <w:rsid w:val="00732FF6"/>
    <w:rsid w:val="00733073"/>
    <w:rsid w:val="00733644"/>
    <w:rsid w:val="007336AA"/>
    <w:rsid w:val="00733880"/>
    <w:rsid w:val="00733B95"/>
    <w:rsid w:val="00733C80"/>
    <w:rsid w:val="00733DC3"/>
    <w:rsid w:val="00733DD1"/>
    <w:rsid w:val="00733E1B"/>
    <w:rsid w:val="00733FA5"/>
    <w:rsid w:val="00734037"/>
    <w:rsid w:val="007342E6"/>
    <w:rsid w:val="007346BF"/>
    <w:rsid w:val="00735033"/>
    <w:rsid w:val="00735328"/>
    <w:rsid w:val="0073557A"/>
    <w:rsid w:val="0073685B"/>
    <w:rsid w:val="0073730F"/>
    <w:rsid w:val="007373AB"/>
    <w:rsid w:val="00737443"/>
    <w:rsid w:val="0073791F"/>
    <w:rsid w:val="00737D16"/>
    <w:rsid w:val="00740343"/>
    <w:rsid w:val="00740476"/>
    <w:rsid w:val="00740851"/>
    <w:rsid w:val="00740D56"/>
    <w:rsid w:val="00741B74"/>
    <w:rsid w:val="0074260D"/>
    <w:rsid w:val="00742AA3"/>
    <w:rsid w:val="00742EB3"/>
    <w:rsid w:val="007430F3"/>
    <w:rsid w:val="007435E3"/>
    <w:rsid w:val="007437DD"/>
    <w:rsid w:val="00743A21"/>
    <w:rsid w:val="00743A9B"/>
    <w:rsid w:val="00743ABA"/>
    <w:rsid w:val="00743F07"/>
    <w:rsid w:val="007441D7"/>
    <w:rsid w:val="00744898"/>
    <w:rsid w:val="007449AF"/>
    <w:rsid w:val="007449BF"/>
    <w:rsid w:val="007452E4"/>
    <w:rsid w:val="00745315"/>
    <w:rsid w:val="00745D87"/>
    <w:rsid w:val="007462A9"/>
    <w:rsid w:val="007463FE"/>
    <w:rsid w:val="00746BC0"/>
    <w:rsid w:val="00746CFF"/>
    <w:rsid w:val="00746DC9"/>
    <w:rsid w:val="00747849"/>
    <w:rsid w:val="00747F4C"/>
    <w:rsid w:val="00750480"/>
    <w:rsid w:val="0075063D"/>
    <w:rsid w:val="00750F72"/>
    <w:rsid w:val="007510B4"/>
    <w:rsid w:val="007516A7"/>
    <w:rsid w:val="00751928"/>
    <w:rsid w:val="00751D6B"/>
    <w:rsid w:val="0075204F"/>
    <w:rsid w:val="00752142"/>
    <w:rsid w:val="007523F9"/>
    <w:rsid w:val="00752926"/>
    <w:rsid w:val="00753103"/>
    <w:rsid w:val="00753319"/>
    <w:rsid w:val="0075357E"/>
    <w:rsid w:val="00753587"/>
    <w:rsid w:val="007538B0"/>
    <w:rsid w:val="0075397E"/>
    <w:rsid w:val="00753B29"/>
    <w:rsid w:val="00753BA0"/>
    <w:rsid w:val="00753E33"/>
    <w:rsid w:val="00754BAB"/>
    <w:rsid w:val="0075530F"/>
    <w:rsid w:val="00755683"/>
    <w:rsid w:val="00755D4D"/>
    <w:rsid w:val="00756872"/>
    <w:rsid w:val="00756DC0"/>
    <w:rsid w:val="00757044"/>
    <w:rsid w:val="007573E8"/>
    <w:rsid w:val="007577AF"/>
    <w:rsid w:val="00757AF5"/>
    <w:rsid w:val="007601B7"/>
    <w:rsid w:val="00760824"/>
    <w:rsid w:val="00760C4E"/>
    <w:rsid w:val="00760D61"/>
    <w:rsid w:val="00760F9E"/>
    <w:rsid w:val="00760FB3"/>
    <w:rsid w:val="0076133C"/>
    <w:rsid w:val="007616E6"/>
    <w:rsid w:val="007617A2"/>
    <w:rsid w:val="00762256"/>
    <w:rsid w:val="007623C3"/>
    <w:rsid w:val="00762650"/>
    <w:rsid w:val="00762794"/>
    <w:rsid w:val="007627BE"/>
    <w:rsid w:val="00762937"/>
    <w:rsid w:val="00763509"/>
    <w:rsid w:val="00763651"/>
    <w:rsid w:val="00763719"/>
    <w:rsid w:val="00763B76"/>
    <w:rsid w:val="00763C6B"/>
    <w:rsid w:val="00763ECA"/>
    <w:rsid w:val="00764289"/>
    <w:rsid w:val="00764C05"/>
    <w:rsid w:val="00764F03"/>
    <w:rsid w:val="00764F46"/>
    <w:rsid w:val="007650D5"/>
    <w:rsid w:val="0076555C"/>
    <w:rsid w:val="00765B1A"/>
    <w:rsid w:val="00765DC1"/>
    <w:rsid w:val="0076631F"/>
    <w:rsid w:val="007666F1"/>
    <w:rsid w:val="00767106"/>
    <w:rsid w:val="00767283"/>
    <w:rsid w:val="0076736D"/>
    <w:rsid w:val="0077047D"/>
    <w:rsid w:val="00770A27"/>
    <w:rsid w:val="00770B91"/>
    <w:rsid w:val="00770D76"/>
    <w:rsid w:val="00771240"/>
    <w:rsid w:val="007718BF"/>
    <w:rsid w:val="00771ECA"/>
    <w:rsid w:val="00772ACD"/>
    <w:rsid w:val="00773464"/>
    <w:rsid w:val="00773DCB"/>
    <w:rsid w:val="00773E02"/>
    <w:rsid w:val="00773EF9"/>
    <w:rsid w:val="00774413"/>
    <w:rsid w:val="00774826"/>
    <w:rsid w:val="00774AF9"/>
    <w:rsid w:val="00774FA3"/>
    <w:rsid w:val="007752C9"/>
    <w:rsid w:val="007758A2"/>
    <w:rsid w:val="00775A84"/>
    <w:rsid w:val="00775CBF"/>
    <w:rsid w:val="00776A00"/>
    <w:rsid w:val="00776A29"/>
    <w:rsid w:val="00777335"/>
    <w:rsid w:val="00777362"/>
    <w:rsid w:val="00777A9A"/>
    <w:rsid w:val="00780217"/>
    <w:rsid w:val="00780579"/>
    <w:rsid w:val="0078106E"/>
    <w:rsid w:val="007813C2"/>
    <w:rsid w:val="007817DB"/>
    <w:rsid w:val="007819CC"/>
    <w:rsid w:val="007821EB"/>
    <w:rsid w:val="007826A4"/>
    <w:rsid w:val="0078276C"/>
    <w:rsid w:val="00782778"/>
    <w:rsid w:val="0078299D"/>
    <w:rsid w:val="00782A97"/>
    <w:rsid w:val="00783195"/>
    <w:rsid w:val="007834B8"/>
    <w:rsid w:val="007839DA"/>
    <w:rsid w:val="00784315"/>
    <w:rsid w:val="007843F2"/>
    <w:rsid w:val="007846FA"/>
    <w:rsid w:val="00784974"/>
    <w:rsid w:val="00784AD1"/>
    <w:rsid w:val="00784D95"/>
    <w:rsid w:val="00785413"/>
    <w:rsid w:val="007854B3"/>
    <w:rsid w:val="00785A9F"/>
    <w:rsid w:val="00786051"/>
    <w:rsid w:val="00786758"/>
    <w:rsid w:val="00786E39"/>
    <w:rsid w:val="007872E0"/>
    <w:rsid w:val="00787FA4"/>
    <w:rsid w:val="007903D5"/>
    <w:rsid w:val="00790940"/>
    <w:rsid w:val="00790BE4"/>
    <w:rsid w:val="00790EE7"/>
    <w:rsid w:val="007912E4"/>
    <w:rsid w:val="007913B3"/>
    <w:rsid w:val="0079172B"/>
    <w:rsid w:val="00791917"/>
    <w:rsid w:val="00791ADE"/>
    <w:rsid w:val="0079219F"/>
    <w:rsid w:val="007925DF"/>
    <w:rsid w:val="007925FD"/>
    <w:rsid w:val="00792756"/>
    <w:rsid w:val="00792B36"/>
    <w:rsid w:val="00792B90"/>
    <w:rsid w:val="00792D36"/>
    <w:rsid w:val="007930D5"/>
    <w:rsid w:val="00793162"/>
    <w:rsid w:val="007936AC"/>
    <w:rsid w:val="00793BBC"/>
    <w:rsid w:val="00794422"/>
    <w:rsid w:val="00794C6C"/>
    <w:rsid w:val="00795991"/>
    <w:rsid w:val="00795C7B"/>
    <w:rsid w:val="00795CB7"/>
    <w:rsid w:val="00795E01"/>
    <w:rsid w:val="00795F69"/>
    <w:rsid w:val="007962A8"/>
    <w:rsid w:val="0079665E"/>
    <w:rsid w:val="00796BE0"/>
    <w:rsid w:val="00796C68"/>
    <w:rsid w:val="00796CDD"/>
    <w:rsid w:val="00796DC3"/>
    <w:rsid w:val="00796DF1"/>
    <w:rsid w:val="00796DFF"/>
    <w:rsid w:val="007974C3"/>
    <w:rsid w:val="007A08AA"/>
    <w:rsid w:val="007A0A12"/>
    <w:rsid w:val="007A0AB8"/>
    <w:rsid w:val="007A0B3C"/>
    <w:rsid w:val="007A0F0D"/>
    <w:rsid w:val="007A132D"/>
    <w:rsid w:val="007A1345"/>
    <w:rsid w:val="007A296D"/>
    <w:rsid w:val="007A2BCF"/>
    <w:rsid w:val="007A2CFC"/>
    <w:rsid w:val="007A2DDB"/>
    <w:rsid w:val="007A3239"/>
    <w:rsid w:val="007A358A"/>
    <w:rsid w:val="007A35FE"/>
    <w:rsid w:val="007A37E5"/>
    <w:rsid w:val="007A38B5"/>
    <w:rsid w:val="007A3B76"/>
    <w:rsid w:val="007A4D5E"/>
    <w:rsid w:val="007A4E8D"/>
    <w:rsid w:val="007A51EC"/>
    <w:rsid w:val="007A540F"/>
    <w:rsid w:val="007A56A9"/>
    <w:rsid w:val="007A590E"/>
    <w:rsid w:val="007A5C1A"/>
    <w:rsid w:val="007A5E13"/>
    <w:rsid w:val="007A61CE"/>
    <w:rsid w:val="007A6D29"/>
    <w:rsid w:val="007A6D62"/>
    <w:rsid w:val="007A70BA"/>
    <w:rsid w:val="007A7432"/>
    <w:rsid w:val="007A7FFC"/>
    <w:rsid w:val="007B0287"/>
    <w:rsid w:val="007B02B0"/>
    <w:rsid w:val="007B0383"/>
    <w:rsid w:val="007B0888"/>
    <w:rsid w:val="007B0BE4"/>
    <w:rsid w:val="007B0D68"/>
    <w:rsid w:val="007B1A29"/>
    <w:rsid w:val="007B2344"/>
    <w:rsid w:val="007B251D"/>
    <w:rsid w:val="007B2C99"/>
    <w:rsid w:val="007B2DF4"/>
    <w:rsid w:val="007B30EA"/>
    <w:rsid w:val="007B3533"/>
    <w:rsid w:val="007B3D0A"/>
    <w:rsid w:val="007B419B"/>
    <w:rsid w:val="007B4F58"/>
    <w:rsid w:val="007B4FCE"/>
    <w:rsid w:val="007B5223"/>
    <w:rsid w:val="007B528D"/>
    <w:rsid w:val="007B5584"/>
    <w:rsid w:val="007B5A55"/>
    <w:rsid w:val="007B5AE0"/>
    <w:rsid w:val="007B63CA"/>
    <w:rsid w:val="007B7778"/>
    <w:rsid w:val="007B77D1"/>
    <w:rsid w:val="007C03FA"/>
    <w:rsid w:val="007C07C7"/>
    <w:rsid w:val="007C0C43"/>
    <w:rsid w:val="007C0FA4"/>
    <w:rsid w:val="007C1A0A"/>
    <w:rsid w:val="007C1CD9"/>
    <w:rsid w:val="007C2634"/>
    <w:rsid w:val="007C2889"/>
    <w:rsid w:val="007C29C2"/>
    <w:rsid w:val="007C32EF"/>
    <w:rsid w:val="007C361D"/>
    <w:rsid w:val="007C38CC"/>
    <w:rsid w:val="007C4024"/>
    <w:rsid w:val="007C4186"/>
    <w:rsid w:val="007C48DC"/>
    <w:rsid w:val="007C4B84"/>
    <w:rsid w:val="007C4BDD"/>
    <w:rsid w:val="007C5FAE"/>
    <w:rsid w:val="007C6487"/>
    <w:rsid w:val="007C64DA"/>
    <w:rsid w:val="007C6A81"/>
    <w:rsid w:val="007C6D11"/>
    <w:rsid w:val="007C70FF"/>
    <w:rsid w:val="007C7253"/>
    <w:rsid w:val="007C731E"/>
    <w:rsid w:val="007C7930"/>
    <w:rsid w:val="007C7C25"/>
    <w:rsid w:val="007C7D13"/>
    <w:rsid w:val="007D004F"/>
    <w:rsid w:val="007D00D5"/>
    <w:rsid w:val="007D01F9"/>
    <w:rsid w:val="007D0352"/>
    <w:rsid w:val="007D035F"/>
    <w:rsid w:val="007D06B2"/>
    <w:rsid w:val="007D06F8"/>
    <w:rsid w:val="007D0B38"/>
    <w:rsid w:val="007D0D10"/>
    <w:rsid w:val="007D0DDE"/>
    <w:rsid w:val="007D11DA"/>
    <w:rsid w:val="007D132B"/>
    <w:rsid w:val="007D156C"/>
    <w:rsid w:val="007D15DE"/>
    <w:rsid w:val="007D17A2"/>
    <w:rsid w:val="007D1D93"/>
    <w:rsid w:val="007D2079"/>
    <w:rsid w:val="007D2081"/>
    <w:rsid w:val="007D2408"/>
    <w:rsid w:val="007D28B6"/>
    <w:rsid w:val="007D33E3"/>
    <w:rsid w:val="007D37BD"/>
    <w:rsid w:val="007D503E"/>
    <w:rsid w:val="007D5169"/>
    <w:rsid w:val="007D5231"/>
    <w:rsid w:val="007D5440"/>
    <w:rsid w:val="007D546F"/>
    <w:rsid w:val="007D556D"/>
    <w:rsid w:val="007D5EA3"/>
    <w:rsid w:val="007D649B"/>
    <w:rsid w:val="007D655D"/>
    <w:rsid w:val="007D69EB"/>
    <w:rsid w:val="007D6A35"/>
    <w:rsid w:val="007D781C"/>
    <w:rsid w:val="007D7DF7"/>
    <w:rsid w:val="007E0059"/>
    <w:rsid w:val="007E0220"/>
    <w:rsid w:val="007E05BE"/>
    <w:rsid w:val="007E0641"/>
    <w:rsid w:val="007E08A7"/>
    <w:rsid w:val="007E0A95"/>
    <w:rsid w:val="007E128F"/>
    <w:rsid w:val="007E135D"/>
    <w:rsid w:val="007E15A2"/>
    <w:rsid w:val="007E1639"/>
    <w:rsid w:val="007E19DE"/>
    <w:rsid w:val="007E1BB6"/>
    <w:rsid w:val="007E25B2"/>
    <w:rsid w:val="007E271E"/>
    <w:rsid w:val="007E2B21"/>
    <w:rsid w:val="007E36CD"/>
    <w:rsid w:val="007E3A3C"/>
    <w:rsid w:val="007E4CD0"/>
    <w:rsid w:val="007E51D5"/>
    <w:rsid w:val="007E5270"/>
    <w:rsid w:val="007E55AA"/>
    <w:rsid w:val="007E5BE8"/>
    <w:rsid w:val="007E65B2"/>
    <w:rsid w:val="007E6932"/>
    <w:rsid w:val="007E6AEB"/>
    <w:rsid w:val="007E6CE5"/>
    <w:rsid w:val="007E6E90"/>
    <w:rsid w:val="007E7158"/>
    <w:rsid w:val="007E7563"/>
    <w:rsid w:val="007E75AF"/>
    <w:rsid w:val="007E7884"/>
    <w:rsid w:val="007F0063"/>
    <w:rsid w:val="007F0966"/>
    <w:rsid w:val="007F1017"/>
    <w:rsid w:val="007F26EE"/>
    <w:rsid w:val="007F2D57"/>
    <w:rsid w:val="007F2ECF"/>
    <w:rsid w:val="007F30EE"/>
    <w:rsid w:val="007F32CA"/>
    <w:rsid w:val="007F3454"/>
    <w:rsid w:val="007F361F"/>
    <w:rsid w:val="007F4027"/>
    <w:rsid w:val="007F4143"/>
    <w:rsid w:val="007F42CB"/>
    <w:rsid w:val="007F45F7"/>
    <w:rsid w:val="007F49A3"/>
    <w:rsid w:val="007F4A3F"/>
    <w:rsid w:val="007F4A61"/>
    <w:rsid w:val="007F4B07"/>
    <w:rsid w:val="007F5255"/>
    <w:rsid w:val="007F56CC"/>
    <w:rsid w:val="007F5B66"/>
    <w:rsid w:val="007F5D51"/>
    <w:rsid w:val="007F5E60"/>
    <w:rsid w:val="007F6078"/>
    <w:rsid w:val="007F61C2"/>
    <w:rsid w:val="007F6657"/>
    <w:rsid w:val="007F669A"/>
    <w:rsid w:val="007F6795"/>
    <w:rsid w:val="007F6885"/>
    <w:rsid w:val="007F6B3F"/>
    <w:rsid w:val="007F724F"/>
    <w:rsid w:val="007F7395"/>
    <w:rsid w:val="007F7496"/>
    <w:rsid w:val="007F7750"/>
    <w:rsid w:val="007F77C3"/>
    <w:rsid w:val="007F78A6"/>
    <w:rsid w:val="007F7DC9"/>
    <w:rsid w:val="007F7F21"/>
    <w:rsid w:val="0080003C"/>
    <w:rsid w:val="00800B47"/>
    <w:rsid w:val="00800F53"/>
    <w:rsid w:val="008013E9"/>
    <w:rsid w:val="008018C9"/>
    <w:rsid w:val="00801E7B"/>
    <w:rsid w:val="008026B5"/>
    <w:rsid w:val="00802718"/>
    <w:rsid w:val="008027C3"/>
    <w:rsid w:val="008027EA"/>
    <w:rsid w:val="008028A8"/>
    <w:rsid w:val="00802AD1"/>
    <w:rsid w:val="008042CC"/>
    <w:rsid w:val="00805142"/>
    <w:rsid w:val="00805321"/>
    <w:rsid w:val="0080566B"/>
    <w:rsid w:val="00805FCE"/>
    <w:rsid w:val="00805FD9"/>
    <w:rsid w:val="0080610C"/>
    <w:rsid w:val="00806176"/>
    <w:rsid w:val="00806207"/>
    <w:rsid w:val="00806223"/>
    <w:rsid w:val="00806DA0"/>
    <w:rsid w:val="00806EA4"/>
    <w:rsid w:val="00807196"/>
    <w:rsid w:val="00807619"/>
    <w:rsid w:val="00807A8B"/>
    <w:rsid w:val="00807B22"/>
    <w:rsid w:val="008105AD"/>
    <w:rsid w:val="00810A6E"/>
    <w:rsid w:val="0081103D"/>
    <w:rsid w:val="00811383"/>
    <w:rsid w:val="0081192B"/>
    <w:rsid w:val="00812149"/>
    <w:rsid w:val="00812850"/>
    <w:rsid w:val="0081293B"/>
    <w:rsid w:val="00812AB8"/>
    <w:rsid w:val="00812CAC"/>
    <w:rsid w:val="00812CBB"/>
    <w:rsid w:val="00813338"/>
    <w:rsid w:val="00813922"/>
    <w:rsid w:val="00814444"/>
    <w:rsid w:val="00814AA2"/>
    <w:rsid w:val="00815871"/>
    <w:rsid w:val="00816198"/>
    <w:rsid w:val="00816361"/>
    <w:rsid w:val="008166EF"/>
    <w:rsid w:val="00816FEF"/>
    <w:rsid w:val="0081701E"/>
    <w:rsid w:val="00817203"/>
    <w:rsid w:val="00820A8C"/>
    <w:rsid w:val="00820AED"/>
    <w:rsid w:val="008215FB"/>
    <w:rsid w:val="00821777"/>
    <w:rsid w:val="00821CBE"/>
    <w:rsid w:val="008220CC"/>
    <w:rsid w:val="00822948"/>
    <w:rsid w:val="00822B5B"/>
    <w:rsid w:val="00822D6F"/>
    <w:rsid w:val="00822DF8"/>
    <w:rsid w:val="00822F74"/>
    <w:rsid w:val="00823174"/>
    <w:rsid w:val="008231E1"/>
    <w:rsid w:val="0082378C"/>
    <w:rsid w:val="008239A7"/>
    <w:rsid w:val="00823E12"/>
    <w:rsid w:val="00824048"/>
    <w:rsid w:val="00824173"/>
    <w:rsid w:val="00824228"/>
    <w:rsid w:val="0082467D"/>
    <w:rsid w:val="008249B4"/>
    <w:rsid w:val="00824DA3"/>
    <w:rsid w:val="008250B2"/>
    <w:rsid w:val="00825751"/>
    <w:rsid w:val="00825A4D"/>
    <w:rsid w:val="0082632E"/>
    <w:rsid w:val="00826365"/>
    <w:rsid w:val="00826408"/>
    <w:rsid w:val="008264EB"/>
    <w:rsid w:val="008268CE"/>
    <w:rsid w:val="00827022"/>
    <w:rsid w:val="008270B9"/>
    <w:rsid w:val="008272C9"/>
    <w:rsid w:val="0082790B"/>
    <w:rsid w:val="00827987"/>
    <w:rsid w:val="00827C23"/>
    <w:rsid w:val="00827D03"/>
    <w:rsid w:val="00830188"/>
    <w:rsid w:val="00830997"/>
    <w:rsid w:val="00832037"/>
    <w:rsid w:val="0083203B"/>
    <w:rsid w:val="0083254D"/>
    <w:rsid w:val="008326BC"/>
    <w:rsid w:val="0083282C"/>
    <w:rsid w:val="0083283D"/>
    <w:rsid w:val="008330EE"/>
    <w:rsid w:val="0083367B"/>
    <w:rsid w:val="00833B05"/>
    <w:rsid w:val="008344F7"/>
    <w:rsid w:val="008346E0"/>
    <w:rsid w:val="00836183"/>
    <w:rsid w:val="008362B4"/>
    <w:rsid w:val="008364E1"/>
    <w:rsid w:val="0083683E"/>
    <w:rsid w:val="0084011A"/>
    <w:rsid w:val="0084031F"/>
    <w:rsid w:val="008403F6"/>
    <w:rsid w:val="00840737"/>
    <w:rsid w:val="00840B8E"/>
    <w:rsid w:val="00840CA2"/>
    <w:rsid w:val="00841067"/>
    <w:rsid w:val="008416DF"/>
    <w:rsid w:val="00841A1C"/>
    <w:rsid w:val="00841BC7"/>
    <w:rsid w:val="00841C48"/>
    <w:rsid w:val="00842D72"/>
    <w:rsid w:val="00842F59"/>
    <w:rsid w:val="00842F6E"/>
    <w:rsid w:val="0084300F"/>
    <w:rsid w:val="008435D4"/>
    <w:rsid w:val="0084374F"/>
    <w:rsid w:val="00843D1A"/>
    <w:rsid w:val="00843E20"/>
    <w:rsid w:val="00844524"/>
    <w:rsid w:val="00844A22"/>
    <w:rsid w:val="00844BF0"/>
    <w:rsid w:val="00844F0F"/>
    <w:rsid w:val="00844F2B"/>
    <w:rsid w:val="00845150"/>
    <w:rsid w:val="00845B7D"/>
    <w:rsid w:val="00845BD8"/>
    <w:rsid w:val="00845E40"/>
    <w:rsid w:val="00846182"/>
    <w:rsid w:val="008461DD"/>
    <w:rsid w:val="00846894"/>
    <w:rsid w:val="008469AC"/>
    <w:rsid w:val="00846A3C"/>
    <w:rsid w:val="00846FAC"/>
    <w:rsid w:val="008474A7"/>
    <w:rsid w:val="008476C1"/>
    <w:rsid w:val="00847703"/>
    <w:rsid w:val="00847762"/>
    <w:rsid w:val="00847D4E"/>
    <w:rsid w:val="00847D9F"/>
    <w:rsid w:val="00847DF5"/>
    <w:rsid w:val="0085049D"/>
    <w:rsid w:val="008505FC"/>
    <w:rsid w:val="008511A7"/>
    <w:rsid w:val="008515B9"/>
    <w:rsid w:val="008517BB"/>
    <w:rsid w:val="00851B53"/>
    <w:rsid w:val="00851C8D"/>
    <w:rsid w:val="00851EA1"/>
    <w:rsid w:val="00852221"/>
    <w:rsid w:val="00852465"/>
    <w:rsid w:val="00853063"/>
    <w:rsid w:val="0085309D"/>
    <w:rsid w:val="00853403"/>
    <w:rsid w:val="00853817"/>
    <w:rsid w:val="0085393B"/>
    <w:rsid w:val="008539E4"/>
    <w:rsid w:val="0085447B"/>
    <w:rsid w:val="008545E1"/>
    <w:rsid w:val="00854FC2"/>
    <w:rsid w:val="008556D2"/>
    <w:rsid w:val="00855C47"/>
    <w:rsid w:val="008565DF"/>
    <w:rsid w:val="00856733"/>
    <w:rsid w:val="00856866"/>
    <w:rsid w:val="00856897"/>
    <w:rsid w:val="0085693C"/>
    <w:rsid w:val="00856DD6"/>
    <w:rsid w:val="00856E9A"/>
    <w:rsid w:val="00856F8C"/>
    <w:rsid w:val="00857173"/>
    <w:rsid w:val="008571E2"/>
    <w:rsid w:val="00857819"/>
    <w:rsid w:val="00857966"/>
    <w:rsid w:val="00857A15"/>
    <w:rsid w:val="00857D2E"/>
    <w:rsid w:val="00857DEE"/>
    <w:rsid w:val="00860689"/>
    <w:rsid w:val="0086075D"/>
    <w:rsid w:val="00860867"/>
    <w:rsid w:val="008610F4"/>
    <w:rsid w:val="0086141F"/>
    <w:rsid w:val="00861852"/>
    <w:rsid w:val="0086198F"/>
    <w:rsid w:val="00861A17"/>
    <w:rsid w:val="00861D72"/>
    <w:rsid w:val="00861EED"/>
    <w:rsid w:val="00862502"/>
    <w:rsid w:val="00862846"/>
    <w:rsid w:val="00862CC1"/>
    <w:rsid w:val="00862F95"/>
    <w:rsid w:val="00863335"/>
    <w:rsid w:val="00864060"/>
    <w:rsid w:val="008642A7"/>
    <w:rsid w:val="008645FB"/>
    <w:rsid w:val="00864FEB"/>
    <w:rsid w:val="0086565F"/>
    <w:rsid w:val="008660D4"/>
    <w:rsid w:val="00866298"/>
    <w:rsid w:val="008664B6"/>
    <w:rsid w:val="00866C9E"/>
    <w:rsid w:val="008673F4"/>
    <w:rsid w:val="00867412"/>
    <w:rsid w:val="008675D8"/>
    <w:rsid w:val="00867AAA"/>
    <w:rsid w:val="00867AFA"/>
    <w:rsid w:val="00867E69"/>
    <w:rsid w:val="008701A1"/>
    <w:rsid w:val="00870317"/>
    <w:rsid w:val="00870765"/>
    <w:rsid w:val="0087083F"/>
    <w:rsid w:val="00870F7B"/>
    <w:rsid w:val="00871608"/>
    <w:rsid w:val="008718AC"/>
    <w:rsid w:val="00871912"/>
    <w:rsid w:val="00871DCD"/>
    <w:rsid w:val="00871FA9"/>
    <w:rsid w:val="00872121"/>
    <w:rsid w:val="0087246A"/>
    <w:rsid w:val="0087258C"/>
    <w:rsid w:val="0087259F"/>
    <w:rsid w:val="00872854"/>
    <w:rsid w:val="008728E9"/>
    <w:rsid w:val="00872BD7"/>
    <w:rsid w:val="00873069"/>
    <w:rsid w:val="008731E7"/>
    <w:rsid w:val="00873313"/>
    <w:rsid w:val="0087340C"/>
    <w:rsid w:val="0087348E"/>
    <w:rsid w:val="00873629"/>
    <w:rsid w:val="00873736"/>
    <w:rsid w:val="00873743"/>
    <w:rsid w:val="00873784"/>
    <w:rsid w:val="008738B5"/>
    <w:rsid w:val="00873D35"/>
    <w:rsid w:val="008740FE"/>
    <w:rsid w:val="00874131"/>
    <w:rsid w:val="00874178"/>
    <w:rsid w:val="00874784"/>
    <w:rsid w:val="008747D5"/>
    <w:rsid w:val="00875029"/>
    <w:rsid w:val="00875CFE"/>
    <w:rsid w:val="00876441"/>
    <w:rsid w:val="00876AC7"/>
    <w:rsid w:val="00876CF5"/>
    <w:rsid w:val="00876EF3"/>
    <w:rsid w:val="00877247"/>
    <w:rsid w:val="00877421"/>
    <w:rsid w:val="0087782C"/>
    <w:rsid w:val="00880360"/>
    <w:rsid w:val="00880D14"/>
    <w:rsid w:val="00880F39"/>
    <w:rsid w:val="00880F4B"/>
    <w:rsid w:val="0088146B"/>
    <w:rsid w:val="00882419"/>
    <w:rsid w:val="00882608"/>
    <w:rsid w:val="00882874"/>
    <w:rsid w:val="00882E3C"/>
    <w:rsid w:val="0088308A"/>
    <w:rsid w:val="008831A4"/>
    <w:rsid w:val="00883787"/>
    <w:rsid w:val="008837B1"/>
    <w:rsid w:val="00883F2A"/>
    <w:rsid w:val="008840BE"/>
    <w:rsid w:val="0088442C"/>
    <w:rsid w:val="00884500"/>
    <w:rsid w:val="008845C1"/>
    <w:rsid w:val="00884676"/>
    <w:rsid w:val="008846B0"/>
    <w:rsid w:val="008849E3"/>
    <w:rsid w:val="00884DA1"/>
    <w:rsid w:val="00884F33"/>
    <w:rsid w:val="00884FC0"/>
    <w:rsid w:val="00885291"/>
    <w:rsid w:val="008852E8"/>
    <w:rsid w:val="008855E4"/>
    <w:rsid w:val="00885B48"/>
    <w:rsid w:val="00885FAF"/>
    <w:rsid w:val="00885FB9"/>
    <w:rsid w:val="0088618D"/>
    <w:rsid w:val="008861CC"/>
    <w:rsid w:val="00886275"/>
    <w:rsid w:val="00886339"/>
    <w:rsid w:val="008864D5"/>
    <w:rsid w:val="00886C8E"/>
    <w:rsid w:val="00886CD2"/>
    <w:rsid w:val="00887552"/>
    <w:rsid w:val="00887700"/>
    <w:rsid w:val="00887CDB"/>
    <w:rsid w:val="00887FEE"/>
    <w:rsid w:val="00890506"/>
    <w:rsid w:val="00890B01"/>
    <w:rsid w:val="0089125E"/>
    <w:rsid w:val="0089159B"/>
    <w:rsid w:val="00891AED"/>
    <w:rsid w:val="00891E6F"/>
    <w:rsid w:val="008925A9"/>
    <w:rsid w:val="0089275D"/>
    <w:rsid w:val="00892A36"/>
    <w:rsid w:val="00892D4D"/>
    <w:rsid w:val="0089308B"/>
    <w:rsid w:val="00893239"/>
    <w:rsid w:val="008937CD"/>
    <w:rsid w:val="0089398B"/>
    <w:rsid w:val="00893B62"/>
    <w:rsid w:val="0089420E"/>
    <w:rsid w:val="00894489"/>
    <w:rsid w:val="00894767"/>
    <w:rsid w:val="0089484A"/>
    <w:rsid w:val="0089490A"/>
    <w:rsid w:val="00894C14"/>
    <w:rsid w:val="00894CD6"/>
    <w:rsid w:val="0089520F"/>
    <w:rsid w:val="008955D3"/>
    <w:rsid w:val="0089594E"/>
    <w:rsid w:val="00895B74"/>
    <w:rsid w:val="00895E1D"/>
    <w:rsid w:val="0089621D"/>
    <w:rsid w:val="008963A5"/>
    <w:rsid w:val="0089645D"/>
    <w:rsid w:val="00896668"/>
    <w:rsid w:val="0089666E"/>
    <w:rsid w:val="00896D5D"/>
    <w:rsid w:val="00897142"/>
    <w:rsid w:val="0089717B"/>
    <w:rsid w:val="008971C8"/>
    <w:rsid w:val="008978A9"/>
    <w:rsid w:val="00897B93"/>
    <w:rsid w:val="008A01D5"/>
    <w:rsid w:val="008A09C8"/>
    <w:rsid w:val="008A0B46"/>
    <w:rsid w:val="008A0EF4"/>
    <w:rsid w:val="008A1DE6"/>
    <w:rsid w:val="008A1F35"/>
    <w:rsid w:val="008A1F58"/>
    <w:rsid w:val="008A208C"/>
    <w:rsid w:val="008A2232"/>
    <w:rsid w:val="008A2493"/>
    <w:rsid w:val="008A267E"/>
    <w:rsid w:val="008A26E9"/>
    <w:rsid w:val="008A2722"/>
    <w:rsid w:val="008A2C50"/>
    <w:rsid w:val="008A30CF"/>
    <w:rsid w:val="008A3158"/>
    <w:rsid w:val="008A3363"/>
    <w:rsid w:val="008A3371"/>
    <w:rsid w:val="008A36E8"/>
    <w:rsid w:val="008A371A"/>
    <w:rsid w:val="008A3B58"/>
    <w:rsid w:val="008A3C3E"/>
    <w:rsid w:val="008A4545"/>
    <w:rsid w:val="008A45A0"/>
    <w:rsid w:val="008A4659"/>
    <w:rsid w:val="008A54EC"/>
    <w:rsid w:val="008A613C"/>
    <w:rsid w:val="008A61E2"/>
    <w:rsid w:val="008A6930"/>
    <w:rsid w:val="008A73F6"/>
    <w:rsid w:val="008A79CE"/>
    <w:rsid w:val="008A79DE"/>
    <w:rsid w:val="008A7BD6"/>
    <w:rsid w:val="008B01F0"/>
    <w:rsid w:val="008B021E"/>
    <w:rsid w:val="008B0458"/>
    <w:rsid w:val="008B0873"/>
    <w:rsid w:val="008B13CF"/>
    <w:rsid w:val="008B1591"/>
    <w:rsid w:val="008B15D0"/>
    <w:rsid w:val="008B16D3"/>
    <w:rsid w:val="008B1757"/>
    <w:rsid w:val="008B1873"/>
    <w:rsid w:val="008B1C33"/>
    <w:rsid w:val="008B2951"/>
    <w:rsid w:val="008B34A2"/>
    <w:rsid w:val="008B3AF7"/>
    <w:rsid w:val="008B4114"/>
    <w:rsid w:val="008B44CE"/>
    <w:rsid w:val="008B477F"/>
    <w:rsid w:val="008B4B6F"/>
    <w:rsid w:val="008B4BBE"/>
    <w:rsid w:val="008B4E59"/>
    <w:rsid w:val="008B4EB6"/>
    <w:rsid w:val="008B5128"/>
    <w:rsid w:val="008B5B0E"/>
    <w:rsid w:val="008B5D64"/>
    <w:rsid w:val="008B70F6"/>
    <w:rsid w:val="008B7992"/>
    <w:rsid w:val="008B7A67"/>
    <w:rsid w:val="008B7D7E"/>
    <w:rsid w:val="008B7E0C"/>
    <w:rsid w:val="008B7FB9"/>
    <w:rsid w:val="008C0341"/>
    <w:rsid w:val="008C0F2C"/>
    <w:rsid w:val="008C14BC"/>
    <w:rsid w:val="008C1678"/>
    <w:rsid w:val="008C19F9"/>
    <w:rsid w:val="008C2897"/>
    <w:rsid w:val="008C2C69"/>
    <w:rsid w:val="008C3048"/>
    <w:rsid w:val="008C31F0"/>
    <w:rsid w:val="008C39B1"/>
    <w:rsid w:val="008C4664"/>
    <w:rsid w:val="008C4D87"/>
    <w:rsid w:val="008C5461"/>
    <w:rsid w:val="008C5610"/>
    <w:rsid w:val="008C570F"/>
    <w:rsid w:val="008C5739"/>
    <w:rsid w:val="008C5788"/>
    <w:rsid w:val="008C5ABD"/>
    <w:rsid w:val="008C5D08"/>
    <w:rsid w:val="008C5D21"/>
    <w:rsid w:val="008C5D80"/>
    <w:rsid w:val="008C5E59"/>
    <w:rsid w:val="008C64BB"/>
    <w:rsid w:val="008C7138"/>
    <w:rsid w:val="008C7282"/>
    <w:rsid w:val="008C7441"/>
    <w:rsid w:val="008C7BDC"/>
    <w:rsid w:val="008C7ECB"/>
    <w:rsid w:val="008D00C3"/>
    <w:rsid w:val="008D0105"/>
    <w:rsid w:val="008D0EC6"/>
    <w:rsid w:val="008D0FDA"/>
    <w:rsid w:val="008D11AD"/>
    <w:rsid w:val="008D12A2"/>
    <w:rsid w:val="008D13E9"/>
    <w:rsid w:val="008D1449"/>
    <w:rsid w:val="008D154C"/>
    <w:rsid w:val="008D205D"/>
    <w:rsid w:val="008D20F8"/>
    <w:rsid w:val="008D22FC"/>
    <w:rsid w:val="008D2597"/>
    <w:rsid w:val="008D304A"/>
    <w:rsid w:val="008D3091"/>
    <w:rsid w:val="008D32DD"/>
    <w:rsid w:val="008D3665"/>
    <w:rsid w:val="008D36CB"/>
    <w:rsid w:val="008D37AC"/>
    <w:rsid w:val="008D3A93"/>
    <w:rsid w:val="008D3B86"/>
    <w:rsid w:val="008D3DB6"/>
    <w:rsid w:val="008D43FD"/>
    <w:rsid w:val="008D4755"/>
    <w:rsid w:val="008D4A16"/>
    <w:rsid w:val="008D4C3D"/>
    <w:rsid w:val="008D4CA1"/>
    <w:rsid w:val="008D4EEA"/>
    <w:rsid w:val="008D54B8"/>
    <w:rsid w:val="008D5966"/>
    <w:rsid w:val="008D5F06"/>
    <w:rsid w:val="008D6309"/>
    <w:rsid w:val="008D634B"/>
    <w:rsid w:val="008D63EA"/>
    <w:rsid w:val="008D6C5B"/>
    <w:rsid w:val="008D7258"/>
    <w:rsid w:val="008D743C"/>
    <w:rsid w:val="008D7859"/>
    <w:rsid w:val="008D7F95"/>
    <w:rsid w:val="008E02CF"/>
    <w:rsid w:val="008E048A"/>
    <w:rsid w:val="008E0D3C"/>
    <w:rsid w:val="008E15A5"/>
    <w:rsid w:val="008E1B9E"/>
    <w:rsid w:val="008E1F78"/>
    <w:rsid w:val="008E20D7"/>
    <w:rsid w:val="008E257D"/>
    <w:rsid w:val="008E3EAF"/>
    <w:rsid w:val="008E43EB"/>
    <w:rsid w:val="008E47FC"/>
    <w:rsid w:val="008E4EE9"/>
    <w:rsid w:val="008E552A"/>
    <w:rsid w:val="008E55AB"/>
    <w:rsid w:val="008E57EC"/>
    <w:rsid w:val="008E5A43"/>
    <w:rsid w:val="008E5E30"/>
    <w:rsid w:val="008E6212"/>
    <w:rsid w:val="008E6B05"/>
    <w:rsid w:val="008E71FA"/>
    <w:rsid w:val="008E74D3"/>
    <w:rsid w:val="008E7F96"/>
    <w:rsid w:val="008F01E6"/>
    <w:rsid w:val="008F063F"/>
    <w:rsid w:val="008F120A"/>
    <w:rsid w:val="008F1AC9"/>
    <w:rsid w:val="008F1B99"/>
    <w:rsid w:val="008F1ED8"/>
    <w:rsid w:val="008F2246"/>
    <w:rsid w:val="008F27E0"/>
    <w:rsid w:val="008F297E"/>
    <w:rsid w:val="008F2A0F"/>
    <w:rsid w:val="008F2BF1"/>
    <w:rsid w:val="008F37E9"/>
    <w:rsid w:val="008F3C81"/>
    <w:rsid w:val="008F3D88"/>
    <w:rsid w:val="008F4580"/>
    <w:rsid w:val="008F48EB"/>
    <w:rsid w:val="008F4F0B"/>
    <w:rsid w:val="008F4FB7"/>
    <w:rsid w:val="008F5759"/>
    <w:rsid w:val="008F6024"/>
    <w:rsid w:val="008F6076"/>
    <w:rsid w:val="008F65A0"/>
    <w:rsid w:val="008F66B4"/>
    <w:rsid w:val="008F6768"/>
    <w:rsid w:val="008F757E"/>
    <w:rsid w:val="008F76B6"/>
    <w:rsid w:val="008F7755"/>
    <w:rsid w:val="008F78B6"/>
    <w:rsid w:val="00900055"/>
    <w:rsid w:val="00900109"/>
    <w:rsid w:val="009001F2"/>
    <w:rsid w:val="0090024A"/>
    <w:rsid w:val="0090060E"/>
    <w:rsid w:val="00900667"/>
    <w:rsid w:val="0090076C"/>
    <w:rsid w:val="0090115B"/>
    <w:rsid w:val="00901697"/>
    <w:rsid w:val="00901C37"/>
    <w:rsid w:val="00902137"/>
    <w:rsid w:val="009028D0"/>
    <w:rsid w:val="00902968"/>
    <w:rsid w:val="00902B89"/>
    <w:rsid w:val="00902CA5"/>
    <w:rsid w:val="00902DBC"/>
    <w:rsid w:val="0090329F"/>
    <w:rsid w:val="009032DC"/>
    <w:rsid w:val="009043E3"/>
    <w:rsid w:val="009046C4"/>
    <w:rsid w:val="009048D0"/>
    <w:rsid w:val="009050E8"/>
    <w:rsid w:val="00905250"/>
    <w:rsid w:val="00905629"/>
    <w:rsid w:val="00905803"/>
    <w:rsid w:val="0090588E"/>
    <w:rsid w:val="00906038"/>
    <w:rsid w:val="009062A5"/>
    <w:rsid w:val="009070FB"/>
    <w:rsid w:val="00907699"/>
    <w:rsid w:val="00907FF4"/>
    <w:rsid w:val="009102E2"/>
    <w:rsid w:val="00910FA7"/>
    <w:rsid w:val="00911272"/>
    <w:rsid w:val="00911339"/>
    <w:rsid w:val="00912126"/>
    <w:rsid w:val="00912218"/>
    <w:rsid w:val="00912436"/>
    <w:rsid w:val="009135D6"/>
    <w:rsid w:val="009136C2"/>
    <w:rsid w:val="00913B23"/>
    <w:rsid w:val="00913B80"/>
    <w:rsid w:val="00913C3D"/>
    <w:rsid w:val="00913C62"/>
    <w:rsid w:val="00913D06"/>
    <w:rsid w:val="009142D4"/>
    <w:rsid w:val="00914C77"/>
    <w:rsid w:val="00914D3C"/>
    <w:rsid w:val="00914EB0"/>
    <w:rsid w:val="009152FB"/>
    <w:rsid w:val="0091544C"/>
    <w:rsid w:val="00915938"/>
    <w:rsid w:val="00915A32"/>
    <w:rsid w:val="00915F77"/>
    <w:rsid w:val="0091608C"/>
    <w:rsid w:val="009171B8"/>
    <w:rsid w:val="009176B5"/>
    <w:rsid w:val="0092033E"/>
    <w:rsid w:val="009203E2"/>
    <w:rsid w:val="00921674"/>
    <w:rsid w:val="00921ACB"/>
    <w:rsid w:val="00921B75"/>
    <w:rsid w:val="009224D6"/>
    <w:rsid w:val="0092276B"/>
    <w:rsid w:val="00922928"/>
    <w:rsid w:val="009234F5"/>
    <w:rsid w:val="0092369B"/>
    <w:rsid w:val="00923DE2"/>
    <w:rsid w:val="00924117"/>
    <w:rsid w:val="0092496E"/>
    <w:rsid w:val="009255D9"/>
    <w:rsid w:val="0092574D"/>
    <w:rsid w:val="0092596E"/>
    <w:rsid w:val="00925AEB"/>
    <w:rsid w:val="00925AF9"/>
    <w:rsid w:val="00925D45"/>
    <w:rsid w:val="00925E69"/>
    <w:rsid w:val="00925EE5"/>
    <w:rsid w:val="009273E8"/>
    <w:rsid w:val="00927CDE"/>
    <w:rsid w:val="0093001A"/>
    <w:rsid w:val="00930109"/>
    <w:rsid w:val="00930464"/>
    <w:rsid w:val="0093091C"/>
    <w:rsid w:val="00930CC2"/>
    <w:rsid w:val="00930FBC"/>
    <w:rsid w:val="00931102"/>
    <w:rsid w:val="00931602"/>
    <w:rsid w:val="00931F13"/>
    <w:rsid w:val="00932166"/>
    <w:rsid w:val="00932489"/>
    <w:rsid w:val="00932902"/>
    <w:rsid w:val="009332FD"/>
    <w:rsid w:val="009340D1"/>
    <w:rsid w:val="00934263"/>
    <w:rsid w:val="00934950"/>
    <w:rsid w:val="00934988"/>
    <w:rsid w:val="00934C19"/>
    <w:rsid w:val="00934DC0"/>
    <w:rsid w:val="0093513C"/>
    <w:rsid w:val="00935518"/>
    <w:rsid w:val="00935674"/>
    <w:rsid w:val="009356EF"/>
    <w:rsid w:val="00935732"/>
    <w:rsid w:val="0093575C"/>
    <w:rsid w:val="009358DF"/>
    <w:rsid w:val="00935A17"/>
    <w:rsid w:val="00935B5E"/>
    <w:rsid w:val="009361B1"/>
    <w:rsid w:val="009363F2"/>
    <w:rsid w:val="00936B1C"/>
    <w:rsid w:val="00936CAF"/>
    <w:rsid w:val="00937089"/>
    <w:rsid w:val="00937937"/>
    <w:rsid w:val="0093799C"/>
    <w:rsid w:val="00937E2B"/>
    <w:rsid w:val="00940A90"/>
    <w:rsid w:val="00941045"/>
    <w:rsid w:val="009414C2"/>
    <w:rsid w:val="009415C3"/>
    <w:rsid w:val="0094206F"/>
    <w:rsid w:val="00942559"/>
    <w:rsid w:val="0094264F"/>
    <w:rsid w:val="00942A5E"/>
    <w:rsid w:val="009439B4"/>
    <w:rsid w:val="00943CEE"/>
    <w:rsid w:val="0094419D"/>
    <w:rsid w:val="0094438D"/>
    <w:rsid w:val="009443F9"/>
    <w:rsid w:val="00944544"/>
    <w:rsid w:val="00944CB4"/>
    <w:rsid w:val="00944D25"/>
    <w:rsid w:val="00944F8A"/>
    <w:rsid w:val="0094503B"/>
    <w:rsid w:val="009456C7"/>
    <w:rsid w:val="00945E61"/>
    <w:rsid w:val="0094621D"/>
    <w:rsid w:val="009463E4"/>
    <w:rsid w:val="009475B5"/>
    <w:rsid w:val="009476DB"/>
    <w:rsid w:val="00947920"/>
    <w:rsid w:val="00947AC2"/>
    <w:rsid w:val="0095018E"/>
    <w:rsid w:val="009501FF"/>
    <w:rsid w:val="009503D8"/>
    <w:rsid w:val="009508F6"/>
    <w:rsid w:val="00950D20"/>
    <w:rsid w:val="00950F44"/>
    <w:rsid w:val="009510A2"/>
    <w:rsid w:val="00951427"/>
    <w:rsid w:val="0095154F"/>
    <w:rsid w:val="00951C91"/>
    <w:rsid w:val="00951E7C"/>
    <w:rsid w:val="009524CB"/>
    <w:rsid w:val="00952776"/>
    <w:rsid w:val="009528B6"/>
    <w:rsid w:val="00952A5E"/>
    <w:rsid w:val="00952E6F"/>
    <w:rsid w:val="00953257"/>
    <w:rsid w:val="0095334C"/>
    <w:rsid w:val="00953417"/>
    <w:rsid w:val="00953526"/>
    <w:rsid w:val="00953835"/>
    <w:rsid w:val="009538B8"/>
    <w:rsid w:val="0095474C"/>
    <w:rsid w:val="00954C03"/>
    <w:rsid w:val="00954D27"/>
    <w:rsid w:val="00954DF8"/>
    <w:rsid w:val="009565AB"/>
    <w:rsid w:val="009567A6"/>
    <w:rsid w:val="00956934"/>
    <w:rsid w:val="00956A05"/>
    <w:rsid w:val="00956A15"/>
    <w:rsid w:val="00957559"/>
    <w:rsid w:val="00957A43"/>
    <w:rsid w:val="00957AF5"/>
    <w:rsid w:val="00957D23"/>
    <w:rsid w:val="00957D92"/>
    <w:rsid w:val="00957FF6"/>
    <w:rsid w:val="009604D4"/>
    <w:rsid w:val="00960726"/>
    <w:rsid w:val="0096117E"/>
    <w:rsid w:val="00962669"/>
    <w:rsid w:val="00962A8B"/>
    <w:rsid w:val="00962CB9"/>
    <w:rsid w:val="00963936"/>
    <w:rsid w:val="009640CF"/>
    <w:rsid w:val="00964312"/>
    <w:rsid w:val="00964C39"/>
    <w:rsid w:val="00964DD0"/>
    <w:rsid w:val="0096502D"/>
    <w:rsid w:val="009650E3"/>
    <w:rsid w:val="00965B4F"/>
    <w:rsid w:val="00965B8A"/>
    <w:rsid w:val="00965F4D"/>
    <w:rsid w:val="0096669A"/>
    <w:rsid w:val="00966C68"/>
    <w:rsid w:val="009674B9"/>
    <w:rsid w:val="009677DB"/>
    <w:rsid w:val="0097014F"/>
    <w:rsid w:val="0097071F"/>
    <w:rsid w:val="00970D28"/>
    <w:rsid w:val="0097107D"/>
    <w:rsid w:val="00971310"/>
    <w:rsid w:val="0097149C"/>
    <w:rsid w:val="0097161B"/>
    <w:rsid w:val="009717AC"/>
    <w:rsid w:val="009732A6"/>
    <w:rsid w:val="0097370A"/>
    <w:rsid w:val="009738E0"/>
    <w:rsid w:val="00973B87"/>
    <w:rsid w:val="009751C1"/>
    <w:rsid w:val="00975448"/>
    <w:rsid w:val="0097557D"/>
    <w:rsid w:val="00975A92"/>
    <w:rsid w:val="00975AAD"/>
    <w:rsid w:val="00975E26"/>
    <w:rsid w:val="0097627F"/>
    <w:rsid w:val="009763D0"/>
    <w:rsid w:val="0097670D"/>
    <w:rsid w:val="00976A33"/>
    <w:rsid w:val="00976BA6"/>
    <w:rsid w:val="00976DE9"/>
    <w:rsid w:val="00976F9C"/>
    <w:rsid w:val="00977AD0"/>
    <w:rsid w:val="00977D9A"/>
    <w:rsid w:val="00977DEB"/>
    <w:rsid w:val="009804E1"/>
    <w:rsid w:val="009806F4"/>
    <w:rsid w:val="00980C91"/>
    <w:rsid w:val="009811B8"/>
    <w:rsid w:val="009811F1"/>
    <w:rsid w:val="0098186B"/>
    <w:rsid w:val="00981EFC"/>
    <w:rsid w:val="00981F26"/>
    <w:rsid w:val="00981F49"/>
    <w:rsid w:val="009821EF"/>
    <w:rsid w:val="0098262F"/>
    <w:rsid w:val="00982651"/>
    <w:rsid w:val="00983E57"/>
    <w:rsid w:val="00984327"/>
    <w:rsid w:val="00984559"/>
    <w:rsid w:val="0098478D"/>
    <w:rsid w:val="00984FF0"/>
    <w:rsid w:val="00985A68"/>
    <w:rsid w:val="00985DE2"/>
    <w:rsid w:val="00986084"/>
    <w:rsid w:val="0098675D"/>
    <w:rsid w:val="0098714C"/>
    <w:rsid w:val="00987506"/>
    <w:rsid w:val="00987637"/>
    <w:rsid w:val="00987BA4"/>
    <w:rsid w:val="00987BDD"/>
    <w:rsid w:val="00990AF2"/>
    <w:rsid w:val="009914B3"/>
    <w:rsid w:val="009919C7"/>
    <w:rsid w:val="00991BBB"/>
    <w:rsid w:val="00991BC2"/>
    <w:rsid w:val="00991CAB"/>
    <w:rsid w:val="0099214D"/>
    <w:rsid w:val="00992596"/>
    <w:rsid w:val="009925BA"/>
    <w:rsid w:val="009926E0"/>
    <w:rsid w:val="00992880"/>
    <w:rsid w:val="00992D88"/>
    <w:rsid w:val="00992F5D"/>
    <w:rsid w:val="00994199"/>
    <w:rsid w:val="00994415"/>
    <w:rsid w:val="0099451E"/>
    <w:rsid w:val="00994672"/>
    <w:rsid w:val="0099471B"/>
    <w:rsid w:val="00994E60"/>
    <w:rsid w:val="009950F1"/>
    <w:rsid w:val="00995850"/>
    <w:rsid w:val="009959CA"/>
    <w:rsid w:val="00995A46"/>
    <w:rsid w:val="00995A6E"/>
    <w:rsid w:val="0099664A"/>
    <w:rsid w:val="00996B1A"/>
    <w:rsid w:val="00996BDA"/>
    <w:rsid w:val="00996C30"/>
    <w:rsid w:val="00997652"/>
    <w:rsid w:val="009976A1"/>
    <w:rsid w:val="009A0222"/>
    <w:rsid w:val="009A0A5D"/>
    <w:rsid w:val="009A0FCA"/>
    <w:rsid w:val="009A16A9"/>
    <w:rsid w:val="009A186D"/>
    <w:rsid w:val="009A18F6"/>
    <w:rsid w:val="009A20A3"/>
    <w:rsid w:val="009A2A2C"/>
    <w:rsid w:val="009A2DCC"/>
    <w:rsid w:val="009A3587"/>
    <w:rsid w:val="009A3683"/>
    <w:rsid w:val="009A3C9B"/>
    <w:rsid w:val="009A3D8F"/>
    <w:rsid w:val="009A44ED"/>
    <w:rsid w:val="009A4AF8"/>
    <w:rsid w:val="009A59B8"/>
    <w:rsid w:val="009A5ABC"/>
    <w:rsid w:val="009A6758"/>
    <w:rsid w:val="009A69E7"/>
    <w:rsid w:val="009A6C20"/>
    <w:rsid w:val="009A7A8F"/>
    <w:rsid w:val="009A7F10"/>
    <w:rsid w:val="009B07D9"/>
    <w:rsid w:val="009B09F0"/>
    <w:rsid w:val="009B14D9"/>
    <w:rsid w:val="009B17EF"/>
    <w:rsid w:val="009B1991"/>
    <w:rsid w:val="009B1E29"/>
    <w:rsid w:val="009B2174"/>
    <w:rsid w:val="009B2323"/>
    <w:rsid w:val="009B27BB"/>
    <w:rsid w:val="009B2A51"/>
    <w:rsid w:val="009B2E5F"/>
    <w:rsid w:val="009B30FF"/>
    <w:rsid w:val="009B3657"/>
    <w:rsid w:val="009B3E26"/>
    <w:rsid w:val="009B3E30"/>
    <w:rsid w:val="009B5B54"/>
    <w:rsid w:val="009B7333"/>
    <w:rsid w:val="009B79D6"/>
    <w:rsid w:val="009B7E20"/>
    <w:rsid w:val="009C01F1"/>
    <w:rsid w:val="009C1271"/>
    <w:rsid w:val="009C1E19"/>
    <w:rsid w:val="009C1E83"/>
    <w:rsid w:val="009C22CB"/>
    <w:rsid w:val="009C2AD6"/>
    <w:rsid w:val="009C2EA5"/>
    <w:rsid w:val="009C2F3E"/>
    <w:rsid w:val="009C2F3F"/>
    <w:rsid w:val="009C3091"/>
    <w:rsid w:val="009C3405"/>
    <w:rsid w:val="009C3511"/>
    <w:rsid w:val="009C3706"/>
    <w:rsid w:val="009C3886"/>
    <w:rsid w:val="009C3A3A"/>
    <w:rsid w:val="009C3B54"/>
    <w:rsid w:val="009C3C12"/>
    <w:rsid w:val="009C424E"/>
    <w:rsid w:val="009C426B"/>
    <w:rsid w:val="009C4926"/>
    <w:rsid w:val="009C547B"/>
    <w:rsid w:val="009C5666"/>
    <w:rsid w:val="009C5E91"/>
    <w:rsid w:val="009C6001"/>
    <w:rsid w:val="009C6AD8"/>
    <w:rsid w:val="009C6CEA"/>
    <w:rsid w:val="009C7152"/>
    <w:rsid w:val="009C750F"/>
    <w:rsid w:val="009C78B7"/>
    <w:rsid w:val="009C7B85"/>
    <w:rsid w:val="009D003A"/>
    <w:rsid w:val="009D0254"/>
    <w:rsid w:val="009D046E"/>
    <w:rsid w:val="009D07E9"/>
    <w:rsid w:val="009D0996"/>
    <w:rsid w:val="009D0D01"/>
    <w:rsid w:val="009D1134"/>
    <w:rsid w:val="009D119C"/>
    <w:rsid w:val="009D153C"/>
    <w:rsid w:val="009D1795"/>
    <w:rsid w:val="009D17FE"/>
    <w:rsid w:val="009D1A64"/>
    <w:rsid w:val="009D1EAA"/>
    <w:rsid w:val="009D211F"/>
    <w:rsid w:val="009D22BD"/>
    <w:rsid w:val="009D2F7D"/>
    <w:rsid w:val="009D3CEB"/>
    <w:rsid w:val="009D3E63"/>
    <w:rsid w:val="009D3FDD"/>
    <w:rsid w:val="009D420A"/>
    <w:rsid w:val="009D4292"/>
    <w:rsid w:val="009D474F"/>
    <w:rsid w:val="009D4B0B"/>
    <w:rsid w:val="009D4C63"/>
    <w:rsid w:val="009D4DE8"/>
    <w:rsid w:val="009D56AD"/>
    <w:rsid w:val="009D5870"/>
    <w:rsid w:val="009D5B91"/>
    <w:rsid w:val="009D5BCC"/>
    <w:rsid w:val="009D603F"/>
    <w:rsid w:val="009D6506"/>
    <w:rsid w:val="009D71EC"/>
    <w:rsid w:val="009D755C"/>
    <w:rsid w:val="009D77ED"/>
    <w:rsid w:val="009D792E"/>
    <w:rsid w:val="009E0358"/>
    <w:rsid w:val="009E06D1"/>
    <w:rsid w:val="009E0B01"/>
    <w:rsid w:val="009E0BAC"/>
    <w:rsid w:val="009E0DA3"/>
    <w:rsid w:val="009E0DFE"/>
    <w:rsid w:val="009E0FDD"/>
    <w:rsid w:val="009E1008"/>
    <w:rsid w:val="009E1188"/>
    <w:rsid w:val="009E1540"/>
    <w:rsid w:val="009E1596"/>
    <w:rsid w:val="009E177C"/>
    <w:rsid w:val="009E18CC"/>
    <w:rsid w:val="009E1BE8"/>
    <w:rsid w:val="009E292B"/>
    <w:rsid w:val="009E2B1C"/>
    <w:rsid w:val="009E31F6"/>
    <w:rsid w:val="009E34FC"/>
    <w:rsid w:val="009E3914"/>
    <w:rsid w:val="009E3ABD"/>
    <w:rsid w:val="009E4C07"/>
    <w:rsid w:val="009E51D4"/>
    <w:rsid w:val="009E70FF"/>
    <w:rsid w:val="009E76F6"/>
    <w:rsid w:val="009E777F"/>
    <w:rsid w:val="009F0E28"/>
    <w:rsid w:val="009F141A"/>
    <w:rsid w:val="009F156C"/>
    <w:rsid w:val="009F1DCA"/>
    <w:rsid w:val="009F29CD"/>
    <w:rsid w:val="009F33DB"/>
    <w:rsid w:val="009F36AB"/>
    <w:rsid w:val="009F436A"/>
    <w:rsid w:val="009F45C6"/>
    <w:rsid w:val="009F504B"/>
    <w:rsid w:val="009F50F9"/>
    <w:rsid w:val="009F5C5F"/>
    <w:rsid w:val="009F5DEC"/>
    <w:rsid w:val="009F6120"/>
    <w:rsid w:val="009F6B2B"/>
    <w:rsid w:val="009F6C88"/>
    <w:rsid w:val="009F6F46"/>
    <w:rsid w:val="009F712B"/>
    <w:rsid w:val="009F78DE"/>
    <w:rsid w:val="009F7A65"/>
    <w:rsid w:val="00A00043"/>
    <w:rsid w:val="00A002DB"/>
    <w:rsid w:val="00A009F6"/>
    <w:rsid w:val="00A00C6D"/>
    <w:rsid w:val="00A00D76"/>
    <w:rsid w:val="00A0107A"/>
    <w:rsid w:val="00A01184"/>
    <w:rsid w:val="00A01219"/>
    <w:rsid w:val="00A013F2"/>
    <w:rsid w:val="00A01449"/>
    <w:rsid w:val="00A02624"/>
    <w:rsid w:val="00A0326A"/>
    <w:rsid w:val="00A03394"/>
    <w:rsid w:val="00A036CF"/>
    <w:rsid w:val="00A03785"/>
    <w:rsid w:val="00A037C2"/>
    <w:rsid w:val="00A039C4"/>
    <w:rsid w:val="00A03D43"/>
    <w:rsid w:val="00A0421A"/>
    <w:rsid w:val="00A04380"/>
    <w:rsid w:val="00A04786"/>
    <w:rsid w:val="00A04B51"/>
    <w:rsid w:val="00A05051"/>
    <w:rsid w:val="00A05472"/>
    <w:rsid w:val="00A05C32"/>
    <w:rsid w:val="00A063CC"/>
    <w:rsid w:val="00A0653F"/>
    <w:rsid w:val="00A0670A"/>
    <w:rsid w:val="00A06EA8"/>
    <w:rsid w:val="00A070F4"/>
    <w:rsid w:val="00A071C3"/>
    <w:rsid w:val="00A07673"/>
    <w:rsid w:val="00A07F26"/>
    <w:rsid w:val="00A101A1"/>
    <w:rsid w:val="00A10242"/>
    <w:rsid w:val="00A11925"/>
    <w:rsid w:val="00A11BE8"/>
    <w:rsid w:val="00A11CD0"/>
    <w:rsid w:val="00A11D0E"/>
    <w:rsid w:val="00A13029"/>
    <w:rsid w:val="00A1308D"/>
    <w:rsid w:val="00A13322"/>
    <w:rsid w:val="00A13460"/>
    <w:rsid w:val="00A13847"/>
    <w:rsid w:val="00A13948"/>
    <w:rsid w:val="00A13B25"/>
    <w:rsid w:val="00A13FA3"/>
    <w:rsid w:val="00A145D0"/>
    <w:rsid w:val="00A14A7A"/>
    <w:rsid w:val="00A14B71"/>
    <w:rsid w:val="00A14D3B"/>
    <w:rsid w:val="00A1555B"/>
    <w:rsid w:val="00A155C5"/>
    <w:rsid w:val="00A155DE"/>
    <w:rsid w:val="00A15B75"/>
    <w:rsid w:val="00A15DEE"/>
    <w:rsid w:val="00A16113"/>
    <w:rsid w:val="00A16935"/>
    <w:rsid w:val="00A16AD8"/>
    <w:rsid w:val="00A16F3B"/>
    <w:rsid w:val="00A1728B"/>
    <w:rsid w:val="00A1758F"/>
    <w:rsid w:val="00A20070"/>
    <w:rsid w:val="00A201E0"/>
    <w:rsid w:val="00A2021E"/>
    <w:rsid w:val="00A206F0"/>
    <w:rsid w:val="00A2127D"/>
    <w:rsid w:val="00A21C95"/>
    <w:rsid w:val="00A21CF3"/>
    <w:rsid w:val="00A21DA3"/>
    <w:rsid w:val="00A231CA"/>
    <w:rsid w:val="00A23206"/>
    <w:rsid w:val="00A23288"/>
    <w:rsid w:val="00A2334E"/>
    <w:rsid w:val="00A233AA"/>
    <w:rsid w:val="00A233EA"/>
    <w:rsid w:val="00A234C5"/>
    <w:rsid w:val="00A23564"/>
    <w:rsid w:val="00A23824"/>
    <w:rsid w:val="00A238A6"/>
    <w:rsid w:val="00A2390E"/>
    <w:rsid w:val="00A23A71"/>
    <w:rsid w:val="00A23AFB"/>
    <w:rsid w:val="00A23D4C"/>
    <w:rsid w:val="00A23F67"/>
    <w:rsid w:val="00A24609"/>
    <w:rsid w:val="00A24813"/>
    <w:rsid w:val="00A248A7"/>
    <w:rsid w:val="00A2525A"/>
    <w:rsid w:val="00A25595"/>
    <w:rsid w:val="00A262D0"/>
    <w:rsid w:val="00A263D2"/>
    <w:rsid w:val="00A26C50"/>
    <w:rsid w:val="00A26F55"/>
    <w:rsid w:val="00A27016"/>
    <w:rsid w:val="00A270FF"/>
    <w:rsid w:val="00A27107"/>
    <w:rsid w:val="00A27907"/>
    <w:rsid w:val="00A27AEC"/>
    <w:rsid w:val="00A27AFC"/>
    <w:rsid w:val="00A308E2"/>
    <w:rsid w:val="00A30DE3"/>
    <w:rsid w:val="00A311BD"/>
    <w:rsid w:val="00A3156D"/>
    <w:rsid w:val="00A319BB"/>
    <w:rsid w:val="00A319D4"/>
    <w:rsid w:val="00A31A9F"/>
    <w:rsid w:val="00A31B46"/>
    <w:rsid w:val="00A320DB"/>
    <w:rsid w:val="00A32F5B"/>
    <w:rsid w:val="00A338AF"/>
    <w:rsid w:val="00A33B7E"/>
    <w:rsid w:val="00A34FE0"/>
    <w:rsid w:val="00A35354"/>
    <w:rsid w:val="00A35858"/>
    <w:rsid w:val="00A359CE"/>
    <w:rsid w:val="00A35D16"/>
    <w:rsid w:val="00A36316"/>
    <w:rsid w:val="00A36F95"/>
    <w:rsid w:val="00A371E4"/>
    <w:rsid w:val="00A378D5"/>
    <w:rsid w:val="00A37BCD"/>
    <w:rsid w:val="00A37C40"/>
    <w:rsid w:val="00A37CB0"/>
    <w:rsid w:val="00A37F15"/>
    <w:rsid w:val="00A4007A"/>
    <w:rsid w:val="00A402C3"/>
    <w:rsid w:val="00A40585"/>
    <w:rsid w:val="00A40E3E"/>
    <w:rsid w:val="00A41688"/>
    <w:rsid w:val="00A41689"/>
    <w:rsid w:val="00A41A77"/>
    <w:rsid w:val="00A42282"/>
    <w:rsid w:val="00A4238E"/>
    <w:rsid w:val="00A42592"/>
    <w:rsid w:val="00A42DE7"/>
    <w:rsid w:val="00A4307C"/>
    <w:rsid w:val="00A43195"/>
    <w:rsid w:val="00A433A1"/>
    <w:rsid w:val="00A433B9"/>
    <w:rsid w:val="00A43A56"/>
    <w:rsid w:val="00A43C59"/>
    <w:rsid w:val="00A43DED"/>
    <w:rsid w:val="00A4443C"/>
    <w:rsid w:val="00A44982"/>
    <w:rsid w:val="00A45D24"/>
    <w:rsid w:val="00A45F11"/>
    <w:rsid w:val="00A45F4E"/>
    <w:rsid w:val="00A46188"/>
    <w:rsid w:val="00A46CFC"/>
    <w:rsid w:val="00A46D51"/>
    <w:rsid w:val="00A47763"/>
    <w:rsid w:val="00A47919"/>
    <w:rsid w:val="00A47D63"/>
    <w:rsid w:val="00A5012E"/>
    <w:rsid w:val="00A50C27"/>
    <w:rsid w:val="00A50EA4"/>
    <w:rsid w:val="00A50ECD"/>
    <w:rsid w:val="00A518F3"/>
    <w:rsid w:val="00A51A09"/>
    <w:rsid w:val="00A51C91"/>
    <w:rsid w:val="00A51D30"/>
    <w:rsid w:val="00A52163"/>
    <w:rsid w:val="00A5234F"/>
    <w:rsid w:val="00A52729"/>
    <w:rsid w:val="00A53675"/>
    <w:rsid w:val="00A5389B"/>
    <w:rsid w:val="00A53BC0"/>
    <w:rsid w:val="00A5514D"/>
    <w:rsid w:val="00A5570F"/>
    <w:rsid w:val="00A55829"/>
    <w:rsid w:val="00A56010"/>
    <w:rsid w:val="00A5602E"/>
    <w:rsid w:val="00A56198"/>
    <w:rsid w:val="00A564D7"/>
    <w:rsid w:val="00A56B6A"/>
    <w:rsid w:val="00A578DC"/>
    <w:rsid w:val="00A57D72"/>
    <w:rsid w:val="00A57F4D"/>
    <w:rsid w:val="00A601F5"/>
    <w:rsid w:val="00A60A5B"/>
    <w:rsid w:val="00A60BB6"/>
    <w:rsid w:val="00A614CB"/>
    <w:rsid w:val="00A6189A"/>
    <w:rsid w:val="00A61A7A"/>
    <w:rsid w:val="00A61C4B"/>
    <w:rsid w:val="00A61C89"/>
    <w:rsid w:val="00A6336B"/>
    <w:rsid w:val="00A634C1"/>
    <w:rsid w:val="00A6372C"/>
    <w:rsid w:val="00A63ABA"/>
    <w:rsid w:val="00A63DD6"/>
    <w:rsid w:val="00A640E2"/>
    <w:rsid w:val="00A64474"/>
    <w:rsid w:val="00A6467A"/>
    <w:rsid w:val="00A64D65"/>
    <w:rsid w:val="00A650F6"/>
    <w:rsid w:val="00A651C7"/>
    <w:rsid w:val="00A65738"/>
    <w:rsid w:val="00A657DD"/>
    <w:rsid w:val="00A65A7D"/>
    <w:rsid w:val="00A660F8"/>
    <w:rsid w:val="00A66346"/>
    <w:rsid w:val="00A66889"/>
    <w:rsid w:val="00A670AC"/>
    <w:rsid w:val="00A6725B"/>
    <w:rsid w:val="00A677BB"/>
    <w:rsid w:val="00A67931"/>
    <w:rsid w:val="00A67A5B"/>
    <w:rsid w:val="00A70519"/>
    <w:rsid w:val="00A70605"/>
    <w:rsid w:val="00A70739"/>
    <w:rsid w:val="00A70988"/>
    <w:rsid w:val="00A70B92"/>
    <w:rsid w:val="00A7184D"/>
    <w:rsid w:val="00A71D6E"/>
    <w:rsid w:val="00A722A0"/>
    <w:rsid w:val="00A7276B"/>
    <w:rsid w:val="00A729A2"/>
    <w:rsid w:val="00A72CA1"/>
    <w:rsid w:val="00A73134"/>
    <w:rsid w:val="00A732B0"/>
    <w:rsid w:val="00A734F7"/>
    <w:rsid w:val="00A7365A"/>
    <w:rsid w:val="00A745AC"/>
    <w:rsid w:val="00A75123"/>
    <w:rsid w:val="00A7556D"/>
    <w:rsid w:val="00A7587E"/>
    <w:rsid w:val="00A75B47"/>
    <w:rsid w:val="00A75BCD"/>
    <w:rsid w:val="00A76001"/>
    <w:rsid w:val="00A76007"/>
    <w:rsid w:val="00A7655D"/>
    <w:rsid w:val="00A76A67"/>
    <w:rsid w:val="00A7705C"/>
    <w:rsid w:val="00A777B2"/>
    <w:rsid w:val="00A77843"/>
    <w:rsid w:val="00A77EE3"/>
    <w:rsid w:val="00A77F82"/>
    <w:rsid w:val="00A815E4"/>
    <w:rsid w:val="00A825D4"/>
    <w:rsid w:val="00A828F6"/>
    <w:rsid w:val="00A82B73"/>
    <w:rsid w:val="00A82CD5"/>
    <w:rsid w:val="00A83165"/>
    <w:rsid w:val="00A83303"/>
    <w:rsid w:val="00A838B8"/>
    <w:rsid w:val="00A841D7"/>
    <w:rsid w:val="00A84E1A"/>
    <w:rsid w:val="00A84E42"/>
    <w:rsid w:val="00A85795"/>
    <w:rsid w:val="00A85993"/>
    <w:rsid w:val="00A85F8C"/>
    <w:rsid w:val="00A86D96"/>
    <w:rsid w:val="00A86E8B"/>
    <w:rsid w:val="00A87164"/>
    <w:rsid w:val="00A871A9"/>
    <w:rsid w:val="00A873D6"/>
    <w:rsid w:val="00A878BD"/>
    <w:rsid w:val="00A90396"/>
    <w:rsid w:val="00A90AC0"/>
    <w:rsid w:val="00A90B8A"/>
    <w:rsid w:val="00A91BCF"/>
    <w:rsid w:val="00A921AC"/>
    <w:rsid w:val="00A92336"/>
    <w:rsid w:val="00A924D9"/>
    <w:rsid w:val="00A9284A"/>
    <w:rsid w:val="00A928E7"/>
    <w:rsid w:val="00A9306C"/>
    <w:rsid w:val="00A93072"/>
    <w:rsid w:val="00A93219"/>
    <w:rsid w:val="00A933AE"/>
    <w:rsid w:val="00A933BD"/>
    <w:rsid w:val="00A933F7"/>
    <w:rsid w:val="00A93893"/>
    <w:rsid w:val="00A938BD"/>
    <w:rsid w:val="00A93953"/>
    <w:rsid w:val="00A93BB3"/>
    <w:rsid w:val="00A94728"/>
    <w:rsid w:val="00A94A6A"/>
    <w:rsid w:val="00A94E81"/>
    <w:rsid w:val="00A95472"/>
    <w:rsid w:val="00A95735"/>
    <w:rsid w:val="00A959D8"/>
    <w:rsid w:val="00A9626A"/>
    <w:rsid w:val="00A96295"/>
    <w:rsid w:val="00A96648"/>
    <w:rsid w:val="00A967EC"/>
    <w:rsid w:val="00A96D72"/>
    <w:rsid w:val="00A9749B"/>
    <w:rsid w:val="00A97EF8"/>
    <w:rsid w:val="00A97FAD"/>
    <w:rsid w:val="00AA0581"/>
    <w:rsid w:val="00AA113D"/>
    <w:rsid w:val="00AA1567"/>
    <w:rsid w:val="00AA1FF9"/>
    <w:rsid w:val="00AA245A"/>
    <w:rsid w:val="00AA2523"/>
    <w:rsid w:val="00AA29D7"/>
    <w:rsid w:val="00AA2DD4"/>
    <w:rsid w:val="00AA362F"/>
    <w:rsid w:val="00AA3865"/>
    <w:rsid w:val="00AA3DE5"/>
    <w:rsid w:val="00AA4034"/>
    <w:rsid w:val="00AA470C"/>
    <w:rsid w:val="00AA480A"/>
    <w:rsid w:val="00AA49A2"/>
    <w:rsid w:val="00AA4D66"/>
    <w:rsid w:val="00AA5569"/>
    <w:rsid w:val="00AA57D6"/>
    <w:rsid w:val="00AA5B49"/>
    <w:rsid w:val="00AA6151"/>
    <w:rsid w:val="00AA6BD5"/>
    <w:rsid w:val="00AA6BD8"/>
    <w:rsid w:val="00AA6C7D"/>
    <w:rsid w:val="00AA6F28"/>
    <w:rsid w:val="00AA7A9A"/>
    <w:rsid w:val="00AA7FD6"/>
    <w:rsid w:val="00AB024D"/>
    <w:rsid w:val="00AB042A"/>
    <w:rsid w:val="00AB05D8"/>
    <w:rsid w:val="00AB11AD"/>
    <w:rsid w:val="00AB1699"/>
    <w:rsid w:val="00AB19B7"/>
    <w:rsid w:val="00AB19EF"/>
    <w:rsid w:val="00AB2156"/>
    <w:rsid w:val="00AB2196"/>
    <w:rsid w:val="00AB2495"/>
    <w:rsid w:val="00AB29BE"/>
    <w:rsid w:val="00AB2D34"/>
    <w:rsid w:val="00AB2FD4"/>
    <w:rsid w:val="00AB30BC"/>
    <w:rsid w:val="00AB31D6"/>
    <w:rsid w:val="00AB3430"/>
    <w:rsid w:val="00AB353E"/>
    <w:rsid w:val="00AB37B9"/>
    <w:rsid w:val="00AB38E4"/>
    <w:rsid w:val="00AB3BB4"/>
    <w:rsid w:val="00AB412E"/>
    <w:rsid w:val="00AB4984"/>
    <w:rsid w:val="00AB4AD1"/>
    <w:rsid w:val="00AB4B49"/>
    <w:rsid w:val="00AB4CC7"/>
    <w:rsid w:val="00AB5410"/>
    <w:rsid w:val="00AB5E07"/>
    <w:rsid w:val="00AB5ED8"/>
    <w:rsid w:val="00AB72A0"/>
    <w:rsid w:val="00AB798C"/>
    <w:rsid w:val="00AB7C34"/>
    <w:rsid w:val="00AB7CFA"/>
    <w:rsid w:val="00AB7FBB"/>
    <w:rsid w:val="00AC019C"/>
    <w:rsid w:val="00AC0D1F"/>
    <w:rsid w:val="00AC0E98"/>
    <w:rsid w:val="00AC1643"/>
    <w:rsid w:val="00AC1B72"/>
    <w:rsid w:val="00AC1C07"/>
    <w:rsid w:val="00AC1DE7"/>
    <w:rsid w:val="00AC1F3E"/>
    <w:rsid w:val="00AC2041"/>
    <w:rsid w:val="00AC22D1"/>
    <w:rsid w:val="00AC2539"/>
    <w:rsid w:val="00AC2F58"/>
    <w:rsid w:val="00AC321E"/>
    <w:rsid w:val="00AC342B"/>
    <w:rsid w:val="00AC425C"/>
    <w:rsid w:val="00AC4855"/>
    <w:rsid w:val="00AC488B"/>
    <w:rsid w:val="00AC48ED"/>
    <w:rsid w:val="00AC4BA5"/>
    <w:rsid w:val="00AC4F74"/>
    <w:rsid w:val="00AC5B42"/>
    <w:rsid w:val="00AC5B48"/>
    <w:rsid w:val="00AC5F6E"/>
    <w:rsid w:val="00AC699D"/>
    <w:rsid w:val="00AC70E4"/>
    <w:rsid w:val="00AC794E"/>
    <w:rsid w:val="00AD02DA"/>
    <w:rsid w:val="00AD02E2"/>
    <w:rsid w:val="00AD1450"/>
    <w:rsid w:val="00AD15E8"/>
    <w:rsid w:val="00AD16C2"/>
    <w:rsid w:val="00AD17EF"/>
    <w:rsid w:val="00AD1AAD"/>
    <w:rsid w:val="00AD1B70"/>
    <w:rsid w:val="00AD26C2"/>
    <w:rsid w:val="00AD32BD"/>
    <w:rsid w:val="00AD32D5"/>
    <w:rsid w:val="00AD356D"/>
    <w:rsid w:val="00AD3674"/>
    <w:rsid w:val="00AD3C10"/>
    <w:rsid w:val="00AD3C8D"/>
    <w:rsid w:val="00AD4134"/>
    <w:rsid w:val="00AD4C57"/>
    <w:rsid w:val="00AD4D9D"/>
    <w:rsid w:val="00AD559F"/>
    <w:rsid w:val="00AD5AC6"/>
    <w:rsid w:val="00AD5CE6"/>
    <w:rsid w:val="00AD6502"/>
    <w:rsid w:val="00AD75E0"/>
    <w:rsid w:val="00AE01CA"/>
    <w:rsid w:val="00AE0219"/>
    <w:rsid w:val="00AE0695"/>
    <w:rsid w:val="00AE0BE1"/>
    <w:rsid w:val="00AE1C23"/>
    <w:rsid w:val="00AE26BA"/>
    <w:rsid w:val="00AE2BCA"/>
    <w:rsid w:val="00AE3209"/>
    <w:rsid w:val="00AE3309"/>
    <w:rsid w:val="00AE3850"/>
    <w:rsid w:val="00AE3E7E"/>
    <w:rsid w:val="00AE3F1D"/>
    <w:rsid w:val="00AE413D"/>
    <w:rsid w:val="00AE488B"/>
    <w:rsid w:val="00AE4A45"/>
    <w:rsid w:val="00AE4AC6"/>
    <w:rsid w:val="00AE4AFA"/>
    <w:rsid w:val="00AE4D4D"/>
    <w:rsid w:val="00AE4FDC"/>
    <w:rsid w:val="00AE5996"/>
    <w:rsid w:val="00AE5B45"/>
    <w:rsid w:val="00AE60D9"/>
    <w:rsid w:val="00AE617F"/>
    <w:rsid w:val="00AE631D"/>
    <w:rsid w:val="00AE6A51"/>
    <w:rsid w:val="00AE6CB4"/>
    <w:rsid w:val="00AE7B2B"/>
    <w:rsid w:val="00AE7E53"/>
    <w:rsid w:val="00AE7E6E"/>
    <w:rsid w:val="00AF016E"/>
    <w:rsid w:val="00AF09E6"/>
    <w:rsid w:val="00AF0EEC"/>
    <w:rsid w:val="00AF0F75"/>
    <w:rsid w:val="00AF123E"/>
    <w:rsid w:val="00AF1315"/>
    <w:rsid w:val="00AF19BF"/>
    <w:rsid w:val="00AF1DDA"/>
    <w:rsid w:val="00AF2DC3"/>
    <w:rsid w:val="00AF32C8"/>
    <w:rsid w:val="00AF35B5"/>
    <w:rsid w:val="00AF35CE"/>
    <w:rsid w:val="00AF3B9F"/>
    <w:rsid w:val="00AF44E1"/>
    <w:rsid w:val="00AF4520"/>
    <w:rsid w:val="00AF46B7"/>
    <w:rsid w:val="00AF4893"/>
    <w:rsid w:val="00AF4D49"/>
    <w:rsid w:val="00AF5986"/>
    <w:rsid w:val="00AF6C8A"/>
    <w:rsid w:val="00AF729D"/>
    <w:rsid w:val="00AF7A42"/>
    <w:rsid w:val="00AF7D8A"/>
    <w:rsid w:val="00B00B78"/>
    <w:rsid w:val="00B00D22"/>
    <w:rsid w:val="00B016E9"/>
    <w:rsid w:val="00B017C3"/>
    <w:rsid w:val="00B022E7"/>
    <w:rsid w:val="00B02652"/>
    <w:rsid w:val="00B032DB"/>
    <w:rsid w:val="00B033E5"/>
    <w:rsid w:val="00B0351B"/>
    <w:rsid w:val="00B035A2"/>
    <w:rsid w:val="00B0367E"/>
    <w:rsid w:val="00B03A63"/>
    <w:rsid w:val="00B040C4"/>
    <w:rsid w:val="00B04606"/>
    <w:rsid w:val="00B0491D"/>
    <w:rsid w:val="00B04C9D"/>
    <w:rsid w:val="00B0501E"/>
    <w:rsid w:val="00B05200"/>
    <w:rsid w:val="00B05558"/>
    <w:rsid w:val="00B058F5"/>
    <w:rsid w:val="00B06421"/>
    <w:rsid w:val="00B06449"/>
    <w:rsid w:val="00B06724"/>
    <w:rsid w:val="00B06854"/>
    <w:rsid w:val="00B06A2D"/>
    <w:rsid w:val="00B0717F"/>
    <w:rsid w:val="00B07B69"/>
    <w:rsid w:val="00B07C45"/>
    <w:rsid w:val="00B1013C"/>
    <w:rsid w:val="00B111D6"/>
    <w:rsid w:val="00B11572"/>
    <w:rsid w:val="00B11A91"/>
    <w:rsid w:val="00B11C59"/>
    <w:rsid w:val="00B12648"/>
    <w:rsid w:val="00B127D7"/>
    <w:rsid w:val="00B1298D"/>
    <w:rsid w:val="00B129A4"/>
    <w:rsid w:val="00B12CA5"/>
    <w:rsid w:val="00B12D8F"/>
    <w:rsid w:val="00B141F2"/>
    <w:rsid w:val="00B144B5"/>
    <w:rsid w:val="00B148AB"/>
    <w:rsid w:val="00B14C83"/>
    <w:rsid w:val="00B15185"/>
    <w:rsid w:val="00B1588C"/>
    <w:rsid w:val="00B15B45"/>
    <w:rsid w:val="00B15CC8"/>
    <w:rsid w:val="00B15D02"/>
    <w:rsid w:val="00B15D4C"/>
    <w:rsid w:val="00B15FDB"/>
    <w:rsid w:val="00B16CA8"/>
    <w:rsid w:val="00B17243"/>
    <w:rsid w:val="00B17972"/>
    <w:rsid w:val="00B17E07"/>
    <w:rsid w:val="00B17FC0"/>
    <w:rsid w:val="00B20195"/>
    <w:rsid w:val="00B201A4"/>
    <w:rsid w:val="00B201D1"/>
    <w:rsid w:val="00B203D2"/>
    <w:rsid w:val="00B20921"/>
    <w:rsid w:val="00B20DEC"/>
    <w:rsid w:val="00B20FBF"/>
    <w:rsid w:val="00B213A6"/>
    <w:rsid w:val="00B2181C"/>
    <w:rsid w:val="00B21D75"/>
    <w:rsid w:val="00B21DE6"/>
    <w:rsid w:val="00B21F6D"/>
    <w:rsid w:val="00B22F31"/>
    <w:rsid w:val="00B22FB4"/>
    <w:rsid w:val="00B235B0"/>
    <w:rsid w:val="00B236F4"/>
    <w:rsid w:val="00B23965"/>
    <w:rsid w:val="00B23AE7"/>
    <w:rsid w:val="00B24318"/>
    <w:rsid w:val="00B24328"/>
    <w:rsid w:val="00B24362"/>
    <w:rsid w:val="00B24DF6"/>
    <w:rsid w:val="00B253ED"/>
    <w:rsid w:val="00B25A20"/>
    <w:rsid w:val="00B25B5D"/>
    <w:rsid w:val="00B2621D"/>
    <w:rsid w:val="00B26559"/>
    <w:rsid w:val="00B26A3C"/>
    <w:rsid w:val="00B27A61"/>
    <w:rsid w:val="00B27AD9"/>
    <w:rsid w:val="00B27B50"/>
    <w:rsid w:val="00B27E7C"/>
    <w:rsid w:val="00B30611"/>
    <w:rsid w:val="00B306C3"/>
    <w:rsid w:val="00B30A0D"/>
    <w:rsid w:val="00B30A8B"/>
    <w:rsid w:val="00B30D67"/>
    <w:rsid w:val="00B312FA"/>
    <w:rsid w:val="00B3162E"/>
    <w:rsid w:val="00B31907"/>
    <w:rsid w:val="00B319A2"/>
    <w:rsid w:val="00B31DA2"/>
    <w:rsid w:val="00B32C38"/>
    <w:rsid w:val="00B32C78"/>
    <w:rsid w:val="00B32EB3"/>
    <w:rsid w:val="00B33491"/>
    <w:rsid w:val="00B334B3"/>
    <w:rsid w:val="00B335D9"/>
    <w:rsid w:val="00B3368A"/>
    <w:rsid w:val="00B337A7"/>
    <w:rsid w:val="00B33D57"/>
    <w:rsid w:val="00B34BEC"/>
    <w:rsid w:val="00B34FB4"/>
    <w:rsid w:val="00B34FE2"/>
    <w:rsid w:val="00B35166"/>
    <w:rsid w:val="00B35321"/>
    <w:rsid w:val="00B3536D"/>
    <w:rsid w:val="00B35690"/>
    <w:rsid w:val="00B357D8"/>
    <w:rsid w:val="00B35EBF"/>
    <w:rsid w:val="00B360F4"/>
    <w:rsid w:val="00B361CE"/>
    <w:rsid w:val="00B363DC"/>
    <w:rsid w:val="00B364FB"/>
    <w:rsid w:val="00B36605"/>
    <w:rsid w:val="00B367D8"/>
    <w:rsid w:val="00B36A00"/>
    <w:rsid w:val="00B36D2B"/>
    <w:rsid w:val="00B378ED"/>
    <w:rsid w:val="00B37915"/>
    <w:rsid w:val="00B3792B"/>
    <w:rsid w:val="00B3795C"/>
    <w:rsid w:val="00B379A8"/>
    <w:rsid w:val="00B37BFC"/>
    <w:rsid w:val="00B37C95"/>
    <w:rsid w:val="00B4006C"/>
    <w:rsid w:val="00B4024C"/>
    <w:rsid w:val="00B40358"/>
    <w:rsid w:val="00B4095B"/>
    <w:rsid w:val="00B40A78"/>
    <w:rsid w:val="00B40EA4"/>
    <w:rsid w:val="00B415AA"/>
    <w:rsid w:val="00B41614"/>
    <w:rsid w:val="00B41DF7"/>
    <w:rsid w:val="00B41F53"/>
    <w:rsid w:val="00B41FE1"/>
    <w:rsid w:val="00B41FF6"/>
    <w:rsid w:val="00B4252F"/>
    <w:rsid w:val="00B42851"/>
    <w:rsid w:val="00B42859"/>
    <w:rsid w:val="00B42E9F"/>
    <w:rsid w:val="00B42F80"/>
    <w:rsid w:val="00B435CB"/>
    <w:rsid w:val="00B43BEB"/>
    <w:rsid w:val="00B43C53"/>
    <w:rsid w:val="00B44484"/>
    <w:rsid w:val="00B449B0"/>
    <w:rsid w:val="00B450FA"/>
    <w:rsid w:val="00B4511F"/>
    <w:rsid w:val="00B457B3"/>
    <w:rsid w:val="00B4580E"/>
    <w:rsid w:val="00B45942"/>
    <w:rsid w:val="00B465EC"/>
    <w:rsid w:val="00B46A69"/>
    <w:rsid w:val="00B46C2A"/>
    <w:rsid w:val="00B4742C"/>
    <w:rsid w:val="00B477D3"/>
    <w:rsid w:val="00B479C2"/>
    <w:rsid w:val="00B47C1D"/>
    <w:rsid w:val="00B47D7D"/>
    <w:rsid w:val="00B5017C"/>
    <w:rsid w:val="00B505C8"/>
    <w:rsid w:val="00B509D9"/>
    <w:rsid w:val="00B50DB8"/>
    <w:rsid w:val="00B50F7F"/>
    <w:rsid w:val="00B52012"/>
    <w:rsid w:val="00B52058"/>
    <w:rsid w:val="00B5207E"/>
    <w:rsid w:val="00B52138"/>
    <w:rsid w:val="00B52173"/>
    <w:rsid w:val="00B528FE"/>
    <w:rsid w:val="00B52B0C"/>
    <w:rsid w:val="00B52DBB"/>
    <w:rsid w:val="00B531E5"/>
    <w:rsid w:val="00B533E8"/>
    <w:rsid w:val="00B53654"/>
    <w:rsid w:val="00B537FE"/>
    <w:rsid w:val="00B53905"/>
    <w:rsid w:val="00B5396F"/>
    <w:rsid w:val="00B5464D"/>
    <w:rsid w:val="00B546DB"/>
    <w:rsid w:val="00B5485A"/>
    <w:rsid w:val="00B549FC"/>
    <w:rsid w:val="00B54B5B"/>
    <w:rsid w:val="00B551DB"/>
    <w:rsid w:val="00B5526F"/>
    <w:rsid w:val="00B5562E"/>
    <w:rsid w:val="00B55862"/>
    <w:rsid w:val="00B55D65"/>
    <w:rsid w:val="00B56305"/>
    <w:rsid w:val="00B56DB9"/>
    <w:rsid w:val="00B57000"/>
    <w:rsid w:val="00B574EA"/>
    <w:rsid w:val="00B57E5C"/>
    <w:rsid w:val="00B607EC"/>
    <w:rsid w:val="00B60895"/>
    <w:rsid w:val="00B60939"/>
    <w:rsid w:val="00B609F9"/>
    <w:rsid w:val="00B60AFD"/>
    <w:rsid w:val="00B6146A"/>
    <w:rsid w:val="00B6181E"/>
    <w:rsid w:val="00B61903"/>
    <w:rsid w:val="00B61B91"/>
    <w:rsid w:val="00B6213A"/>
    <w:rsid w:val="00B62348"/>
    <w:rsid w:val="00B62715"/>
    <w:rsid w:val="00B62A55"/>
    <w:rsid w:val="00B62DAF"/>
    <w:rsid w:val="00B6343A"/>
    <w:rsid w:val="00B63A6C"/>
    <w:rsid w:val="00B63F5C"/>
    <w:rsid w:val="00B6429B"/>
    <w:rsid w:val="00B643A7"/>
    <w:rsid w:val="00B645F1"/>
    <w:rsid w:val="00B6480F"/>
    <w:rsid w:val="00B64D11"/>
    <w:rsid w:val="00B65611"/>
    <w:rsid w:val="00B660B3"/>
    <w:rsid w:val="00B663DB"/>
    <w:rsid w:val="00B666F1"/>
    <w:rsid w:val="00B66A64"/>
    <w:rsid w:val="00B66B73"/>
    <w:rsid w:val="00B6719A"/>
    <w:rsid w:val="00B67739"/>
    <w:rsid w:val="00B6791A"/>
    <w:rsid w:val="00B67D7E"/>
    <w:rsid w:val="00B67F78"/>
    <w:rsid w:val="00B70217"/>
    <w:rsid w:val="00B70521"/>
    <w:rsid w:val="00B706A5"/>
    <w:rsid w:val="00B70E8E"/>
    <w:rsid w:val="00B7103A"/>
    <w:rsid w:val="00B71419"/>
    <w:rsid w:val="00B718A9"/>
    <w:rsid w:val="00B71C18"/>
    <w:rsid w:val="00B7202D"/>
    <w:rsid w:val="00B72084"/>
    <w:rsid w:val="00B72493"/>
    <w:rsid w:val="00B72724"/>
    <w:rsid w:val="00B72CEC"/>
    <w:rsid w:val="00B72D10"/>
    <w:rsid w:val="00B73529"/>
    <w:rsid w:val="00B735D2"/>
    <w:rsid w:val="00B74747"/>
    <w:rsid w:val="00B74C73"/>
    <w:rsid w:val="00B74E56"/>
    <w:rsid w:val="00B74EFB"/>
    <w:rsid w:val="00B75635"/>
    <w:rsid w:val="00B75C50"/>
    <w:rsid w:val="00B761A7"/>
    <w:rsid w:val="00B76627"/>
    <w:rsid w:val="00B76C69"/>
    <w:rsid w:val="00B76C92"/>
    <w:rsid w:val="00B76DD9"/>
    <w:rsid w:val="00B77640"/>
    <w:rsid w:val="00B77C6D"/>
    <w:rsid w:val="00B77F3B"/>
    <w:rsid w:val="00B80416"/>
    <w:rsid w:val="00B80534"/>
    <w:rsid w:val="00B807AF"/>
    <w:rsid w:val="00B809CD"/>
    <w:rsid w:val="00B80EFD"/>
    <w:rsid w:val="00B80FCF"/>
    <w:rsid w:val="00B8126D"/>
    <w:rsid w:val="00B81389"/>
    <w:rsid w:val="00B81392"/>
    <w:rsid w:val="00B818A4"/>
    <w:rsid w:val="00B819C3"/>
    <w:rsid w:val="00B82323"/>
    <w:rsid w:val="00B823EC"/>
    <w:rsid w:val="00B827BE"/>
    <w:rsid w:val="00B828D7"/>
    <w:rsid w:val="00B832A2"/>
    <w:rsid w:val="00B83519"/>
    <w:rsid w:val="00B836E5"/>
    <w:rsid w:val="00B83739"/>
    <w:rsid w:val="00B840AB"/>
    <w:rsid w:val="00B84117"/>
    <w:rsid w:val="00B847F9"/>
    <w:rsid w:val="00B8484A"/>
    <w:rsid w:val="00B84CD9"/>
    <w:rsid w:val="00B855D5"/>
    <w:rsid w:val="00B858F0"/>
    <w:rsid w:val="00B85982"/>
    <w:rsid w:val="00B85A63"/>
    <w:rsid w:val="00B85AA2"/>
    <w:rsid w:val="00B85EF0"/>
    <w:rsid w:val="00B8649C"/>
    <w:rsid w:val="00B8695D"/>
    <w:rsid w:val="00B86A8D"/>
    <w:rsid w:val="00B874A4"/>
    <w:rsid w:val="00B879E4"/>
    <w:rsid w:val="00B87F0A"/>
    <w:rsid w:val="00B901DC"/>
    <w:rsid w:val="00B90304"/>
    <w:rsid w:val="00B90340"/>
    <w:rsid w:val="00B90A57"/>
    <w:rsid w:val="00B90E27"/>
    <w:rsid w:val="00B90EB9"/>
    <w:rsid w:val="00B922B7"/>
    <w:rsid w:val="00B92AE9"/>
    <w:rsid w:val="00B92D0B"/>
    <w:rsid w:val="00B92FB7"/>
    <w:rsid w:val="00B93113"/>
    <w:rsid w:val="00B934BA"/>
    <w:rsid w:val="00B93DA1"/>
    <w:rsid w:val="00B9419D"/>
    <w:rsid w:val="00B94575"/>
    <w:rsid w:val="00B945D2"/>
    <w:rsid w:val="00B94945"/>
    <w:rsid w:val="00B94A50"/>
    <w:rsid w:val="00B94C50"/>
    <w:rsid w:val="00B94DD6"/>
    <w:rsid w:val="00B95203"/>
    <w:rsid w:val="00B955FE"/>
    <w:rsid w:val="00B95899"/>
    <w:rsid w:val="00B95BD2"/>
    <w:rsid w:val="00B96BE7"/>
    <w:rsid w:val="00B973C9"/>
    <w:rsid w:val="00B9759E"/>
    <w:rsid w:val="00B97D67"/>
    <w:rsid w:val="00B97F3F"/>
    <w:rsid w:val="00BA008B"/>
    <w:rsid w:val="00BA00FA"/>
    <w:rsid w:val="00BA0730"/>
    <w:rsid w:val="00BA092A"/>
    <w:rsid w:val="00BA0A12"/>
    <w:rsid w:val="00BA0FAE"/>
    <w:rsid w:val="00BA109C"/>
    <w:rsid w:val="00BA1560"/>
    <w:rsid w:val="00BA26B7"/>
    <w:rsid w:val="00BA2C4B"/>
    <w:rsid w:val="00BA2DCF"/>
    <w:rsid w:val="00BA307E"/>
    <w:rsid w:val="00BA322D"/>
    <w:rsid w:val="00BA346C"/>
    <w:rsid w:val="00BA39DD"/>
    <w:rsid w:val="00BA3D02"/>
    <w:rsid w:val="00BA4386"/>
    <w:rsid w:val="00BA43F6"/>
    <w:rsid w:val="00BA4579"/>
    <w:rsid w:val="00BA467E"/>
    <w:rsid w:val="00BA4F4B"/>
    <w:rsid w:val="00BA4F68"/>
    <w:rsid w:val="00BA539E"/>
    <w:rsid w:val="00BA53C1"/>
    <w:rsid w:val="00BA5BB8"/>
    <w:rsid w:val="00BA619B"/>
    <w:rsid w:val="00BA63FA"/>
    <w:rsid w:val="00BA6711"/>
    <w:rsid w:val="00BA69D6"/>
    <w:rsid w:val="00BA6A1D"/>
    <w:rsid w:val="00BA6AF8"/>
    <w:rsid w:val="00BA7057"/>
    <w:rsid w:val="00BA7166"/>
    <w:rsid w:val="00BA7240"/>
    <w:rsid w:val="00BA7986"/>
    <w:rsid w:val="00BA79FA"/>
    <w:rsid w:val="00BA7D30"/>
    <w:rsid w:val="00BA7D69"/>
    <w:rsid w:val="00BA7E4D"/>
    <w:rsid w:val="00BB00B3"/>
    <w:rsid w:val="00BB048C"/>
    <w:rsid w:val="00BB049C"/>
    <w:rsid w:val="00BB0743"/>
    <w:rsid w:val="00BB0AF2"/>
    <w:rsid w:val="00BB0BDD"/>
    <w:rsid w:val="00BB176C"/>
    <w:rsid w:val="00BB1822"/>
    <w:rsid w:val="00BB1869"/>
    <w:rsid w:val="00BB1F72"/>
    <w:rsid w:val="00BB222C"/>
    <w:rsid w:val="00BB2A73"/>
    <w:rsid w:val="00BB2B11"/>
    <w:rsid w:val="00BB2CF2"/>
    <w:rsid w:val="00BB3695"/>
    <w:rsid w:val="00BB36AB"/>
    <w:rsid w:val="00BB36E1"/>
    <w:rsid w:val="00BB3A45"/>
    <w:rsid w:val="00BB3A6F"/>
    <w:rsid w:val="00BB43C2"/>
    <w:rsid w:val="00BB43C6"/>
    <w:rsid w:val="00BB4596"/>
    <w:rsid w:val="00BB4725"/>
    <w:rsid w:val="00BB47F6"/>
    <w:rsid w:val="00BB4826"/>
    <w:rsid w:val="00BB4ACC"/>
    <w:rsid w:val="00BB5222"/>
    <w:rsid w:val="00BB562E"/>
    <w:rsid w:val="00BB5782"/>
    <w:rsid w:val="00BB5C54"/>
    <w:rsid w:val="00BB5D7D"/>
    <w:rsid w:val="00BB5E13"/>
    <w:rsid w:val="00BB5F3E"/>
    <w:rsid w:val="00BB6048"/>
    <w:rsid w:val="00BB6B19"/>
    <w:rsid w:val="00BB6B20"/>
    <w:rsid w:val="00BB6BAD"/>
    <w:rsid w:val="00BB6EB2"/>
    <w:rsid w:val="00BB703E"/>
    <w:rsid w:val="00BB732D"/>
    <w:rsid w:val="00BB7372"/>
    <w:rsid w:val="00BB7405"/>
    <w:rsid w:val="00BB78FC"/>
    <w:rsid w:val="00BB7EBE"/>
    <w:rsid w:val="00BB7EE2"/>
    <w:rsid w:val="00BC08F5"/>
    <w:rsid w:val="00BC0ACB"/>
    <w:rsid w:val="00BC0DA1"/>
    <w:rsid w:val="00BC10A0"/>
    <w:rsid w:val="00BC1159"/>
    <w:rsid w:val="00BC178A"/>
    <w:rsid w:val="00BC19F9"/>
    <w:rsid w:val="00BC1D5E"/>
    <w:rsid w:val="00BC2443"/>
    <w:rsid w:val="00BC2EEE"/>
    <w:rsid w:val="00BC2FE0"/>
    <w:rsid w:val="00BC3569"/>
    <w:rsid w:val="00BC3631"/>
    <w:rsid w:val="00BC3ACF"/>
    <w:rsid w:val="00BC42D5"/>
    <w:rsid w:val="00BC4450"/>
    <w:rsid w:val="00BC4690"/>
    <w:rsid w:val="00BC4C2C"/>
    <w:rsid w:val="00BC511B"/>
    <w:rsid w:val="00BC5382"/>
    <w:rsid w:val="00BC591F"/>
    <w:rsid w:val="00BC662A"/>
    <w:rsid w:val="00BC669B"/>
    <w:rsid w:val="00BC6773"/>
    <w:rsid w:val="00BC6908"/>
    <w:rsid w:val="00BC6B50"/>
    <w:rsid w:val="00BC6DAB"/>
    <w:rsid w:val="00BC6E31"/>
    <w:rsid w:val="00BC70BF"/>
    <w:rsid w:val="00BC75CA"/>
    <w:rsid w:val="00BC761E"/>
    <w:rsid w:val="00BC775A"/>
    <w:rsid w:val="00BC7ABA"/>
    <w:rsid w:val="00BC7D6D"/>
    <w:rsid w:val="00BD07BF"/>
    <w:rsid w:val="00BD0E68"/>
    <w:rsid w:val="00BD1B2E"/>
    <w:rsid w:val="00BD1E7A"/>
    <w:rsid w:val="00BD1ECF"/>
    <w:rsid w:val="00BD2108"/>
    <w:rsid w:val="00BD283B"/>
    <w:rsid w:val="00BD39AA"/>
    <w:rsid w:val="00BD3FD3"/>
    <w:rsid w:val="00BD4582"/>
    <w:rsid w:val="00BD47B9"/>
    <w:rsid w:val="00BD4858"/>
    <w:rsid w:val="00BD4912"/>
    <w:rsid w:val="00BD4C5F"/>
    <w:rsid w:val="00BD5503"/>
    <w:rsid w:val="00BD56D7"/>
    <w:rsid w:val="00BD5A7E"/>
    <w:rsid w:val="00BD68A3"/>
    <w:rsid w:val="00BD6938"/>
    <w:rsid w:val="00BD6CF3"/>
    <w:rsid w:val="00BD74A0"/>
    <w:rsid w:val="00BD7BC4"/>
    <w:rsid w:val="00BD7F72"/>
    <w:rsid w:val="00BE0085"/>
    <w:rsid w:val="00BE00F5"/>
    <w:rsid w:val="00BE04F6"/>
    <w:rsid w:val="00BE05BE"/>
    <w:rsid w:val="00BE0848"/>
    <w:rsid w:val="00BE08A1"/>
    <w:rsid w:val="00BE0A70"/>
    <w:rsid w:val="00BE0DBE"/>
    <w:rsid w:val="00BE0ECA"/>
    <w:rsid w:val="00BE1205"/>
    <w:rsid w:val="00BE16A4"/>
    <w:rsid w:val="00BE1D5C"/>
    <w:rsid w:val="00BE2180"/>
    <w:rsid w:val="00BE21F2"/>
    <w:rsid w:val="00BE2F7F"/>
    <w:rsid w:val="00BE3F2E"/>
    <w:rsid w:val="00BE4275"/>
    <w:rsid w:val="00BE4426"/>
    <w:rsid w:val="00BE45C1"/>
    <w:rsid w:val="00BE45CD"/>
    <w:rsid w:val="00BE4CA9"/>
    <w:rsid w:val="00BE5C9C"/>
    <w:rsid w:val="00BE5D7B"/>
    <w:rsid w:val="00BE62FC"/>
    <w:rsid w:val="00BE6750"/>
    <w:rsid w:val="00BE67F7"/>
    <w:rsid w:val="00BE697A"/>
    <w:rsid w:val="00BE6F6C"/>
    <w:rsid w:val="00BE7198"/>
    <w:rsid w:val="00BE768D"/>
    <w:rsid w:val="00BE7CDE"/>
    <w:rsid w:val="00BE7E28"/>
    <w:rsid w:val="00BF06AE"/>
    <w:rsid w:val="00BF080B"/>
    <w:rsid w:val="00BF0F95"/>
    <w:rsid w:val="00BF10FC"/>
    <w:rsid w:val="00BF165B"/>
    <w:rsid w:val="00BF1707"/>
    <w:rsid w:val="00BF1C9F"/>
    <w:rsid w:val="00BF1D24"/>
    <w:rsid w:val="00BF20DC"/>
    <w:rsid w:val="00BF2433"/>
    <w:rsid w:val="00BF2C38"/>
    <w:rsid w:val="00BF2E6E"/>
    <w:rsid w:val="00BF3690"/>
    <w:rsid w:val="00BF3CC3"/>
    <w:rsid w:val="00BF61C9"/>
    <w:rsid w:val="00BF6B43"/>
    <w:rsid w:val="00BF6C94"/>
    <w:rsid w:val="00BF7081"/>
    <w:rsid w:val="00BF7575"/>
    <w:rsid w:val="00BF7598"/>
    <w:rsid w:val="00BF79B6"/>
    <w:rsid w:val="00BF7A9C"/>
    <w:rsid w:val="00BF7F9A"/>
    <w:rsid w:val="00C0002E"/>
    <w:rsid w:val="00C0033C"/>
    <w:rsid w:val="00C00424"/>
    <w:rsid w:val="00C00BB0"/>
    <w:rsid w:val="00C00BCF"/>
    <w:rsid w:val="00C00EB5"/>
    <w:rsid w:val="00C026A0"/>
    <w:rsid w:val="00C02BC4"/>
    <w:rsid w:val="00C035DF"/>
    <w:rsid w:val="00C03A56"/>
    <w:rsid w:val="00C03B2E"/>
    <w:rsid w:val="00C03C4E"/>
    <w:rsid w:val="00C0555E"/>
    <w:rsid w:val="00C05DB1"/>
    <w:rsid w:val="00C05DB2"/>
    <w:rsid w:val="00C05DFA"/>
    <w:rsid w:val="00C05F00"/>
    <w:rsid w:val="00C06E42"/>
    <w:rsid w:val="00C07344"/>
    <w:rsid w:val="00C07C7A"/>
    <w:rsid w:val="00C106A7"/>
    <w:rsid w:val="00C10704"/>
    <w:rsid w:val="00C1077E"/>
    <w:rsid w:val="00C10C72"/>
    <w:rsid w:val="00C11564"/>
    <w:rsid w:val="00C1179F"/>
    <w:rsid w:val="00C11807"/>
    <w:rsid w:val="00C11B60"/>
    <w:rsid w:val="00C12538"/>
    <w:rsid w:val="00C12661"/>
    <w:rsid w:val="00C127B9"/>
    <w:rsid w:val="00C12810"/>
    <w:rsid w:val="00C128FA"/>
    <w:rsid w:val="00C12C14"/>
    <w:rsid w:val="00C12D8D"/>
    <w:rsid w:val="00C12E0F"/>
    <w:rsid w:val="00C1355F"/>
    <w:rsid w:val="00C13F29"/>
    <w:rsid w:val="00C147A5"/>
    <w:rsid w:val="00C14CA3"/>
    <w:rsid w:val="00C14EDB"/>
    <w:rsid w:val="00C15006"/>
    <w:rsid w:val="00C15152"/>
    <w:rsid w:val="00C15861"/>
    <w:rsid w:val="00C15F04"/>
    <w:rsid w:val="00C16457"/>
    <w:rsid w:val="00C166C1"/>
    <w:rsid w:val="00C17278"/>
    <w:rsid w:val="00C17592"/>
    <w:rsid w:val="00C176F9"/>
    <w:rsid w:val="00C179B3"/>
    <w:rsid w:val="00C17CF3"/>
    <w:rsid w:val="00C17E3F"/>
    <w:rsid w:val="00C200AA"/>
    <w:rsid w:val="00C20166"/>
    <w:rsid w:val="00C2017E"/>
    <w:rsid w:val="00C202AE"/>
    <w:rsid w:val="00C2035D"/>
    <w:rsid w:val="00C20825"/>
    <w:rsid w:val="00C2084E"/>
    <w:rsid w:val="00C20CE6"/>
    <w:rsid w:val="00C20FB9"/>
    <w:rsid w:val="00C21E5E"/>
    <w:rsid w:val="00C22065"/>
    <w:rsid w:val="00C222E3"/>
    <w:rsid w:val="00C22800"/>
    <w:rsid w:val="00C22D3B"/>
    <w:rsid w:val="00C22E51"/>
    <w:rsid w:val="00C2302A"/>
    <w:rsid w:val="00C232A6"/>
    <w:rsid w:val="00C235C1"/>
    <w:rsid w:val="00C237ED"/>
    <w:rsid w:val="00C23BCD"/>
    <w:rsid w:val="00C2432D"/>
    <w:rsid w:val="00C24603"/>
    <w:rsid w:val="00C24632"/>
    <w:rsid w:val="00C24A50"/>
    <w:rsid w:val="00C24DE0"/>
    <w:rsid w:val="00C24E70"/>
    <w:rsid w:val="00C25160"/>
    <w:rsid w:val="00C25418"/>
    <w:rsid w:val="00C25D9C"/>
    <w:rsid w:val="00C25E23"/>
    <w:rsid w:val="00C26CF4"/>
    <w:rsid w:val="00C26DF4"/>
    <w:rsid w:val="00C26EF7"/>
    <w:rsid w:val="00C27389"/>
    <w:rsid w:val="00C2778B"/>
    <w:rsid w:val="00C300B1"/>
    <w:rsid w:val="00C30C4E"/>
    <w:rsid w:val="00C31088"/>
    <w:rsid w:val="00C31649"/>
    <w:rsid w:val="00C31A80"/>
    <w:rsid w:val="00C31D9A"/>
    <w:rsid w:val="00C321C8"/>
    <w:rsid w:val="00C32466"/>
    <w:rsid w:val="00C325D6"/>
    <w:rsid w:val="00C32B2E"/>
    <w:rsid w:val="00C32FFD"/>
    <w:rsid w:val="00C33516"/>
    <w:rsid w:val="00C33523"/>
    <w:rsid w:val="00C3382D"/>
    <w:rsid w:val="00C33D48"/>
    <w:rsid w:val="00C33E40"/>
    <w:rsid w:val="00C3434C"/>
    <w:rsid w:val="00C34457"/>
    <w:rsid w:val="00C34A9C"/>
    <w:rsid w:val="00C34DC0"/>
    <w:rsid w:val="00C357AB"/>
    <w:rsid w:val="00C35DB7"/>
    <w:rsid w:val="00C35E58"/>
    <w:rsid w:val="00C3661A"/>
    <w:rsid w:val="00C36809"/>
    <w:rsid w:val="00C37524"/>
    <w:rsid w:val="00C37B9C"/>
    <w:rsid w:val="00C40385"/>
    <w:rsid w:val="00C412DC"/>
    <w:rsid w:val="00C41515"/>
    <w:rsid w:val="00C41712"/>
    <w:rsid w:val="00C41768"/>
    <w:rsid w:val="00C4192D"/>
    <w:rsid w:val="00C41DDE"/>
    <w:rsid w:val="00C41DE5"/>
    <w:rsid w:val="00C43661"/>
    <w:rsid w:val="00C43805"/>
    <w:rsid w:val="00C43CA3"/>
    <w:rsid w:val="00C442D6"/>
    <w:rsid w:val="00C445C2"/>
    <w:rsid w:val="00C44641"/>
    <w:rsid w:val="00C44826"/>
    <w:rsid w:val="00C44E09"/>
    <w:rsid w:val="00C45421"/>
    <w:rsid w:val="00C46B8E"/>
    <w:rsid w:val="00C475AA"/>
    <w:rsid w:val="00C47E6B"/>
    <w:rsid w:val="00C50236"/>
    <w:rsid w:val="00C50DCC"/>
    <w:rsid w:val="00C52029"/>
    <w:rsid w:val="00C5221B"/>
    <w:rsid w:val="00C52770"/>
    <w:rsid w:val="00C527C7"/>
    <w:rsid w:val="00C52CAE"/>
    <w:rsid w:val="00C52D23"/>
    <w:rsid w:val="00C52DBD"/>
    <w:rsid w:val="00C53020"/>
    <w:rsid w:val="00C53706"/>
    <w:rsid w:val="00C5383E"/>
    <w:rsid w:val="00C53C98"/>
    <w:rsid w:val="00C544D5"/>
    <w:rsid w:val="00C54D89"/>
    <w:rsid w:val="00C552E4"/>
    <w:rsid w:val="00C563C7"/>
    <w:rsid w:val="00C56AD6"/>
    <w:rsid w:val="00C56D58"/>
    <w:rsid w:val="00C56FCF"/>
    <w:rsid w:val="00C570A4"/>
    <w:rsid w:val="00C572F6"/>
    <w:rsid w:val="00C5767F"/>
    <w:rsid w:val="00C57B6C"/>
    <w:rsid w:val="00C57CCC"/>
    <w:rsid w:val="00C605B1"/>
    <w:rsid w:val="00C60B6F"/>
    <w:rsid w:val="00C60C5D"/>
    <w:rsid w:val="00C610D1"/>
    <w:rsid w:val="00C6158B"/>
    <w:rsid w:val="00C619F9"/>
    <w:rsid w:val="00C61A59"/>
    <w:rsid w:val="00C62170"/>
    <w:rsid w:val="00C626C2"/>
    <w:rsid w:val="00C628A6"/>
    <w:rsid w:val="00C62AA5"/>
    <w:rsid w:val="00C6311A"/>
    <w:rsid w:val="00C635D7"/>
    <w:rsid w:val="00C63D14"/>
    <w:rsid w:val="00C63E7A"/>
    <w:rsid w:val="00C64344"/>
    <w:rsid w:val="00C6461F"/>
    <w:rsid w:val="00C64DA2"/>
    <w:rsid w:val="00C65108"/>
    <w:rsid w:val="00C6510B"/>
    <w:rsid w:val="00C65435"/>
    <w:rsid w:val="00C65576"/>
    <w:rsid w:val="00C66165"/>
    <w:rsid w:val="00C667EA"/>
    <w:rsid w:val="00C67C38"/>
    <w:rsid w:val="00C70029"/>
    <w:rsid w:val="00C7060A"/>
    <w:rsid w:val="00C70E9C"/>
    <w:rsid w:val="00C7151A"/>
    <w:rsid w:val="00C717E3"/>
    <w:rsid w:val="00C718B7"/>
    <w:rsid w:val="00C71D22"/>
    <w:rsid w:val="00C71F60"/>
    <w:rsid w:val="00C72241"/>
    <w:rsid w:val="00C72DB3"/>
    <w:rsid w:val="00C73250"/>
    <w:rsid w:val="00C73818"/>
    <w:rsid w:val="00C7422B"/>
    <w:rsid w:val="00C74430"/>
    <w:rsid w:val="00C7475B"/>
    <w:rsid w:val="00C747C7"/>
    <w:rsid w:val="00C74A1B"/>
    <w:rsid w:val="00C750C8"/>
    <w:rsid w:val="00C75570"/>
    <w:rsid w:val="00C7560F"/>
    <w:rsid w:val="00C756C1"/>
    <w:rsid w:val="00C75CBD"/>
    <w:rsid w:val="00C76500"/>
    <w:rsid w:val="00C7659E"/>
    <w:rsid w:val="00C76E6E"/>
    <w:rsid w:val="00C77099"/>
    <w:rsid w:val="00C7716D"/>
    <w:rsid w:val="00C773ED"/>
    <w:rsid w:val="00C77BA5"/>
    <w:rsid w:val="00C77C3E"/>
    <w:rsid w:val="00C77FDA"/>
    <w:rsid w:val="00C80211"/>
    <w:rsid w:val="00C803DA"/>
    <w:rsid w:val="00C80776"/>
    <w:rsid w:val="00C80869"/>
    <w:rsid w:val="00C80A0E"/>
    <w:rsid w:val="00C80C94"/>
    <w:rsid w:val="00C81128"/>
    <w:rsid w:val="00C811B2"/>
    <w:rsid w:val="00C81321"/>
    <w:rsid w:val="00C8135A"/>
    <w:rsid w:val="00C81368"/>
    <w:rsid w:val="00C8213F"/>
    <w:rsid w:val="00C8231D"/>
    <w:rsid w:val="00C82427"/>
    <w:rsid w:val="00C8283E"/>
    <w:rsid w:val="00C82B76"/>
    <w:rsid w:val="00C82F48"/>
    <w:rsid w:val="00C8303F"/>
    <w:rsid w:val="00C83551"/>
    <w:rsid w:val="00C83792"/>
    <w:rsid w:val="00C8398A"/>
    <w:rsid w:val="00C83D48"/>
    <w:rsid w:val="00C83F38"/>
    <w:rsid w:val="00C848A9"/>
    <w:rsid w:val="00C84D91"/>
    <w:rsid w:val="00C85154"/>
    <w:rsid w:val="00C85426"/>
    <w:rsid w:val="00C85A70"/>
    <w:rsid w:val="00C8641F"/>
    <w:rsid w:val="00C865E7"/>
    <w:rsid w:val="00C86752"/>
    <w:rsid w:val="00C86B1F"/>
    <w:rsid w:val="00C86E29"/>
    <w:rsid w:val="00C87641"/>
    <w:rsid w:val="00C8788D"/>
    <w:rsid w:val="00C8797A"/>
    <w:rsid w:val="00C87F47"/>
    <w:rsid w:val="00C900B8"/>
    <w:rsid w:val="00C90197"/>
    <w:rsid w:val="00C9034C"/>
    <w:rsid w:val="00C90547"/>
    <w:rsid w:val="00C90C41"/>
    <w:rsid w:val="00C90C71"/>
    <w:rsid w:val="00C91150"/>
    <w:rsid w:val="00C91FD1"/>
    <w:rsid w:val="00C92352"/>
    <w:rsid w:val="00C92408"/>
    <w:rsid w:val="00C92BD5"/>
    <w:rsid w:val="00C92E84"/>
    <w:rsid w:val="00C931CF"/>
    <w:rsid w:val="00C93814"/>
    <w:rsid w:val="00C938CF"/>
    <w:rsid w:val="00C94053"/>
    <w:rsid w:val="00C941C7"/>
    <w:rsid w:val="00C94501"/>
    <w:rsid w:val="00C94A44"/>
    <w:rsid w:val="00C94A96"/>
    <w:rsid w:val="00C94B7A"/>
    <w:rsid w:val="00C94F51"/>
    <w:rsid w:val="00C951DB"/>
    <w:rsid w:val="00C9562D"/>
    <w:rsid w:val="00C956F4"/>
    <w:rsid w:val="00C95915"/>
    <w:rsid w:val="00C95B05"/>
    <w:rsid w:val="00C9624D"/>
    <w:rsid w:val="00C96425"/>
    <w:rsid w:val="00C969DA"/>
    <w:rsid w:val="00C96DF8"/>
    <w:rsid w:val="00C96EFF"/>
    <w:rsid w:val="00C976B9"/>
    <w:rsid w:val="00CA03B8"/>
    <w:rsid w:val="00CA0AA7"/>
    <w:rsid w:val="00CA0DE8"/>
    <w:rsid w:val="00CA1279"/>
    <w:rsid w:val="00CA1824"/>
    <w:rsid w:val="00CA18D8"/>
    <w:rsid w:val="00CA1B97"/>
    <w:rsid w:val="00CA1C6A"/>
    <w:rsid w:val="00CA2C77"/>
    <w:rsid w:val="00CA34E6"/>
    <w:rsid w:val="00CA38A5"/>
    <w:rsid w:val="00CA3EC7"/>
    <w:rsid w:val="00CA4355"/>
    <w:rsid w:val="00CA444F"/>
    <w:rsid w:val="00CA473C"/>
    <w:rsid w:val="00CA48CF"/>
    <w:rsid w:val="00CA5245"/>
    <w:rsid w:val="00CA52ED"/>
    <w:rsid w:val="00CA638E"/>
    <w:rsid w:val="00CA6BED"/>
    <w:rsid w:val="00CA71F4"/>
    <w:rsid w:val="00CA74EC"/>
    <w:rsid w:val="00CA76ED"/>
    <w:rsid w:val="00CA7856"/>
    <w:rsid w:val="00CA7B09"/>
    <w:rsid w:val="00CA7D32"/>
    <w:rsid w:val="00CB070C"/>
    <w:rsid w:val="00CB0A8B"/>
    <w:rsid w:val="00CB1009"/>
    <w:rsid w:val="00CB10B6"/>
    <w:rsid w:val="00CB12A5"/>
    <w:rsid w:val="00CB1CAC"/>
    <w:rsid w:val="00CB1F63"/>
    <w:rsid w:val="00CB23C8"/>
    <w:rsid w:val="00CB2528"/>
    <w:rsid w:val="00CB2EBD"/>
    <w:rsid w:val="00CB2EE4"/>
    <w:rsid w:val="00CB2F2A"/>
    <w:rsid w:val="00CB3033"/>
    <w:rsid w:val="00CB34D8"/>
    <w:rsid w:val="00CB3900"/>
    <w:rsid w:val="00CB3A85"/>
    <w:rsid w:val="00CB3AA2"/>
    <w:rsid w:val="00CB3C61"/>
    <w:rsid w:val="00CB4339"/>
    <w:rsid w:val="00CB46FD"/>
    <w:rsid w:val="00CB489D"/>
    <w:rsid w:val="00CB4D22"/>
    <w:rsid w:val="00CB4D9A"/>
    <w:rsid w:val="00CB50A4"/>
    <w:rsid w:val="00CB5137"/>
    <w:rsid w:val="00CB5604"/>
    <w:rsid w:val="00CB5998"/>
    <w:rsid w:val="00CB5B1A"/>
    <w:rsid w:val="00CB5F6E"/>
    <w:rsid w:val="00CB603D"/>
    <w:rsid w:val="00CB65F5"/>
    <w:rsid w:val="00CB6630"/>
    <w:rsid w:val="00CB67DC"/>
    <w:rsid w:val="00CB68EE"/>
    <w:rsid w:val="00CB6986"/>
    <w:rsid w:val="00CB6B22"/>
    <w:rsid w:val="00CB6E66"/>
    <w:rsid w:val="00CB7175"/>
    <w:rsid w:val="00CB735C"/>
    <w:rsid w:val="00CB7679"/>
    <w:rsid w:val="00CB7F5F"/>
    <w:rsid w:val="00CC048E"/>
    <w:rsid w:val="00CC0787"/>
    <w:rsid w:val="00CC11EF"/>
    <w:rsid w:val="00CC1B39"/>
    <w:rsid w:val="00CC1BFA"/>
    <w:rsid w:val="00CC1CC2"/>
    <w:rsid w:val="00CC1DD3"/>
    <w:rsid w:val="00CC1E48"/>
    <w:rsid w:val="00CC1F33"/>
    <w:rsid w:val="00CC2E9F"/>
    <w:rsid w:val="00CC34C9"/>
    <w:rsid w:val="00CC35EA"/>
    <w:rsid w:val="00CC3848"/>
    <w:rsid w:val="00CC45F9"/>
    <w:rsid w:val="00CC4B1B"/>
    <w:rsid w:val="00CC4D8E"/>
    <w:rsid w:val="00CC4DB4"/>
    <w:rsid w:val="00CC5B23"/>
    <w:rsid w:val="00CC6029"/>
    <w:rsid w:val="00CC6652"/>
    <w:rsid w:val="00CC6D5E"/>
    <w:rsid w:val="00CC7527"/>
    <w:rsid w:val="00CC757C"/>
    <w:rsid w:val="00CC7B19"/>
    <w:rsid w:val="00CC7CA0"/>
    <w:rsid w:val="00CD0200"/>
    <w:rsid w:val="00CD025C"/>
    <w:rsid w:val="00CD09D4"/>
    <w:rsid w:val="00CD0EF8"/>
    <w:rsid w:val="00CD10F8"/>
    <w:rsid w:val="00CD1172"/>
    <w:rsid w:val="00CD1483"/>
    <w:rsid w:val="00CD1992"/>
    <w:rsid w:val="00CD1CB3"/>
    <w:rsid w:val="00CD2172"/>
    <w:rsid w:val="00CD2520"/>
    <w:rsid w:val="00CD262D"/>
    <w:rsid w:val="00CD2863"/>
    <w:rsid w:val="00CD2C09"/>
    <w:rsid w:val="00CD3542"/>
    <w:rsid w:val="00CD3674"/>
    <w:rsid w:val="00CD3817"/>
    <w:rsid w:val="00CD3E08"/>
    <w:rsid w:val="00CD3F77"/>
    <w:rsid w:val="00CD3F8D"/>
    <w:rsid w:val="00CD4748"/>
    <w:rsid w:val="00CD4837"/>
    <w:rsid w:val="00CD502C"/>
    <w:rsid w:val="00CD5476"/>
    <w:rsid w:val="00CD57E2"/>
    <w:rsid w:val="00CD5EB9"/>
    <w:rsid w:val="00CD632F"/>
    <w:rsid w:val="00CD6622"/>
    <w:rsid w:val="00CD6A8E"/>
    <w:rsid w:val="00CD6ADC"/>
    <w:rsid w:val="00CD6B28"/>
    <w:rsid w:val="00CD7193"/>
    <w:rsid w:val="00CD7298"/>
    <w:rsid w:val="00CD7747"/>
    <w:rsid w:val="00CD78D4"/>
    <w:rsid w:val="00CD7C1F"/>
    <w:rsid w:val="00CE028D"/>
    <w:rsid w:val="00CE0D7D"/>
    <w:rsid w:val="00CE1316"/>
    <w:rsid w:val="00CE1329"/>
    <w:rsid w:val="00CE1389"/>
    <w:rsid w:val="00CE1814"/>
    <w:rsid w:val="00CE2301"/>
    <w:rsid w:val="00CE244A"/>
    <w:rsid w:val="00CE2C86"/>
    <w:rsid w:val="00CE2EAF"/>
    <w:rsid w:val="00CE2FE6"/>
    <w:rsid w:val="00CE34D7"/>
    <w:rsid w:val="00CE38C8"/>
    <w:rsid w:val="00CE3941"/>
    <w:rsid w:val="00CE4214"/>
    <w:rsid w:val="00CE46A0"/>
    <w:rsid w:val="00CE4AFB"/>
    <w:rsid w:val="00CE503C"/>
    <w:rsid w:val="00CE5112"/>
    <w:rsid w:val="00CE5168"/>
    <w:rsid w:val="00CE51DE"/>
    <w:rsid w:val="00CE524F"/>
    <w:rsid w:val="00CE52B2"/>
    <w:rsid w:val="00CE5846"/>
    <w:rsid w:val="00CE58CC"/>
    <w:rsid w:val="00CE5B63"/>
    <w:rsid w:val="00CE5CDF"/>
    <w:rsid w:val="00CE615A"/>
    <w:rsid w:val="00CE6274"/>
    <w:rsid w:val="00CE6755"/>
    <w:rsid w:val="00CE6E98"/>
    <w:rsid w:val="00CE6EF4"/>
    <w:rsid w:val="00CE714E"/>
    <w:rsid w:val="00CE71F2"/>
    <w:rsid w:val="00CE7212"/>
    <w:rsid w:val="00CE753A"/>
    <w:rsid w:val="00CE77B6"/>
    <w:rsid w:val="00CE77CC"/>
    <w:rsid w:val="00CE792F"/>
    <w:rsid w:val="00CF166F"/>
    <w:rsid w:val="00CF1E6C"/>
    <w:rsid w:val="00CF1E81"/>
    <w:rsid w:val="00CF21F2"/>
    <w:rsid w:val="00CF2329"/>
    <w:rsid w:val="00CF281E"/>
    <w:rsid w:val="00CF2B77"/>
    <w:rsid w:val="00CF2B8D"/>
    <w:rsid w:val="00CF3334"/>
    <w:rsid w:val="00CF383B"/>
    <w:rsid w:val="00CF3A1B"/>
    <w:rsid w:val="00CF3B8A"/>
    <w:rsid w:val="00CF456B"/>
    <w:rsid w:val="00CF4D79"/>
    <w:rsid w:val="00CF4E9C"/>
    <w:rsid w:val="00CF57E0"/>
    <w:rsid w:val="00CF58A6"/>
    <w:rsid w:val="00CF59B1"/>
    <w:rsid w:val="00CF5A22"/>
    <w:rsid w:val="00CF5E33"/>
    <w:rsid w:val="00CF664C"/>
    <w:rsid w:val="00CF6934"/>
    <w:rsid w:val="00CF69A7"/>
    <w:rsid w:val="00CF7324"/>
    <w:rsid w:val="00CF773E"/>
    <w:rsid w:val="00CF785B"/>
    <w:rsid w:val="00CF78FF"/>
    <w:rsid w:val="00CF795B"/>
    <w:rsid w:val="00D000D7"/>
    <w:rsid w:val="00D004E6"/>
    <w:rsid w:val="00D00EF5"/>
    <w:rsid w:val="00D0149B"/>
    <w:rsid w:val="00D015E8"/>
    <w:rsid w:val="00D015F8"/>
    <w:rsid w:val="00D018D5"/>
    <w:rsid w:val="00D01C2B"/>
    <w:rsid w:val="00D01F34"/>
    <w:rsid w:val="00D021CB"/>
    <w:rsid w:val="00D0251D"/>
    <w:rsid w:val="00D0262E"/>
    <w:rsid w:val="00D0271A"/>
    <w:rsid w:val="00D02F10"/>
    <w:rsid w:val="00D02FF2"/>
    <w:rsid w:val="00D03679"/>
    <w:rsid w:val="00D03FAA"/>
    <w:rsid w:val="00D04785"/>
    <w:rsid w:val="00D047B4"/>
    <w:rsid w:val="00D04C77"/>
    <w:rsid w:val="00D04D28"/>
    <w:rsid w:val="00D057AE"/>
    <w:rsid w:val="00D05CCA"/>
    <w:rsid w:val="00D05DF4"/>
    <w:rsid w:val="00D05E3D"/>
    <w:rsid w:val="00D05FAD"/>
    <w:rsid w:val="00D06139"/>
    <w:rsid w:val="00D066D2"/>
    <w:rsid w:val="00D06DBC"/>
    <w:rsid w:val="00D07744"/>
    <w:rsid w:val="00D07746"/>
    <w:rsid w:val="00D077C2"/>
    <w:rsid w:val="00D101C3"/>
    <w:rsid w:val="00D10548"/>
    <w:rsid w:val="00D108EA"/>
    <w:rsid w:val="00D10BE1"/>
    <w:rsid w:val="00D110BD"/>
    <w:rsid w:val="00D11140"/>
    <w:rsid w:val="00D11DDC"/>
    <w:rsid w:val="00D12320"/>
    <w:rsid w:val="00D12733"/>
    <w:rsid w:val="00D128A6"/>
    <w:rsid w:val="00D12F8D"/>
    <w:rsid w:val="00D13675"/>
    <w:rsid w:val="00D13DD7"/>
    <w:rsid w:val="00D141E1"/>
    <w:rsid w:val="00D14719"/>
    <w:rsid w:val="00D147AB"/>
    <w:rsid w:val="00D15314"/>
    <w:rsid w:val="00D156C6"/>
    <w:rsid w:val="00D159A5"/>
    <w:rsid w:val="00D15B48"/>
    <w:rsid w:val="00D15EE6"/>
    <w:rsid w:val="00D16027"/>
    <w:rsid w:val="00D163A8"/>
    <w:rsid w:val="00D16566"/>
    <w:rsid w:val="00D16B5F"/>
    <w:rsid w:val="00D172BF"/>
    <w:rsid w:val="00D17429"/>
    <w:rsid w:val="00D1780A"/>
    <w:rsid w:val="00D17D6C"/>
    <w:rsid w:val="00D17EB6"/>
    <w:rsid w:val="00D2084B"/>
    <w:rsid w:val="00D20871"/>
    <w:rsid w:val="00D20EFD"/>
    <w:rsid w:val="00D20F45"/>
    <w:rsid w:val="00D2134D"/>
    <w:rsid w:val="00D214F4"/>
    <w:rsid w:val="00D2155B"/>
    <w:rsid w:val="00D221C0"/>
    <w:rsid w:val="00D2228F"/>
    <w:rsid w:val="00D222A0"/>
    <w:rsid w:val="00D2264D"/>
    <w:rsid w:val="00D22A0F"/>
    <w:rsid w:val="00D22E18"/>
    <w:rsid w:val="00D22F40"/>
    <w:rsid w:val="00D23798"/>
    <w:rsid w:val="00D23856"/>
    <w:rsid w:val="00D23BDE"/>
    <w:rsid w:val="00D23D11"/>
    <w:rsid w:val="00D23E33"/>
    <w:rsid w:val="00D23F60"/>
    <w:rsid w:val="00D24078"/>
    <w:rsid w:val="00D244B6"/>
    <w:rsid w:val="00D25741"/>
    <w:rsid w:val="00D25DB5"/>
    <w:rsid w:val="00D26526"/>
    <w:rsid w:val="00D26C0C"/>
    <w:rsid w:val="00D26F71"/>
    <w:rsid w:val="00D27048"/>
    <w:rsid w:val="00D2754D"/>
    <w:rsid w:val="00D27723"/>
    <w:rsid w:val="00D27868"/>
    <w:rsid w:val="00D27B27"/>
    <w:rsid w:val="00D307B9"/>
    <w:rsid w:val="00D30826"/>
    <w:rsid w:val="00D30872"/>
    <w:rsid w:val="00D30D5B"/>
    <w:rsid w:val="00D30E55"/>
    <w:rsid w:val="00D31023"/>
    <w:rsid w:val="00D3153F"/>
    <w:rsid w:val="00D315EA"/>
    <w:rsid w:val="00D316A0"/>
    <w:rsid w:val="00D31DC8"/>
    <w:rsid w:val="00D31E6F"/>
    <w:rsid w:val="00D31E72"/>
    <w:rsid w:val="00D324C3"/>
    <w:rsid w:val="00D33567"/>
    <w:rsid w:val="00D33BE9"/>
    <w:rsid w:val="00D33F93"/>
    <w:rsid w:val="00D34204"/>
    <w:rsid w:val="00D34800"/>
    <w:rsid w:val="00D34BEA"/>
    <w:rsid w:val="00D34BF1"/>
    <w:rsid w:val="00D353C9"/>
    <w:rsid w:val="00D3549A"/>
    <w:rsid w:val="00D354DD"/>
    <w:rsid w:val="00D357FF"/>
    <w:rsid w:val="00D35844"/>
    <w:rsid w:val="00D35E96"/>
    <w:rsid w:val="00D363AC"/>
    <w:rsid w:val="00D36B22"/>
    <w:rsid w:val="00D36B98"/>
    <w:rsid w:val="00D36D38"/>
    <w:rsid w:val="00D36F30"/>
    <w:rsid w:val="00D374A2"/>
    <w:rsid w:val="00D37545"/>
    <w:rsid w:val="00D379B5"/>
    <w:rsid w:val="00D37A7D"/>
    <w:rsid w:val="00D37CC0"/>
    <w:rsid w:val="00D4058D"/>
    <w:rsid w:val="00D4063E"/>
    <w:rsid w:val="00D40686"/>
    <w:rsid w:val="00D40791"/>
    <w:rsid w:val="00D40851"/>
    <w:rsid w:val="00D40DD9"/>
    <w:rsid w:val="00D4101D"/>
    <w:rsid w:val="00D41391"/>
    <w:rsid w:val="00D4140F"/>
    <w:rsid w:val="00D4199F"/>
    <w:rsid w:val="00D424C7"/>
    <w:rsid w:val="00D4297C"/>
    <w:rsid w:val="00D42F9F"/>
    <w:rsid w:val="00D434F5"/>
    <w:rsid w:val="00D43868"/>
    <w:rsid w:val="00D43B2A"/>
    <w:rsid w:val="00D43CF1"/>
    <w:rsid w:val="00D43D83"/>
    <w:rsid w:val="00D43F11"/>
    <w:rsid w:val="00D44571"/>
    <w:rsid w:val="00D44671"/>
    <w:rsid w:val="00D4499F"/>
    <w:rsid w:val="00D45A7A"/>
    <w:rsid w:val="00D460F3"/>
    <w:rsid w:val="00D464DF"/>
    <w:rsid w:val="00D47575"/>
    <w:rsid w:val="00D47743"/>
    <w:rsid w:val="00D47B9D"/>
    <w:rsid w:val="00D47E0A"/>
    <w:rsid w:val="00D5027D"/>
    <w:rsid w:val="00D5085B"/>
    <w:rsid w:val="00D50954"/>
    <w:rsid w:val="00D515B8"/>
    <w:rsid w:val="00D51713"/>
    <w:rsid w:val="00D519BA"/>
    <w:rsid w:val="00D5243B"/>
    <w:rsid w:val="00D5310F"/>
    <w:rsid w:val="00D5319C"/>
    <w:rsid w:val="00D53357"/>
    <w:rsid w:val="00D533EC"/>
    <w:rsid w:val="00D542B5"/>
    <w:rsid w:val="00D54600"/>
    <w:rsid w:val="00D5495E"/>
    <w:rsid w:val="00D54AA6"/>
    <w:rsid w:val="00D55200"/>
    <w:rsid w:val="00D562A7"/>
    <w:rsid w:val="00D56A95"/>
    <w:rsid w:val="00D56C65"/>
    <w:rsid w:val="00D56CC4"/>
    <w:rsid w:val="00D56D08"/>
    <w:rsid w:val="00D56DE6"/>
    <w:rsid w:val="00D579A9"/>
    <w:rsid w:val="00D600B3"/>
    <w:rsid w:val="00D6025D"/>
    <w:rsid w:val="00D60592"/>
    <w:rsid w:val="00D6076E"/>
    <w:rsid w:val="00D60E33"/>
    <w:rsid w:val="00D60F5C"/>
    <w:rsid w:val="00D61A20"/>
    <w:rsid w:val="00D61A33"/>
    <w:rsid w:val="00D61CE7"/>
    <w:rsid w:val="00D620CD"/>
    <w:rsid w:val="00D62203"/>
    <w:rsid w:val="00D6265D"/>
    <w:rsid w:val="00D628BC"/>
    <w:rsid w:val="00D631EA"/>
    <w:rsid w:val="00D63408"/>
    <w:rsid w:val="00D635D3"/>
    <w:rsid w:val="00D63838"/>
    <w:rsid w:val="00D645D6"/>
    <w:rsid w:val="00D64A84"/>
    <w:rsid w:val="00D64C2A"/>
    <w:rsid w:val="00D64F7F"/>
    <w:rsid w:val="00D65375"/>
    <w:rsid w:val="00D6555A"/>
    <w:rsid w:val="00D659DA"/>
    <w:rsid w:val="00D66001"/>
    <w:rsid w:val="00D660E6"/>
    <w:rsid w:val="00D663F1"/>
    <w:rsid w:val="00D665B2"/>
    <w:rsid w:val="00D668F3"/>
    <w:rsid w:val="00D6759B"/>
    <w:rsid w:val="00D67653"/>
    <w:rsid w:val="00D67D33"/>
    <w:rsid w:val="00D7040C"/>
    <w:rsid w:val="00D70F16"/>
    <w:rsid w:val="00D70F71"/>
    <w:rsid w:val="00D710CF"/>
    <w:rsid w:val="00D720F7"/>
    <w:rsid w:val="00D72617"/>
    <w:rsid w:val="00D72EA3"/>
    <w:rsid w:val="00D72F57"/>
    <w:rsid w:val="00D72FA1"/>
    <w:rsid w:val="00D73943"/>
    <w:rsid w:val="00D73F8B"/>
    <w:rsid w:val="00D748EB"/>
    <w:rsid w:val="00D7573A"/>
    <w:rsid w:val="00D758EB"/>
    <w:rsid w:val="00D75AAC"/>
    <w:rsid w:val="00D763AB"/>
    <w:rsid w:val="00D7683A"/>
    <w:rsid w:val="00D76A0A"/>
    <w:rsid w:val="00D76A44"/>
    <w:rsid w:val="00D772CB"/>
    <w:rsid w:val="00D77562"/>
    <w:rsid w:val="00D80845"/>
    <w:rsid w:val="00D8093C"/>
    <w:rsid w:val="00D8097E"/>
    <w:rsid w:val="00D809B9"/>
    <w:rsid w:val="00D80D8E"/>
    <w:rsid w:val="00D81554"/>
    <w:rsid w:val="00D815EF"/>
    <w:rsid w:val="00D81949"/>
    <w:rsid w:val="00D81E13"/>
    <w:rsid w:val="00D81F26"/>
    <w:rsid w:val="00D81FFF"/>
    <w:rsid w:val="00D822CF"/>
    <w:rsid w:val="00D822E2"/>
    <w:rsid w:val="00D826D0"/>
    <w:rsid w:val="00D82FD5"/>
    <w:rsid w:val="00D83865"/>
    <w:rsid w:val="00D83A98"/>
    <w:rsid w:val="00D84133"/>
    <w:rsid w:val="00D843F2"/>
    <w:rsid w:val="00D844D7"/>
    <w:rsid w:val="00D848F6"/>
    <w:rsid w:val="00D85651"/>
    <w:rsid w:val="00D85B2B"/>
    <w:rsid w:val="00D86231"/>
    <w:rsid w:val="00D863C8"/>
    <w:rsid w:val="00D8658A"/>
    <w:rsid w:val="00D86CAC"/>
    <w:rsid w:val="00D87652"/>
    <w:rsid w:val="00D877FE"/>
    <w:rsid w:val="00D87C74"/>
    <w:rsid w:val="00D905E8"/>
    <w:rsid w:val="00D90834"/>
    <w:rsid w:val="00D912AB"/>
    <w:rsid w:val="00D91615"/>
    <w:rsid w:val="00D91923"/>
    <w:rsid w:val="00D919BE"/>
    <w:rsid w:val="00D92070"/>
    <w:rsid w:val="00D927F4"/>
    <w:rsid w:val="00D92D9D"/>
    <w:rsid w:val="00D92FD3"/>
    <w:rsid w:val="00D933F9"/>
    <w:rsid w:val="00D9346E"/>
    <w:rsid w:val="00D936A5"/>
    <w:rsid w:val="00D93753"/>
    <w:rsid w:val="00D93B1D"/>
    <w:rsid w:val="00D93D0E"/>
    <w:rsid w:val="00D94951"/>
    <w:rsid w:val="00D94CEF"/>
    <w:rsid w:val="00D94FAC"/>
    <w:rsid w:val="00D95170"/>
    <w:rsid w:val="00D95362"/>
    <w:rsid w:val="00D95543"/>
    <w:rsid w:val="00D9564C"/>
    <w:rsid w:val="00D95C46"/>
    <w:rsid w:val="00D96416"/>
    <w:rsid w:val="00D96D64"/>
    <w:rsid w:val="00D96EF6"/>
    <w:rsid w:val="00D97AF1"/>
    <w:rsid w:val="00D97DE9"/>
    <w:rsid w:val="00DA00DB"/>
    <w:rsid w:val="00DA07B7"/>
    <w:rsid w:val="00DA0C06"/>
    <w:rsid w:val="00DA1051"/>
    <w:rsid w:val="00DA1442"/>
    <w:rsid w:val="00DA1535"/>
    <w:rsid w:val="00DA1D43"/>
    <w:rsid w:val="00DA1DC8"/>
    <w:rsid w:val="00DA1E26"/>
    <w:rsid w:val="00DA21D2"/>
    <w:rsid w:val="00DA2875"/>
    <w:rsid w:val="00DA2C88"/>
    <w:rsid w:val="00DA3167"/>
    <w:rsid w:val="00DA3674"/>
    <w:rsid w:val="00DA37D0"/>
    <w:rsid w:val="00DA3B65"/>
    <w:rsid w:val="00DA3CD4"/>
    <w:rsid w:val="00DA3D9A"/>
    <w:rsid w:val="00DA3EA2"/>
    <w:rsid w:val="00DA3F57"/>
    <w:rsid w:val="00DA40A8"/>
    <w:rsid w:val="00DA44B9"/>
    <w:rsid w:val="00DA4566"/>
    <w:rsid w:val="00DA480C"/>
    <w:rsid w:val="00DA4DC3"/>
    <w:rsid w:val="00DA51C7"/>
    <w:rsid w:val="00DA52D5"/>
    <w:rsid w:val="00DA5747"/>
    <w:rsid w:val="00DA57CA"/>
    <w:rsid w:val="00DA5DDE"/>
    <w:rsid w:val="00DA74D0"/>
    <w:rsid w:val="00DA77A5"/>
    <w:rsid w:val="00DB079F"/>
    <w:rsid w:val="00DB0A72"/>
    <w:rsid w:val="00DB0B87"/>
    <w:rsid w:val="00DB0E36"/>
    <w:rsid w:val="00DB11B9"/>
    <w:rsid w:val="00DB1ABF"/>
    <w:rsid w:val="00DB1D6B"/>
    <w:rsid w:val="00DB2723"/>
    <w:rsid w:val="00DB2CE3"/>
    <w:rsid w:val="00DB2F31"/>
    <w:rsid w:val="00DB32E7"/>
    <w:rsid w:val="00DB3D32"/>
    <w:rsid w:val="00DB3DBF"/>
    <w:rsid w:val="00DB442C"/>
    <w:rsid w:val="00DB4617"/>
    <w:rsid w:val="00DB484F"/>
    <w:rsid w:val="00DB4BFD"/>
    <w:rsid w:val="00DB4E13"/>
    <w:rsid w:val="00DB4E1D"/>
    <w:rsid w:val="00DB4EE2"/>
    <w:rsid w:val="00DB592A"/>
    <w:rsid w:val="00DB5C0D"/>
    <w:rsid w:val="00DB5F02"/>
    <w:rsid w:val="00DB616C"/>
    <w:rsid w:val="00DB6A75"/>
    <w:rsid w:val="00DB6C13"/>
    <w:rsid w:val="00DB6F5A"/>
    <w:rsid w:val="00DB7639"/>
    <w:rsid w:val="00DB775A"/>
    <w:rsid w:val="00DB7906"/>
    <w:rsid w:val="00DB7C19"/>
    <w:rsid w:val="00DB7F3D"/>
    <w:rsid w:val="00DC0104"/>
    <w:rsid w:val="00DC01DB"/>
    <w:rsid w:val="00DC04F6"/>
    <w:rsid w:val="00DC0690"/>
    <w:rsid w:val="00DC087F"/>
    <w:rsid w:val="00DC0F8B"/>
    <w:rsid w:val="00DC1101"/>
    <w:rsid w:val="00DC114C"/>
    <w:rsid w:val="00DC127E"/>
    <w:rsid w:val="00DC14F9"/>
    <w:rsid w:val="00DC172E"/>
    <w:rsid w:val="00DC1906"/>
    <w:rsid w:val="00DC1B8C"/>
    <w:rsid w:val="00DC1CA0"/>
    <w:rsid w:val="00DC1D65"/>
    <w:rsid w:val="00DC2B79"/>
    <w:rsid w:val="00DC2E72"/>
    <w:rsid w:val="00DC3016"/>
    <w:rsid w:val="00DC30A1"/>
    <w:rsid w:val="00DC31A4"/>
    <w:rsid w:val="00DC3713"/>
    <w:rsid w:val="00DC3C57"/>
    <w:rsid w:val="00DC4451"/>
    <w:rsid w:val="00DC46CE"/>
    <w:rsid w:val="00DC4869"/>
    <w:rsid w:val="00DC4B47"/>
    <w:rsid w:val="00DC4E3A"/>
    <w:rsid w:val="00DC4ECF"/>
    <w:rsid w:val="00DC4FC0"/>
    <w:rsid w:val="00DC509D"/>
    <w:rsid w:val="00DC5501"/>
    <w:rsid w:val="00DC5DE4"/>
    <w:rsid w:val="00DC5F3A"/>
    <w:rsid w:val="00DC5FBE"/>
    <w:rsid w:val="00DC626B"/>
    <w:rsid w:val="00DC648A"/>
    <w:rsid w:val="00DC7154"/>
    <w:rsid w:val="00DC72FE"/>
    <w:rsid w:val="00DC7E8A"/>
    <w:rsid w:val="00DD041D"/>
    <w:rsid w:val="00DD0F78"/>
    <w:rsid w:val="00DD1634"/>
    <w:rsid w:val="00DD273C"/>
    <w:rsid w:val="00DD2970"/>
    <w:rsid w:val="00DD3B81"/>
    <w:rsid w:val="00DD3EF8"/>
    <w:rsid w:val="00DD3F28"/>
    <w:rsid w:val="00DD43F3"/>
    <w:rsid w:val="00DD4446"/>
    <w:rsid w:val="00DD4537"/>
    <w:rsid w:val="00DD4E15"/>
    <w:rsid w:val="00DD4ECC"/>
    <w:rsid w:val="00DD4F9A"/>
    <w:rsid w:val="00DD5264"/>
    <w:rsid w:val="00DD618A"/>
    <w:rsid w:val="00DD6962"/>
    <w:rsid w:val="00DD6D2B"/>
    <w:rsid w:val="00DD75BD"/>
    <w:rsid w:val="00DE0404"/>
    <w:rsid w:val="00DE064C"/>
    <w:rsid w:val="00DE0857"/>
    <w:rsid w:val="00DE13AF"/>
    <w:rsid w:val="00DE2304"/>
    <w:rsid w:val="00DE2DDA"/>
    <w:rsid w:val="00DE2EE3"/>
    <w:rsid w:val="00DE310A"/>
    <w:rsid w:val="00DE3138"/>
    <w:rsid w:val="00DE37F8"/>
    <w:rsid w:val="00DE3B34"/>
    <w:rsid w:val="00DE4024"/>
    <w:rsid w:val="00DE4103"/>
    <w:rsid w:val="00DE4273"/>
    <w:rsid w:val="00DE43A9"/>
    <w:rsid w:val="00DE45B7"/>
    <w:rsid w:val="00DE47A9"/>
    <w:rsid w:val="00DE4FCB"/>
    <w:rsid w:val="00DE5076"/>
    <w:rsid w:val="00DE5B16"/>
    <w:rsid w:val="00DE5C5E"/>
    <w:rsid w:val="00DE5CE1"/>
    <w:rsid w:val="00DE5D07"/>
    <w:rsid w:val="00DE5F46"/>
    <w:rsid w:val="00DE5F68"/>
    <w:rsid w:val="00DE6089"/>
    <w:rsid w:val="00DE61CD"/>
    <w:rsid w:val="00DE621D"/>
    <w:rsid w:val="00DE683D"/>
    <w:rsid w:val="00DE688A"/>
    <w:rsid w:val="00DE72A7"/>
    <w:rsid w:val="00DE7490"/>
    <w:rsid w:val="00DE7763"/>
    <w:rsid w:val="00DE7832"/>
    <w:rsid w:val="00DE7D98"/>
    <w:rsid w:val="00DF069D"/>
    <w:rsid w:val="00DF090E"/>
    <w:rsid w:val="00DF1096"/>
    <w:rsid w:val="00DF1832"/>
    <w:rsid w:val="00DF18FC"/>
    <w:rsid w:val="00DF1B6C"/>
    <w:rsid w:val="00DF1E86"/>
    <w:rsid w:val="00DF2127"/>
    <w:rsid w:val="00DF25E0"/>
    <w:rsid w:val="00DF2F61"/>
    <w:rsid w:val="00DF32D7"/>
    <w:rsid w:val="00DF33EF"/>
    <w:rsid w:val="00DF396E"/>
    <w:rsid w:val="00DF399E"/>
    <w:rsid w:val="00DF40E8"/>
    <w:rsid w:val="00DF44EF"/>
    <w:rsid w:val="00DF4E69"/>
    <w:rsid w:val="00DF552C"/>
    <w:rsid w:val="00DF5684"/>
    <w:rsid w:val="00DF5A42"/>
    <w:rsid w:val="00DF5D2B"/>
    <w:rsid w:val="00DF6341"/>
    <w:rsid w:val="00DF6404"/>
    <w:rsid w:val="00DF64CA"/>
    <w:rsid w:val="00DF6E6A"/>
    <w:rsid w:val="00DF6EE6"/>
    <w:rsid w:val="00DF71A8"/>
    <w:rsid w:val="00DF72AE"/>
    <w:rsid w:val="00DF744D"/>
    <w:rsid w:val="00E0039D"/>
    <w:rsid w:val="00E00E8E"/>
    <w:rsid w:val="00E0171E"/>
    <w:rsid w:val="00E01EE1"/>
    <w:rsid w:val="00E0249C"/>
    <w:rsid w:val="00E0271B"/>
    <w:rsid w:val="00E039F3"/>
    <w:rsid w:val="00E03A61"/>
    <w:rsid w:val="00E03BF9"/>
    <w:rsid w:val="00E03C32"/>
    <w:rsid w:val="00E03D22"/>
    <w:rsid w:val="00E03E9F"/>
    <w:rsid w:val="00E04185"/>
    <w:rsid w:val="00E0438A"/>
    <w:rsid w:val="00E05630"/>
    <w:rsid w:val="00E05D07"/>
    <w:rsid w:val="00E05F91"/>
    <w:rsid w:val="00E0610B"/>
    <w:rsid w:val="00E06136"/>
    <w:rsid w:val="00E06DBB"/>
    <w:rsid w:val="00E0723E"/>
    <w:rsid w:val="00E07573"/>
    <w:rsid w:val="00E07760"/>
    <w:rsid w:val="00E07AC2"/>
    <w:rsid w:val="00E07AEB"/>
    <w:rsid w:val="00E10120"/>
    <w:rsid w:val="00E10149"/>
    <w:rsid w:val="00E102F4"/>
    <w:rsid w:val="00E10616"/>
    <w:rsid w:val="00E10645"/>
    <w:rsid w:val="00E10985"/>
    <w:rsid w:val="00E112F6"/>
    <w:rsid w:val="00E11340"/>
    <w:rsid w:val="00E11853"/>
    <w:rsid w:val="00E11E5F"/>
    <w:rsid w:val="00E122A1"/>
    <w:rsid w:val="00E13A9C"/>
    <w:rsid w:val="00E13AA8"/>
    <w:rsid w:val="00E13C5C"/>
    <w:rsid w:val="00E144E3"/>
    <w:rsid w:val="00E14540"/>
    <w:rsid w:val="00E1492B"/>
    <w:rsid w:val="00E14A30"/>
    <w:rsid w:val="00E14BA0"/>
    <w:rsid w:val="00E14BC3"/>
    <w:rsid w:val="00E14F4B"/>
    <w:rsid w:val="00E15B8E"/>
    <w:rsid w:val="00E16372"/>
    <w:rsid w:val="00E16AD8"/>
    <w:rsid w:val="00E16B59"/>
    <w:rsid w:val="00E16CBA"/>
    <w:rsid w:val="00E16E0B"/>
    <w:rsid w:val="00E174C8"/>
    <w:rsid w:val="00E17FFA"/>
    <w:rsid w:val="00E202B6"/>
    <w:rsid w:val="00E20699"/>
    <w:rsid w:val="00E208B7"/>
    <w:rsid w:val="00E208F3"/>
    <w:rsid w:val="00E20E4D"/>
    <w:rsid w:val="00E20ED6"/>
    <w:rsid w:val="00E21358"/>
    <w:rsid w:val="00E21431"/>
    <w:rsid w:val="00E22231"/>
    <w:rsid w:val="00E2232E"/>
    <w:rsid w:val="00E2249B"/>
    <w:rsid w:val="00E22763"/>
    <w:rsid w:val="00E22883"/>
    <w:rsid w:val="00E2289F"/>
    <w:rsid w:val="00E229AB"/>
    <w:rsid w:val="00E22A0D"/>
    <w:rsid w:val="00E22CB1"/>
    <w:rsid w:val="00E23DC3"/>
    <w:rsid w:val="00E23DE0"/>
    <w:rsid w:val="00E23F1B"/>
    <w:rsid w:val="00E24398"/>
    <w:rsid w:val="00E244F6"/>
    <w:rsid w:val="00E255D7"/>
    <w:rsid w:val="00E258DB"/>
    <w:rsid w:val="00E258F9"/>
    <w:rsid w:val="00E25BA6"/>
    <w:rsid w:val="00E25E13"/>
    <w:rsid w:val="00E25EC4"/>
    <w:rsid w:val="00E25FE6"/>
    <w:rsid w:val="00E26312"/>
    <w:rsid w:val="00E265ED"/>
    <w:rsid w:val="00E26896"/>
    <w:rsid w:val="00E26C08"/>
    <w:rsid w:val="00E26D2C"/>
    <w:rsid w:val="00E26D92"/>
    <w:rsid w:val="00E27369"/>
    <w:rsid w:val="00E27441"/>
    <w:rsid w:val="00E2771E"/>
    <w:rsid w:val="00E27790"/>
    <w:rsid w:val="00E27AC4"/>
    <w:rsid w:val="00E305F4"/>
    <w:rsid w:val="00E30CCE"/>
    <w:rsid w:val="00E311EF"/>
    <w:rsid w:val="00E32163"/>
    <w:rsid w:val="00E32177"/>
    <w:rsid w:val="00E32180"/>
    <w:rsid w:val="00E32264"/>
    <w:rsid w:val="00E32783"/>
    <w:rsid w:val="00E32F8A"/>
    <w:rsid w:val="00E3351B"/>
    <w:rsid w:val="00E33559"/>
    <w:rsid w:val="00E33851"/>
    <w:rsid w:val="00E338CE"/>
    <w:rsid w:val="00E33D17"/>
    <w:rsid w:val="00E33EFF"/>
    <w:rsid w:val="00E348C0"/>
    <w:rsid w:val="00E34948"/>
    <w:rsid w:val="00E3519D"/>
    <w:rsid w:val="00E35A34"/>
    <w:rsid w:val="00E35DC5"/>
    <w:rsid w:val="00E36DCF"/>
    <w:rsid w:val="00E36EC8"/>
    <w:rsid w:val="00E370AB"/>
    <w:rsid w:val="00E37569"/>
    <w:rsid w:val="00E37A8D"/>
    <w:rsid w:val="00E401B2"/>
    <w:rsid w:val="00E40758"/>
    <w:rsid w:val="00E408E3"/>
    <w:rsid w:val="00E40FCC"/>
    <w:rsid w:val="00E41036"/>
    <w:rsid w:val="00E41814"/>
    <w:rsid w:val="00E41C80"/>
    <w:rsid w:val="00E41D64"/>
    <w:rsid w:val="00E41E30"/>
    <w:rsid w:val="00E42191"/>
    <w:rsid w:val="00E4248C"/>
    <w:rsid w:val="00E42798"/>
    <w:rsid w:val="00E42F73"/>
    <w:rsid w:val="00E43C88"/>
    <w:rsid w:val="00E43D70"/>
    <w:rsid w:val="00E44253"/>
    <w:rsid w:val="00E44423"/>
    <w:rsid w:val="00E44666"/>
    <w:rsid w:val="00E4490F"/>
    <w:rsid w:val="00E4567F"/>
    <w:rsid w:val="00E45A52"/>
    <w:rsid w:val="00E45C65"/>
    <w:rsid w:val="00E46178"/>
    <w:rsid w:val="00E466F3"/>
    <w:rsid w:val="00E4680A"/>
    <w:rsid w:val="00E46910"/>
    <w:rsid w:val="00E47347"/>
    <w:rsid w:val="00E47510"/>
    <w:rsid w:val="00E47989"/>
    <w:rsid w:val="00E47ACD"/>
    <w:rsid w:val="00E47B2C"/>
    <w:rsid w:val="00E47F6D"/>
    <w:rsid w:val="00E51560"/>
    <w:rsid w:val="00E516ED"/>
    <w:rsid w:val="00E51720"/>
    <w:rsid w:val="00E51821"/>
    <w:rsid w:val="00E51849"/>
    <w:rsid w:val="00E51C27"/>
    <w:rsid w:val="00E52064"/>
    <w:rsid w:val="00E52613"/>
    <w:rsid w:val="00E5294D"/>
    <w:rsid w:val="00E52C1A"/>
    <w:rsid w:val="00E53FC8"/>
    <w:rsid w:val="00E54347"/>
    <w:rsid w:val="00E543EA"/>
    <w:rsid w:val="00E544F9"/>
    <w:rsid w:val="00E54F7A"/>
    <w:rsid w:val="00E550B5"/>
    <w:rsid w:val="00E55424"/>
    <w:rsid w:val="00E55915"/>
    <w:rsid w:val="00E55AC8"/>
    <w:rsid w:val="00E55B10"/>
    <w:rsid w:val="00E55BB5"/>
    <w:rsid w:val="00E55D0A"/>
    <w:rsid w:val="00E55F42"/>
    <w:rsid w:val="00E55FF8"/>
    <w:rsid w:val="00E56865"/>
    <w:rsid w:val="00E568D9"/>
    <w:rsid w:val="00E56D6B"/>
    <w:rsid w:val="00E56EB5"/>
    <w:rsid w:val="00E574DD"/>
    <w:rsid w:val="00E611DF"/>
    <w:rsid w:val="00E614C1"/>
    <w:rsid w:val="00E61CDB"/>
    <w:rsid w:val="00E61DEE"/>
    <w:rsid w:val="00E62107"/>
    <w:rsid w:val="00E621A4"/>
    <w:rsid w:val="00E6222B"/>
    <w:rsid w:val="00E62265"/>
    <w:rsid w:val="00E62385"/>
    <w:rsid w:val="00E62902"/>
    <w:rsid w:val="00E63F5F"/>
    <w:rsid w:val="00E647C2"/>
    <w:rsid w:val="00E6487D"/>
    <w:rsid w:val="00E64954"/>
    <w:rsid w:val="00E64C5E"/>
    <w:rsid w:val="00E64ED3"/>
    <w:rsid w:val="00E65493"/>
    <w:rsid w:val="00E65729"/>
    <w:rsid w:val="00E6572A"/>
    <w:rsid w:val="00E65A2E"/>
    <w:rsid w:val="00E65E79"/>
    <w:rsid w:val="00E669A1"/>
    <w:rsid w:val="00E66BA2"/>
    <w:rsid w:val="00E672B6"/>
    <w:rsid w:val="00E67416"/>
    <w:rsid w:val="00E67516"/>
    <w:rsid w:val="00E6756C"/>
    <w:rsid w:val="00E67C47"/>
    <w:rsid w:val="00E67F60"/>
    <w:rsid w:val="00E718B6"/>
    <w:rsid w:val="00E71BD5"/>
    <w:rsid w:val="00E723BA"/>
    <w:rsid w:val="00E7245A"/>
    <w:rsid w:val="00E73581"/>
    <w:rsid w:val="00E746B0"/>
    <w:rsid w:val="00E74D21"/>
    <w:rsid w:val="00E74DE9"/>
    <w:rsid w:val="00E7506D"/>
    <w:rsid w:val="00E75CB6"/>
    <w:rsid w:val="00E760E6"/>
    <w:rsid w:val="00E7648C"/>
    <w:rsid w:val="00E7664A"/>
    <w:rsid w:val="00E768E0"/>
    <w:rsid w:val="00E76B92"/>
    <w:rsid w:val="00E76CCA"/>
    <w:rsid w:val="00E76DAF"/>
    <w:rsid w:val="00E7712B"/>
    <w:rsid w:val="00E773E4"/>
    <w:rsid w:val="00E778A5"/>
    <w:rsid w:val="00E7793D"/>
    <w:rsid w:val="00E77F2E"/>
    <w:rsid w:val="00E80706"/>
    <w:rsid w:val="00E8112C"/>
    <w:rsid w:val="00E81952"/>
    <w:rsid w:val="00E81D74"/>
    <w:rsid w:val="00E81DBB"/>
    <w:rsid w:val="00E81F11"/>
    <w:rsid w:val="00E82AAF"/>
    <w:rsid w:val="00E8334E"/>
    <w:rsid w:val="00E833F7"/>
    <w:rsid w:val="00E83BDF"/>
    <w:rsid w:val="00E845D0"/>
    <w:rsid w:val="00E847F2"/>
    <w:rsid w:val="00E851CB"/>
    <w:rsid w:val="00E853B2"/>
    <w:rsid w:val="00E85544"/>
    <w:rsid w:val="00E85F9D"/>
    <w:rsid w:val="00E860FA"/>
    <w:rsid w:val="00E8635B"/>
    <w:rsid w:val="00E86FCC"/>
    <w:rsid w:val="00E874D0"/>
    <w:rsid w:val="00E87A1D"/>
    <w:rsid w:val="00E87A86"/>
    <w:rsid w:val="00E907C9"/>
    <w:rsid w:val="00E9094A"/>
    <w:rsid w:val="00E90A70"/>
    <w:rsid w:val="00E90FFE"/>
    <w:rsid w:val="00E91542"/>
    <w:rsid w:val="00E91D35"/>
    <w:rsid w:val="00E9232F"/>
    <w:rsid w:val="00E926A5"/>
    <w:rsid w:val="00E9275F"/>
    <w:rsid w:val="00E928AC"/>
    <w:rsid w:val="00E92CEB"/>
    <w:rsid w:val="00E935E6"/>
    <w:rsid w:val="00E93865"/>
    <w:rsid w:val="00E93CC2"/>
    <w:rsid w:val="00E93D92"/>
    <w:rsid w:val="00E93DBB"/>
    <w:rsid w:val="00E93DCC"/>
    <w:rsid w:val="00E93F7D"/>
    <w:rsid w:val="00E94CBB"/>
    <w:rsid w:val="00E94CFB"/>
    <w:rsid w:val="00E95432"/>
    <w:rsid w:val="00E956C9"/>
    <w:rsid w:val="00E95B3D"/>
    <w:rsid w:val="00E962CC"/>
    <w:rsid w:val="00E96ACD"/>
    <w:rsid w:val="00E96B46"/>
    <w:rsid w:val="00E96D4D"/>
    <w:rsid w:val="00E96DA1"/>
    <w:rsid w:val="00E96F24"/>
    <w:rsid w:val="00E97156"/>
    <w:rsid w:val="00E97305"/>
    <w:rsid w:val="00EA0A4A"/>
    <w:rsid w:val="00EA0B62"/>
    <w:rsid w:val="00EA0BD2"/>
    <w:rsid w:val="00EA0EC1"/>
    <w:rsid w:val="00EA1116"/>
    <w:rsid w:val="00EA17C3"/>
    <w:rsid w:val="00EA1D21"/>
    <w:rsid w:val="00EA2893"/>
    <w:rsid w:val="00EA2CAA"/>
    <w:rsid w:val="00EA2CED"/>
    <w:rsid w:val="00EA2FE4"/>
    <w:rsid w:val="00EA3864"/>
    <w:rsid w:val="00EA3E76"/>
    <w:rsid w:val="00EA3FBC"/>
    <w:rsid w:val="00EA41BC"/>
    <w:rsid w:val="00EA4224"/>
    <w:rsid w:val="00EA53FB"/>
    <w:rsid w:val="00EA58C0"/>
    <w:rsid w:val="00EA5DB5"/>
    <w:rsid w:val="00EA5DE0"/>
    <w:rsid w:val="00EA5DEF"/>
    <w:rsid w:val="00EA6320"/>
    <w:rsid w:val="00EA714F"/>
    <w:rsid w:val="00EA73A3"/>
    <w:rsid w:val="00EA7405"/>
    <w:rsid w:val="00EA76D5"/>
    <w:rsid w:val="00EA7891"/>
    <w:rsid w:val="00EA79F1"/>
    <w:rsid w:val="00EA7CD4"/>
    <w:rsid w:val="00EA7F1C"/>
    <w:rsid w:val="00EB086C"/>
    <w:rsid w:val="00EB151A"/>
    <w:rsid w:val="00EB15B6"/>
    <w:rsid w:val="00EB1B12"/>
    <w:rsid w:val="00EB1BAD"/>
    <w:rsid w:val="00EB203E"/>
    <w:rsid w:val="00EB27A9"/>
    <w:rsid w:val="00EB2C43"/>
    <w:rsid w:val="00EB2F66"/>
    <w:rsid w:val="00EB32BF"/>
    <w:rsid w:val="00EB3AE2"/>
    <w:rsid w:val="00EB3B0B"/>
    <w:rsid w:val="00EB3CA5"/>
    <w:rsid w:val="00EB3D06"/>
    <w:rsid w:val="00EB4916"/>
    <w:rsid w:val="00EB4AD0"/>
    <w:rsid w:val="00EB507F"/>
    <w:rsid w:val="00EB5246"/>
    <w:rsid w:val="00EB54A4"/>
    <w:rsid w:val="00EB5CE5"/>
    <w:rsid w:val="00EB5D6D"/>
    <w:rsid w:val="00EB606C"/>
    <w:rsid w:val="00EB629B"/>
    <w:rsid w:val="00EB64ED"/>
    <w:rsid w:val="00EB652C"/>
    <w:rsid w:val="00EB6A5B"/>
    <w:rsid w:val="00EB6D96"/>
    <w:rsid w:val="00EB6FA6"/>
    <w:rsid w:val="00EB799E"/>
    <w:rsid w:val="00EB7BC5"/>
    <w:rsid w:val="00EB7E49"/>
    <w:rsid w:val="00EC00C9"/>
    <w:rsid w:val="00EC01D2"/>
    <w:rsid w:val="00EC041E"/>
    <w:rsid w:val="00EC0549"/>
    <w:rsid w:val="00EC08EA"/>
    <w:rsid w:val="00EC0BF3"/>
    <w:rsid w:val="00EC0C8A"/>
    <w:rsid w:val="00EC0DD9"/>
    <w:rsid w:val="00EC0F60"/>
    <w:rsid w:val="00EC1255"/>
    <w:rsid w:val="00EC16CC"/>
    <w:rsid w:val="00EC2028"/>
    <w:rsid w:val="00EC2108"/>
    <w:rsid w:val="00EC210D"/>
    <w:rsid w:val="00EC2649"/>
    <w:rsid w:val="00EC26F5"/>
    <w:rsid w:val="00EC288B"/>
    <w:rsid w:val="00EC28FB"/>
    <w:rsid w:val="00EC2B0C"/>
    <w:rsid w:val="00EC2FF0"/>
    <w:rsid w:val="00EC31ED"/>
    <w:rsid w:val="00EC3269"/>
    <w:rsid w:val="00EC3371"/>
    <w:rsid w:val="00EC41EC"/>
    <w:rsid w:val="00EC4537"/>
    <w:rsid w:val="00EC4CB5"/>
    <w:rsid w:val="00EC5836"/>
    <w:rsid w:val="00EC5977"/>
    <w:rsid w:val="00EC5BDE"/>
    <w:rsid w:val="00EC6167"/>
    <w:rsid w:val="00EC6535"/>
    <w:rsid w:val="00EC688C"/>
    <w:rsid w:val="00EC69CC"/>
    <w:rsid w:val="00EC6EEC"/>
    <w:rsid w:val="00EC6FF5"/>
    <w:rsid w:val="00EC722E"/>
    <w:rsid w:val="00EC775D"/>
    <w:rsid w:val="00EC797C"/>
    <w:rsid w:val="00EC7C1D"/>
    <w:rsid w:val="00EC7E29"/>
    <w:rsid w:val="00ED0029"/>
    <w:rsid w:val="00ED07B6"/>
    <w:rsid w:val="00ED08B4"/>
    <w:rsid w:val="00ED08C1"/>
    <w:rsid w:val="00ED0C5A"/>
    <w:rsid w:val="00ED0CBB"/>
    <w:rsid w:val="00ED0F79"/>
    <w:rsid w:val="00ED12E3"/>
    <w:rsid w:val="00ED15C8"/>
    <w:rsid w:val="00ED171B"/>
    <w:rsid w:val="00ED1EAD"/>
    <w:rsid w:val="00ED21B0"/>
    <w:rsid w:val="00ED2963"/>
    <w:rsid w:val="00ED2A7C"/>
    <w:rsid w:val="00ED2AA1"/>
    <w:rsid w:val="00ED2B1F"/>
    <w:rsid w:val="00ED2C54"/>
    <w:rsid w:val="00ED43ED"/>
    <w:rsid w:val="00ED4AD1"/>
    <w:rsid w:val="00ED4B04"/>
    <w:rsid w:val="00ED4D27"/>
    <w:rsid w:val="00ED5436"/>
    <w:rsid w:val="00ED54F9"/>
    <w:rsid w:val="00ED57EA"/>
    <w:rsid w:val="00ED5BD4"/>
    <w:rsid w:val="00ED6195"/>
    <w:rsid w:val="00ED6800"/>
    <w:rsid w:val="00ED6EA8"/>
    <w:rsid w:val="00ED7003"/>
    <w:rsid w:val="00ED75B9"/>
    <w:rsid w:val="00ED793D"/>
    <w:rsid w:val="00ED7C09"/>
    <w:rsid w:val="00ED7F21"/>
    <w:rsid w:val="00ED7F30"/>
    <w:rsid w:val="00EE07D3"/>
    <w:rsid w:val="00EE1286"/>
    <w:rsid w:val="00EE1820"/>
    <w:rsid w:val="00EE1996"/>
    <w:rsid w:val="00EE1BEA"/>
    <w:rsid w:val="00EE1C01"/>
    <w:rsid w:val="00EE1D4B"/>
    <w:rsid w:val="00EE1E2E"/>
    <w:rsid w:val="00EE2297"/>
    <w:rsid w:val="00EE22AF"/>
    <w:rsid w:val="00EE2ADB"/>
    <w:rsid w:val="00EE3326"/>
    <w:rsid w:val="00EE3663"/>
    <w:rsid w:val="00EE3788"/>
    <w:rsid w:val="00EE3872"/>
    <w:rsid w:val="00EE3A29"/>
    <w:rsid w:val="00EE3A9E"/>
    <w:rsid w:val="00EE432F"/>
    <w:rsid w:val="00EE4493"/>
    <w:rsid w:val="00EE4513"/>
    <w:rsid w:val="00EE4783"/>
    <w:rsid w:val="00EE47A0"/>
    <w:rsid w:val="00EE501F"/>
    <w:rsid w:val="00EE52E7"/>
    <w:rsid w:val="00EE5840"/>
    <w:rsid w:val="00EE5B43"/>
    <w:rsid w:val="00EE5D09"/>
    <w:rsid w:val="00EE5E1B"/>
    <w:rsid w:val="00EE5FC7"/>
    <w:rsid w:val="00EE64F2"/>
    <w:rsid w:val="00EE6F9C"/>
    <w:rsid w:val="00EE6FB8"/>
    <w:rsid w:val="00EE7015"/>
    <w:rsid w:val="00EE737E"/>
    <w:rsid w:val="00EE77DC"/>
    <w:rsid w:val="00EF0171"/>
    <w:rsid w:val="00EF1423"/>
    <w:rsid w:val="00EF1818"/>
    <w:rsid w:val="00EF1B25"/>
    <w:rsid w:val="00EF1B63"/>
    <w:rsid w:val="00EF1DA0"/>
    <w:rsid w:val="00EF1FE3"/>
    <w:rsid w:val="00EF2BC9"/>
    <w:rsid w:val="00EF32B3"/>
    <w:rsid w:val="00EF334A"/>
    <w:rsid w:val="00EF364A"/>
    <w:rsid w:val="00EF4230"/>
    <w:rsid w:val="00EF4237"/>
    <w:rsid w:val="00EF4704"/>
    <w:rsid w:val="00EF4747"/>
    <w:rsid w:val="00EF47A5"/>
    <w:rsid w:val="00EF4864"/>
    <w:rsid w:val="00EF4BF8"/>
    <w:rsid w:val="00EF5FFA"/>
    <w:rsid w:val="00EF68D7"/>
    <w:rsid w:val="00EF6B1C"/>
    <w:rsid w:val="00EF6CF7"/>
    <w:rsid w:val="00EF795A"/>
    <w:rsid w:val="00F00158"/>
    <w:rsid w:val="00F00A24"/>
    <w:rsid w:val="00F01CB8"/>
    <w:rsid w:val="00F02253"/>
    <w:rsid w:val="00F02477"/>
    <w:rsid w:val="00F03005"/>
    <w:rsid w:val="00F03C2E"/>
    <w:rsid w:val="00F03E00"/>
    <w:rsid w:val="00F03E4D"/>
    <w:rsid w:val="00F040F1"/>
    <w:rsid w:val="00F046F2"/>
    <w:rsid w:val="00F04A66"/>
    <w:rsid w:val="00F04B4B"/>
    <w:rsid w:val="00F0516C"/>
    <w:rsid w:val="00F051C4"/>
    <w:rsid w:val="00F057F7"/>
    <w:rsid w:val="00F0597E"/>
    <w:rsid w:val="00F059BB"/>
    <w:rsid w:val="00F05B7C"/>
    <w:rsid w:val="00F05D7C"/>
    <w:rsid w:val="00F060A2"/>
    <w:rsid w:val="00F064D2"/>
    <w:rsid w:val="00F065F9"/>
    <w:rsid w:val="00F067A2"/>
    <w:rsid w:val="00F06FC1"/>
    <w:rsid w:val="00F070F7"/>
    <w:rsid w:val="00F0735C"/>
    <w:rsid w:val="00F077FF"/>
    <w:rsid w:val="00F07B9E"/>
    <w:rsid w:val="00F07BE8"/>
    <w:rsid w:val="00F1098F"/>
    <w:rsid w:val="00F1116F"/>
    <w:rsid w:val="00F12369"/>
    <w:rsid w:val="00F1263A"/>
    <w:rsid w:val="00F126B5"/>
    <w:rsid w:val="00F12D08"/>
    <w:rsid w:val="00F12DA6"/>
    <w:rsid w:val="00F132E2"/>
    <w:rsid w:val="00F13428"/>
    <w:rsid w:val="00F135E6"/>
    <w:rsid w:val="00F139C5"/>
    <w:rsid w:val="00F13E7B"/>
    <w:rsid w:val="00F149DF"/>
    <w:rsid w:val="00F14E64"/>
    <w:rsid w:val="00F157E6"/>
    <w:rsid w:val="00F15909"/>
    <w:rsid w:val="00F15937"/>
    <w:rsid w:val="00F15A0D"/>
    <w:rsid w:val="00F15A3E"/>
    <w:rsid w:val="00F15B31"/>
    <w:rsid w:val="00F15B77"/>
    <w:rsid w:val="00F15CC0"/>
    <w:rsid w:val="00F15E3C"/>
    <w:rsid w:val="00F16E4B"/>
    <w:rsid w:val="00F174F2"/>
    <w:rsid w:val="00F17857"/>
    <w:rsid w:val="00F17C28"/>
    <w:rsid w:val="00F17CAC"/>
    <w:rsid w:val="00F208BE"/>
    <w:rsid w:val="00F20C65"/>
    <w:rsid w:val="00F21236"/>
    <w:rsid w:val="00F21502"/>
    <w:rsid w:val="00F21901"/>
    <w:rsid w:val="00F21CE5"/>
    <w:rsid w:val="00F21E0C"/>
    <w:rsid w:val="00F21F57"/>
    <w:rsid w:val="00F223A7"/>
    <w:rsid w:val="00F22BB0"/>
    <w:rsid w:val="00F2339B"/>
    <w:rsid w:val="00F234B2"/>
    <w:rsid w:val="00F239DF"/>
    <w:rsid w:val="00F239F3"/>
    <w:rsid w:val="00F23B19"/>
    <w:rsid w:val="00F24000"/>
    <w:rsid w:val="00F24106"/>
    <w:rsid w:val="00F2411E"/>
    <w:rsid w:val="00F243A0"/>
    <w:rsid w:val="00F2481B"/>
    <w:rsid w:val="00F24837"/>
    <w:rsid w:val="00F25287"/>
    <w:rsid w:val="00F255D2"/>
    <w:rsid w:val="00F2575F"/>
    <w:rsid w:val="00F259DC"/>
    <w:rsid w:val="00F25B14"/>
    <w:rsid w:val="00F25D9B"/>
    <w:rsid w:val="00F25E78"/>
    <w:rsid w:val="00F25EC0"/>
    <w:rsid w:val="00F26730"/>
    <w:rsid w:val="00F26C86"/>
    <w:rsid w:val="00F26DB9"/>
    <w:rsid w:val="00F27565"/>
    <w:rsid w:val="00F27694"/>
    <w:rsid w:val="00F27A5E"/>
    <w:rsid w:val="00F27DC6"/>
    <w:rsid w:val="00F305A6"/>
    <w:rsid w:val="00F310D4"/>
    <w:rsid w:val="00F31B9A"/>
    <w:rsid w:val="00F31D5A"/>
    <w:rsid w:val="00F31DF9"/>
    <w:rsid w:val="00F31FBE"/>
    <w:rsid w:val="00F3208C"/>
    <w:rsid w:val="00F3222C"/>
    <w:rsid w:val="00F330E6"/>
    <w:rsid w:val="00F334E9"/>
    <w:rsid w:val="00F336FE"/>
    <w:rsid w:val="00F3384D"/>
    <w:rsid w:val="00F338FE"/>
    <w:rsid w:val="00F33975"/>
    <w:rsid w:val="00F33AB8"/>
    <w:rsid w:val="00F33BC0"/>
    <w:rsid w:val="00F33C39"/>
    <w:rsid w:val="00F33DE9"/>
    <w:rsid w:val="00F35074"/>
    <w:rsid w:val="00F35861"/>
    <w:rsid w:val="00F35ABB"/>
    <w:rsid w:val="00F35E6D"/>
    <w:rsid w:val="00F3619A"/>
    <w:rsid w:val="00F362B7"/>
    <w:rsid w:val="00F362B8"/>
    <w:rsid w:val="00F367C7"/>
    <w:rsid w:val="00F37844"/>
    <w:rsid w:val="00F40AAA"/>
    <w:rsid w:val="00F40BA7"/>
    <w:rsid w:val="00F40D3A"/>
    <w:rsid w:val="00F40F9D"/>
    <w:rsid w:val="00F41314"/>
    <w:rsid w:val="00F41359"/>
    <w:rsid w:val="00F41399"/>
    <w:rsid w:val="00F41AC8"/>
    <w:rsid w:val="00F41ACD"/>
    <w:rsid w:val="00F41DFC"/>
    <w:rsid w:val="00F42469"/>
    <w:rsid w:val="00F4267A"/>
    <w:rsid w:val="00F4298D"/>
    <w:rsid w:val="00F42A19"/>
    <w:rsid w:val="00F438DA"/>
    <w:rsid w:val="00F4395C"/>
    <w:rsid w:val="00F43BC3"/>
    <w:rsid w:val="00F43D9A"/>
    <w:rsid w:val="00F444DD"/>
    <w:rsid w:val="00F44998"/>
    <w:rsid w:val="00F44FAE"/>
    <w:rsid w:val="00F4510E"/>
    <w:rsid w:val="00F45255"/>
    <w:rsid w:val="00F454E0"/>
    <w:rsid w:val="00F45837"/>
    <w:rsid w:val="00F458AC"/>
    <w:rsid w:val="00F459A5"/>
    <w:rsid w:val="00F45DE9"/>
    <w:rsid w:val="00F466E7"/>
    <w:rsid w:val="00F46A64"/>
    <w:rsid w:val="00F46CB6"/>
    <w:rsid w:val="00F4756D"/>
    <w:rsid w:val="00F47B31"/>
    <w:rsid w:val="00F47DE8"/>
    <w:rsid w:val="00F47E2B"/>
    <w:rsid w:val="00F47F26"/>
    <w:rsid w:val="00F5157E"/>
    <w:rsid w:val="00F51759"/>
    <w:rsid w:val="00F51934"/>
    <w:rsid w:val="00F51C5E"/>
    <w:rsid w:val="00F51CFA"/>
    <w:rsid w:val="00F524CE"/>
    <w:rsid w:val="00F52A57"/>
    <w:rsid w:val="00F52C8E"/>
    <w:rsid w:val="00F53244"/>
    <w:rsid w:val="00F5338D"/>
    <w:rsid w:val="00F535B7"/>
    <w:rsid w:val="00F539EF"/>
    <w:rsid w:val="00F53A81"/>
    <w:rsid w:val="00F542C1"/>
    <w:rsid w:val="00F54D63"/>
    <w:rsid w:val="00F54F83"/>
    <w:rsid w:val="00F550E3"/>
    <w:rsid w:val="00F55236"/>
    <w:rsid w:val="00F5538E"/>
    <w:rsid w:val="00F5573C"/>
    <w:rsid w:val="00F5592D"/>
    <w:rsid w:val="00F55AEF"/>
    <w:rsid w:val="00F55E73"/>
    <w:rsid w:val="00F55EDA"/>
    <w:rsid w:val="00F5620B"/>
    <w:rsid w:val="00F5649A"/>
    <w:rsid w:val="00F56858"/>
    <w:rsid w:val="00F56C80"/>
    <w:rsid w:val="00F57100"/>
    <w:rsid w:val="00F57765"/>
    <w:rsid w:val="00F5788F"/>
    <w:rsid w:val="00F57D29"/>
    <w:rsid w:val="00F57E92"/>
    <w:rsid w:val="00F60092"/>
    <w:rsid w:val="00F603EC"/>
    <w:rsid w:val="00F60532"/>
    <w:rsid w:val="00F6121C"/>
    <w:rsid w:val="00F61490"/>
    <w:rsid w:val="00F6152B"/>
    <w:rsid w:val="00F61A80"/>
    <w:rsid w:val="00F61C18"/>
    <w:rsid w:val="00F6222D"/>
    <w:rsid w:val="00F62488"/>
    <w:rsid w:val="00F6249C"/>
    <w:rsid w:val="00F62AB5"/>
    <w:rsid w:val="00F62CB8"/>
    <w:rsid w:val="00F62D9A"/>
    <w:rsid w:val="00F62E89"/>
    <w:rsid w:val="00F637C9"/>
    <w:rsid w:val="00F63AFE"/>
    <w:rsid w:val="00F64172"/>
    <w:rsid w:val="00F6441D"/>
    <w:rsid w:val="00F6477D"/>
    <w:rsid w:val="00F649B4"/>
    <w:rsid w:val="00F64A9F"/>
    <w:rsid w:val="00F65230"/>
    <w:rsid w:val="00F658E4"/>
    <w:rsid w:val="00F65F4B"/>
    <w:rsid w:val="00F65FF7"/>
    <w:rsid w:val="00F66E12"/>
    <w:rsid w:val="00F66F51"/>
    <w:rsid w:val="00F6704B"/>
    <w:rsid w:val="00F67320"/>
    <w:rsid w:val="00F67418"/>
    <w:rsid w:val="00F67908"/>
    <w:rsid w:val="00F67A49"/>
    <w:rsid w:val="00F67A69"/>
    <w:rsid w:val="00F67B7A"/>
    <w:rsid w:val="00F7027E"/>
    <w:rsid w:val="00F705A6"/>
    <w:rsid w:val="00F70B2D"/>
    <w:rsid w:val="00F70B79"/>
    <w:rsid w:val="00F70BFF"/>
    <w:rsid w:val="00F70C9D"/>
    <w:rsid w:val="00F7111A"/>
    <w:rsid w:val="00F71724"/>
    <w:rsid w:val="00F71A4D"/>
    <w:rsid w:val="00F71B9F"/>
    <w:rsid w:val="00F7292E"/>
    <w:rsid w:val="00F7373B"/>
    <w:rsid w:val="00F73E08"/>
    <w:rsid w:val="00F73E5C"/>
    <w:rsid w:val="00F74192"/>
    <w:rsid w:val="00F74757"/>
    <w:rsid w:val="00F74CD9"/>
    <w:rsid w:val="00F74DB2"/>
    <w:rsid w:val="00F74E3F"/>
    <w:rsid w:val="00F74FF6"/>
    <w:rsid w:val="00F751F5"/>
    <w:rsid w:val="00F7538C"/>
    <w:rsid w:val="00F75690"/>
    <w:rsid w:val="00F75B6A"/>
    <w:rsid w:val="00F771F0"/>
    <w:rsid w:val="00F77D21"/>
    <w:rsid w:val="00F8031E"/>
    <w:rsid w:val="00F8093C"/>
    <w:rsid w:val="00F80A7B"/>
    <w:rsid w:val="00F80E5D"/>
    <w:rsid w:val="00F811B5"/>
    <w:rsid w:val="00F81E78"/>
    <w:rsid w:val="00F82487"/>
    <w:rsid w:val="00F82498"/>
    <w:rsid w:val="00F8365F"/>
    <w:rsid w:val="00F83916"/>
    <w:rsid w:val="00F83983"/>
    <w:rsid w:val="00F83F42"/>
    <w:rsid w:val="00F84A02"/>
    <w:rsid w:val="00F84DE8"/>
    <w:rsid w:val="00F851CE"/>
    <w:rsid w:val="00F85AE0"/>
    <w:rsid w:val="00F8734A"/>
    <w:rsid w:val="00F8742A"/>
    <w:rsid w:val="00F8750E"/>
    <w:rsid w:val="00F8794C"/>
    <w:rsid w:val="00F87ADE"/>
    <w:rsid w:val="00F87CB6"/>
    <w:rsid w:val="00F87D4E"/>
    <w:rsid w:val="00F87FBF"/>
    <w:rsid w:val="00F901D8"/>
    <w:rsid w:val="00F905C6"/>
    <w:rsid w:val="00F9099B"/>
    <w:rsid w:val="00F90A0E"/>
    <w:rsid w:val="00F90B05"/>
    <w:rsid w:val="00F90FDB"/>
    <w:rsid w:val="00F91219"/>
    <w:rsid w:val="00F91300"/>
    <w:rsid w:val="00F91349"/>
    <w:rsid w:val="00F9145E"/>
    <w:rsid w:val="00F915F8"/>
    <w:rsid w:val="00F91C70"/>
    <w:rsid w:val="00F91ED1"/>
    <w:rsid w:val="00F92240"/>
    <w:rsid w:val="00F92444"/>
    <w:rsid w:val="00F92898"/>
    <w:rsid w:val="00F92C54"/>
    <w:rsid w:val="00F92DBA"/>
    <w:rsid w:val="00F92E28"/>
    <w:rsid w:val="00F931E8"/>
    <w:rsid w:val="00F93572"/>
    <w:rsid w:val="00F935C4"/>
    <w:rsid w:val="00F93794"/>
    <w:rsid w:val="00F93877"/>
    <w:rsid w:val="00F9393E"/>
    <w:rsid w:val="00F93E5B"/>
    <w:rsid w:val="00F94220"/>
    <w:rsid w:val="00F942E9"/>
    <w:rsid w:val="00F94816"/>
    <w:rsid w:val="00F9492A"/>
    <w:rsid w:val="00F94986"/>
    <w:rsid w:val="00F94B86"/>
    <w:rsid w:val="00F95902"/>
    <w:rsid w:val="00F9605A"/>
    <w:rsid w:val="00F9613E"/>
    <w:rsid w:val="00F961E6"/>
    <w:rsid w:val="00F962E0"/>
    <w:rsid w:val="00F962E2"/>
    <w:rsid w:val="00F96364"/>
    <w:rsid w:val="00F967FD"/>
    <w:rsid w:val="00F96C6A"/>
    <w:rsid w:val="00F96FD0"/>
    <w:rsid w:val="00F97082"/>
    <w:rsid w:val="00F9750D"/>
    <w:rsid w:val="00F976C5"/>
    <w:rsid w:val="00F978ED"/>
    <w:rsid w:val="00F97A78"/>
    <w:rsid w:val="00FA05D2"/>
    <w:rsid w:val="00FA073C"/>
    <w:rsid w:val="00FA0B20"/>
    <w:rsid w:val="00FA0D1D"/>
    <w:rsid w:val="00FA143A"/>
    <w:rsid w:val="00FA162E"/>
    <w:rsid w:val="00FA17C0"/>
    <w:rsid w:val="00FA17C8"/>
    <w:rsid w:val="00FA1BC3"/>
    <w:rsid w:val="00FA1DE9"/>
    <w:rsid w:val="00FA24E7"/>
    <w:rsid w:val="00FA284B"/>
    <w:rsid w:val="00FA2946"/>
    <w:rsid w:val="00FA296A"/>
    <w:rsid w:val="00FA2CD2"/>
    <w:rsid w:val="00FA2D33"/>
    <w:rsid w:val="00FA2FA8"/>
    <w:rsid w:val="00FA302B"/>
    <w:rsid w:val="00FA3197"/>
    <w:rsid w:val="00FA337D"/>
    <w:rsid w:val="00FA3422"/>
    <w:rsid w:val="00FA3901"/>
    <w:rsid w:val="00FA3C15"/>
    <w:rsid w:val="00FA41BF"/>
    <w:rsid w:val="00FA44DE"/>
    <w:rsid w:val="00FA5215"/>
    <w:rsid w:val="00FA592B"/>
    <w:rsid w:val="00FA5EE6"/>
    <w:rsid w:val="00FA6100"/>
    <w:rsid w:val="00FA68EE"/>
    <w:rsid w:val="00FA724E"/>
    <w:rsid w:val="00FA7947"/>
    <w:rsid w:val="00FA7956"/>
    <w:rsid w:val="00FB0540"/>
    <w:rsid w:val="00FB0824"/>
    <w:rsid w:val="00FB09CA"/>
    <w:rsid w:val="00FB09CC"/>
    <w:rsid w:val="00FB1660"/>
    <w:rsid w:val="00FB1B64"/>
    <w:rsid w:val="00FB2669"/>
    <w:rsid w:val="00FB27EE"/>
    <w:rsid w:val="00FB2F89"/>
    <w:rsid w:val="00FB2FCB"/>
    <w:rsid w:val="00FB357B"/>
    <w:rsid w:val="00FB3D92"/>
    <w:rsid w:val="00FB412F"/>
    <w:rsid w:val="00FB438A"/>
    <w:rsid w:val="00FB44B9"/>
    <w:rsid w:val="00FB47A9"/>
    <w:rsid w:val="00FB4AB7"/>
    <w:rsid w:val="00FB4C3F"/>
    <w:rsid w:val="00FB4C9C"/>
    <w:rsid w:val="00FB4C9F"/>
    <w:rsid w:val="00FB4FCC"/>
    <w:rsid w:val="00FB55C5"/>
    <w:rsid w:val="00FB589E"/>
    <w:rsid w:val="00FB5F79"/>
    <w:rsid w:val="00FB6239"/>
    <w:rsid w:val="00FB6AA3"/>
    <w:rsid w:val="00FB6CF5"/>
    <w:rsid w:val="00FB6E99"/>
    <w:rsid w:val="00FB790B"/>
    <w:rsid w:val="00FB7C55"/>
    <w:rsid w:val="00FB7CFC"/>
    <w:rsid w:val="00FC0428"/>
    <w:rsid w:val="00FC069D"/>
    <w:rsid w:val="00FC077A"/>
    <w:rsid w:val="00FC0EBC"/>
    <w:rsid w:val="00FC1074"/>
    <w:rsid w:val="00FC1884"/>
    <w:rsid w:val="00FC1D76"/>
    <w:rsid w:val="00FC2D8B"/>
    <w:rsid w:val="00FC2E27"/>
    <w:rsid w:val="00FC371D"/>
    <w:rsid w:val="00FC48A5"/>
    <w:rsid w:val="00FC49E3"/>
    <w:rsid w:val="00FC4C2F"/>
    <w:rsid w:val="00FC4F12"/>
    <w:rsid w:val="00FC4FA1"/>
    <w:rsid w:val="00FC521E"/>
    <w:rsid w:val="00FC588B"/>
    <w:rsid w:val="00FC5C9B"/>
    <w:rsid w:val="00FC5F0B"/>
    <w:rsid w:val="00FC62A6"/>
    <w:rsid w:val="00FC643A"/>
    <w:rsid w:val="00FC6448"/>
    <w:rsid w:val="00FC69D0"/>
    <w:rsid w:val="00FC6A6B"/>
    <w:rsid w:val="00FC74D3"/>
    <w:rsid w:val="00FC79E2"/>
    <w:rsid w:val="00FC7ABC"/>
    <w:rsid w:val="00FD040A"/>
    <w:rsid w:val="00FD0BDD"/>
    <w:rsid w:val="00FD125D"/>
    <w:rsid w:val="00FD15E1"/>
    <w:rsid w:val="00FD1AC5"/>
    <w:rsid w:val="00FD2100"/>
    <w:rsid w:val="00FD2242"/>
    <w:rsid w:val="00FD2CCD"/>
    <w:rsid w:val="00FD310C"/>
    <w:rsid w:val="00FD356F"/>
    <w:rsid w:val="00FD36A1"/>
    <w:rsid w:val="00FD3EDD"/>
    <w:rsid w:val="00FD42B4"/>
    <w:rsid w:val="00FD436C"/>
    <w:rsid w:val="00FD446D"/>
    <w:rsid w:val="00FD4C13"/>
    <w:rsid w:val="00FD4F2C"/>
    <w:rsid w:val="00FD5481"/>
    <w:rsid w:val="00FD56F7"/>
    <w:rsid w:val="00FD5856"/>
    <w:rsid w:val="00FD5ECF"/>
    <w:rsid w:val="00FD61A1"/>
    <w:rsid w:val="00FD61EE"/>
    <w:rsid w:val="00FD6394"/>
    <w:rsid w:val="00FD6960"/>
    <w:rsid w:val="00FD773C"/>
    <w:rsid w:val="00FD7F03"/>
    <w:rsid w:val="00FD7F57"/>
    <w:rsid w:val="00FE0619"/>
    <w:rsid w:val="00FE0E6C"/>
    <w:rsid w:val="00FE112F"/>
    <w:rsid w:val="00FE1345"/>
    <w:rsid w:val="00FE16F7"/>
    <w:rsid w:val="00FE1CDC"/>
    <w:rsid w:val="00FE2006"/>
    <w:rsid w:val="00FE246F"/>
    <w:rsid w:val="00FE31F0"/>
    <w:rsid w:val="00FE38D9"/>
    <w:rsid w:val="00FE3BDB"/>
    <w:rsid w:val="00FE3F5D"/>
    <w:rsid w:val="00FE404D"/>
    <w:rsid w:val="00FE4AAA"/>
    <w:rsid w:val="00FE51D1"/>
    <w:rsid w:val="00FE53CD"/>
    <w:rsid w:val="00FE5C67"/>
    <w:rsid w:val="00FE5E25"/>
    <w:rsid w:val="00FE624B"/>
    <w:rsid w:val="00FE6453"/>
    <w:rsid w:val="00FE6688"/>
    <w:rsid w:val="00FE69FA"/>
    <w:rsid w:val="00FE6F52"/>
    <w:rsid w:val="00FE70C3"/>
    <w:rsid w:val="00FF00B5"/>
    <w:rsid w:val="00FF0CBC"/>
    <w:rsid w:val="00FF11D2"/>
    <w:rsid w:val="00FF1300"/>
    <w:rsid w:val="00FF1923"/>
    <w:rsid w:val="00FF1A8B"/>
    <w:rsid w:val="00FF23DB"/>
    <w:rsid w:val="00FF2AD9"/>
    <w:rsid w:val="00FF317F"/>
    <w:rsid w:val="00FF3506"/>
    <w:rsid w:val="00FF359F"/>
    <w:rsid w:val="00FF3DCF"/>
    <w:rsid w:val="00FF3DD6"/>
    <w:rsid w:val="00FF3ECD"/>
    <w:rsid w:val="00FF44AB"/>
    <w:rsid w:val="00FF4916"/>
    <w:rsid w:val="00FF492C"/>
    <w:rsid w:val="00FF4A21"/>
    <w:rsid w:val="00FF4ACB"/>
    <w:rsid w:val="00FF50D9"/>
    <w:rsid w:val="00FF5301"/>
    <w:rsid w:val="00FF5AA3"/>
    <w:rsid w:val="00FF5AD8"/>
    <w:rsid w:val="00FF5F41"/>
    <w:rsid w:val="00FF63CF"/>
    <w:rsid w:val="00FF691C"/>
    <w:rsid w:val="00FF6941"/>
    <w:rsid w:val="00FF6EA1"/>
    <w:rsid w:val="00FF72BE"/>
    <w:rsid w:val="00FF74D5"/>
    <w:rsid w:val="00FF7509"/>
    <w:rsid w:val="00FF7B33"/>
    <w:rsid w:val="00FF7B5B"/>
    <w:rsid w:val="00FF7C65"/>
    <w:rsid w:val="00FF7DCC"/>
    <w:rsid w:val="47E022F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9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3B02"/>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9A6C20"/>
    <w:pPr>
      <w:keepNext/>
      <w:spacing w:after="120"/>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9A6C20"/>
    <w:rPr>
      <w:rFonts w:ascii="Calibri" w:hAnsi="Calibri" w:cs="Arial"/>
      <w:b/>
      <w:i/>
      <w:sz w:val="28"/>
      <w:szCs w:val="24"/>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COMCICsubheading">
    <w:name w:val="COM CIC subheading"/>
    <w:basedOn w:val="Normal"/>
    <w:link w:val="COMCICsubheadingChar"/>
    <w:qFormat/>
    <w:rsid w:val="002C1390"/>
    <w:pPr>
      <w:keepNext/>
      <w:keepLines/>
      <w:spacing w:before="40"/>
      <w:jc w:val="center"/>
      <w:outlineLvl w:val="2"/>
    </w:pPr>
    <w:rPr>
      <w:rFonts w:asciiTheme="minorHAnsi" w:eastAsiaTheme="majorEastAsia" w:hAnsiTheme="minorHAnsi" w:cstheme="majorBidi"/>
      <w:b/>
      <w:color w:val="000000" w:themeColor="text1"/>
    </w:rPr>
  </w:style>
  <w:style w:type="character" w:customStyle="1" w:styleId="COMCICsubheadingChar">
    <w:name w:val="COM CIC subheading Char"/>
    <w:basedOn w:val="DefaultParagraphFont"/>
    <w:link w:val="COMCICsubheading"/>
    <w:rsid w:val="002C1390"/>
    <w:rPr>
      <w:rFonts w:asciiTheme="minorHAnsi" w:eastAsiaTheme="majorEastAsia" w:hAnsiTheme="minorHAnsi" w:cstheme="majorBidi"/>
      <w:b/>
      <w:color w:val="000000" w:themeColor="text1"/>
      <w:sz w:val="24"/>
      <w:szCs w:val="24"/>
    </w:rPr>
  </w:style>
  <w:style w:type="paragraph" w:styleId="Header">
    <w:name w:val="header"/>
    <w:basedOn w:val="Normal"/>
    <w:link w:val="HeaderChar"/>
    <w:rsid w:val="00A51C91"/>
    <w:pPr>
      <w:keepNext/>
      <w:tabs>
        <w:tab w:val="center" w:pos="4513"/>
        <w:tab w:val="right" w:pos="9026"/>
      </w:tabs>
      <w:jc w:val="center"/>
    </w:pPr>
    <w:rPr>
      <w:i/>
      <w:iCs/>
    </w:rPr>
  </w:style>
  <w:style w:type="character" w:customStyle="1" w:styleId="HeaderChar">
    <w:name w:val="Header Char"/>
    <w:basedOn w:val="DefaultParagraphFont"/>
    <w:link w:val="Header"/>
    <w:rsid w:val="00A51C91"/>
    <w:rPr>
      <w:rFonts w:ascii="Calibri" w:hAnsi="Calibri" w:cs="Arial"/>
      <w:i/>
      <w:iCs/>
      <w:sz w:val="24"/>
      <w:szCs w:val="24"/>
    </w:rPr>
  </w:style>
  <w:style w:type="paragraph" w:customStyle="1" w:styleId="PageFooter">
    <w:name w:val="Page Footer"/>
    <w:basedOn w:val="Normal"/>
    <w:link w:val="PageFooterChar"/>
    <w:rsid w:val="00AB5410"/>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AB5410"/>
    <w:rPr>
      <w:rFonts w:ascii="Calibri" w:hAnsi="Calibri" w:cs="Arial"/>
      <w:b/>
      <w:sz w:val="24"/>
      <w:szCs w:val="24"/>
    </w:rPr>
  </w:style>
  <w:style w:type="character" w:styleId="Hyperlink">
    <w:name w:val="Hyperlink"/>
    <w:basedOn w:val="DefaultParagraphFont"/>
    <w:uiPriority w:val="99"/>
    <w:unhideWhenUsed/>
    <w:rsid w:val="00B15185"/>
    <w:rPr>
      <w:color w:val="0000FF" w:themeColor="hyperlink"/>
      <w:u w:val="single"/>
    </w:rPr>
  </w:style>
  <w:style w:type="paragraph" w:customStyle="1" w:styleId="COMH2-numbered">
    <w:name w:val="COM H2 - numbered"/>
    <w:basedOn w:val="Heading2"/>
    <w:next w:val="COMBody"/>
    <w:link w:val="COMH2-numberedChar"/>
    <w:qFormat/>
    <w:rsid w:val="001C002E"/>
  </w:style>
  <w:style w:type="table" w:styleId="TableGrid">
    <w:name w:val="Table Grid"/>
    <w:aliases w:val="Summary box,Table Gridbeth,CMA Table Template,ASD Table,PBAC table,new style,MSD Table Grid,Lash Style Table,Dossier table,Section 3- footnotes,Summary Table,HTAtableplain,Tabellengitternetz 9pt,HealthConsult,Source table_,NICE instructions"/>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FD5856"/>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customStyle="1" w:styleId="Bulletpoints">
    <w:name w:val="Bullet points"/>
    <w:basedOn w:val="Normal"/>
    <w:rsid w:val="0007519D"/>
    <w:pPr>
      <w:numPr>
        <w:numId w:val="2"/>
      </w:numPr>
      <w:spacing w:after="120"/>
      <w:contextualSpacing/>
      <w:jc w:val="left"/>
    </w:pPr>
    <w:rPr>
      <w:rFonts w:asciiTheme="minorHAnsi" w:hAnsiTheme="minorHAnsi"/>
      <w:snapToGrid w:val="0"/>
    </w:rPr>
  </w:style>
  <w:style w:type="paragraph" w:styleId="Revision">
    <w:name w:val="Revision"/>
    <w:hidden/>
    <w:uiPriority w:val="99"/>
    <w:semiHidden/>
    <w:rsid w:val="00043C37"/>
    <w:rPr>
      <w:rFonts w:ascii="Arial" w:hAnsi="Arial" w:cs="Arial"/>
      <w:snapToGrid w:val="0"/>
      <w:sz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unhideWhenUsed/>
    <w:rsid w:val="00953257"/>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
    <w:name w:val="Table Text"/>
    <w:link w:val="TableTextChar"/>
    <w:rsid w:val="00FA05D2"/>
    <w:pPr>
      <w:keepNext/>
      <w:keepLines/>
      <w:widowControl w:val="0"/>
    </w:pPr>
    <w:rPr>
      <w:rFonts w:ascii="Arial Narrow" w:eastAsiaTheme="majorEastAsia" w:hAnsi="Arial Narrow" w:cstheme="majorBidi"/>
      <w:bCs/>
      <w:szCs w:val="24"/>
    </w:rPr>
  </w:style>
  <w:style w:type="paragraph" w:customStyle="1" w:styleId="COMheadingnotforTOC">
    <w:name w:val="COM heading not for TOC"/>
    <w:qFormat/>
    <w:rsid w:val="004C3B02"/>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autoRedefine/>
    <w:qFormat/>
    <w:rsid w:val="00D92D9D"/>
    <w:pPr>
      <w:keepNext/>
      <w:keepLines/>
    </w:pPr>
    <w:rPr>
      <w:rFonts w:ascii="Arial Narrow" w:eastAsiaTheme="majorEastAsia" w:hAnsi="Arial Narrow"/>
      <w:b/>
      <w:szCs w:val="24"/>
      <w:lang w:val="en-US"/>
    </w:rPr>
  </w:style>
  <w:style w:type="paragraph" w:customStyle="1" w:styleId="COMH1-numbered">
    <w:name w:val="COM H1 - numbered"/>
    <w:next w:val="COMexecsummnumbered"/>
    <w:qFormat/>
    <w:rsid w:val="00292028"/>
    <w:pPr>
      <w:keepNext/>
      <w:numPr>
        <w:numId w:val="4"/>
      </w:numPr>
      <w:spacing w:before="240" w:after="120"/>
      <w:outlineLvl w:val="0"/>
    </w:pPr>
    <w:rPr>
      <w:rFonts w:asciiTheme="minorHAnsi" w:hAnsiTheme="minorHAnsi" w:cs="Arial"/>
      <w:b/>
      <w:snapToGrid w:val="0"/>
      <w:sz w:val="32"/>
      <w:szCs w:val="32"/>
    </w:rPr>
  </w:style>
  <w:style w:type="paragraph" w:customStyle="1" w:styleId="COMexecsummheadings">
    <w:name w:val="COM exec summ headings"/>
    <w:next w:val="COMH1-numbered"/>
    <w:link w:val="COMexecsummheadingsChar"/>
    <w:qFormat/>
    <w:rsid w:val="004C3B02"/>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COMexecsummheadingsChar">
    <w:name w:val="COM exec summ headings Char"/>
    <w:basedOn w:val="DefaultParagraphFont"/>
    <w:link w:val="COMexecsummheadings"/>
    <w:rsid w:val="004C3B02"/>
    <w:rPr>
      <w:rFonts w:asciiTheme="minorHAnsi" w:eastAsiaTheme="majorEastAsia" w:hAnsiTheme="minorHAnsi" w:cstheme="majorBidi"/>
      <w:b/>
      <w:spacing w:val="5"/>
      <w:kern w:val="28"/>
      <w:sz w:val="36"/>
      <w:szCs w:val="36"/>
    </w:rPr>
  </w:style>
  <w:style w:type="paragraph" w:customStyle="1" w:styleId="COMexecsummnumbered">
    <w:name w:val="COM exec summ numbered"/>
    <w:link w:val="COMexecsummnumberedChar"/>
    <w:qFormat/>
    <w:rsid w:val="004C3B02"/>
    <w:pPr>
      <w:numPr>
        <w:ilvl w:val="1"/>
        <w:numId w:val="4"/>
      </w:numPr>
      <w:spacing w:before="60" w:after="60"/>
      <w:ind w:left="720"/>
      <w:jc w:val="both"/>
    </w:pPr>
    <w:rPr>
      <w:rFonts w:asciiTheme="minorHAnsi" w:eastAsiaTheme="minorHAnsi" w:hAnsiTheme="minorHAnsi" w:cstheme="minorBidi"/>
      <w:sz w:val="24"/>
      <w:szCs w:val="22"/>
    </w:rPr>
  </w:style>
  <w:style w:type="character" w:customStyle="1" w:styleId="COMexecsummnumberedChar">
    <w:name w:val="COM exec summ numbered Char"/>
    <w:basedOn w:val="DefaultParagraphFont"/>
    <w:link w:val="COMexecsummnumbered"/>
    <w:rsid w:val="0007519D"/>
    <w:rPr>
      <w:rFonts w:asciiTheme="minorHAnsi" w:eastAsiaTheme="minorHAnsi" w:hAnsiTheme="minorHAnsi" w:cstheme="minorBidi"/>
      <w:sz w:val="24"/>
      <w:szCs w:val="22"/>
    </w:rPr>
  </w:style>
  <w:style w:type="character" w:customStyle="1" w:styleId="TableTextChar">
    <w:name w:val="Table Text Char"/>
    <w:basedOn w:val="DefaultParagraphFont"/>
    <w:link w:val="TableText"/>
    <w:rsid w:val="00FA05D2"/>
    <w:rPr>
      <w:rFonts w:ascii="Arial Narrow" w:eastAsiaTheme="majorEastAsia" w:hAnsi="Arial Narrow" w:cstheme="majorBidi"/>
      <w:bCs/>
      <w:szCs w:val="24"/>
    </w:rPr>
  </w:style>
  <w:style w:type="paragraph" w:customStyle="1" w:styleId="COMBody">
    <w:name w:val="COM Body"/>
    <w:basedOn w:val="Normal"/>
    <w:link w:val="COMBodyChar"/>
    <w:qFormat/>
    <w:rsid w:val="0079172B"/>
  </w:style>
  <w:style w:type="character" w:customStyle="1" w:styleId="COMBodyChar">
    <w:name w:val="COM Body Char"/>
    <w:basedOn w:val="DefaultParagraphFont"/>
    <w:link w:val="COMBody"/>
    <w:rsid w:val="0079172B"/>
    <w:rPr>
      <w:rFonts w:ascii="Calibri" w:hAnsi="Calibri" w:cs="Arial"/>
      <w:sz w:val="24"/>
      <w:szCs w:val="24"/>
    </w:rPr>
  </w:style>
  <w:style w:type="paragraph" w:customStyle="1" w:styleId="COMbodybulletlist">
    <w:name w:val="COM body bullet list"/>
    <w:basedOn w:val="Normal"/>
    <w:link w:val="COMbodybulletlistChar"/>
    <w:qFormat/>
    <w:rsid w:val="001909D7"/>
    <w:pPr>
      <w:numPr>
        <w:numId w:val="5"/>
      </w:numPr>
      <w:contextualSpacing/>
    </w:pPr>
  </w:style>
  <w:style w:type="character" w:customStyle="1" w:styleId="COMbodybulletlistChar">
    <w:name w:val="COM body bullet list Char"/>
    <w:basedOn w:val="DefaultParagraphFont"/>
    <w:link w:val="COMbodybulletlist"/>
    <w:rsid w:val="0079172B"/>
    <w:rPr>
      <w:rFonts w:ascii="Calibri" w:hAnsi="Calibri" w:cs="Arial"/>
      <w:sz w:val="24"/>
      <w:szCs w:val="24"/>
    </w:rPr>
  </w:style>
  <w:style w:type="paragraph" w:customStyle="1" w:styleId="COMexecsummbulletlist">
    <w:name w:val="COM exec summ bullet list"/>
    <w:basedOn w:val="Normal"/>
    <w:link w:val="COMexecsummbulletlistChar"/>
    <w:qFormat/>
    <w:rsid w:val="0007519D"/>
    <w:pPr>
      <w:numPr>
        <w:numId w:val="6"/>
      </w:numPr>
      <w:spacing w:after="120"/>
      <w:ind w:left="1134"/>
    </w:pPr>
    <w:rPr>
      <w:rFonts w:asciiTheme="minorHAnsi" w:hAnsiTheme="minorHAnsi"/>
      <w:snapToGrid w:val="0"/>
    </w:rPr>
  </w:style>
  <w:style w:type="character" w:customStyle="1" w:styleId="COMexecsummbulletlistChar">
    <w:name w:val="COM exec summ bullet list Char"/>
    <w:basedOn w:val="DefaultParagraphFont"/>
    <w:link w:val="COMexecsummbulletlist"/>
    <w:rsid w:val="0007519D"/>
    <w:rPr>
      <w:rFonts w:asciiTheme="minorHAnsi" w:hAnsiTheme="minorHAnsi" w:cs="Arial"/>
      <w:snapToGrid w:val="0"/>
      <w:sz w:val="24"/>
      <w:szCs w:val="24"/>
    </w:rPr>
  </w:style>
  <w:style w:type="paragraph" w:customStyle="1" w:styleId="COMexecsummmainissuesbullets">
    <w:name w:val="COM exec summ main issues bullets"/>
    <w:basedOn w:val="Normal"/>
    <w:link w:val="COMexecsummmainissuesbulletsChar"/>
    <w:qFormat/>
    <w:rsid w:val="0007519D"/>
    <w:pPr>
      <w:numPr>
        <w:numId w:val="7"/>
      </w:numPr>
      <w:spacing w:after="120"/>
    </w:pPr>
    <w:rPr>
      <w:rFonts w:asciiTheme="minorHAnsi" w:hAnsiTheme="minorHAnsi"/>
      <w:snapToGrid w:val="0"/>
      <w:color w:val="0066FF"/>
    </w:rPr>
  </w:style>
  <w:style w:type="character" w:customStyle="1" w:styleId="COMexecsummmainissuesbulletsChar">
    <w:name w:val="COM exec summ main issues bullets Char"/>
    <w:basedOn w:val="DefaultParagraphFont"/>
    <w:link w:val="COMexecsummmainissuesbullets"/>
    <w:rsid w:val="0007519D"/>
    <w:rPr>
      <w:rFonts w:asciiTheme="minorHAnsi" w:hAnsiTheme="minorHAnsi" w:cs="Arial"/>
      <w:snapToGrid w:val="0"/>
      <w:color w:val="0066FF"/>
      <w:sz w:val="24"/>
      <w:szCs w:val="24"/>
    </w:rPr>
  </w:style>
  <w:style w:type="paragraph" w:customStyle="1" w:styleId="COMH1-non-numbered">
    <w:name w:val="COM H1 - non-numbered"/>
    <w:next w:val="Normal"/>
    <w:link w:val="COMH1-non-numberedChar"/>
    <w:qFormat/>
    <w:rsid w:val="0079172B"/>
    <w:pPr>
      <w:keepNext/>
      <w:spacing w:before="120" w:after="160"/>
      <w:ind w:left="720" w:hanging="720"/>
      <w:outlineLvl w:val="0"/>
    </w:pPr>
    <w:rPr>
      <w:rFonts w:asciiTheme="minorHAnsi" w:eastAsiaTheme="majorEastAsia" w:hAnsiTheme="minorHAnsi" w:cstheme="majorBidi"/>
      <w:b/>
      <w:spacing w:val="5"/>
      <w:kern w:val="28"/>
      <w:sz w:val="32"/>
      <w:szCs w:val="36"/>
    </w:rPr>
  </w:style>
  <w:style w:type="character" w:customStyle="1" w:styleId="COMH1-non-numberedChar">
    <w:name w:val="COM H1 - non-numbered Char"/>
    <w:basedOn w:val="DefaultParagraphFont"/>
    <w:link w:val="COMH1-non-numbered"/>
    <w:rsid w:val="0079172B"/>
    <w:rPr>
      <w:rFonts w:asciiTheme="minorHAnsi" w:eastAsiaTheme="majorEastAsia" w:hAnsiTheme="minorHAnsi" w:cstheme="majorBidi"/>
      <w:b/>
      <w:spacing w:val="5"/>
      <w:kern w:val="28"/>
      <w:sz w:val="32"/>
      <w:szCs w:val="36"/>
    </w:rPr>
  </w:style>
  <w:style w:type="paragraph" w:customStyle="1" w:styleId="COMH2-non-numbered">
    <w:name w:val="COM H2 - non-numbered"/>
    <w:basedOn w:val="Heading2"/>
    <w:next w:val="Normal"/>
    <w:link w:val="COMH2-non-numberedChar"/>
    <w:qFormat/>
    <w:rsid w:val="0079172B"/>
    <w:pPr>
      <w:spacing w:before="120"/>
      <w:jc w:val="left"/>
    </w:pPr>
    <w:rPr>
      <w:rFonts w:asciiTheme="minorHAnsi" w:eastAsiaTheme="majorEastAsia" w:hAnsiTheme="minorHAnsi" w:cstheme="majorBidi"/>
      <w:spacing w:val="5"/>
      <w:kern w:val="28"/>
      <w:szCs w:val="36"/>
      <w:lang w:eastAsia="en-US"/>
    </w:rPr>
  </w:style>
  <w:style w:type="character" w:customStyle="1" w:styleId="COMH2-non-numberedChar">
    <w:name w:val="COM H2 - non-numbered Char"/>
    <w:basedOn w:val="Heading2Char"/>
    <w:link w:val="COMH2-non-numbered"/>
    <w:rsid w:val="0079172B"/>
    <w:rPr>
      <w:rFonts w:asciiTheme="minorHAnsi" w:eastAsiaTheme="majorEastAsia" w:hAnsiTheme="minorHAnsi" w:cstheme="majorBidi"/>
      <w:b/>
      <w:i/>
      <w:snapToGrid w:val="0"/>
      <w:spacing w:val="5"/>
      <w:kern w:val="28"/>
      <w:sz w:val="28"/>
      <w:szCs w:val="36"/>
    </w:rPr>
  </w:style>
  <w:style w:type="paragraph" w:customStyle="1" w:styleId="COMH3">
    <w:name w:val="COM H3"/>
    <w:basedOn w:val="Normal"/>
    <w:next w:val="Normal"/>
    <w:link w:val="COMH3Char"/>
    <w:qFormat/>
    <w:rsid w:val="00782778"/>
    <w:pPr>
      <w:keepNext/>
      <w:spacing w:after="120"/>
      <w:outlineLvl w:val="2"/>
    </w:pPr>
    <w:rPr>
      <w:b/>
      <w:iCs/>
      <w:sz w:val="28"/>
    </w:rPr>
  </w:style>
  <w:style w:type="character" w:customStyle="1" w:styleId="COMH3Char">
    <w:name w:val="COM H3 Char"/>
    <w:basedOn w:val="DefaultParagraphFont"/>
    <w:link w:val="COMH3"/>
    <w:rsid w:val="00782778"/>
    <w:rPr>
      <w:rFonts w:ascii="Calibri" w:hAnsi="Calibri" w:cs="Arial"/>
      <w:b/>
      <w:iCs/>
      <w:sz w:val="28"/>
      <w:szCs w:val="24"/>
    </w:rPr>
  </w:style>
  <w:style w:type="paragraph" w:customStyle="1" w:styleId="COMH4">
    <w:name w:val="COM H4"/>
    <w:basedOn w:val="Normal"/>
    <w:link w:val="COMH4Char"/>
    <w:qFormat/>
    <w:rsid w:val="00857D2E"/>
    <w:pPr>
      <w:keepNext/>
      <w:spacing w:after="120"/>
    </w:pPr>
    <w:rPr>
      <w:b/>
      <w:i/>
    </w:rPr>
  </w:style>
  <w:style w:type="character" w:customStyle="1" w:styleId="COMH4Char">
    <w:name w:val="COM H4 Char"/>
    <w:basedOn w:val="DefaultParagraphFont"/>
    <w:link w:val="COMH4"/>
    <w:rsid w:val="00857D2E"/>
    <w:rPr>
      <w:rFonts w:ascii="Calibri" w:hAnsi="Calibri" w:cs="Arial"/>
      <w:b/>
      <w:i/>
      <w:sz w:val="24"/>
      <w:szCs w:val="24"/>
    </w:rPr>
  </w:style>
  <w:style w:type="paragraph" w:customStyle="1" w:styleId="COMTablefooter">
    <w:name w:val="COM Table footer"/>
    <w:basedOn w:val="Normal"/>
    <w:next w:val="Normal"/>
    <w:link w:val="COMTablefooterChar"/>
    <w:qFormat/>
    <w:rsid w:val="0079172B"/>
    <w:pPr>
      <w:spacing w:after="120"/>
      <w:contextualSpacing/>
    </w:pPr>
    <w:rPr>
      <w:rFonts w:ascii="Arial Narrow" w:hAnsi="Arial Narrow"/>
      <w:snapToGrid w:val="0"/>
      <w:sz w:val="18"/>
      <w:szCs w:val="22"/>
    </w:rPr>
  </w:style>
  <w:style w:type="character" w:customStyle="1" w:styleId="COMTablefooterChar">
    <w:name w:val="COM Table footer Char"/>
    <w:link w:val="COMTablefooter"/>
    <w:rsid w:val="0079172B"/>
    <w:rPr>
      <w:rFonts w:ascii="Arial Narrow" w:hAnsi="Arial Narrow" w:cs="Arial"/>
      <w:snapToGrid w:val="0"/>
      <w:sz w:val="18"/>
      <w:szCs w:val="22"/>
    </w:rPr>
  </w:style>
  <w:style w:type="paragraph" w:customStyle="1" w:styleId="COMTableheadingrow">
    <w:name w:val="COM Table heading row"/>
    <w:qFormat/>
    <w:rsid w:val="0079172B"/>
    <w:pPr>
      <w:keepNext/>
    </w:pPr>
    <w:rPr>
      <w:rFonts w:ascii="Arial Narrow" w:eastAsiaTheme="majorEastAsia" w:hAnsi="Arial Narrow"/>
      <w:b/>
      <w:szCs w:val="24"/>
      <w:lang w:val="en-US"/>
    </w:rPr>
  </w:style>
  <w:style w:type="paragraph" w:customStyle="1" w:styleId="COMTabletext">
    <w:name w:val="COM Table text"/>
    <w:link w:val="COMTabletextChar"/>
    <w:qFormat/>
    <w:rsid w:val="0079172B"/>
    <w:pPr>
      <w:keepNext/>
    </w:pPr>
    <w:rPr>
      <w:rFonts w:ascii="Arial Narrow" w:eastAsiaTheme="majorEastAsia" w:hAnsi="Arial Narrow" w:cstheme="majorBidi"/>
      <w:bCs/>
      <w:szCs w:val="24"/>
    </w:rPr>
  </w:style>
  <w:style w:type="character" w:customStyle="1" w:styleId="COMTabletextChar">
    <w:name w:val="COM Table text Char"/>
    <w:basedOn w:val="DefaultParagraphFont"/>
    <w:link w:val="COMTabletext"/>
    <w:rsid w:val="0079172B"/>
    <w:rPr>
      <w:rFonts w:ascii="Arial Narrow" w:eastAsiaTheme="majorEastAsia" w:hAnsi="Arial Narrow" w:cstheme="majorBidi"/>
      <w:bCs/>
      <w:szCs w:val="24"/>
    </w:rPr>
  </w:style>
  <w:style w:type="paragraph" w:customStyle="1" w:styleId="COMtablefigcaption">
    <w:name w:val="COM table/fig caption"/>
    <w:next w:val="COMTableheadingrow"/>
    <w:link w:val="COMtablefigcaptionChar"/>
    <w:qFormat/>
    <w:rsid w:val="0079172B"/>
    <w:pPr>
      <w:keepNext/>
    </w:pPr>
    <w:rPr>
      <w:rFonts w:ascii="Arial Narrow" w:eastAsiaTheme="majorEastAsia" w:hAnsi="Arial Narrow" w:cstheme="majorBidi"/>
      <w:b/>
      <w:bCs/>
      <w:szCs w:val="24"/>
    </w:rPr>
  </w:style>
  <w:style w:type="character" w:customStyle="1" w:styleId="COMtablefigcaptionChar">
    <w:name w:val="COM table/fig caption Char"/>
    <w:basedOn w:val="DefaultParagraphFont"/>
    <w:link w:val="COMtablefigcaption"/>
    <w:rsid w:val="0079172B"/>
    <w:rPr>
      <w:rFonts w:ascii="Arial Narrow" w:eastAsiaTheme="majorEastAsia" w:hAnsi="Arial Narrow" w:cstheme="majorBidi"/>
      <w:b/>
      <w:bCs/>
      <w:szCs w:val="24"/>
    </w:rPr>
  </w:style>
  <w:style w:type="paragraph" w:styleId="ListParagraph">
    <w:name w:val="List Paragraph"/>
    <w:aliases w:val="BulletPoints,Numbered para"/>
    <w:basedOn w:val="Normal"/>
    <w:link w:val="ListParagraphChar"/>
    <w:uiPriority w:val="34"/>
    <w:qFormat/>
    <w:rsid w:val="006A1258"/>
    <w:pPr>
      <w:ind w:left="720"/>
      <w:contextualSpacing/>
    </w:pPr>
  </w:style>
  <w:style w:type="paragraph" w:styleId="ListNumber">
    <w:name w:val="List Number"/>
    <w:basedOn w:val="Normal"/>
    <w:rsid w:val="00AF35B5"/>
    <w:pPr>
      <w:numPr>
        <w:numId w:val="9"/>
      </w:numPr>
      <w:spacing w:line="360" w:lineRule="auto"/>
      <w:contextualSpacing/>
      <w:jc w:val="left"/>
    </w:pPr>
    <w:rPr>
      <w:rFonts w:ascii="Arial" w:eastAsia="SimSun" w:hAnsi="Arial" w:cs="Times New Roman"/>
      <w:sz w:val="20"/>
      <w:lang w:eastAsia="zh-CN"/>
    </w:rPr>
  </w:style>
  <w:style w:type="character" w:styleId="UnresolvedMention">
    <w:name w:val="Unresolved Mention"/>
    <w:basedOn w:val="DefaultParagraphFont"/>
    <w:uiPriority w:val="99"/>
    <w:semiHidden/>
    <w:unhideWhenUsed/>
    <w:rsid w:val="008B15D0"/>
    <w:rPr>
      <w:color w:val="605E5C"/>
      <w:shd w:val="clear" w:color="auto" w:fill="E1DFDD"/>
    </w:rPr>
  </w:style>
  <w:style w:type="character" w:customStyle="1" w:styleId="Small">
    <w:name w:val="Small"/>
    <w:basedOn w:val="DefaultParagraphFont"/>
    <w:uiPriority w:val="4"/>
    <w:qFormat/>
    <w:rsid w:val="00E45A52"/>
    <w:rPr>
      <w:rFonts w:ascii="Calibri" w:hAnsi="Calibri"/>
      <w:sz w:val="20"/>
    </w:rPr>
  </w:style>
  <w:style w:type="paragraph" w:customStyle="1" w:styleId="Table">
    <w:name w:val="Table"/>
    <w:basedOn w:val="Normal"/>
    <w:link w:val="TableChar"/>
    <w:rsid w:val="00377E3B"/>
    <w:pPr>
      <w:jc w:val="left"/>
    </w:pPr>
    <w:rPr>
      <w:rFonts w:eastAsiaTheme="majorEastAsia" w:cstheme="majorBidi"/>
      <w:sz w:val="20"/>
      <w:szCs w:val="22"/>
      <w:lang w:eastAsia="en-US" w:bidi="en-US"/>
    </w:rPr>
  </w:style>
  <w:style w:type="character" w:customStyle="1" w:styleId="TableChar">
    <w:name w:val="Table Char"/>
    <w:basedOn w:val="DefaultParagraphFont"/>
    <w:link w:val="Table"/>
    <w:locked/>
    <w:rsid w:val="00377E3B"/>
    <w:rPr>
      <w:rFonts w:ascii="Calibri" w:eastAsiaTheme="majorEastAsia" w:hAnsi="Calibri" w:cstheme="majorBidi"/>
      <w:szCs w:val="22"/>
      <w:lang w:eastAsia="en-US" w:bidi="en-US"/>
    </w:rPr>
  </w:style>
  <w:style w:type="character" w:customStyle="1" w:styleId="TabletextChar0">
    <w:name w:val="Table text Char"/>
    <w:link w:val="Tabletext0"/>
    <w:uiPriority w:val="2"/>
    <w:locked/>
    <w:rsid w:val="00E672B6"/>
    <w:rPr>
      <w:rFonts w:ascii="Arial Narrow" w:hAnsi="Arial Narrow"/>
      <w:szCs w:val="22"/>
      <w:lang w:eastAsia="en-US"/>
    </w:rPr>
  </w:style>
  <w:style w:type="paragraph" w:customStyle="1" w:styleId="Tabletext0">
    <w:name w:val="Table text"/>
    <w:basedOn w:val="Normal"/>
    <w:link w:val="TabletextChar0"/>
    <w:uiPriority w:val="2"/>
    <w:qFormat/>
    <w:rsid w:val="00E672B6"/>
    <w:pPr>
      <w:jc w:val="left"/>
    </w:pPr>
    <w:rPr>
      <w:rFonts w:ascii="Arial Narrow" w:hAnsi="Arial Narrow" w:cs="Times New Roman"/>
      <w:sz w:val="20"/>
      <w:szCs w:val="22"/>
      <w:lang w:eastAsia="en-US"/>
    </w:rPr>
  </w:style>
  <w:style w:type="table" w:customStyle="1" w:styleId="TableGrid2">
    <w:name w:val="Table Grid2"/>
    <w:basedOn w:val="TableNormal"/>
    <w:next w:val="TableGrid"/>
    <w:uiPriority w:val="39"/>
    <w:rsid w:val="00446ED4"/>
    <w:rPr>
      <w:rFonts w:ascii="Aptos" w:eastAsia="Aptos" w:hAnsi="Apto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ooter">
    <w:name w:val="Table Footer"/>
    <w:basedOn w:val="Normal"/>
    <w:link w:val="TableFooterChar"/>
    <w:rsid w:val="0017219B"/>
    <w:pPr>
      <w:widowControl w:val="0"/>
      <w:contextualSpacing/>
    </w:pPr>
    <w:rPr>
      <w:rFonts w:ascii="Arial Narrow" w:hAnsi="Arial Narrow"/>
      <w:snapToGrid w:val="0"/>
      <w:sz w:val="18"/>
      <w:szCs w:val="20"/>
      <w:lang w:eastAsia="en-US"/>
    </w:rPr>
  </w:style>
  <w:style w:type="character" w:customStyle="1" w:styleId="TableFooterChar">
    <w:name w:val="Table Footer Char"/>
    <w:link w:val="TableFooter"/>
    <w:rsid w:val="0017219B"/>
    <w:rPr>
      <w:rFonts w:ascii="Arial Narrow" w:hAnsi="Arial Narrow" w:cs="Arial"/>
      <w:snapToGrid w:val="0"/>
      <w:sz w:val="18"/>
      <w:lang w:eastAsia="en-US"/>
    </w:rPr>
  </w:style>
  <w:style w:type="paragraph" w:styleId="Caption">
    <w:name w:val="caption"/>
    <w:basedOn w:val="COMtablefigcaption"/>
    <w:next w:val="Normal"/>
    <w:link w:val="CaptionChar"/>
    <w:uiPriority w:val="99"/>
    <w:rsid w:val="008A6930"/>
  </w:style>
  <w:style w:type="character" w:customStyle="1" w:styleId="CaptionChar">
    <w:name w:val="Caption Char"/>
    <w:basedOn w:val="DefaultParagraphFont"/>
    <w:link w:val="Caption"/>
    <w:uiPriority w:val="99"/>
    <w:rsid w:val="008A6930"/>
    <w:rPr>
      <w:rFonts w:ascii="Arial Narrow" w:eastAsiaTheme="majorEastAsia" w:hAnsi="Arial Narrow" w:cstheme="majorBidi"/>
      <w:b/>
      <w:bCs/>
      <w:szCs w:val="24"/>
    </w:rPr>
  </w:style>
  <w:style w:type="paragraph" w:styleId="Footer">
    <w:name w:val="footer"/>
    <w:basedOn w:val="Normal"/>
    <w:link w:val="FooterChar"/>
    <w:uiPriority w:val="99"/>
    <w:unhideWhenUsed/>
    <w:rsid w:val="00FE5C67"/>
    <w:pPr>
      <w:tabs>
        <w:tab w:val="center" w:pos="4513"/>
        <w:tab w:val="right" w:pos="9026"/>
      </w:tabs>
    </w:pPr>
  </w:style>
  <w:style w:type="character" w:customStyle="1" w:styleId="FooterChar">
    <w:name w:val="Footer Char"/>
    <w:basedOn w:val="DefaultParagraphFont"/>
    <w:link w:val="Footer"/>
    <w:uiPriority w:val="99"/>
    <w:rsid w:val="00FE5C67"/>
    <w:rPr>
      <w:rFonts w:ascii="Calibri" w:hAnsi="Calibri" w:cs="Arial"/>
      <w:sz w:val="24"/>
      <w:szCs w:val="24"/>
    </w:rPr>
  </w:style>
  <w:style w:type="character" w:customStyle="1" w:styleId="CaptionFootnoteChar">
    <w:name w:val="Caption Footnote Char"/>
    <w:basedOn w:val="CaptionChar"/>
    <w:link w:val="CaptionFootnote"/>
    <w:rsid w:val="00B26A3C"/>
    <w:rPr>
      <w:rFonts w:ascii="Candara" w:eastAsiaTheme="majorEastAsia" w:hAnsi="Candara" w:cstheme="majorBidi"/>
      <w:b w:val="0"/>
      <w:bCs/>
      <w:sz w:val="16"/>
      <w:szCs w:val="18"/>
      <w:lang w:eastAsia="en-US" w:bidi="en-US"/>
    </w:rPr>
  </w:style>
  <w:style w:type="paragraph" w:customStyle="1" w:styleId="CaptionFootnote">
    <w:name w:val="Caption Footnote"/>
    <w:basedOn w:val="Caption"/>
    <w:link w:val="CaptionFootnoteChar"/>
    <w:rsid w:val="00B26A3C"/>
    <w:pPr>
      <w:widowControl w:val="0"/>
    </w:pPr>
    <w:rPr>
      <w:rFonts w:ascii="Candara" w:eastAsia="Times New Roman" w:hAnsi="Candara" w:cs="Times New Roman"/>
      <w:b w:val="0"/>
      <w:sz w:val="16"/>
    </w:rPr>
  </w:style>
  <w:style w:type="character" w:styleId="CommentReference">
    <w:name w:val="annotation reference"/>
    <w:aliases w:val="Table Title"/>
    <w:basedOn w:val="DefaultParagraphFont"/>
    <w:uiPriority w:val="99"/>
    <w:unhideWhenUsed/>
    <w:qFormat/>
    <w:rsid w:val="002B0D0A"/>
    <w:rPr>
      <w:sz w:val="16"/>
      <w:szCs w:val="16"/>
    </w:rPr>
  </w:style>
  <w:style w:type="paragraph" w:styleId="CommentText">
    <w:name w:val="annotation text"/>
    <w:basedOn w:val="Normal"/>
    <w:link w:val="CommentTextChar"/>
    <w:uiPriority w:val="99"/>
    <w:unhideWhenUsed/>
    <w:rsid w:val="002B0D0A"/>
    <w:rPr>
      <w:sz w:val="20"/>
      <w:szCs w:val="20"/>
    </w:rPr>
  </w:style>
  <w:style w:type="character" w:customStyle="1" w:styleId="CommentTextChar">
    <w:name w:val="Comment Text Char"/>
    <w:basedOn w:val="DefaultParagraphFont"/>
    <w:link w:val="CommentText"/>
    <w:uiPriority w:val="99"/>
    <w:rsid w:val="002B0D0A"/>
    <w:rPr>
      <w:rFonts w:ascii="Calibri" w:hAnsi="Calibri" w:cs="Arial"/>
    </w:rPr>
  </w:style>
  <w:style w:type="paragraph" w:customStyle="1" w:styleId="TableBullets">
    <w:name w:val="Table Bullets"/>
    <w:basedOn w:val="Table"/>
    <w:uiPriority w:val="5"/>
    <w:qFormat/>
    <w:rsid w:val="00394037"/>
    <w:pPr>
      <w:numPr>
        <w:numId w:val="16"/>
      </w:numPr>
      <w:tabs>
        <w:tab w:val="num" w:pos="360"/>
      </w:tabs>
      <w:ind w:left="357" w:hanging="357"/>
    </w:pPr>
  </w:style>
  <w:style w:type="paragraph" w:styleId="CommentSubject">
    <w:name w:val="annotation subject"/>
    <w:basedOn w:val="CommentText"/>
    <w:next w:val="CommentText"/>
    <w:link w:val="CommentSubjectChar"/>
    <w:semiHidden/>
    <w:unhideWhenUsed/>
    <w:rsid w:val="00AE0BE1"/>
    <w:rPr>
      <w:b/>
      <w:bCs/>
    </w:rPr>
  </w:style>
  <w:style w:type="character" w:customStyle="1" w:styleId="CommentSubjectChar">
    <w:name w:val="Comment Subject Char"/>
    <w:basedOn w:val="CommentTextChar"/>
    <w:link w:val="CommentSubject"/>
    <w:semiHidden/>
    <w:rsid w:val="00AE0BE1"/>
    <w:rPr>
      <w:rFonts w:ascii="Calibri" w:hAnsi="Calibri" w:cs="Arial"/>
      <w:b/>
      <w:bCs/>
    </w:rPr>
  </w:style>
  <w:style w:type="character" w:customStyle="1" w:styleId="Font">
    <w:name w:val="Font"/>
    <w:basedOn w:val="DefaultParagraphFont"/>
    <w:uiPriority w:val="1"/>
    <w:qFormat/>
    <w:rsid w:val="00791ADE"/>
    <w:rPr>
      <w:rFonts w:ascii="Calibri" w:hAnsi="Calibri"/>
      <w:sz w:val="24"/>
    </w:rPr>
  </w:style>
  <w:style w:type="character" w:customStyle="1" w:styleId="COMH2-numberedChar">
    <w:name w:val="COM H2 - numbered Char"/>
    <w:basedOn w:val="Heading2Char"/>
    <w:link w:val="COMH2-numbered"/>
    <w:rsid w:val="009925BA"/>
    <w:rPr>
      <w:rFonts w:ascii="Calibri" w:hAnsi="Calibri" w:cs="Arial"/>
      <w:b/>
      <w:i/>
      <w:sz w:val="28"/>
      <w:szCs w:val="24"/>
    </w:rPr>
  </w:style>
  <w:style w:type="paragraph" w:styleId="FootnoteText">
    <w:name w:val="footnote text"/>
    <w:basedOn w:val="Normal"/>
    <w:link w:val="FootnoteTextChar"/>
    <w:semiHidden/>
    <w:unhideWhenUsed/>
    <w:rsid w:val="00E15B8E"/>
    <w:rPr>
      <w:sz w:val="20"/>
      <w:szCs w:val="20"/>
    </w:rPr>
  </w:style>
  <w:style w:type="character" w:customStyle="1" w:styleId="FootnoteTextChar">
    <w:name w:val="Footnote Text Char"/>
    <w:basedOn w:val="DefaultParagraphFont"/>
    <w:link w:val="FootnoteText"/>
    <w:semiHidden/>
    <w:rsid w:val="00E15B8E"/>
    <w:rPr>
      <w:rFonts w:ascii="Calibri" w:hAnsi="Calibri" w:cs="Arial"/>
    </w:rPr>
  </w:style>
  <w:style w:type="character" w:styleId="FootnoteReference">
    <w:name w:val="footnote reference"/>
    <w:basedOn w:val="DefaultParagraphFont"/>
    <w:semiHidden/>
    <w:unhideWhenUsed/>
    <w:rsid w:val="00E15B8E"/>
    <w:rPr>
      <w:vertAlign w:val="superscript"/>
    </w:rPr>
  </w:style>
  <w:style w:type="character" w:customStyle="1" w:styleId="ListParagraphChar">
    <w:name w:val="List Paragraph Char"/>
    <w:aliases w:val="BulletPoints Char,Numbered para Char"/>
    <w:link w:val="ListParagraph"/>
    <w:uiPriority w:val="34"/>
    <w:locked/>
    <w:rsid w:val="00EE1286"/>
    <w:rPr>
      <w:rFonts w:ascii="Calibri" w:hAnsi="Calibri" w:cs="Arial"/>
      <w:sz w:val="24"/>
      <w:szCs w:val="24"/>
    </w:rPr>
  </w:style>
  <w:style w:type="paragraph" w:customStyle="1" w:styleId="PBACHeading1">
    <w:name w:val="PBAC Heading 1"/>
    <w:qFormat/>
    <w:rsid w:val="002F4E93"/>
    <w:pPr>
      <w:ind w:left="720" w:hanging="720"/>
      <w:outlineLvl w:val="0"/>
    </w:pPr>
    <w:rPr>
      <w:rFonts w:ascii="Calibri" w:hAnsi="Calibri" w:cs="Calibri"/>
      <w:b/>
      <w:snapToGrid w:val="0"/>
      <w:sz w:val="32"/>
      <w:szCs w:val="32"/>
      <w:lang w:eastAsia="en-US"/>
    </w:rPr>
  </w:style>
  <w:style w:type="character" w:customStyle="1" w:styleId="cf01">
    <w:name w:val="cf01"/>
    <w:basedOn w:val="DefaultParagraphFont"/>
    <w:rsid w:val="000E2487"/>
    <w:rPr>
      <w:rFonts w:ascii="Segoe UI" w:hAnsi="Segoe UI" w:cs="Segoe UI" w:hint="default"/>
      <w:sz w:val="18"/>
      <w:szCs w:val="18"/>
    </w:rPr>
  </w:style>
  <w:style w:type="paragraph" w:customStyle="1" w:styleId="2-SectionHeading">
    <w:name w:val="2-Section Heading"/>
    <w:next w:val="3-BodyText"/>
    <w:qFormat/>
    <w:rsid w:val="00EC7C1D"/>
    <w:pPr>
      <w:keepNext/>
      <w:spacing w:before="240" w:after="120"/>
      <w:ind w:left="720" w:hanging="720"/>
      <w:outlineLvl w:val="0"/>
    </w:pPr>
    <w:rPr>
      <w:rFonts w:asciiTheme="minorHAnsi" w:hAnsiTheme="minorHAnsi" w:cs="Arial"/>
      <w:b/>
      <w:snapToGrid w:val="0"/>
      <w:sz w:val="32"/>
      <w:szCs w:val="32"/>
    </w:rPr>
  </w:style>
  <w:style w:type="paragraph" w:customStyle="1" w:styleId="3-BodyText">
    <w:name w:val="3-Body Text"/>
    <w:link w:val="3-BodyTextChar"/>
    <w:qFormat/>
    <w:rsid w:val="00EC7C1D"/>
    <w:pPr>
      <w:spacing w:before="60" w:after="60"/>
      <w:ind w:left="720" w:hanging="720"/>
      <w:jc w:val="both"/>
    </w:pPr>
    <w:rPr>
      <w:rFonts w:asciiTheme="minorHAnsi" w:eastAsiaTheme="minorHAnsi" w:hAnsiTheme="minorHAnsi" w:cstheme="minorBidi"/>
      <w:sz w:val="24"/>
      <w:szCs w:val="22"/>
    </w:rPr>
  </w:style>
  <w:style w:type="character" w:customStyle="1" w:styleId="3-BodyTextChar">
    <w:name w:val="3-Body Text Char"/>
    <w:basedOn w:val="DefaultParagraphFont"/>
    <w:link w:val="3-BodyText"/>
    <w:rsid w:val="00EC7C1D"/>
    <w:rPr>
      <w:rFonts w:asciiTheme="minorHAnsi" w:eastAsiaTheme="minorHAnsi" w:hAnsiTheme="minorHAnsi" w:cstheme="minorBidi"/>
      <w:sz w:val="24"/>
      <w:szCs w:val="22"/>
    </w:rPr>
  </w:style>
  <w:style w:type="paragraph" w:customStyle="1" w:styleId="3-SubsectionHeading">
    <w:name w:val="3-Subsection Heading"/>
    <w:basedOn w:val="Heading2"/>
    <w:next w:val="Normal"/>
    <w:link w:val="3-SubsectionHeadingChar"/>
    <w:qFormat/>
    <w:rsid w:val="00C445C2"/>
    <w:pPr>
      <w:spacing w:before="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C445C2"/>
    <w:rPr>
      <w:rFonts w:asciiTheme="minorHAnsi" w:eastAsiaTheme="majorEastAsia" w:hAnsiTheme="minorHAnsi" w:cstheme="majorBidi"/>
      <w:b/>
      <w:i/>
      <w:spacing w:val="5"/>
      <w:kern w:val="28"/>
      <w:sz w:val="28"/>
      <w:szCs w:val="36"/>
      <w:lang w:eastAsia="en-US"/>
    </w:rPr>
  </w:style>
  <w:style w:type="character" w:styleId="Mention">
    <w:name w:val="Mention"/>
    <w:basedOn w:val="DefaultParagraphFont"/>
    <w:uiPriority w:val="99"/>
    <w:unhideWhenUsed/>
    <w:rsid w:val="00010CD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290744489">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45133314">
      <w:bodyDiv w:val="1"/>
      <w:marLeft w:val="0"/>
      <w:marRight w:val="0"/>
      <w:marTop w:val="0"/>
      <w:marBottom w:val="0"/>
      <w:divBdr>
        <w:top w:val="none" w:sz="0" w:space="0" w:color="auto"/>
        <w:left w:val="none" w:sz="0" w:space="0" w:color="auto"/>
        <w:bottom w:val="none" w:sz="0" w:space="0" w:color="auto"/>
        <w:right w:val="none" w:sz="0" w:space="0" w:color="auto"/>
      </w:divBdr>
    </w:div>
    <w:div w:id="577978552">
      <w:bodyDiv w:val="1"/>
      <w:marLeft w:val="0"/>
      <w:marRight w:val="0"/>
      <w:marTop w:val="0"/>
      <w:marBottom w:val="0"/>
      <w:divBdr>
        <w:top w:val="none" w:sz="0" w:space="0" w:color="auto"/>
        <w:left w:val="none" w:sz="0" w:space="0" w:color="auto"/>
        <w:bottom w:val="none" w:sz="0" w:space="0" w:color="auto"/>
        <w:right w:val="none" w:sz="0" w:space="0" w:color="auto"/>
      </w:divBdr>
    </w:div>
    <w:div w:id="630356371">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935330506">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1986068">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90672560">
      <w:bodyDiv w:val="1"/>
      <w:marLeft w:val="0"/>
      <w:marRight w:val="0"/>
      <w:marTop w:val="0"/>
      <w:marBottom w:val="0"/>
      <w:divBdr>
        <w:top w:val="none" w:sz="0" w:space="0" w:color="auto"/>
        <w:left w:val="none" w:sz="0" w:space="0" w:color="auto"/>
        <w:bottom w:val="none" w:sz="0" w:space="0" w:color="auto"/>
        <w:right w:val="none" w:sz="0" w:space="0" w:color="auto"/>
      </w:divBdr>
    </w:div>
    <w:div w:id="1356228364">
      <w:bodyDiv w:val="1"/>
      <w:marLeft w:val="0"/>
      <w:marRight w:val="0"/>
      <w:marTop w:val="0"/>
      <w:marBottom w:val="0"/>
      <w:divBdr>
        <w:top w:val="none" w:sz="0" w:space="0" w:color="auto"/>
        <w:left w:val="none" w:sz="0" w:space="0" w:color="auto"/>
        <w:bottom w:val="none" w:sz="0" w:space="0" w:color="auto"/>
        <w:right w:val="none" w:sz="0" w:space="0" w:color="auto"/>
      </w:divBdr>
    </w:div>
    <w:div w:id="1456101369">
      <w:bodyDiv w:val="1"/>
      <w:marLeft w:val="0"/>
      <w:marRight w:val="0"/>
      <w:marTop w:val="0"/>
      <w:marBottom w:val="0"/>
      <w:divBdr>
        <w:top w:val="none" w:sz="0" w:space="0" w:color="auto"/>
        <w:left w:val="none" w:sz="0" w:space="0" w:color="auto"/>
        <w:bottom w:val="none" w:sz="0" w:space="0" w:color="auto"/>
        <w:right w:val="none" w:sz="0" w:space="0" w:color="auto"/>
      </w:divBdr>
    </w:div>
    <w:div w:id="1605647787">
      <w:bodyDiv w:val="1"/>
      <w:marLeft w:val="0"/>
      <w:marRight w:val="0"/>
      <w:marTop w:val="0"/>
      <w:marBottom w:val="0"/>
      <w:divBdr>
        <w:top w:val="none" w:sz="0" w:space="0" w:color="auto"/>
        <w:left w:val="none" w:sz="0" w:space="0" w:color="auto"/>
        <w:bottom w:val="none" w:sz="0" w:space="0" w:color="auto"/>
        <w:right w:val="none" w:sz="0" w:space="0" w:color="auto"/>
      </w:divBdr>
    </w:div>
    <w:div w:id="1606426567">
      <w:bodyDiv w:val="1"/>
      <w:marLeft w:val="0"/>
      <w:marRight w:val="0"/>
      <w:marTop w:val="0"/>
      <w:marBottom w:val="0"/>
      <w:divBdr>
        <w:top w:val="none" w:sz="0" w:space="0" w:color="auto"/>
        <w:left w:val="none" w:sz="0" w:space="0" w:color="auto"/>
        <w:bottom w:val="none" w:sz="0" w:space="0" w:color="auto"/>
        <w:right w:val="none" w:sz="0" w:space="0" w:color="auto"/>
      </w:divBdr>
    </w:div>
    <w:div w:id="1774785924">
      <w:bodyDiv w:val="1"/>
      <w:marLeft w:val="0"/>
      <w:marRight w:val="0"/>
      <w:marTop w:val="0"/>
      <w:marBottom w:val="0"/>
      <w:divBdr>
        <w:top w:val="none" w:sz="0" w:space="0" w:color="auto"/>
        <w:left w:val="none" w:sz="0" w:space="0" w:color="auto"/>
        <w:bottom w:val="none" w:sz="0" w:space="0" w:color="auto"/>
        <w:right w:val="none" w:sz="0" w:space="0" w:color="auto"/>
      </w:divBdr>
    </w:div>
    <w:div w:id="1914923439">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78551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3" ma:contentTypeDescription="Create a new document." ma:contentTypeScope="" ma:versionID="e51428b0228e67eced309ab2eb588d06">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438a8809e295465d0786272f204bf628"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Props1.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customXml/itemProps2.xml><?xml version="1.0" encoding="utf-8"?>
<ds:datastoreItem xmlns:ds="http://schemas.openxmlformats.org/officeDocument/2006/customXml" ds:itemID="{021797CD-E91D-4890-BE92-EF8E88B021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247A29-383C-4B1C-9D0B-981471C3DFC7}">
  <ds:schemaRefs>
    <ds:schemaRef ds:uri="http://schemas.microsoft.com/sharepoint/v3/contenttype/forms"/>
  </ds:schemaRefs>
</ds:datastoreItem>
</file>

<file path=customXml/itemProps4.xml><?xml version="1.0" encoding="utf-8"?>
<ds:datastoreItem xmlns:ds="http://schemas.openxmlformats.org/officeDocument/2006/customXml" ds:itemID="{A3E32CAE-4A5A-4DF5-9757-BDA869F4F9FF}">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docMetadata/LabelInfo.xml><?xml version="1.0" encoding="utf-8"?>
<clbl:labelList xmlns:clbl="http://schemas.microsoft.com/office/2020/mipLabelMetadata">
  <clbl:label id="{f743b317-4758-44cb-8b65-8b43e4619766}" enabled="1" method="Standard" siteId="{fdfed7bd-9f6a-44a1-b694-6e39c468c15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33</Pages>
  <Words>12065</Words>
  <Characters>68772</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2025-10-24T05:24:00Z</dcterms:created>
  <dcterms:modified xsi:type="dcterms:W3CDTF">2025-10-30T01:33:00Z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6f91ef21,1bd5e1c0,58f0593e</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cf3dc51,3f117b3f,5bd051e9</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2025-10-24T05:25:16Z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a2d21134-27ba-434a-ba1d-a4f7d9dc846a</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SIP_Label_7cd3e8b9-ffed-43a8-b7f4-cc2fa0382d36_Removed">
    <vt:lpwstr>False</vt:lpwstr>
  </property>
  <property fmtid="{D5CDD505-2E9C-101B-9397-08002B2CF9AE}" pid="17" name="MediaServiceImageTags">
    <vt:lpwstr/>
  </property>
  <property fmtid="{D5CDD505-2E9C-101B-9397-08002B2CF9AE}" pid="18" name="ContentTypeId">
    <vt:lpwstr>0x0101007FED174C5281F747A8037A05221D6DBD</vt:lpwstr>
  </property>
  <property fmtid="{D5CDD505-2E9C-101B-9397-08002B2CF9AE}" pid="19" name="docLang">
    <vt:lpwstr>en</vt:lpwstr>
  </property>
  <property fmtid="{D5CDD505-2E9C-101B-9397-08002B2CF9AE}" pid="20" name="MSIP_Label_7cd3e8b9-ffed-43a8-b7f4-cc2fa0382d36_Extended_MSFT_Method">
    <vt:lpwstr>Standard</vt:lpwstr>
  </property>
  <property fmtid="{D5CDD505-2E9C-101B-9397-08002B2CF9AE}" pid="21" name="Sensitivity">
    <vt:lpwstr>OFFICIAL</vt:lpwstr>
  </property>
</Properties>
</file>