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5715F672" w:rsidR="00B60939" w:rsidRPr="0098262F" w:rsidRDefault="007E1224" w:rsidP="0049200A">
      <w:pPr>
        <w:pStyle w:val="1-MainHeading"/>
      </w:pPr>
      <w:bookmarkStart w:id="0" w:name="_Toc198630205"/>
      <w:bookmarkStart w:id="1" w:name="_Toc198724782"/>
      <w:r>
        <w:t>6</w:t>
      </w:r>
      <w:r w:rsidR="00602B63" w:rsidRPr="00C12C14">
        <w:t>.</w:t>
      </w:r>
      <w:r>
        <w:t>04</w:t>
      </w:r>
      <w:r w:rsidR="001E0E39">
        <w:t xml:space="preserve"> </w:t>
      </w:r>
      <w:r w:rsidR="00BB3B25" w:rsidRPr="00BB3B25">
        <w:t>INCOBOTULINUMTOXINA</w:t>
      </w:r>
      <w:r w:rsidR="00163F66" w:rsidRPr="0098262F">
        <w:t>,</w:t>
      </w:r>
      <w:r w:rsidR="00163F66" w:rsidRPr="0098262F">
        <w:br/>
      </w:r>
      <w:r w:rsidR="00BB3B25" w:rsidRPr="00BB3B25">
        <w:t>Lyophilised powder for injection 100 units</w:t>
      </w:r>
      <w:r w:rsidR="00163F66" w:rsidRPr="0098262F">
        <w:t>,</w:t>
      </w:r>
      <w:r w:rsidR="00163F66" w:rsidRPr="0098262F">
        <w:br/>
      </w:r>
      <w:r w:rsidR="00BB3B25">
        <w:t>Xeomin</w:t>
      </w:r>
      <w:r w:rsidR="00D74385" w:rsidRPr="00D74385">
        <w:rPr>
          <w:vertAlign w:val="superscript"/>
        </w:rPr>
        <w:t>®</w:t>
      </w:r>
      <w:r w:rsidR="004A6040" w:rsidRPr="0098262F">
        <w:t>,</w:t>
      </w:r>
      <w:r w:rsidR="004A6040" w:rsidRPr="0098262F">
        <w:br/>
      </w:r>
      <w:r w:rsidR="00BB3B25" w:rsidRPr="00BB3B25">
        <w:t>Merz Australia Pty Ltd</w:t>
      </w:r>
      <w:r w:rsidR="00B60939" w:rsidRPr="0098262F">
        <w:t>.</w:t>
      </w:r>
      <w:bookmarkEnd w:id="0"/>
      <w:bookmarkEnd w:id="1"/>
      <w:r w:rsidR="00F73E08" w:rsidRPr="0098262F">
        <w:t xml:space="preserve"> </w:t>
      </w:r>
    </w:p>
    <w:p w14:paraId="2981A5B8" w14:textId="77777777" w:rsidR="004A29D1" w:rsidRPr="00407F2D" w:rsidRDefault="004A29D1" w:rsidP="0049200A">
      <w:pPr>
        <w:pStyle w:val="2-SectionHeading"/>
      </w:pPr>
      <w:bookmarkStart w:id="2" w:name="_Toc198630207"/>
      <w:bookmarkStart w:id="3" w:name="_Toc198724785"/>
      <w:r w:rsidRPr="00407F2D">
        <w:t xml:space="preserve">Purpose of </w:t>
      </w:r>
      <w:r>
        <w:t>submission</w:t>
      </w:r>
      <w:bookmarkEnd w:id="2"/>
      <w:bookmarkEnd w:id="3"/>
    </w:p>
    <w:p w14:paraId="19414AA1" w14:textId="584A957A" w:rsidR="002C2775" w:rsidRPr="0098262F" w:rsidRDefault="007170DA" w:rsidP="0049200A">
      <w:pPr>
        <w:pStyle w:val="3-BodyText"/>
      </w:pPr>
      <w:r w:rsidRPr="0098262F">
        <w:t xml:space="preserve">The </w:t>
      </w:r>
      <w:r w:rsidR="00F73E08" w:rsidRPr="0098262F">
        <w:t>Category</w:t>
      </w:r>
      <w:r w:rsidR="001A2DD1">
        <w:t xml:space="preserve"> 2</w:t>
      </w:r>
      <w:r w:rsidR="0031482F">
        <w:t xml:space="preserve"> </w:t>
      </w:r>
      <w:r w:rsidRPr="0098262F">
        <w:t xml:space="preserve">submission requested </w:t>
      </w:r>
      <w:r w:rsidR="0031482F">
        <w:t xml:space="preserve">a </w:t>
      </w:r>
      <w:r w:rsidR="008B1757" w:rsidRPr="0098262F">
        <w:t>Section 100</w:t>
      </w:r>
      <w:r w:rsidR="00787D38">
        <w:t xml:space="preserve"> </w:t>
      </w:r>
      <w:r w:rsidR="00787D38" w:rsidRPr="00787D38">
        <w:t>(Botulinum Toxin Program)</w:t>
      </w:r>
      <w:r w:rsidR="008B1757" w:rsidRPr="0098262F">
        <w:t>, Authority Required</w:t>
      </w:r>
      <w:r w:rsidR="0031482F">
        <w:t xml:space="preserve"> (</w:t>
      </w:r>
      <w:r w:rsidR="00CD4954">
        <w:t>STREAMLINED</w:t>
      </w:r>
      <w:r w:rsidR="0031482F">
        <w:t>)</w:t>
      </w:r>
      <w:r w:rsidR="008B1757" w:rsidRPr="0098262F">
        <w:t xml:space="preserve"> </w:t>
      </w:r>
      <w:r w:rsidR="001E683B" w:rsidRPr="001E683B">
        <w:t>listing of incobotulinumtoxinA</w:t>
      </w:r>
      <w:r w:rsidR="008810D3">
        <w:t xml:space="preserve"> (hereafter named Xeomin</w:t>
      </w:r>
      <w:r w:rsidR="00C47322" w:rsidRPr="00C47322">
        <w:t>®</w:t>
      </w:r>
      <w:r w:rsidR="008810D3">
        <w:t>)</w:t>
      </w:r>
      <w:r w:rsidR="001E683B">
        <w:t xml:space="preserve"> 100 units (U)</w:t>
      </w:r>
      <w:r w:rsidR="008B1757" w:rsidRPr="0098262F">
        <w:t xml:space="preserve"> for </w:t>
      </w:r>
      <w:r w:rsidR="0050174E" w:rsidRPr="0098262F">
        <w:t xml:space="preserve">the </w:t>
      </w:r>
      <w:r w:rsidR="008B1757" w:rsidRPr="0098262F">
        <w:t>treatment of</w:t>
      </w:r>
      <w:r w:rsidR="00D200A1">
        <w:t xml:space="preserve"> </w:t>
      </w:r>
      <w:r w:rsidR="00D200A1" w:rsidRPr="00D200A1">
        <w:t xml:space="preserve">moderate to severe </w:t>
      </w:r>
      <w:r w:rsidR="00787D38" w:rsidRPr="00D200A1">
        <w:t xml:space="preserve">spasticity </w:t>
      </w:r>
      <w:r w:rsidR="00787D38">
        <w:t xml:space="preserve">of the </w:t>
      </w:r>
      <w:r w:rsidR="00D200A1" w:rsidRPr="00D200A1">
        <w:t xml:space="preserve">upper limb and </w:t>
      </w:r>
      <w:r w:rsidR="00787D38" w:rsidRPr="00787D38">
        <w:t>dynamic equinus foot deformity</w:t>
      </w:r>
      <w:r w:rsidR="000D7C14">
        <w:t xml:space="preserve"> </w:t>
      </w:r>
      <w:r w:rsidR="000D7C14" w:rsidRPr="00357BF1">
        <w:t>(</w:t>
      </w:r>
      <w:r w:rsidR="007C7762" w:rsidRPr="00357BF1">
        <w:t>common</w:t>
      </w:r>
      <w:r w:rsidR="000D7C14" w:rsidRPr="00357BF1">
        <w:t xml:space="preserve"> </w:t>
      </w:r>
      <w:r w:rsidR="007C7762" w:rsidRPr="00357BF1">
        <w:t>presentation</w:t>
      </w:r>
      <w:r w:rsidR="000D7C14" w:rsidRPr="00357BF1">
        <w:t xml:space="preserve"> of lower</w:t>
      </w:r>
      <w:r w:rsidR="007C7762" w:rsidRPr="00357BF1">
        <w:t xml:space="preserve"> limb spasticity)</w:t>
      </w:r>
      <w:r w:rsidR="00C27887" w:rsidRPr="00357BF1">
        <w:t xml:space="preserve"> </w:t>
      </w:r>
      <w:r w:rsidR="007E5514" w:rsidRPr="007E5514">
        <w:t xml:space="preserve">due to spasticity </w:t>
      </w:r>
      <w:r w:rsidR="00D200A1" w:rsidRPr="00D200A1">
        <w:t>in patients with cerebral palsy aged 2 years and older.</w:t>
      </w:r>
    </w:p>
    <w:p w14:paraId="4E9FBCB5" w14:textId="06D1D4B2" w:rsidR="00C2778B" w:rsidRPr="0098262F" w:rsidRDefault="005750C5" w:rsidP="0049200A">
      <w:pPr>
        <w:pStyle w:val="3-BodyText"/>
      </w:pPr>
      <w:r w:rsidRPr="0098262F">
        <w:t xml:space="preserve">Listing was requested </w:t>
      </w:r>
      <w:proofErr w:type="gramStart"/>
      <w:r w:rsidRPr="0098262F">
        <w:t>on the basis of</w:t>
      </w:r>
      <w:proofErr w:type="gramEnd"/>
      <w:r w:rsidRPr="0098262F">
        <w:t xml:space="preserve"> a cost-minimisation</w:t>
      </w:r>
      <w:r w:rsidR="001D71F4" w:rsidRPr="0098262F">
        <w:t xml:space="preserve"> approach</w:t>
      </w:r>
      <w:r w:rsidR="004B5FE7">
        <w:t xml:space="preserve"> </w:t>
      </w:r>
      <w:r w:rsidR="00423206">
        <w:t>vs</w:t>
      </w:r>
      <w:r w:rsidR="00787D38">
        <w:t xml:space="preserve"> </w:t>
      </w:r>
      <w:r w:rsidR="00787D38" w:rsidRPr="00787D38">
        <w:t>botulinum toxin type A</w:t>
      </w:r>
      <w:r w:rsidRPr="0098262F">
        <w:t xml:space="preserve"> </w:t>
      </w:r>
      <w:r w:rsidR="00787D38">
        <w:t>(</w:t>
      </w:r>
      <w:r w:rsidR="004B5FE7">
        <w:t>Botox</w:t>
      </w:r>
      <w:r w:rsidR="00787D38">
        <w:t>)</w:t>
      </w:r>
      <w:r w:rsidRPr="0098262F">
        <w:t>.</w:t>
      </w:r>
      <w:r w:rsidR="00C27887">
        <w:t xml:space="preserve"> </w:t>
      </w:r>
      <w:r w:rsidR="00996058" w:rsidRPr="00996058">
        <w:t xml:space="preserve">The key components of the clinical issue addressed by the submission are summarised in </w:t>
      </w:r>
      <w:r w:rsidR="00154D59">
        <w:fldChar w:fldCharType="begin"/>
      </w:r>
      <w:r w:rsidR="00154D59">
        <w:instrText xml:space="preserve"> REF _Ref198637450 \h </w:instrText>
      </w:r>
      <w:r w:rsidR="00154D59">
        <w:fldChar w:fldCharType="separate"/>
      </w:r>
      <w:r w:rsidR="00AD57D3">
        <w:t xml:space="preserve">Table </w:t>
      </w:r>
      <w:r w:rsidR="00AD57D3">
        <w:rPr>
          <w:noProof/>
        </w:rPr>
        <w:t>1</w:t>
      </w:r>
      <w:r w:rsidR="00154D59">
        <w:fldChar w:fldCharType="end"/>
      </w:r>
      <w:r w:rsidR="00996058">
        <w:t>.</w:t>
      </w:r>
    </w:p>
    <w:p w14:paraId="051235B8" w14:textId="797FE50B" w:rsidR="0078757D" w:rsidRDefault="0078757D" w:rsidP="0049200A">
      <w:pPr>
        <w:pStyle w:val="TableFigureHeading"/>
      </w:pPr>
      <w:bookmarkStart w:id="4" w:name="_Ref198637450"/>
      <w:r>
        <w:t xml:space="preserve">Table </w:t>
      </w:r>
      <w:r w:rsidR="00A63BF6">
        <w:fldChar w:fldCharType="begin"/>
      </w:r>
      <w:r w:rsidR="00A63BF6">
        <w:instrText xml:space="preserve"> SEQ Table \* ARABIC </w:instrText>
      </w:r>
      <w:r w:rsidR="00A63BF6">
        <w:fldChar w:fldCharType="separate"/>
      </w:r>
      <w:r w:rsidR="00AD57D3">
        <w:rPr>
          <w:noProof/>
        </w:rPr>
        <w:t>1</w:t>
      </w:r>
      <w:r w:rsidR="00A63BF6">
        <w:rPr>
          <w:noProof/>
        </w:rPr>
        <w:fldChar w:fldCharType="end"/>
      </w:r>
      <w:bookmarkEnd w:id="4"/>
      <w:r>
        <w:t xml:space="preserve">: </w:t>
      </w:r>
      <w:r w:rsidRPr="00291330">
        <w:t>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Description w:val="Table 1: Key components of the clinical issue addressed by the submission (as stated in the submission)"/>
      </w:tblPr>
      <w:tblGrid>
        <w:gridCol w:w="1654"/>
        <w:gridCol w:w="3684"/>
        <w:gridCol w:w="3679"/>
      </w:tblGrid>
      <w:tr w:rsidR="00C82767" w:rsidRPr="0098262F" w14:paraId="419D99E2" w14:textId="77777777" w:rsidTr="0036476B">
        <w:tc>
          <w:tcPr>
            <w:tcW w:w="917" w:type="pct"/>
            <w:vAlign w:val="center"/>
          </w:tcPr>
          <w:p w14:paraId="1F1C24C3" w14:textId="77777777" w:rsidR="00C82767" w:rsidRPr="0098262F" w:rsidRDefault="00C82767" w:rsidP="0049200A">
            <w:pPr>
              <w:pStyle w:val="In-tableHeading"/>
              <w:jc w:val="center"/>
              <w:rPr>
                <w:lang w:val="en-AU"/>
              </w:rPr>
            </w:pPr>
            <w:r w:rsidRPr="0098262F">
              <w:rPr>
                <w:lang w:val="en-AU"/>
              </w:rPr>
              <w:t>Component</w:t>
            </w:r>
          </w:p>
        </w:tc>
        <w:tc>
          <w:tcPr>
            <w:tcW w:w="4083" w:type="pct"/>
            <w:gridSpan w:val="2"/>
            <w:vAlign w:val="center"/>
          </w:tcPr>
          <w:p w14:paraId="15BAFD8C" w14:textId="1EE7A956" w:rsidR="00C82767" w:rsidRPr="0098262F" w:rsidRDefault="00C82767" w:rsidP="0049200A">
            <w:pPr>
              <w:pStyle w:val="In-tableHeading"/>
              <w:jc w:val="center"/>
              <w:rPr>
                <w:lang w:val="en-AU"/>
              </w:rPr>
            </w:pPr>
            <w:r w:rsidRPr="0098262F">
              <w:rPr>
                <w:lang w:val="en-AU"/>
              </w:rPr>
              <w:t>Description</w:t>
            </w:r>
          </w:p>
        </w:tc>
      </w:tr>
      <w:tr w:rsidR="00C82767" w:rsidRPr="0098262F" w14:paraId="20FD109B" w14:textId="77777777" w:rsidTr="0036476B">
        <w:tc>
          <w:tcPr>
            <w:tcW w:w="917" w:type="pct"/>
            <w:vAlign w:val="center"/>
          </w:tcPr>
          <w:p w14:paraId="56254B84" w14:textId="77777777" w:rsidR="00C82767" w:rsidRPr="0098262F" w:rsidRDefault="00C82767" w:rsidP="0049200A">
            <w:pPr>
              <w:pStyle w:val="TableText0"/>
            </w:pPr>
            <w:r w:rsidRPr="0098262F">
              <w:t>Population</w:t>
            </w:r>
          </w:p>
        </w:tc>
        <w:tc>
          <w:tcPr>
            <w:tcW w:w="4083" w:type="pct"/>
            <w:gridSpan w:val="2"/>
            <w:vAlign w:val="center"/>
          </w:tcPr>
          <w:p w14:paraId="6FCEEDAD" w14:textId="77777777" w:rsidR="00C82767" w:rsidRDefault="00C82767" w:rsidP="0049200A">
            <w:pPr>
              <w:pStyle w:val="TableText0"/>
              <w:numPr>
                <w:ilvl w:val="0"/>
                <w:numId w:val="20"/>
              </w:numPr>
            </w:pPr>
            <w:r>
              <w:t>Moderate to severe spasticity of the upper limb in cerebral palsy patients aged ≥2 years.</w:t>
            </w:r>
          </w:p>
          <w:p w14:paraId="7081072C" w14:textId="77777777" w:rsidR="00C82767" w:rsidRPr="0098262F" w:rsidRDefault="00C82767" w:rsidP="0049200A">
            <w:pPr>
              <w:pStyle w:val="TableText0"/>
              <w:numPr>
                <w:ilvl w:val="0"/>
                <w:numId w:val="20"/>
              </w:numPr>
            </w:pPr>
            <w:r>
              <w:t xml:space="preserve">Dynamic equinus foot deformity </w:t>
            </w:r>
            <w:bookmarkStart w:id="5" w:name="_Hlk194930311"/>
            <w:r>
              <w:t>due to spasticity</w:t>
            </w:r>
            <w:bookmarkEnd w:id="5"/>
            <w:r>
              <w:t xml:space="preserve"> in cerebral palsy patients aged ≥2 years.</w:t>
            </w:r>
          </w:p>
        </w:tc>
      </w:tr>
      <w:tr w:rsidR="00C82767" w:rsidRPr="0098262F" w14:paraId="3B852325" w14:textId="77777777" w:rsidTr="0036476B">
        <w:tc>
          <w:tcPr>
            <w:tcW w:w="917" w:type="pct"/>
            <w:vAlign w:val="center"/>
          </w:tcPr>
          <w:p w14:paraId="2772DA42" w14:textId="77777777" w:rsidR="00C82767" w:rsidRPr="0098262F" w:rsidRDefault="00C82767" w:rsidP="0049200A">
            <w:pPr>
              <w:pStyle w:val="TableText0"/>
            </w:pPr>
            <w:r w:rsidRPr="0098262F">
              <w:t>Intervention</w:t>
            </w:r>
          </w:p>
        </w:tc>
        <w:tc>
          <w:tcPr>
            <w:tcW w:w="4083" w:type="pct"/>
            <w:gridSpan w:val="2"/>
            <w:vAlign w:val="center"/>
          </w:tcPr>
          <w:p w14:paraId="7C2BE88B" w14:textId="0BA23D31" w:rsidR="00C82767" w:rsidRPr="0098262F" w:rsidRDefault="00C82767" w:rsidP="0049200A">
            <w:pPr>
              <w:pStyle w:val="TableText0"/>
            </w:pPr>
            <w:r w:rsidRPr="00020D74">
              <w:t>IncobotulinumtoxinA, purified Botulinum toxin type A, free from complexing proteins (X</w:t>
            </w:r>
            <w:r>
              <w:t>eomin</w:t>
            </w:r>
            <w:r w:rsidR="00C47322" w:rsidRPr="00C47322">
              <w:rPr>
                <w:vertAlign w:val="superscript"/>
              </w:rPr>
              <w:t>®</w:t>
            </w:r>
            <w:r w:rsidRPr="00020D74">
              <w:t>)</w:t>
            </w:r>
          </w:p>
        </w:tc>
      </w:tr>
      <w:tr w:rsidR="00C82767" w:rsidRPr="0098262F" w14:paraId="13A4FE6E" w14:textId="77777777" w:rsidTr="0036476B">
        <w:tc>
          <w:tcPr>
            <w:tcW w:w="917" w:type="pct"/>
            <w:vAlign w:val="center"/>
          </w:tcPr>
          <w:p w14:paraId="7DA205A6" w14:textId="77777777" w:rsidR="00C82767" w:rsidRPr="0098262F" w:rsidRDefault="00C82767" w:rsidP="0049200A">
            <w:pPr>
              <w:pStyle w:val="TableText0"/>
            </w:pPr>
            <w:r w:rsidRPr="0098262F">
              <w:t>Comparator</w:t>
            </w:r>
          </w:p>
        </w:tc>
        <w:tc>
          <w:tcPr>
            <w:tcW w:w="4083" w:type="pct"/>
            <w:gridSpan w:val="2"/>
            <w:vAlign w:val="center"/>
          </w:tcPr>
          <w:p w14:paraId="4BBFAEE2" w14:textId="77777777" w:rsidR="00C82767" w:rsidRPr="0098262F" w:rsidRDefault="00C82767" w:rsidP="0049200A">
            <w:pPr>
              <w:pStyle w:val="TableText0"/>
            </w:pPr>
            <w:r w:rsidRPr="00020D74">
              <w:t>Botulinum toxin type A (B</w:t>
            </w:r>
            <w:r>
              <w:t>otox</w:t>
            </w:r>
            <w:r w:rsidRPr="00020D74">
              <w:rPr>
                <w:vertAlign w:val="superscript"/>
              </w:rPr>
              <w:t>®</w:t>
            </w:r>
            <w:r w:rsidRPr="00020D74">
              <w:t>)</w:t>
            </w:r>
          </w:p>
        </w:tc>
      </w:tr>
      <w:tr w:rsidR="00C82767" w:rsidRPr="0098262F" w14:paraId="50A67683" w14:textId="77777777" w:rsidTr="0036476B">
        <w:tc>
          <w:tcPr>
            <w:tcW w:w="917" w:type="pct"/>
            <w:vAlign w:val="center"/>
          </w:tcPr>
          <w:p w14:paraId="3BC16BC6" w14:textId="77777777" w:rsidR="00C82767" w:rsidRPr="0098262F" w:rsidRDefault="00C82767" w:rsidP="0049200A">
            <w:pPr>
              <w:pStyle w:val="TableText0"/>
            </w:pPr>
            <w:r w:rsidRPr="0098262F">
              <w:t>Outcomes</w:t>
            </w:r>
          </w:p>
        </w:tc>
        <w:tc>
          <w:tcPr>
            <w:tcW w:w="2043" w:type="pct"/>
          </w:tcPr>
          <w:p w14:paraId="06504C0C" w14:textId="77777777" w:rsidR="00C82767" w:rsidRPr="007E5514" w:rsidRDefault="00C82767" w:rsidP="0049200A">
            <w:pPr>
              <w:pStyle w:val="TableText0"/>
              <w:rPr>
                <w:b/>
                <w:bCs w:val="0"/>
              </w:rPr>
            </w:pPr>
            <w:r w:rsidRPr="007E5514">
              <w:rPr>
                <w:b/>
                <w:bCs w:val="0"/>
              </w:rPr>
              <w:t>Primary efficacy endpoints:</w:t>
            </w:r>
          </w:p>
          <w:p w14:paraId="518215EA" w14:textId="77777777" w:rsidR="00C82767" w:rsidRPr="007E5514" w:rsidRDefault="00C82767" w:rsidP="0049200A">
            <w:pPr>
              <w:pStyle w:val="TableText0"/>
              <w:rPr>
                <w:u w:val="single"/>
              </w:rPr>
            </w:pPr>
            <w:r w:rsidRPr="007E5514">
              <w:rPr>
                <w:u w:val="single"/>
              </w:rPr>
              <w:t>Moderate to severe spasticity of the upper limb</w:t>
            </w:r>
          </w:p>
          <w:p w14:paraId="068F9CA2" w14:textId="77777777" w:rsidR="00C82767" w:rsidRDefault="00C82767" w:rsidP="0049200A">
            <w:pPr>
              <w:pStyle w:val="TableText0"/>
              <w:numPr>
                <w:ilvl w:val="0"/>
                <w:numId w:val="22"/>
              </w:numPr>
            </w:pPr>
            <w:r>
              <w:t>Change from baseline in Ashworth scale (AS) in the primary clinical target pattern, i.e. elbow flexors or wrist flexors</w:t>
            </w:r>
          </w:p>
          <w:p w14:paraId="4E78B889" w14:textId="77777777" w:rsidR="00C82767" w:rsidRDefault="00C82767" w:rsidP="0049200A">
            <w:pPr>
              <w:pStyle w:val="TableText0"/>
              <w:numPr>
                <w:ilvl w:val="0"/>
                <w:numId w:val="22"/>
              </w:numPr>
            </w:pPr>
            <w:r>
              <w:t>Investigator’s Global Impression of Change Scale (GICS)</w:t>
            </w:r>
          </w:p>
          <w:p w14:paraId="084C36C4" w14:textId="77777777" w:rsidR="00C82767" w:rsidRPr="007E5514" w:rsidRDefault="00C82767" w:rsidP="0049200A">
            <w:pPr>
              <w:pStyle w:val="TableText0"/>
              <w:rPr>
                <w:u w:val="single"/>
              </w:rPr>
            </w:pPr>
            <w:r w:rsidRPr="007E5514">
              <w:rPr>
                <w:u w:val="single"/>
              </w:rPr>
              <w:t>Dynamic equinus foot deformity due to spasticity</w:t>
            </w:r>
          </w:p>
          <w:p w14:paraId="6EDDAC41" w14:textId="77777777" w:rsidR="00C82767" w:rsidRDefault="00C82767" w:rsidP="0049200A">
            <w:pPr>
              <w:pStyle w:val="TableText0"/>
              <w:numPr>
                <w:ilvl w:val="0"/>
                <w:numId w:val="21"/>
              </w:numPr>
            </w:pPr>
            <w:r>
              <w:t>Change from baseline in the AS score of plantar flexors</w:t>
            </w:r>
          </w:p>
          <w:p w14:paraId="49263C83" w14:textId="77777777" w:rsidR="00C82767" w:rsidRDefault="00C82767" w:rsidP="0049200A">
            <w:pPr>
              <w:pStyle w:val="TableText0"/>
              <w:numPr>
                <w:ilvl w:val="0"/>
                <w:numId w:val="21"/>
              </w:numPr>
            </w:pPr>
            <w:r>
              <w:t>Investigator’s GICS</w:t>
            </w:r>
          </w:p>
        </w:tc>
        <w:tc>
          <w:tcPr>
            <w:tcW w:w="2040" w:type="pct"/>
          </w:tcPr>
          <w:p w14:paraId="5AEC5404" w14:textId="77777777" w:rsidR="00C82767" w:rsidRDefault="00C82767" w:rsidP="0049200A">
            <w:pPr>
              <w:pStyle w:val="TableText0"/>
            </w:pPr>
            <w:r w:rsidRPr="00DF16A0">
              <w:rPr>
                <w:b/>
                <w:bCs w:val="0"/>
              </w:rPr>
              <w:t>Primary safety endpoints</w:t>
            </w:r>
            <w:r>
              <w:t>:</w:t>
            </w:r>
          </w:p>
          <w:p w14:paraId="376002E8" w14:textId="77777777" w:rsidR="00C82767" w:rsidRPr="007E5514" w:rsidRDefault="00C82767" w:rsidP="0049200A">
            <w:pPr>
              <w:pStyle w:val="TableText0"/>
              <w:rPr>
                <w:u w:val="single"/>
              </w:rPr>
            </w:pPr>
            <w:r w:rsidRPr="007E5514">
              <w:rPr>
                <w:u w:val="single"/>
              </w:rPr>
              <w:t>Moderate to severe spasticity of the upper limb</w:t>
            </w:r>
          </w:p>
          <w:p w14:paraId="795C55DF" w14:textId="77777777" w:rsidR="00C82767" w:rsidRDefault="00C82767" w:rsidP="0049200A">
            <w:pPr>
              <w:pStyle w:val="TableText0"/>
              <w:numPr>
                <w:ilvl w:val="0"/>
                <w:numId w:val="23"/>
              </w:numPr>
            </w:pPr>
            <w:r>
              <w:t>Occurrence of treatment emergent adverse events (TEAEs) overall and per injection cycle</w:t>
            </w:r>
          </w:p>
          <w:p w14:paraId="665732D0" w14:textId="77777777" w:rsidR="00C82767" w:rsidRDefault="00C82767" w:rsidP="0049200A">
            <w:pPr>
              <w:pStyle w:val="TableText0"/>
            </w:pPr>
          </w:p>
          <w:p w14:paraId="3A45377F" w14:textId="77777777" w:rsidR="00C82767" w:rsidRPr="00F81767" w:rsidRDefault="00C82767" w:rsidP="0049200A">
            <w:pPr>
              <w:pStyle w:val="TableText0"/>
              <w:rPr>
                <w:iCs/>
              </w:rPr>
            </w:pPr>
          </w:p>
          <w:p w14:paraId="0C6EC620" w14:textId="77777777" w:rsidR="00C82767" w:rsidRPr="00DF16A0" w:rsidRDefault="00C82767" w:rsidP="0049200A">
            <w:pPr>
              <w:pStyle w:val="TableText0"/>
              <w:rPr>
                <w:u w:val="single"/>
              </w:rPr>
            </w:pPr>
            <w:r w:rsidRPr="00DF16A0">
              <w:rPr>
                <w:u w:val="single"/>
              </w:rPr>
              <w:t>Dynamic equinus foot deformity due to spasticity</w:t>
            </w:r>
          </w:p>
          <w:p w14:paraId="10B37BF1" w14:textId="77777777" w:rsidR="00C82767" w:rsidRPr="0098262F" w:rsidRDefault="00C82767" w:rsidP="0049200A">
            <w:pPr>
              <w:pStyle w:val="TableText0"/>
              <w:numPr>
                <w:ilvl w:val="0"/>
                <w:numId w:val="23"/>
              </w:numPr>
            </w:pPr>
            <w:r>
              <w:t>Occurrence of TEAEs overall and per injection cycle</w:t>
            </w:r>
          </w:p>
        </w:tc>
      </w:tr>
      <w:tr w:rsidR="00C82767" w:rsidRPr="0098262F" w14:paraId="585ACD8D" w14:textId="77777777" w:rsidTr="0036476B">
        <w:tc>
          <w:tcPr>
            <w:tcW w:w="917" w:type="pct"/>
            <w:vAlign w:val="center"/>
          </w:tcPr>
          <w:p w14:paraId="1D1D4EA4" w14:textId="77777777" w:rsidR="00C82767" w:rsidRPr="0098262F" w:rsidRDefault="00C82767" w:rsidP="0049200A">
            <w:pPr>
              <w:pStyle w:val="TableText0"/>
            </w:pPr>
            <w:r w:rsidRPr="0098262F">
              <w:t>Clinical claim</w:t>
            </w:r>
          </w:p>
        </w:tc>
        <w:tc>
          <w:tcPr>
            <w:tcW w:w="4083" w:type="pct"/>
            <w:gridSpan w:val="2"/>
            <w:vAlign w:val="center"/>
          </w:tcPr>
          <w:p w14:paraId="085EB542" w14:textId="4FDCAB34" w:rsidR="00C82767" w:rsidRDefault="00C82767" w:rsidP="0049200A">
            <w:pPr>
              <w:pStyle w:val="TableText0"/>
              <w:numPr>
                <w:ilvl w:val="0"/>
                <w:numId w:val="23"/>
              </w:numPr>
            </w:pPr>
            <w:r>
              <w:t>Xeomin is non</w:t>
            </w:r>
            <w:r w:rsidR="00C92068">
              <w:t>-</w:t>
            </w:r>
            <w:r>
              <w:t>inferior to Botox for the treatment of moderate to severe upper limb spasticity in individuals with cerebral palsy aged ≥2 years.</w:t>
            </w:r>
          </w:p>
          <w:p w14:paraId="345C69FD" w14:textId="5FA0D88F" w:rsidR="00C82767" w:rsidRPr="0098262F" w:rsidRDefault="00C82767" w:rsidP="0049200A">
            <w:pPr>
              <w:pStyle w:val="TableText0"/>
              <w:numPr>
                <w:ilvl w:val="0"/>
                <w:numId w:val="23"/>
              </w:numPr>
            </w:pPr>
            <w:r>
              <w:t>Xeomin is non</w:t>
            </w:r>
            <w:r w:rsidR="00C92068">
              <w:t>-</w:t>
            </w:r>
            <w:r>
              <w:t>inferior to Botox for the treatment of dynamic equinus foot deformity due to spasticity in individuals with cerebral palsy aged ≥2 years.</w:t>
            </w:r>
          </w:p>
        </w:tc>
      </w:tr>
    </w:tbl>
    <w:p w14:paraId="527CA7F0" w14:textId="13A91560" w:rsidR="004E43B2" w:rsidRDefault="008B1757" w:rsidP="0049200A">
      <w:pPr>
        <w:pStyle w:val="FooterTableFigure"/>
      </w:pPr>
      <w:r w:rsidRPr="0098262F">
        <w:t xml:space="preserve">Source: </w:t>
      </w:r>
      <w:r w:rsidR="00220899" w:rsidRPr="0098262F">
        <w:t>Source: Table</w:t>
      </w:r>
      <w:r w:rsidR="00220899">
        <w:t xml:space="preserve"> 1.1.1</w:t>
      </w:r>
      <w:r w:rsidR="00220899" w:rsidRPr="0098262F">
        <w:t>, pp</w:t>
      </w:r>
      <w:r w:rsidR="00220899">
        <w:t xml:space="preserve"> 1-2</w:t>
      </w:r>
      <w:r w:rsidR="00220899" w:rsidRPr="0098262F">
        <w:t xml:space="preserve"> of the submission</w:t>
      </w:r>
      <w:r w:rsidRPr="0098262F">
        <w:t>.</w:t>
      </w:r>
    </w:p>
    <w:p w14:paraId="6B4AB6C2" w14:textId="7F01D731" w:rsidR="005C25FF" w:rsidRDefault="005C25FF" w:rsidP="0049200A">
      <w:pPr>
        <w:pStyle w:val="2-SectionHeading"/>
      </w:pPr>
      <w:bookmarkStart w:id="6" w:name="_Toc198630208"/>
      <w:bookmarkStart w:id="7" w:name="_Toc198724786"/>
      <w:r w:rsidRPr="0098262F">
        <w:t>Background</w:t>
      </w:r>
      <w:bookmarkEnd w:id="6"/>
      <w:bookmarkEnd w:id="7"/>
    </w:p>
    <w:p w14:paraId="6F46F388" w14:textId="7BC3EAD9" w:rsidR="00DF16A0" w:rsidRPr="00DF16A0" w:rsidRDefault="00DF16A0" w:rsidP="0049200A">
      <w:pPr>
        <w:pStyle w:val="3-BodyText"/>
      </w:pPr>
      <w:r>
        <w:t xml:space="preserve">Xeomin </w:t>
      </w:r>
      <w:r w:rsidRPr="00DF16A0">
        <w:t xml:space="preserve">is currently PBS-listed under Section 100 (Botulinum Toxin Program) for the treatment of blepharospasm, spasmodic torticollis and moderate-to-severe spasticity </w:t>
      </w:r>
      <w:r w:rsidRPr="00DF16A0">
        <w:lastRenderedPageBreak/>
        <w:t>of the upper limb following an acute event for patients aged 18 years or older</w:t>
      </w:r>
      <w:r w:rsidRPr="00F81767">
        <w:rPr>
          <w:iCs/>
        </w:rPr>
        <w:t>. Xeomin is not PBS-listed for any indications in the paediatric</w:t>
      </w:r>
      <w:r w:rsidR="00721883" w:rsidRPr="00F81767">
        <w:rPr>
          <w:iCs/>
        </w:rPr>
        <w:t xml:space="preserve"> </w:t>
      </w:r>
      <w:r w:rsidRPr="00F81767">
        <w:rPr>
          <w:iCs/>
        </w:rPr>
        <w:t>population</w:t>
      </w:r>
      <w:r w:rsidR="006D2D7A" w:rsidRPr="00F81767">
        <w:rPr>
          <w:iCs/>
        </w:rPr>
        <w:t xml:space="preserve"> (aged </w:t>
      </w:r>
      <w:r w:rsidR="005C7A77" w:rsidRPr="00F81767">
        <w:rPr>
          <w:iCs/>
        </w:rPr>
        <w:t>2</w:t>
      </w:r>
      <w:r w:rsidR="006D2D7A" w:rsidRPr="00F81767">
        <w:rPr>
          <w:iCs/>
        </w:rPr>
        <w:t xml:space="preserve"> to 17 years)</w:t>
      </w:r>
      <w:r>
        <w:t>.</w:t>
      </w:r>
    </w:p>
    <w:p w14:paraId="58EF9125" w14:textId="77777777" w:rsidR="004A29D1" w:rsidRPr="004151CF" w:rsidRDefault="004A29D1" w:rsidP="0049200A">
      <w:pPr>
        <w:pStyle w:val="4-SubsectionHeading"/>
        <w:rPr>
          <w:lang w:eastAsia="en-AU"/>
        </w:rPr>
      </w:pPr>
      <w:bookmarkStart w:id="8" w:name="_Toc22897638"/>
      <w:bookmarkStart w:id="9" w:name="_Toc198630209"/>
      <w:bookmarkStart w:id="10" w:name="_Toc198724787"/>
      <w:r w:rsidRPr="004151CF">
        <w:rPr>
          <w:lang w:eastAsia="en-AU"/>
        </w:rPr>
        <w:t>Registration status</w:t>
      </w:r>
      <w:bookmarkEnd w:id="8"/>
      <w:bookmarkEnd w:id="9"/>
      <w:bookmarkEnd w:id="10"/>
    </w:p>
    <w:p w14:paraId="2B845E62" w14:textId="381B1D43" w:rsidR="00AC26D5" w:rsidRDefault="003A7A58" w:rsidP="0049200A">
      <w:pPr>
        <w:pStyle w:val="3-BodyText"/>
      </w:pPr>
      <w:r>
        <w:t>Xeomin</w:t>
      </w:r>
      <w:r w:rsidRPr="00AD740C">
        <w:t xml:space="preserve"> was first </w:t>
      </w:r>
      <w:r w:rsidR="007C679C">
        <w:t>TGA (</w:t>
      </w:r>
      <w:r w:rsidR="007C679C" w:rsidRPr="007C679C">
        <w:t>Therapeutic Goods Administration</w:t>
      </w:r>
      <w:r w:rsidR="009955E8">
        <w:t>)</w:t>
      </w:r>
      <w:r w:rsidR="007C679C">
        <w:t xml:space="preserve"> registered</w:t>
      </w:r>
      <w:r w:rsidRPr="00AD740C">
        <w:t xml:space="preserve"> on 21</w:t>
      </w:r>
      <w:r w:rsidR="00500C27">
        <w:t> </w:t>
      </w:r>
      <w:r w:rsidRPr="00AD740C">
        <w:t>March</w:t>
      </w:r>
      <w:r w:rsidR="00500C27">
        <w:t> </w:t>
      </w:r>
      <w:r w:rsidRPr="00AD740C">
        <w:t>2014</w:t>
      </w:r>
      <w:r>
        <w:t xml:space="preserve"> for the treatment of </w:t>
      </w:r>
      <w:r w:rsidR="005B1CB1" w:rsidRPr="005B1CB1">
        <w:t>cervical dystonia and blepharospasm in adults</w:t>
      </w:r>
      <w:r w:rsidRPr="00AD740C">
        <w:t>.</w:t>
      </w:r>
      <w:r w:rsidR="005B1CB1">
        <w:t xml:space="preserve"> </w:t>
      </w:r>
      <w:r w:rsidR="00AD740C">
        <w:t>Xeomin</w:t>
      </w:r>
      <w:r w:rsidR="00AD740C" w:rsidRPr="00AD740C">
        <w:t xml:space="preserve"> was TGA registered in November 2023 for </w:t>
      </w:r>
      <w:r w:rsidR="0037491F">
        <w:t>the symptomatic</w:t>
      </w:r>
      <w:r w:rsidR="00704177">
        <w:t xml:space="preserve"> treatment of paediatric spasticity </w:t>
      </w:r>
      <w:r w:rsidR="00FE7FE9">
        <w:t xml:space="preserve">of the lower and/or upper limb </w:t>
      </w:r>
      <w:r w:rsidR="00FF29FD">
        <w:t xml:space="preserve">in children and adolescents </w:t>
      </w:r>
      <w:r w:rsidR="00AD740C" w:rsidRPr="00AD740C">
        <w:t>(aged 2-17 years)</w:t>
      </w:r>
      <w:r w:rsidR="0065677C">
        <w:t xml:space="preserve"> and </w:t>
      </w:r>
      <w:r w:rsidR="00566175">
        <w:t>spasticity of the upper limb in adults (</w:t>
      </w:r>
      <w:r w:rsidR="0065507D" w:rsidRPr="0065507D">
        <w:t>≥18 years</w:t>
      </w:r>
      <w:r w:rsidR="00566175">
        <w:t>)</w:t>
      </w:r>
      <w:r w:rsidR="00AD740C" w:rsidRPr="00AD740C">
        <w:t>.</w:t>
      </w:r>
    </w:p>
    <w:p w14:paraId="36962ABE" w14:textId="7226A6A0" w:rsidR="00AC26D5" w:rsidRDefault="00AC26D5" w:rsidP="0049200A">
      <w:pPr>
        <w:pStyle w:val="3-BodyText"/>
      </w:pPr>
      <w:r>
        <w:t xml:space="preserve">The TGA indications for </w:t>
      </w:r>
      <w:r w:rsidR="002F546D">
        <w:t>Xeomin</w:t>
      </w:r>
      <w:r>
        <w:t xml:space="preserve"> for adults are for the treatment of:</w:t>
      </w:r>
    </w:p>
    <w:p w14:paraId="39F281FB" w14:textId="5848F688" w:rsidR="00AC26D5" w:rsidRDefault="00AC26D5" w:rsidP="0049200A">
      <w:pPr>
        <w:pStyle w:val="3-BodyText"/>
        <w:numPr>
          <w:ilvl w:val="1"/>
          <w:numId w:val="24"/>
        </w:numPr>
        <w:ind w:left="1134"/>
      </w:pPr>
      <w:r>
        <w:t>Cervical dystonia (spasmodic torticollis)</w:t>
      </w:r>
      <w:r w:rsidR="005F6710">
        <w:t>,</w:t>
      </w:r>
    </w:p>
    <w:p w14:paraId="2771548D" w14:textId="77777777" w:rsidR="00AC26D5" w:rsidRDefault="00AC26D5" w:rsidP="0049200A">
      <w:pPr>
        <w:pStyle w:val="3-BodyText"/>
        <w:numPr>
          <w:ilvl w:val="1"/>
          <w:numId w:val="24"/>
        </w:numPr>
        <w:ind w:left="1134"/>
      </w:pPr>
      <w:r>
        <w:t>Blepharospasm,</w:t>
      </w:r>
    </w:p>
    <w:p w14:paraId="41C55AF2" w14:textId="77777777" w:rsidR="00AC26D5" w:rsidRDefault="00AC26D5" w:rsidP="0049200A">
      <w:pPr>
        <w:pStyle w:val="3-BodyText"/>
        <w:numPr>
          <w:ilvl w:val="1"/>
          <w:numId w:val="24"/>
        </w:numPr>
        <w:ind w:left="1134"/>
      </w:pPr>
      <w:r>
        <w:t>Spasticity of the upper limb,</w:t>
      </w:r>
    </w:p>
    <w:p w14:paraId="066E48DF" w14:textId="2512412F" w:rsidR="00632B28" w:rsidRPr="0083589B" w:rsidRDefault="00632B28" w:rsidP="0049200A">
      <w:pPr>
        <w:pStyle w:val="3-BodyText"/>
        <w:numPr>
          <w:ilvl w:val="1"/>
          <w:numId w:val="24"/>
        </w:numPr>
        <w:ind w:left="1134"/>
      </w:pPr>
      <w:r w:rsidRPr="0083589B">
        <w:t>Unilateral spasticity of the lower limb affecting the ankle joint</w:t>
      </w:r>
    </w:p>
    <w:p w14:paraId="4B3ED8D2" w14:textId="77777777" w:rsidR="00AC26D5" w:rsidRPr="0083589B" w:rsidRDefault="00AC26D5" w:rsidP="0049200A">
      <w:pPr>
        <w:pStyle w:val="3-BodyText"/>
        <w:numPr>
          <w:ilvl w:val="1"/>
          <w:numId w:val="24"/>
        </w:numPr>
        <w:ind w:left="1134"/>
      </w:pPr>
      <w:r w:rsidRPr="0083589B">
        <w:t>Chronic sialorrhea due to neurological disorders,</w:t>
      </w:r>
    </w:p>
    <w:p w14:paraId="4510C123" w14:textId="77777777" w:rsidR="00AC26D5" w:rsidRDefault="00AC26D5" w:rsidP="0049200A">
      <w:pPr>
        <w:pStyle w:val="3-BodyText"/>
        <w:numPr>
          <w:ilvl w:val="1"/>
          <w:numId w:val="24"/>
        </w:numPr>
        <w:ind w:left="1134"/>
      </w:pPr>
      <w:r>
        <w:t>Upper facial lines:</w:t>
      </w:r>
    </w:p>
    <w:p w14:paraId="2ECE352E" w14:textId="77777777" w:rsidR="00AC26D5" w:rsidRDefault="00AC26D5" w:rsidP="0049200A">
      <w:pPr>
        <w:pStyle w:val="3-BodyText"/>
        <w:numPr>
          <w:ilvl w:val="1"/>
          <w:numId w:val="25"/>
        </w:numPr>
        <w:ind w:left="1560"/>
      </w:pPr>
      <w:r>
        <w:t>Glabellar frown lines,</w:t>
      </w:r>
    </w:p>
    <w:p w14:paraId="55433659" w14:textId="77777777" w:rsidR="002F546D" w:rsidRDefault="00AC26D5" w:rsidP="0049200A">
      <w:pPr>
        <w:pStyle w:val="3-BodyText"/>
        <w:numPr>
          <w:ilvl w:val="1"/>
          <w:numId w:val="25"/>
        </w:numPr>
        <w:ind w:left="1560"/>
      </w:pPr>
      <w:r>
        <w:t>Lateral periorbital lines (crow's feet),</w:t>
      </w:r>
    </w:p>
    <w:p w14:paraId="52D27E15" w14:textId="0DD591B3" w:rsidR="00D514EC" w:rsidRPr="00D514EC" w:rsidRDefault="00AC26D5" w:rsidP="0049200A">
      <w:pPr>
        <w:pStyle w:val="3-BodyText"/>
        <w:numPr>
          <w:ilvl w:val="1"/>
          <w:numId w:val="25"/>
        </w:numPr>
        <w:ind w:left="1560"/>
      </w:pPr>
      <w:r>
        <w:t>Horizontal forehead lines.</w:t>
      </w:r>
      <w:r w:rsidR="00AD740C" w:rsidRPr="00AD740C">
        <w:t xml:space="preserve"> </w:t>
      </w:r>
    </w:p>
    <w:p w14:paraId="2B7893BA" w14:textId="5B868317" w:rsidR="00632B28" w:rsidRPr="00446D7C" w:rsidRDefault="00A72E11" w:rsidP="0049200A">
      <w:pPr>
        <w:pStyle w:val="3-BodyText"/>
      </w:pPr>
      <w:r w:rsidRPr="00446D7C">
        <w:t>Xeomin</w:t>
      </w:r>
      <w:r w:rsidR="00BF3249">
        <w:t xml:space="preserve"> </w:t>
      </w:r>
      <w:r w:rsidR="00CD3E82">
        <w:t>was</w:t>
      </w:r>
      <w:r w:rsidR="00BF3249">
        <w:t xml:space="preserve"> TGA registered</w:t>
      </w:r>
      <w:r w:rsidRPr="00446D7C">
        <w:t xml:space="preserve"> </w:t>
      </w:r>
      <w:r w:rsidR="00CD3E82">
        <w:t>for adults</w:t>
      </w:r>
      <w:r w:rsidR="00BF3249">
        <w:t xml:space="preserve"> with</w:t>
      </w:r>
      <w:r w:rsidR="007A7A8E" w:rsidRPr="00446D7C">
        <w:t xml:space="preserve"> </w:t>
      </w:r>
      <w:r w:rsidR="00446D7C">
        <w:t xml:space="preserve">unilateral </w:t>
      </w:r>
      <w:r w:rsidR="00446D7C" w:rsidRPr="00446D7C">
        <w:t>spasticity of the lower limb affecting the ankle joint</w:t>
      </w:r>
      <w:r w:rsidR="00BF3249">
        <w:t xml:space="preserve"> on 8 May 2025. </w:t>
      </w:r>
      <w:r w:rsidR="001A75C8">
        <w:t>The</w:t>
      </w:r>
      <w:r w:rsidR="008942B0">
        <w:t xml:space="preserve"> Economic Sub-Committee</w:t>
      </w:r>
      <w:r w:rsidR="001A75C8">
        <w:t xml:space="preserve"> </w:t>
      </w:r>
      <w:r w:rsidR="008942B0">
        <w:t>(</w:t>
      </w:r>
      <w:r w:rsidR="001A75C8">
        <w:t>ESC</w:t>
      </w:r>
      <w:r w:rsidR="008942B0">
        <w:t>)</w:t>
      </w:r>
      <w:r w:rsidR="001A75C8">
        <w:t xml:space="preserve"> noted that </w:t>
      </w:r>
      <w:r w:rsidR="00707578">
        <w:t xml:space="preserve">TGA registration for this indication </w:t>
      </w:r>
      <w:r w:rsidR="00FD07BD">
        <w:t xml:space="preserve">was based on </w:t>
      </w:r>
      <w:r w:rsidR="00A74F1D">
        <w:t xml:space="preserve">a </w:t>
      </w:r>
      <w:r w:rsidR="00A74F1D" w:rsidRPr="00A74F1D">
        <w:t>double-blind, placebo-controlled Phase III clinical trial</w:t>
      </w:r>
      <w:r w:rsidR="00A85EE5">
        <w:t xml:space="preserve"> in </w:t>
      </w:r>
      <w:r w:rsidR="00143FB1">
        <w:t xml:space="preserve">adult </w:t>
      </w:r>
      <w:r w:rsidR="00A85EE5">
        <w:t xml:space="preserve">patients </w:t>
      </w:r>
      <w:r w:rsidR="00A85EE5" w:rsidRPr="00A85EE5">
        <w:t>with unilateral lower-limb spasticity and possessing equinus foot deformity caused by a stroke</w:t>
      </w:r>
      <w:r w:rsidR="008C183E">
        <w:t>.</w:t>
      </w:r>
    </w:p>
    <w:p w14:paraId="20876814" w14:textId="21E363CE" w:rsidR="002F546D" w:rsidRDefault="002F546D" w:rsidP="0049200A">
      <w:pPr>
        <w:pStyle w:val="3-BodyText"/>
      </w:pPr>
      <w:r>
        <w:t xml:space="preserve">The TGA indications for </w:t>
      </w:r>
      <w:r w:rsidR="000747FA">
        <w:t>Xeomin</w:t>
      </w:r>
      <w:r>
        <w:t xml:space="preserve"> for children and adolescents aged 2 years to 17 years are for the symptomatic treatment of:</w:t>
      </w:r>
    </w:p>
    <w:p w14:paraId="2A72979D" w14:textId="77777777" w:rsidR="002F546D" w:rsidRDefault="002F546D" w:rsidP="0049200A">
      <w:pPr>
        <w:pStyle w:val="3-BodyText"/>
        <w:numPr>
          <w:ilvl w:val="1"/>
          <w:numId w:val="24"/>
        </w:numPr>
        <w:ind w:left="1134"/>
      </w:pPr>
      <w:r>
        <w:t>Chronic sialorrhea due to neurological/neurodevelopmental disorders,</w:t>
      </w:r>
    </w:p>
    <w:p w14:paraId="3550F201" w14:textId="092F2001" w:rsidR="002F546D" w:rsidRPr="002F546D" w:rsidRDefault="002F546D" w:rsidP="0049200A">
      <w:pPr>
        <w:pStyle w:val="3-BodyText"/>
        <w:numPr>
          <w:ilvl w:val="1"/>
          <w:numId w:val="24"/>
        </w:numPr>
        <w:ind w:left="1134"/>
      </w:pPr>
      <w:r>
        <w:t>Spasticity of the lower and/or upper limbs.</w:t>
      </w:r>
    </w:p>
    <w:p w14:paraId="5374AD55" w14:textId="4ECED849" w:rsidR="005C25FF" w:rsidRPr="0098262F" w:rsidRDefault="00593018" w:rsidP="0049200A">
      <w:pPr>
        <w:pStyle w:val="3-BodyText"/>
      </w:pPr>
      <w:r w:rsidRPr="00593018">
        <w:t>Xeomin is</w:t>
      </w:r>
      <w:r>
        <w:t xml:space="preserve"> </w:t>
      </w:r>
      <w:r w:rsidR="005E4CF8">
        <w:t xml:space="preserve">approved by the Food and Drug </w:t>
      </w:r>
      <w:r w:rsidR="00D219B8">
        <w:t>A</w:t>
      </w:r>
      <w:r w:rsidR="005E4CF8">
        <w:t xml:space="preserve">dministration </w:t>
      </w:r>
      <w:r w:rsidR="00D219B8">
        <w:t xml:space="preserve">for upper limb </w:t>
      </w:r>
      <w:r w:rsidR="00D219B8" w:rsidRPr="00D219B8">
        <w:t>spasticity in children and adolescents aged 2-17 years, excluding cerebral palsy-related cases</w:t>
      </w:r>
      <w:r w:rsidR="00F72D61">
        <w:t xml:space="preserve">. The European Medicines Agency has approved it </w:t>
      </w:r>
      <w:r>
        <w:t>for</w:t>
      </w:r>
      <w:r w:rsidR="00F72D61">
        <w:t xml:space="preserve"> </w:t>
      </w:r>
      <w:r w:rsidR="00F72D61" w:rsidRPr="00593018">
        <w:t>adult upper limb spasticity only</w:t>
      </w:r>
      <w:r w:rsidR="00F72D61">
        <w:t>.</w:t>
      </w:r>
      <w:r w:rsidR="00C27887">
        <w:t xml:space="preserve"> </w:t>
      </w:r>
    </w:p>
    <w:p w14:paraId="0B6C1E47" w14:textId="77777777" w:rsidR="00785588" w:rsidRDefault="00785588" w:rsidP="0049200A">
      <w:pPr>
        <w:pStyle w:val="4-SubsectionHeading"/>
        <w:rPr>
          <w:lang w:eastAsia="en-AU"/>
        </w:rPr>
      </w:pPr>
      <w:bookmarkStart w:id="11" w:name="_Toc22897639"/>
      <w:bookmarkStart w:id="12" w:name="_Toc198630210"/>
      <w:bookmarkStart w:id="13" w:name="_Toc198724788"/>
      <w:bookmarkStart w:id="14" w:name="_Hlk112059474"/>
      <w:r w:rsidRPr="00621ADA">
        <w:rPr>
          <w:lang w:eastAsia="en-AU"/>
        </w:rPr>
        <w:t>Previous PBAC consideration</w:t>
      </w:r>
      <w:bookmarkEnd w:id="11"/>
      <w:bookmarkEnd w:id="12"/>
      <w:bookmarkEnd w:id="13"/>
    </w:p>
    <w:bookmarkEnd w:id="14"/>
    <w:p w14:paraId="1A18489B" w14:textId="3C3BADE8" w:rsidR="009234BC" w:rsidRPr="009234BC" w:rsidRDefault="009234BC" w:rsidP="0049200A">
      <w:pPr>
        <w:pStyle w:val="3-BodyText"/>
      </w:pPr>
      <w:r w:rsidRPr="009234BC">
        <w:t xml:space="preserve">The Pharmaceutical Benefits Advisory Committee (PBAC) has not previously considered </w:t>
      </w:r>
      <w:r>
        <w:t>Xeomin</w:t>
      </w:r>
      <w:r w:rsidRPr="009234BC">
        <w:t xml:space="preserve"> for th</w:t>
      </w:r>
      <w:r>
        <w:t xml:space="preserve">e </w:t>
      </w:r>
      <w:r w:rsidR="007C62D4" w:rsidRPr="007C62D4">
        <w:t>treatment of moderate-to-severe spasticity of the upper limb and dynamic equinus foot deformity due to spasticity in patients with cerebral palsy aged</w:t>
      </w:r>
      <w:r w:rsidR="007C62D4">
        <w:t xml:space="preserve"> 2 years and older</w:t>
      </w:r>
      <w:r>
        <w:t>.</w:t>
      </w:r>
    </w:p>
    <w:p w14:paraId="27105E2F" w14:textId="7CEF7453" w:rsidR="00ED4B04" w:rsidRPr="007C62D4" w:rsidRDefault="0098264D" w:rsidP="0049200A">
      <w:pPr>
        <w:pStyle w:val="3-BodyText"/>
        <w:rPr>
          <w:color w:val="0066FF"/>
        </w:rPr>
      </w:pPr>
      <w:r>
        <w:lastRenderedPageBreak/>
        <w:t xml:space="preserve">The PBAC previously recommended Xeomin for the treatment of blepharospasm (item 10994P), spasmodic torticollis or cervical dystonia (item 11005F), and moderate to severe spasticity of the upper limb/s following an acute event (item 12087E) in </w:t>
      </w:r>
      <w:r w:rsidR="003C3FE9">
        <w:t>adults (</w:t>
      </w:r>
      <w:r w:rsidR="003C3FE9">
        <w:rPr>
          <w:rFonts w:cstheme="minorHAnsi"/>
        </w:rPr>
        <w:t>≥</w:t>
      </w:r>
      <w:r w:rsidR="003C3FE9">
        <w:t>18 years)</w:t>
      </w:r>
      <w:r w:rsidR="00EE4FDA">
        <w:t xml:space="preserve"> </w:t>
      </w:r>
      <w:r>
        <w:t>(para</w:t>
      </w:r>
      <w:r w:rsidR="007527D8">
        <w:t>graph</w:t>
      </w:r>
      <w:r>
        <w:t xml:space="preserve"> 7.1, IncobotulinumtoxinA</w:t>
      </w:r>
      <w:r w:rsidR="007527D8">
        <w:t xml:space="preserve"> (Xeomin)</w:t>
      </w:r>
      <w:r>
        <w:t>, Public Summary Document (PSD), July 2014 PBAC Meeting; para</w:t>
      </w:r>
      <w:r w:rsidR="007527D8">
        <w:t>graph</w:t>
      </w:r>
      <w:r>
        <w:t xml:space="preserve"> 6.1, </w:t>
      </w:r>
      <w:r w:rsidR="00A87CA8">
        <w:t>Xeomin</w:t>
      </w:r>
      <w:r>
        <w:t xml:space="preserve">, PSD, November 2019 PBAC Meeting). </w:t>
      </w:r>
    </w:p>
    <w:p w14:paraId="7AB8E2AB" w14:textId="78763F42" w:rsidR="007C62D4" w:rsidRDefault="004C4581" w:rsidP="0049200A">
      <w:pPr>
        <w:pStyle w:val="3-BodyText"/>
      </w:pPr>
      <w:r>
        <w:fldChar w:fldCharType="begin"/>
      </w:r>
      <w:r>
        <w:instrText xml:space="preserve"> REF _Ref198638068 \h </w:instrText>
      </w:r>
      <w:r>
        <w:fldChar w:fldCharType="separate"/>
      </w:r>
      <w:r w:rsidR="00AD57D3">
        <w:t xml:space="preserve">Table </w:t>
      </w:r>
      <w:r w:rsidR="00AD57D3">
        <w:rPr>
          <w:noProof/>
        </w:rPr>
        <w:t>2</w:t>
      </w:r>
      <w:r>
        <w:fldChar w:fldCharType="end"/>
      </w:r>
      <w:r w:rsidR="007C62D4">
        <w:t xml:space="preserve"> </w:t>
      </w:r>
      <w:r w:rsidR="007F5765">
        <w:t>presents</w:t>
      </w:r>
      <w:r w:rsidR="007C62D4" w:rsidRPr="007C62D4">
        <w:t xml:space="preserve"> the previous</w:t>
      </w:r>
      <w:r w:rsidR="00E96D63">
        <w:t xml:space="preserve"> key </w:t>
      </w:r>
      <w:r w:rsidR="007C62D4" w:rsidRPr="007C62D4">
        <w:t xml:space="preserve">PBAC </w:t>
      </w:r>
      <w:r w:rsidR="0032763F">
        <w:t>positive recommendations</w:t>
      </w:r>
      <w:r w:rsidR="0032763F" w:rsidRPr="007C62D4">
        <w:t xml:space="preserve"> </w:t>
      </w:r>
      <w:r w:rsidR="007C62D4" w:rsidRPr="007C62D4">
        <w:t xml:space="preserve">of the </w:t>
      </w:r>
      <w:r w:rsidR="006A2EAF">
        <w:t>three</w:t>
      </w:r>
      <w:r w:rsidR="006A2EAF" w:rsidRPr="007C62D4">
        <w:t xml:space="preserve"> </w:t>
      </w:r>
      <w:r w:rsidR="007C62D4" w:rsidRPr="007C62D4">
        <w:t>listed botulinum toxin preparations: incobotulinumtoxinA (Xeomin), botulinum toxin type A (Botox), and clostridium botulinum type A toxin-haemagglutinin complex (Dysport).</w:t>
      </w:r>
    </w:p>
    <w:p w14:paraId="1BB0D2A4" w14:textId="77777777" w:rsidR="007C62D4" w:rsidRDefault="007C62D4" w:rsidP="0049200A">
      <w:pPr>
        <w:pStyle w:val="3-BodyText"/>
        <w:numPr>
          <w:ilvl w:val="0"/>
          <w:numId w:val="0"/>
        </w:numPr>
      </w:pPr>
    </w:p>
    <w:p w14:paraId="513C783D" w14:textId="5C962BD3" w:rsidR="00154D59" w:rsidRDefault="00154D59" w:rsidP="0049200A">
      <w:pPr>
        <w:pStyle w:val="TableFigureHeading"/>
      </w:pPr>
      <w:bookmarkStart w:id="15" w:name="_Ref198638068"/>
      <w:r>
        <w:t xml:space="preserve">Table </w:t>
      </w:r>
      <w:r w:rsidR="00A63BF6">
        <w:fldChar w:fldCharType="begin"/>
      </w:r>
      <w:r w:rsidR="00A63BF6">
        <w:instrText xml:space="preserve"> SEQ Table \* ARABIC </w:instrText>
      </w:r>
      <w:r w:rsidR="00A63BF6">
        <w:fldChar w:fldCharType="separate"/>
      </w:r>
      <w:r w:rsidR="00AD57D3">
        <w:rPr>
          <w:noProof/>
        </w:rPr>
        <w:t>2</w:t>
      </w:r>
      <w:r w:rsidR="00A63BF6">
        <w:rPr>
          <w:noProof/>
        </w:rPr>
        <w:fldChar w:fldCharType="end"/>
      </w:r>
      <w:bookmarkEnd w:id="15"/>
      <w:r>
        <w:t xml:space="preserve">: </w:t>
      </w:r>
      <w:r w:rsidRPr="004C008C">
        <w:t>List of recommended submissions of Xeomin, Botox, and Dysport</w:t>
      </w:r>
    </w:p>
    <w:tbl>
      <w:tblPr>
        <w:tblStyle w:val="TableGrid"/>
        <w:tblW w:w="5000" w:type="pct"/>
        <w:tblLook w:val="04A0" w:firstRow="1" w:lastRow="0" w:firstColumn="1" w:lastColumn="0" w:noHBand="0" w:noVBand="1"/>
        <w:tblCaption w:val="Table 2: List of recommended submissions of Xeomin, Botox, and Dysport"/>
      </w:tblPr>
      <w:tblGrid>
        <w:gridCol w:w="2873"/>
        <w:gridCol w:w="6144"/>
      </w:tblGrid>
      <w:tr w:rsidR="0093392C" w:rsidRPr="0041511C" w14:paraId="4E39235A" w14:textId="77777777" w:rsidTr="0093392C">
        <w:tc>
          <w:tcPr>
            <w:tcW w:w="1593" w:type="pct"/>
          </w:tcPr>
          <w:p w14:paraId="723D7F23" w14:textId="77777777" w:rsidR="0093392C" w:rsidRPr="0041511C" w:rsidRDefault="0093392C" w:rsidP="0049200A">
            <w:pPr>
              <w:pStyle w:val="In-tableHeading"/>
              <w:jc w:val="center"/>
            </w:pPr>
            <w:r w:rsidRPr="0041511C">
              <w:t>Date</w:t>
            </w:r>
          </w:p>
        </w:tc>
        <w:tc>
          <w:tcPr>
            <w:tcW w:w="3407" w:type="pct"/>
          </w:tcPr>
          <w:p w14:paraId="3C4365F7" w14:textId="77777777" w:rsidR="0093392C" w:rsidRPr="0041511C" w:rsidRDefault="0093392C" w:rsidP="0049200A">
            <w:pPr>
              <w:pStyle w:val="In-tableHeading"/>
              <w:jc w:val="center"/>
            </w:pPr>
            <w:r w:rsidRPr="0041511C">
              <w:t>Requested listing</w:t>
            </w:r>
          </w:p>
        </w:tc>
      </w:tr>
      <w:tr w:rsidR="0093392C" w:rsidRPr="0041511C" w14:paraId="1E4B717D" w14:textId="77777777" w:rsidTr="0093392C">
        <w:tc>
          <w:tcPr>
            <w:tcW w:w="5000" w:type="pct"/>
            <w:gridSpan w:val="2"/>
          </w:tcPr>
          <w:p w14:paraId="239DD180" w14:textId="35C1B6F8" w:rsidR="0093392C" w:rsidRPr="0041511C" w:rsidRDefault="0093392C" w:rsidP="0049200A">
            <w:pPr>
              <w:pStyle w:val="In-tableHeading"/>
            </w:pPr>
            <w:r w:rsidRPr="00065AFF">
              <w:t>List of previous Xeomin PBAC considerations</w:t>
            </w:r>
          </w:p>
        </w:tc>
      </w:tr>
      <w:tr w:rsidR="0093392C" w:rsidRPr="0041511C" w14:paraId="32BDFCE6" w14:textId="77777777" w:rsidTr="0093392C">
        <w:tc>
          <w:tcPr>
            <w:tcW w:w="1593" w:type="pct"/>
          </w:tcPr>
          <w:p w14:paraId="2A4AF019" w14:textId="77777777" w:rsidR="0093392C" w:rsidRPr="009842C9" w:rsidRDefault="0093392C" w:rsidP="0049200A">
            <w:pPr>
              <w:pStyle w:val="TableText0"/>
            </w:pPr>
            <w:r w:rsidRPr="009842C9">
              <w:t>July 2014 meeting</w:t>
            </w:r>
          </w:p>
        </w:tc>
        <w:tc>
          <w:tcPr>
            <w:tcW w:w="3407" w:type="pct"/>
          </w:tcPr>
          <w:p w14:paraId="17E9A838" w14:textId="77777777" w:rsidR="0093392C" w:rsidRPr="009842C9" w:rsidRDefault="0093392C" w:rsidP="0049200A">
            <w:pPr>
              <w:pStyle w:val="TableText0"/>
            </w:pPr>
            <w:r w:rsidRPr="009842C9">
              <w:t>Spasmodic torticollis in patients 18 years or older</w:t>
            </w:r>
          </w:p>
        </w:tc>
      </w:tr>
      <w:tr w:rsidR="0093392C" w:rsidRPr="0041511C" w14:paraId="4F943C2D" w14:textId="77777777" w:rsidTr="0093392C">
        <w:tc>
          <w:tcPr>
            <w:tcW w:w="1593" w:type="pct"/>
          </w:tcPr>
          <w:p w14:paraId="3D9BC7D1" w14:textId="77777777" w:rsidR="0093392C" w:rsidRPr="009842C9" w:rsidRDefault="0093392C" w:rsidP="0049200A">
            <w:pPr>
              <w:pStyle w:val="TableText0"/>
            </w:pPr>
            <w:r w:rsidRPr="009842C9">
              <w:t>November 2019 meeting</w:t>
            </w:r>
          </w:p>
        </w:tc>
        <w:tc>
          <w:tcPr>
            <w:tcW w:w="3407" w:type="pct"/>
          </w:tcPr>
          <w:p w14:paraId="1C4D629D" w14:textId="77777777" w:rsidR="0093392C" w:rsidRPr="009842C9" w:rsidRDefault="0093392C" w:rsidP="0049200A">
            <w:pPr>
              <w:pStyle w:val="TableText0"/>
            </w:pPr>
            <w:r w:rsidRPr="009842C9">
              <w:t>Treatment of moderate to severe spasticity of the upper limb following an acute event in patients 18 years or older</w:t>
            </w:r>
          </w:p>
        </w:tc>
      </w:tr>
      <w:tr w:rsidR="0093392C" w:rsidRPr="0041511C" w14:paraId="2EA73EB0" w14:textId="77777777" w:rsidTr="0093392C">
        <w:tc>
          <w:tcPr>
            <w:tcW w:w="5000" w:type="pct"/>
            <w:gridSpan w:val="2"/>
          </w:tcPr>
          <w:p w14:paraId="703F998A" w14:textId="4F5F9171" w:rsidR="0093392C" w:rsidRPr="009842C9" w:rsidRDefault="0093392C" w:rsidP="0049200A">
            <w:pPr>
              <w:pStyle w:val="In-tableHeading"/>
            </w:pPr>
            <w:r w:rsidRPr="00065AFF">
              <w:t>List of previous Botox PBAC considerations for the requested indications</w:t>
            </w:r>
          </w:p>
        </w:tc>
      </w:tr>
      <w:tr w:rsidR="0093392C" w:rsidRPr="00FA2182" w14:paraId="037E5E27" w14:textId="77777777" w:rsidTr="0093392C">
        <w:tc>
          <w:tcPr>
            <w:tcW w:w="1593" w:type="pct"/>
          </w:tcPr>
          <w:p w14:paraId="5E0E8AA0" w14:textId="67028778" w:rsidR="0093392C" w:rsidRPr="009842C9" w:rsidRDefault="0093392C" w:rsidP="0049200A">
            <w:pPr>
              <w:pStyle w:val="TableText0"/>
            </w:pPr>
            <w:r w:rsidRPr="009842C9">
              <w:t>December 1999 meeting</w:t>
            </w:r>
            <w:r>
              <w:rPr>
                <w:vertAlign w:val="superscript"/>
              </w:rPr>
              <w:t xml:space="preserve"> </w:t>
            </w:r>
          </w:p>
        </w:tc>
        <w:tc>
          <w:tcPr>
            <w:tcW w:w="3407" w:type="pct"/>
          </w:tcPr>
          <w:p w14:paraId="6EE8F7D6" w14:textId="03533472" w:rsidR="0093392C" w:rsidRPr="009842C9" w:rsidRDefault="0093392C" w:rsidP="0049200A">
            <w:pPr>
              <w:pStyle w:val="TableText0"/>
            </w:pPr>
            <w:r w:rsidRPr="009842C9">
              <w:t xml:space="preserve">Treatment of dynamic equinus foot deformity due to spasticity in juvenile cerebral palsy patients </w:t>
            </w:r>
            <w:r>
              <w:t>2</w:t>
            </w:r>
            <w:r w:rsidRPr="009842C9">
              <w:t xml:space="preserve"> years of age and older</w:t>
            </w:r>
            <w:r>
              <w:rPr>
                <w:vertAlign w:val="superscript"/>
              </w:rPr>
              <w:t xml:space="preserve"> a</w:t>
            </w:r>
          </w:p>
        </w:tc>
      </w:tr>
      <w:tr w:rsidR="0093392C" w:rsidRPr="00FA2182" w14:paraId="74B2A8CC" w14:textId="77777777" w:rsidTr="0093392C">
        <w:tc>
          <w:tcPr>
            <w:tcW w:w="1593" w:type="pct"/>
          </w:tcPr>
          <w:p w14:paraId="21EEB671" w14:textId="77777777" w:rsidR="0093392C" w:rsidRPr="009842C9" w:rsidRDefault="0093392C" w:rsidP="0049200A">
            <w:pPr>
              <w:pStyle w:val="TableText0"/>
            </w:pPr>
            <w:r w:rsidRPr="009842C9">
              <w:t>November 2008</w:t>
            </w:r>
          </w:p>
        </w:tc>
        <w:tc>
          <w:tcPr>
            <w:tcW w:w="3407" w:type="pct"/>
          </w:tcPr>
          <w:p w14:paraId="5DD9D056" w14:textId="77777777" w:rsidR="0093392C" w:rsidRPr="009842C9" w:rsidRDefault="0093392C" w:rsidP="0049200A">
            <w:pPr>
              <w:pStyle w:val="TableText0"/>
            </w:pPr>
            <w:r w:rsidRPr="009842C9">
              <w:t>Treatment of moderate to severe spasticity of the upper limb(s) in cerebral palsy patients aged 2 years and over</w:t>
            </w:r>
          </w:p>
        </w:tc>
      </w:tr>
      <w:tr w:rsidR="0093392C" w:rsidRPr="00FA2182" w14:paraId="3D084FE9" w14:textId="77777777" w:rsidTr="0093392C">
        <w:tc>
          <w:tcPr>
            <w:tcW w:w="1593" w:type="pct"/>
          </w:tcPr>
          <w:p w14:paraId="05029106" w14:textId="77777777" w:rsidR="0093392C" w:rsidRPr="009842C9" w:rsidRDefault="0093392C" w:rsidP="0049200A">
            <w:pPr>
              <w:pStyle w:val="TableText0"/>
            </w:pPr>
            <w:r w:rsidRPr="009842C9">
              <w:t>November 2019</w:t>
            </w:r>
          </w:p>
        </w:tc>
        <w:tc>
          <w:tcPr>
            <w:tcW w:w="3407" w:type="pct"/>
          </w:tcPr>
          <w:p w14:paraId="4E8250D8" w14:textId="77777777" w:rsidR="0093392C" w:rsidRPr="009842C9" w:rsidRDefault="0093392C" w:rsidP="0049200A">
            <w:pPr>
              <w:pStyle w:val="TableText0"/>
            </w:pPr>
            <w:r w:rsidRPr="009842C9">
              <w:t xml:space="preserve">Treatment of moderate to severe spasticity of the upper limb following an acute event in patients 18 years or older </w:t>
            </w:r>
          </w:p>
        </w:tc>
      </w:tr>
      <w:tr w:rsidR="0093392C" w:rsidRPr="00FA2182" w14:paraId="59EC30D4" w14:textId="77777777" w:rsidTr="0093392C">
        <w:tc>
          <w:tcPr>
            <w:tcW w:w="5000" w:type="pct"/>
            <w:gridSpan w:val="2"/>
          </w:tcPr>
          <w:p w14:paraId="3597F5F3" w14:textId="21745B7F" w:rsidR="0093392C" w:rsidRPr="009842C9" w:rsidRDefault="0093392C" w:rsidP="0049200A">
            <w:pPr>
              <w:pStyle w:val="In-tableHeading"/>
            </w:pPr>
            <w:r w:rsidRPr="009842C9">
              <w:t>List of previous Dysport PBAC considerations for the requested indications</w:t>
            </w:r>
          </w:p>
        </w:tc>
      </w:tr>
      <w:tr w:rsidR="0093392C" w:rsidRPr="00FA2182" w14:paraId="1A3047EE" w14:textId="77777777" w:rsidTr="0093392C">
        <w:tc>
          <w:tcPr>
            <w:tcW w:w="1593" w:type="pct"/>
          </w:tcPr>
          <w:p w14:paraId="4AA4B3B4" w14:textId="77777777" w:rsidR="0093392C" w:rsidRPr="009842C9" w:rsidRDefault="0093392C" w:rsidP="0049200A">
            <w:pPr>
              <w:pStyle w:val="TableText0"/>
            </w:pPr>
            <w:r w:rsidRPr="009842C9">
              <w:t>December 2001</w:t>
            </w:r>
          </w:p>
        </w:tc>
        <w:tc>
          <w:tcPr>
            <w:tcW w:w="3407" w:type="pct"/>
          </w:tcPr>
          <w:p w14:paraId="2B8EEADE" w14:textId="4A4302D9" w:rsidR="0093392C" w:rsidRPr="009842C9" w:rsidRDefault="0093392C" w:rsidP="0049200A">
            <w:pPr>
              <w:pStyle w:val="TableText0"/>
            </w:pPr>
            <w:r w:rsidRPr="009842C9">
              <w:t xml:space="preserve">Treatment of dynamic equinus foot deformity due to spasticity in juvenile cerebral palsy patients </w:t>
            </w:r>
            <w:r>
              <w:t>2</w:t>
            </w:r>
            <w:r w:rsidRPr="009842C9">
              <w:t xml:space="preserve"> years of age and older</w:t>
            </w:r>
            <w:r>
              <w:rPr>
                <w:vertAlign w:val="superscript"/>
              </w:rPr>
              <w:t xml:space="preserve"> b</w:t>
            </w:r>
          </w:p>
        </w:tc>
      </w:tr>
      <w:tr w:rsidR="0093392C" w:rsidRPr="00FA2182" w14:paraId="1EBBEA4D" w14:textId="77777777" w:rsidTr="0093392C">
        <w:tc>
          <w:tcPr>
            <w:tcW w:w="1593" w:type="pct"/>
          </w:tcPr>
          <w:p w14:paraId="494423C4" w14:textId="77777777" w:rsidR="0093392C" w:rsidRPr="009842C9" w:rsidRDefault="0093392C" w:rsidP="0049200A">
            <w:pPr>
              <w:pStyle w:val="TableText0"/>
            </w:pPr>
            <w:r w:rsidRPr="009842C9">
              <w:t>July 2020</w:t>
            </w:r>
          </w:p>
        </w:tc>
        <w:tc>
          <w:tcPr>
            <w:tcW w:w="3407" w:type="pct"/>
          </w:tcPr>
          <w:p w14:paraId="561CF9C8" w14:textId="77777777" w:rsidR="0093392C" w:rsidRPr="009842C9" w:rsidRDefault="0093392C" w:rsidP="0049200A">
            <w:pPr>
              <w:pStyle w:val="TableText0"/>
            </w:pPr>
            <w:r w:rsidRPr="009842C9">
              <w:t>Treatment of moderate to severe focal spasticity of the upper limb in patients (2 to 17 years inclusive and 18 years or older) with cerebral palsy</w:t>
            </w:r>
          </w:p>
        </w:tc>
      </w:tr>
    </w:tbl>
    <w:p w14:paraId="547D0E26" w14:textId="793B3E9E" w:rsidR="00CE7919" w:rsidRDefault="007C62D4" w:rsidP="0049200A">
      <w:pPr>
        <w:pStyle w:val="TableFigureFooter"/>
      </w:pPr>
      <w:r w:rsidRPr="00FA2182">
        <w:t xml:space="preserve">Source: PSDs for each item from 2005 onwards; items prior to 2005 sourced from </w:t>
      </w:r>
      <w:r w:rsidR="00C92068">
        <w:t xml:space="preserve">the </w:t>
      </w:r>
      <w:r w:rsidRPr="00FA2182">
        <w:t>PBAC Meeting Index</w:t>
      </w:r>
      <w:r>
        <w:t xml:space="preserve"> and mentions in other PSDs</w:t>
      </w:r>
      <w:r w:rsidR="00CE7919">
        <w:t>.</w:t>
      </w:r>
    </w:p>
    <w:p w14:paraId="11C820DA" w14:textId="77777777" w:rsidR="00D75FF9" w:rsidRPr="00497FBB" w:rsidRDefault="00D75FF9" w:rsidP="0049200A">
      <w:pPr>
        <w:pStyle w:val="TableFigureFooter"/>
      </w:pPr>
      <w:r>
        <w:t xml:space="preserve">PSD= Public Summary Document; PBAC= Pharmaceutical Benefits Advisory Committee. </w:t>
      </w:r>
    </w:p>
    <w:p w14:paraId="79F6931F" w14:textId="08E7263A" w:rsidR="00CE7919" w:rsidRDefault="00FB40FC" w:rsidP="0049200A">
      <w:pPr>
        <w:pStyle w:val="TableFigureFooter"/>
      </w:pPr>
      <w:r w:rsidRPr="00FB40FC">
        <w:rPr>
          <w:vertAlign w:val="superscript"/>
        </w:rPr>
        <w:t>a</w:t>
      </w:r>
      <w:r w:rsidR="00CE7919">
        <w:t xml:space="preserve"> Source: Section 2, p1, Botox</w:t>
      </w:r>
      <w:r w:rsidR="00497FBB">
        <w:t xml:space="preserve"> PSD</w:t>
      </w:r>
      <w:r w:rsidR="00CE7919">
        <w:t>, November 2005 PBAC meeting.</w:t>
      </w:r>
    </w:p>
    <w:p w14:paraId="1C19E11C" w14:textId="0C2AE4ED" w:rsidR="007C62D4" w:rsidRDefault="00FB40FC" w:rsidP="0049200A">
      <w:pPr>
        <w:pStyle w:val="TableFigureFooter"/>
      </w:pPr>
      <w:r w:rsidRPr="00FB40FC">
        <w:rPr>
          <w:vertAlign w:val="superscript"/>
        </w:rPr>
        <w:t>b</w:t>
      </w:r>
      <w:r w:rsidR="00CE7919">
        <w:t xml:space="preserve"> Source: </w:t>
      </w:r>
      <w:r w:rsidR="00CE7919" w:rsidRPr="00CE7919">
        <w:t>Section 2, p1, Dysport PSD, November 2007 PBAC meeting</w:t>
      </w:r>
      <w:r w:rsidR="00CE7919">
        <w:t>.</w:t>
      </w:r>
    </w:p>
    <w:p w14:paraId="383CD408" w14:textId="4746DA1A" w:rsidR="00E7493B" w:rsidRPr="00F0085F" w:rsidRDefault="00E7493B" w:rsidP="0049200A">
      <w:pPr>
        <w:pStyle w:val="3-BodyText"/>
        <w:numPr>
          <w:ilvl w:val="0"/>
          <w:numId w:val="0"/>
        </w:numPr>
        <w:ind w:left="720"/>
        <w:rPr>
          <w:i/>
        </w:rPr>
      </w:pPr>
      <w:bookmarkStart w:id="16" w:name="_Hlk76375324"/>
      <w:r w:rsidRPr="00E7493B">
        <w:rPr>
          <w:i/>
        </w:rPr>
        <w:t>For more detail on PBAC’s view, see section 7 PBAC outcome.</w:t>
      </w:r>
      <w:bookmarkEnd w:id="16"/>
    </w:p>
    <w:p w14:paraId="2C8607E7" w14:textId="77777777" w:rsidR="00B97A47" w:rsidRDefault="00B97A47" w:rsidP="0049200A">
      <w:pPr>
        <w:spacing w:after="0"/>
        <w:jc w:val="left"/>
        <w:rPr>
          <w:rFonts w:asciiTheme="minorHAnsi" w:hAnsiTheme="minorHAnsi"/>
          <w:b/>
          <w:snapToGrid w:val="0"/>
          <w:sz w:val="32"/>
          <w:szCs w:val="32"/>
        </w:rPr>
      </w:pPr>
      <w:bookmarkStart w:id="17" w:name="_Toc107902078"/>
      <w:bookmarkStart w:id="18" w:name="_Toc198630211"/>
      <w:bookmarkStart w:id="19" w:name="_Toc198724789"/>
      <w:bookmarkEnd w:id="17"/>
      <w:r>
        <w:br w:type="page"/>
      </w:r>
    </w:p>
    <w:p w14:paraId="76E4EF3C" w14:textId="4171242F" w:rsidR="00B60939" w:rsidRDefault="00B50DB8" w:rsidP="0049200A">
      <w:pPr>
        <w:pStyle w:val="2-SectionHeading"/>
      </w:pPr>
      <w:r w:rsidRPr="0098262F">
        <w:lastRenderedPageBreak/>
        <w:t>Requested listing</w:t>
      </w:r>
      <w:bookmarkEnd w:id="18"/>
      <w:bookmarkEnd w:id="19"/>
    </w:p>
    <w:p w14:paraId="1B423B86" w14:textId="56EE2984" w:rsidR="003A4C14" w:rsidRPr="0098262F" w:rsidRDefault="003A4C14" w:rsidP="0049200A">
      <w:pPr>
        <w:pStyle w:val="TableTex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2971"/>
        <w:gridCol w:w="1778"/>
        <w:gridCol w:w="812"/>
        <w:gridCol w:w="812"/>
        <w:gridCol w:w="812"/>
        <w:gridCol w:w="1832"/>
      </w:tblGrid>
      <w:tr w:rsidR="00046D64" w:rsidRPr="0098262F" w14:paraId="73E16E29" w14:textId="77777777" w:rsidTr="00F75C77">
        <w:trPr>
          <w:cantSplit/>
          <w:trHeight w:val="20"/>
        </w:trPr>
        <w:tc>
          <w:tcPr>
            <w:tcW w:w="1648" w:type="pct"/>
          </w:tcPr>
          <w:p w14:paraId="4660296B" w14:textId="77777777" w:rsidR="00046D64" w:rsidRPr="0098262F" w:rsidRDefault="00046D64" w:rsidP="0049200A">
            <w:pPr>
              <w:keepNext/>
              <w:keepLines/>
              <w:jc w:val="center"/>
              <w:rPr>
                <w:rFonts w:ascii="Arial Narrow" w:hAnsi="Arial Narrow"/>
                <w:b/>
                <w:bCs/>
                <w:sz w:val="20"/>
                <w:szCs w:val="20"/>
              </w:rPr>
            </w:pPr>
            <w:bookmarkStart w:id="20" w:name="_Hlk104809055"/>
            <w:r w:rsidRPr="0098262F">
              <w:rPr>
                <w:rFonts w:ascii="Arial Narrow" w:hAnsi="Arial Narrow"/>
                <w:b/>
                <w:bCs/>
                <w:sz w:val="20"/>
                <w:szCs w:val="20"/>
              </w:rPr>
              <w:t>MEDICINAL PRODUCT</w:t>
            </w:r>
          </w:p>
          <w:p w14:paraId="7221C2FD" w14:textId="77777777" w:rsidR="00046D64" w:rsidRPr="0098262F" w:rsidRDefault="00046D64" w:rsidP="0049200A">
            <w:pPr>
              <w:keepNext/>
              <w:keepLines/>
              <w:jc w:val="center"/>
              <w:rPr>
                <w:rFonts w:ascii="Arial Narrow" w:hAnsi="Arial Narrow"/>
                <w:b/>
                <w:sz w:val="20"/>
                <w:szCs w:val="20"/>
              </w:rPr>
            </w:pPr>
            <w:r w:rsidRPr="0098262F">
              <w:rPr>
                <w:rFonts w:ascii="Arial Narrow" w:hAnsi="Arial Narrow"/>
                <w:b/>
                <w:bCs/>
                <w:sz w:val="20"/>
                <w:szCs w:val="20"/>
              </w:rPr>
              <w:t>medicinal product pack</w:t>
            </w:r>
          </w:p>
        </w:tc>
        <w:tc>
          <w:tcPr>
            <w:tcW w:w="986" w:type="pct"/>
          </w:tcPr>
          <w:p w14:paraId="14424AF1" w14:textId="0923C486" w:rsidR="00046D64" w:rsidRPr="0098262F" w:rsidRDefault="00C61A59" w:rsidP="0049200A">
            <w:pPr>
              <w:pStyle w:val="TableText0"/>
              <w:jc w:val="center"/>
              <w:rPr>
                <w:b/>
                <w:bCs w:val="0"/>
                <w:szCs w:val="20"/>
              </w:rPr>
            </w:pPr>
            <w:r w:rsidRPr="0098262F">
              <w:rPr>
                <w:b/>
                <w:bCs w:val="0"/>
                <w:snapToGrid w:val="0"/>
              </w:rPr>
              <w:t>Dispensed Price for Max. Qty</w:t>
            </w:r>
          </w:p>
        </w:tc>
        <w:tc>
          <w:tcPr>
            <w:tcW w:w="450" w:type="pct"/>
          </w:tcPr>
          <w:p w14:paraId="4E41A9BC" w14:textId="0E3A90D0" w:rsidR="00046D64" w:rsidRPr="0098262F" w:rsidRDefault="00046D64" w:rsidP="0049200A">
            <w:pPr>
              <w:keepNext/>
              <w:keepLines/>
              <w:jc w:val="center"/>
              <w:rPr>
                <w:rFonts w:ascii="Arial Narrow" w:hAnsi="Arial Narrow"/>
                <w:b/>
                <w:sz w:val="20"/>
                <w:szCs w:val="20"/>
              </w:rPr>
            </w:pPr>
            <w:r w:rsidRPr="0098262F">
              <w:rPr>
                <w:rFonts w:ascii="Arial Narrow" w:hAnsi="Arial Narrow"/>
                <w:b/>
                <w:sz w:val="20"/>
                <w:szCs w:val="20"/>
              </w:rPr>
              <w:t>Max. qty packs</w:t>
            </w:r>
          </w:p>
        </w:tc>
        <w:tc>
          <w:tcPr>
            <w:tcW w:w="450" w:type="pct"/>
          </w:tcPr>
          <w:p w14:paraId="48197540" w14:textId="77777777" w:rsidR="00046D64" w:rsidRPr="0098262F" w:rsidRDefault="00046D64" w:rsidP="0049200A">
            <w:pPr>
              <w:keepNext/>
              <w:keepLines/>
              <w:jc w:val="center"/>
              <w:rPr>
                <w:rFonts w:ascii="Arial Narrow" w:hAnsi="Arial Narrow"/>
                <w:b/>
                <w:sz w:val="20"/>
                <w:szCs w:val="20"/>
              </w:rPr>
            </w:pPr>
            <w:r w:rsidRPr="0098262F">
              <w:rPr>
                <w:rFonts w:ascii="Arial Narrow" w:hAnsi="Arial Narrow"/>
                <w:b/>
                <w:sz w:val="20"/>
                <w:szCs w:val="20"/>
              </w:rPr>
              <w:t>Max. qty units</w:t>
            </w:r>
          </w:p>
        </w:tc>
        <w:tc>
          <w:tcPr>
            <w:tcW w:w="450" w:type="pct"/>
          </w:tcPr>
          <w:p w14:paraId="13B3FDEE" w14:textId="77777777" w:rsidR="00046D64" w:rsidRPr="0098262F" w:rsidRDefault="00046D64" w:rsidP="0049200A">
            <w:pPr>
              <w:keepNext/>
              <w:keepLines/>
              <w:jc w:val="center"/>
              <w:rPr>
                <w:rFonts w:ascii="Arial Narrow" w:hAnsi="Arial Narrow"/>
                <w:b/>
                <w:sz w:val="20"/>
                <w:szCs w:val="20"/>
              </w:rPr>
            </w:pPr>
            <w:r w:rsidRPr="0098262F">
              <w:rPr>
                <w:rFonts w:ascii="Arial Narrow" w:hAnsi="Arial Narrow"/>
                <w:b/>
                <w:sz w:val="20"/>
                <w:szCs w:val="20"/>
              </w:rPr>
              <w:t>№.of</w:t>
            </w:r>
          </w:p>
          <w:p w14:paraId="7B215997" w14:textId="77777777" w:rsidR="00046D64" w:rsidRPr="0098262F" w:rsidRDefault="00046D64" w:rsidP="0049200A">
            <w:pPr>
              <w:keepNext/>
              <w:keepLines/>
              <w:jc w:val="center"/>
              <w:rPr>
                <w:rFonts w:ascii="Arial Narrow" w:hAnsi="Arial Narrow"/>
                <w:b/>
                <w:sz w:val="20"/>
                <w:szCs w:val="20"/>
              </w:rPr>
            </w:pPr>
            <w:r w:rsidRPr="0098262F">
              <w:rPr>
                <w:rFonts w:ascii="Arial Narrow" w:hAnsi="Arial Narrow"/>
                <w:b/>
                <w:sz w:val="20"/>
                <w:szCs w:val="20"/>
              </w:rPr>
              <w:t>Rpts</w:t>
            </w:r>
          </w:p>
        </w:tc>
        <w:tc>
          <w:tcPr>
            <w:tcW w:w="1015" w:type="pct"/>
          </w:tcPr>
          <w:p w14:paraId="4976F6A8" w14:textId="77777777" w:rsidR="00046D64" w:rsidRPr="0098262F" w:rsidRDefault="00046D64" w:rsidP="0049200A">
            <w:pPr>
              <w:keepNext/>
              <w:keepLines/>
              <w:jc w:val="center"/>
              <w:rPr>
                <w:rFonts w:ascii="Arial Narrow" w:hAnsi="Arial Narrow"/>
                <w:b/>
                <w:sz w:val="20"/>
                <w:szCs w:val="20"/>
              </w:rPr>
            </w:pPr>
            <w:r w:rsidRPr="0098262F">
              <w:rPr>
                <w:rFonts w:ascii="Arial Narrow" w:hAnsi="Arial Narrow"/>
                <w:b/>
                <w:sz w:val="20"/>
                <w:szCs w:val="20"/>
              </w:rPr>
              <w:t>Available brands</w:t>
            </w:r>
          </w:p>
        </w:tc>
      </w:tr>
      <w:tr w:rsidR="00046D64" w:rsidRPr="0098262F" w14:paraId="40C1AD8E" w14:textId="77777777" w:rsidTr="00F75C77">
        <w:trPr>
          <w:cantSplit/>
          <w:trHeight w:val="20"/>
        </w:trPr>
        <w:tc>
          <w:tcPr>
            <w:tcW w:w="5000" w:type="pct"/>
            <w:gridSpan w:val="6"/>
            <w:vAlign w:val="center"/>
          </w:tcPr>
          <w:p w14:paraId="2A4C00A6" w14:textId="50BBA1FF" w:rsidR="00046D64" w:rsidRPr="0098262F" w:rsidRDefault="0002280B" w:rsidP="0049200A">
            <w:pPr>
              <w:pStyle w:val="TableText0"/>
              <w:rPr>
                <w:rFonts w:cs="Arial"/>
                <w:szCs w:val="20"/>
              </w:rPr>
            </w:pPr>
            <w:r w:rsidRPr="00972532">
              <w:t>INCOBOTULINUMTOXINA</w:t>
            </w:r>
          </w:p>
        </w:tc>
      </w:tr>
      <w:tr w:rsidR="00401FBF" w:rsidRPr="0098262F" w14:paraId="1DC2CC67" w14:textId="77777777" w:rsidTr="00F75C77">
        <w:trPr>
          <w:cantSplit/>
          <w:trHeight w:val="20"/>
        </w:trPr>
        <w:tc>
          <w:tcPr>
            <w:tcW w:w="1648" w:type="pct"/>
            <w:vAlign w:val="center"/>
          </w:tcPr>
          <w:p w14:paraId="612C04D7" w14:textId="674A3194" w:rsidR="00401FBF" w:rsidRPr="0098262F" w:rsidRDefault="00401FBF" w:rsidP="0049200A">
            <w:pPr>
              <w:pStyle w:val="TableText0"/>
              <w:rPr>
                <w:color w:val="0066FF"/>
                <w:szCs w:val="20"/>
              </w:rPr>
            </w:pPr>
            <w:r>
              <w:t>IncobotulinumtoxinA 100 units injection, 1 vial</w:t>
            </w:r>
            <w:r w:rsidR="00DB3C4E">
              <w:t xml:space="preserve"> </w:t>
            </w:r>
          </w:p>
        </w:tc>
        <w:tc>
          <w:tcPr>
            <w:tcW w:w="986" w:type="pct"/>
            <w:vAlign w:val="center"/>
          </w:tcPr>
          <w:p w14:paraId="70C2874A" w14:textId="6BFB342A" w:rsidR="00401FBF" w:rsidRPr="00533B3B" w:rsidRDefault="00401FBF" w:rsidP="0049200A">
            <w:pPr>
              <w:pStyle w:val="TableText0"/>
              <w:rPr>
                <w:szCs w:val="20"/>
              </w:rPr>
            </w:pPr>
            <w:r w:rsidRPr="00533B3B">
              <w:t>$1,098.67</w:t>
            </w:r>
          </w:p>
        </w:tc>
        <w:tc>
          <w:tcPr>
            <w:tcW w:w="450" w:type="pct"/>
            <w:vAlign w:val="center"/>
          </w:tcPr>
          <w:p w14:paraId="71CD2441" w14:textId="56A381E5" w:rsidR="00401FBF" w:rsidRPr="00533B3B" w:rsidRDefault="00401FBF" w:rsidP="0049200A">
            <w:pPr>
              <w:pStyle w:val="TableText0"/>
              <w:rPr>
                <w:szCs w:val="20"/>
              </w:rPr>
            </w:pPr>
            <w:r w:rsidRPr="00533B3B">
              <w:rPr>
                <w:szCs w:val="20"/>
              </w:rPr>
              <w:t>4</w:t>
            </w:r>
          </w:p>
        </w:tc>
        <w:tc>
          <w:tcPr>
            <w:tcW w:w="450" w:type="pct"/>
            <w:vAlign w:val="center"/>
          </w:tcPr>
          <w:p w14:paraId="65F4D3E9" w14:textId="76AE9265" w:rsidR="00401FBF" w:rsidRPr="00533B3B" w:rsidRDefault="00401FBF" w:rsidP="0049200A">
            <w:pPr>
              <w:pStyle w:val="TableText0"/>
              <w:rPr>
                <w:szCs w:val="20"/>
              </w:rPr>
            </w:pPr>
            <w:r w:rsidRPr="00533B3B">
              <w:t>4</w:t>
            </w:r>
          </w:p>
        </w:tc>
        <w:tc>
          <w:tcPr>
            <w:tcW w:w="450" w:type="pct"/>
            <w:vAlign w:val="center"/>
          </w:tcPr>
          <w:p w14:paraId="7C728D0C" w14:textId="1F488AA2" w:rsidR="00401FBF" w:rsidRPr="00533B3B" w:rsidRDefault="00401FBF" w:rsidP="0049200A">
            <w:pPr>
              <w:pStyle w:val="TableText0"/>
              <w:rPr>
                <w:szCs w:val="20"/>
              </w:rPr>
            </w:pPr>
            <w:r w:rsidRPr="00533B3B">
              <w:t>0</w:t>
            </w:r>
          </w:p>
        </w:tc>
        <w:tc>
          <w:tcPr>
            <w:tcW w:w="1015" w:type="pct"/>
            <w:vAlign w:val="center"/>
          </w:tcPr>
          <w:p w14:paraId="519A0BC8" w14:textId="39F034D8" w:rsidR="00401FBF" w:rsidRPr="00533B3B" w:rsidRDefault="00401FBF" w:rsidP="0049200A">
            <w:pPr>
              <w:pStyle w:val="TableText0"/>
              <w:rPr>
                <w:color w:val="0066FF"/>
                <w:szCs w:val="20"/>
              </w:rPr>
            </w:pPr>
            <w:r w:rsidRPr="00533B3B">
              <w:rPr>
                <w:szCs w:val="20"/>
              </w:rPr>
              <w:t>Xeomin</w:t>
            </w:r>
          </w:p>
        </w:tc>
      </w:tr>
    </w:tbl>
    <w:p w14:paraId="11F82D00" w14:textId="2CE9E0D1" w:rsidR="003A4C14" w:rsidRDefault="003A4C14" w:rsidP="0049200A">
      <w:pPr>
        <w:keepNext/>
        <w:spacing w:after="0"/>
        <w:jc w:val="left"/>
      </w:pPr>
      <w:bookmarkStart w:id="21" w:name="_Hlk104809082"/>
      <w:bookmarkEnd w:id="20"/>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Requested listing - Dynamic equinus foot deformity - patients 2 to 17 years"/>
      </w:tblPr>
      <w:tblGrid>
        <w:gridCol w:w="9017"/>
      </w:tblGrid>
      <w:tr w:rsidR="009F503D" w:rsidRPr="0098262F" w14:paraId="094D78C5" w14:textId="77777777" w:rsidTr="00242390">
        <w:trPr>
          <w:trHeight w:val="20"/>
        </w:trPr>
        <w:tc>
          <w:tcPr>
            <w:tcW w:w="5000" w:type="pct"/>
          </w:tcPr>
          <w:p w14:paraId="677EDF68" w14:textId="77777777" w:rsidR="009F503D" w:rsidRPr="0098262F" w:rsidRDefault="009F503D" w:rsidP="0049200A">
            <w:pPr>
              <w:pStyle w:val="TableText0"/>
            </w:pPr>
            <w:r w:rsidRPr="0098262F">
              <w:rPr>
                <w:b/>
              </w:rPr>
              <w:t xml:space="preserve">Category / Program: </w:t>
            </w:r>
            <w:r w:rsidRPr="00401A7B">
              <w:t>Section 100 (Botulinum toxin program)</w:t>
            </w:r>
          </w:p>
        </w:tc>
      </w:tr>
      <w:tr w:rsidR="009F503D" w:rsidRPr="0098262F" w14:paraId="4371D9C0" w14:textId="77777777" w:rsidTr="00242390">
        <w:trPr>
          <w:trHeight w:val="20"/>
        </w:trPr>
        <w:tc>
          <w:tcPr>
            <w:tcW w:w="5000" w:type="pct"/>
          </w:tcPr>
          <w:p w14:paraId="7C1EC4D3" w14:textId="4D5F82F2" w:rsidR="009F503D" w:rsidRPr="0098262F" w:rsidRDefault="009F503D" w:rsidP="0049200A">
            <w:pPr>
              <w:pStyle w:val="TableText0"/>
              <w:rPr>
                <w:b/>
              </w:rPr>
            </w:pPr>
            <w:r w:rsidRPr="0098262F">
              <w:rPr>
                <w:b/>
              </w:rPr>
              <w:t xml:space="preserve">Prescriber type: </w:t>
            </w:r>
            <w:r w:rsidRPr="009E379F">
              <w:rPr>
                <w:b/>
                <w:bCs w:val="0"/>
              </w:rPr>
              <w:fldChar w:fldCharType="begin">
                <w:ffData>
                  <w:name w:val=""/>
                  <w:enabled/>
                  <w:calcOnExit w:val="0"/>
                  <w:checkBox>
                    <w:sizeAuto/>
                    <w:default w:val="1"/>
                  </w:checkBox>
                </w:ffData>
              </w:fldChar>
            </w:r>
            <w:r w:rsidRPr="009E379F">
              <w:instrText xml:space="preserve"> FORMCHECKBOX </w:instrText>
            </w:r>
            <w:r w:rsidRPr="009E379F">
              <w:rPr>
                <w:b/>
                <w:bCs w:val="0"/>
              </w:rPr>
            </w:r>
            <w:r w:rsidRPr="009E379F">
              <w:rPr>
                <w:b/>
                <w:bCs w:val="0"/>
              </w:rPr>
              <w:fldChar w:fldCharType="separate"/>
            </w:r>
            <w:r w:rsidRPr="009E379F">
              <w:rPr>
                <w:b/>
                <w:bCs w:val="0"/>
              </w:rPr>
              <w:fldChar w:fldCharType="end"/>
            </w:r>
            <w:r w:rsidRPr="0098262F">
              <w:t>Medical Practitioners</w:t>
            </w:r>
          </w:p>
        </w:tc>
      </w:tr>
      <w:tr w:rsidR="009F503D" w:rsidRPr="0098262F" w14:paraId="0C94B7A3" w14:textId="77777777" w:rsidTr="00242390">
        <w:trPr>
          <w:trHeight w:val="20"/>
        </w:trPr>
        <w:tc>
          <w:tcPr>
            <w:tcW w:w="5000" w:type="pct"/>
          </w:tcPr>
          <w:p w14:paraId="01BB6169" w14:textId="77777777" w:rsidR="009F503D" w:rsidRPr="0098262F" w:rsidRDefault="009F503D" w:rsidP="0049200A">
            <w:pPr>
              <w:pStyle w:val="TableText0"/>
              <w:rPr>
                <w:rFonts w:eastAsia="Times New Roman"/>
              </w:rPr>
            </w:pPr>
            <w:r w:rsidRPr="0098262F">
              <w:rPr>
                <w:b/>
              </w:rPr>
              <w:t xml:space="preserve">Restriction type: </w:t>
            </w:r>
            <w:r w:rsidRPr="009E379F">
              <w:rPr>
                <w:b/>
                <w:bCs w:val="0"/>
              </w:rPr>
              <w:fldChar w:fldCharType="begin">
                <w:ffData>
                  <w:name w:val=""/>
                  <w:enabled/>
                  <w:calcOnExit w:val="0"/>
                  <w:checkBox>
                    <w:sizeAuto/>
                    <w:default w:val="1"/>
                  </w:checkBox>
                </w:ffData>
              </w:fldChar>
            </w:r>
            <w:r w:rsidRPr="009E379F">
              <w:instrText xml:space="preserve"> FORMCHECKBOX </w:instrText>
            </w:r>
            <w:r w:rsidRPr="009E379F">
              <w:rPr>
                <w:b/>
                <w:bCs w:val="0"/>
              </w:rPr>
            </w:r>
            <w:r w:rsidRPr="009E379F">
              <w:rPr>
                <w:b/>
                <w:bCs w:val="0"/>
              </w:rPr>
              <w:fldChar w:fldCharType="separate"/>
            </w:r>
            <w:r w:rsidRPr="009E379F">
              <w:rPr>
                <w:b/>
                <w:bCs w:val="0"/>
              </w:rPr>
              <w:fldChar w:fldCharType="end"/>
            </w:r>
            <w:r w:rsidRPr="0098262F">
              <w:rPr>
                <w:rFonts w:eastAsia="Times New Roman"/>
              </w:rPr>
              <w:t>Authority Required (STREAMLINED)</w:t>
            </w:r>
          </w:p>
        </w:tc>
      </w:tr>
      <w:tr w:rsidR="009F503D" w:rsidRPr="0098262F" w14:paraId="32115DA3" w14:textId="77777777" w:rsidTr="00242390">
        <w:trPr>
          <w:trHeight w:val="20"/>
        </w:trPr>
        <w:tc>
          <w:tcPr>
            <w:tcW w:w="5000" w:type="pct"/>
            <w:vAlign w:val="center"/>
          </w:tcPr>
          <w:p w14:paraId="4055AE6D" w14:textId="77777777" w:rsidR="009F503D" w:rsidRPr="0098262F" w:rsidRDefault="009F503D" w:rsidP="0049200A">
            <w:pPr>
              <w:pStyle w:val="TableText0"/>
              <w:rPr>
                <w:b/>
              </w:rPr>
            </w:pPr>
            <w:r w:rsidRPr="0098262F">
              <w:rPr>
                <w:b/>
              </w:rPr>
              <w:t xml:space="preserve">Condition: </w:t>
            </w:r>
            <w:r w:rsidRPr="00401A7B">
              <w:rPr>
                <w:bCs w:val="0"/>
              </w:rPr>
              <w:t>Dynamic equinus foot deformity</w:t>
            </w:r>
          </w:p>
        </w:tc>
      </w:tr>
      <w:tr w:rsidR="009F503D" w:rsidRPr="0098262F" w14:paraId="018BFC00" w14:textId="77777777" w:rsidTr="00242390">
        <w:trPr>
          <w:trHeight w:val="20"/>
        </w:trPr>
        <w:tc>
          <w:tcPr>
            <w:tcW w:w="5000" w:type="pct"/>
            <w:vAlign w:val="center"/>
            <w:hideMark/>
          </w:tcPr>
          <w:p w14:paraId="5F41FCCC" w14:textId="77777777" w:rsidR="009F503D" w:rsidRPr="0098262F" w:rsidRDefault="009F503D" w:rsidP="0049200A">
            <w:pPr>
              <w:pStyle w:val="TableText0"/>
            </w:pPr>
            <w:r w:rsidRPr="0098262F">
              <w:rPr>
                <w:b/>
              </w:rPr>
              <w:t>Treatment Phase:</w:t>
            </w:r>
            <w:r>
              <w:rPr>
                <w:b/>
              </w:rPr>
              <w:t xml:space="preserve"> </w:t>
            </w:r>
            <w:r w:rsidRPr="00401A7B">
              <w:rPr>
                <w:bCs w:val="0"/>
              </w:rPr>
              <w:t>Initial and continuing</w:t>
            </w:r>
            <w:r w:rsidRPr="0098262F">
              <w:t xml:space="preserve"> </w:t>
            </w:r>
          </w:p>
        </w:tc>
      </w:tr>
      <w:tr w:rsidR="009F503D" w:rsidRPr="0098262F" w14:paraId="62EFF7C3" w14:textId="77777777" w:rsidTr="00242390">
        <w:trPr>
          <w:trHeight w:val="20"/>
        </w:trPr>
        <w:tc>
          <w:tcPr>
            <w:tcW w:w="5000" w:type="pct"/>
            <w:vAlign w:val="center"/>
            <w:hideMark/>
          </w:tcPr>
          <w:p w14:paraId="724F2FF6" w14:textId="77777777" w:rsidR="009F503D" w:rsidRPr="0098262F" w:rsidRDefault="009F503D" w:rsidP="0049200A">
            <w:pPr>
              <w:pStyle w:val="TableText0"/>
            </w:pPr>
            <w:r w:rsidRPr="0098262F">
              <w:rPr>
                <w:b/>
              </w:rPr>
              <w:t>Clinical criteria:</w:t>
            </w:r>
          </w:p>
        </w:tc>
      </w:tr>
      <w:tr w:rsidR="009F503D" w:rsidRPr="0098262F" w14:paraId="5BE77AF7" w14:textId="77777777" w:rsidTr="00242390">
        <w:trPr>
          <w:trHeight w:val="20"/>
        </w:trPr>
        <w:tc>
          <w:tcPr>
            <w:tcW w:w="5000" w:type="pct"/>
            <w:tcBorders>
              <w:bottom w:val="nil"/>
            </w:tcBorders>
            <w:vAlign w:val="center"/>
            <w:hideMark/>
          </w:tcPr>
          <w:p w14:paraId="2B00E1E9" w14:textId="77777777" w:rsidR="009F503D" w:rsidRPr="00401A7B" w:rsidRDefault="009F503D" w:rsidP="0049200A">
            <w:pPr>
              <w:pStyle w:val="TableText0"/>
            </w:pPr>
            <w:r w:rsidRPr="00401A7B">
              <w:t>The condition must be due to spasticity</w:t>
            </w:r>
            <w:r>
              <w:t>;</w:t>
            </w:r>
          </w:p>
        </w:tc>
      </w:tr>
      <w:tr w:rsidR="009F503D" w:rsidRPr="0098262F" w14:paraId="76C7C6BE" w14:textId="77777777" w:rsidTr="00242390">
        <w:trPr>
          <w:trHeight w:val="20"/>
        </w:trPr>
        <w:tc>
          <w:tcPr>
            <w:tcW w:w="5000" w:type="pct"/>
            <w:tcBorders>
              <w:top w:val="nil"/>
              <w:bottom w:val="nil"/>
            </w:tcBorders>
            <w:vAlign w:val="center"/>
          </w:tcPr>
          <w:p w14:paraId="5A652EF8" w14:textId="77777777" w:rsidR="009F503D" w:rsidRPr="00401A7B" w:rsidRDefault="009F503D" w:rsidP="0049200A">
            <w:pPr>
              <w:pStyle w:val="TableText0"/>
            </w:pPr>
            <w:r>
              <w:t>AND</w:t>
            </w:r>
          </w:p>
        </w:tc>
      </w:tr>
      <w:tr w:rsidR="009F503D" w:rsidRPr="0098262F" w14:paraId="1A44B7E8" w14:textId="77777777" w:rsidTr="00242390">
        <w:trPr>
          <w:trHeight w:val="20"/>
        </w:trPr>
        <w:tc>
          <w:tcPr>
            <w:tcW w:w="5000" w:type="pct"/>
            <w:tcBorders>
              <w:top w:val="nil"/>
              <w:bottom w:val="nil"/>
            </w:tcBorders>
            <w:vAlign w:val="center"/>
          </w:tcPr>
          <w:p w14:paraId="69206161" w14:textId="77777777" w:rsidR="009F503D" w:rsidRPr="00401A7B" w:rsidRDefault="009F503D" w:rsidP="0049200A">
            <w:pPr>
              <w:pStyle w:val="TableText0"/>
            </w:pPr>
            <w:r w:rsidRPr="00401A7B">
              <w:t>Patient must have cerebral palsy</w:t>
            </w:r>
            <w:r>
              <w:t>;</w:t>
            </w:r>
          </w:p>
        </w:tc>
      </w:tr>
      <w:tr w:rsidR="009F503D" w:rsidRPr="0098262F" w14:paraId="6E4889CE" w14:textId="77777777" w:rsidTr="00242390">
        <w:trPr>
          <w:trHeight w:val="20"/>
        </w:trPr>
        <w:tc>
          <w:tcPr>
            <w:tcW w:w="5000" w:type="pct"/>
            <w:tcBorders>
              <w:top w:val="nil"/>
              <w:bottom w:val="nil"/>
            </w:tcBorders>
            <w:vAlign w:val="center"/>
          </w:tcPr>
          <w:p w14:paraId="595007D0" w14:textId="77777777" w:rsidR="009F503D" w:rsidRPr="00401A7B" w:rsidRDefault="009F503D" w:rsidP="0049200A">
            <w:pPr>
              <w:pStyle w:val="TableText0"/>
            </w:pPr>
            <w:r>
              <w:t>AND</w:t>
            </w:r>
          </w:p>
        </w:tc>
      </w:tr>
      <w:tr w:rsidR="009F503D" w:rsidRPr="0098262F" w14:paraId="570E9284" w14:textId="77777777" w:rsidTr="00242390">
        <w:trPr>
          <w:trHeight w:val="20"/>
        </w:trPr>
        <w:tc>
          <w:tcPr>
            <w:tcW w:w="5000" w:type="pct"/>
            <w:tcBorders>
              <w:top w:val="nil"/>
            </w:tcBorders>
            <w:vAlign w:val="center"/>
          </w:tcPr>
          <w:p w14:paraId="6FDB9C78" w14:textId="77777777" w:rsidR="009F503D" w:rsidRPr="00401A7B" w:rsidRDefault="009F503D" w:rsidP="0049200A">
            <w:pPr>
              <w:pStyle w:val="TableText0"/>
            </w:pPr>
            <w:r w:rsidRPr="00401A7B">
              <w:t>Patient must be ambulant</w:t>
            </w:r>
          </w:p>
        </w:tc>
      </w:tr>
      <w:tr w:rsidR="009F503D" w:rsidRPr="0098262F" w14:paraId="59514EF8" w14:textId="77777777" w:rsidTr="00242390">
        <w:trPr>
          <w:trHeight w:val="20"/>
        </w:trPr>
        <w:tc>
          <w:tcPr>
            <w:tcW w:w="5000" w:type="pct"/>
            <w:vAlign w:val="center"/>
            <w:hideMark/>
          </w:tcPr>
          <w:p w14:paraId="6517B395" w14:textId="77777777" w:rsidR="009F503D" w:rsidRPr="0098262F" w:rsidRDefault="009F503D" w:rsidP="0049200A">
            <w:pPr>
              <w:pStyle w:val="TableText0"/>
            </w:pPr>
            <w:r w:rsidRPr="0098262F">
              <w:rPr>
                <w:b/>
              </w:rPr>
              <w:t>Treatment criteria:</w:t>
            </w:r>
          </w:p>
        </w:tc>
      </w:tr>
      <w:tr w:rsidR="009F503D" w:rsidRPr="0098262F" w14:paraId="412BC3A7" w14:textId="77777777" w:rsidTr="00242390">
        <w:trPr>
          <w:trHeight w:val="20"/>
        </w:trPr>
        <w:tc>
          <w:tcPr>
            <w:tcW w:w="5000" w:type="pct"/>
            <w:tcBorders>
              <w:bottom w:val="nil"/>
            </w:tcBorders>
            <w:vAlign w:val="center"/>
            <w:hideMark/>
          </w:tcPr>
          <w:p w14:paraId="1F4F52E4" w14:textId="77777777" w:rsidR="009F503D" w:rsidRPr="00401A7B" w:rsidRDefault="009F503D" w:rsidP="0049200A">
            <w:pPr>
              <w:pStyle w:val="TableText0"/>
            </w:pPr>
            <w:r w:rsidRPr="00401A7B">
              <w:t>Must be treated by a neurologist;</w:t>
            </w:r>
            <w:r>
              <w:t xml:space="preserve"> </w:t>
            </w:r>
          </w:p>
        </w:tc>
      </w:tr>
      <w:tr w:rsidR="009F503D" w:rsidRPr="0098262F" w14:paraId="0EF44236" w14:textId="77777777" w:rsidTr="00242390">
        <w:trPr>
          <w:trHeight w:val="20"/>
        </w:trPr>
        <w:tc>
          <w:tcPr>
            <w:tcW w:w="5000" w:type="pct"/>
            <w:tcBorders>
              <w:top w:val="nil"/>
              <w:bottom w:val="nil"/>
            </w:tcBorders>
            <w:vAlign w:val="center"/>
          </w:tcPr>
          <w:p w14:paraId="46FDBACE" w14:textId="77777777" w:rsidR="009F503D" w:rsidRPr="00401A7B" w:rsidRDefault="009F503D" w:rsidP="0049200A">
            <w:pPr>
              <w:pStyle w:val="TableText0"/>
            </w:pPr>
            <w:r>
              <w:t>OR</w:t>
            </w:r>
          </w:p>
        </w:tc>
      </w:tr>
      <w:tr w:rsidR="009F503D" w:rsidRPr="0098262F" w14:paraId="59C32A0F" w14:textId="77777777" w:rsidTr="00242390">
        <w:trPr>
          <w:trHeight w:val="20"/>
        </w:trPr>
        <w:tc>
          <w:tcPr>
            <w:tcW w:w="5000" w:type="pct"/>
            <w:tcBorders>
              <w:top w:val="nil"/>
              <w:bottom w:val="nil"/>
            </w:tcBorders>
            <w:vAlign w:val="center"/>
          </w:tcPr>
          <w:p w14:paraId="4B9CCF22" w14:textId="77777777" w:rsidR="009F503D" w:rsidRDefault="009F503D" w:rsidP="0049200A">
            <w:pPr>
              <w:pStyle w:val="TableText0"/>
            </w:pPr>
            <w:r>
              <w:t>Must be treated by an orthopaedic surgeon;</w:t>
            </w:r>
          </w:p>
        </w:tc>
      </w:tr>
      <w:tr w:rsidR="009F503D" w:rsidRPr="0098262F" w14:paraId="16F1D03E" w14:textId="77777777" w:rsidTr="00242390">
        <w:trPr>
          <w:trHeight w:val="20"/>
        </w:trPr>
        <w:tc>
          <w:tcPr>
            <w:tcW w:w="5000" w:type="pct"/>
            <w:tcBorders>
              <w:top w:val="nil"/>
              <w:bottom w:val="nil"/>
            </w:tcBorders>
            <w:vAlign w:val="center"/>
          </w:tcPr>
          <w:p w14:paraId="2F317211" w14:textId="77777777" w:rsidR="009F503D" w:rsidRDefault="009F503D" w:rsidP="0049200A">
            <w:pPr>
              <w:pStyle w:val="TableText0"/>
            </w:pPr>
            <w:r>
              <w:t>OR</w:t>
            </w:r>
          </w:p>
        </w:tc>
      </w:tr>
      <w:tr w:rsidR="009F503D" w:rsidRPr="0098262F" w14:paraId="721311AF" w14:textId="77777777" w:rsidTr="00242390">
        <w:trPr>
          <w:trHeight w:val="20"/>
        </w:trPr>
        <w:tc>
          <w:tcPr>
            <w:tcW w:w="5000" w:type="pct"/>
            <w:tcBorders>
              <w:top w:val="nil"/>
              <w:bottom w:val="nil"/>
            </w:tcBorders>
            <w:vAlign w:val="center"/>
          </w:tcPr>
          <w:p w14:paraId="55CE9ABC" w14:textId="77777777" w:rsidR="009F503D" w:rsidRDefault="009F503D" w:rsidP="0049200A">
            <w:pPr>
              <w:pStyle w:val="TableText0"/>
            </w:pPr>
            <w:r w:rsidRPr="00401A7B">
              <w:t>Must be treated by a paediatrician</w:t>
            </w:r>
            <w:r>
              <w:t>;</w:t>
            </w:r>
          </w:p>
        </w:tc>
      </w:tr>
      <w:tr w:rsidR="009F503D" w:rsidRPr="0098262F" w14:paraId="1CD34426" w14:textId="77777777" w:rsidTr="00242390">
        <w:trPr>
          <w:trHeight w:val="20"/>
        </w:trPr>
        <w:tc>
          <w:tcPr>
            <w:tcW w:w="5000" w:type="pct"/>
            <w:tcBorders>
              <w:top w:val="nil"/>
              <w:bottom w:val="nil"/>
            </w:tcBorders>
            <w:vAlign w:val="center"/>
          </w:tcPr>
          <w:p w14:paraId="609A5C49" w14:textId="77777777" w:rsidR="009F503D" w:rsidRPr="00401A7B" w:rsidRDefault="009F503D" w:rsidP="0049200A">
            <w:pPr>
              <w:pStyle w:val="TableText0"/>
            </w:pPr>
            <w:r>
              <w:t>OR</w:t>
            </w:r>
          </w:p>
        </w:tc>
      </w:tr>
      <w:tr w:rsidR="009F503D" w:rsidRPr="0098262F" w14:paraId="040C42FF" w14:textId="77777777" w:rsidTr="00242390">
        <w:trPr>
          <w:trHeight w:val="20"/>
        </w:trPr>
        <w:tc>
          <w:tcPr>
            <w:tcW w:w="5000" w:type="pct"/>
            <w:tcBorders>
              <w:top w:val="nil"/>
            </w:tcBorders>
            <w:vAlign w:val="center"/>
          </w:tcPr>
          <w:p w14:paraId="6FEA214C" w14:textId="77777777" w:rsidR="009F503D" w:rsidRPr="00401A7B" w:rsidRDefault="009F503D" w:rsidP="0049200A">
            <w:pPr>
              <w:pStyle w:val="TableText0"/>
            </w:pPr>
            <w:r w:rsidRPr="00401A7B">
              <w:t>Must be treated by a rehabilitation specialist</w:t>
            </w:r>
          </w:p>
        </w:tc>
      </w:tr>
      <w:tr w:rsidR="009F503D" w:rsidRPr="0098262F" w14:paraId="00C05F94" w14:textId="77777777" w:rsidTr="00242390">
        <w:trPr>
          <w:trHeight w:val="20"/>
        </w:trPr>
        <w:tc>
          <w:tcPr>
            <w:tcW w:w="5000" w:type="pct"/>
            <w:vAlign w:val="center"/>
            <w:hideMark/>
          </w:tcPr>
          <w:p w14:paraId="6572D0C7" w14:textId="77777777" w:rsidR="009F503D" w:rsidRPr="0098262F" w:rsidRDefault="009F503D" w:rsidP="0049200A">
            <w:pPr>
              <w:pStyle w:val="TableText0"/>
            </w:pPr>
            <w:r w:rsidRPr="0098262F">
              <w:rPr>
                <w:b/>
              </w:rPr>
              <w:t>Population criteria:</w:t>
            </w:r>
          </w:p>
        </w:tc>
      </w:tr>
      <w:tr w:rsidR="009F503D" w:rsidRPr="0098262F" w14:paraId="20A083DB" w14:textId="77777777" w:rsidTr="00242390">
        <w:trPr>
          <w:trHeight w:val="20"/>
        </w:trPr>
        <w:tc>
          <w:tcPr>
            <w:tcW w:w="5000" w:type="pct"/>
            <w:vAlign w:val="center"/>
          </w:tcPr>
          <w:p w14:paraId="6F1F58DA" w14:textId="77777777" w:rsidR="009F503D" w:rsidRPr="0098262F" w:rsidRDefault="009F503D" w:rsidP="0049200A">
            <w:pPr>
              <w:pStyle w:val="TableText0"/>
              <w:rPr>
                <w:color w:val="0066FF"/>
              </w:rPr>
            </w:pPr>
            <w:r w:rsidRPr="00401A7B">
              <w:t xml:space="preserve">Patient must be aged from 2 to 17 years </w:t>
            </w:r>
            <w:r>
              <w:t>in</w:t>
            </w:r>
            <w:r w:rsidRPr="00401A7B">
              <w:t>clusive</w:t>
            </w:r>
            <w:r>
              <w:t>.</w:t>
            </w:r>
          </w:p>
        </w:tc>
      </w:tr>
    </w:tbl>
    <w:p w14:paraId="2ADAE671" w14:textId="77777777" w:rsidR="00BD406F" w:rsidRDefault="00BD406F" w:rsidP="0049200A">
      <w:pPr>
        <w:keepNext/>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Requested listing - Dynamic equinus foot deformity - patients 18 years or older"/>
      </w:tblPr>
      <w:tblGrid>
        <w:gridCol w:w="9017"/>
      </w:tblGrid>
      <w:tr w:rsidR="009F503D" w:rsidRPr="0098262F" w14:paraId="1B9FAE14" w14:textId="77777777" w:rsidTr="00242390">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8EF33B6" w14:textId="71299D82" w:rsidR="009F503D" w:rsidRPr="00401A7B" w:rsidRDefault="009F503D" w:rsidP="0049200A">
            <w:pPr>
              <w:pStyle w:val="TableText0"/>
              <w:rPr>
                <w:b/>
              </w:rPr>
            </w:pPr>
            <w:r w:rsidRPr="0098262F">
              <w:rPr>
                <w:b/>
              </w:rPr>
              <w:t xml:space="preserve">Category / Program: </w:t>
            </w:r>
            <w:r w:rsidRPr="00401A7B">
              <w:rPr>
                <w:bCs w:val="0"/>
              </w:rPr>
              <w:t>Section 100 (Botulinum toxin program)</w:t>
            </w:r>
          </w:p>
        </w:tc>
      </w:tr>
      <w:tr w:rsidR="009F503D" w:rsidRPr="0098262F" w14:paraId="2A5DCFDA" w14:textId="77777777" w:rsidTr="00242390">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7E5EA63" w14:textId="77777777" w:rsidR="009F503D" w:rsidRPr="0098262F" w:rsidRDefault="009F503D" w:rsidP="0049200A">
            <w:pPr>
              <w:pStyle w:val="TableText0"/>
              <w:rPr>
                <w:b/>
              </w:rPr>
            </w:pPr>
            <w:r w:rsidRPr="0098262F">
              <w:rPr>
                <w:b/>
              </w:rPr>
              <w:t xml:space="preserve">Prescriber type: </w:t>
            </w:r>
            <w:r w:rsidRPr="00401A7B">
              <w:rPr>
                <w:b/>
              </w:rPr>
              <w:fldChar w:fldCharType="begin">
                <w:ffData>
                  <w:name w:val=""/>
                  <w:enabled/>
                  <w:calcOnExit w:val="0"/>
                  <w:checkBox>
                    <w:sizeAuto/>
                    <w:default w:val="1"/>
                  </w:checkBox>
                </w:ffData>
              </w:fldChar>
            </w:r>
            <w:r w:rsidRPr="00401A7B">
              <w:rPr>
                <w:b/>
              </w:rPr>
              <w:instrText xml:space="preserve"> FORMCHECKBOX </w:instrText>
            </w:r>
            <w:r w:rsidRPr="00401A7B">
              <w:rPr>
                <w:b/>
              </w:rPr>
            </w:r>
            <w:r w:rsidRPr="00401A7B">
              <w:rPr>
                <w:b/>
              </w:rPr>
              <w:fldChar w:fldCharType="separate"/>
            </w:r>
            <w:r w:rsidRPr="00401A7B">
              <w:rPr>
                <w:b/>
              </w:rPr>
              <w:fldChar w:fldCharType="end"/>
            </w:r>
            <w:r w:rsidRPr="00401A7B">
              <w:rPr>
                <w:bCs w:val="0"/>
              </w:rPr>
              <w:t>Medical Practitioners</w:t>
            </w:r>
            <w:r w:rsidRPr="00401A7B">
              <w:rPr>
                <w:b/>
              </w:rPr>
              <w:t xml:space="preserve"> </w:t>
            </w:r>
          </w:p>
        </w:tc>
      </w:tr>
      <w:tr w:rsidR="009F503D" w:rsidRPr="0098262F" w14:paraId="30A81BC6" w14:textId="77777777" w:rsidTr="00242390">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BFBA9A5" w14:textId="77777777" w:rsidR="009F503D" w:rsidRPr="00401A7B" w:rsidRDefault="009F503D" w:rsidP="0049200A">
            <w:pPr>
              <w:pStyle w:val="TableText0"/>
              <w:rPr>
                <w:b/>
              </w:rPr>
            </w:pPr>
            <w:r w:rsidRPr="0098262F">
              <w:rPr>
                <w:b/>
              </w:rPr>
              <w:t xml:space="preserve">Restriction type: </w:t>
            </w:r>
            <w:r w:rsidRPr="00401A7B">
              <w:rPr>
                <w:b/>
              </w:rPr>
              <w:fldChar w:fldCharType="begin">
                <w:ffData>
                  <w:name w:val=""/>
                  <w:enabled/>
                  <w:calcOnExit w:val="0"/>
                  <w:checkBox>
                    <w:sizeAuto/>
                    <w:default w:val="1"/>
                  </w:checkBox>
                </w:ffData>
              </w:fldChar>
            </w:r>
            <w:r w:rsidRPr="00401A7B">
              <w:rPr>
                <w:b/>
              </w:rPr>
              <w:instrText xml:space="preserve"> FORMCHECKBOX </w:instrText>
            </w:r>
            <w:r w:rsidRPr="00401A7B">
              <w:rPr>
                <w:b/>
              </w:rPr>
            </w:r>
            <w:r w:rsidRPr="00401A7B">
              <w:rPr>
                <w:b/>
              </w:rPr>
              <w:fldChar w:fldCharType="separate"/>
            </w:r>
            <w:r w:rsidRPr="00401A7B">
              <w:rPr>
                <w:b/>
              </w:rPr>
              <w:fldChar w:fldCharType="end"/>
            </w:r>
            <w:r w:rsidRPr="00401A7B">
              <w:rPr>
                <w:bCs w:val="0"/>
              </w:rPr>
              <w:t>Authority Required (STREAMLINED)</w:t>
            </w:r>
          </w:p>
        </w:tc>
      </w:tr>
      <w:tr w:rsidR="009F503D" w:rsidRPr="0098262F" w14:paraId="3C137496" w14:textId="77777777" w:rsidTr="00242390">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C3E4615" w14:textId="77777777" w:rsidR="009F503D" w:rsidRPr="0098262F" w:rsidRDefault="009F503D" w:rsidP="0049200A">
            <w:pPr>
              <w:pStyle w:val="TableText0"/>
              <w:rPr>
                <w:b/>
              </w:rPr>
            </w:pPr>
            <w:r w:rsidRPr="0098262F">
              <w:rPr>
                <w:b/>
              </w:rPr>
              <w:t xml:space="preserve">Condition: </w:t>
            </w:r>
            <w:r w:rsidRPr="00401A7B">
              <w:rPr>
                <w:bCs w:val="0"/>
              </w:rPr>
              <w:t>Dynamic equinus foot deformity</w:t>
            </w:r>
          </w:p>
        </w:tc>
      </w:tr>
      <w:tr w:rsidR="009F503D" w:rsidRPr="0098262F" w14:paraId="499063B5" w14:textId="77777777" w:rsidTr="00242390">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16C79FB" w14:textId="77777777" w:rsidR="009F503D" w:rsidRPr="00401A7B" w:rsidRDefault="009F503D" w:rsidP="0049200A">
            <w:pPr>
              <w:pStyle w:val="TableText0"/>
              <w:rPr>
                <w:b/>
              </w:rPr>
            </w:pPr>
            <w:r w:rsidRPr="0098262F">
              <w:rPr>
                <w:b/>
              </w:rPr>
              <w:t>Treatment Phase:</w:t>
            </w:r>
            <w:r>
              <w:rPr>
                <w:b/>
              </w:rPr>
              <w:t xml:space="preserve"> </w:t>
            </w:r>
            <w:r w:rsidRPr="00401A7B">
              <w:rPr>
                <w:bCs w:val="0"/>
              </w:rPr>
              <w:t>Initial and continuing</w:t>
            </w:r>
            <w:r w:rsidRPr="00401A7B">
              <w:rPr>
                <w:b/>
              </w:rPr>
              <w:t xml:space="preserve"> </w:t>
            </w:r>
          </w:p>
        </w:tc>
      </w:tr>
      <w:tr w:rsidR="009F503D" w:rsidRPr="0098262F" w14:paraId="1DEBE1B9" w14:textId="77777777" w:rsidTr="00242390">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34DE235" w14:textId="77777777" w:rsidR="009F503D" w:rsidRPr="00401A7B" w:rsidRDefault="009F503D" w:rsidP="0049200A">
            <w:pPr>
              <w:pStyle w:val="TableText0"/>
              <w:rPr>
                <w:b/>
              </w:rPr>
            </w:pPr>
            <w:r w:rsidRPr="0098262F">
              <w:rPr>
                <w:b/>
              </w:rPr>
              <w:t>Clinical criteria:</w:t>
            </w:r>
          </w:p>
        </w:tc>
      </w:tr>
      <w:tr w:rsidR="009F503D" w:rsidRPr="0098262F" w14:paraId="7EB587A2" w14:textId="77777777" w:rsidTr="00242390">
        <w:trPr>
          <w:trHeight w:val="20"/>
        </w:trPr>
        <w:tc>
          <w:tcPr>
            <w:tcW w:w="5000" w:type="pct"/>
            <w:tcBorders>
              <w:top w:val="single" w:sz="4" w:space="0" w:color="auto"/>
              <w:left w:val="single" w:sz="4" w:space="0" w:color="auto"/>
              <w:bottom w:val="nil"/>
              <w:right w:val="single" w:sz="4" w:space="0" w:color="auto"/>
            </w:tcBorders>
            <w:vAlign w:val="center"/>
          </w:tcPr>
          <w:p w14:paraId="7D3F4135" w14:textId="77777777" w:rsidR="009F503D" w:rsidRPr="00401A7B" w:rsidRDefault="009F503D" w:rsidP="0049200A">
            <w:pPr>
              <w:pStyle w:val="TableText0"/>
              <w:rPr>
                <w:bCs w:val="0"/>
              </w:rPr>
            </w:pPr>
            <w:r w:rsidRPr="00401A7B">
              <w:rPr>
                <w:bCs w:val="0"/>
              </w:rPr>
              <w:t>The condition must be due to spasticity</w:t>
            </w:r>
            <w:r>
              <w:rPr>
                <w:bCs w:val="0"/>
              </w:rPr>
              <w:t>,</w:t>
            </w:r>
          </w:p>
        </w:tc>
      </w:tr>
      <w:tr w:rsidR="009F503D" w:rsidRPr="0098262F" w14:paraId="3BD123C3" w14:textId="77777777" w:rsidTr="00242390">
        <w:trPr>
          <w:trHeight w:val="20"/>
        </w:trPr>
        <w:tc>
          <w:tcPr>
            <w:tcW w:w="5000" w:type="pct"/>
            <w:tcBorders>
              <w:top w:val="nil"/>
              <w:left w:val="single" w:sz="4" w:space="0" w:color="auto"/>
              <w:bottom w:val="nil"/>
              <w:right w:val="single" w:sz="4" w:space="0" w:color="auto"/>
            </w:tcBorders>
            <w:vAlign w:val="center"/>
          </w:tcPr>
          <w:p w14:paraId="15215BF3" w14:textId="77777777" w:rsidR="009F503D" w:rsidRPr="00401A7B" w:rsidRDefault="009F503D" w:rsidP="0049200A">
            <w:pPr>
              <w:pStyle w:val="TableText0"/>
              <w:rPr>
                <w:bCs w:val="0"/>
              </w:rPr>
            </w:pPr>
            <w:r w:rsidRPr="00401A7B">
              <w:rPr>
                <w:bCs w:val="0"/>
              </w:rPr>
              <w:t>AND</w:t>
            </w:r>
          </w:p>
        </w:tc>
      </w:tr>
      <w:tr w:rsidR="009F503D" w:rsidRPr="0098262F" w14:paraId="33188A88" w14:textId="77777777" w:rsidTr="00242390">
        <w:trPr>
          <w:trHeight w:val="20"/>
        </w:trPr>
        <w:tc>
          <w:tcPr>
            <w:tcW w:w="5000" w:type="pct"/>
            <w:tcBorders>
              <w:top w:val="nil"/>
              <w:left w:val="single" w:sz="4" w:space="0" w:color="auto"/>
              <w:bottom w:val="nil"/>
              <w:right w:val="single" w:sz="4" w:space="0" w:color="auto"/>
            </w:tcBorders>
            <w:vAlign w:val="center"/>
          </w:tcPr>
          <w:p w14:paraId="6155C94D" w14:textId="77777777" w:rsidR="009F503D" w:rsidRPr="00401A7B" w:rsidRDefault="009F503D" w:rsidP="0049200A">
            <w:pPr>
              <w:pStyle w:val="TableText0"/>
              <w:rPr>
                <w:bCs w:val="0"/>
              </w:rPr>
            </w:pPr>
            <w:r w:rsidRPr="00401A7B">
              <w:rPr>
                <w:bCs w:val="0"/>
              </w:rPr>
              <w:t>Patient must have cerebral palsy</w:t>
            </w:r>
            <w:r>
              <w:rPr>
                <w:bCs w:val="0"/>
              </w:rPr>
              <w:t>,</w:t>
            </w:r>
          </w:p>
        </w:tc>
      </w:tr>
      <w:tr w:rsidR="009F503D" w:rsidRPr="0098262F" w14:paraId="14568AFD" w14:textId="77777777" w:rsidTr="00242390">
        <w:trPr>
          <w:trHeight w:val="20"/>
        </w:trPr>
        <w:tc>
          <w:tcPr>
            <w:tcW w:w="5000" w:type="pct"/>
            <w:tcBorders>
              <w:top w:val="nil"/>
              <w:left w:val="single" w:sz="4" w:space="0" w:color="auto"/>
              <w:bottom w:val="nil"/>
              <w:right w:val="single" w:sz="4" w:space="0" w:color="auto"/>
            </w:tcBorders>
            <w:vAlign w:val="center"/>
          </w:tcPr>
          <w:p w14:paraId="4F874B09" w14:textId="77777777" w:rsidR="009F503D" w:rsidRPr="00401A7B" w:rsidRDefault="009F503D" w:rsidP="0049200A">
            <w:pPr>
              <w:pStyle w:val="TableText0"/>
              <w:rPr>
                <w:bCs w:val="0"/>
              </w:rPr>
            </w:pPr>
            <w:r w:rsidRPr="00401A7B">
              <w:rPr>
                <w:bCs w:val="0"/>
              </w:rPr>
              <w:t>AND</w:t>
            </w:r>
          </w:p>
        </w:tc>
      </w:tr>
      <w:tr w:rsidR="009F503D" w:rsidRPr="0098262F" w14:paraId="5228248F" w14:textId="77777777" w:rsidTr="00242390">
        <w:trPr>
          <w:trHeight w:val="20"/>
        </w:trPr>
        <w:tc>
          <w:tcPr>
            <w:tcW w:w="5000" w:type="pct"/>
            <w:tcBorders>
              <w:top w:val="nil"/>
              <w:left w:val="single" w:sz="4" w:space="0" w:color="auto"/>
              <w:bottom w:val="single" w:sz="4" w:space="0" w:color="auto"/>
              <w:right w:val="single" w:sz="4" w:space="0" w:color="auto"/>
            </w:tcBorders>
            <w:vAlign w:val="center"/>
          </w:tcPr>
          <w:p w14:paraId="571EC2E8" w14:textId="603F4727" w:rsidR="00B97A47" w:rsidRPr="00401A7B" w:rsidRDefault="009F503D" w:rsidP="0049200A">
            <w:pPr>
              <w:pStyle w:val="TableText0"/>
              <w:rPr>
                <w:bCs w:val="0"/>
              </w:rPr>
            </w:pPr>
            <w:r w:rsidRPr="00401A7B">
              <w:rPr>
                <w:bCs w:val="0"/>
              </w:rPr>
              <w:t>Patient must be ambulant</w:t>
            </w:r>
            <w:r>
              <w:rPr>
                <w:bCs w:val="0"/>
              </w:rPr>
              <w:t>.</w:t>
            </w:r>
          </w:p>
        </w:tc>
      </w:tr>
      <w:tr w:rsidR="009F503D" w:rsidRPr="0098262F" w14:paraId="0CE80A11" w14:textId="77777777" w:rsidTr="00242390">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90F5977" w14:textId="77777777" w:rsidR="009F503D" w:rsidRPr="00401A7B" w:rsidRDefault="009F503D" w:rsidP="0049200A">
            <w:pPr>
              <w:pStyle w:val="TableText0"/>
              <w:rPr>
                <w:b/>
              </w:rPr>
            </w:pPr>
            <w:r w:rsidRPr="0098262F">
              <w:rPr>
                <w:b/>
              </w:rPr>
              <w:t>Treatment criteria:</w:t>
            </w:r>
          </w:p>
        </w:tc>
      </w:tr>
      <w:tr w:rsidR="009F503D" w:rsidRPr="0098262F" w14:paraId="1C702043" w14:textId="77777777" w:rsidTr="00242390">
        <w:trPr>
          <w:trHeight w:val="20"/>
        </w:trPr>
        <w:tc>
          <w:tcPr>
            <w:tcW w:w="5000" w:type="pct"/>
            <w:tcBorders>
              <w:top w:val="single" w:sz="4" w:space="0" w:color="auto"/>
              <w:left w:val="single" w:sz="4" w:space="0" w:color="auto"/>
              <w:bottom w:val="nil"/>
              <w:right w:val="single" w:sz="4" w:space="0" w:color="auto"/>
            </w:tcBorders>
            <w:vAlign w:val="center"/>
          </w:tcPr>
          <w:p w14:paraId="3CD6EDDE" w14:textId="77777777" w:rsidR="009F503D" w:rsidRPr="00401A7B" w:rsidRDefault="009F503D" w:rsidP="0049200A">
            <w:pPr>
              <w:pStyle w:val="TableText0"/>
              <w:rPr>
                <w:bCs w:val="0"/>
              </w:rPr>
            </w:pPr>
            <w:r w:rsidRPr="00401A7B">
              <w:rPr>
                <w:bCs w:val="0"/>
              </w:rPr>
              <w:lastRenderedPageBreak/>
              <w:t xml:space="preserve">Must be treated by a neurologist; </w:t>
            </w:r>
          </w:p>
        </w:tc>
      </w:tr>
      <w:tr w:rsidR="009F503D" w:rsidRPr="0098262F" w14:paraId="50E62CE9" w14:textId="77777777" w:rsidTr="00242390">
        <w:trPr>
          <w:trHeight w:val="20"/>
        </w:trPr>
        <w:tc>
          <w:tcPr>
            <w:tcW w:w="5000" w:type="pct"/>
            <w:tcBorders>
              <w:top w:val="nil"/>
              <w:left w:val="single" w:sz="4" w:space="0" w:color="auto"/>
              <w:bottom w:val="nil"/>
              <w:right w:val="single" w:sz="4" w:space="0" w:color="auto"/>
            </w:tcBorders>
            <w:vAlign w:val="center"/>
          </w:tcPr>
          <w:p w14:paraId="1492702D" w14:textId="77777777" w:rsidR="009F503D" w:rsidRPr="00401A7B" w:rsidRDefault="009F503D" w:rsidP="0049200A">
            <w:pPr>
              <w:pStyle w:val="TableText0"/>
              <w:rPr>
                <w:bCs w:val="0"/>
              </w:rPr>
            </w:pPr>
            <w:r w:rsidRPr="00401A7B">
              <w:rPr>
                <w:bCs w:val="0"/>
              </w:rPr>
              <w:t>OR</w:t>
            </w:r>
          </w:p>
        </w:tc>
      </w:tr>
      <w:tr w:rsidR="009F503D" w:rsidRPr="0098262F" w14:paraId="5DA01A5C" w14:textId="77777777" w:rsidTr="00242390">
        <w:trPr>
          <w:trHeight w:val="20"/>
        </w:trPr>
        <w:tc>
          <w:tcPr>
            <w:tcW w:w="5000" w:type="pct"/>
            <w:tcBorders>
              <w:top w:val="nil"/>
              <w:left w:val="single" w:sz="4" w:space="0" w:color="auto"/>
              <w:bottom w:val="nil"/>
              <w:right w:val="single" w:sz="4" w:space="0" w:color="auto"/>
            </w:tcBorders>
            <w:vAlign w:val="center"/>
          </w:tcPr>
          <w:p w14:paraId="2955DA30" w14:textId="77777777" w:rsidR="009F503D" w:rsidRPr="00401A7B" w:rsidRDefault="009F503D" w:rsidP="0049200A">
            <w:pPr>
              <w:pStyle w:val="TableText0"/>
              <w:rPr>
                <w:bCs w:val="0"/>
              </w:rPr>
            </w:pPr>
            <w:r w:rsidRPr="00401A7B">
              <w:rPr>
                <w:bCs w:val="0"/>
              </w:rPr>
              <w:t>Must be treated by an orthopaedic surgeon;</w:t>
            </w:r>
          </w:p>
        </w:tc>
      </w:tr>
      <w:tr w:rsidR="009F503D" w:rsidRPr="0098262F" w14:paraId="04AE5393" w14:textId="77777777" w:rsidTr="00242390">
        <w:trPr>
          <w:trHeight w:val="20"/>
        </w:trPr>
        <w:tc>
          <w:tcPr>
            <w:tcW w:w="5000" w:type="pct"/>
            <w:tcBorders>
              <w:top w:val="nil"/>
              <w:left w:val="single" w:sz="4" w:space="0" w:color="auto"/>
              <w:bottom w:val="nil"/>
              <w:right w:val="single" w:sz="4" w:space="0" w:color="auto"/>
            </w:tcBorders>
            <w:vAlign w:val="center"/>
          </w:tcPr>
          <w:p w14:paraId="62201ABB" w14:textId="77777777" w:rsidR="009F503D" w:rsidRPr="00401A7B" w:rsidRDefault="009F503D" w:rsidP="0049200A">
            <w:pPr>
              <w:pStyle w:val="TableText0"/>
              <w:rPr>
                <w:bCs w:val="0"/>
              </w:rPr>
            </w:pPr>
            <w:r w:rsidRPr="00401A7B">
              <w:rPr>
                <w:bCs w:val="0"/>
              </w:rPr>
              <w:t>OR</w:t>
            </w:r>
          </w:p>
        </w:tc>
      </w:tr>
      <w:tr w:rsidR="009F503D" w:rsidRPr="0098262F" w14:paraId="6C65DCB5" w14:textId="77777777" w:rsidTr="00242390">
        <w:trPr>
          <w:trHeight w:val="20"/>
        </w:trPr>
        <w:tc>
          <w:tcPr>
            <w:tcW w:w="5000" w:type="pct"/>
            <w:tcBorders>
              <w:top w:val="nil"/>
              <w:left w:val="single" w:sz="4" w:space="0" w:color="auto"/>
              <w:bottom w:val="nil"/>
              <w:right w:val="single" w:sz="4" w:space="0" w:color="auto"/>
            </w:tcBorders>
            <w:vAlign w:val="center"/>
          </w:tcPr>
          <w:p w14:paraId="2EC8E780" w14:textId="77777777" w:rsidR="009F503D" w:rsidRPr="00401A7B" w:rsidRDefault="009F503D" w:rsidP="0049200A">
            <w:pPr>
              <w:pStyle w:val="TableText0"/>
              <w:rPr>
                <w:bCs w:val="0"/>
              </w:rPr>
            </w:pPr>
            <w:r w:rsidRPr="00401A7B">
              <w:rPr>
                <w:bCs w:val="0"/>
              </w:rPr>
              <w:t>Must be treated by a paediatrician;</w:t>
            </w:r>
          </w:p>
        </w:tc>
      </w:tr>
      <w:tr w:rsidR="009F503D" w:rsidRPr="0098262F" w14:paraId="605FEC33" w14:textId="77777777" w:rsidTr="00242390">
        <w:trPr>
          <w:trHeight w:val="20"/>
        </w:trPr>
        <w:tc>
          <w:tcPr>
            <w:tcW w:w="5000" w:type="pct"/>
            <w:tcBorders>
              <w:top w:val="nil"/>
              <w:left w:val="single" w:sz="4" w:space="0" w:color="auto"/>
              <w:bottom w:val="nil"/>
              <w:right w:val="single" w:sz="4" w:space="0" w:color="auto"/>
            </w:tcBorders>
            <w:vAlign w:val="center"/>
          </w:tcPr>
          <w:p w14:paraId="1AD10956" w14:textId="77777777" w:rsidR="009F503D" w:rsidRPr="00401A7B" w:rsidRDefault="009F503D" w:rsidP="0049200A">
            <w:pPr>
              <w:pStyle w:val="TableText0"/>
              <w:rPr>
                <w:bCs w:val="0"/>
              </w:rPr>
            </w:pPr>
            <w:r w:rsidRPr="00401A7B">
              <w:rPr>
                <w:bCs w:val="0"/>
              </w:rPr>
              <w:t>OR</w:t>
            </w:r>
          </w:p>
        </w:tc>
      </w:tr>
      <w:tr w:rsidR="009F503D" w:rsidRPr="0098262F" w14:paraId="1119E84B" w14:textId="77777777" w:rsidTr="00242390">
        <w:trPr>
          <w:trHeight w:val="20"/>
        </w:trPr>
        <w:tc>
          <w:tcPr>
            <w:tcW w:w="5000" w:type="pct"/>
            <w:tcBorders>
              <w:top w:val="nil"/>
              <w:left w:val="single" w:sz="4" w:space="0" w:color="auto"/>
              <w:bottom w:val="single" w:sz="4" w:space="0" w:color="auto"/>
              <w:right w:val="single" w:sz="4" w:space="0" w:color="auto"/>
            </w:tcBorders>
            <w:vAlign w:val="center"/>
          </w:tcPr>
          <w:p w14:paraId="5AF55710" w14:textId="77777777" w:rsidR="009F503D" w:rsidRPr="00401A7B" w:rsidRDefault="009F503D" w:rsidP="0049200A">
            <w:pPr>
              <w:pStyle w:val="TableText0"/>
              <w:rPr>
                <w:bCs w:val="0"/>
              </w:rPr>
            </w:pPr>
            <w:r w:rsidRPr="00401A7B">
              <w:rPr>
                <w:bCs w:val="0"/>
              </w:rPr>
              <w:t>Must be treated by a rehabilitation specialist</w:t>
            </w:r>
            <w:r>
              <w:rPr>
                <w:bCs w:val="0"/>
              </w:rPr>
              <w:t>.</w:t>
            </w:r>
          </w:p>
        </w:tc>
      </w:tr>
      <w:tr w:rsidR="009F503D" w:rsidRPr="0098262F" w14:paraId="2536CD19" w14:textId="77777777" w:rsidTr="00242390">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9F132CE" w14:textId="77777777" w:rsidR="009F503D" w:rsidRPr="00401A7B" w:rsidRDefault="009F503D" w:rsidP="0049200A">
            <w:pPr>
              <w:pStyle w:val="TableText0"/>
              <w:rPr>
                <w:b/>
              </w:rPr>
            </w:pPr>
            <w:r w:rsidRPr="0098262F">
              <w:rPr>
                <w:b/>
              </w:rPr>
              <w:t>Population criteria:</w:t>
            </w:r>
          </w:p>
        </w:tc>
      </w:tr>
      <w:tr w:rsidR="009F503D" w:rsidRPr="0098262F" w14:paraId="04221F33" w14:textId="77777777" w:rsidTr="00242390">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266FDC4" w14:textId="77777777" w:rsidR="009F503D" w:rsidRPr="00401A7B" w:rsidRDefault="009F503D" w:rsidP="0049200A">
            <w:pPr>
              <w:pStyle w:val="TableText0"/>
              <w:rPr>
                <w:bCs w:val="0"/>
              </w:rPr>
            </w:pPr>
            <w:r w:rsidRPr="00401A7B">
              <w:rPr>
                <w:bCs w:val="0"/>
              </w:rPr>
              <w:t>Patient must be aged from 18 years or older</w:t>
            </w:r>
            <w:r>
              <w:rPr>
                <w:bCs w:val="0"/>
              </w:rPr>
              <w:t>.</w:t>
            </w:r>
          </w:p>
        </w:tc>
      </w:tr>
    </w:tbl>
    <w:p w14:paraId="33AA3821" w14:textId="77777777" w:rsidR="00E7544D" w:rsidRDefault="00E7544D" w:rsidP="0049200A"/>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Requested listing - Moderate to severe spasticity of the upper limb - patients aged 2 to 17 years inclusive"/>
      </w:tblPr>
      <w:tblGrid>
        <w:gridCol w:w="9017"/>
      </w:tblGrid>
      <w:tr w:rsidR="00CD4954" w:rsidRPr="0098262F" w14:paraId="508F333E" w14:textId="77777777" w:rsidTr="00F75C77">
        <w:trPr>
          <w:trHeight w:val="20"/>
        </w:trPr>
        <w:tc>
          <w:tcPr>
            <w:tcW w:w="5000" w:type="pct"/>
          </w:tcPr>
          <w:p w14:paraId="2FAB0FF0" w14:textId="006FBC07" w:rsidR="00CD4954" w:rsidRPr="0098262F" w:rsidRDefault="00CD4954" w:rsidP="0049200A">
            <w:pPr>
              <w:pStyle w:val="TableText0"/>
            </w:pPr>
            <w:r w:rsidRPr="0098262F">
              <w:rPr>
                <w:b/>
              </w:rPr>
              <w:t xml:space="preserve">Category / Program: </w:t>
            </w:r>
            <w:r w:rsidRPr="00401A7B">
              <w:t>Section 100 (Botulinum toxin program)</w:t>
            </w:r>
          </w:p>
        </w:tc>
      </w:tr>
      <w:tr w:rsidR="00CD4954" w:rsidRPr="0098262F" w14:paraId="422679DD" w14:textId="77777777" w:rsidTr="00F75C77">
        <w:trPr>
          <w:trHeight w:val="20"/>
        </w:trPr>
        <w:tc>
          <w:tcPr>
            <w:tcW w:w="5000" w:type="pct"/>
          </w:tcPr>
          <w:p w14:paraId="20ADAF30" w14:textId="77777777" w:rsidR="00CD4954" w:rsidRPr="0098262F" w:rsidRDefault="00CD4954" w:rsidP="0049200A">
            <w:pPr>
              <w:pStyle w:val="TableText0"/>
              <w:rPr>
                <w:b/>
              </w:rPr>
            </w:pPr>
            <w:r w:rsidRPr="0098262F">
              <w:rPr>
                <w:b/>
              </w:rPr>
              <w:t xml:space="preserve">Prescriber type: </w:t>
            </w:r>
            <w:r w:rsidRPr="009E379F">
              <w:rPr>
                <w:b/>
                <w:bCs w:val="0"/>
              </w:rPr>
              <w:fldChar w:fldCharType="begin">
                <w:ffData>
                  <w:name w:val=""/>
                  <w:enabled/>
                  <w:calcOnExit w:val="0"/>
                  <w:checkBox>
                    <w:sizeAuto/>
                    <w:default w:val="1"/>
                  </w:checkBox>
                </w:ffData>
              </w:fldChar>
            </w:r>
            <w:r w:rsidRPr="009E379F">
              <w:instrText xml:space="preserve"> FORMCHECKBOX </w:instrText>
            </w:r>
            <w:r w:rsidRPr="009E379F">
              <w:rPr>
                <w:b/>
                <w:bCs w:val="0"/>
              </w:rPr>
            </w:r>
            <w:r w:rsidRPr="009E379F">
              <w:rPr>
                <w:b/>
                <w:bCs w:val="0"/>
              </w:rPr>
              <w:fldChar w:fldCharType="separate"/>
            </w:r>
            <w:r w:rsidRPr="009E379F">
              <w:rPr>
                <w:b/>
                <w:bCs w:val="0"/>
              </w:rPr>
              <w:fldChar w:fldCharType="end"/>
            </w:r>
            <w:r w:rsidRPr="0098262F">
              <w:t>Medical Practitioners</w:t>
            </w:r>
          </w:p>
        </w:tc>
      </w:tr>
      <w:tr w:rsidR="00CD4954" w:rsidRPr="0098262F" w14:paraId="694D36C1" w14:textId="77777777" w:rsidTr="00F75C77">
        <w:trPr>
          <w:trHeight w:val="20"/>
        </w:trPr>
        <w:tc>
          <w:tcPr>
            <w:tcW w:w="5000" w:type="pct"/>
          </w:tcPr>
          <w:p w14:paraId="591DDA51" w14:textId="77777777" w:rsidR="00CD4954" w:rsidRPr="0098262F" w:rsidRDefault="00CD4954" w:rsidP="0049200A">
            <w:pPr>
              <w:pStyle w:val="TableText0"/>
              <w:rPr>
                <w:rFonts w:eastAsia="Times New Roman"/>
              </w:rPr>
            </w:pPr>
            <w:r w:rsidRPr="0098262F">
              <w:rPr>
                <w:b/>
              </w:rPr>
              <w:t xml:space="preserve">Restriction type: </w:t>
            </w:r>
            <w:r w:rsidRPr="009E379F">
              <w:rPr>
                <w:b/>
                <w:bCs w:val="0"/>
              </w:rPr>
              <w:fldChar w:fldCharType="begin">
                <w:ffData>
                  <w:name w:val=""/>
                  <w:enabled/>
                  <w:calcOnExit w:val="0"/>
                  <w:checkBox>
                    <w:sizeAuto/>
                    <w:default w:val="1"/>
                  </w:checkBox>
                </w:ffData>
              </w:fldChar>
            </w:r>
            <w:r w:rsidRPr="009E379F">
              <w:instrText xml:space="preserve"> FORMCHECKBOX </w:instrText>
            </w:r>
            <w:r w:rsidRPr="009E379F">
              <w:rPr>
                <w:b/>
                <w:bCs w:val="0"/>
              </w:rPr>
            </w:r>
            <w:r w:rsidRPr="009E379F">
              <w:rPr>
                <w:b/>
                <w:bCs w:val="0"/>
              </w:rPr>
              <w:fldChar w:fldCharType="separate"/>
            </w:r>
            <w:r w:rsidRPr="009E379F">
              <w:rPr>
                <w:b/>
                <w:bCs w:val="0"/>
              </w:rPr>
              <w:fldChar w:fldCharType="end"/>
            </w:r>
            <w:r w:rsidRPr="0098262F">
              <w:rPr>
                <w:rFonts w:eastAsia="Times New Roman"/>
              </w:rPr>
              <w:t>Authority Required (STREAMLINED)</w:t>
            </w:r>
          </w:p>
        </w:tc>
      </w:tr>
      <w:tr w:rsidR="00CD4954" w:rsidRPr="0098262F" w14:paraId="2A913A55" w14:textId="77777777" w:rsidTr="00F75C77">
        <w:trPr>
          <w:trHeight w:val="20"/>
        </w:trPr>
        <w:tc>
          <w:tcPr>
            <w:tcW w:w="5000" w:type="pct"/>
            <w:vAlign w:val="center"/>
          </w:tcPr>
          <w:p w14:paraId="523A8871" w14:textId="77777777" w:rsidR="00CD4954" w:rsidRPr="0098262F" w:rsidRDefault="00CD4954" w:rsidP="0049200A">
            <w:pPr>
              <w:pStyle w:val="TableText0"/>
              <w:rPr>
                <w:b/>
              </w:rPr>
            </w:pPr>
            <w:r w:rsidRPr="0098262F">
              <w:rPr>
                <w:b/>
              </w:rPr>
              <w:t xml:space="preserve">Condition: </w:t>
            </w:r>
            <w:r w:rsidRPr="00B6602D">
              <w:rPr>
                <w:bCs w:val="0"/>
              </w:rPr>
              <w:t>Moderate to severe spasticity of the upper limb</w:t>
            </w:r>
          </w:p>
        </w:tc>
      </w:tr>
      <w:tr w:rsidR="00CD4954" w:rsidRPr="0098262F" w14:paraId="27B0621D" w14:textId="77777777" w:rsidTr="00F75C77">
        <w:trPr>
          <w:trHeight w:val="20"/>
        </w:trPr>
        <w:tc>
          <w:tcPr>
            <w:tcW w:w="5000" w:type="pct"/>
            <w:vAlign w:val="center"/>
            <w:hideMark/>
          </w:tcPr>
          <w:p w14:paraId="20779C35" w14:textId="77777777" w:rsidR="00CD4954" w:rsidRPr="0098262F" w:rsidRDefault="00CD4954" w:rsidP="0049200A">
            <w:pPr>
              <w:pStyle w:val="TableText0"/>
            </w:pPr>
            <w:r w:rsidRPr="0098262F">
              <w:rPr>
                <w:b/>
              </w:rPr>
              <w:t>Treatment Phase:</w:t>
            </w:r>
            <w:r>
              <w:rPr>
                <w:b/>
              </w:rPr>
              <w:t xml:space="preserve"> </w:t>
            </w:r>
            <w:r w:rsidRPr="00401A7B">
              <w:rPr>
                <w:bCs w:val="0"/>
              </w:rPr>
              <w:t>Initial and continuing</w:t>
            </w:r>
            <w:r w:rsidRPr="0098262F">
              <w:t xml:space="preserve"> </w:t>
            </w:r>
          </w:p>
        </w:tc>
      </w:tr>
      <w:tr w:rsidR="00CD4954" w:rsidRPr="0098262F" w14:paraId="7D32F554" w14:textId="77777777" w:rsidTr="00F75C77">
        <w:trPr>
          <w:trHeight w:val="20"/>
        </w:trPr>
        <w:tc>
          <w:tcPr>
            <w:tcW w:w="5000" w:type="pct"/>
            <w:vAlign w:val="center"/>
            <w:hideMark/>
          </w:tcPr>
          <w:p w14:paraId="34B0C99A" w14:textId="77777777" w:rsidR="00CD4954" w:rsidRPr="0098262F" w:rsidRDefault="00CD4954" w:rsidP="0049200A">
            <w:pPr>
              <w:pStyle w:val="TableText0"/>
            </w:pPr>
            <w:r w:rsidRPr="0098262F">
              <w:rPr>
                <w:b/>
              </w:rPr>
              <w:t>Clinical criteria:</w:t>
            </w:r>
          </w:p>
        </w:tc>
      </w:tr>
      <w:tr w:rsidR="00CD4954" w:rsidRPr="0098262F" w14:paraId="7664A1F8" w14:textId="77777777" w:rsidTr="00F75C77">
        <w:trPr>
          <w:trHeight w:val="20"/>
        </w:trPr>
        <w:tc>
          <w:tcPr>
            <w:tcW w:w="5000" w:type="pct"/>
            <w:tcBorders>
              <w:top w:val="nil"/>
              <w:bottom w:val="nil"/>
            </w:tcBorders>
            <w:vAlign w:val="center"/>
          </w:tcPr>
          <w:p w14:paraId="26FA964C" w14:textId="77777777" w:rsidR="00CD4954" w:rsidRPr="00401A7B" w:rsidRDefault="00CD4954" w:rsidP="0049200A">
            <w:pPr>
              <w:pStyle w:val="TableText0"/>
            </w:pPr>
            <w:r w:rsidRPr="00401A7B">
              <w:t>Patient must have cerebral palsy</w:t>
            </w:r>
            <w:r>
              <w:t>.</w:t>
            </w:r>
          </w:p>
        </w:tc>
      </w:tr>
      <w:tr w:rsidR="00CD4954" w:rsidRPr="0098262F" w14:paraId="4D97FE7E" w14:textId="77777777" w:rsidTr="00F75C77">
        <w:trPr>
          <w:trHeight w:val="20"/>
        </w:trPr>
        <w:tc>
          <w:tcPr>
            <w:tcW w:w="5000" w:type="pct"/>
            <w:vAlign w:val="center"/>
            <w:hideMark/>
          </w:tcPr>
          <w:p w14:paraId="0DA6A86C" w14:textId="77777777" w:rsidR="00CD4954" w:rsidRPr="0098262F" w:rsidRDefault="00CD4954" w:rsidP="0049200A">
            <w:pPr>
              <w:pStyle w:val="TableText0"/>
            </w:pPr>
            <w:r w:rsidRPr="0098262F">
              <w:rPr>
                <w:b/>
              </w:rPr>
              <w:t>Treatment criteria:</w:t>
            </w:r>
          </w:p>
        </w:tc>
      </w:tr>
      <w:tr w:rsidR="00CD4954" w:rsidRPr="0098262F" w14:paraId="4ECB66E8" w14:textId="77777777" w:rsidTr="00F75C77">
        <w:trPr>
          <w:trHeight w:val="20"/>
        </w:trPr>
        <w:tc>
          <w:tcPr>
            <w:tcW w:w="5000" w:type="pct"/>
            <w:tcBorders>
              <w:bottom w:val="nil"/>
            </w:tcBorders>
            <w:vAlign w:val="center"/>
            <w:hideMark/>
          </w:tcPr>
          <w:p w14:paraId="5B0AF7A5" w14:textId="77777777" w:rsidR="00CD4954" w:rsidRPr="00401A7B" w:rsidRDefault="00CD4954" w:rsidP="0049200A">
            <w:pPr>
              <w:pStyle w:val="TableText0"/>
            </w:pPr>
            <w:r w:rsidRPr="00401A7B">
              <w:t>Must be treated by a neurologist;</w:t>
            </w:r>
            <w:r>
              <w:t xml:space="preserve"> </w:t>
            </w:r>
          </w:p>
        </w:tc>
      </w:tr>
      <w:tr w:rsidR="00CD4954" w:rsidRPr="0098262F" w14:paraId="306840B3" w14:textId="77777777" w:rsidTr="00F75C77">
        <w:trPr>
          <w:trHeight w:val="20"/>
        </w:trPr>
        <w:tc>
          <w:tcPr>
            <w:tcW w:w="5000" w:type="pct"/>
            <w:tcBorders>
              <w:top w:val="nil"/>
              <w:bottom w:val="nil"/>
            </w:tcBorders>
            <w:vAlign w:val="center"/>
          </w:tcPr>
          <w:p w14:paraId="6C37B6AF" w14:textId="77777777" w:rsidR="00CD4954" w:rsidRPr="00401A7B" w:rsidRDefault="00CD4954" w:rsidP="0049200A">
            <w:pPr>
              <w:pStyle w:val="TableText0"/>
            </w:pPr>
            <w:r>
              <w:t>OR</w:t>
            </w:r>
          </w:p>
        </w:tc>
      </w:tr>
      <w:tr w:rsidR="00CD4954" w:rsidRPr="0098262F" w14:paraId="1453DCAB" w14:textId="77777777" w:rsidTr="00F75C77">
        <w:trPr>
          <w:trHeight w:val="20"/>
        </w:trPr>
        <w:tc>
          <w:tcPr>
            <w:tcW w:w="5000" w:type="pct"/>
            <w:tcBorders>
              <w:top w:val="nil"/>
              <w:bottom w:val="nil"/>
            </w:tcBorders>
            <w:vAlign w:val="center"/>
          </w:tcPr>
          <w:p w14:paraId="2A86E6E0" w14:textId="77777777" w:rsidR="00CD4954" w:rsidRDefault="00CD4954" w:rsidP="0049200A">
            <w:pPr>
              <w:pStyle w:val="TableText0"/>
            </w:pPr>
            <w:r>
              <w:t>Must be treated by an orthopaedic surgeon;</w:t>
            </w:r>
          </w:p>
        </w:tc>
      </w:tr>
      <w:tr w:rsidR="00CD4954" w:rsidRPr="0098262F" w14:paraId="2EFE3BB7" w14:textId="77777777" w:rsidTr="00F75C77">
        <w:trPr>
          <w:trHeight w:val="20"/>
        </w:trPr>
        <w:tc>
          <w:tcPr>
            <w:tcW w:w="5000" w:type="pct"/>
            <w:tcBorders>
              <w:top w:val="nil"/>
              <w:bottom w:val="nil"/>
            </w:tcBorders>
            <w:vAlign w:val="center"/>
          </w:tcPr>
          <w:p w14:paraId="704555EC" w14:textId="77777777" w:rsidR="00CD4954" w:rsidRDefault="00CD4954" w:rsidP="0049200A">
            <w:pPr>
              <w:pStyle w:val="TableText0"/>
            </w:pPr>
            <w:r>
              <w:t>OR</w:t>
            </w:r>
          </w:p>
        </w:tc>
      </w:tr>
      <w:tr w:rsidR="00CD4954" w:rsidRPr="0098262F" w14:paraId="0F275E04" w14:textId="77777777" w:rsidTr="00F75C77">
        <w:trPr>
          <w:trHeight w:val="20"/>
        </w:trPr>
        <w:tc>
          <w:tcPr>
            <w:tcW w:w="5000" w:type="pct"/>
            <w:tcBorders>
              <w:top w:val="nil"/>
              <w:bottom w:val="nil"/>
            </w:tcBorders>
            <w:vAlign w:val="center"/>
          </w:tcPr>
          <w:p w14:paraId="6A45B46B" w14:textId="77777777" w:rsidR="00CD4954" w:rsidRDefault="00CD4954" w:rsidP="0049200A">
            <w:pPr>
              <w:pStyle w:val="TableText0"/>
            </w:pPr>
            <w:r w:rsidRPr="00401A7B">
              <w:t>Must be treated by a paediatrician</w:t>
            </w:r>
            <w:r>
              <w:t>;</w:t>
            </w:r>
          </w:p>
        </w:tc>
      </w:tr>
      <w:tr w:rsidR="00CD4954" w:rsidRPr="0098262F" w14:paraId="023413C6" w14:textId="77777777" w:rsidTr="00F75C77">
        <w:trPr>
          <w:trHeight w:val="20"/>
        </w:trPr>
        <w:tc>
          <w:tcPr>
            <w:tcW w:w="5000" w:type="pct"/>
            <w:tcBorders>
              <w:top w:val="nil"/>
              <w:bottom w:val="nil"/>
            </w:tcBorders>
            <w:vAlign w:val="center"/>
          </w:tcPr>
          <w:p w14:paraId="744E7D91" w14:textId="77777777" w:rsidR="00CD4954" w:rsidRPr="00401A7B" w:rsidRDefault="00CD4954" w:rsidP="0049200A">
            <w:pPr>
              <w:pStyle w:val="TableText0"/>
            </w:pPr>
            <w:r>
              <w:t>OR</w:t>
            </w:r>
          </w:p>
        </w:tc>
      </w:tr>
      <w:tr w:rsidR="00CD4954" w:rsidRPr="0098262F" w14:paraId="1BFDE70C" w14:textId="77777777" w:rsidTr="00F75C77">
        <w:trPr>
          <w:trHeight w:val="20"/>
        </w:trPr>
        <w:tc>
          <w:tcPr>
            <w:tcW w:w="5000" w:type="pct"/>
            <w:tcBorders>
              <w:top w:val="nil"/>
              <w:bottom w:val="nil"/>
            </w:tcBorders>
            <w:vAlign w:val="center"/>
          </w:tcPr>
          <w:p w14:paraId="22E73C38" w14:textId="77777777" w:rsidR="00CD4954" w:rsidRPr="00401A7B" w:rsidRDefault="00CD4954" w:rsidP="0049200A">
            <w:pPr>
              <w:pStyle w:val="TableText0"/>
            </w:pPr>
            <w:r w:rsidRPr="00401A7B">
              <w:t>Must be treated by a rehabilitation specialist</w:t>
            </w:r>
            <w:r>
              <w:t>;</w:t>
            </w:r>
          </w:p>
        </w:tc>
      </w:tr>
      <w:tr w:rsidR="00CD4954" w:rsidRPr="0098262F" w14:paraId="5E52B85A" w14:textId="77777777" w:rsidTr="00F75C77">
        <w:trPr>
          <w:trHeight w:val="20"/>
        </w:trPr>
        <w:tc>
          <w:tcPr>
            <w:tcW w:w="5000" w:type="pct"/>
            <w:tcBorders>
              <w:top w:val="nil"/>
              <w:bottom w:val="nil"/>
            </w:tcBorders>
            <w:vAlign w:val="center"/>
          </w:tcPr>
          <w:p w14:paraId="76957266" w14:textId="77777777" w:rsidR="00CD4954" w:rsidRPr="00401A7B" w:rsidRDefault="00CD4954" w:rsidP="0049200A">
            <w:pPr>
              <w:pStyle w:val="TableText0"/>
            </w:pPr>
            <w:r>
              <w:t>OR</w:t>
            </w:r>
          </w:p>
        </w:tc>
      </w:tr>
      <w:tr w:rsidR="00CD4954" w:rsidRPr="0098262F" w14:paraId="46100621" w14:textId="77777777" w:rsidTr="00F75C77">
        <w:trPr>
          <w:trHeight w:val="20"/>
        </w:trPr>
        <w:tc>
          <w:tcPr>
            <w:tcW w:w="5000" w:type="pct"/>
            <w:tcBorders>
              <w:top w:val="nil"/>
            </w:tcBorders>
            <w:vAlign w:val="center"/>
          </w:tcPr>
          <w:p w14:paraId="267733EE" w14:textId="77777777" w:rsidR="00CD4954" w:rsidRDefault="00CD4954" w:rsidP="0049200A">
            <w:pPr>
              <w:pStyle w:val="TableText0"/>
            </w:pPr>
            <w:r w:rsidRPr="00526662">
              <w:t>Must be treated by a plastic surgeon</w:t>
            </w:r>
            <w:r>
              <w:t>.</w:t>
            </w:r>
          </w:p>
        </w:tc>
      </w:tr>
      <w:tr w:rsidR="00CD4954" w:rsidRPr="0098262F" w14:paraId="673DBADF" w14:textId="77777777" w:rsidTr="00F75C77">
        <w:trPr>
          <w:trHeight w:val="20"/>
        </w:trPr>
        <w:tc>
          <w:tcPr>
            <w:tcW w:w="5000" w:type="pct"/>
            <w:vAlign w:val="center"/>
            <w:hideMark/>
          </w:tcPr>
          <w:p w14:paraId="6FC80391" w14:textId="77777777" w:rsidR="00CD4954" w:rsidRPr="0098262F" w:rsidRDefault="00CD4954" w:rsidP="0049200A">
            <w:pPr>
              <w:pStyle w:val="TableText0"/>
            </w:pPr>
            <w:r w:rsidRPr="0098262F">
              <w:rPr>
                <w:b/>
              </w:rPr>
              <w:t>Population criteria:</w:t>
            </w:r>
          </w:p>
        </w:tc>
      </w:tr>
      <w:tr w:rsidR="00CD4954" w:rsidRPr="0098262F" w14:paraId="46BF771A" w14:textId="77777777" w:rsidTr="00F75C77">
        <w:trPr>
          <w:trHeight w:val="20"/>
        </w:trPr>
        <w:tc>
          <w:tcPr>
            <w:tcW w:w="5000" w:type="pct"/>
            <w:vAlign w:val="center"/>
          </w:tcPr>
          <w:p w14:paraId="4636FE1D" w14:textId="711730F4" w:rsidR="00CD4954" w:rsidRPr="0098262F" w:rsidRDefault="00CD4954" w:rsidP="0049200A">
            <w:pPr>
              <w:pStyle w:val="TableText0"/>
              <w:rPr>
                <w:color w:val="0066FF"/>
              </w:rPr>
            </w:pPr>
            <w:r w:rsidRPr="00401A7B">
              <w:t xml:space="preserve">Patient must be aged from 2 to 17 years </w:t>
            </w:r>
            <w:r>
              <w:t>inclusive</w:t>
            </w:r>
            <w:r w:rsidR="008F3982">
              <w:t>.</w:t>
            </w:r>
          </w:p>
        </w:tc>
      </w:tr>
    </w:tbl>
    <w:p w14:paraId="192A684A" w14:textId="77777777" w:rsidR="00E55B30" w:rsidRDefault="00E55B30" w:rsidP="0049200A"/>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Requested listing - Moderate to severe spasticity of the upper limb - patients 18 years or older"/>
      </w:tblPr>
      <w:tblGrid>
        <w:gridCol w:w="9017"/>
      </w:tblGrid>
      <w:tr w:rsidR="00CD4954" w:rsidRPr="0098262F" w14:paraId="1AFBE81C" w14:textId="77777777" w:rsidTr="00F75C77">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A48EEBF" w14:textId="598D1635" w:rsidR="00CD4954" w:rsidRPr="00401A7B" w:rsidRDefault="00CD4954" w:rsidP="0049200A">
            <w:pPr>
              <w:pStyle w:val="TableText0"/>
              <w:rPr>
                <w:b/>
              </w:rPr>
            </w:pPr>
            <w:r w:rsidRPr="0098262F">
              <w:rPr>
                <w:b/>
              </w:rPr>
              <w:t xml:space="preserve">Category / Program: </w:t>
            </w:r>
            <w:r w:rsidRPr="00401A7B">
              <w:rPr>
                <w:bCs w:val="0"/>
              </w:rPr>
              <w:t>Section 100 (Botulinum toxin program)</w:t>
            </w:r>
          </w:p>
        </w:tc>
      </w:tr>
      <w:tr w:rsidR="00CD4954" w:rsidRPr="0098262F" w14:paraId="3765E7CD" w14:textId="77777777" w:rsidTr="00F75C77">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D044207" w14:textId="77777777" w:rsidR="00CD4954" w:rsidRPr="0098262F" w:rsidRDefault="00CD4954" w:rsidP="0049200A">
            <w:pPr>
              <w:pStyle w:val="TableText0"/>
              <w:rPr>
                <w:b/>
              </w:rPr>
            </w:pPr>
            <w:r w:rsidRPr="0098262F">
              <w:rPr>
                <w:b/>
              </w:rPr>
              <w:t xml:space="preserve">Prescriber type: </w:t>
            </w:r>
            <w:r w:rsidRPr="00401A7B">
              <w:rPr>
                <w:b/>
              </w:rPr>
              <w:fldChar w:fldCharType="begin">
                <w:ffData>
                  <w:name w:val=""/>
                  <w:enabled/>
                  <w:calcOnExit w:val="0"/>
                  <w:checkBox>
                    <w:sizeAuto/>
                    <w:default w:val="1"/>
                  </w:checkBox>
                </w:ffData>
              </w:fldChar>
            </w:r>
            <w:r w:rsidRPr="00401A7B">
              <w:rPr>
                <w:b/>
              </w:rPr>
              <w:instrText xml:space="preserve"> FORMCHECKBOX </w:instrText>
            </w:r>
            <w:r w:rsidRPr="00401A7B">
              <w:rPr>
                <w:b/>
              </w:rPr>
            </w:r>
            <w:r w:rsidRPr="00401A7B">
              <w:rPr>
                <w:b/>
              </w:rPr>
              <w:fldChar w:fldCharType="separate"/>
            </w:r>
            <w:r w:rsidRPr="00401A7B">
              <w:rPr>
                <w:b/>
              </w:rPr>
              <w:fldChar w:fldCharType="end"/>
            </w:r>
            <w:r w:rsidRPr="00401A7B">
              <w:rPr>
                <w:bCs w:val="0"/>
              </w:rPr>
              <w:t>Medical Practitioners</w:t>
            </w:r>
            <w:r w:rsidRPr="00401A7B">
              <w:rPr>
                <w:b/>
              </w:rPr>
              <w:t xml:space="preserve"> </w:t>
            </w:r>
          </w:p>
        </w:tc>
      </w:tr>
      <w:tr w:rsidR="00CD4954" w:rsidRPr="0098262F" w14:paraId="03D30700" w14:textId="77777777" w:rsidTr="00F75C77">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B7A7478" w14:textId="77777777" w:rsidR="00CD4954" w:rsidRPr="00401A7B" w:rsidRDefault="00CD4954" w:rsidP="0049200A">
            <w:pPr>
              <w:pStyle w:val="TableText0"/>
              <w:rPr>
                <w:b/>
              </w:rPr>
            </w:pPr>
            <w:r w:rsidRPr="0098262F">
              <w:rPr>
                <w:b/>
              </w:rPr>
              <w:t xml:space="preserve">Restriction type: </w:t>
            </w:r>
            <w:r w:rsidRPr="00401A7B">
              <w:rPr>
                <w:b/>
              </w:rPr>
              <w:fldChar w:fldCharType="begin">
                <w:ffData>
                  <w:name w:val=""/>
                  <w:enabled/>
                  <w:calcOnExit w:val="0"/>
                  <w:checkBox>
                    <w:sizeAuto/>
                    <w:default w:val="1"/>
                  </w:checkBox>
                </w:ffData>
              </w:fldChar>
            </w:r>
            <w:r w:rsidRPr="00401A7B">
              <w:rPr>
                <w:b/>
              </w:rPr>
              <w:instrText xml:space="preserve"> FORMCHECKBOX </w:instrText>
            </w:r>
            <w:r w:rsidRPr="00401A7B">
              <w:rPr>
                <w:b/>
              </w:rPr>
            </w:r>
            <w:r w:rsidRPr="00401A7B">
              <w:rPr>
                <w:b/>
              </w:rPr>
              <w:fldChar w:fldCharType="separate"/>
            </w:r>
            <w:r w:rsidRPr="00401A7B">
              <w:rPr>
                <w:b/>
              </w:rPr>
              <w:fldChar w:fldCharType="end"/>
            </w:r>
            <w:r w:rsidRPr="00401A7B">
              <w:rPr>
                <w:bCs w:val="0"/>
              </w:rPr>
              <w:t>Authority Required (STREAMLINED)</w:t>
            </w:r>
          </w:p>
        </w:tc>
      </w:tr>
      <w:tr w:rsidR="00CD4954" w:rsidRPr="0098262F" w14:paraId="553B363C" w14:textId="77777777" w:rsidTr="00F75C77">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1C03196" w14:textId="7A58D2E9" w:rsidR="00CD4954" w:rsidRPr="0098262F" w:rsidRDefault="00CD4954" w:rsidP="0049200A">
            <w:pPr>
              <w:pStyle w:val="TableText0"/>
              <w:rPr>
                <w:b/>
              </w:rPr>
            </w:pPr>
            <w:r w:rsidRPr="0098262F">
              <w:rPr>
                <w:b/>
              </w:rPr>
              <w:t>Condition:</w:t>
            </w:r>
            <w:r w:rsidR="00BE223C">
              <w:rPr>
                <w:b/>
              </w:rPr>
              <w:t xml:space="preserve"> </w:t>
            </w:r>
            <w:r w:rsidRPr="00A614D5">
              <w:rPr>
                <w:bCs w:val="0"/>
              </w:rPr>
              <w:t>Moderate to severe spasticity of the upper limb</w:t>
            </w:r>
          </w:p>
        </w:tc>
      </w:tr>
      <w:tr w:rsidR="00CD4954" w:rsidRPr="0098262F" w14:paraId="1F05E11C" w14:textId="77777777" w:rsidTr="00F75C77">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B9C8778" w14:textId="77777777" w:rsidR="00CD4954" w:rsidRPr="00401A7B" w:rsidRDefault="00CD4954" w:rsidP="0049200A">
            <w:pPr>
              <w:pStyle w:val="TableText0"/>
              <w:rPr>
                <w:b/>
              </w:rPr>
            </w:pPr>
            <w:r w:rsidRPr="0098262F">
              <w:rPr>
                <w:b/>
              </w:rPr>
              <w:t>Treatment Phase:</w:t>
            </w:r>
            <w:r>
              <w:rPr>
                <w:b/>
              </w:rPr>
              <w:t xml:space="preserve"> </w:t>
            </w:r>
            <w:r w:rsidRPr="00401A7B">
              <w:rPr>
                <w:bCs w:val="0"/>
              </w:rPr>
              <w:t>Initial and continuing</w:t>
            </w:r>
            <w:r w:rsidRPr="00401A7B">
              <w:rPr>
                <w:b/>
              </w:rPr>
              <w:t xml:space="preserve"> </w:t>
            </w:r>
          </w:p>
        </w:tc>
      </w:tr>
      <w:tr w:rsidR="00CD4954" w:rsidRPr="0098262F" w14:paraId="066E700C" w14:textId="77777777" w:rsidTr="00F75C77">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F99B2D5" w14:textId="77777777" w:rsidR="00CD4954" w:rsidRPr="00401A7B" w:rsidRDefault="00CD4954" w:rsidP="0049200A">
            <w:pPr>
              <w:pStyle w:val="TableText0"/>
              <w:rPr>
                <w:b/>
              </w:rPr>
            </w:pPr>
            <w:r w:rsidRPr="0098262F">
              <w:rPr>
                <w:b/>
              </w:rPr>
              <w:t>Clinical criteria:</w:t>
            </w:r>
          </w:p>
        </w:tc>
      </w:tr>
      <w:tr w:rsidR="00CD4954" w:rsidRPr="0098262F" w14:paraId="3A74C4A4" w14:textId="77777777" w:rsidTr="00F75C77">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5CD2798" w14:textId="77777777" w:rsidR="00CD4954" w:rsidRPr="00401A7B" w:rsidRDefault="00CD4954" w:rsidP="0049200A">
            <w:pPr>
              <w:pStyle w:val="TableText0"/>
              <w:rPr>
                <w:bCs w:val="0"/>
              </w:rPr>
            </w:pPr>
            <w:r w:rsidRPr="00401A7B">
              <w:rPr>
                <w:bCs w:val="0"/>
              </w:rPr>
              <w:t>Patient must have cerebral palsy</w:t>
            </w:r>
            <w:r>
              <w:rPr>
                <w:bCs w:val="0"/>
              </w:rPr>
              <w:t>.</w:t>
            </w:r>
          </w:p>
        </w:tc>
      </w:tr>
      <w:tr w:rsidR="00CD4954" w:rsidRPr="0098262F" w14:paraId="5B25E479" w14:textId="77777777" w:rsidTr="00F75C77">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CA899ED" w14:textId="77777777" w:rsidR="00CD4954" w:rsidRPr="00401A7B" w:rsidRDefault="00CD4954" w:rsidP="0049200A">
            <w:pPr>
              <w:pStyle w:val="TableText0"/>
              <w:rPr>
                <w:b/>
              </w:rPr>
            </w:pPr>
            <w:r w:rsidRPr="0098262F">
              <w:rPr>
                <w:b/>
              </w:rPr>
              <w:t>Treatment criteria:</w:t>
            </w:r>
          </w:p>
        </w:tc>
      </w:tr>
      <w:tr w:rsidR="00CD4954" w:rsidRPr="0098262F" w14:paraId="38F5A66A" w14:textId="77777777" w:rsidTr="00F75C77">
        <w:trPr>
          <w:trHeight w:val="20"/>
        </w:trPr>
        <w:tc>
          <w:tcPr>
            <w:tcW w:w="5000" w:type="pct"/>
            <w:tcBorders>
              <w:top w:val="single" w:sz="4" w:space="0" w:color="auto"/>
              <w:left w:val="single" w:sz="4" w:space="0" w:color="auto"/>
              <w:bottom w:val="nil"/>
              <w:right w:val="single" w:sz="4" w:space="0" w:color="auto"/>
            </w:tcBorders>
            <w:vAlign w:val="center"/>
          </w:tcPr>
          <w:p w14:paraId="57BAEBD1" w14:textId="77777777" w:rsidR="00CD4954" w:rsidRPr="00401A7B" w:rsidRDefault="00CD4954" w:rsidP="0049200A">
            <w:pPr>
              <w:pStyle w:val="TableText0"/>
              <w:rPr>
                <w:bCs w:val="0"/>
              </w:rPr>
            </w:pPr>
            <w:r w:rsidRPr="00401A7B">
              <w:rPr>
                <w:bCs w:val="0"/>
              </w:rPr>
              <w:t xml:space="preserve">Must be treated by a neurologist; </w:t>
            </w:r>
          </w:p>
        </w:tc>
      </w:tr>
      <w:tr w:rsidR="00CD4954" w:rsidRPr="0098262F" w14:paraId="25CBD66C" w14:textId="77777777" w:rsidTr="00F75C77">
        <w:trPr>
          <w:trHeight w:val="20"/>
        </w:trPr>
        <w:tc>
          <w:tcPr>
            <w:tcW w:w="5000" w:type="pct"/>
            <w:tcBorders>
              <w:top w:val="nil"/>
              <w:left w:val="single" w:sz="4" w:space="0" w:color="auto"/>
              <w:bottom w:val="nil"/>
              <w:right w:val="single" w:sz="4" w:space="0" w:color="auto"/>
            </w:tcBorders>
            <w:vAlign w:val="center"/>
          </w:tcPr>
          <w:p w14:paraId="42FE0327" w14:textId="77777777" w:rsidR="00CD4954" w:rsidRPr="00401A7B" w:rsidRDefault="00CD4954" w:rsidP="0049200A">
            <w:pPr>
              <w:pStyle w:val="TableText0"/>
              <w:rPr>
                <w:bCs w:val="0"/>
              </w:rPr>
            </w:pPr>
            <w:r w:rsidRPr="00401A7B">
              <w:rPr>
                <w:bCs w:val="0"/>
              </w:rPr>
              <w:t>OR</w:t>
            </w:r>
          </w:p>
        </w:tc>
      </w:tr>
      <w:tr w:rsidR="00CD4954" w:rsidRPr="0098262F" w14:paraId="13F5E3E0" w14:textId="77777777" w:rsidTr="00F75C77">
        <w:trPr>
          <w:trHeight w:val="20"/>
        </w:trPr>
        <w:tc>
          <w:tcPr>
            <w:tcW w:w="5000" w:type="pct"/>
            <w:tcBorders>
              <w:top w:val="nil"/>
              <w:left w:val="single" w:sz="4" w:space="0" w:color="auto"/>
              <w:bottom w:val="nil"/>
              <w:right w:val="single" w:sz="4" w:space="0" w:color="auto"/>
            </w:tcBorders>
            <w:vAlign w:val="center"/>
          </w:tcPr>
          <w:p w14:paraId="17EDAC40" w14:textId="77777777" w:rsidR="00CD4954" w:rsidRPr="00401A7B" w:rsidRDefault="00CD4954" w:rsidP="0049200A">
            <w:pPr>
              <w:pStyle w:val="TableText0"/>
              <w:rPr>
                <w:bCs w:val="0"/>
              </w:rPr>
            </w:pPr>
            <w:r w:rsidRPr="00401A7B">
              <w:rPr>
                <w:bCs w:val="0"/>
              </w:rPr>
              <w:t>Must be treated by an orthopaedic surgeon;</w:t>
            </w:r>
          </w:p>
        </w:tc>
      </w:tr>
      <w:tr w:rsidR="00CD4954" w:rsidRPr="0098262F" w14:paraId="6D49CE61" w14:textId="77777777" w:rsidTr="00F75C77">
        <w:trPr>
          <w:trHeight w:val="20"/>
        </w:trPr>
        <w:tc>
          <w:tcPr>
            <w:tcW w:w="5000" w:type="pct"/>
            <w:tcBorders>
              <w:top w:val="nil"/>
              <w:left w:val="single" w:sz="4" w:space="0" w:color="auto"/>
              <w:bottom w:val="nil"/>
              <w:right w:val="single" w:sz="4" w:space="0" w:color="auto"/>
            </w:tcBorders>
            <w:vAlign w:val="center"/>
          </w:tcPr>
          <w:p w14:paraId="5B33CCEF" w14:textId="77777777" w:rsidR="00CD4954" w:rsidRPr="00401A7B" w:rsidRDefault="00CD4954" w:rsidP="0049200A">
            <w:pPr>
              <w:pStyle w:val="TableText0"/>
              <w:rPr>
                <w:bCs w:val="0"/>
              </w:rPr>
            </w:pPr>
            <w:r w:rsidRPr="00401A7B">
              <w:rPr>
                <w:bCs w:val="0"/>
              </w:rPr>
              <w:t>OR</w:t>
            </w:r>
          </w:p>
        </w:tc>
      </w:tr>
      <w:tr w:rsidR="00CD4954" w:rsidRPr="0098262F" w14:paraId="0597A52B" w14:textId="77777777" w:rsidTr="00F75C77">
        <w:trPr>
          <w:trHeight w:val="20"/>
        </w:trPr>
        <w:tc>
          <w:tcPr>
            <w:tcW w:w="5000" w:type="pct"/>
            <w:tcBorders>
              <w:top w:val="nil"/>
              <w:left w:val="single" w:sz="4" w:space="0" w:color="auto"/>
              <w:bottom w:val="nil"/>
              <w:right w:val="single" w:sz="4" w:space="0" w:color="auto"/>
            </w:tcBorders>
            <w:vAlign w:val="center"/>
          </w:tcPr>
          <w:p w14:paraId="437F4C1C" w14:textId="77777777" w:rsidR="00CD4954" w:rsidRPr="00401A7B" w:rsidRDefault="00CD4954" w:rsidP="0049200A">
            <w:pPr>
              <w:pStyle w:val="TableText0"/>
              <w:rPr>
                <w:bCs w:val="0"/>
              </w:rPr>
            </w:pPr>
            <w:r w:rsidRPr="00401A7B">
              <w:rPr>
                <w:bCs w:val="0"/>
              </w:rPr>
              <w:t>Must be treated by a paediatrician;</w:t>
            </w:r>
          </w:p>
        </w:tc>
      </w:tr>
      <w:tr w:rsidR="00CD4954" w:rsidRPr="0098262F" w14:paraId="3BBAF662" w14:textId="77777777" w:rsidTr="00F75C77">
        <w:trPr>
          <w:trHeight w:val="20"/>
        </w:trPr>
        <w:tc>
          <w:tcPr>
            <w:tcW w:w="5000" w:type="pct"/>
            <w:tcBorders>
              <w:top w:val="nil"/>
              <w:left w:val="single" w:sz="4" w:space="0" w:color="auto"/>
              <w:bottom w:val="nil"/>
              <w:right w:val="single" w:sz="4" w:space="0" w:color="auto"/>
            </w:tcBorders>
            <w:vAlign w:val="center"/>
          </w:tcPr>
          <w:p w14:paraId="25A811AE" w14:textId="77777777" w:rsidR="00CD4954" w:rsidRPr="00401A7B" w:rsidRDefault="00CD4954" w:rsidP="0049200A">
            <w:pPr>
              <w:pStyle w:val="TableText0"/>
              <w:rPr>
                <w:bCs w:val="0"/>
              </w:rPr>
            </w:pPr>
            <w:r w:rsidRPr="00401A7B">
              <w:rPr>
                <w:bCs w:val="0"/>
              </w:rPr>
              <w:t>OR</w:t>
            </w:r>
          </w:p>
        </w:tc>
      </w:tr>
      <w:tr w:rsidR="00CD4954" w:rsidRPr="0098262F" w14:paraId="03BDB621" w14:textId="77777777" w:rsidTr="00F75C77">
        <w:trPr>
          <w:trHeight w:val="20"/>
        </w:trPr>
        <w:tc>
          <w:tcPr>
            <w:tcW w:w="5000" w:type="pct"/>
            <w:tcBorders>
              <w:top w:val="nil"/>
              <w:left w:val="single" w:sz="4" w:space="0" w:color="auto"/>
              <w:bottom w:val="nil"/>
              <w:right w:val="single" w:sz="4" w:space="0" w:color="auto"/>
            </w:tcBorders>
            <w:vAlign w:val="center"/>
          </w:tcPr>
          <w:p w14:paraId="0E8AF3F5" w14:textId="77777777" w:rsidR="00CD4954" w:rsidRPr="00401A7B" w:rsidRDefault="00CD4954" w:rsidP="0049200A">
            <w:pPr>
              <w:pStyle w:val="TableText0"/>
              <w:rPr>
                <w:bCs w:val="0"/>
              </w:rPr>
            </w:pPr>
            <w:r w:rsidRPr="00401A7B">
              <w:rPr>
                <w:bCs w:val="0"/>
              </w:rPr>
              <w:lastRenderedPageBreak/>
              <w:t>Must be treated by a rehabilitation specialist</w:t>
            </w:r>
          </w:p>
        </w:tc>
      </w:tr>
      <w:tr w:rsidR="00CD4954" w:rsidRPr="0098262F" w14:paraId="589F5AAB" w14:textId="77777777" w:rsidTr="00F75C77">
        <w:trPr>
          <w:trHeight w:val="20"/>
        </w:trPr>
        <w:tc>
          <w:tcPr>
            <w:tcW w:w="5000" w:type="pct"/>
            <w:tcBorders>
              <w:top w:val="nil"/>
              <w:left w:val="single" w:sz="4" w:space="0" w:color="auto"/>
              <w:bottom w:val="nil"/>
              <w:right w:val="single" w:sz="4" w:space="0" w:color="auto"/>
            </w:tcBorders>
            <w:vAlign w:val="center"/>
          </w:tcPr>
          <w:p w14:paraId="2000C557" w14:textId="77777777" w:rsidR="00CD4954" w:rsidRPr="00401A7B" w:rsidRDefault="00CD4954" w:rsidP="0049200A">
            <w:pPr>
              <w:pStyle w:val="TableText0"/>
              <w:rPr>
                <w:bCs w:val="0"/>
              </w:rPr>
            </w:pPr>
            <w:r>
              <w:rPr>
                <w:bCs w:val="0"/>
              </w:rPr>
              <w:t>OR</w:t>
            </w:r>
          </w:p>
        </w:tc>
      </w:tr>
      <w:tr w:rsidR="00CD4954" w:rsidRPr="0098262F" w14:paraId="106ED9FF" w14:textId="77777777" w:rsidTr="00F75C77">
        <w:trPr>
          <w:trHeight w:val="20"/>
        </w:trPr>
        <w:tc>
          <w:tcPr>
            <w:tcW w:w="5000" w:type="pct"/>
            <w:tcBorders>
              <w:top w:val="nil"/>
              <w:left w:val="single" w:sz="4" w:space="0" w:color="auto"/>
              <w:bottom w:val="single" w:sz="4" w:space="0" w:color="auto"/>
              <w:right w:val="single" w:sz="4" w:space="0" w:color="auto"/>
            </w:tcBorders>
            <w:vAlign w:val="center"/>
          </w:tcPr>
          <w:p w14:paraId="74663792" w14:textId="77777777" w:rsidR="00CD4954" w:rsidRPr="00401A7B" w:rsidRDefault="00CD4954" w:rsidP="0049200A">
            <w:pPr>
              <w:pStyle w:val="TableText0"/>
              <w:rPr>
                <w:bCs w:val="0"/>
              </w:rPr>
            </w:pPr>
            <w:r w:rsidRPr="00F35DC2">
              <w:rPr>
                <w:bCs w:val="0"/>
              </w:rPr>
              <w:t>Must be treated by a plastic surgeon</w:t>
            </w:r>
            <w:r>
              <w:rPr>
                <w:bCs w:val="0"/>
              </w:rPr>
              <w:t>.</w:t>
            </w:r>
          </w:p>
        </w:tc>
      </w:tr>
      <w:tr w:rsidR="00CD4954" w:rsidRPr="0098262F" w14:paraId="317DB6B5" w14:textId="77777777" w:rsidTr="00F75C77">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7ADCC27" w14:textId="77777777" w:rsidR="00CD4954" w:rsidRPr="00401A7B" w:rsidRDefault="00CD4954" w:rsidP="0049200A">
            <w:pPr>
              <w:pStyle w:val="TableText0"/>
              <w:rPr>
                <w:b/>
              </w:rPr>
            </w:pPr>
            <w:r w:rsidRPr="0098262F">
              <w:rPr>
                <w:b/>
              </w:rPr>
              <w:t>Population criteria:</w:t>
            </w:r>
          </w:p>
        </w:tc>
      </w:tr>
      <w:tr w:rsidR="00CD4954" w:rsidRPr="0098262F" w14:paraId="58A62272" w14:textId="77777777" w:rsidTr="00F75C77">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ED6FC9F" w14:textId="7A110347" w:rsidR="00CD4954" w:rsidRPr="00401A7B" w:rsidRDefault="00CD4954" w:rsidP="0049200A">
            <w:pPr>
              <w:pStyle w:val="TableText0"/>
              <w:rPr>
                <w:bCs w:val="0"/>
              </w:rPr>
            </w:pPr>
            <w:r w:rsidRPr="00401A7B">
              <w:rPr>
                <w:bCs w:val="0"/>
              </w:rPr>
              <w:t>Patient must be aged from 18 years or older</w:t>
            </w:r>
            <w:r w:rsidR="00092339">
              <w:rPr>
                <w:bCs w:val="0"/>
              </w:rPr>
              <w:t>.</w:t>
            </w:r>
          </w:p>
        </w:tc>
      </w:tr>
    </w:tbl>
    <w:p w14:paraId="41DB7CBF" w14:textId="77777777" w:rsidR="009F503D" w:rsidRPr="0098262F" w:rsidRDefault="009F503D" w:rsidP="0049200A">
      <w:pPr>
        <w:pStyle w:val="TableFigureFooter"/>
      </w:pPr>
    </w:p>
    <w:bookmarkEnd w:id="21"/>
    <w:p w14:paraId="272F737A" w14:textId="24B08801" w:rsidR="00766F22" w:rsidRPr="00EA0F11" w:rsidRDefault="00FD5AC5" w:rsidP="0049200A">
      <w:pPr>
        <w:pStyle w:val="ExecSumBodyText"/>
        <w:numPr>
          <w:ilvl w:val="1"/>
          <w:numId w:val="1"/>
        </w:numPr>
      </w:pPr>
      <w:r w:rsidRPr="00FD5AC5">
        <w:t xml:space="preserve">The </w:t>
      </w:r>
      <w:r w:rsidR="00355EFC">
        <w:t>proposed</w:t>
      </w:r>
      <w:r w:rsidRPr="00FD5AC5">
        <w:t xml:space="preserve"> </w:t>
      </w:r>
      <w:r w:rsidR="003404D8" w:rsidRPr="003404D8">
        <w:t>approved ex-manufacturer price (AEMP)</w:t>
      </w:r>
      <w:r w:rsidR="003404D8">
        <w:t xml:space="preserve"> for the requested indications </w:t>
      </w:r>
      <w:r w:rsidR="00351F2F" w:rsidRPr="00533B3B">
        <w:t xml:space="preserve">was </w:t>
      </w:r>
      <w:r w:rsidR="003404D8" w:rsidRPr="00533B3B">
        <w:t>$262.50</w:t>
      </w:r>
      <w:r w:rsidR="00804DA3" w:rsidRPr="00533B3B">
        <w:t>, consistent</w:t>
      </w:r>
      <w:r w:rsidR="00804DA3">
        <w:t xml:space="preserve"> with</w:t>
      </w:r>
      <w:r w:rsidRPr="00FD5AC5">
        <w:t xml:space="preserve"> the </w:t>
      </w:r>
      <w:r>
        <w:t>Botox</w:t>
      </w:r>
      <w:r w:rsidRPr="00FD5AC5">
        <w:t xml:space="preserve"> PBS listing</w:t>
      </w:r>
      <w:r w:rsidR="00804DA3">
        <w:t>s</w:t>
      </w:r>
      <w:r w:rsidRPr="00FD5AC5">
        <w:t xml:space="preserve"> for upper </w:t>
      </w:r>
      <w:r w:rsidR="00667644">
        <w:t>and</w:t>
      </w:r>
      <w:r w:rsidR="00F92E10">
        <w:t xml:space="preserve"> lower</w:t>
      </w:r>
      <w:r w:rsidR="00667644">
        <w:t xml:space="preserve"> </w:t>
      </w:r>
      <w:r w:rsidR="00F92E10">
        <w:t>(</w:t>
      </w:r>
      <w:r w:rsidR="00F66F31">
        <w:t>d</w:t>
      </w:r>
      <w:r w:rsidR="00F66F31" w:rsidRPr="00F66F31">
        <w:t>ynamic equinus foot deformity</w:t>
      </w:r>
      <w:r w:rsidR="00F92E10">
        <w:t>) limb</w:t>
      </w:r>
      <w:r w:rsidRPr="00FD5AC5">
        <w:t xml:space="preserve"> spasticity </w:t>
      </w:r>
      <w:r w:rsidR="00667644">
        <w:t>in patients with cerebral palsy (</w:t>
      </w:r>
      <w:r w:rsidR="00355EFC">
        <w:t>aged ≥2 years</w:t>
      </w:r>
      <w:r w:rsidR="00667644">
        <w:t>)</w:t>
      </w:r>
      <w:r w:rsidRPr="00FD5AC5">
        <w:t>.</w:t>
      </w:r>
      <w:r w:rsidR="00C27887">
        <w:t xml:space="preserve"> </w:t>
      </w:r>
      <w:r w:rsidRPr="00F81767">
        <w:rPr>
          <w:iCs/>
        </w:rPr>
        <w:t xml:space="preserve">The requested listing, which is limited to patients with cerebral palsy, is narrower than the </w:t>
      </w:r>
      <w:r w:rsidR="006928C1" w:rsidRPr="00F81767">
        <w:rPr>
          <w:iCs/>
        </w:rPr>
        <w:t xml:space="preserve">approved </w:t>
      </w:r>
      <w:r w:rsidRPr="00F81767">
        <w:rPr>
          <w:iCs/>
        </w:rPr>
        <w:t>TGA indication, which does not limit use based on clinical criteria</w:t>
      </w:r>
      <w:r w:rsidR="00355EFC" w:rsidRPr="00F81767">
        <w:rPr>
          <w:iCs/>
        </w:rPr>
        <w:t>.</w:t>
      </w:r>
    </w:p>
    <w:p w14:paraId="19F9E758" w14:textId="5ED67D17" w:rsidR="009300DC" w:rsidRPr="007C402E" w:rsidRDefault="00631CC1" w:rsidP="0049200A">
      <w:pPr>
        <w:pStyle w:val="3-BodyText"/>
        <w:rPr>
          <w:color w:val="0066FF"/>
        </w:rPr>
      </w:pPr>
      <w:r w:rsidRPr="00D45559">
        <w:t xml:space="preserve">The submission requested </w:t>
      </w:r>
      <w:r>
        <w:t xml:space="preserve">listing Xeomin under Section 100 (Botulinum </w:t>
      </w:r>
      <w:r w:rsidR="00660AAE">
        <w:t>T</w:t>
      </w:r>
      <w:r>
        <w:t xml:space="preserve">oxin </w:t>
      </w:r>
      <w:r w:rsidR="00660AAE">
        <w:t>P</w:t>
      </w:r>
      <w:r>
        <w:t>rogram)</w:t>
      </w:r>
      <w:r w:rsidRPr="00D45559">
        <w:t xml:space="preserve"> </w:t>
      </w:r>
      <w:r>
        <w:t xml:space="preserve">as an </w:t>
      </w:r>
      <w:r w:rsidRPr="00D45559">
        <w:t>Authority Required (</w:t>
      </w:r>
      <w:r w:rsidR="00EF7CA4" w:rsidRPr="00D45559">
        <w:t>STREAMLINED</w:t>
      </w:r>
      <w:r w:rsidRPr="00D45559">
        <w:t xml:space="preserve">) </w:t>
      </w:r>
      <w:r>
        <w:t>restriction type</w:t>
      </w:r>
      <w:r w:rsidRPr="00D45559">
        <w:t xml:space="preserve">. Previous </w:t>
      </w:r>
      <w:r>
        <w:t>PBS</w:t>
      </w:r>
      <w:r w:rsidRPr="00D45559">
        <w:t xml:space="preserve"> listings of </w:t>
      </w:r>
      <w:r w:rsidR="00030B1C">
        <w:t>Xeomin</w:t>
      </w:r>
      <w:r w:rsidRPr="00D45559">
        <w:t xml:space="preserve"> for blepharospasm, spasmodic torticollis or cervical dystonia, and moderate to severe spasticity of the upper limbs following an acute event also have Authority Required (</w:t>
      </w:r>
      <w:r w:rsidR="00EF7CA4" w:rsidRPr="00D45559">
        <w:t>STREAMLINED</w:t>
      </w:r>
      <w:r w:rsidRPr="00D45559">
        <w:t>) listings</w:t>
      </w:r>
      <w:r w:rsidRPr="002858B0">
        <w:t>.</w:t>
      </w:r>
      <w:r w:rsidR="004C3C70" w:rsidRPr="00F81767">
        <w:rPr>
          <w:iCs/>
        </w:rPr>
        <w:t xml:space="preserve"> The requested restriction type was reasonable.</w:t>
      </w:r>
    </w:p>
    <w:p w14:paraId="5D77D1A6" w14:textId="0F6FCD8C" w:rsidR="0047514E" w:rsidRDefault="007C402E" w:rsidP="0049200A">
      <w:pPr>
        <w:pStyle w:val="3-BodyText"/>
      </w:pPr>
      <w:r w:rsidRPr="007C402E">
        <w:t xml:space="preserve">The proposed </w:t>
      </w:r>
      <w:r w:rsidR="00135B2D">
        <w:t>listing</w:t>
      </w:r>
      <w:r w:rsidR="00135B2D" w:rsidRPr="007C402E">
        <w:t xml:space="preserve"> </w:t>
      </w:r>
      <w:r w:rsidRPr="007C402E">
        <w:t xml:space="preserve">for Xeomin is identical to </w:t>
      </w:r>
      <w:r w:rsidR="00657912">
        <w:t>that</w:t>
      </w:r>
      <w:r w:rsidRPr="007C402E">
        <w:t xml:space="preserve"> for Botox and Dysport in the target population</w:t>
      </w:r>
      <w:r w:rsidR="00537F7F">
        <w:t xml:space="preserve"> (</w:t>
      </w:r>
      <w:r w:rsidR="00135B2D">
        <w:t>i.e.</w:t>
      </w:r>
      <w:r w:rsidR="00125EA1">
        <w:t>,</w:t>
      </w:r>
      <w:r w:rsidR="002B56B5">
        <w:t xml:space="preserve"> </w:t>
      </w:r>
      <w:r w:rsidRPr="007C402E">
        <w:t xml:space="preserve">separate </w:t>
      </w:r>
      <w:r w:rsidR="002B56B5">
        <w:t>listing</w:t>
      </w:r>
      <w:r w:rsidR="00135B2D">
        <w:t xml:space="preserve"> for</w:t>
      </w:r>
      <w:r w:rsidRPr="007C402E">
        <w:t xml:space="preserve"> paediatric (2-17 years) and adult (≥18 years) patients</w:t>
      </w:r>
      <w:r w:rsidR="00F6339D">
        <w:t>)</w:t>
      </w:r>
      <w:r>
        <w:t xml:space="preserve">. </w:t>
      </w:r>
    </w:p>
    <w:p w14:paraId="32F5B368" w14:textId="443C1AC0" w:rsidR="008A5F10" w:rsidRPr="00357BF1" w:rsidRDefault="008A5F10" w:rsidP="0049200A">
      <w:pPr>
        <w:pStyle w:val="3-BodyText"/>
        <w:rPr>
          <w:iCs/>
        </w:rPr>
      </w:pPr>
      <w:r w:rsidRPr="00357BF1">
        <w:rPr>
          <w:iCs/>
        </w:rPr>
        <w:t xml:space="preserve">The proposed restriction for Xeomin does not include a caution for contraindications to treatment, whereas the Botox and Dysport listings do. </w:t>
      </w:r>
    </w:p>
    <w:p w14:paraId="3387F50C" w14:textId="1D0E67E0" w:rsidR="00322CCC" w:rsidRPr="00357BF1" w:rsidRDefault="00507AB5" w:rsidP="0049200A">
      <w:pPr>
        <w:pStyle w:val="3-BodyText"/>
        <w:rPr>
          <w:iCs/>
        </w:rPr>
      </w:pPr>
      <w:r w:rsidRPr="00357BF1">
        <w:rPr>
          <w:iCs/>
        </w:rPr>
        <w:t>The proposed restrictions for Xeomin for dynamic equinus foot deformity and moderate to severe upper limb spasticity are consistent with the</w:t>
      </w:r>
      <w:r w:rsidR="001E4026" w:rsidRPr="00357BF1">
        <w:rPr>
          <w:iCs/>
        </w:rPr>
        <w:t xml:space="preserve"> approved</w:t>
      </w:r>
      <w:r w:rsidRPr="00357BF1">
        <w:rPr>
          <w:iCs/>
        </w:rPr>
        <w:t xml:space="preserve"> TGA indication</w:t>
      </w:r>
      <w:r w:rsidR="001E4026" w:rsidRPr="00357BF1">
        <w:rPr>
          <w:iCs/>
        </w:rPr>
        <w:t>s</w:t>
      </w:r>
      <w:r w:rsidRPr="00357BF1">
        <w:rPr>
          <w:iCs/>
        </w:rPr>
        <w:t xml:space="preserve"> for the paediatric population (2-17 years)</w:t>
      </w:r>
      <w:r w:rsidR="008B5B81" w:rsidRPr="00357BF1">
        <w:rPr>
          <w:iCs/>
        </w:rPr>
        <w:t xml:space="preserve"> and adults</w:t>
      </w:r>
      <w:r w:rsidRPr="00357BF1">
        <w:rPr>
          <w:iCs/>
        </w:rPr>
        <w:t>. For both lower and upper limb spasticity, the clinical evidence presented in the submission is limited to the paediatric population</w:t>
      </w:r>
      <w:r w:rsidR="00922C9C" w:rsidRPr="00357BF1">
        <w:rPr>
          <w:iCs/>
        </w:rPr>
        <w:t xml:space="preserve"> with cereb</w:t>
      </w:r>
      <w:r w:rsidR="006B5F6B" w:rsidRPr="00357BF1">
        <w:rPr>
          <w:iCs/>
        </w:rPr>
        <w:t>r</w:t>
      </w:r>
      <w:r w:rsidR="00922C9C" w:rsidRPr="00357BF1">
        <w:rPr>
          <w:iCs/>
        </w:rPr>
        <w:t>al palsy</w:t>
      </w:r>
      <w:r w:rsidRPr="00357BF1">
        <w:rPr>
          <w:iCs/>
        </w:rPr>
        <w:t>, with no supporting clinical data provided for adults</w:t>
      </w:r>
      <w:r w:rsidR="00776CB7" w:rsidRPr="00357BF1">
        <w:rPr>
          <w:iCs/>
        </w:rPr>
        <w:t>.</w:t>
      </w:r>
      <w:r w:rsidR="00BE4F59" w:rsidRPr="00357BF1">
        <w:rPr>
          <w:iCs/>
        </w:rPr>
        <w:t xml:space="preserve"> </w:t>
      </w:r>
    </w:p>
    <w:p w14:paraId="26A1E1BB" w14:textId="3008BDCA" w:rsidR="00AA6B30" w:rsidRPr="00DE3522" w:rsidRDefault="00D84264" w:rsidP="0049200A">
      <w:pPr>
        <w:pStyle w:val="3-BodyText"/>
      </w:pPr>
      <w:r w:rsidRPr="00C33589">
        <w:t xml:space="preserve">The submission </w:t>
      </w:r>
      <w:r>
        <w:t>noted</w:t>
      </w:r>
      <w:r w:rsidRPr="00C33589">
        <w:t xml:space="preserve"> that the 2008 PBAC recommendation for Botox </w:t>
      </w:r>
      <w:r>
        <w:t xml:space="preserve">for upper limb spasticity </w:t>
      </w:r>
      <w:r w:rsidRPr="00C33589">
        <w:t>was based on studies in patients under 18, but treatment was extended pragmatically to adults</w:t>
      </w:r>
      <w:r w:rsidR="008A0215">
        <w:t xml:space="preserve"> on the basis that </w:t>
      </w:r>
      <w:r w:rsidR="007E307D" w:rsidRPr="007E307D">
        <w:t>cerebral palsy persists into adulthood and patients would likely have commenced treatment as children</w:t>
      </w:r>
      <w:r w:rsidRPr="00C33589">
        <w:t xml:space="preserve">. In 2020, </w:t>
      </w:r>
      <w:r w:rsidR="002C6A0B">
        <w:t>the</w:t>
      </w:r>
      <w:r w:rsidRPr="00C33589">
        <w:t xml:space="preserve"> PBAC </w:t>
      </w:r>
      <w:r w:rsidR="00BE3C8C">
        <w:t>applied a similar</w:t>
      </w:r>
      <w:r w:rsidRPr="00C33589">
        <w:t xml:space="preserve"> approach for Dysport</w:t>
      </w:r>
      <w:r w:rsidR="007E307D">
        <w:t xml:space="preserve">, recommending </w:t>
      </w:r>
      <w:r w:rsidR="004E3192">
        <w:t>use in adults despite the clinical trials</w:t>
      </w:r>
      <w:r w:rsidR="00AB556D">
        <w:t xml:space="preserve"> being conducted in </w:t>
      </w:r>
      <w:r w:rsidR="008C2E1A">
        <w:t xml:space="preserve">the </w:t>
      </w:r>
      <w:r w:rsidR="00AB556D">
        <w:t>paediatric population only</w:t>
      </w:r>
      <w:r w:rsidR="000427BD">
        <w:t xml:space="preserve"> </w:t>
      </w:r>
      <w:r w:rsidRPr="00C33589">
        <w:t>(paragraph 7.6, Dysport, PSD, July 2020 PBAC meeting).</w:t>
      </w:r>
      <w:r w:rsidR="006D6C55">
        <w:t xml:space="preserve"> </w:t>
      </w:r>
      <w:r w:rsidR="006D6C55" w:rsidRPr="006D6C55">
        <w:t xml:space="preserve">The PBAC </w:t>
      </w:r>
      <w:r w:rsidR="006D6C55">
        <w:t xml:space="preserve">further </w:t>
      </w:r>
      <w:r w:rsidR="006D6C55" w:rsidRPr="006D6C55">
        <w:t>considered that there was no clinical reason to expect reduced effectiveness in adults, provided fixed contractures had not developed</w:t>
      </w:r>
      <w:r w:rsidR="006D6C55">
        <w:t xml:space="preserve">. </w:t>
      </w:r>
      <w:r w:rsidR="00C02EFA" w:rsidRPr="00F81767">
        <w:rPr>
          <w:iCs/>
        </w:rPr>
        <w:t>The current submission for Xeomin also present</w:t>
      </w:r>
      <w:r w:rsidR="00206763">
        <w:rPr>
          <w:iCs/>
        </w:rPr>
        <w:t>ed</w:t>
      </w:r>
      <w:r w:rsidR="00C02EFA" w:rsidRPr="00F81767">
        <w:rPr>
          <w:iCs/>
        </w:rPr>
        <w:t xml:space="preserve"> clinical data from the paediatric population (aged 2</w:t>
      </w:r>
      <w:r w:rsidR="00A05771" w:rsidRPr="00F81767">
        <w:rPr>
          <w:iCs/>
        </w:rPr>
        <w:t>-</w:t>
      </w:r>
      <w:r w:rsidR="00C02EFA" w:rsidRPr="00F81767">
        <w:rPr>
          <w:iCs/>
        </w:rPr>
        <w:t xml:space="preserve">17 years) only; however, Xeomin is TGA-approved for upper limb spasticity in adults. As such, the requested restriction, which includes adults despite the supporting data being limited to children, is </w:t>
      </w:r>
      <w:r w:rsidR="00C02EFA" w:rsidRPr="00F81767">
        <w:rPr>
          <w:iCs/>
        </w:rPr>
        <w:lastRenderedPageBreak/>
        <w:t>consistent with the TGA indication and aligns with past PBAC precedent for Botox and Dysport</w:t>
      </w:r>
      <w:r w:rsidR="00C02EFA" w:rsidRPr="00C02EFA">
        <w:t>.</w:t>
      </w:r>
      <w:r w:rsidR="000F5E91">
        <w:t xml:space="preserve"> </w:t>
      </w:r>
      <w:r w:rsidR="00F91BD0" w:rsidRPr="00DE3522">
        <w:t>The Pre-Sub-Committee Response (PSCR</w:t>
      </w:r>
      <w:r w:rsidR="00954FF0">
        <w:t>)</w:t>
      </w:r>
      <w:r w:rsidR="00BE223C">
        <w:t xml:space="preserve"> </w:t>
      </w:r>
      <w:r w:rsidR="00DF052F" w:rsidRPr="00DE3522">
        <w:t xml:space="preserve">maintained </w:t>
      </w:r>
      <w:r w:rsidR="00044E9E" w:rsidRPr="00DE3522">
        <w:t xml:space="preserve">that Xeomin should be treated </w:t>
      </w:r>
      <w:r w:rsidR="0016002D" w:rsidRPr="00DE3522">
        <w:t xml:space="preserve">the same as Botox and Dysport </w:t>
      </w:r>
      <w:r w:rsidR="00AC4A72" w:rsidRPr="00DE3522">
        <w:t>in this respect</w:t>
      </w:r>
      <w:r w:rsidR="00FA725C" w:rsidRPr="00DE3522">
        <w:t xml:space="preserve">. The PSCR noted that the submission had provided a letter from </w:t>
      </w:r>
      <w:r w:rsidR="00CF1B99" w:rsidRPr="00DE3522">
        <w:t xml:space="preserve">the Rehabilitation Medicine Society of Australia and New Zealand provided a letter which supported </w:t>
      </w:r>
      <w:r w:rsidR="001B107E" w:rsidRPr="00DE3522">
        <w:t>use of Xeomin in the adult cereb</w:t>
      </w:r>
      <w:r w:rsidR="006B5F6B" w:rsidRPr="00DE3522">
        <w:t>r</w:t>
      </w:r>
      <w:r w:rsidR="001B107E" w:rsidRPr="00DE3522">
        <w:t>al palsy population even in the absence of data in the adult population</w:t>
      </w:r>
      <w:r w:rsidR="006379ED" w:rsidRPr="00DE3522">
        <w:t>, as has been done with Dysport and Botox.</w:t>
      </w:r>
      <w:r w:rsidR="00CF1B99" w:rsidRPr="00DE3522">
        <w:t xml:space="preserve"> </w:t>
      </w:r>
      <w:r w:rsidR="00347B01" w:rsidRPr="00DE3522">
        <w:t>The ESC considered that, provided fixed contractures had not developed, there would be no clinical reason to expect a lack of effectiveness in adults and noted that, given the nature of the therapy, treatment was unlikely to continue if no effect was observed.</w:t>
      </w:r>
    </w:p>
    <w:p w14:paraId="0D7D0DB4" w14:textId="2B556799" w:rsidR="00D84264" w:rsidRPr="008A58BA" w:rsidRDefault="00D84264" w:rsidP="0049200A">
      <w:pPr>
        <w:pStyle w:val="3-BodyText"/>
      </w:pPr>
      <w:r w:rsidRPr="00F81767">
        <w:rPr>
          <w:iCs/>
        </w:rPr>
        <w:t>Botox</w:t>
      </w:r>
      <w:r w:rsidR="00F30C70" w:rsidRPr="00F81767">
        <w:rPr>
          <w:iCs/>
        </w:rPr>
        <w:t xml:space="preserve"> and Dysport</w:t>
      </w:r>
      <w:r w:rsidRPr="00F81767">
        <w:rPr>
          <w:iCs/>
        </w:rPr>
        <w:t xml:space="preserve"> </w:t>
      </w:r>
      <w:r w:rsidR="004B0FFC" w:rsidRPr="00F81767">
        <w:rPr>
          <w:iCs/>
        </w:rPr>
        <w:t>were</w:t>
      </w:r>
      <w:r w:rsidRPr="00F81767">
        <w:rPr>
          <w:iCs/>
        </w:rPr>
        <w:t xml:space="preserve"> recommended for dynamic equinus foot deformity (lower limb)</w:t>
      </w:r>
      <w:r w:rsidR="008A58BA" w:rsidRPr="00F81767">
        <w:rPr>
          <w:iCs/>
        </w:rPr>
        <w:t xml:space="preserve"> spasticity</w:t>
      </w:r>
      <w:r w:rsidRPr="00F81767">
        <w:rPr>
          <w:iCs/>
        </w:rPr>
        <w:t xml:space="preserve"> in December 1999 and December 2001</w:t>
      </w:r>
      <w:r w:rsidR="00C85F03" w:rsidRPr="00F81767">
        <w:rPr>
          <w:iCs/>
        </w:rPr>
        <w:t xml:space="preserve"> (</w:t>
      </w:r>
      <w:r w:rsidR="004C4581" w:rsidRPr="00F81767">
        <w:rPr>
          <w:iCs/>
        </w:rPr>
        <w:fldChar w:fldCharType="begin"/>
      </w:r>
      <w:r w:rsidR="004C4581" w:rsidRPr="00F81767">
        <w:rPr>
          <w:iCs/>
        </w:rPr>
        <w:instrText xml:space="preserve"> REF _Ref198638068 \h  \* MERGEFORMAT </w:instrText>
      </w:r>
      <w:r w:rsidR="004C4581" w:rsidRPr="00F81767">
        <w:rPr>
          <w:iCs/>
        </w:rPr>
      </w:r>
      <w:r w:rsidR="004C4581" w:rsidRPr="00F81767">
        <w:rPr>
          <w:iCs/>
        </w:rPr>
        <w:fldChar w:fldCharType="separate"/>
      </w:r>
      <w:r w:rsidR="00AD57D3" w:rsidRPr="00AD57D3">
        <w:rPr>
          <w:iCs/>
        </w:rPr>
        <w:t xml:space="preserve">Table </w:t>
      </w:r>
      <w:r w:rsidR="00AD57D3" w:rsidRPr="00AD57D3">
        <w:rPr>
          <w:iCs/>
          <w:noProof/>
        </w:rPr>
        <w:t>2</w:t>
      </w:r>
      <w:r w:rsidR="004C4581" w:rsidRPr="00F81767">
        <w:rPr>
          <w:iCs/>
        </w:rPr>
        <w:fldChar w:fldCharType="end"/>
      </w:r>
      <w:r w:rsidR="00C85F03" w:rsidRPr="00F81767">
        <w:rPr>
          <w:iCs/>
        </w:rPr>
        <w:t>)</w:t>
      </w:r>
      <w:r w:rsidR="00CB3EB4" w:rsidRPr="00F81767">
        <w:rPr>
          <w:iCs/>
        </w:rPr>
        <w:t>,</w:t>
      </w:r>
      <w:r w:rsidR="004B0FFC" w:rsidRPr="00F81767">
        <w:rPr>
          <w:iCs/>
        </w:rPr>
        <w:t xml:space="preserve"> respectively</w:t>
      </w:r>
      <w:r w:rsidRPr="00F81767">
        <w:rPr>
          <w:iCs/>
        </w:rPr>
        <w:t xml:space="preserve">. Although PSDs are not available publicly for this indication, the clinical studies presented in </w:t>
      </w:r>
      <w:r w:rsidR="00EA3518" w:rsidRPr="00F81767">
        <w:rPr>
          <w:iCs/>
        </w:rPr>
        <w:t>th</w:t>
      </w:r>
      <w:r w:rsidR="00853D5A" w:rsidRPr="00F81767">
        <w:rPr>
          <w:iCs/>
        </w:rPr>
        <w:t>o</w:t>
      </w:r>
      <w:r w:rsidR="002D1AB9" w:rsidRPr="00F81767">
        <w:rPr>
          <w:iCs/>
        </w:rPr>
        <w:t>se</w:t>
      </w:r>
      <w:r w:rsidR="00EA3518" w:rsidRPr="00F81767">
        <w:rPr>
          <w:iCs/>
        </w:rPr>
        <w:t xml:space="preserve"> submission</w:t>
      </w:r>
      <w:r w:rsidR="002D1AB9" w:rsidRPr="00F81767">
        <w:rPr>
          <w:iCs/>
        </w:rPr>
        <w:t>s</w:t>
      </w:r>
      <w:r w:rsidRPr="00F81767">
        <w:rPr>
          <w:iCs/>
        </w:rPr>
        <w:t xml:space="preserve"> indicate that Botox and Dysport studies were conducted in paediatric populations</w:t>
      </w:r>
      <w:r w:rsidRPr="008A58BA">
        <w:t xml:space="preserve">. </w:t>
      </w:r>
      <w:r w:rsidR="00AF6D8D" w:rsidRPr="00F81767">
        <w:rPr>
          <w:iCs/>
        </w:rPr>
        <w:t>Botox</w:t>
      </w:r>
      <w:r w:rsidR="000A1736" w:rsidRPr="00F81767">
        <w:rPr>
          <w:iCs/>
        </w:rPr>
        <w:t xml:space="preserve"> was TGA-approved for use in adults</w:t>
      </w:r>
      <w:r w:rsidR="00AF6D8D" w:rsidRPr="00F81767">
        <w:rPr>
          <w:iCs/>
        </w:rPr>
        <w:t xml:space="preserve"> and </w:t>
      </w:r>
      <w:r w:rsidR="00707768" w:rsidRPr="00F81767">
        <w:rPr>
          <w:iCs/>
        </w:rPr>
        <w:t xml:space="preserve">the TGA delegate had considered an application for </w:t>
      </w:r>
      <w:r w:rsidR="00AF6D8D" w:rsidRPr="00F81767">
        <w:rPr>
          <w:iCs/>
        </w:rPr>
        <w:t>Dysport</w:t>
      </w:r>
      <w:r w:rsidR="00707768" w:rsidRPr="00F81767">
        <w:rPr>
          <w:iCs/>
        </w:rPr>
        <w:t xml:space="preserve"> for use in adults</w:t>
      </w:r>
      <w:r w:rsidR="00AF6D8D" w:rsidRPr="00F81767">
        <w:rPr>
          <w:iCs/>
        </w:rPr>
        <w:t xml:space="preserve">, at the time of PBAC </w:t>
      </w:r>
      <w:r w:rsidR="00340045" w:rsidRPr="00F81767">
        <w:rPr>
          <w:iCs/>
        </w:rPr>
        <w:t>recommendation</w:t>
      </w:r>
      <w:r w:rsidR="00AF6D8D" w:rsidRPr="00F81767">
        <w:rPr>
          <w:iCs/>
        </w:rPr>
        <w:t xml:space="preserve">. The current submission for Xeomin also presents paediatric data (age 2-17 years) only, </w:t>
      </w:r>
      <w:r w:rsidR="000C10A3">
        <w:rPr>
          <w:iCs/>
        </w:rPr>
        <w:t>and</w:t>
      </w:r>
      <w:r w:rsidR="000C10A3" w:rsidRPr="00F81767">
        <w:rPr>
          <w:iCs/>
        </w:rPr>
        <w:t xml:space="preserve"> </w:t>
      </w:r>
      <w:r w:rsidR="00AF6D8D" w:rsidRPr="00F81767">
        <w:rPr>
          <w:iCs/>
        </w:rPr>
        <w:t xml:space="preserve">Xeomin is TGA-approved for </w:t>
      </w:r>
      <w:r w:rsidR="00112AC1" w:rsidRPr="00F81767">
        <w:rPr>
          <w:iCs/>
        </w:rPr>
        <w:t>lower</w:t>
      </w:r>
      <w:r w:rsidR="00AF6D8D" w:rsidRPr="00F81767">
        <w:rPr>
          <w:iCs/>
        </w:rPr>
        <w:t xml:space="preserve"> limb spasticity in adults. Therefore, including adults in the proposed restriction is consistent with the current TGA registration status</w:t>
      </w:r>
      <w:r w:rsidRPr="00F81767">
        <w:rPr>
          <w:iCs/>
        </w:rPr>
        <w:t>.</w:t>
      </w:r>
      <w:r w:rsidRPr="008A58BA">
        <w:t xml:space="preserve"> </w:t>
      </w:r>
    </w:p>
    <w:p w14:paraId="4139B319" w14:textId="43604129" w:rsidR="00E420AB" w:rsidRPr="00E72446" w:rsidRDefault="00E62CF5" w:rsidP="0049200A">
      <w:pPr>
        <w:pStyle w:val="Heading2"/>
        <w:rPr>
          <w:rFonts w:asciiTheme="minorHAnsi" w:hAnsiTheme="minorHAnsi" w:cstheme="minorHAnsi"/>
          <w:szCs w:val="28"/>
        </w:rPr>
      </w:pPr>
      <w:bookmarkStart w:id="22" w:name="_Toc198630212"/>
      <w:bookmarkStart w:id="23" w:name="_Toc198724790"/>
      <w:r>
        <w:rPr>
          <w:rFonts w:asciiTheme="minorHAnsi" w:hAnsiTheme="minorHAnsi" w:cstheme="minorHAnsi"/>
          <w:szCs w:val="28"/>
        </w:rPr>
        <w:t>MSAC consideration</w:t>
      </w:r>
      <w:bookmarkEnd w:id="22"/>
      <w:bookmarkEnd w:id="23"/>
    </w:p>
    <w:p w14:paraId="4EFFAA6B" w14:textId="15E9F910" w:rsidR="00E420AB" w:rsidRPr="00665A4B" w:rsidRDefault="00012786" w:rsidP="0049200A">
      <w:pPr>
        <w:pStyle w:val="3-BodyText"/>
      </w:pPr>
      <w:r w:rsidRPr="00F81767">
        <w:rPr>
          <w:iCs/>
        </w:rPr>
        <w:t xml:space="preserve">The sponsor </w:t>
      </w:r>
      <w:r w:rsidR="00EF4A0C" w:rsidRPr="00F81767">
        <w:rPr>
          <w:iCs/>
        </w:rPr>
        <w:t>submitted an MSAC application</w:t>
      </w:r>
      <w:r w:rsidR="003C7CC3" w:rsidRPr="00F81767">
        <w:rPr>
          <w:iCs/>
        </w:rPr>
        <w:t xml:space="preserve"> (application</w:t>
      </w:r>
      <w:r w:rsidR="00DB3C4E">
        <w:rPr>
          <w:iCs/>
        </w:rPr>
        <w:t xml:space="preserve"> </w:t>
      </w:r>
      <w:r w:rsidR="003C7CC3" w:rsidRPr="00F81767">
        <w:rPr>
          <w:iCs/>
        </w:rPr>
        <w:t xml:space="preserve">1808) </w:t>
      </w:r>
      <w:r w:rsidR="00EF4A0C" w:rsidRPr="00F81767">
        <w:rPr>
          <w:iCs/>
        </w:rPr>
        <w:t>for the administration of Xeomin for the treatment of moderate to</w:t>
      </w:r>
      <w:r w:rsidR="00C178C4" w:rsidRPr="00F81767">
        <w:rPr>
          <w:iCs/>
        </w:rPr>
        <w:t xml:space="preserve"> severe spasticity of the upper limb and dynamic equinus foot deformity in patients with </w:t>
      </w:r>
      <w:r w:rsidR="00C11477" w:rsidRPr="00F81767">
        <w:rPr>
          <w:iCs/>
        </w:rPr>
        <w:t>cerebral</w:t>
      </w:r>
      <w:r w:rsidR="00C178C4" w:rsidRPr="00F81767">
        <w:rPr>
          <w:iCs/>
        </w:rPr>
        <w:t xml:space="preserve"> palsy aged 2 </w:t>
      </w:r>
      <w:r w:rsidR="00F947FB" w:rsidRPr="00F81767">
        <w:rPr>
          <w:iCs/>
        </w:rPr>
        <w:t>years and older</w:t>
      </w:r>
      <w:r w:rsidR="00C178C4" w:rsidRPr="00F81767">
        <w:rPr>
          <w:iCs/>
        </w:rPr>
        <w:t>.</w:t>
      </w:r>
      <w:r w:rsidR="000E6148" w:rsidRPr="00F81767">
        <w:rPr>
          <w:iCs/>
        </w:rPr>
        <w:t xml:space="preserve"> Application 1808 </w:t>
      </w:r>
      <w:r w:rsidR="00284577">
        <w:rPr>
          <w:iCs/>
        </w:rPr>
        <w:t xml:space="preserve">was </w:t>
      </w:r>
      <w:r w:rsidR="00782F51">
        <w:rPr>
          <w:iCs/>
        </w:rPr>
        <w:t>scheduled for</w:t>
      </w:r>
      <w:r w:rsidR="00284577">
        <w:rPr>
          <w:iCs/>
        </w:rPr>
        <w:t xml:space="preserve"> </w:t>
      </w:r>
      <w:r w:rsidR="00782F51" w:rsidRPr="00F81767">
        <w:rPr>
          <w:iCs/>
        </w:rPr>
        <w:t>consider</w:t>
      </w:r>
      <w:r w:rsidR="00782F51">
        <w:rPr>
          <w:iCs/>
        </w:rPr>
        <w:t>ation</w:t>
      </w:r>
      <w:r w:rsidR="00782F51" w:rsidRPr="00F81767">
        <w:rPr>
          <w:iCs/>
        </w:rPr>
        <w:t xml:space="preserve"> </w:t>
      </w:r>
      <w:r w:rsidR="000E6148" w:rsidRPr="00F81767">
        <w:rPr>
          <w:iCs/>
        </w:rPr>
        <w:t xml:space="preserve">at the July MSAC meeting. </w:t>
      </w:r>
    </w:p>
    <w:p w14:paraId="1156DB31" w14:textId="3458E501" w:rsidR="00665A4B" w:rsidRPr="00581228" w:rsidRDefault="00665A4B" w:rsidP="0049200A">
      <w:pPr>
        <w:pStyle w:val="3-BodyText"/>
        <w:numPr>
          <w:ilvl w:val="0"/>
          <w:numId w:val="0"/>
        </w:numPr>
        <w:ind w:firstLine="720"/>
        <w:rPr>
          <w:i/>
          <w:iCs/>
        </w:rPr>
      </w:pPr>
      <w:r w:rsidRPr="00581228">
        <w:rPr>
          <w:i/>
          <w:iCs/>
        </w:rPr>
        <w:t>For more detail on PBAC’s view, see section 7 PBAC outcome.</w:t>
      </w:r>
    </w:p>
    <w:p w14:paraId="7075B85C" w14:textId="62A47B7B" w:rsidR="00B50DB8" w:rsidRPr="0098262F" w:rsidDel="00195452" w:rsidRDefault="00203181" w:rsidP="0049200A">
      <w:pPr>
        <w:pStyle w:val="2-SectionHeading"/>
      </w:pPr>
      <w:bookmarkStart w:id="24" w:name="_Toc198630213"/>
      <w:bookmarkStart w:id="25" w:name="_Toc198724791"/>
      <w:r w:rsidRPr="0098262F" w:rsidDel="00195452">
        <w:t xml:space="preserve">Population and </w:t>
      </w:r>
      <w:r w:rsidR="008E0D3C" w:rsidRPr="0098262F" w:rsidDel="00195452">
        <w:t>d</w:t>
      </w:r>
      <w:r w:rsidRPr="0098262F" w:rsidDel="00195452">
        <w:t>isease</w:t>
      </w:r>
      <w:bookmarkEnd w:id="24"/>
      <w:bookmarkEnd w:id="25"/>
    </w:p>
    <w:p w14:paraId="2E00E74F" w14:textId="1A08C821" w:rsidR="004F328F" w:rsidRPr="004F328F" w:rsidRDefault="004F328F" w:rsidP="0049200A">
      <w:pPr>
        <w:pStyle w:val="3-BodyText"/>
      </w:pPr>
      <w:r w:rsidRPr="004F328F">
        <w:t>Cerebral palsy (CP) is a group of neurological disorders developing in early childhood, characterised by permanent impairments in movement, muscle coordination, posture, and balance due to injury or abnormal development within the brain.</w:t>
      </w:r>
      <w:bookmarkStart w:id="26" w:name="_Ref194418693"/>
      <w:r w:rsidR="00524C89">
        <w:rPr>
          <w:rStyle w:val="FootnoteReference"/>
        </w:rPr>
        <w:footnoteReference w:id="2"/>
      </w:r>
      <w:bookmarkEnd w:id="26"/>
      <w:r w:rsidRPr="004F328F">
        <w:t xml:space="preserve"> Spasticity, a common clinical manifestation affecting approximately 70-90% of children with CP, involves increased muscle tone, stiffness, and hyperactive reflexes.</w:t>
      </w:r>
      <w:r w:rsidR="00714F2D" w:rsidRPr="00714F2D">
        <w:rPr>
          <w:rStyle w:val="FootnoteReference"/>
        </w:rPr>
        <w:t>1</w:t>
      </w:r>
      <w:r w:rsidRPr="004F328F">
        <w:t xml:space="preserve"> It significantly limits passive and active joint motion, leading to functional impairments </w:t>
      </w:r>
      <w:r w:rsidRPr="004F328F">
        <w:lastRenderedPageBreak/>
        <w:t>such as joint contractures, reduced mobility, impaired self-care, and pain, consequently diminishing the overall health-related quality of life.</w:t>
      </w:r>
    </w:p>
    <w:p w14:paraId="0090BDA7" w14:textId="4A24D5E6" w:rsidR="004F328F" w:rsidRDefault="004F328F" w:rsidP="0049200A">
      <w:pPr>
        <w:pStyle w:val="3-BodyText"/>
        <w:rPr>
          <w:color w:val="0066FF"/>
        </w:rPr>
      </w:pPr>
      <w:r w:rsidRPr="004F328F">
        <w:t xml:space="preserve">Lower limb spasticity </w:t>
      </w:r>
      <w:r w:rsidR="00B208E9">
        <w:t xml:space="preserve">most commonly </w:t>
      </w:r>
      <w:r w:rsidRPr="004F328F">
        <w:t>presents as dynamic pes equinus, occurring in up to 83% of children with bilateral CP.</w:t>
      </w:r>
      <w:r w:rsidR="00714F2D" w:rsidRPr="00714F2D">
        <w:rPr>
          <w:rStyle w:val="FootnoteReference"/>
        </w:rPr>
        <w:t>1</w:t>
      </w:r>
      <w:r w:rsidRPr="004F328F">
        <w:t xml:space="preserve"> This condition results from insufficient ankle dorsiflexion, causing toe-walking and often accompanied by knee and hip flexion or adduction deformities. Upper limb spasticity is observed in over 80% of children with CP, typically manifesting as increased flexor tone, compromising fine motor skills, hand positioning, and daily functional abilities. In terms of the spasticity causes, the known risk factors include low birth weight and prematurity.</w:t>
      </w:r>
      <w:r w:rsidR="00714F2D" w:rsidRPr="00714F2D">
        <w:rPr>
          <w:rStyle w:val="FootnoteReference"/>
        </w:rPr>
        <w:t>1</w:t>
      </w:r>
      <w:r w:rsidR="00DB3C4E">
        <w:t xml:space="preserve"> </w:t>
      </w:r>
    </w:p>
    <w:p w14:paraId="0C3FA8D5" w14:textId="15048E83" w:rsidR="0058148F" w:rsidRDefault="005E2E3B" w:rsidP="0049200A">
      <w:pPr>
        <w:pStyle w:val="3-BodyText"/>
      </w:pPr>
      <w:r w:rsidRPr="005E2E3B">
        <w:t xml:space="preserve">The clinical management algorithms </w:t>
      </w:r>
      <w:r w:rsidR="00B63447">
        <w:t xml:space="preserve">in the submission </w:t>
      </w:r>
      <w:r w:rsidRPr="005E2E3B">
        <w:t xml:space="preserve">were primarily based on Australian guidelines (Australian </w:t>
      </w:r>
      <w:r w:rsidR="0006786B">
        <w:t>T</w:t>
      </w:r>
      <w:r w:rsidRPr="005E2E3B">
        <w:t xml:space="preserve">herapeutic </w:t>
      </w:r>
      <w:r w:rsidR="0006786B">
        <w:t>G</w:t>
      </w:r>
      <w:r w:rsidRPr="005E2E3B">
        <w:t>uidelines, Royal Children’s Hospital Melbourne and the Australasian Academy of Cerebral Palsy and Developmental Medicine</w:t>
      </w:r>
      <w:r w:rsidRPr="00B07087">
        <w:t>)</w:t>
      </w:r>
      <w:r w:rsidRPr="005E2E3B">
        <w:t>. The guidelines cited the use of Botulinum toxin injections for upper and lower limb spasticity in children and adolescents with cerebral palsy</w:t>
      </w:r>
      <w:r>
        <w:t>.</w:t>
      </w:r>
    </w:p>
    <w:p w14:paraId="2BF89083" w14:textId="56F1422B" w:rsidR="00C85F03" w:rsidRPr="005E2E3B" w:rsidRDefault="00C85F03" w:rsidP="0049200A">
      <w:pPr>
        <w:pStyle w:val="3-BodyText"/>
      </w:pPr>
      <w:r>
        <w:t>As noted by the submission, apart from the potential substitution of Xeomin for Botox and Dysport, other aspects of the current treatment algorithms would not change.</w:t>
      </w:r>
      <w:r w:rsidR="00DB3C4E">
        <w:t xml:space="preserve"> </w:t>
      </w:r>
      <w:r w:rsidRPr="00F81767">
        <w:rPr>
          <w:iCs/>
        </w:rPr>
        <w:t>This was reasonable.</w:t>
      </w:r>
    </w:p>
    <w:p w14:paraId="5BBA80FB" w14:textId="01A65F61" w:rsidR="00CC4DC0" w:rsidRDefault="00CC4DC0" w:rsidP="0049200A">
      <w:pPr>
        <w:pStyle w:val="3-BodyText"/>
      </w:pPr>
      <w:r w:rsidRPr="00F81767">
        <w:rPr>
          <w:iCs/>
        </w:rPr>
        <w:t xml:space="preserve">The submission adequately addressed the clinical management of upper and </w:t>
      </w:r>
      <w:r w:rsidR="00F0583E" w:rsidRPr="00F81767">
        <w:rPr>
          <w:iCs/>
        </w:rPr>
        <w:t>lower limb</w:t>
      </w:r>
      <w:r w:rsidRPr="00F81767">
        <w:rPr>
          <w:iCs/>
        </w:rPr>
        <w:t xml:space="preserve"> spasticity in patients with cerebral palsy in the paediatric population (2-17 years). The submission provided no discussion in Section 1</w:t>
      </w:r>
      <w:r w:rsidR="002C4B72">
        <w:rPr>
          <w:iCs/>
        </w:rPr>
        <w:t xml:space="preserve"> (the ‘Context’)</w:t>
      </w:r>
      <w:r w:rsidRPr="00F81767">
        <w:rPr>
          <w:iCs/>
        </w:rPr>
        <w:t xml:space="preserve"> of the relevance of the information provided to the proposed adult population (≥18 years)</w:t>
      </w:r>
      <w:r w:rsidRPr="00CC4DC0">
        <w:t>.</w:t>
      </w:r>
    </w:p>
    <w:p w14:paraId="11FCAAEE" w14:textId="5D3BAB2C" w:rsidR="007627BE" w:rsidRPr="00900184" w:rsidDel="00195452" w:rsidRDefault="00900184" w:rsidP="0049200A">
      <w:pPr>
        <w:pStyle w:val="3-BodyText"/>
      </w:pPr>
      <w:r w:rsidRPr="00900184">
        <w:rPr>
          <w:i/>
          <w:iCs/>
        </w:rPr>
        <w:t>Clostridium botulinum</w:t>
      </w:r>
      <w:r w:rsidRPr="00900184">
        <w:t xml:space="preserve"> is a gram-positive, anaerobic, rod-shaped, spore-forming, motile bacterium capable of producing botulinum neurotoxin.</w:t>
      </w:r>
      <w:r>
        <w:rPr>
          <w:rStyle w:val="FootnoteReference"/>
        </w:rPr>
        <w:footnoteReference w:id="3"/>
      </w:r>
      <w:r w:rsidRPr="00900184">
        <w:t xml:space="preserve"> Xeomin is derived from this bacterium via fermentation and purified to remove associated complexing proteins, such as haemagglutinins and other non-toxic, non-haemagglutinating proteins, leaving only the purified neurotoxin.</w:t>
      </w:r>
    </w:p>
    <w:p w14:paraId="668A51A8" w14:textId="1997219F" w:rsidR="00777220" w:rsidRPr="00581228" w:rsidRDefault="00322D71" w:rsidP="0049200A">
      <w:pPr>
        <w:pStyle w:val="3-BodyText"/>
      </w:pPr>
      <w:r w:rsidRPr="00322D71">
        <w:t>The submission stated that Xeomin differs from other botulinum neurotoxins by containing only the purified 150 kilodalton (kD</w:t>
      </w:r>
      <w:r w:rsidR="003726B2">
        <w:t xml:space="preserve">; </w:t>
      </w:r>
      <w:r w:rsidR="003726B2" w:rsidRPr="003726B2">
        <w:t>1 kD= 1000 grams/mol</w:t>
      </w:r>
      <w:r w:rsidRPr="00322D71">
        <w:t xml:space="preserve">) neurotoxin, which </w:t>
      </w:r>
      <w:r w:rsidR="00A8031A" w:rsidRPr="00A8031A">
        <w:t>may reduce</w:t>
      </w:r>
      <w:r w:rsidRPr="00322D71">
        <w:t xml:space="preserve"> immunogenic responses </w:t>
      </w:r>
      <w:r w:rsidR="00A8031A" w:rsidRPr="00A8031A">
        <w:t xml:space="preserve">with </w:t>
      </w:r>
      <w:r w:rsidRPr="00322D71">
        <w:t xml:space="preserve">repeated </w:t>
      </w:r>
      <w:r w:rsidR="00A8031A" w:rsidRPr="00A8031A">
        <w:t>use</w:t>
      </w:r>
      <w:r w:rsidR="00D05C25">
        <w:rPr>
          <w:rStyle w:val="FootnoteReference"/>
        </w:rPr>
        <w:footnoteReference w:id="4"/>
      </w:r>
      <w:r>
        <w:t xml:space="preserve">. </w:t>
      </w:r>
      <w:r w:rsidR="0038169C" w:rsidRPr="00F81767">
        <w:rPr>
          <w:iCs/>
        </w:rPr>
        <w:t xml:space="preserve">This description is consistent with the </w:t>
      </w:r>
      <w:r w:rsidR="00B86C49">
        <w:rPr>
          <w:iCs/>
        </w:rPr>
        <w:t xml:space="preserve">Xeomin </w:t>
      </w:r>
      <w:r w:rsidR="0038169C" w:rsidRPr="00F81767">
        <w:rPr>
          <w:iCs/>
        </w:rPr>
        <w:t>Product Information</w:t>
      </w:r>
      <w:r w:rsidR="00D475D8" w:rsidRPr="00F81767">
        <w:rPr>
          <w:iCs/>
        </w:rPr>
        <w:t>.</w:t>
      </w:r>
    </w:p>
    <w:p w14:paraId="6B8C2CC7" w14:textId="1B99E0C2" w:rsidR="00581228" w:rsidRPr="00581228" w:rsidDel="00195452" w:rsidRDefault="00581228" w:rsidP="0049200A">
      <w:pPr>
        <w:pStyle w:val="3-BodyText"/>
        <w:numPr>
          <w:ilvl w:val="0"/>
          <w:numId w:val="0"/>
        </w:numPr>
        <w:ind w:firstLine="720"/>
        <w:rPr>
          <w:i/>
          <w:iCs/>
        </w:rPr>
      </w:pPr>
      <w:r w:rsidRPr="00581228">
        <w:rPr>
          <w:i/>
          <w:iCs/>
        </w:rPr>
        <w:t>For more detail on PBAC’s view, see section 7 PBAC outcome.</w:t>
      </w:r>
    </w:p>
    <w:p w14:paraId="51E5AE96" w14:textId="136A63B1" w:rsidR="00B50DB8" w:rsidRPr="0098262F" w:rsidRDefault="00B50DB8" w:rsidP="0049200A">
      <w:pPr>
        <w:pStyle w:val="2-SectionHeading"/>
      </w:pPr>
      <w:bookmarkStart w:id="27" w:name="_Toc198630214"/>
      <w:bookmarkStart w:id="28" w:name="_Toc198724792"/>
      <w:r w:rsidRPr="0098262F">
        <w:lastRenderedPageBreak/>
        <w:t>Comparator</w:t>
      </w:r>
      <w:bookmarkEnd w:id="27"/>
      <w:bookmarkEnd w:id="28"/>
    </w:p>
    <w:p w14:paraId="5E4A99F2" w14:textId="1F37AD44" w:rsidR="00C85F03" w:rsidRDefault="00341815" w:rsidP="0049200A">
      <w:pPr>
        <w:pStyle w:val="3-BodyText"/>
      </w:pPr>
      <w:r w:rsidRPr="00341815">
        <w:t xml:space="preserve">The submission nominated Botox as the sole comparator. </w:t>
      </w:r>
      <w:r w:rsidR="00C85F03" w:rsidRPr="00C85F03">
        <w:t xml:space="preserve">The main reasons provided for this nomination </w:t>
      </w:r>
      <w:r w:rsidR="00CD1055">
        <w:t>were</w:t>
      </w:r>
      <w:r w:rsidR="00CD1055" w:rsidRPr="00C85F03">
        <w:t xml:space="preserve"> </w:t>
      </w:r>
      <w:r w:rsidR="00C85F03" w:rsidRPr="00C85F03">
        <w:t>as follows</w:t>
      </w:r>
      <w:r w:rsidR="00C85F03">
        <w:t>:</w:t>
      </w:r>
    </w:p>
    <w:p w14:paraId="710FFCC3" w14:textId="2FBFFED2" w:rsidR="00CA5896" w:rsidRDefault="00CA5896" w:rsidP="0049200A">
      <w:pPr>
        <w:pStyle w:val="3-BodyText"/>
        <w:numPr>
          <w:ilvl w:val="0"/>
          <w:numId w:val="26"/>
        </w:numPr>
      </w:pPr>
      <w:r w:rsidRPr="00CA5896">
        <w:t>Botox is PBS-listed for the treatment of moderate to severe upper limb spasticity and dynamic equinus deformity in patients aged ≥2 years with cerebral palsy and accounts for approximately 93% of the market in this population</w:t>
      </w:r>
      <w:r w:rsidR="00AE1ABE">
        <w:t xml:space="preserve">, </w:t>
      </w:r>
      <w:r w:rsidR="00AE1ABE" w:rsidRPr="00AE1ABE">
        <w:t>based on PBS services data from 2020</w:t>
      </w:r>
      <w:r w:rsidR="00AE1ABE">
        <w:t>-</w:t>
      </w:r>
      <w:r w:rsidR="00AE1ABE" w:rsidRPr="00AE1ABE">
        <w:t>2024</w:t>
      </w:r>
      <w:r w:rsidRPr="00CA5896">
        <w:t>.</w:t>
      </w:r>
      <w:r w:rsidR="007A2139">
        <w:rPr>
          <w:rStyle w:val="FootnoteReference"/>
        </w:rPr>
        <w:footnoteReference w:id="5"/>
      </w:r>
      <w:r w:rsidRPr="00CA5896">
        <w:t xml:space="preserve"> Dysport accounts for only </w:t>
      </w:r>
      <w:r>
        <w:t>7</w:t>
      </w:r>
      <w:r w:rsidRPr="00CA5896">
        <w:t>%</w:t>
      </w:r>
      <w:r>
        <w:t xml:space="preserve"> </w:t>
      </w:r>
      <w:r w:rsidRPr="00CA5896">
        <w:t xml:space="preserve">(6% for </w:t>
      </w:r>
      <w:r w:rsidR="00002AD7">
        <w:t>500 U</w:t>
      </w:r>
      <w:r w:rsidRPr="00CA5896">
        <w:t xml:space="preserve"> and 1% for </w:t>
      </w:r>
      <w:r w:rsidR="00002AD7">
        <w:t>300 U</w:t>
      </w:r>
      <w:r w:rsidRPr="00CA5896">
        <w:t xml:space="preserve">) </w:t>
      </w:r>
      <w:r w:rsidR="00091061" w:rsidRPr="00091061">
        <w:t>over the same period and was therefore considered a less appropriate comparator</w:t>
      </w:r>
      <w:r w:rsidRPr="00CA5896">
        <w:t>.</w:t>
      </w:r>
    </w:p>
    <w:p w14:paraId="54D530BE" w14:textId="7AC5669E" w:rsidR="00CA5896" w:rsidRDefault="00CA5896" w:rsidP="0049200A">
      <w:pPr>
        <w:pStyle w:val="3-BodyText"/>
        <w:numPr>
          <w:ilvl w:val="0"/>
          <w:numId w:val="26"/>
        </w:numPr>
      </w:pPr>
      <w:r w:rsidRPr="00CA5896">
        <w:t>The TGA considered that a 1:1 therapeutic equivalence ratio between Botox and Xeomin was reasonable. This was based on the TGA approved indications for Xeomin (TGA Clinical Evaluation Report)</w:t>
      </w:r>
      <w:r>
        <w:t>.</w:t>
      </w:r>
    </w:p>
    <w:p w14:paraId="0AE7C85A" w14:textId="754786F7" w:rsidR="00CA5896" w:rsidRDefault="00CA5896" w:rsidP="0049200A">
      <w:pPr>
        <w:pStyle w:val="3-BodyText"/>
        <w:numPr>
          <w:ilvl w:val="0"/>
          <w:numId w:val="26"/>
        </w:numPr>
      </w:pPr>
      <w:r w:rsidRPr="00CA5896">
        <w:t xml:space="preserve">The PBAC has previously advised that Botox, Dysport and Xeomin, should be treated as interchangeable on an individual patient basis under Section 101 (3BA) of the </w:t>
      </w:r>
      <w:r w:rsidRPr="006266EB">
        <w:rPr>
          <w:i/>
          <w:iCs/>
        </w:rPr>
        <w:t>National Health Act 1953</w:t>
      </w:r>
      <w:r w:rsidRPr="00CA5896">
        <w:t xml:space="preserve"> (paragraph 6.1</w:t>
      </w:r>
      <w:r w:rsidR="00F42249">
        <w:t>5</w:t>
      </w:r>
      <w:r w:rsidRPr="00CA5896">
        <w:t xml:space="preserve">, Xeomin, </w:t>
      </w:r>
      <w:r w:rsidR="006E72E9">
        <w:t>PSD</w:t>
      </w:r>
      <w:r w:rsidRPr="00CA5896">
        <w:t>, November 2019</w:t>
      </w:r>
      <w:r w:rsidR="00CC6BB4">
        <w:t xml:space="preserve"> PBAC meeting</w:t>
      </w:r>
      <w:r w:rsidRPr="00CA5896">
        <w:t>)</w:t>
      </w:r>
      <w:r>
        <w:t>.</w:t>
      </w:r>
    </w:p>
    <w:p w14:paraId="70988231" w14:textId="43BCCA90" w:rsidR="00F05BB6" w:rsidRPr="00F81767" w:rsidRDefault="00CA5896" w:rsidP="0049200A">
      <w:pPr>
        <w:pStyle w:val="3-BodyText"/>
      </w:pPr>
      <w:r w:rsidRPr="00F81767">
        <w:t xml:space="preserve">In the context of the cost-minimisation approach taken by the submission, under Section 101(3B) of the </w:t>
      </w:r>
      <w:r w:rsidRPr="00F81767">
        <w:rPr>
          <w:i/>
          <w:iCs/>
        </w:rPr>
        <w:t>National Health Act 1953</w:t>
      </w:r>
      <w:r w:rsidRPr="00F81767">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PBAC is so satisfied, it must make a statement to this effect</w:t>
      </w:r>
      <w:r w:rsidR="00F311C7" w:rsidRPr="00F81767">
        <w:t>.</w:t>
      </w:r>
    </w:p>
    <w:p w14:paraId="5AB80928" w14:textId="229E29A5" w:rsidR="00F311C7" w:rsidRPr="00581228" w:rsidRDefault="00F311C7" w:rsidP="0049200A">
      <w:pPr>
        <w:pStyle w:val="3-BodyText"/>
      </w:pPr>
      <w:r w:rsidRPr="00F81767">
        <w:t>For the requested population, both Botox and Dysport may be considered alternative therapies because they could be replaced in practice.</w:t>
      </w:r>
      <w:r w:rsidR="000270B8">
        <w:rPr>
          <w:iCs/>
        </w:rPr>
        <w:t xml:space="preserve"> </w:t>
      </w:r>
      <w:r w:rsidR="00800043" w:rsidRPr="00DE3522">
        <w:rPr>
          <w:iCs/>
        </w:rPr>
        <w:t xml:space="preserve">The PSCR </w:t>
      </w:r>
      <w:r w:rsidR="00387186" w:rsidRPr="00DE3522">
        <w:rPr>
          <w:iCs/>
        </w:rPr>
        <w:t>considered</w:t>
      </w:r>
      <w:r w:rsidR="00834D2A" w:rsidRPr="00DE3522">
        <w:rPr>
          <w:iCs/>
        </w:rPr>
        <w:t xml:space="preserve"> Bot</w:t>
      </w:r>
      <w:r w:rsidR="000647B4" w:rsidRPr="00DE3522">
        <w:rPr>
          <w:iCs/>
        </w:rPr>
        <w:t xml:space="preserve">ox </w:t>
      </w:r>
      <w:r w:rsidR="00367D2F" w:rsidRPr="00DE3522">
        <w:rPr>
          <w:iCs/>
        </w:rPr>
        <w:t>to be the only</w:t>
      </w:r>
      <w:r w:rsidR="000647B4" w:rsidRPr="00DE3522">
        <w:rPr>
          <w:iCs/>
        </w:rPr>
        <w:t xml:space="preserve"> appropriate comparator for Xeomin </w:t>
      </w:r>
      <w:r w:rsidR="00367D2F" w:rsidRPr="00DE3522">
        <w:rPr>
          <w:iCs/>
        </w:rPr>
        <w:t>noting Dyspo</w:t>
      </w:r>
      <w:r w:rsidR="00E06761" w:rsidRPr="00DE3522">
        <w:rPr>
          <w:iCs/>
        </w:rPr>
        <w:t xml:space="preserve">rt </w:t>
      </w:r>
      <w:r w:rsidR="00AD6ABE" w:rsidRPr="00DE3522">
        <w:rPr>
          <w:iCs/>
        </w:rPr>
        <w:t>was not interchangeable with Botox on a unit-to-unit basis</w:t>
      </w:r>
      <w:r w:rsidR="0031090C" w:rsidRPr="00DE3522">
        <w:rPr>
          <w:iCs/>
        </w:rPr>
        <w:t>, with Dysport</w:t>
      </w:r>
      <w:r w:rsidR="00DA1521" w:rsidRPr="00DE3522">
        <w:rPr>
          <w:iCs/>
        </w:rPr>
        <w:t xml:space="preserve"> requiring administration ratios between 2:1 and 9:1 to Botox</w:t>
      </w:r>
      <w:r w:rsidR="00A84758" w:rsidRPr="00DE3522">
        <w:rPr>
          <w:iCs/>
        </w:rPr>
        <w:t xml:space="preserve">. The PSCR also noted that </w:t>
      </w:r>
      <w:r w:rsidR="008E695F" w:rsidRPr="00DE3522">
        <w:rPr>
          <w:iCs/>
        </w:rPr>
        <w:t>Botox</w:t>
      </w:r>
      <w:r w:rsidR="005D0B19" w:rsidRPr="00DE3522">
        <w:rPr>
          <w:iCs/>
        </w:rPr>
        <w:t xml:space="preserve"> is a significant market leader for the botulinum toxin market accounting for 93% of the current market. </w:t>
      </w:r>
      <w:r w:rsidR="002362C5" w:rsidRPr="00DE3522">
        <w:rPr>
          <w:iCs/>
        </w:rPr>
        <w:t xml:space="preserve">The ESC noted that while </w:t>
      </w:r>
      <w:r w:rsidR="003F5014" w:rsidRPr="00DE3522">
        <w:rPr>
          <w:iCs/>
        </w:rPr>
        <w:t xml:space="preserve">there are slight differences between the formulations of Xeomin and Dysport, </w:t>
      </w:r>
      <w:r w:rsidR="004E3781" w:rsidRPr="00DE3522">
        <w:rPr>
          <w:iCs/>
        </w:rPr>
        <w:t xml:space="preserve">the </w:t>
      </w:r>
      <w:r w:rsidR="006D6D39" w:rsidRPr="00DE3522">
        <w:rPr>
          <w:iCs/>
        </w:rPr>
        <w:t>mechanism of action</w:t>
      </w:r>
      <w:r w:rsidR="005A5522" w:rsidRPr="00DE3522">
        <w:rPr>
          <w:iCs/>
        </w:rPr>
        <w:t xml:space="preserve"> and </w:t>
      </w:r>
      <w:r w:rsidR="00AA0170" w:rsidRPr="00DE3522">
        <w:rPr>
          <w:iCs/>
        </w:rPr>
        <w:t xml:space="preserve">have the same </w:t>
      </w:r>
      <w:r w:rsidR="005A5522" w:rsidRPr="00DE3522">
        <w:rPr>
          <w:iCs/>
        </w:rPr>
        <w:t xml:space="preserve">place </w:t>
      </w:r>
      <w:r w:rsidR="000B59EC" w:rsidRPr="00DE3522">
        <w:rPr>
          <w:iCs/>
        </w:rPr>
        <w:t xml:space="preserve">in the clinical management algorithm for </w:t>
      </w:r>
      <w:r w:rsidR="00881DEE" w:rsidRPr="00DE3522">
        <w:rPr>
          <w:iCs/>
        </w:rPr>
        <w:t>upper and lower limb spasticity</w:t>
      </w:r>
      <w:r w:rsidR="00E010F0" w:rsidRPr="00DE3522">
        <w:rPr>
          <w:iCs/>
        </w:rPr>
        <w:t>.</w:t>
      </w:r>
      <w:r w:rsidR="00881DEE" w:rsidRPr="00DE3522">
        <w:rPr>
          <w:iCs/>
        </w:rPr>
        <w:t xml:space="preserve"> </w:t>
      </w:r>
    </w:p>
    <w:p w14:paraId="0E1D4BA5" w14:textId="3A6C44E0" w:rsidR="00581228" w:rsidRPr="00D3248E" w:rsidRDefault="00581228" w:rsidP="0049200A">
      <w:pPr>
        <w:pStyle w:val="3-BodyText"/>
        <w:numPr>
          <w:ilvl w:val="0"/>
          <w:numId w:val="0"/>
        </w:numPr>
        <w:ind w:firstLine="720"/>
        <w:rPr>
          <w:i/>
          <w:iCs/>
        </w:rPr>
      </w:pPr>
      <w:r w:rsidRPr="00D3248E">
        <w:rPr>
          <w:i/>
          <w:iCs/>
        </w:rPr>
        <w:t>For more detail on PBAC’s view, see section 7 PBAC outcome.</w:t>
      </w:r>
    </w:p>
    <w:p w14:paraId="4C01C92B" w14:textId="77777777" w:rsidR="004A29D1" w:rsidRDefault="004A29D1" w:rsidP="0049200A">
      <w:pPr>
        <w:pStyle w:val="2-SectionHeading"/>
      </w:pPr>
      <w:bookmarkStart w:id="29" w:name="_Toc198630215"/>
      <w:bookmarkStart w:id="30" w:name="_Toc198724793"/>
      <w:bookmarkStart w:id="31" w:name="_Hlk204175989"/>
      <w:r>
        <w:lastRenderedPageBreak/>
        <w:t>C</w:t>
      </w:r>
      <w:r w:rsidRPr="00407F2D">
        <w:t>onsideration of the evidence</w:t>
      </w:r>
      <w:bookmarkEnd w:id="29"/>
      <w:bookmarkEnd w:id="30"/>
    </w:p>
    <w:bookmarkEnd w:id="31"/>
    <w:p w14:paraId="56744C1A" w14:textId="330D7D21" w:rsidR="003B286A" w:rsidRDefault="003B286A" w:rsidP="0049200A">
      <w:pPr>
        <w:pStyle w:val="4-SubsectionHeading"/>
        <w:rPr>
          <w:lang w:eastAsia="en-AU"/>
        </w:rPr>
      </w:pPr>
      <w:r w:rsidRPr="003B286A">
        <w:rPr>
          <w:lang w:eastAsia="en-AU"/>
        </w:rPr>
        <w:t>Sponsor hearing</w:t>
      </w:r>
    </w:p>
    <w:p w14:paraId="6921EFF3" w14:textId="18075883" w:rsidR="00DD01D7" w:rsidRDefault="00DD01D7" w:rsidP="0049200A">
      <w:pPr>
        <w:pStyle w:val="3-BodyText"/>
      </w:pPr>
      <w:r>
        <w:t>There was no hearing for this item.</w:t>
      </w:r>
    </w:p>
    <w:p w14:paraId="7B416CE7" w14:textId="77777777" w:rsidR="000505AB" w:rsidRPr="006E1229" w:rsidRDefault="000505AB" w:rsidP="0049200A">
      <w:pPr>
        <w:pStyle w:val="4-SubsectionHeading"/>
        <w:rPr>
          <w:lang w:eastAsia="en-AU"/>
        </w:rPr>
      </w:pPr>
      <w:r w:rsidRPr="006E1229">
        <w:rPr>
          <w:lang w:eastAsia="en-AU"/>
        </w:rPr>
        <w:t>Consumer comments</w:t>
      </w:r>
    </w:p>
    <w:p w14:paraId="391EA43D" w14:textId="05DF1CA6" w:rsidR="000505AB" w:rsidRPr="00DD01D7" w:rsidRDefault="000505AB" w:rsidP="0049200A">
      <w:pPr>
        <w:pStyle w:val="3-BodyText"/>
        <w:numPr>
          <w:ilvl w:val="0"/>
          <w:numId w:val="0"/>
        </w:numPr>
        <w:ind w:left="720" w:hanging="720"/>
      </w:pPr>
      <w:r w:rsidRPr="000505AB">
        <w:t>6.1</w:t>
      </w:r>
      <w:r w:rsidRPr="000505AB">
        <w:tab/>
      </w:r>
      <w:r w:rsidR="001A2F45" w:rsidRPr="001A2F45">
        <w:t xml:space="preserve">The PBAC noted </w:t>
      </w:r>
      <w:r w:rsidR="0089366A">
        <w:t xml:space="preserve">that no consumer comments were received for this item. The PBAC </w:t>
      </w:r>
      <w:r w:rsidR="00140A53">
        <w:rPr>
          <w:rFonts w:cstheme="minorHAnsi"/>
        </w:rPr>
        <w:t xml:space="preserve">noted and </w:t>
      </w:r>
      <w:r w:rsidR="00DF4C1F" w:rsidRPr="007C52BC">
        <w:rPr>
          <w:rFonts w:cstheme="minorHAnsi"/>
        </w:rPr>
        <w:t xml:space="preserve">welcomed the input from </w:t>
      </w:r>
      <w:r w:rsidR="007C52BC" w:rsidRPr="007C52BC">
        <w:rPr>
          <w:rFonts w:cstheme="minorHAnsi"/>
        </w:rPr>
        <w:t>the</w:t>
      </w:r>
      <w:r w:rsidR="007C52BC" w:rsidRPr="007C52BC">
        <w:rPr>
          <w:rFonts w:cstheme="minorHAnsi"/>
          <w:lang w:val="en-GB"/>
        </w:rPr>
        <w:t xml:space="preserve"> Rehabilitation Medicine Society of Australia and New Zealand (RMSANZ)</w:t>
      </w:r>
      <w:r w:rsidR="00140A53">
        <w:rPr>
          <w:rFonts w:cstheme="minorHAnsi"/>
          <w:lang w:val="en-GB"/>
        </w:rPr>
        <w:t xml:space="preserve"> which was provided with the submission</w:t>
      </w:r>
      <w:r w:rsidR="00DF4C1F" w:rsidRPr="007C52BC">
        <w:rPr>
          <w:rFonts w:cstheme="minorHAnsi"/>
        </w:rPr>
        <w:t xml:space="preserve">. The </w:t>
      </w:r>
      <w:r w:rsidR="007C52BC">
        <w:rPr>
          <w:rFonts w:cstheme="minorHAnsi"/>
        </w:rPr>
        <w:t>correspondence</w:t>
      </w:r>
      <w:r w:rsidR="00DF4C1F" w:rsidRPr="007C52BC">
        <w:rPr>
          <w:rFonts w:cstheme="minorHAnsi"/>
        </w:rPr>
        <w:t xml:space="preserve"> supported the listing of </w:t>
      </w:r>
      <w:r w:rsidR="007C52BC">
        <w:rPr>
          <w:rFonts w:cstheme="minorHAnsi"/>
        </w:rPr>
        <w:t>Xeomin</w:t>
      </w:r>
      <w:r w:rsidR="00DF4C1F" w:rsidRPr="007C52BC">
        <w:rPr>
          <w:rFonts w:cstheme="minorHAnsi"/>
        </w:rPr>
        <w:t xml:space="preserve"> on the PBS</w:t>
      </w:r>
      <w:r w:rsidR="007C52BC">
        <w:rPr>
          <w:rFonts w:cstheme="minorHAnsi"/>
        </w:rPr>
        <w:t xml:space="preserve"> for adult and paediatric spasticity associated with cerebral palsy</w:t>
      </w:r>
      <w:r w:rsidR="001A2F45" w:rsidRPr="007C52BC">
        <w:rPr>
          <w:rFonts w:cstheme="minorHAnsi"/>
        </w:rPr>
        <w:t>.</w:t>
      </w:r>
    </w:p>
    <w:p w14:paraId="24778EA6" w14:textId="3A1466CE" w:rsidR="00785588" w:rsidRPr="00C9624D" w:rsidRDefault="00785588" w:rsidP="0049200A">
      <w:pPr>
        <w:pStyle w:val="4-SubsectionHeading"/>
        <w:rPr>
          <w:lang w:eastAsia="en-AU"/>
        </w:rPr>
      </w:pPr>
      <w:bookmarkStart w:id="32" w:name="_Toc198630216"/>
      <w:bookmarkStart w:id="33" w:name="_Toc198724794"/>
      <w:r w:rsidRPr="00C9624D">
        <w:rPr>
          <w:lang w:eastAsia="en-AU"/>
        </w:rPr>
        <w:t xml:space="preserve">Clinical </w:t>
      </w:r>
      <w:r>
        <w:rPr>
          <w:lang w:eastAsia="en-AU"/>
        </w:rPr>
        <w:t>studies</w:t>
      </w:r>
      <w:bookmarkEnd w:id="32"/>
      <w:bookmarkEnd w:id="33"/>
    </w:p>
    <w:p w14:paraId="445851D2" w14:textId="7B13AE98" w:rsidR="00F311C7" w:rsidRPr="008734D2" w:rsidRDefault="00F311C7" w:rsidP="0049200A">
      <w:pPr>
        <w:pStyle w:val="3-BodyText"/>
      </w:pPr>
      <w:r>
        <w:t>There</w:t>
      </w:r>
      <w:r w:rsidRPr="00F746D6">
        <w:t xml:space="preserve"> are no direct head-to-head double</w:t>
      </w:r>
      <w:r w:rsidR="00776720">
        <w:t>-</w:t>
      </w:r>
      <w:r w:rsidRPr="00F746D6">
        <w:t xml:space="preserve">blind </w:t>
      </w:r>
      <w:r>
        <w:t>randomised</w:t>
      </w:r>
      <w:r w:rsidR="00776720">
        <w:t xml:space="preserve"> </w:t>
      </w:r>
      <w:r>
        <w:t>controlled trials (</w:t>
      </w:r>
      <w:r w:rsidRPr="00F746D6">
        <w:t>RCTs</w:t>
      </w:r>
      <w:r>
        <w:t>)</w:t>
      </w:r>
      <w:r w:rsidRPr="00F746D6">
        <w:t xml:space="preserve"> comparing Xeomin </w:t>
      </w:r>
      <w:r w:rsidRPr="008734D2">
        <w:t>and Botox for upper and lower limb spasticity in the paediatric or adult populations.</w:t>
      </w:r>
    </w:p>
    <w:p w14:paraId="2BD7DD8E" w14:textId="1EDCC673" w:rsidR="009032BC" w:rsidRPr="008734D2" w:rsidRDefault="009032BC" w:rsidP="0049200A">
      <w:pPr>
        <w:pStyle w:val="3-BodyText"/>
        <w:spacing w:before="120" w:after="120"/>
      </w:pPr>
      <w:r w:rsidRPr="008734D2">
        <w:t xml:space="preserve">The submission was based on </w:t>
      </w:r>
      <w:r w:rsidR="00DB54EB">
        <w:t>2</w:t>
      </w:r>
      <w:r w:rsidRPr="008734D2">
        <w:t xml:space="preserve"> pivotal phase 3 double-blind RCTs. The submission also presented data from one phase 3 open-label study and one prospective phase IV open-label study:</w:t>
      </w:r>
    </w:p>
    <w:p w14:paraId="135B4F9B" w14:textId="6EAC8764" w:rsidR="009032BC" w:rsidRPr="00F746D6" w:rsidRDefault="009032BC" w:rsidP="0049200A">
      <w:pPr>
        <w:pStyle w:val="3-BodyText"/>
        <w:numPr>
          <w:ilvl w:val="0"/>
          <w:numId w:val="27"/>
        </w:numPr>
        <w:spacing w:before="120" w:after="120"/>
      </w:pPr>
      <w:r w:rsidRPr="008734D2">
        <w:t>TIM: A phase 3, prospective</w:t>
      </w:r>
      <w:r w:rsidRPr="00F746D6">
        <w:t xml:space="preserve">, multicentre, randomised, double-blind, parallel-group, dose-response </w:t>
      </w:r>
      <w:r w:rsidR="00356BC8">
        <w:t>trial</w:t>
      </w:r>
      <w:r w:rsidRPr="00F746D6">
        <w:t xml:space="preserve"> evaluating the safety and efficacy of </w:t>
      </w:r>
      <w:r w:rsidR="00691809">
        <w:t>3</w:t>
      </w:r>
      <w:r w:rsidRPr="00F746D6">
        <w:t xml:space="preserve"> doses of Xeomin</w:t>
      </w:r>
      <w:r>
        <w:t xml:space="preserve"> (100</w:t>
      </w:r>
      <w:r w:rsidR="00002AD7">
        <w:t xml:space="preserve"> </w:t>
      </w:r>
      <w:r>
        <w:t>U, 200</w:t>
      </w:r>
      <w:r w:rsidR="00002AD7">
        <w:t xml:space="preserve"> </w:t>
      </w:r>
      <w:r>
        <w:t xml:space="preserve">U, </w:t>
      </w:r>
      <w:r w:rsidR="00002AD7">
        <w:t>400 U</w:t>
      </w:r>
      <w:r>
        <w:t>)</w:t>
      </w:r>
      <w:r w:rsidRPr="00F746D6">
        <w:t xml:space="preserve"> for the treatment of lower limb spasticity in children and adolescents (age 2-17 years) with cerebral palsy (N=311)</w:t>
      </w:r>
      <w:r>
        <w:t>.</w:t>
      </w:r>
    </w:p>
    <w:p w14:paraId="31099792" w14:textId="0B70A038" w:rsidR="009032BC" w:rsidRPr="00F746D6" w:rsidRDefault="009032BC" w:rsidP="0049200A">
      <w:pPr>
        <w:pStyle w:val="3-BodyText"/>
        <w:numPr>
          <w:ilvl w:val="0"/>
          <w:numId w:val="27"/>
        </w:numPr>
        <w:spacing w:before="120" w:after="120"/>
      </w:pPr>
      <w:r w:rsidRPr="00F746D6">
        <w:t xml:space="preserve">XARA: A </w:t>
      </w:r>
      <w:r>
        <w:t>ph</w:t>
      </w:r>
      <w:r w:rsidRPr="00F746D6">
        <w:t xml:space="preserve">ase 3, prospective, multicentre, multi-national, randomised, double-blind, parallel-group, dose-response </w:t>
      </w:r>
      <w:r w:rsidR="009246DD">
        <w:t>trial</w:t>
      </w:r>
      <w:r w:rsidRPr="00F746D6">
        <w:t xml:space="preserve"> to investigate efficacy and safety of Xeomin</w:t>
      </w:r>
      <w:r>
        <w:t xml:space="preserve"> (50</w:t>
      </w:r>
      <w:r w:rsidR="00002AD7">
        <w:t xml:space="preserve"> </w:t>
      </w:r>
      <w:r>
        <w:t>U, 150</w:t>
      </w:r>
      <w:r w:rsidR="00002AD7">
        <w:t xml:space="preserve"> </w:t>
      </w:r>
      <w:r>
        <w:t>U, 200</w:t>
      </w:r>
      <w:r w:rsidR="00002AD7">
        <w:t xml:space="preserve"> </w:t>
      </w:r>
      <w:r>
        <w:t>U)</w:t>
      </w:r>
      <w:r w:rsidRPr="00F746D6">
        <w:t xml:space="preserve"> for the treatment of upper limb spasticity alone or combined upper and lower limb spasticity in children and adolescents (age 2-17 years) with cerebral palsy (N=</w:t>
      </w:r>
      <w:r w:rsidRPr="00436150">
        <w:t>35</w:t>
      </w:r>
      <w:r w:rsidR="00436150">
        <w:t>0</w:t>
      </w:r>
      <w:r w:rsidRPr="00F746D6">
        <w:t>)</w:t>
      </w:r>
      <w:r>
        <w:t>.</w:t>
      </w:r>
    </w:p>
    <w:p w14:paraId="0A702F83" w14:textId="0654C6DD" w:rsidR="009032BC" w:rsidRDefault="009032BC" w:rsidP="0049200A">
      <w:pPr>
        <w:pStyle w:val="3-BodyText"/>
        <w:numPr>
          <w:ilvl w:val="0"/>
          <w:numId w:val="27"/>
        </w:numPr>
        <w:spacing w:before="120" w:after="120"/>
      </w:pPr>
      <w:r w:rsidRPr="00F746D6">
        <w:t>TIMO: A</w:t>
      </w:r>
      <w:r>
        <w:t xml:space="preserve"> phase 3,</w:t>
      </w:r>
      <w:r w:rsidRPr="00F746D6">
        <w:t xml:space="preserve"> open-label, non-controlled, multicentre long-term study to investigate the safety and efficacy of Xeomin for the treatment of spasticity of the lower limb(s) or of combined spasticity of </w:t>
      </w:r>
      <w:r w:rsidR="00DC1335">
        <w:t xml:space="preserve">the </w:t>
      </w:r>
      <w:r w:rsidRPr="00F746D6">
        <w:t>upper and lower limb</w:t>
      </w:r>
      <w:r w:rsidR="00D6535F">
        <w:t>(s)</w:t>
      </w:r>
      <w:r w:rsidRPr="00F746D6">
        <w:t xml:space="preserve"> in children and adolescents (age 2-</w:t>
      </w:r>
      <w:r w:rsidRPr="009032BC">
        <w:t>17 years) with cerebral palsy (</w:t>
      </w:r>
      <w:r w:rsidRPr="00436150">
        <w:t>N=370</w:t>
      </w:r>
      <w:r w:rsidRPr="009032BC">
        <w:t>).</w:t>
      </w:r>
      <w:r>
        <w:t xml:space="preserve"> </w:t>
      </w:r>
    </w:p>
    <w:p w14:paraId="617EB79E" w14:textId="08D11267" w:rsidR="009032BC" w:rsidRPr="009032BC" w:rsidRDefault="009032BC" w:rsidP="0049200A">
      <w:pPr>
        <w:pStyle w:val="3-BodyText"/>
        <w:numPr>
          <w:ilvl w:val="0"/>
          <w:numId w:val="27"/>
        </w:numPr>
        <w:spacing w:before="120" w:after="120"/>
      </w:pPr>
      <w:r w:rsidRPr="009032BC">
        <w:t xml:space="preserve">R-201212: A phase IV, prospective, open label, comparative, randomised, parallel-group, multicentre (3 study sites located in the Russian Federation) study to assess the clinical and neurophysiological </w:t>
      </w:r>
      <w:r w:rsidRPr="00F746D6">
        <w:t xml:space="preserve">efficacy as well as the safety of Xeomin </w:t>
      </w:r>
      <w:r w:rsidR="00423206">
        <w:t>vs</w:t>
      </w:r>
      <w:r w:rsidRPr="00F746D6">
        <w:t xml:space="preserve"> Botox in children with spastic equinus or equinovarus foot deformation in children (aged 2-12 years) with cerebral palsy (N=64)</w:t>
      </w:r>
      <w:r>
        <w:t>.</w:t>
      </w:r>
    </w:p>
    <w:p w14:paraId="624B9A59" w14:textId="689CF009" w:rsidR="002F24B2" w:rsidRPr="00B97A47" w:rsidRDefault="00A73134" w:rsidP="0049200A">
      <w:pPr>
        <w:pStyle w:val="3-BodyText"/>
        <w:keepLines/>
        <w:suppressAutoHyphens/>
        <w:spacing w:after="0"/>
        <w:jc w:val="left"/>
      </w:pPr>
      <w:r w:rsidRPr="0098262F">
        <w:t xml:space="preserve">Details of the </w:t>
      </w:r>
      <w:r w:rsidR="00D5243B" w:rsidRPr="0098262F">
        <w:t>studies</w:t>
      </w:r>
      <w:r w:rsidRPr="0098262F">
        <w:t xml:space="preserve"> presented in the submission are provided in </w:t>
      </w:r>
      <w:bookmarkStart w:id="34" w:name="_Hlk198638199"/>
      <w:r w:rsidR="003D3943">
        <w:fldChar w:fldCharType="begin"/>
      </w:r>
      <w:r w:rsidR="003D3943">
        <w:instrText xml:space="preserve"> REF _Ref198638151 \h </w:instrText>
      </w:r>
      <w:r w:rsidR="003D3943">
        <w:fldChar w:fldCharType="separate"/>
      </w:r>
      <w:r w:rsidR="00AD57D3">
        <w:t xml:space="preserve">Table </w:t>
      </w:r>
      <w:r w:rsidR="00AD57D3">
        <w:rPr>
          <w:noProof/>
        </w:rPr>
        <w:t>3</w:t>
      </w:r>
      <w:r w:rsidR="003D3943">
        <w:fldChar w:fldCharType="end"/>
      </w:r>
      <w:bookmarkEnd w:id="34"/>
      <w:r w:rsidRPr="0098262F">
        <w:t>.</w:t>
      </w:r>
      <w:bookmarkStart w:id="35" w:name="_Ref104803956"/>
    </w:p>
    <w:p w14:paraId="18703119" w14:textId="2147E2A9" w:rsidR="00154D59" w:rsidRDefault="00154D59" w:rsidP="0049200A">
      <w:pPr>
        <w:pStyle w:val="TableFigureHeading"/>
      </w:pPr>
      <w:bookmarkStart w:id="36" w:name="_Ref198638151"/>
      <w:bookmarkEnd w:id="35"/>
      <w:r>
        <w:lastRenderedPageBreak/>
        <w:t xml:space="preserve">Table </w:t>
      </w:r>
      <w:r w:rsidR="00A63BF6">
        <w:fldChar w:fldCharType="begin"/>
      </w:r>
      <w:r w:rsidR="00A63BF6">
        <w:instrText xml:space="preserve"> SEQ Table \* ARABIC </w:instrText>
      </w:r>
      <w:r w:rsidR="00A63BF6">
        <w:fldChar w:fldCharType="separate"/>
      </w:r>
      <w:r w:rsidR="00AD57D3">
        <w:rPr>
          <w:noProof/>
        </w:rPr>
        <w:t>3</w:t>
      </w:r>
      <w:r w:rsidR="00A63BF6">
        <w:rPr>
          <w:noProof/>
        </w:rPr>
        <w:fldChar w:fldCharType="end"/>
      </w:r>
      <w:bookmarkEnd w:id="36"/>
      <w:r>
        <w:t xml:space="preserve">: </w:t>
      </w:r>
      <w:r w:rsidRPr="00373E07">
        <w:t>Trials and associated reports presented in the submission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4"/>
        <w:gridCol w:w="5055"/>
        <w:gridCol w:w="2528"/>
      </w:tblGrid>
      <w:tr w:rsidR="009032BC" w:rsidRPr="001D1F8F" w14:paraId="07989D4A" w14:textId="77777777" w:rsidTr="000D36E7">
        <w:tc>
          <w:tcPr>
            <w:tcW w:w="795" w:type="pct"/>
            <w:vAlign w:val="center"/>
          </w:tcPr>
          <w:p w14:paraId="0F94E320" w14:textId="77777777" w:rsidR="009032BC" w:rsidRPr="001D1F8F" w:rsidRDefault="009032BC" w:rsidP="0049200A">
            <w:pPr>
              <w:pStyle w:val="In-tableHeading"/>
              <w:jc w:val="center"/>
            </w:pPr>
            <w:r w:rsidRPr="001D1F8F">
              <w:t>Trial ID</w:t>
            </w:r>
          </w:p>
        </w:tc>
        <w:tc>
          <w:tcPr>
            <w:tcW w:w="2803" w:type="pct"/>
            <w:vAlign w:val="center"/>
          </w:tcPr>
          <w:p w14:paraId="5DDA0D67" w14:textId="77777777" w:rsidR="009032BC" w:rsidRPr="001D1F8F" w:rsidRDefault="009032BC" w:rsidP="0049200A">
            <w:pPr>
              <w:pStyle w:val="In-tableHeading"/>
              <w:jc w:val="center"/>
            </w:pPr>
            <w:r w:rsidRPr="001D1F8F">
              <w:t>Protocol title/ Publication title</w:t>
            </w:r>
          </w:p>
        </w:tc>
        <w:tc>
          <w:tcPr>
            <w:tcW w:w="1402" w:type="pct"/>
            <w:vAlign w:val="center"/>
          </w:tcPr>
          <w:p w14:paraId="11410CE6" w14:textId="4919C12F" w:rsidR="009032BC" w:rsidRPr="001D1F8F" w:rsidRDefault="009032BC" w:rsidP="0049200A">
            <w:pPr>
              <w:pStyle w:val="In-tableHeading"/>
              <w:jc w:val="center"/>
            </w:pPr>
            <w:r w:rsidRPr="001D1F8F">
              <w:t>Publication citation</w:t>
            </w:r>
          </w:p>
        </w:tc>
      </w:tr>
      <w:tr w:rsidR="001D3537" w:rsidRPr="0098262F" w14:paraId="05C44A66" w14:textId="77777777" w:rsidTr="000D36E7">
        <w:tc>
          <w:tcPr>
            <w:tcW w:w="795" w:type="pct"/>
            <w:tcBorders>
              <w:right w:val="nil"/>
            </w:tcBorders>
            <w:vAlign w:val="center"/>
          </w:tcPr>
          <w:p w14:paraId="77D9290C" w14:textId="3176D527" w:rsidR="001D3537" w:rsidRPr="0098262F" w:rsidRDefault="001D3537" w:rsidP="0049200A">
            <w:pPr>
              <w:pStyle w:val="In-tableHeading"/>
              <w:rPr>
                <w:lang w:val="en-AU"/>
              </w:rPr>
            </w:pPr>
            <w:r>
              <w:rPr>
                <w:lang w:val="en-AU"/>
              </w:rPr>
              <w:t>Xeomin</w:t>
            </w:r>
            <w:r w:rsidRPr="001D3537">
              <w:rPr>
                <w:vertAlign w:val="superscript"/>
                <w:lang w:val="en-AU"/>
              </w:rPr>
              <w:t>®</w:t>
            </w:r>
          </w:p>
        </w:tc>
        <w:tc>
          <w:tcPr>
            <w:tcW w:w="2803" w:type="pct"/>
            <w:tcBorders>
              <w:left w:val="nil"/>
              <w:right w:val="nil"/>
            </w:tcBorders>
            <w:vAlign w:val="center"/>
          </w:tcPr>
          <w:p w14:paraId="6108BB87" w14:textId="77777777" w:rsidR="001D3537" w:rsidRPr="0098262F" w:rsidRDefault="001D3537" w:rsidP="0049200A">
            <w:pPr>
              <w:pStyle w:val="In-tableHeading"/>
              <w:jc w:val="center"/>
              <w:rPr>
                <w:lang w:val="en-AU"/>
              </w:rPr>
            </w:pPr>
          </w:p>
        </w:tc>
        <w:tc>
          <w:tcPr>
            <w:tcW w:w="1402" w:type="pct"/>
            <w:tcBorders>
              <w:left w:val="nil"/>
            </w:tcBorders>
            <w:vAlign w:val="center"/>
          </w:tcPr>
          <w:p w14:paraId="270F01C9" w14:textId="77777777" w:rsidR="001D3537" w:rsidRPr="0098262F" w:rsidRDefault="001D3537" w:rsidP="0049200A">
            <w:pPr>
              <w:pStyle w:val="In-tableHeading"/>
              <w:jc w:val="center"/>
              <w:rPr>
                <w:lang w:val="en-AU"/>
              </w:rPr>
            </w:pPr>
          </w:p>
        </w:tc>
      </w:tr>
      <w:tr w:rsidR="00436150" w:rsidRPr="0098262F" w14:paraId="07C8A0D3" w14:textId="77777777" w:rsidTr="000D36E7">
        <w:tc>
          <w:tcPr>
            <w:tcW w:w="795" w:type="pct"/>
            <w:vMerge w:val="restart"/>
            <w:vAlign w:val="center"/>
          </w:tcPr>
          <w:p w14:paraId="04D6C92C" w14:textId="77777777" w:rsidR="00436150" w:rsidRPr="0098262F" w:rsidRDefault="00436150" w:rsidP="0049200A">
            <w:pPr>
              <w:pStyle w:val="TableText0"/>
              <w:rPr>
                <w:szCs w:val="20"/>
              </w:rPr>
            </w:pPr>
            <w:r>
              <w:t>TIM</w:t>
            </w:r>
          </w:p>
        </w:tc>
        <w:tc>
          <w:tcPr>
            <w:tcW w:w="2803" w:type="pct"/>
            <w:tcBorders>
              <w:bottom w:val="nil"/>
            </w:tcBorders>
            <w:vAlign w:val="center"/>
          </w:tcPr>
          <w:p w14:paraId="3EF053AF" w14:textId="4D3DDDA0" w:rsidR="00436150" w:rsidRPr="0098262F" w:rsidRDefault="00436150" w:rsidP="0049200A">
            <w:pPr>
              <w:pStyle w:val="TableText0"/>
            </w:pPr>
            <w:r>
              <w:t xml:space="preserve">Phase 3, Prospective, multicentre, randomized, double-blind, parallel-group, dose-response study of three doses Xeomin (incobotulinumtoxinA, NT 201) </w:t>
            </w:r>
            <w:bookmarkStart w:id="37" w:name="_Hlk175562976"/>
            <w:r>
              <w:t>for the treatment of lower limb spasticity in children and adolescents (age 2-17 years) with cerebral palsy</w:t>
            </w:r>
            <w:bookmarkEnd w:id="37"/>
            <w:r>
              <w:t xml:space="preserve">. </w:t>
            </w:r>
          </w:p>
        </w:tc>
        <w:tc>
          <w:tcPr>
            <w:tcW w:w="1402" w:type="pct"/>
            <w:tcBorders>
              <w:bottom w:val="nil"/>
            </w:tcBorders>
            <w:vAlign w:val="center"/>
          </w:tcPr>
          <w:p w14:paraId="24C72AFB" w14:textId="77777777" w:rsidR="00436150" w:rsidRPr="00A66158" w:rsidRDefault="00436150" w:rsidP="0049200A">
            <w:pPr>
              <w:pStyle w:val="TableText0"/>
              <w:rPr>
                <w:rFonts w:ascii="Times" w:hAnsi="Times"/>
              </w:rPr>
            </w:pPr>
            <w:r>
              <w:t xml:space="preserve">CSR, </w:t>
            </w:r>
            <w:r w:rsidRPr="00A66158">
              <w:t>November 2016</w:t>
            </w:r>
          </w:p>
        </w:tc>
      </w:tr>
      <w:tr w:rsidR="00436150" w:rsidRPr="0098262F" w14:paraId="4C256125" w14:textId="77777777" w:rsidTr="000D36E7">
        <w:tc>
          <w:tcPr>
            <w:tcW w:w="795" w:type="pct"/>
            <w:vMerge/>
            <w:vAlign w:val="center"/>
          </w:tcPr>
          <w:p w14:paraId="7AEA36E2" w14:textId="77777777" w:rsidR="00436150" w:rsidRDefault="00436150" w:rsidP="0049200A">
            <w:pPr>
              <w:pStyle w:val="TableText0"/>
              <w:jc w:val="center"/>
            </w:pPr>
          </w:p>
        </w:tc>
        <w:tc>
          <w:tcPr>
            <w:tcW w:w="2803" w:type="pct"/>
            <w:tcBorders>
              <w:top w:val="nil"/>
              <w:bottom w:val="nil"/>
            </w:tcBorders>
            <w:vAlign w:val="center"/>
          </w:tcPr>
          <w:p w14:paraId="06486C59" w14:textId="4C9203F3" w:rsidR="00436150" w:rsidRDefault="00436150" w:rsidP="0049200A">
            <w:pPr>
              <w:pStyle w:val="TableText0"/>
            </w:pPr>
            <w:r w:rsidRPr="00436150">
              <w:t>Heinen F, Kanovský P, Schroeder AS, Chambers HG, Dabrowski E, Geister TL, Hanschmann A, Martinez-Torres FJ, Pulte I, Banach M, Gaebler-Spira D. IncobotulinumtoxinA for the treatment of lower-limb spasticity in children and adolescents with cerebral palsy: A phase 3 study</w:t>
            </w:r>
          </w:p>
        </w:tc>
        <w:tc>
          <w:tcPr>
            <w:tcW w:w="1402" w:type="pct"/>
            <w:tcBorders>
              <w:top w:val="nil"/>
              <w:bottom w:val="nil"/>
            </w:tcBorders>
            <w:vAlign w:val="center"/>
          </w:tcPr>
          <w:p w14:paraId="237149B5" w14:textId="3A9507FC" w:rsidR="00436150" w:rsidRPr="008603EF" w:rsidRDefault="00436150" w:rsidP="0049200A">
            <w:pPr>
              <w:pStyle w:val="TableText0"/>
            </w:pPr>
            <w:r w:rsidRPr="008603EF">
              <w:t>Journal of pediatric rehabilitation medicine. 2021 Jun 25;14(2):183-97</w:t>
            </w:r>
          </w:p>
        </w:tc>
      </w:tr>
      <w:tr w:rsidR="009650D9" w:rsidRPr="0098262F" w14:paraId="14750A6A" w14:textId="77777777" w:rsidTr="000D36E7">
        <w:tc>
          <w:tcPr>
            <w:tcW w:w="795" w:type="pct"/>
            <w:vMerge w:val="restart"/>
            <w:vAlign w:val="center"/>
          </w:tcPr>
          <w:p w14:paraId="36CE76A0" w14:textId="77777777" w:rsidR="009650D9" w:rsidRPr="0098262F" w:rsidRDefault="009650D9" w:rsidP="0049200A">
            <w:pPr>
              <w:pStyle w:val="TableText0"/>
              <w:rPr>
                <w:rFonts w:ascii="Times" w:hAnsi="Times"/>
              </w:rPr>
            </w:pPr>
            <w:r>
              <w:t>XARA</w:t>
            </w:r>
          </w:p>
        </w:tc>
        <w:tc>
          <w:tcPr>
            <w:tcW w:w="2803" w:type="pct"/>
            <w:tcBorders>
              <w:bottom w:val="nil"/>
            </w:tcBorders>
            <w:vAlign w:val="center"/>
          </w:tcPr>
          <w:p w14:paraId="29A9A5E7" w14:textId="25189076" w:rsidR="009650D9" w:rsidRPr="0098262F" w:rsidRDefault="009650D9" w:rsidP="0049200A">
            <w:pPr>
              <w:pStyle w:val="TableText0"/>
              <w:rPr>
                <w:rFonts w:ascii="Times" w:hAnsi="Times"/>
              </w:rPr>
            </w:pPr>
            <w:r>
              <w:t xml:space="preserve">Phase 3, Prospective, multicentre, randomized, double-blind, parallel-group, dose-response study of three doses Xeomin (IncobotulinumtoxinA, NT 201) for the treatment of upper limb spasticity alone or combined upper and lower limb spasticity in children and adolescents (age 2-17 years) with cerebral palsy. </w:t>
            </w:r>
          </w:p>
        </w:tc>
        <w:tc>
          <w:tcPr>
            <w:tcW w:w="1402" w:type="pct"/>
            <w:tcBorders>
              <w:bottom w:val="nil"/>
            </w:tcBorders>
            <w:vAlign w:val="center"/>
          </w:tcPr>
          <w:p w14:paraId="6C4E5739" w14:textId="77777777" w:rsidR="009650D9" w:rsidRPr="00A66158" w:rsidRDefault="009650D9" w:rsidP="0049200A">
            <w:pPr>
              <w:pStyle w:val="TableText0"/>
            </w:pPr>
            <w:r>
              <w:t xml:space="preserve">CSR, </w:t>
            </w:r>
            <w:r w:rsidRPr="00A66158">
              <w:t>February 2019</w:t>
            </w:r>
          </w:p>
        </w:tc>
      </w:tr>
      <w:tr w:rsidR="009650D9" w:rsidRPr="0098262F" w14:paraId="4B111DE7" w14:textId="77777777" w:rsidTr="000D36E7">
        <w:tc>
          <w:tcPr>
            <w:tcW w:w="795" w:type="pct"/>
            <w:vMerge/>
            <w:vAlign w:val="center"/>
          </w:tcPr>
          <w:p w14:paraId="643F24FB" w14:textId="77777777" w:rsidR="009650D9" w:rsidRDefault="009650D9" w:rsidP="0049200A">
            <w:pPr>
              <w:pStyle w:val="TableText0"/>
              <w:jc w:val="center"/>
            </w:pPr>
          </w:p>
        </w:tc>
        <w:tc>
          <w:tcPr>
            <w:tcW w:w="2803" w:type="pct"/>
            <w:tcBorders>
              <w:top w:val="nil"/>
              <w:bottom w:val="nil"/>
            </w:tcBorders>
            <w:vAlign w:val="center"/>
          </w:tcPr>
          <w:p w14:paraId="657A93B6" w14:textId="1E3D4270" w:rsidR="009650D9" w:rsidRDefault="009650D9" w:rsidP="0049200A">
            <w:pPr>
              <w:pStyle w:val="TableText0"/>
            </w:pPr>
            <w:r w:rsidRPr="009650D9">
              <w:t xml:space="preserve">Dabrowski E, Chambers HG, Gaebler-Spira D, Banach M, Kaňovský P, Dersch H, Althaus M, Geister TL, Heinen F. IncobotulinumtoxinA efficacy/safety in upper-limb spasticity in pediatric cerebral palsy: randomized controlled trial. </w:t>
            </w:r>
          </w:p>
        </w:tc>
        <w:tc>
          <w:tcPr>
            <w:tcW w:w="1402" w:type="pct"/>
            <w:tcBorders>
              <w:top w:val="nil"/>
              <w:bottom w:val="nil"/>
            </w:tcBorders>
            <w:vAlign w:val="center"/>
          </w:tcPr>
          <w:p w14:paraId="2A81A7DA" w14:textId="3EB10E32" w:rsidR="009650D9" w:rsidRPr="008603EF" w:rsidRDefault="009650D9" w:rsidP="0049200A">
            <w:pPr>
              <w:pStyle w:val="TableText0"/>
            </w:pPr>
            <w:r w:rsidRPr="008603EF">
              <w:t>Pediatric neurology. 2021 Oct 1;123:10-20.</w:t>
            </w:r>
          </w:p>
        </w:tc>
      </w:tr>
      <w:tr w:rsidR="009650D9" w:rsidRPr="0098262F" w14:paraId="7F44407F" w14:textId="77777777" w:rsidTr="000D36E7">
        <w:tc>
          <w:tcPr>
            <w:tcW w:w="795" w:type="pct"/>
            <w:vMerge w:val="restart"/>
            <w:vAlign w:val="center"/>
          </w:tcPr>
          <w:p w14:paraId="691D3CC7" w14:textId="77777777" w:rsidR="009650D9" w:rsidRPr="0098262F" w:rsidRDefault="009650D9" w:rsidP="0049200A">
            <w:pPr>
              <w:pStyle w:val="TableText0"/>
            </w:pPr>
            <w:r>
              <w:t>TIMO</w:t>
            </w:r>
          </w:p>
        </w:tc>
        <w:tc>
          <w:tcPr>
            <w:tcW w:w="2803" w:type="pct"/>
            <w:tcBorders>
              <w:bottom w:val="nil"/>
            </w:tcBorders>
            <w:vAlign w:val="center"/>
          </w:tcPr>
          <w:p w14:paraId="21B187F2" w14:textId="2F8CCEFD" w:rsidR="009650D9" w:rsidRPr="0098262F" w:rsidRDefault="009650D9" w:rsidP="0049200A">
            <w:pPr>
              <w:pStyle w:val="TableText0"/>
              <w:rPr>
                <w:rFonts w:ascii="Times" w:hAnsi="Times"/>
              </w:rPr>
            </w:pPr>
            <w:r>
              <w:t>Phase 3, Open-label, non-controlled, multicentre long-term study to investigate the safety and efficacy of Xeomin (incobotulinumtoxinA, NT 201) for the treatment of spasticity of the lower limb(s) or of combined spasticity of upper and lower limb in children with adolescents (age 2-17 years) with cerebral palsy.</w:t>
            </w:r>
          </w:p>
        </w:tc>
        <w:tc>
          <w:tcPr>
            <w:tcW w:w="1402" w:type="pct"/>
            <w:tcBorders>
              <w:bottom w:val="nil"/>
            </w:tcBorders>
            <w:vAlign w:val="center"/>
          </w:tcPr>
          <w:p w14:paraId="32B906BD" w14:textId="77777777" w:rsidR="009650D9" w:rsidRPr="00A66158" w:rsidRDefault="009650D9" w:rsidP="0049200A">
            <w:pPr>
              <w:pStyle w:val="TableText0"/>
              <w:rPr>
                <w:rFonts w:ascii="Times" w:hAnsi="Times"/>
              </w:rPr>
            </w:pPr>
            <w:r>
              <w:t xml:space="preserve">CSR, </w:t>
            </w:r>
            <w:r w:rsidRPr="00A66158">
              <w:t>June 2017</w:t>
            </w:r>
          </w:p>
        </w:tc>
      </w:tr>
      <w:tr w:rsidR="009650D9" w:rsidRPr="0098262F" w14:paraId="0ED96227" w14:textId="77777777" w:rsidTr="000D36E7">
        <w:tc>
          <w:tcPr>
            <w:tcW w:w="795" w:type="pct"/>
            <w:vMerge/>
            <w:vAlign w:val="center"/>
          </w:tcPr>
          <w:p w14:paraId="46F1D719" w14:textId="77777777" w:rsidR="009650D9" w:rsidRDefault="009650D9" w:rsidP="0049200A">
            <w:pPr>
              <w:pStyle w:val="TableText0"/>
              <w:jc w:val="center"/>
            </w:pPr>
          </w:p>
        </w:tc>
        <w:tc>
          <w:tcPr>
            <w:tcW w:w="2803" w:type="pct"/>
            <w:tcBorders>
              <w:top w:val="nil"/>
              <w:bottom w:val="nil"/>
            </w:tcBorders>
            <w:vAlign w:val="center"/>
          </w:tcPr>
          <w:p w14:paraId="46D5A9A8" w14:textId="24CFC0AF" w:rsidR="009650D9" w:rsidRDefault="009650D9" w:rsidP="0049200A">
            <w:pPr>
              <w:pStyle w:val="TableText0"/>
            </w:pPr>
            <w:r w:rsidRPr="009650D9">
              <w:t xml:space="preserve">Kaňovský P, Heinen F, Schroeder AS, Chambers HG, Dabrowski E, Geister TL, Hanschmann A, Martinez-Torres FJ, Pulte I, Banach M, Gaebler-Spira D. Safety and efficacy of repeat long-term incobotulinumtoxinA treatment for lower limb or combined upper/lower limb spasticity in children with cerebral palsy. </w:t>
            </w:r>
          </w:p>
        </w:tc>
        <w:tc>
          <w:tcPr>
            <w:tcW w:w="1402" w:type="pct"/>
            <w:tcBorders>
              <w:top w:val="nil"/>
              <w:bottom w:val="nil"/>
            </w:tcBorders>
            <w:vAlign w:val="center"/>
          </w:tcPr>
          <w:p w14:paraId="0DDA6821" w14:textId="44039046" w:rsidR="009650D9" w:rsidRPr="00BD7E63" w:rsidRDefault="009650D9" w:rsidP="0049200A">
            <w:pPr>
              <w:pStyle w:val="TableText0"/>
            </w:pPr>
            <w:r w:rsidRPr="00BD7E63">
              <w:t>Journal of pediatric rehabilitation medicine. 2022 Mar 29;15(1):113-27.</w:t>
            </w:r>
          </w:p>
        </w:tc>
      </w:tr>
      <w:tr w:rsidR="009650D9" w:rsidRPr="0098262F" w14:paraId="09D10DEC" w14:textId="77777777" w:rsidTr="000D36E7">
        <w:tc>
          <w:tcPr>
            <w:tcW w:w="795" w:type="pct"/>
            <w:vMerge w:val="restart"/>
            <w:tcBorders>
              <w:top w:val="single" w:sz="4" w:space="0" w:color="auto"/>
            </w:tcBorders>
            <w:vAlign w:val="center"/>
          </w:tcPr>
          <w:p w14:paraId="786B3F0B" w14:textId="77777777" w:rsidR="009650D9" w:rsidRPr="0098262F" w:rsidRDefault="009650D9" w:rsidP="0049200A">
            <w:pPr>
              <w:pStyle w:val="Tabletext"/>
              <w:keepNext/>
              <w:keepLines/>
            </w:pPr>
            <w:r>
              <w:t>R-201212</w:t>
            </w:r>
          </w:p>
        </w:tc>
        <w:tc>
          <w:tcPr>
            <w:tcW w:w="2803" w:type="pct"/>
            <w:tcBorders>
              <w:top w:val="single" w:sz="4" w:space="0" w:color="auto"/>
              <w:bottom w:val="nil"/>
            </w:tcBorders>
            <w:vAlign w:val="center"/>
          </w:tcPr>
          <w:p w14:paraId="455E9363" w14:textId="23756B8A" w:rsidR="009650D9" w:rsidRPr="0098262F" w:rsidRDefault="009650D9" w:rsidP="0049200A">
            <w:pPr>
              <w:pStyle w:val="TableText0"/>
            </w:pPr>
            <w:r>
              <w:t>Phase IV, multicentre, open, comparative randomized trial of clinical and neurophysiological efficacy and safety of Xeomin (botulinum toxin type A) vs. Botox (complex of botulinum toxin type A and hemagglutinin) in children with spastic equine and equinovarus foot deformation in paediatric (age 2-12 years) cerebral palsy.</w:t>
            </w:r>
          </w:p>
        </w:tc>
        <w:tc>
          <w:tcPr>
            <w:tcW w:w="1402" w:type="pct"/>
            <w:tcBorders>
              <w:top w:val="single" w:sz="4" w:space="0" w:color="auto"/>
              <w:bottom w:val="nil"/>
            </w:tcBorders>
            <w:vAlign w:val="center"/>
          </w:tcPr>
          <w:p w14:paraId="584929AF" w14:textId="77777777" w:rsidR="009650D9" w:rsidRPr="00A66158" w:rsidRDefault="009650D9" w:rsidP="0049200A">
            <w:pPr>
              <w:pStyle w:val="TableText0"/>
            </w:pPr>
            <w:r>
              <w:t xml:space="preserve">CSR, </w:t>
            </w:r>
            <w:r w:rsidRPr="00A66158">
              <w:t>November 2017</w:t>
            </w:r>
          </w:p>
        </w:tc>
      </w:tr>
      <w:tr w:rsidR="009650D9" w:rsidRPr="0098262F" w14:paraId="02A5C7FE" w14:textId="77777777" w:rsidTr="000D36E7">
        <w:tc>
          <w:tcPr>
            <w:tcW w:w="795" w:type="pct"/>
            <w:vMerge/>
            <w:tcBorders>
              <w:bottom w:val="single" w:sz="4" w:space="0" w:color="auto"/>
            </w:tcBorders>
            <w:vAlign w:val="center"/>
          </w:tcPr>
          <w:p w14:paraId="0E325612" w14:textId="77777777" w:rsidR="009650D9" w:rsidRDefault="009650D9" w:rsidP="0049200A">
            <w:pPr>
              <w:pStyle w:val="Tabletext"/>
              <w:keepNext/>
              <w:keepLines/>
              <w:jc w:val="center"/>
            </w:pPr>
          </w:p>
        </w:tc>
        <w:tc>
          <w:tcPr>
            <w:tcW w:w="2803" w:type="pct"/>
            <w:tcBorders>
              <w:top w:val="nil"/>
              <w:bottom w:val="single" w:sz="4" w:space="0" w:color="auto"/>
            </w:tcBorders>
            <w:vAlign w:val="center"/>
          </w:tcPr>
          <w:p w14:paraId="3C1CAC42" w14:textId="1B2485D0" w:rsidR="009650D9" w:rsidRDefault="009650D9" w:rsidP="0049200A">
            <w:pPr>
              <w:pStyle w:val="TableText0"/>
            </w:pPr>
            <w:r w:rsidRPr="009650D9">
              <w:t xml:space="preserve">Kurenkov AL, Klochkova OA, Bursagova BI, Karimova HM, Kuzenkova LM, Mamedyarov AM, Namazova-Baranova LS, Agranovich OV, Agranovich AO, Soboleva OA, Khapaeva MM. Efficacy and safety of botulinum toxin type A (IncobotulinumtoxinA) in the treatment of patients with cerebral palsy. </w:t>
            </w:r>
          </w:p>
        </w:tc>
        <w:tc>
          <w:tcPr>
            <w:tcW w:w="1402" w:type="pct"/>
            <w:tcBorders>
              <w:top w:val="nil"/>
              <w:bottom w:val="single" w:sz="4" w:space="0" w:color="auto"/>
            </w:tcBorders>
            <w:vAlign w:val="center"/>
          </w:tcPr>
          <w:p w14:paraId="330930E6" w14:textId="6DAF74F5" w:rsidR="009650D9" w:rsidRPr="00004826" w:rsidRDefault="009650D9" w:rsidP="0049200A">
            <w:pPr>
              <w:pStyle w:val="TableText0"/>
            </w:pPr>
            <w:r w:rsidRPr="00004826">
              <w:rPr>
                <w:lang w:val="pt-BR"/>
              </w:rPr>
              <w:t xml:space="preserve">Zhurnal nevrologii i psikhiatrii imeni SS Korsakova. </w:t>
            </w:r>
            <w:r w:rsidRPr="00004826">
              <w:t>2017 Jan 1;117(11):37-44. (Publication in Russian)</w:t>
            </w:r>
          </w:p>
        </w:tc>
      </w:tr>
      <w:tr w:rsidR="001D3537" w:rsidRPr="0098262F" w14:paraId="645019DE" w14:textId="77777777" w:rsidTr="000D36E7">
        <w:trPr>
          <w:trHeight w:val="126"/>
        </w:trPr>
        <w:tc>
          <w:tcPr>
            <w:tcW w:w="795" w:type="pct"/>
            <w:tcBorders>
              <w:right w:val="nil"/>
            </w:tcBorders>
            <w:vAlign w:val="center"/>
          </w:tcPr>
          <w:p w14:paraId="35EC8803" w14:textId="4FE89A9D" w:rsidR="001D3537" w:rsidRPr="00207D39" w:rsidRDefault="001D3537" w:rsidP="0049200A">
            <w:pPr>
              <w:pStyle w:val="In-tableHeading"/>
              <w:rPr>
                <w:lang w:val="en-AU"/>
              </w:rPr>
            </w:pPr>
            <w:r w:rsidRPr="00207D39">
              <w:rPr>
                <w:lang w:val="en-AU"/>
              </w:rPr>
              <w:t>Botox</w:t>
            </w:r>
            <w:r w:rsidRPr="00207D39">
              <w:rPr>
                <w:vertAlign w:val="superscript"/>
                <w:lang w:val="en-AU"/>
              </w:rPr>
              <w:t>®</w:t>
            </w:r>
          </w:p>
        </w:tc>
        <w:tc>
          <w:tcPr>
            <w:tcW w:w="2803" w:type="pct"/>
            <w:tcBorders>
              <w:top w:val="single" w:sz="4" w:space="0" w:color="auto"/>
              <w:left w:val="nil"/>
              <w:bottom w:val="single" w:sz="4" w:space="0" w:color="auto"/>
              <w:right w:val="nil"/>
            </w:tcBorders>
            <w:vAlign w:val="center"/>
          </w:tcPr>
          <w:p w14:paraId="4E2ABA53" w14:textId="77777777" w:rsidR="001D3537" w:rsidRPr="00207D39" w:rsidRDefault="001D3537" w:rsidP="0049200A">
            <w:pPr>
              <w:pStyle w:val="In-tableHeading"/>
              <w:rPr>
                <w:lang w:val="en-AU"/>
              </w:rPr>
            </w:pPr>
          </w:p>
        </w:tc>
        <w:tc>
          <w:tcPr>
            <w:tcW w:w="1402" w:type="pct"/>
            <w:tcBorders>
              <w:top w:val="single" w:sz="4" w:space="0" w:color="auto"/>
              <w:left w:val="nil"/>
              <w:bottom w:val="single" w:sz="4" w:space="0" w:color="auto"/>
            </w:tcBorders>
            <w:vAlign w:val="center"/>
          </w:tcPr>
          <w:p w14:paraId="583AD6D2" w14:textId="77777777" w:rsidR="001D3537" w:rsidRPr="00207D39" w:rsidRDefault="001D3537" w:rsidP="0049200A">
            <w:pPr>
              <w:pStyle w:val="In-tableHeading"/>
              <w:rPr>
                <w:lang w:val="en-AU"/>
              </w:rPr>
            </w:pPr>
          </w:p>
        </w:tc>
      </w:tr>
      <w:tr w:rsidR="00DD7561" w:rsidRPr="0098262F" w14:paraId="251B18DA" w14:textId="77777777" w:rsidTr="000D36E7">
        <w:tc>
          <w:tcPr>
            <w:tcW w:w="795" w:type="pct"/>
            <w:vAlign w:val="center"/>
          </w:tcPr>
          <w:p w14:paraId="00884347" w14:textId="73A63B06" w:rsidR="00DD7561" w:rsidRDefault="00600062" w:rsidP="0049200A">
            <w:pPr>
              <w:pStyle w:val="Tabletext"/>
              <w:keepNext/>
              <w:keepLines/>
            </w:pPr>
            <w:r>
              <w:t>Flett</w:t>
            </w:r>
            <w:r w:rsidR="00AE33DD">
              <w:t xml:space="preserve"> 1999</w:t>
            </w:r>
          </w:p>
        </w:tc>
        <w:tc>
          <w:tcPr>
            <w:tcW w:w="2803" w:type="pct"/>
            <w:tcBorders>
              <w:top w:val="single" w:sz="4" w:space="0" w:color="auto"/>
              <w:bottom w:val="single" w:sz="4" w:space="0" w:color="auto"/>
            </w:tcBorders>
            <w:vAlign w:val="center"/>
          </w:tcPr>
          <w:p w14:paraId="0689BB16" w14:textId="5F4DC9ED" w:rsidR="00DD7561" w:rsidRPr="009650D9" w:rsidRDefault="00600062" w:rsidP="0049200A">
            <w:pPr>
              <w:pStyle w:val="TableText0"/>
            </w:pPr>
            <w:r w:rsidRPr="00600062">
              <w:t>Flett PJ, Stern LM, Waddy H, Connell TM, Seeger JD, Gibson SK. Botulinum toxin A versus fixed cast stretching for dynamic calf tightness in cerebral palsy.</w:t>
            </w:r>
            <w:r w:rsidR="00DD7561" w:rsidRPr="00DD7561">
              <w:t xml:space="preserve"> </w:t>
            </w:r>
          </w:p>
        </w:tc>
        <w:tc>
          <w:tcPr>
            <w:tcW w:w="1402" w:type="pct"/>
            <w:tcBorders>
              <w:top w:val="single" w:sz="4" w:space="0" w:color="auto"/>
              <w:bottom w:val="single" w:sz="4" w:space="0" w:color="auto"/>
            </w:tcBorders>
            <w:vAlign w:val="center"/>
          </w:tcPr>
          <w:p w14:paraId="6CDAE89F" w14:textId="44F669A5" w:rsidR="00DD7561" w:rsidRPr="00004826" w:rsidRDefault="00600062" w:rsidP="0049200A">
            <w:pPr>
              <w:pStyle w:val="TableText0"/>
              <w:rPr>
                <w:iCs/>
              </w:rPr>
            </w:pPr>
            <w:r w:rsidRPr="00004826">
              <w:rPr>
                <w:iCs/>
              </w:rPr>
              <w:t xml:space="preserve">Journal of </w:t>
            </w:r>
            <w:r w:rsidR="00AB24C4" w:rsidRPr="00004826">
              <w:rPr>
                <w:iCs/>
              </w:rPr>
              <w:t>p</w:t>
            </w:r>
            <w:r w:rsidRPr="00004826">
              <w:rPr>
                <w:iCs/>
              </w:rPr>
              <w:t xml:space="preserve">aediatrics and </w:t>
            </w:r>
            <w:r w:rsidR="00AB24C4" w:rsidRPr="00004826">
              <w:rPr>
                <w:iCs/>
              </w:rPr>
              <w:t>c</w:t>
            </w:r>
            <w:r w:rsidRPr="00004826">
              <w:rPr>
                <w:iCs/>
              </w:rPr>
              <w:t xml:space="preserve">hild </w:t>
            </w:r>
            <w:r w:rsidR="00AB24C4" w:rsidRPr="00004826">
              <w:rPr>
                <w:iCs/>
              </w:rPr>
              <w:t>h</w:t>
            </w:r>
            <w:r w:rsidRPr="00004826">
              <w:rPr>
                <w:iCs/>
              </w:rPr>
              <w:t>ealth. 1999 Feb;35(1):71-7.</w:t>
            </w:r>
          </w:p>
        </w:tc>
      </w:tr>
      <w:tr w:rsidR="001D3537" w:rsidRPr="0098262F" w14:paraId="6DCF4A76" w14:textId="77777777" w:rsidTr="000D36E7">
        <w:tc>
          <w:tcPr>
            <w:tcW w:w="795" w:type="pct"/>
            <w:vAlign w:val="center"/>
          </w:tcPr>
          <w:p w14:paraId="50FC2489" w14:textId="6CE73757" w:rsidR="001D3537" w:rsidRDefault="006854CF" w:rsidP="0049200A">
            <w:pPr>
              <w:pStyle w:val="Tabletext"/>
              <w:keepNext/>
              <w:keepLines/>
            </w:pPr>
            <w:r>
              <w:t>Fehlings 2000</w:t>
            </w:r>
          </w:p>
        </w:tc>
        <w:tc>
          <w:tcPr>
            <w:tcW w:w="2803" w:type="pct"/>
            <w:tcBorders>
              <w:top w:val="single" w:sz="4" w:space="0" w:color="auto"/>
              <w:bottom w:val="single" w:sz="4" w:space="0" w:color="auto"/>
            </w:tcBorders>
            <w:vAlign w:val="center"/>
          </w:tcPr>
          <w:p w14:paraId="74128CD5" w14:textId="1033CF01" w:rsidR="001D3537" w:rsidRPr="009650D9" w:rsidRDefault="008F260E" w:rsidP="0049200A">
            <w:pPr>
              <w:pStyle w:val="TableText0"/>
            </w:pPr>
            <w:r w:rsidRPr="008F260E">
              <w:t xml:space="preserve">Fehlings D, Rang M, Glazier J, Steele C. An evaluation of botulinum-A toxin injections to improve upper extremity function in children with hemiplegic cerebral palsy. </w:t>
            </w:r>
          </w:p>
        </w:tc>
        <w:tc>
          <w:tcPr>
            <w:tcW w:w="1402" w:type="pct"/>
            <w:tcBorders>
              <w:top w:val="single" w:sz="4" w:space="0" w:color="auto"/>
              <w:bottom w:val="single" w:sz="4" w:space="0" w:color="auto"/>
            </w:tcBorders>
            <w:vAlign w:val="center"/>
          </w:tcPr>
          <w:p w14:paraId="06B1CB42" w14:textId="088AD679" w:rsidR="001D3537" w:rsidRPr="00004826" w:rsidRDefault="008F260E" w:rsidP="0049200A">
            <w:pPr>
              <w:pStyle w:val="TableText0"/>
              <w:rPr>
                <w:iCs/>
              </w:rPr>
            </w:pPr>
            <w:r w:rsidRPr="00004826">
              <w:rPr>
                <w:iCs/>
              </w:rPr>
              <w:t xml:space="preserve">The Journal of </w:t>
            </w:r>
            <w:r w:rsidR="00AB24C4" w:rsidRPr="00004826">
              <w:rPr>
                <w:iCs/>
              </w:rPr>
              <w:t>p</w:t>
            </w:r>
            <w:r w:rsidRPr="00004826">
              <w:rPr>
                <w:iCs/>
              </w:rPr>
              <w:t>ediatrics. 2000 Sep 1;137(3):331-7.</w:t>
            </w:r>
          </w:p>
        </w:tc>
      </w:tr>
      <w:tr w:rsidR="00C70DA7" w:rsidRPr="0098262F" w14:paraId="663DFAF1" w14:textId="77777777" w:rsidTr="000D36E7">
        <w:tc>
          <w:tcPr>
            <w:tcW w:w="795" w:type="pct"/>
            <w:vAlign w:val="center"/>
          </w:tcPr>
          <w:p w14:paraId="62329ED8" w14:textId="735F2BE4" w:rsidR="00C70DA7" w:rsidRDefault="005F5C05" w:rsidP="0049200A">
            <w:pPr>
              <w:pStyle w:val="Tabletext"/>
              <w:keepNext/>
              <w:keepLines/>
            </w:pPr>
            <w:r>
              <w:lastRenderedPageBreak/>
              <w:t>Lowe 2006</w:t>
            </w:r>
          </w:p>
        </w:tc>
        <w:tc>
          <w:tcPr>
            <w:tcW w:w="2803" w:type="pct"/>
            <w:tcBorders>
              <w:top w:val="single" w:sz="4" w:space="0" w:color="auto"/>
              <w:bottom w:val="single" w:sz="4" w:space="0" w:color="auto"/>
            </w:tcBorders>
            <w:vAlign w:val="center"/>
          </w:tcPr>
          <w:p w14:paraId="4B04B7A2" w14:textId="45E8405D" w:rsidR="00C70DA7" w:rsidRPr="00C70DA7" w:rsidRDefault="0079023C" w:rsidP="0049200A">
            <w:pPr>
              <w:pStyle w:val="TableText0"/>
            </w:pPr>
            <w:r w:rsidRPr="0079023C">
              <w:t xml:space="preserve">Lowe K, Novak I, Cusick A. Low-dose/high-concentration localized botulinum toxin A improves upper limb movement and function in children with hemiplegic cerebral palsy. </w:t>
            </w:r>
          </w:p>
        </w:tc>
        <w:tc>
          <w:tcPr>
            <w:tcW w:w="1402" w:type="pct"/>
            <w:tcBorders>
              <w:top w:val="single" w:sz="4" w:space="0" w:color="auto"/>
              <w:bottom w:val="single" w:sz="4" w:space="0" w:color="auto"/>
            </w:tcBorders>
            <w:vAlign w:val="center"/>
          </w:tcPr>
          <w:p w14:paraId="0F05A2AA" w14:textId="502E0D93" w:rsidR="00C70DA7" w:rsidRPr="00004826" w:rsidRDefault="0079023C" w:rsidP="0049200A">
            <w:pPr>
              <w:pStyle w:val="TableText0"/>
              <w:rPr>
                <w:iCs/>
              </w:rPr>
            </w:pPr>
            <w:r w:rsidRPr="00004826">
              <w:rPr>
                <w:iCs/>
              </w:rPr>
              <w:t>Developmental medicine and child neurology. 2006 Mar;48(3):170-5.</w:t>
            </w:r>
          </w:p>
        </w:tc>
      </w:tr>
      <w:tr w:rsidR="00E22151" w:rsidRPr="0098262F" w14:paraId="439AA7CB" w14:textId="77777777" w:rsidTr="000D36E7">
        <w:tc>
          <w:tcPr>
            <w:tcW w:w="795" w:type="pct"/>
            <w:vAlign w:val="center"/>
          </w:tcPr>
          <w:p w14:paraId="62BBA8AE" w14:textId="333FB80B" w:rsidR="00E22151" w:rsidRDefault="003C1794" w:rsidP="0049200A">
            <w:pPr>
              <w:pStyle w:val="Tabletext"/>
              <w:keepNext/>
              <w:keepLines/>
            </w:pPr>
            <w:r>
              <w:t>Russo 2007</w:t>
            </w:r>
          </w:p>
        </w:tc>
        <w:tc>
          <w:tcPr>
            <w:tcW w:w="2803" w:type="pct"/>
            <w:tcBorders>
              <w:top w:val="single" w:sz="4" w:space="0" w:color="auto"/>
              <w:bottom w:val="single" w:sz="4" w:space="0" w:color="auto"/>
            </w:tcBorders>
            <w:vAlign w:val="center"/>
          </w:tcPr>
          <w:p w14:paraId="54430502" w14:textId="3A21E9F5" w:rsidR="00E22151" w:rsidRPr="002C79CF" w:rsidRDefault="001363AA" w:rsidP="0049200A">
            <w:pPr>
              <w:pStyle w:val="TableText0"/>
            </w:pPr>
            <w:r w:rsidRPr="001363AA">
              <w:t xml:space="preserve">Russo RN, Crotty M, Miller MD, Murchland S, Flett P, Haan E. Upper-limb botulinum toxin A injection and occupational therapy in children with hemiplegic cerebral palsy identified from a population register: a single-blind, randomized, controlled trial. </w:t>
            </w:r>
          </w:p>
        </w:tc>
        <w:tc>
          <w:tcPr>
            <w:tcW w:w="1402" w:type="pct"/>
            <w:tcBorders>
              <w:top w:val="single" w:sz="4" w:space="0" w:color="auto"/>
              <w:bottom w:val="single" w:sz="4" w:space="0" w:color="auto"/>
            </w:tcBorders>
            <w:vAlign w:val="center"/>
          </w:tcPr>
          <w:p w14:paraId="2A2409DA" w14:textId="3936750B" w:rsidR="00E22151" w:rsidRPr="00004826" w:rsidRDefault="001363AA" w:rsidP="0049200A">
            <w:pPr>
              <w:pStyle w:val="TableText0"/>
              <w:rPr>
                <w:iCs/>
              </w:rPr>
            </w:pPr>
            <w:r w:rsidRPr="00004826">
              <w:rPr>
                <w:iCs/>
                <w:lang w:val="pt-BR"/>
              </w:rPr>
              <w:t>Pediatrics. 2007 May 1;119(5):e1149-58.</w:t>
            </w:r>
          </w:p>
        </w:tc>
      </w:tr>
    </w:tbl>
    <w:p w14:paraId="51D8173A" w14:textId="4B9C4552" w:rsidR="008E0D3C" w:rsidRDefault="008E0D3C" w:rsidP="0049200A">
      <w:pPr>
        <w:pStyle w:val="FooterTableFigure"/>
      </w:pPr>
      <w:r w:rsidRPr="0098262F">
        <w:t xml:space="preserve">Source: </w:t>
      </w:r>
      <w:r w:rsidR="009032BC">
        <w:t>CSR= Clinical Study Reports</w:t>
      </w:r>
      <w:r w:rsidR="004A0807">
        <w:t>;</w:t>
      </w:r>
      <w:r w:rsidR="009650D9">
        <w:t xml:space="preserve"> Table</w:t>
      </w:r>
      <w:r w:rsidR="004A0807">
        <w:t>s</w:t>
      </w:r>
      <w:r w:rsidR="009650D9">
        <w:t xml:space="preserve"> 2.2.2</w:t>
      </w:r>
      <w:r w:rsidR="004A0807">
        <w:t xml:space="preserve"> and 2.2.3</w:t>
      </w:r>
      <w:r w:rsidR="009650D9">
        <w:t>, p</w:t>
      </w:r>
      <w:r w:rsidR="004A0807">
        <w:t>p</w:t>
      </w:r>
      <w:r w:rsidR="009650D9">
        <w:t>25</w:t>
      </w:r>
      <w:r w:rsidR="004A0807">
        <w:t>-2</w:t>
      </w:r>
      <w:r w:rsidR="00653A8D">
        <w:t>7</w:t>
      </w:r>
      <w:r w:rsidR="009650D9">
        <w:t xml:space="preserve"> of the submission</w:t>
      </w:r>
      <w:r w:rsidR="009032BC">
        <w:t>.</w:t>
      </w:r>
    </w:p>
    <w:p w14:paraId="679DB62B" w14:textId="77777777" w:rsidR="00075DCE" w:rsidRPr="0098262F" w:rsidRDefault="00075DCE" w:rsidP="0049200A">
      <w:pPr>
        <w:pStyle w:val="FooterTableFigure"/>
        <w:rPr>
          <w:sz w:val="20"/>
        </w:rPr>
      </w:pPr>
    </w:p>
    <w:p w14:paraId="1161212F" w14:textId="51EA6FBC" w:rsidR="00662B15" w:rsidRDefault="00662B15" w:rsidP="0049200A">
      <w:pPr>
        <w:pStyle w:val="3-BodyText"/>
        <w:spacing w:before="120" w:after="120"/>
      </w:pPr>
      <w:bookmarkStart w:id="38" w:name="_Toc22897641"/>
      <w:r>
        <w:t xml:space="preserve">The key features of the Botox studies are summarised in </w:t>
      </w:r>
      <w:r w:rsidR="003D3943">
        <w:fldChar w:fldCharType="begin"/>
      </w:r>
      <w:r w:rsidR="003D3943">
        <w:instrText xml:space="preserve"> REF _Ref198638167 \h </w:instrText>
      </w:r>
      <w:r w:rsidR="003D3943">
        <w:fldChar w:fldCharType="separate"/>
      </w:r>
      <w:r w:rsidR="00AD57D3">
        <w:t xml:space="preserve">Table </w:t>
      </w:r>
      <w:r w:rsidR="00AD57D3">
        <w:rPr>
          <w:noProof/>
        </w:rPr>
        <w:t>4</w:t>
      </w:r>
      <w:r w:rsidR="003D3943">
        <w:fldChar w:fldCharType="end"/>
      </w:r>
      <w:r w:rsidR="0075106A">
        <w:t>.</w:t>
      </w:r>
    </w:p>
    <w:p w14:paraId="4ACA0D5A" w14:textId="1B0BDF7B" w:rsidR="00154D59" w:rsidRDefault="00154D59" w:rsidP="0049200A">
      <w:pPr>
        <w:pStyle w:val="TableFigureHeading"/>
      </w:pPr>
      <w:bookmarkStart w:id="39" w:name="_Ref198638167"/>
      <w:r>
        <w:t xml:space="preserve">Table </w:t>
      </w:r>
      <w:r w:rsidR="00A63BF6">
        <w:fldChar w:fldCharType="begin"/>
      </w:r>
      <w:r w:rsidR="00A63BF6">
        <w:instrText xml:space="preserve"> SEQ Table \* ARABIC </w:instrText>
      </w:r>
      <w:r w:rsidR="00A63BF6">
        <w:fldChar w:fldCharType="separate"/>
      </w:r>
      <w:r w:rsidR="00AD57D3">
        <w:rPr>
          <w:noProof/>
        </w:rPr>
        <w:t>4</w:t>
      </w:r>
      <w:r w:rsidR="00A63BF6">
        <w:rPr>
          <w:noProof/>
        </w:rPr>
        <w:fldChar w:fldCharType="end"/>
      </w:r>
      <w:bookmarkEnd w:id="39"/>
      <w:r>
        <w:t xml:space="preserve">: </w:t>
      </w:r>
      <w:r w:rsidRPr="00844068">
        <w:t>Key features of Botox studies used in cross-trial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Botox studies used in cross-trial comparison"/>
      </w:tblPr>
      <w:tblGrid>
        <w:gridCol w:w="1360"/>
        <w:gridCol w:w="851"/>
        <w:gridCol w:w="1533"/>
        <w:gridCol w:w="1019"/>
        <w:gridCol w:w="2213"/>
        <w:gridCol w:w="2041"/>
      </w:tblGrid>
      <w:tr w:rsidR="00702607" w:rsidRPr="0098262F" w14:paraId="7C9A1579" w14:textId="77777777" w:rsidTr="00702607">
        <w:trPr>
          <w:tblHeader/>
        </w:trPr>
        <w:tc>
          <w:tcPr>
            <w:tcW w:w="754" w:type="pct"/>
            <w:vAlign w:val="center"/>
          </w:tcPr>
          <w:p w14:paraId="6FACAF9E" w14:textId="77777777" w:rsidR="00702607" w:rsidRPr="0098262F" w:rsidRDefault="00702607" w:rsidP="0049200A">
            <w:pPr>
              <w:pStyle w:val="In-tableHeading"/>
              <w:rPr>
                <w:lang w:val="en-AU"/>
              </w:rPr>
            </w:pPr>
            <w:r w:rsidRPr="0098262F">
              <w:rPr>
                <w:lang w:val="en-AU"/>
              </w:rPr>
              <w:t>Trial</w:t>
            </w:r>
          </w:p>
        </w:tc>
        <w:tc>
          <w:tcPr>
            <w:tcW w:w="472" w:type="pct"/>
            <w:vAlign w:val="center"/>
          </w:tcPr>
          <w:p w14:paraId="4EDA2D58" w14:textId="77777777" w:rsidR="00702607" w:rsidRPr="0098262F" w:rsidRDefault="00702607" w:rsidP="0049200A">
            <w:pPr>
              <w:pStyle w:val="In-tableHeading"/>
              <w:jc w:val="center"/>
              <w:rPr>
                <w:lang w:val="en-AU"/>
              </w:rPr>
            </w:pPr>
            <w:r w:rsidRPr="0098262F">
              <w:rPr>
                <w:lang w:val="en-AU"/>
              </w:rPr>
              <w:t>N</w:t>
            </w:r>
          </w:p>
        </w:tc>
        <w:tc>
          <w:tcPr>
            <w:tcW w:w="850" w:type="pct"/>
            <w:vAlign w:val="center"/>
          </w:tcPr>
          <w:p w14:paraId="230A6701" w14:textId="77777777" w:rsidR="00702607" w:rsidRPr="0098262F" w:rsidRDefault="00702607" w:rsidP="0049200A">
            <w:pPr>
              <w:pStyle w:val="In-tableHeading"/>
              <w:jc w:val="center"/>
              <w:rPr>
                <w:lang w:val="en-AU"/>
              </w:rPr>
            </w:pPr>
            <w:r w:rsidRPr="0098262F">
              <w:rPr>
                <w:lang w:val="en-AU"/>
              </w:rPr>
              <w:t>Design/ duration</w:t>
            </w:r>
          </w:p>
        </w:tc>
        <w:tc>
          <w:tcPr>
            <w:tcW w:w="565" w:type="pct"/>
            <w:vAlign w:val="center"/>
          </w:tcPr>
          <w:p w14:paraId="611E69A1" w14:textId="77777777" w:rsidR="00702607" w:rsidRPr="0098262F" w:rsidRDefault="00702607" w:rsidP="0049200A">
            <w:pPr>
              <w:pStyle w:val="In-tableHeading"/>
              <w:jc w:val="center"/>
              <w:rPr>
                <w:lang w:val="en-AU"/>
              </w:rPr>
            </w:pPr>
            <w:r w:rsidRPr="0098262F">
              <w:rPr>
                <w:lang w:val="en-AU"/>
              </w:rPr>
              <w:t>Risk of bias</w:t>
            </w:r>
          </w:p>
        </w:tc>
        <w:tc>
          <w:tcPr>
            <w:tcW w:w="1227" w:type="pct"/>
            <w:vAlign w:val="center"/>
          </w:tcPr>
          <w:p w14:paraId="66C71E47" w14:textId="77777777" w:rsidR="00702607" w:rsidRPr="0098262F" w:rsidRDefault="00702607" w:rsidP="0049200A">
            <w:pPr>
              <w:pStyle w:val="In-tableHeading"/>
              <w:jc w:val="center"/>
              <w:rPr>
                <w:lang w:val="en-AU"/>
              </w:rPr>
            </w:pPr>
            <w:r w:rsidRPr="0098262F">
              <w:rPr>
                <w:lang w:val="en-AU"/>
              </w:rPr>
              <w:t>Patient population</w:t>
            </w:r>
          </w:p>
        </w:tc>
        <w:tc>
          <w:tcPr>
            <w:tcW w:w="1132" w:type="pct"/>
            <w:vAlign w:val="center"/>
          </w:tcPr>
          <w:p w14:paraId="7FE16CFF" w14:textId="77777777" w:rsidR="00702607" w:rsidRPr="0098262F" w:rsidRDefault="00702607" w:rsidP="0049200A">
            <w:pPr>
              <w:pStyle w:val="In-tableHeading"/>
              <w:jc w:val="center"/>
              <w:rPr>
                <w:lang w:val="en-AU"/>
              </w:rPr>
            </w:pPr>
            <w:r w:rsidRPr="0098262F">
              <w:rPr>
                <w:lang w:val="en-AU"/>
              </w:rPr>
              <w:t>Outcome(s)</w:t>
            </w:r>
          </w:p>
        </w:tc>
      </w:tr>
      <w:tr w:rsidR="00702607" w:rsidRPr="0098262F" w14:paraId="567C671F" w14:textId="77777777" w:rsidTr="00702607">
        <w:tc>
          <w:tcPr>
            <w:tcW w:w="5000" w:type="pct"/>
            <w:gridSpan w:val="6"/>
            <w:vAlign w:val="center"/>
          </w:tcPr>
          <w:p w14:paraId="3D3E84B4" w14:textId="20DA690B" w:rsidR="00702607" w:rsidRPr="0098262F" w:rsidRDefault="00702607" w:rsidP="0049200A">
            <w:pPr>
              <w:pStyle w:val="In-tableHeading"/>
              <w:rPr>
                <w:lang w:val="en-AU"/>
              </w:rPr>
            </w:pPr>
            <w:r>
              <w:rPr>
                <w:lang w:val="en-AU"/>
              </w:rPr>
              <w:t>Botox vs. no intervention</w:t>
            </w:r>
          </w:p>
        </w:tc>
      </w:tr>
      <w:tr w:rsidR="00702607" w:rsidRPr="0098262F" w14:paraId="1DBB35F2" w14:textId="77777777" w:rsidTr="00702607">
        <w:tc>
          <w:tcPr>
            <w:tcW w:w="754" w:type="pct"/>
            <w:vAlign w:val="center"/>
          </w:tcPr>
          <w:p w14:paraId="7D8CE53A" w14:textId="244EDDED" w:rsidR="00702607" w:rsidRPr="0098262F" w:rsidRDefault="00702607" w:rsidP="0049200A">
            <w:pPr>
              <w:pStyle w:val="TableText0"/>
            </w:pPr>
            <w:r w:rsidRPr="00293BE7">
              <w:t>Flett 1999</w:t>
            </w:r>
          </w:p>
        </w:tc>
        <w:tc>
          <w:tcPr>
            <w:tcW w:w="472" w:type="pct"/>
            <w:vAlign w:val="center"/>
          </w:tcPr>
          <w:p w14:paraId="2142E187" w14:textId="3F5F3E1D" w:rsidR="00702607" w:rsidRPr="0098262F" w:rsidRDefault="00702607" w:rsidP="0049200A">
            <w:pPr>
              <w:pStyle w:val="TableText0"/>
              <w:jc w:val="center"/>
            </w:pPr>
            <w:r>
              <w:t>20</w:t>
            </w:r>
          </w:p>
        </w:tc>
        <w:tc>
          <w:tcPr>
            <w:tcW w:w="850" w:type="pct"/>
            <w:vAlign w:val="center"/>
          </w:tcPr>
          <w:p w14:paraId="1DD2AA79" w14:textId="4AA96EB3" w:rsidR="00702607" w:rsidRPr="0098262F" w:rsidRDefault="00702607" w:rsidP="0049200A">
            <w:pPr>
              <w:pStyle w:val="TableText0"/>
              <w:jc w:val="center"/>
            </w:pPr>
            <w:r w:rsidRPr="0098262F">
              <w:t xml:space="preserve">R, </w:t>
            </w:r>
            <w:r>
              <w:t>S</w:t>
            </w:r>
            <w:r w:rsidRPr="0098262F">
              <w:t>B</w:t>
            </w:r>
          </w:p>
          <w:p w14:paraId="35E2A0CD" w14:textId="32A3E120" w:rsidR="00702607" w:rsidRPr="0098262F" w:rsidRDefault="00702607" w:rsidP="0049200A">
            <w:pPr>
              <w:pStyle w:val="TableText0"/>
              <w:jc w:val="center"/>
            </w:pPr>
            <w:r>
              <w:t>(</w:t>
            </w:r>
            <w:r w:rsidRPr="0098262F">
              <w:t>6 mths</w:t>
            </w:r>
            <w:r>
              <w:t>)</w:t>
            </w:r>
          </w:p>
        </w:tc>
        <w:tc>
          <w:tcPr>
            <w:tcW w:w="565" w:type="pct"/>
            <w:vAlign w:val="center"/>
          </w:tcPr>
          <w:p w14:paraId="523F9ED4" w14:textId="356DA262" w:rsidR="00702607" w:rsidRPr="0098262F" w:rsidRDefault="00702607" w:rsidP="0049200A">
            <w:pPr>
              <w:pStyle w:val="TableText0"/>
              <w:jc w:val="center"/>
            </w:pPr>
            <w:r>
              <w:t>High</w:t>
            </w:r>
          </w:p>
        </w:tc>
        <w:tc>
          <w:tcPr>
            <w:tcW w:w="1227" w:type="pct"/>
            <w:vAlign w:val="center"/>
          </w:tcPr>
          <w:p w14:paraId="6DBD1A5B" w14:textId="01F5673B" w:rsidR="00702607" w:rsidRPr="0098262F" w:rsidRDefault="00702607" w:rsidP="0049200A">
            <w:pPr>
              <w:pStyle w:val="TableText0"/>
              <w:jc w:val="center"/>
            </w:pPr>
            <w:r>
              <w:t xml:space="preserve">Age 2 to 8 years, CP and </w:t>
            </w:r>
            <w:r w:rsidRPr="00921E1C">
              <w:t>muscle spasticity of the lower extremity</w:t>
            </w:r>
          </w:p>
        </w:tc>
        <w:tc>
          <w:tcPr>
            <w:tcW w:w="1132" w:type="pct"/>
            <w:vAlign w:val="center"/>
          </w:tcPr>
          <w:p w14:paraId="0AA9121E" w14:textId="158AD066" w:rsidR="00702607" w:rsidRPr="0098262F" w:rsidRDefault="00702607" w:rsidP="0049200A">
            <w:pPr>
              <w:pStyle w:val="TableText0"/>
              <w:jc w:val="center"/>
            </w:pPr>
            <w:r w:rsidRPr="001C7C63">
              <w:t>MAS, GMFM scores, total PRS and GSS scores</w:t>
            </w:r>
          </w:p>
        </w:tc>
      </w:tr>
      <w:tr w:rsidR="00702607" w:rsidRPr="0098262F" w14:paraId="4727047F" w14:textId="77777777" w:rsidTr="00702607">
        <w:tc>
          <w:tcPr>
            <w:tcW w:w="754" w:type="pct"/>
            <w:vAlign w:val="center"/>
          </w:tcPr>
          <w:p w14:paraId="32113F49" w14:textId="6D60B808" w:rsidR="00702607" w:rsidRPr="0098262F" w:rsidRDefault="00702607" w:rsidP="0049200A">
            <w:pPr>
              <w:pStyle w:val="TableText0"/>
            </w:pPr>
            <w:r w:rsidRPr="00293BE7">
              <w:t>Fehlings 2000</w:t>
            </w:r>
          </w:p>
        </w:tc>
        <w:tc>
          <w:tcPr>
            <w:tcW w:w="472" w:type="pct"/>
            <w:vAlign w:val="center"/>
          </w:tcPr>
          <w:p w14:paraId="5AB59A1A" w14:textId="36D86AF2" w:rsidR="00702607" w:rsidRPr="0098262F" w:rsidRDefault="00702607" w:rsidP="0049200A">
            <w:pPr>
              <w:pStyle w:val="TableText0"/>
              <w:jc w:val="center"/>
            </w:pPr>
            <w:r>
              <w:t>30</w:t>
            </w:r>
          </w:p>
        </w:tc>
        <w:tc>
          <w:tcPr>
            <w:tcW w:w="850" w:type="pct"/>
            <w:vAlign w:val="center"/>
          </w:tcPr>
          <w:p w14:paraId="03E5B556" w14:textId="3DFC077B" w:rsidR="00702607" w:rsidRPr="0098262F" w:rsidRDefault="00702607" w:rsidP="0049200A">
            <w:pPr>
              <w:pStyle w:val="TableText0"/>
              <w:jc w:val="center"/>
            </w:pPr>
            <w:r w:rsidRPr="0098262F">
              <w:t xml:space="preserve">R, </w:t>
            </w:r>
            <w:r>
              <w:t>SB</w:t>
            </w:r>
          </w:p>
          <w:p w14:paraId="1E6A4836" w14:textId="5A171054" w:rsidR="00702607" w:rsidRPr="0098262F" w:rsidRDefault="00702607" w:rsidP="0049200A">
            <w:pPr>
              <w:pStyle w:val="TableText0"/>
              <w:jc w:val="center"/>
            </w:pPr>
            <w:r>
              <w:t>(6</w:t>
            </w:r>
            <w:r w:rsidRPr="0098262F">
              <w:t xml:space="preserve"> mths</w:t>
            </w:r>
            <w:r>
              <w:t>)</w:t>
            </w:r>
          </w:p>
        </w:tc>
        <w:tc>
          <w:tcPr>
            <w:tcW w:w="565" w:type="pct"/>
            <w:vAlign w:val="center"/>
          </w:tcPr>
          <w:p w14:paraId="6E60FA49" w14:textId="77777777" w:rsidR="00702607" w:rsidRPr="0098262F" w:rsidRDefault="00702607" w:rsidP="0049200A">
            <w:pPr>
              <w:pStyle w:val="TableText0"/>
              <w:jc w:val="center"/>
            </w:pPr>
            <w:r w:rsidRPr="0098262F">
              <w:t>High</w:t>
            </w:r>
          </w:p>
        </w:tc>
        <w:tc>
          <w:tcPr>
            <w:tcW w:w="1227" w:type="pct"/>
            <w:vAlign w:val="center"/>
          </w:tcPr>
          <w:p w14:paraId="196EA4FA" w14:textId="74052536" w:rsidR="00702607" w:rsidRPr="0098262F" w:rsidRDefault="00702607" w:rsidP="0049200A">
            <w:pPr>
              <w:pStyle w:val="TableText0"/>
              <w:jc w:val="center"/>
            </w:pPr>
            <w:r w:rsidRPr="00782F2D">
              <w:t xml:space="preserve">Age 2.5 to 10 years; hand or arm hemiplegic </w:t>
            </w:r>
            <w:r>
              <w:t>CP</w:t>
            </w:r>
          </w:p>
        </w:tc>
        <w:tc>
          <w:tcPr>
            <w:tcW w:w="1132" w:type="pct"/>
            <w:vAlign w:val="center"/>
          </w:tcPr>
          <w:p w14:paraId="44BBD85F" w14:textId="7BCEE7BC" w:rsidR="00702607" w:rsidRPr="0098262F" w:rsidRDefault="00702607" w:rsidP="0049200A">
            <w:pPr>
              <w:pStyle w:val="TableText0"/>
              <w:jc w:val="center"/>
            </w:pPr>
            <w:r w:rsidRPr="007300C1">
              <w:t>QUEST, MAS</w:t>
            </w:r>
          </w:p>
        </w:tc>
      </w:tr>
      <w:tr w:rsidR="00702607" w:rsidRPr="0098262F" w14:paraId="103EA88C" w14:textId="77777777" w:rsidTr="00702607">
        <w:tc>
          <w:tcPr>
            <w:tcW w:w="754" w:type="pct"/>
            <w:vAlign w:val="center"/>
          </w:tcPr>
          <w:p w14:paraId="3EE459B9" w14:textId="011B5E2E" w:rsidR="00702607" w:rsidRPr="0098262F" w:rsidRDefault="00702607" w:rsidP="0049200A">
            <w:pPr>
              <w:pStyle w:val="TableText0"/>
            </w:pPr>
            <w:r w:rsidRPr="00293BE7">
              <w:t>Lowe 2006</w:t>
            </w:r>
          </w:p>
        </w:tc>
        <w:tc>
          <w:tcPr>
            <w:tcW w:w="472" w:type="pct"/>
            <w:vAlign w:val="center"/>
          </w:tcPr>
          <w:p w14:paraId="5952E306" w14:textId="4B4B30A0" w:rsidR="00702607" w:rsidRPr="0098262F" w:rsidRDefault="00702607" w:rsidP="0049200A">
            <w:pPr>
              <w:pStyle w:val="TableText0"/>
              <w:jc w:val="center"/>
            </w:pPr>
            <w:r>
              <w:t>42</w:t>
            </w:r>
          </w:p>
        </w:tc>
        <w:tc>
          <w:tcPr>
            <w:tcW w:w="850" w:type="pct"/>
            <w:vAlign w:val="center"/>
          </w:tcPr>
          <w:p w14:paraId="5BDC4EB2" w14:textId="4AEE2967" w:rsidR="00702607" w:rsidRPr="0098262F" w:rsidRDefault="00702607" w:rsidP="0049200A">
            <w:pPr>
              <w:pStyle w:val="TableText0"/>
              <w:jc w:val="center"/>
            </w:pPr>
            <w:r w:rsidRPr="0098262F">
              <w:t xml:space="preserve">R, </w:t>
            </w:r>
            <w:r>
              <w:t>SB</w:t>
            </w:r>
          </w:p>
          <w:p w14:paraId="2DC3E39F" w14:textId="62A8284A" w:rsidR="00702607" w:rsidRPr="0098262F" w:rsidRDefault="00702607" w:rsidP="0049200A">
            <w:pPr>
              <w:pStyle w:val="TableText0"/>
              <w:jc w:val="center"/>
            </w:pPr>
            <w:r>
              <w:t>(6</w:t>
            </w:r>
            <w:r w:rsidRPr="0098262F">
              <w:t xml:space="preserve"> mths</w:t>
            </w:r>
            <w:r>
              <w:t>)</w:t>
            </w:r>
          </w:p>
        </w:tc>
        <w:tc>
          <w:tcPr>
            <w:tcW w:w="565" w:type="pct"/>
            <w:vAlign w:val="center"/>
          </w:tcPr>
          <w:p w14:paraId="4F002640" w14:textId="401A8BD4" w:rsidR="00702607" w:rsidRPr="0098262F" w:rsidRDefault="00702607" w:rsidP="0049200A">
            <w:pPr>
              <w:pStyle w:val="TableText0"/>
              <w:jc w:val="center"/>
            </w:pPr>
            <w:r>
              <w:t>High</w:t>
            </w:r>
          </w:p>
        </w:tc>
        <w:tc>
          <w:tcPr>
            <w:tcW w:w="1227" w:type="pct"/>
            <w:vAlign w:val="center"/>
          </w:tcPr>
          <w:p w14:paraId="53C836C5" w14:textId="7117F377" w:rsidR="00702607" w:rsidRPr="0098262F" w:rsidRDefault="00702607" w:rsidP="0049200A">
            <w:pPr>
              <w:pStyle w:val="TableText0"/>
              <w:jc w:val="center"/>
            </w:pPr>
            <w:r w:rsidRPr="00DC01BD">
              <w:t xml:space="preserve">Age 2 to 8 years; hemiplegic </w:t>
            </w:r>
            <w:r>
              <w:t xml:space="preserve">CP, </w:t>
            </w:r>
            <w:r w:rsidRPr="000D45FE">
              <w:t>at least 2 on Ashworth scale</w:t>
            </w:r>
          </w:p>
        </w:tc>
        <w:tc>
          <w:tcPr>
            <w:tcW w:w="1132" w:type="pct"/>
            <w:vAlign w:val="center"/>
          </w:tcPr>
          <w:p w14:paraId="42EA1562" w14:textId="70CD7DDF" w:rsidR="00702607" w:rsidRPr="0098262F" w:rsidRDefault="00702607" w:rsidP="0049200A">
            <w:pPr>
              <w:pStyle w:val="TableText0"/>
              <w:jc w:val="center"/>
            </w:pPr>
            <w:r>
              <w:t>QUEST, GAS</w:t>
            </w:r>
          </w:p>
        </w:tc>
      </w:tr>
      <w:tr w:rsidR="00702607" w:rsidRPr="0098262F" w14:paraId="07E09204" w14:textId="77777777" w:rsidTr="00702607">
        <w:tc>
          <w:tcPr>
            <w:tcW w:w="754" w:type="pct"/>
            <w:vAlign w:val="center"/>
          </w:tcPr>
          <w:p w14:paraId="495A88D9" w14:textId="02FBA369" w:rsidR="00702607" w:rsidRPr="00293BE7" w:rsidRDefault="00702607" w:rsidP="0049200A">
            <w:pPr>
              <w:pStyle w:val="TableText0"/>
            </w:pPr>
            <w:r w:rsidRPr="00293BE7">
              <w:t>Russo 2007</w:t>
            </w:r>
          </w:p>
        </w:tc>
        <w:tc>
          <w:tcPr>
            <w:tcW w:w="472" w:type="pct"/>
            <w:vAlign w:val="center"/>
          </w:tcPr>
          <w:p w14:paraId="3140C240" w14:textId="3B99EB13" w:rsidR="00702607" w:rsidRDefault="00702607" w:rsidP="0049200A">
            <w:pPr>
              <w:pStyle w:val="TableText0"/>
              <w:jc w:val="center"/>
            </w:pPr>
            <w:r>
              <w:t>43</w:t>
            </w:r>
          </w:p>
        </w:tc>
        <w:tc>
          <w:tcPr>
            <w:tcW w:w="850" w:type="pct"/>
            <w:vAlign w:val="center"/>
          </w:tcPr>
          <w:p w14:paraId="4519777F" w14:textId="77777777" w:rsidR="00702607" w:rsidRPr="0098262F" w:rsidRDefault="00702607" w:rsidP="0049200A">
            <w:pPr>
              <w:pStyle w:val="TableText0"/>
              <w:jc w:val="center"/>
            </w:pPr>
            <w:r w:rsidRPr="0098262F">
              <w:t xml:space="preserve">R, </w:t>
            </w:r>
            <w:r>
              <w:t>SB</w:t>
            </w:r>
          </w:p>
          <w:p w14:paraId="1C68EDCA" w14:textId="7D0A0EA9" w:rsidR="00702607" w:rsidRPr="0098262F" w:rsidRDefault="00702607" w:rsidP="0049200A">
            <w:pPr>
              <w:pStyle w:val="TableText0"/>
              <w:jc w:val="center"/>
            </w:pPr>
            <w:r>
              <w:t>(6</w:t>
            </w:r>
            <w:r w:rsidRPr="0098262F">
              <w:t xml:space="preserve"> mths</w:t>
            </w:r>
            <w:r>
              <w:t>)</w:t>
            </w:r>
          </w:p>
        </w:tc>
        <w:tc>
          <w:tcPr>
            <w:tcW w:w="565" w:type="pct"/>
            <w:vAlign w:val="center"/>
          </w:tcPr>
          <w:p w14:paraId="00771E60" w14:textId="68014736" w:rsidR="00702607" w:rsidRPr="0098262F" w:rsidRDefault="00702607" w:rsidP="0049200A">
            <w:pPr>
              <w:pStyle w:val="TableText0"/>
              <w:jc w:val="center"/>
            </w:pPr>
            <w:r>
              <w:t>High</w:t>
            </w:r>
          </w:p>
        </w:tc>
        <w:tc>
          <w:tcPr>
            <w:tcW w:w="1227" w:type="pct"/>
            <w:vAlign w:val="center"/>
          </w:tcPr>
          <w:p w14:paraId="74D500FE" w14:textId="1350C19E" w:rsidR="00702607" w:rsidRPr="0098262F" w:rsidRDefault="00702607" w:rsidP="0049200A">
            <w:pPr>
              <w:pStyle w:val="TableText0"/>
              <w:jc w:val="center"/>
            </w:pPr>
            <w:r>
              <w:t>Age 3 to 16</w:t>
            </w:r>
            <w:r w:rsidRPr="00C907EE">
              <w:t xml:space="preserve"> years hemiplegic</w:t>
            </w:r>
            <w:r>
              <w:t xml:space="preserve"> CP</w:t>
            </w:r>
            <w:r w:rsidRPr="00C907EE">
              <w:t xml:space="preserve">, at least 2 on </w:t>
            </w:r>
            <w:r>
              <w:t xml:space="preserve">Modified </w:t>
            </w:r>
            <w:r w:rsidRPr="00C907EE">
              <w:t>Ashworth scale</w:t>
            </w:r>
          </w:p>
        </w:tc>
        <w:tc>
          <w:tcPr>
            <w:tcW w:w="1132" w:type="pct"/>
            <w:vAlign w:val="center"/>
          </w:tcPr>
          <w:p w14:paraId="2A94125A" w14:textId="5FE93F68" w:rsidR="00702607" w:rsidRPr="0098262F" w:rsidRDefault="00702607" w:rsidP="0049200A">
            <w:pPr>
              <w:pStyle w:val="TableText0"/>
              <w:jc w:val="center"/>
            </w:pPr>
            <w:r>
              <w:t>MAS</w:t>
            </w:r>
            <w:r w:rsidRPr="00D166DC">
              <w:t>, Safety</w:t>
            </w:r>
          </w:p>
        </w:tc>
      </w:tr>
    </w:tbl>
    <w:p w14:paraId="6BC6B0D2" w14:textId="3308A8EB" w:rsidR="00FE5F0C" w:rsidRDefault="00FE5F0C" w:rsidP="0049200A">
      <w:pPr>
        <w:pStyle w:val="TableFigureFooter"/>
      </w:pPr>
      <w:r>
        <w:t>Source: Table 2.6.1, p6</w:t>
      </w:r>
      <w:r w:rsidR="00702607">
        <w:t>6</w:t>
      </w:r>
      <w:r>
        <w:t xml:space="preserve"> of the submission.</w:t>
      </w:r>
    </w:p>
    <w:p w14:paraId="6277EC4D" w14:textId="70B102C7" w:rsidR="0075106A" w:rsidRPr="00662B15" w:rsidRDefault="001A56D6" w:rsidP="0049200A">
      <w:pPr>
        <w:pStyle w:val="TableFigureFooter"/>
      </w:pPr>
      <w:r>
        <w:t xml:space="preserve">AS= Ashworth Scale; </w:t>
      </w:r>
      <w:r w:rsidR="007C6F8F" w:rsidRPr="007C6F8F">
        <w:t>CP</w:t>
      </w:r>
      <w:r w:rsidR="007C6F8F">
        <w:t>=</w:t>
      </w:r>
      <w:r w:rsidR="007C6F8F" w:rsidRPr="007C6F8F">
        <w:t xml:space="preserve"> </w:t>
      </w:r>
      <w:r w:rsidR="0028338F" w:rsidRPr="007C6F8F">
        <w:t>Cerebral Palsy</w:t>
      </w:r>
      <w:r w:rsidR="007C6F8F" w:rsidRPr="007C6F8F">
        <w:t xml:space="preserve">; </w:t>
      </w:r>
      <w:r w:rsidR="00983F42" w:rsidRPr="00983F42">
        <w:t>GAS=goal attainment scale;</w:t>
      </w:r>
      <w:r w:rsidR="00983F42">
        <w:t xml:space="preserve"> </w:t>
      </w:r>
      <w:r w:rsidR="0028338F" w:rsidRPr="007C6F8F">
        <w:t>GMFM</w:t>
      </w:r>
      <w:r w:rsidR="0028338F">
        <w:t>=</w:t>
      </w:r>
      <w:r w:rsidR="0028338F" w:rsidRPr="007C6F8F">
        <w:t xml:space="preserve"> Gross Motor Function Measure; </w:t>
      </w:r>
      <w:r w:rsidR="0028338F">
        <w:t>GSS= G</w:t>
      </w:r>
      <w:r w:rsidR="0028338F" w:rsidRPr="007C6F8F">
        <w:t xml:space="preserve">lobal </w:t>
      </w:r>
      <w:r w:rsidR="0028338F">
        <w:t>S</w:t>
      </w:r>
      <w:r w:rsidR="0028338F" w:rsidRPr="007C6F8F">
        <w:t xml:space="preserve">coring </w:t>
      </w:r>
      <w:r w:rsidR="0028338F">
        <w:t>S</w:t>
      </w:r>
      <w:r w:rsidR="0028338F" w:rsidRPr="007C6F8F">
        <w:t>cale</w:t>
      </w:r>
      <w:r w:rsidR="0028338F">
        <w:t>;</w:t>
      </w:r>
      <w:r w:rsidR="0028338F" w:rsidRPr="007C6F8F">
        <w:t xml:space="preserve"> MAS</w:t>
      </w:r>
      <w:r w:rsidR="0028338F">
        <w:t>=</w:t>
      </w:r>
      <w:r w:rsidR="0028338F" w:rsidRPr="007C6F8F">
        <w:t xml:space="preserve"> Modified Ashworth Scale;</w:t>
      </w:r>
      <w:r w:rsidR="0028338F">
        <w:t xml:space="preserve"> </w:t>
      </w:r>
      <w:r w:rsidR="00645839">
        <w:t xml:space="preserve">mths= months; </w:t>
      </w:r>
      <w:r w:rsidR="0028338F" w:rsidRPr="007C6F8F">
        <w:t>OT</w:t>
      </w:r>
      <w:r w:rsidR="0028338F">
        <w:t>=</w:t>
      </w:r>
      <w:r w:rsidR="0028338F" w:rsidRPr="007C6F8F">
        <w:t xml:space="preserve"> Occupational Therapy;</w:t>
      </w:r>
      <w:r w:rsidR="0028338F">
        <w:t xml:space="preserve"> </w:t>
      </w:r>
      <w:r w:rsidR="0028338F" w:rsidRPr="007C6F8F">
        <w:t>PRS</w:t>
      </w:r>
      <w:r w:rsidR="0028338F">
        <w:t>=</w:t>
      </w:r>
      <w:r w:rsidR="0028338F" w:rsidRPr="007C6F8F">
        <w:t xml:space="preserve"> Physician Rating Scale;</w:t>
      </w:r>
      <w:r w:rsidR="008925ED">
        <w:t xml:space="preserve"> </w:t>
      </w:r>
      <w:r w:rsidR="00B33B44" w:rsidRPr="00B33B44">
        <w:t>QUEST=Quality of Upper Extremity Skills Test</w:t>
      </w:r>
      <w:r w:rsidR="00B33B44">
        <w:t xml:space="preserve">; </w:t>
      </w:r>
      <w:r w:rsidR="008925ED">
        <w:t>R= randomised; SB= single blind;</w:t>
      </w:r>
      <w:r w:rsidR="0028338F">
        <w:t xml:space="preserve"> </w:t>
      </w:r>
      <w:r w:rsidR="007C6F8F" w:rsidRPr="007C6F8F">
        <w:t>U</w:t>
      </w:r>
      <w:r w:rsidR="007C6F8F">
        <w:t>=</w:t>
      </w:r>
      <w:r w:rsidR="007C6F8F" w:rsidRPr="007C6F8F">
        <w:t xml:space="preserve"> units</w:t>
      </w:r>
      <w:r w:rsidR="007C6F8F">
        <w:t>.</w:t>
      </w:r>
      <w:r w:rsidR="00DB3C4E">
        <w:t xml:space="preserve"> </w:t>
      </w:r>
    </w:p>
    <w:p w14:paraId="2A1C67BE" w14:textId="47728C17" w:rsidR="00F527EF" w:rsidRPr="00044259" w:rsidRDefault="0011118D" w:rsidP="0049200A">
      <w:pPr>
        <w:pStyle w:val="3-BodyText"/>
        <w:spacing w:before="120" w:after="120"/>
      </w:pPr>
      <w:r w:rsidRPr="0011118D">
        <w:rPr>
          <w:u w:val="single"/>
        </w:rPr>
        <w:t>Upper limb (UL) spasticity</w:t>
      </w:r>
      <w:r>
        <w:t xml:space="preserve">: </w:t>
      </w:r>
      <w:r w:rsidR="00F527EF">
        <w:t xml:space="preserve">The XARA study </w:t>
      </w:r>
      <w:r w:rsidR="00F527EF" w:rsidRPr="003029D7">
        <w:t>investigate</w:t>
      </w:r>
      <w:r w:rsidR="00F527EF">
        <w:t>d the</w:t>
      </w:r>
      <w:r w:rsidR="00F527EF" w:rsidRPr="003029D7">
        <w:t xml:space="preserve"> efficacy and safety of Xeomin</w:t>
      </w:r>
      <w:r w:rsidR="00F527EF">
        <w:t xml:space="preserve"> </w:t>
      </w:r>
      <w:r w:rsidR="00F527EF" w:rsidRPr="003029D7">
        <w:t xml:space="preserve">in children and adolescents (age 2 - 17 years) with UL spasticity alone or with combined UL </w:t>
      </w:r>
      <w:r w:rsidR="00F527EF">
        <w:t>upper</w:t>
      </w:r>
      <w:r w:rsidR="00F527EF" w:rsidRPr="003029D7">
        <w:t xml:space="preserve"> spasticity and </w:t>
      </w:r>
      <w:r w:rsidR="00F527EF">
        <w:t>lower limb</w:t>
      </w:r>
      <w:r w:rsidR="00F527EF" w:rsidRPr="003029D7">
        <w:t xml:space="preserve"> spasticity due to cerebral palsy. </w:t>
      </w:r>
      <w:r w:rsidR="00F527EF">
        <w:t>The d</w:t>
      </w:r>
      <w:r w:rsidR="00F527EF" w:rsidRPr="003029D7">
        <w:t xml:space="preserve">uration of study participation for subjects was 50 to 66 weeks, which consisted of a screening period of 2 weeks and 4 treatment cycles of 12 to 16 weeks each. In the main period, subjects were randomly allocated 2:1:1 to </w:t>
      </w:r>
      <w:r w:rsidR="00691809">
        <w:t>3</w:t>
      </w:r>
      <w:r w:rsidR="00F527EF" w:rsidRPr="003029D7">
        <w:t xml:space="preserve"> parallel Xeomin dose group</w:t>
      </w:r>
      <w:r w:rsidR="00F527EF">
        <w:t>s</w:t>
      </w:r>
      <w:r w:rsidR="00F527EF" w:rsidRPr="003029D7">
        <w:t>, respectively</w:t>
      </w:r>
      <w:r w:rsidR="00395EA2">
        <w:t>:</w:t>
      </w:r>
      <w:r w:rsidR="00F527EF">
        <w:t xml:space="preserve"> (i) </w:t>
      </w:r>
      <w:r w:rsidR="00F527EF" w:rsidRPr="003029D7">
        <w:t>high dose, 8 U/kg body weight (BW);</w:t>
      </w:r>
      <w:r w:rsidR="00F527EF">
        <w:t xml:space="preserve"> (ii) m</w:t>
      </w:r>
      <w:r w:rsidR="00F527EF" w:rsidRPr="003029D7">
        <w:t>id dose, 6 U/kg BW</w:t>
      </w:r>
      <w:r w:rsidR="00D63715">
        <w:t>;</w:t>
      </w:r>
      <w:r w:rsidR="00F527EF" w:rsidRPr="003029D7">
        <w:t xml:space="preserve"> and </w:t>
      </w:r>
      <w:r w:rsidR="00F527EF">
        <w:t xml:space="preserve">(iii) </w:t>
      </w:r>
      <w:r w:rsidR="00F527EF" w:rsidRPr="003029D7">
        <w:t>low dose, 2 U/kg BW.</w:t>
      </w:r>
      <w:r w:rsidR="00F527EF" w:rsidRPr="00715334">
        <w:t xml:space="preserve"> </w:t>
      </w:r>
      <w:r w:rsidR="00F527EF" w:rsidRPr="00044259">
        <w:t>In the open label extension (OLEX)</w:t>
      </w:r>
      <w:r w:rsidR="00486592">
        <w:t xml:space="preserve"> phase</w:t>
      </w:r>
      <w:r w:rsidR="00F527EF" w:rsidRPr="00044259">
        <w:t>, all subjects received Xeomin high dose (8 U/kg) with up to 3 treatment cycles.</w:t>
      </w:r>
    </w:p>
    <w:p w14:paraId="629779AC" w14:textId="10751D1C" w:rsidR="00F527EF" w:rsidRDefault="0011118D" w:rsidP="0049200A">
      <w:pPr>
        <w:pStyle w:val="3-BodyText"/>
        <w:spacing w:before="120" w:after="120"/>
      </w:pPr>
      <w:r w:rsidRPr="0011118D">
        <w:rPr>
          <w:u w:val="single"/>
        </w:rPr>
        <w:t xml:space="preserve">Lower limb </w:t>
      </w:r>
      <w:r w:rsidR="00DB4BEC">
        <w:rPr>
          <w:u w:val="single"/>
        </w:rPr>
        <w:t xml:space="preserve">(LL) </w:t>
      </w:r>
      <w:r w:rsidRPr="0011118D">
        <w:rPr>
          <w:u w:val="single"/>
        </w:rPr>
        <w:t>spasticity</w:t>
      </w:r>
      <w:r>
        <w:t xml:space="preserve">: </w:t>
      </w:r>
      <w:r w:rsidR="00F527EF" w:rsidRPr="00C91001">
        <w:t xml:space="preserve">The TIM </w:t>
      </w:r>
      <w:r w:rsidR="00AC32CD">
        <w:t>trial</w:t>
      </w:r>
      <w:r w:rsidR="00AC32CD" w:rsidRPr="00C91001">
        <w:t xml:space="preserve"> </w:t>
      </w:r>
      <w:r w:rsidR="00F527EF" w:rsidRPr="00C91001">
        <w:t xml:space="preserve">evaluated the safety and efficacy of </w:t>
      </w:r>
      <w:r w:rsidR="00691809">
        <w:t>3</w:t>
      </w:r>
      <w:r w:rsidR="00F527EF" w:rsidRPr="00C91001">
        <w:t xml:space="preserve"> doses of Xeomin for the treatment of </w:t>
      </w:r>
      <w:r w:rsidR="00DB4BEC">
        <w:t>LL</w:t>
      </w:r>
      <w:r w:rsidR="00F527EF" w:rsidRPr="0011118D">
        <w:t xml:space="preserve"> spasticity</w:t>
      </w:r>
      <w:r w:rsidR="00F527EF" w:rsidRPr="00C91001">
        <w:t xml:space="preserve"> in children and adolescents (age 2 - 17 years) with cerebral palsy. The duration of study participation for subjects was 26 to 74 weeks, which consisted of a screening period of 2 weeks followed by an observation period of 24 to 72 weeks, dependent on the timepoint of eligibility for re-injection. Eligible </w:t>
      </w:r>
      <w:r w:rsidR="002B7924">
        <w:t>participants</w:t>
      </w:r>
      <w:r w:rsidR="00F527EF" w:rsidRPr="00C91001">
        <w:t xml:space="preserve"> were randomised 1:1:2 to </w:t>
      </w:r>
      <w:r w:rsidR="00691809">
        <w:t>3</w:t>
      </w:r>
      <w:r w:rsidR="00F527EF" w:rsidRPr="00C91001">
        <w:t xml:space="preserve"> parallel Xeomin dose groups, respectively: (i) low dose: 4 units/kilogram (U/kg) BW, maximum total dose 100 U; (ii) </w:t>
      </w:r>
      <w:r w:rsidR="00F527EF" w:rsidRPr="00C91001">
        <w:lastRenderedPageBreak/>
        <w:t>mid dose: 12 U/kg BW, maximum total dose 300 U</w:t>
      </w:r>
      <w:r w:rsidR="00346CCC">
        <w:t>;</w:t>
      </w:r>
      <w:r w:rsidR="00F527EF" w:rsidRPr="00C91001">
        <w:t xml:space="preserve"> and (iii) high dose: 16 U/kg BW, maximum total dose 400 U.</w:t>
      </w:r>
    </w:p>
    <w:p w14:paraId="41566CC0" w14:textId="78C54A15" w:rsidR="00F527EF" w:rsidRPr="00044259" w:rsidRDefault="002E53B9" w:rsidP="0049200A">
      <w:pPr>
        <w:pStyle w:val="3-BodyText"/>
        <w:spacing w:before="120" w:after="120"/>
      </w:pPr>
      <w:r w:rsidRPr="002E53B9">
        <w:rPr>
          <w:u w:val="single"/>
        </w:rPr>
        <w:t xml:space="preserve">TIMO </w:t>
      </w:r>
      <w:r>
        <w:rPr>
          <w:u w:val="single"/>
        </w:rPr>
        <w:t xml:space="preserve">open label </w:t>
      </w:r>
      <w:r w:rsidRPr="002E53B9">
        <w:rPr>
          <w:u w:val="single"/>
        </w:rPr>
        <w:t>extension study</w:t>
      </w:r>
      <w:r>
        <w:t xml:space="preserve">: </w:t>
      </w:r>
      <w:r w:rsidR="00F527EF" w:rsidRPr="00044259">
        <w:t xml:space="preserve">The TIMO </w:t>
      </w:r>
      <w:r w:rsidR="00AC32CD">
        <w:t>trial</w:t>
      </w:r>
      <w:r w:rsidR="00F527EF" w:rsidRPr="00044259">
        <w:t xml:space="preserve"> investigated the safety and efficacy of Xeomin for the treatment of spasticity of the lower limb(s) or of combined spasticity of upper and lower limb in children and adolescents (age 2 - 17 years) with cerebral palsy. The study included subjects from the TIM pivotal </w:t>
      </w:r>
      <w:r w:rsidR="00AC32CD">
        <w:t>trial</w:t>
      </w:r>
      <w:r w:rsidR="00F527EF" w:rsidRPr="00044259">
        <w:t xml:space="preserve"> (n = 124) </w:t>
      </w:r>
      <w:r w:rsidR="00F86250">
        <w:t xml:space="preserve">and </w:t>
      </w:r>
      <w:r w:rsidR="00F527EF" w:rsidRPr="00044259">
        <w:t xml:space="preserve">new recruits (n = 246). For subjects who completed </w:t>
      </w:r>
      <w:r w:rsidR="00AC32CD">
        <w:t xml:space="preserve">the </w:t>
      </w:r>
      <w:r w:rsidR="00F527EF" w:rsidRPr="00044259">
        <w:t>TIM</w:t>
      </w:r>
      <w:r w:rsidR="00AC32CD">
        <w:t xml:space="preserve"> trial</w:t>
      </w:r>
      <w:r w:rsidR="00F527EF" w:rsidRPr="00044259">
        <w:t xml:space="preserve">, a total dose of 16 U/kg BW Xeomin (max 400 U) was injected (for </w:t>
      </w:r>
      <w:r w:rsidR="00340B64">
        <w:t xml:space="preserve">the </w:t>
      </w:r>
      <w:r w:rsidR="00F527EF">
        <w:t>lower limb</w:t>
      </w:r>
      <w:r w:rsidR="00F527EF" w:rsidRPr="00044259">
        <w:t xml:space="preserve">). For newly recruited subjects that had a clinical need for a </w:t>
      </w:r>
      <w:r w:rsidR="00F527EF">
        <w:t xml:space="preserve">lower limb </w:t>
      </w:r>
      <w:r w:rsidR="00F527EF" w:rsidRPr="00044259">
        <w:t xml:space="preserve">or combined </w:t>
      </w:r>
      <w:r w:rsidR="00F527EF">
        <w:t>upper limb</w:t>
      </w:r>
      <w:r w:rsidR="00F527EF" w:rsidRPr="00044259">
        <w:t xml:space="preserve"> and </w:t>
      </w:r>
      <w:r w:rsidR="00F527EF">
        <w:t>lower limb s</w:t>
      </w:r>
      <w:r w:rsidR="00F527EF" w:rsidRPr="00044259">
        <w:t xml:space="preserve">pasticity treatment, a total dose of 16 to 20 U/kg BW Xeomin (max 500 U in subjects with combined </w:t>
      </w:r>
      <w:r w:rsidR="00F527EF">
        <w:t>lower limb</w:t>
      </w:r>
      <w:r w:rsidR="00F527EF" w:rsidRPr="00044259">
        <w:t xml:space="preserve"> and </w:t>
      </w:r>
      <w:r w:rsidR="00F527EF">
        <w:t xml:space="preserve">upper limb </w:t>
      </w:r>
      <w:r w:rsidR="00F527EF" w:rsidRPr="00044259">
        <w:t xml:space="preserve">treatment and </w:t>
      </w:r>
      <w:r w:rsidR="000207E9" w:rsidRPr="000207E9">
        <w:t xml:space="preserve">Gross Motor Function Classification System </w:t>
      </w:r>
      <w:r w:rsidR="000207E9">
        <w:t>(</w:t>
      </w:r>
      <w:r w:rsidR="00F527EF" w:rsidRPr="00044259">
        <w:t>GMFCS</w:t>
      </w:r>
      <w:r w:rsidR="000207E9">
        <w:t>)</w:t>
      </w:r>
      <w:r w:rsidR="00F527EF" w:rsidRPr="00044259">
        <w:t xml:space="preserve"> levels I-III and max of 400 U in subjects with </w:t>
      </w:r>
      <w:r w:rsidR="00F527EF">
        <w:t>lower limb</w:t>
      </w:r>
      <w:r w:rsidR="00F527EF" w:rsidRPr="00044259">
        <w:t xml:space="preserve"> treatment</w:t>
      </w:r>
      <w:r w:rsidR="00DB3C4E">
        <w:t xml:space="preserve"> </w:t>
      </w:r>
      <w:r w:rsidR="009F4A9C">
        <w:t xml:space="preserve">and </w:t>
      </w:r>
      <w:r w:rsidR="00F527EF" w:rsidRPr="00044259">
        <w:t xml:space="preserve">GMFCS levels I-V or combined </w:t>
      </w:r>
      <w:r w:rsidR="00F527EF">
        <w:t>lower limb</w:t>
      </w:r>
      <w:r w:rsidR="00F527EF" w:rsidRPr="00044259">
        <w:t xml:space="preserve"> and </w:t>
      </w:r>
      <w:r w:rsidR="00F527EF">
        <w:t>upper limb</w:t>
      </w:r>
      <w:r w:rsidR="00F527EF" w:rsidRPr="00044259">
        <w:t xml:space="preserve"> treatment and GMFCS levels IV-V) was injected at each injection visit, depending on chosen treatment combination. For </w:t>
      </w:r>
      <w:r w:rsidR="00F527EF">
        <w:t xml:space="preserve">the </w:t>
      </w:r>
      <w:r w:rsidR="00F527EF" w:rsidRPr="00044259">
        <w:t>treatment of pes equinus</w:t>
      </w:r>
      <w:r w:rsidR="00F527EF">
        <w:t xml:space="preserve"> (the most common presentation of lower limb spasticity)</w:t>
      </w:r>
      <w:r w:rsidR="00D04F8C">
        <w:t>,</w:t>
      </w:r>
      <w:r w:rsidR="00F527EF" w:rsidRPr="00044259">
        <w:t xml:space="preserve"> a fixed dose of 8 U/kg BW per treated side (max dose per pes equinus 200 U) was administered.</w:t>
      </w:r>
    </w:p>
    <w:p w14:paraId="7D12E7B1" w14:textId="578EA2CB" w:rsidR="00984598" w:rsidRPr="00044259" w:rsidRDefault="00984598" w:rsidP="0049200A">
      <w:pPr>
        <w:pStyle w:val="3-BodyText"/>
        <w:spacing w:before="120" w:after="120"/>
      </w:pPr>
      <w:r w:rsidRPr="00984598">
        <w:rPr>
          <w:iCs/>
        </w:rPr>
        <w:t xml:space="preserve">The only </w:t>
      </w:r>
      <w:r w:rsidRPr="00D67577">
        <w:rPr>
          <w:u w:val="single"/>
        </w:rPr>
        <w:t>direct evidence</w:t>
      </w:r>
      <w:r w:rsidRPr="00984598">
        <w:rPr>
          <w:iCs/>
        </w:rPr>
        <w:t xml:space="preserve"> comparing Xeomin and Botox </w:t>
      </w:r>
      <w:r w:rsidR="0067160E">
        <w:rPr>
          <w:iCs/>
        </w:rPr>
        <w:t>came from</w:t>
      </w:r>
      <w:r w:rsidRPr="00984598">
        <w:rPr>
          <w:iCs/>
        </w:rPr>
        <w:t xml:space="preserve"> Study R-201212, a phase IV, open-label, multi-centre (3 study sites located in the Russian Federation) study that assessed the efficacy and safety of Xeomin </w:t>
      </w:r>
      <w:r w:rsidR="00423206">
        <w:rPr>
          <w:iCs/>
        </w:rPr>
        <w:t>vs</w:t>
      </w:r>
      <w:r w:rsidRPr="00984598">
        <w:rPr>
          <w:iCs/>
        </w:rPr>
        <w:t xml:space="preserve"> Botox in children (aged 2-12 years) with cerebral palsy with dynamic equinus foot deformity (</w:t>
      </w:r>
      <w:r w:rsidRPr="005C21AD">
        <w:t>lower limb</w:t>
      </w:r>
      <w:r w:rsidRPr="00984598">
        <w:rPr>
          <w:iCs/>
        </w:rPr>
        <w:t xml:space="preserve">). Participants received a single dose of Xeomin (n=32) or Botox (n=32), with 3 months of follow-up. </w:t>
      </w:r>
      <w:r w:rsidR="00DE6AB6" w:rsidRPr="00DE6AB6">
        <w:rPr>
          <w:iCs/>
        </w:rPr>
        <w:t>Dosing was determined based on clinical presentation: children with unilateral pes equinus received 4 U/kg injected into the gastrocnemius muscle of the affected leg, while those with bilateral involvement received a total dose of 6</w:t>
      </w:r>
      <w:r w:rsidR="000C4AFC">
        <w:rPr>
          <w:iCs/>
        </w:rPr>
        <w:t>-</w:t>
      </w:r>
      <w:r w:rsidR="00DE6AB6" w:rsidRPr="00DE6AB6">
        <w:rPr>
          <w:iCs/>
        </w:rPr>
        <w:t>8 U/kg administered across both legs, up to a maximum of 300 U</w:t>
      </w:r>
      <w:r w:rsidR="00726925">
        <w:rPr>
          <w:iCs/>
        </w:rPr>
        <w:t xml:space="preserve"> per treatment session</w:t>
      </w:r>
      <w:r w:rsidR="00DE6AB6" w:rsidRPr="00DE6AB6">
        <w:rPr>
          <w:iCs/>
        </w:rPr>
        <w:t>.</w:t>
      </w:r>
      <w:r w:rsidR="000C4AFC">
        <w:rPr>
          <w:iCs/>
        </w:rPr>
        <w:t xml:space="preserve"> </w:t>
      </w:r>
    </w:p>
    <w:p w14:paraId="17D7F4E0" w14:textId="77777777" w:rsidR="004A29D1" w:rsidRPr="00C9624D" w:rsidRDefault="004A29D1" w:rsidP="0049200A">
      <w:pPr>
        <w:pStyle w:val="4-SubsectionHeading"/>
        <w:rPr>
          <w:lang w:eastAsia="en-AU"/>
        </w:rPr>
      </w:pPr>
      <w:bookmarkStart w:id="40" w:name="_Toc198630217"/>
      <w:bookmarkStart w:id="41" w:name="_Toc198724795"/>
      <w:r w:rsidRPr="00C9624D">
        <w:rPr>
          <w:lang w:eastAsia="en-AU"/>
        </w:rPr>
        <w:t>Comparative effectiveness</w:t>
      </w:r>
      <w:bookmarkEnd w:id="38"/>
      <w:bookmarkEnd w:id="40"/>
      <w:bookmarkEnd w:id="41"/>
    </w:p>
    <w:p w14:paraId="6EBEE432" w14:textId="09A8B375" w:rsidR="000552A2" w:rsidRPr="000552A2" w:rsidRDefault="00F527EF" w:rsidP="0049200A">
      <w:pPr>
        <w:pStyle w:val="3-BodyText"/>
        <w:spacing w:before="120" w:after="120"/>
        <w:rPr>
          <w:iCs/>
        </w:rPr>
      </w:pPr>
      <w:r w:rsidRPr="00382485">
        <w:rPr>
          <w:iCs/>
        </w:rPr>
        <w:t xml:space="preserve">The </w:t>
      </w:r>
      <w:r>
        <w:rPr>
          <w:iCs/>
        </w:rPr>
        <w:t xml:space="preserve">R-201212 </w:t>
      </w:r>
      <w:r w:rsidRPr="00382485">
        <w:rPr>
          <w:iCs/>
        </w:rPr>
        <w:t xml:space="preserve">study </w:t>
      </w:r>
      <w:r w:rsidR="00842FBC">
        <w:rPr>
          <w:iCs/>
        </w:rPr>
        <w:t>directly comparing Xeomin with Botox</w:t>
      </w:r>
      <w:r w:rsidRPr="00382485">
        <w:rPr>
          <w:iCs/>
        </w:rPr>
        <w:t xml:space="preserve"> found a statistically significant improvement in the </w:t>
      </w:r>
      <w:r w:rsidR="00831CA5" w:rsidRPr="00831CA5">
        <w:t>Modified Ashworth Scale</w:t>
      </w:r>
      <w:r w:rsidR="00831CA5">
        <w:rPr>
          <w:iCs/>
        </w:rPr>
        <w:t xml:space="preserve"> (</w:t>
      </w:r>
      <w:r w:rsidR="00F86250">
        <w:rPr>
          <w:iCs/>
        </w:rPr>
        <w:t>MAS</w:t>
      </w:r>
      <w:r w:rsidR="005C67E9">
        <w:rPr>
          <w:iCs/>
        </w:rPr>
        <w:t xml:space="preserve">; </w:t>
      </w:r>
      <w:r w:rsidRPr="00382485">
        <w:rPr>
          <w:iCs/>
        </w:rPr>
        <w:t>for the gastrocnemius muscle) at Day 30 compared to baseline in both the Xeomin group (1.8 ± 0.54, p</w:t>
      </w:r>
      <w:r w:rsidR="00BE223C">
        <w:rPr>
          <w:iCs/>
        </w:rPr>
        <w:t xml:space="preserve"> </w:t>
      </w:r>
      <w:r w:rsidRPr="00382485">
        <w:rPr>
          <w:iCs/>
        </w:rPr>
        <w:t>&lt;</w:t>
      </w:r>
      <w:r w:rsidR="00BE223C">
        <w:rPr>
          <w:iCs/>
        </w:rPr>
        <w:t xml:space="preserve"> </w:t>
      </w:r>
      <w:r w:rsidRPr="00382485">
        <w:rPr>
          <w:iCs/>
        </w:rPr>
        <w:t xml:space="preserve">0.0001) and the Botox group (1.6 ± 0.45, p &lt; 0.0001), with no statistically significant differences between the </w:t>
      </w:r>
      <w:r w:rsidR="00AA6343">
        <w:rPr>
          <w:iCs/>
        </w:rPr>
        <w:t>two</w:t>
      </w:r>
      <w:r w:rsidRPr="00382485">
        <w:rPr>
          <w:iCs/>
        </w:rPr>
        <w:t xml:space="preserve"> treatment groups (p = 0.207). </w:t>
      </w:r>
      <w:r w:rsidRPr="00F81767">
        <w:t>However, only limited information was provided about this study</w:t>
      </w:r>
      <w:r w:rsidR="00D83E7E" w:rsidRPr="00F81767">
        <w:t>,</w:t>
      </w:r>
      <w:r w:rsidRPr="00F81767">
        <w:t xml:space="preserve"> e.g.</w:t>
      </w:r>
      <w:r w:rsidR="00D83E7E" w:rsidRPr="00F81767">
        <w:t>,</w:t>
      </w:r>
      <w:r w:rsidRPr="00F81767">
        <w:t xml:space="preserve"> it was unclear whether </w:t>
      </w:r>
      <w:r w:rsidR="00587D29" w:rsidRPr="00F81767">
        <w:t>participants</w:t>
      </w:r>
      <w:r w:rsidRPr="00F81767">
        <w:t xml:space="preserve"> had received prior Botox (noting the CSR was translated from Russian into English). Overall, due to the open-label design, lack of information available and relatively small sample size, the results of this study </w:t>
      </w:r>
      <w:proofErr w:type="gramStart"/>
      <w:r w:rsidRPr="00F81767">
        <w:t>are considered to be</w:t>
      </w:r>
      <w:proofErr w:type="gramEnd"/>
      <w:r w:rsidRPr="00F81767">
        <w:t xml:space="preserve"> supportive only</w:t>
      </w:r>
      <w:r w:rsidR="007B799B" w:rsidRPr="00F81767">
        <w:t>,</w:t>
      </w:r>
      <w:r w:rsidRPr="00F81767">
        <w:t xml:space="preserve"> </w:t>
      </w:r>
      <w:r w:rsidR="00B34C14" w:rsidRPr="00F81767">
        <w:t xml:space="preserve">though they </w:t>
      </w:r>
      <w:r w:rsidRPr="00F81767">
        <w:t>appear to demonstrate similar efficacy between Xeomin and Botox for lower limb spasticity in children aged 2-12 years (using a Xeomin dosing regimen of 4-8 U/kg).</w:t>
      </w:r>
    </w:p>
    <w:p w14:paraId="3825692B" w14:textId="12A0F5A8" w:rsidR="00F527EF" w:rsidRPr="00382485" w:rsidRDefault="00D224D2" w:rsidP="0049200A">
      <w:pPr>
        <w:pStyle w:val="3-BodyText"/>
        <w:spacing w:before="120" w:after="120"/>
        <w:rPr>
          <w:iCs/>
        </w:rPr>
      </w:pPr>
      <w:r w:rsidRPr="00D224D2">
        <w:rPr>
          <w:iCs/>
        </w:rPr>
        <w:lastRenderedPageBreak/>
        <w:t>The TGA Clinical Evaluation Report</w:t>
      </w:r>
      <w:r w:rsidR="005F16BA">
        <w:rPr>
          <w:iCs/>
        </w:rPr>
        <w:t xml:space="preserve"> (CER)</w:t>
      </w:r>
      <w:r w:rsidRPr="00D224D2">
        <w:rPr>
          <w:iCs/>
        </w:rPr>
        <w:t xml:space="preserve"> </w:t>
      </w:r>
      <w:r>
        <w:rPr>
          <w:iCs/>
        </w:rPr>
        <w:t xml:space="preserve">also </w:t>
      </w:r>
      <w:r w:rsidRPr="00D224D2">
        <w:rPr>
          <w:iCs/>
        </w:rPr>
        <w:t>considered the results of Study-R201212 as supportive evidence only due to the open-label design and small sample size for the treatment of lower limb spasticity in children aged 2-12 years (</w:t>
      </w:r>
      <w:r w:rsidR="00B33294">
        <w:rPr>
          <w:iCs/>
        </w:rPr>
        <w:t>TGA CER</w:t>
      </w:r>
      <w:r w:rsidRPr="00D224D2">
        <w:rPr>
          <w:iCs/>
        </w:rPr>
        <w:t xml:space="preserve">). The TGA </w:t>
      </w:r>
      <w:r w:rsidR="00B33294">
        <w:rPr>
          <w:iCs/>
        </w:rPr>
        <w:t>CER</w:t>
      </w:r>
      <w:r w:rsidR="00B33294" w:rsidRPr="00D224D2">
        <w:rPr>
          <w:iCs/>
        </w:rPr>
        <w:t xml:space="preserve"> </w:t>
      </w:r>
      <w:r w:rsidRPr="00D224D2">
        <w:rPr>
          <w:iCs/>
        </w:rPr>
        <w:t xml:space="preserve">further stated that the therapeutic equivalence between Xeomin and Botox could not be demonstrated in the absence of a non-inferiority comparative trial </w:t>
      </w:r>
      <w:r w:rsidR="008B1C94">
        <w:rPr>
          <w:iCs/>
        </w:rPr>
        <w:t xml:space="preserve">and that </w:t>
      </w:r>
      <w:r w:rsidR="008B1C94" w:rsidRPr="008B1C94">
        <w:rPr>
          <w:iCs/>
        </w:rPr>
        <w:t xml:space="preserve">the doses </w:t>
      </w:r>
      <w:r w:rsidR="008B1C94">
        <w:rPr>
          <w:iCs/>
        </w:rPr>
        <w:t>o</w:t>
      </w:r>
      <w:r w:rsidR="008B1C94" w:rsidRPr="008B1C94">
        <w:rPr>
          <w:iCs/>
        </w:rPr>
        <w:t xml:space="preserve">f Xeomin used in </w:t>
      </w:r>
      <w:r w:rsidR="004E2DD3">
        <w:rPr>
          <w:iCs/>
        </w:rPr>
        <w:t>S</w:t>
      </w:r>
      <w:r w:rsidR="008B1C94" w:rsidRPr="008B1C94">
        <w:rPr>
          <w:iCs/>
        </w:rPr>
        <w:t>tudy</w:t>
      </w:r>
      <w:r w:rsidR="004E2DD3">
        <w:rPr>
          <w:iCs/>
        </w:rPr>
        <w:t>-R</w:t>
      </w:r>
      <w:r w:rsidR="007808D5">
        <w:rPr>
          <w:iCs/>
        </w:rPr>
        <w:t>201212</w:t>
      </w:r>
      <w:r w:rsidR="008B1C94" w:rsidRPr="008B1C94">
        <w:rPr>
          <w:iCs/>
        </w:rPr>
        <w:t xml:space="preserve"> are one-quarter to one-half the dose used in the phase III </w:t>
      </w:r>
      <w:r w:rsidR="00FC4C0F">
        <w:rPr>
          <w:iCs/>
        </w:rPr>
        <w:t xml:space="preserve">Xeomin </w:t>
      </w:r>
      <w:r w:rsidR="008B1C94" w:rsidRPr="008B1C94">
        <w:rPr>
          <w:iCs/>
        </w:rPr>
        <w:t xml:space="preserve">clinical studies </w:t>
      </w:r>
      <w:r w:rsidRPr="00D224D2">
        <w:rPr>
          <w:iCs/>
        </w:rPr>
        <w:t>(</w:t>
      </w:r>
      <w:r w:rsidR="00B33294">
        <w:rPr>
          <w:iCs/>
        </w:rPr>
        <w:t>TGA CER</w:t>
      </w:r>
      <w:r w:rsidRPr="00D224D2">
        <w:rPr>
          <w:iCs/>
        </w:rPr>
        <w:t>)</w:t>
      </w:r>
      <w:r w:rsidR="008B1AD8">
        <w:rPr>
          <w:iCs/>
        </w:rPr>
        <w:t>.</w:t>
      </w:r>
    </w:p>
    <w:p w14:paraId="7929381A" w14:textId="1F9BBBA4" w:rsidR="00520164" w:rsidRPr="00520164" w:rsidRDefault="00A71B26" w:rsidP="0049200A">
      <w:pPr>
        <w:pStyle w:val="3-BodyText"/>
        <w:rPr>
          <w:iCs/>
        </w:rPr>
      </w:pPr>
      <w:r w:rsidRPr="00F81767">
        <w:t>The submission did not conduct an indirect comparison between Xeomin and Botox (the primary comparator) or Dysport (which is also PBS-listed for this indication</w:t>
      </w:r>
      <w:r w:rsidRPr="00580094">
        <w:t>).</w:t>
      </w:r>
      <w:r>
        <w:t xml:space="preserve"> </w:t>
      </w:r>
      <w:r w:rsidRPr="00F81767">
        <w:t xml:space="preserve">Instead, it presented within-trial </w:t>
      </w:r>
      <w:r w:rsidR="00C10577" w:rsidRPr="00F81767">
        <w:t xml:space="preserve">results from Xeomin </w:t>
      </w:r>
      <w:r w:rsidR="00565292" w:rsidRPr="00F81767">
        <w:t>trials</w:t>
      </w:r>
      <w:r w:rsidR="00C10577" w:rsidRPr="00F81767">
        <w:t xml:space="preserve"> (</w:t>
      </w:r>
      <w:r w:rsidR="00565292" w:rsidRPr="00F81767">
        <w:t>XARA and TIM</w:t>
      </w:r>
      <w:r w:rsidR="00C10577" w:rsidRPr="00F81767">
        <w:t xml:space="preserve">) </w:t>
      </w:r>
      <w:r w:rsidR="008E194A" w:rsidRPr="00F81767">
        <w:t>and Botox studies (</w:t>
      </w:r>
      <w:r w:rsidR="003D3943" w:rsidRPr="00F81767">
        <w:fldChar w:fldCharType="begin"/>
      </w:r>
      <w:r w:rsidR="003D3943" w:rsidRPr="00F81767">
        <w:instrText xml:space="preserve"> REF _Ref198638151 \h </w:instrText>
      </w:r>
      <w:r w:rsidR="003D3943" w:rsidRPr="00F81767">
        <w:fldChar w:fldCharType="separate"/>
      </w:r>
      <w:r w:rsidR="00AD57D3">
        <w:t xml:space="preserve">Table </w:t>
      </w:r>
      <w:r w:rsidR="00AD57D3">
        <w:rPr>
          <w:noProof/>
        </w:rPr>
        <w:t>3</w:t>
      </w:r>
      <w:r w:rsidR="003D3943" w:rsidRPr="00F81767">
        <w:fldChar w:fldCharType="end"/>
      </w:r>
      <w:r w:rsidR="008E194A" w:rsidRPr="00F81767">
        <w:t xml:space="preserve">), </w:t>
      </w:r>
      <w:r w:rsidRPr="00F81767">
        <w:t>showing changes from baseline in Ashworth Scale or M</w:t>
      </w:r>
      <w:r w:rsidR="0022685B" w:rsidRPr="00F81767">
        <w:t xml:space="preserve">odified </w:t>
      </w:r>
      <w:r w:rsidR="00550E06" w:rsidRPr="00F81767">
        <w:t>Ashworth Scale</w:t>
      </w:r>
      <w:r w:rsidRPr="00F81767">
        <w:t xml:space="preserve"> scores, and, </w:t>
      </w:r>
      <w:r w:rsidR="003C2670" w:rsidRPr="00F81767">
        <w:t>additionally</w:t>
      </w:r>
      <w:r w:rsidRPr="00F81767">
        <w:t xml:space="preserve"> for lower limb spasticity, changes in Gross Motor Function Measure (GMFM) scores from the TIM trial (for Xeomin) and </w:t>
      </w:r>
      <w:r w:rsidR="00E71EA6" w:rsidRPr="00F81767">
        <w:t>a Botox study (</w:t>
      </w:r>
      <w:r w:rsidR="008F71A0" w:rsidRPr="00F81767">
        <w:t>Flett 1999</w:t>
      </w:r>
      <w:r w:rsidR="00E71EA6" w:rsidRPr="00F81767">
        <w:t>)</w:t>
      </w:r>
      <w:r w:rsidRPr="00F81767">
        <w:t>. No attempt was made to adjust for differences between studies, such as participant characteristics, dosing protocols, or outcome measures, thereby limiting the validity of any implied comparison.</w:t>
      </w:r>
      <w:r w:rsidR="00520164" w:rsidRPr="00520164">
        <w:t xml:space="preserve"> </w:t>
      </w:r>
      <w:r w:rsidR="00571939" w:rsidRPr="00DE3522">
        <w:t xml:space="preserve">The </w:t>
      </w:r>
      <w:r w:rsidR="009D7AE1" w:rsidRPr="00DE3522">
        <w:t xml:space="preserve">PSCR </w:t>
      </w:r>
      <w:r w:rsidR="00B6746D" w:rsidRPr="00DE3522">
        <w:t xml:space="preserve">noted that </w:t>
      </w:r>
      <w:r w:rsidR="004179E6" w:rsidRPr="00DE3522">
        <w:t xml:space="preserve">a valid formal indirect comparison would require that all included studies are similar in factors which </w:t>
      </w:r>
      <w:r w:rsidR="00C9022E" w:rsidRPr="00DE3522">
        <w:t>a</w:t>
      </w:r>
      <w:r w:rsidR="004179E6" w:rsidRPr="00DE3522">
        <w:t>ffect their result.</w:t>
      </w:r>
      <w:r w:rsidR="00571939" w:rsidRPr="00DE3522">
        <w:t xml:space="preserve"> </w:t>
      </w:r>
      <w:r w:rsidR="00B6746D" w:rsidRPr="00DE3522">
        <w:t>The PSCR</w:t>
      </w:r>
      <w:r w:rsidR="00BE223C">
        <w:t xml:space="preserve"> </w:t>
      </w:r>
      <w:r w:rsidR="00B6746D" w:rsidRPr="00DE3522">
        <w:t xml:space="preserve">also </w:t>
      </w:r>
      <w:r w:rsidR="00E64EB4" w:rsidRPr="00DE3522">
        <w:t xml:space="preserve">noted that the </w:t>
      </w:r>
      <w:r w:rsidR="00260799" w:rsidRPr="00DE3522">
        <w:t>general low quality of the primary comparator studies with lack of information in the</w:t>
      </w:r>
      <w:r w:rsidR="007D5422" w:rsidRPr="00DE3522">
        <w:t xml:space="preserve">ir </w:t>
      </w:r>
      <w:r w:rsidR="00260799" w:rsidRPr="00DE3522">
        <w:t xml:space="preserve">published papers </w:t>
      </w:r>
      <w:r w:rsidR="007D5422" w:rsidRPr="00DE3522">
        <w:t>on study conduct and methodology</w:t>
      </w:r>
      <w:r w:rsidR="00426ECB" w:rsidRPr="00DE3522">
        <w:t>,</w:t>
      </w:r>
      <w:r w:rsidR="007D5422" w:rsidRPr="00DE3522">
        <w:t xml:space="preserve"> complicates the possibility of a formal indirect comparison.</w:t>
      </w:r>
      <w:r w:rsidR="004179E6" w:rsidRPr="00DE3522">
        <w:t xml:space="preserve"> The ESC </w:t>
      </w:r>
      <w:r w:rsidR="00B45FBC" w:rsidRPr="00DE3522">
        <w:t xml:space="preserve">noted there are methods for adjusting for </w:t>
      </w:r>
      <w:r w:rsidR="00D929B7" w:rsidRPr="00DE3522">
        <w:t>differential factors between trials.</w:t>
      </w:r>
    </w:p>
    <w:p w14:paraId="1C7BC55F" w14:textId="06AEE24F" w:rsidR="004F2774" w:rsidRPr="00F81767" w:rsidRDefault="00C57F4F" w:rsidP="0049200A">
      <w:pPr>
        <w:pStyle w:val="3-BodyText"/>
        <w:spacing w:before="120" w:after="120"/>
        <w:rPr>
          <w:iCs/>
        </w:rPr>
      </w:pPr>
      <w:r w:rsidRPr="0087605E">
        <w:t xml:space="preserve">The submission presented a side-by-side comparison of the </w:t>
      </w:r>
      <w:r w:rsidR="008749F5">
        <w:t>Xeomin</w:t>
      </w:r>
      <w:r w:rsidRPr="0087605E">
        <w:t xml:space="preserve"> </w:t>
      </w:r>
      <w:r w:rsidR="008C603F" w:rsidRPr="00F81767">
        <w:t xml:space="preserve">XARA </w:t>
      </w:r>
      <w:r w:rsidRPr="0087605E">
        <w:t xml:space="preserve">trial and Botox </w:t>
      </w:r>
      <w:r w:rsidR="008749F5">
        <w:t>studies</w:t>
      </w:r>
      <w:r w:rsidRPr="0087605E">
        <w:t xml:space="preserve"> </w:t>
      </w:r>
      <w:r>
        <w:t>to compare</w:t>
      </w:r>
      <w:r w:rsidRPr="00016E56">
        <w:t xml:space="preserve"> Xeomin and Botox for </w:t>
      </w:r>
      <w:r w:rsidR="008749F5">
        <w:t>upper</w:t>
      </w:r>
      <w:r w:rsidRPr="00016E56">
        <w:t>-limb spasticity</w:t>
      </w:r>
      <w:r>
        <w:t xml:space="preserve"> due to cerebral palsy (</w:t>
      </w:r>
      <w:bookmarkStart w:id="42" w:name="_Hlk198638232"/>
      <w:r w:rsidR="003D3943">
        <w:fldChar w:fldCharType="begin"/>
      </w:r>
      <w:r w:rsidR="003D3943">
        <w:instrText xml:space="preserve"> REF _Ref198638213 \h </w:instrText>
      </w:r>
      <w:r w:rsidR="003D3943">
        <w:fldChar w:fldCharType="separate"/>
      </w:r>
      <w:r w:rsidR="00AD57D3">
        <w:t xml:space="preserve">Table </w:t>
      </w:r>
      <w:r w:rsidR="00AD57D3">
        <w:rPr>
          <w:noProof/>
        </w:rPr>
        <w:t>5</w:t>
      </w:r>
      <w:r w:rsidR="003D3943">
        <w:fldChar w:fldCharType="end"/>
      </w:r>
      <w:bookmarkEnd w:id="42"/>
      <w:r>
        <w:t>).</w:t>
      </w:r>
    </w:p>
    <w:p w14:paraId="2B6B472A" w14:textId="74D10D07" w:rsidR="00727D96" w:rsidRDefault="00727D96" w:rsidP="0049200A">
      <w:pPr>
        <w:pStyle w:val="TableFigureHeading"/>
      </w:pPr>
      <w:bookmarkStart w:id="43" w:name="_Ref198638213"/>
      <w:r>
        <w:lastRenderedPageBreak/>
        <w:t xml:space="preserve">Table </w:t>
      </w:r>
      <w:r w:rsidR="00A63BF6">
        <w:fldChar w:fldCharType="begin"/>
      </w:r>
      <w:r w:rsidR="00A63BF6">
        <w:instrText xml:space="preserve"> SEQ Table \* ARABIC </w:instrText>
      </w:r>
      <w:r w:rsidR="00A63BF6">
        <w:fldChar w:fldCharType="separate"/>
      </w:r>
      <w:r w:rsidR="00AD57D3">
        <w:rPr>
          <w:noProof/>
        </w:rPr>
        <w:t>5</w:t>
      </w:r>
      <w:r w:rsidR="00A63BF6">
        <w:rPr>
          <w:noProof/>
        </w:rPr>
        <w:fldChar w:fldCharType="end"/>
      </w:r>
      <w:bookmarkEnd w:id="43"/>
      <w:r>
        <w:t xml:space="preserve">: </w:t>
      </w:r>
      <w:r w:rsidRPr="00E8562B">
        <w:t>Xeomin vs Botox for upper-limb spasticity due to cerebral palsy, as presented in the submission</w:t>
      </w:r>
    </w:p>
    <w:tbl>
      <w:tblPr>
        <w:tblStyle w:val="TableGrid"/>
        <w:tblW w:w="5000" w:type="pct"/>
        <w:tblLook w:val="04A0" w:firstRow="1" w:lastRow="0" w:firstColumn="1" w:lastColumn="0" w:noHBand="0" w:noVBand="1"/>
        <w:tblCaption w:val="Table 5: Xeomin vs Botox for upper-limb spasticity due to cerebral palsy, as presented in the submission"/>
      </w:tblPr>
      <w:tblGrid>
        <w:gridCol w:w="1631"/>
        <w:gridCol w:w="2350"/>
        <w:gridCol w:w="2518"/>
        <w:gridCol w:w="2518"/>
      </w:tblGrid>
      <w:tr w:rsidR="00B401BF" w:rsidRPr="007D2D5F" w14:paraId="47B28B4D" w14:textId="6536D218" w:rsidTr="00B401BF">
        <w:tc>
          <w:tcPr>
            <w:tcW w:w="904" w:type="pct"/>
            <w:vAlign w:val="center"/>
          </w:tcPr>
          <w:p w14:paraId="443E4F66" w14:textId="0EE078E3" w:rsidR="00B401BF" w:rsidRPr="007D2D5F" w:rsidRDefault="00B401BF" w:rsidP="0049200A">
            <w:pPr>
              <w:pStyle w:val="In-tableHeading"/>
              <w:jc w:val="center"/>
            </w:pPr>
            <w:r>
              <w:t>Xeomin</w:t>
            </w:r>
          </w:p>
        </w:tc>
        <w:tc>
          <w:tcPr>
            <w:tcW w:w="1303" w:type="pct"/>
            <w:vAlign w:val="center"/>
          </w:tcPr>
          <w:p w14:paraId="2578D0F3" w14:textId="77777777" w:rsidR="00B401BF" w:rsidRPr="00DC01D8" w:rsidRDefault="00B401BF" w:rsidP="0049200A">
            <w:pPr>
              <w:pStyle w:val="In-tableHeading"/>
              <w:jc w:val="center"/>
              <w:rPr>
                <w:b w:val="0"/>
                <w:szCs w:val="20"/>
              </w:rPr>
            </w:pPr>
            <w:r w:rsidRPr="00DC01D8">
              <w:t>Baseline AS</w:t>
            </w:r>
          </w:p>
          <w:p w14:paraId="26F4CC67" w14:textId="77777777" w:rsidR="00B401BF" w:rsidRPr="007D2D5F" w:rsidRDefault="00B401BF" w:rsidP="0049200A">
            <w:pPr>
              <w:pStyle w:val="In-tableHeading"/>
              <w:jc w:val="center"/>
            </w:pPr>
            <w:r w:rsidRPr="00DC01D8">
              <w:t>Mean (SD)</w:t>
            </w:r>
          </w:p>
        </w:tc>
        <w:tc>
          <w:tcPr>
            <w:tcW w:w="1396" w:type="pct"/>
            <w:vAlign w:val="center"/>
          </w:tcPr>
          <w:p w14:paraId="185241E5" w14:textId="59744487" w:rsidR="00B401BF" w:rsidRPr="00334301" w:rsidRDefault="00B401BF" w:rsidP="0049200A">
            <w:pPr>
              <w:pStyle w:val="In-tableHeading"/>
              <w:jc w:val="center"/>
              <w:rPr>
                <w:szCs w:val="20"/>
                <w:vertAlign w:val="superscript"/>
              </w:rPr>
            </w:pPr>
            <w:r w:rsidRPr="00AB6C7C">
              <w:t xml:space="preserve">Change in AS score vs </w:t>
            </w:r>
            <w:r w:rsidRPr="00AB6C7C">
              <w:rPr>
                <w:szCs w:val="20"/>
              </w:rPr>
              <w:t>baseline, first measure</w:t>
            </w:r>
            <w:r w:rsidR="00334301">
              <w:rPr>
                <w:szCs w:val="20"/>
              </w:rPr>
              <w:t xml:space="preserve"> </w:t>
            </w:r>
            <w:r w:rsidR="00334301">
              <w:rPr>
                <w:szCs w:val="20"/>
                <w:vertAlign w:val="superscript"/>
              </w:rPr>
              <w:t>a</w:t>
            </w:r>
          </w:p>
          <w:p w14:paraId="26B6A3B1" w14:textId="77777777" w:rsidR="00B401BF" w:rsidRPr="007D2D5F" w:rsidRDefault="00B401BF" w:rsidP="0049200A">
            <w:pPr>
              <w:pStyle w:val="In-tableHeading"/>
              <w:jc w:val="center"/>
            </w:pPr>
            <w:r w:rsidRPr="00DA6EEC">
              <w:t>LS</w:t>
            </w:r>
            <w:r>
              <w:t>M</w:t>
            </w:r>
            <w:r w:rsidRPr="00DA6EEC">
              <w:t xml:space="preserve"> </w:t>
            </w:r>
            <w:r>
              <w:t>(</w:t>
            </w:r>
            <w:r w:rsidRPr="00DA6EEC">
              <w:t>SE</w:t>
            </w:r>
            <w:r>
              <w:t>)</w:t>
            </w:r>
            <w:r w:rsidRPr="00DA6EEC">
              <w:t xml:space="preserve">; </w:t>
            </w:r>
            <w:r>
              <w:t>(</w:t>
            </w:r>
            <w:r w:rsidRPr="00DA6EEC">
              <w:t>95% CI)</w:t>
            </w:r>
          </w:p>
        </w:tc>
        <w:tc>
          <w:tcPr>
            <w:tcW w:w="1396" w:type="pct"/>
          </w:tcPr>
          <w:p w14:paraId="3220A78D" w14:textId="012E1E8C" w:rsidR="00B401BF" w:rsidRPr="00334301" w:rsidRDefault="00B401BF" w:rsidP="0049200A">
            <w:pPr>
              <w:pStyle w:val="In-tableHeading"/>
              <w:jc w:val="center"/>
              <w:rPr>
                <w:szCs w:val="20"/>
                <w:vertAlign w:val="superscript"/>
              </w:rPr>
            </w:pPr>
            <w:r w:rsidRPr="00AB6C7C">
              <w:t xml:space="preserve">Change in AS score vs </w:t>
            </w:r>
            <w:r w:rsidRPr="00AB6C7C">
              <w:rPr>
                <w:szCs w:val="20"/>
              </w:rPr>
              <w:t xml:space="preserve">baseline, </w:t>
            </w:r>
            <w:r>
              <w:rPr>
                <w:szCs w:val="20"/>
              </w:rPr>
              <w:t>second</w:t>
            </w:r>
            <w:r w:rsidRPr="00AB6C7C">
              <w:rPr>
                <w:szCs w:val="20"/>
              </w:rPr>
              <w:t xml:space="preserve"> measure</w:t>
            </w:r>
            <w:r w:rsidR="00334301">
              <w:rPr>
                <w:szCs w:val="20"/>
              </w:rPr>
              <w:t xml:space="preserve"> </w:t>
            </w:r>
            <w:r w:rsidR="00334301">
              <w:rPr>
                <w:szCs w:val="20"/>
                <w:vertAlign w:val="superscript"/>
              </w:rPr>
              <w:t>b</w:t>
            </w:r>
          </w:p>
          <w:p w14:paraId="0326C10F" w14:textId="77365C6B" w:rsidR="00B401BF" w:rsidRPr="00AB6C7C" w:rsidRDefault="00B401BF" w:rsidP="0049200A">
            <w:pPr>
              <w:pStyle w:val="In-tableHeading"/>
              <w:jc w:val="center"/>
            </w:pPr>
            <w:r w:rsidRPr="00DA6EEC">
              <w:t>LS</w:t>
            </w:r>
            <w:r>
              <w:t>M</w:t>
            </w:r>
            <w:r w:rsidRPr="00DA6EEC">
              <w:t xml:space="preserve"> </w:t>
            </w:r>
            <w:r>
              <w:t>(</w:t>
            </w:r>
            <w:r w:rsidRPr="00DA6EEC">
              <w:t>SE</w:t>
            </w:r>
            <w:r>
              <w:t>)</w:t>
            </w:r>
          </w:p>
        </w:tc>
      </w:tr>
      <w:tr w:rsidR="00B401BF" w:rsidRPr="007D2D5F" w14:paraId="432C42CA" w14:textId="0CFE858F" w:rsidTr="00B401BF">
        <w:tc>
          <w:tcPr>
            <w:tcW w:w="904" w:type="pct"/>
            <w:vAlign w:val="center"/>
          </w:tcPr>
          <w:p w14:paraId="2796E62F" w14:textId="05DD894C" w:rsidR="00B401BF" w:rsidRPr="007D2D5F" w:rsidRDefault="00B401BF" w:rsidP="0049200A">
            <w:pPr>
              <w:pStyle w:val="TableText0"/>
              <w:jc w:val="center"/>
            </w:pPr>
            <w:r>
              <w:t>2 U/kg XARA</w:t>
            </w:r>
          </w:p>
        </w:tc>
        <w:tc>
          <w:tcPr>
            <w:tcW w:w="1303" w:type="pct"/>
            <w:vAlign w:val="center"/>
          </w:tcPr>
          <w:p w14:paraId="6309716A" w14:textId="4F72DF1F" w:rsidR="00B401BF" w:rsidRPr="007D2D5F" w:rsidRDefault="00B401BF" w:rsidP="0049200A">
            <w:pPr>
              <w:pStyle w:val="TableText0"/>
              <w:jc w:val="center"/>
            </w:pPr>
            <w:r>
              <w:t>2.6 (0.52)</w:t>
            </w:r>
          </w:p>
        </w:tc>
        <w:tc>
          <w:tcPr>
            <w:tcW w:w="1396" w:type="pct"/>
            <w:vAlign w:val="center"/>
          </w:tcPr>
          <w:p w14:paraId="7C50CF43" w14:textId="4B084FED" w:rsidR="00B401BF" w:rsidRPr="007D2D5F" w:rsidRDefault="00B401BF" w:rsidP="0049200A">
            <w:pPr>
              <w:pStyle w:val="TableText0"/>
              <w:jc w:val="center"/>
            </w:pPr>
            <w:r w:rsidRPr="0087454A">
              <w:t>-0.</w:t>
            </w:r>
            <w:r>
              <w:t>93</w:t>
            </w:r>
            <w:r w:rsidRPr="0087454A">
              <w:t xml:space="preserve"> (0.0</w:t>
            </w:r>
            <w:r>
              <w:t>78</w:t>
            </w:r>
            <w:r w:rsidRPr="0087454A">
              <w:t>);</w:t>
            </w:r>
            <w:r>
              <w:t xml:space="preserve"> </w:t>
            </w:r>
            <w:r w:rsidRPr="00754EF2">
              <w:t>(-1.08; -0.78</w:t>
            </w:r>
            <w:r w:rsidRPr="0087454A">
              <w:t>)</w:t>
            </w:r>
          </w:p>
        </w:tc>
        <w:tc>
          <w:tcPr>
            <w:tcW w:w="1396" w:type="pct"/>
          </w:tcPr>
          <w:p w14:paraId="1B56816A" w14:textId="7B6C20E0" w:rsidR="00B401BF" w:rsidRPr="0087454A" w:rsidRDefault="00E91902" w:rsidP="0049200A">
            <w:pPr>
              <w:pStyle w:val="TableText0"/>
              <w:jc w:val="center"/>
            </w:pPr>
            <w:r w:rsidRPr="00E91902">
              <w:t>-0.4 (0.56)</w:t>
            </w:r>
          </w:p>
        </w:tc>
      </w:tr>
      <w:tr w:rsidR="00B401BF" w:rsidRPr="007D2D5F" w14:paraId="165CAE37" w14:textId="67B84848" w:rsidTr="00B401BF">
        <w:tc>
          <w:tcPr>
            <w:tcW w:w="904" w:type="pct"/>
            <w:vAlign w:val="center"/>
          </w:tcPr>
          <w:p w14:paraId="140B0631" w14:textId="3537F90D" w:rsidR="00B401BF" w:rsidRDefault="00B401BF" w:rsidP="0049200A">
            <w:pPr>
              <w:pStyle w:val="TableText0"/>
              <w:jc w:val="center"/>
            </w:pPr>
            <w:r>
              <w:t>6 U/kg XARA</w:t>
            </w:r>
          </w:p>
        </w:tc>
        <w:tc>
          <w:tcPr>
            <w:tcW w:w="1303" w:type="pct"/>
            <w:vAlign w:val="center"/>
          </w:tcPr>
          <w:p w14:paraId="05F9523B" w14:textId="2E785772" w:rsidR="00B401BF" w:rsidRPr="007D2D5F" w:rsidRDefault="00B401BF" w:rsidP="0049200A">
            <w:pPr>
              <w:pStyle w:val="TableText0"/>
              <w:jc w:val="center"/>
            </w:pPr>
            <w:r w:rsidRPr="00582108">
              <w:t>2.</w:t>
            </w:r>
            <w:r>
              <w:t>6</w:t>
            </w:r>
            <w:r w:rsidRPr="00582108">
              <w:t xml:space="preserve"> (0.5</w:t>
            </w:r>
            <w:r>
              <w:t>2</w:t>
            </w:r>
            <w:r w:rsidRPr="00582108">
              <w:t>)</w:t>
            </w:r>
          </w:p>
        </w:tc>
        <w:tc>
          <w:tcPr>
            <w:tcW w:w="1396" w:type="pct"/>
            <w:vAlign w:val="center"/>
          </w:tcPr>
          <w:p w14:paraId="48D45F66" w14:textId="6471AFE6" w:rsidR="00B401BF" w:rsidRDefault="00B401BF" w:rsidP="0049200A">
            <w:pPr>
              <w:pStyle w:val="TableText0"/>
              <w:jc w:val="center"/>
            </w:pPr>
            <w:r w:rsidRPr="0096378F">
              <w:t>-</w:t>
            </w:r>
            <w:r>
              <w:t>1.02</w:t>
            </w:r>
            <w:r w:rsidRPr="0096378F">
              <w:t xml:space="preserve"> (0.08</w:t>
            </w:r>
            <w:r>
              <w:t>2</w:t>
            </w:r>
            <w:r w:rsidRPr="0096378F">
              <w:t>)</w:t>
            </w:r>
          </w:p>
        </w:tc>
        <w:tc>
          <w:tcPr>
            <w:tcW w:w="1396" w:type="pct"/>
          </w:tcPr>
          <w:p w14:paraId="23B9D67D" w14:textId="215DD7EB" w:rsidR="00B401BF" w:rsidRPr="0096378F" w:rsidRDefault="004F19F5" w:rsidP="0049200A">
            <w:pPr>
              <w:pStyle w:val="TableText0"/>
              <w:jc w:val="center"/>
            </w:pPr>
            <w:r w:rsidRPr="004F19F5">
              <w:t>-0.4 (0.56)</w:t>
            </w:r>
          </w:p>
        </w:tc>
      </w:tr>
      <w:tr w:rsidR="00B401BF" w:rsidRPr="007D2D5F" w14:paraId="2F94439D" w14:textId="15164BF9" w:rsidTr="00B401BF">
        <w:tc>
          <w:tcPr>
            <w:tcW w:w="904" w:type="pct"/>
            <w:vAlign w:val="center"/>
          </w:tcPr>
          <w:p w14:paraId="7C942581" w14:textId="4364CD1B" w:rsidR="00B401BF" w:rsidRPr="007D2D5F" w:rsidRDefault="00B401BF" w:rsidP="0049200A">
            <w:pPr>
              <w:pStyle w:val="TableText0"/>
              <w:jc w:val="center"/>
            </w:pPr>
            <w:r>
              <w:t>8 U/kg XARA</w:t>
            </w:r>
          </w:p>
        </w:tc>
        <w:tc>
          <w:tcPr>
            <w:tcW w:w="1303" w:type="pct"/>
            <w:vAlign w:val="center"/>
          </w:tcPr>
          <w:p w14:paraId="5A6FC889" w14:textId="5BE67469" w:rsidR="00B401BF" w:rsidRPr="007D2D5F" w:rsidRDefault="00B401BF" w:rsidP="0049200A">
            <w:pPr>
              <w:pStyle w:val="TableText0"/>
              <w:jc w:val="center"/>
            </w:pPr>
            <w:r w:rsidRPr="00A6721E">
              <w:t>2.7 (0.</w:t>
            </w:r>
            <w:r>
              <w:t>5</w:t>
            </w:r>
            <w:r w:rsidRPr="00A6721E">
              <w:t>6)</w:t>
            </w:r>
          </w:p>
        </w:tc>
        <w:tc>
          <w:tcPr>
            <w:tcW w:w="1396" w:type="pct"/>
            <w:vAlign w:val="center"/>
          </w:tcPr>
          <w:p w14:paraId="0D6D2795" w14:textId="01CC9A6A" w:rsidR="00B401BF" w:rsidRPr="007D2D5F" w:rsidRDefault="00B401BF" w:rsidP="0049200A">
            <w:pPr>
              <w:pStyle w:val="TableText0"/>
              <w:jc w:val="center"/>
            </w:pPr>
            <w:r w:rsidRPr="009918FE">
              <w:t>-</w:t>
            </w:r>
            <w:r>
              <w:t>1</w:t>
            </w:r>
            <w:r w:rsidRPr="009918FE">
              <w:t>.</w:t>
            </w:r>
            <w:r>
              <w:t>15</w:t>
            </w:r>
            <w:r w:rsidRPr="009918FE">
              <w:t xml:space="preserve"> (0.05</w:t>
            </w:r>
            <w:r>
              <w:t>6</w:t>
            </w:r>
            <w:r w:rsidRPr="009918FE">
              <w:t>);</w:t>
            </w:r>
            <w:r>
              <w:t xml:space="preserve"> </w:t>
            </w:r>
            <w:r w:rsidRPr="009918FE">
              <w:t>(-</w:t>
            </w:r>
            <w:r>
              <w:t>1</w:t>
            </w:r>
            <w:r w:rsidRPr="009918FE">
              <w:t>.</w:t>
            </w:r>
            <w:r>
              <w:t>26</w:t>
            </w:r>
            <w:r w:rsidRPr="009918FE">
              <w:t>; -</w:t>
            </w:r>
            <w:r>
              <w:t>1</w:t>
            </w:r>
            <w:r w:rsidRPr="009918FE">
              <w:t>.</w:t>
            </w:r>
            <w:r>
              <w:t>04</w:t>
            </w:r>
            <w:r w:rsidRPr="009918FE">
              <w:t>)</w:t>
            </w:r>
          </w:p>
        </w:tc>
        <w:tc>
          <w:tcPr>
            <w:tcW w:w="1396" w:type="pct"/>
          </w:tcPr>
          <w:p w14:paraId="136D3A8B" w14:textId="4733B9D5" w:rsidR="00B401BF" w:rsidRPr="009918FE" w:rsidRDefault="004C52DE" w:rsidP="0049200A">
            <w:pPr>
              <w:pStyle w:val="TableText0"/>
              <w:jc w:val="center"/>
            </w:pPr>
            <w:r w:rsidRPr="004C52DE">
              <w:t>-0.4 (0.63)</w:t>
            </w:r>
          </w:p>
        </w:tc>
      </w:tr>
      <w:tr w:rsidR="00B401BF" w:rsidRPr="007D2D5F" w14:paraId="31BFF66A" w14:textId="01342B90" w:rsidTr="00B401BF">
        <w:tc>
          <w:tcPr>
            <w:tcW w:w="904" w:type="pct"/>
            <w:vAlign w:val="center"/>
          </w:tcPr>
          <w:p w14:paraId="65F2B89F" w14:textId="77777777" w:rsidR="00B401BF" w:rsidRPr="007D2D5F" w:rsidRDefault="00B401BF" w:rsidP="0049200A">
            <w:pPr>
              <w:pStyle w:val="In-tableHeading"/>
              <w:jc w:val="center"/>
            </w:pPr>
            <w:r>
              <w:t>Botox</w:t>
            </w:r>
          </w:p>
        </w:tc>
        <w:tc>
          <w:tcPr>
            <w:tcW w:w="1303" w:type="pct"/>
            <w:vAlign w:val="center"/>
          </w:tcPr>
          <w:p w14:paraId="2BA19CC1" w14:textId="07B57DBD" w:rsidR="00B401BF" w:rsidRDefault="00B401BF" w:rsidP="0049200A">
            <w:pPr>
              <w:pStyle w:val="In-tableHeading"/>
              <w:jc w:val="center"/>
            </w:pPr>
            <w:r w:rsidRPr="00DC01D8">
              <w:t>Baseline MAS</w:t>
            </w:r>
          </w:p>
          <w:p w14:paraId="72076EA7" w14:textId="77777777" w:rsidR="00B401BF" w:rsidRPr="007D2D5F" w:rsidRDefault="00B401BF" w:rsidP="0049200A">
            <w:pPr>
              <w:pStyle w:val="In-tableHeading"/>
              <w:jc w:val="center"/>
            </w:pPr>
            <w:r w:rsidRPr="00DC01D8">
              <w:t>Mean (SD)</w:t>
            </w:r>
          </w:p>
        </w:tc>
        <w:tc>
          <w:tcPr>
            <w:tcW w:w="1396" w:type="pct"/>
            <w:vAlign w:val="center"/>
          </w:tcPr>
          <w:p w14:paraId="7E8D9DA6" w14:textId="32505C0E" w:rsidR="00B12EB0" w:rsidRDefault="00B401BF" w:rsidP="0049200A">
            <w:pPr>
              <w:pStyle w:val="In-tableHeading"/>
              <w:jc w:val="center"/>
            </w:pPr>
            <w:r w:rsidRPr="007F20B0">
              <w:t>Change in MAS score vs baseline</w:t>
            </w:r>
            <w:r w:rsidR="00B12EB0">
              <w:t>, first measure</w:t>
            </w:r>
            <w:r>
              <w:t xml:space="preserve"> </w:t>
            </w:r>
          </w:p>
          <w:p w14:paraId="222CF501" w14:textId="5C2E7D66" w:rsidR="00B401BF" w:rsidRPr="007D2D5F" w:rsidRDefault="00B401BF" w:rsidP="0049200A">
            <w:pPr>
              <w:pStyle w:val="In-tableHeading"/>
              <w:jc w:val="center"/>
            </w:pPr>
            <w:r>
              <w:t>Mean</w:t>
            </w:r>
            <w:r w:rsidR="00B12EB0">
              <w:t xml:space="preserve"> (SD)</w:t>
            </w:r>
          </w:p>
        </w:tc>
        <w:tc>
          <w:tcPr>
            <w:tcW w:w="1396" w:type="pct"/>
          </w:tcPr>
          <w:p w14:paraId="2F58F324" w14:textId="15F02C01" w:rsidR="004C52DE" w:rsidRPr="00AB6C7C" w:rsidRDefault="004C52DE" w:rsidP="0049200A">
            <w:pPr>
              <w:pStyle w:val="In-tableHeading"/>
              <w:jc w:val="center"/>
              <w:rPr>
                <w:szCs w:val="20"/>
              </w:rPr>
            </w:pPr>
            <w:r w:rsidRPr="00AB6C7C">
              <w:t xml:space="preserve">Change in </w:t>
            </w:r>
            <w:r>
              <w:t>M</w:t>
            </w:r>
            <w:r w:rsidRPr="00AB6C7C">
              <w:t xml:space="preserve">AS score vs </w:t>
            </w:r>
            <w:r w:rsidRPr="00AB6C7C">
              <w:rPr>
                <w:szCs w:val="20"/>
              </w:rPr>
              <w:t xml:space="preserve">baseline, </w:t>
            </w:r>
            <w:r>
              <w:rPr>
                <w:szCs w:val="20"/>
              </w:rPr>
              <w:t>second</w:t>
            </w:r>
            <w:r w:rsidRPr="00AB6C7C">
              <w:rPr>
                <w:szCs w:val="20"/>
              </w:rPr>
              <w:t xml:space="preserve"> measure</w:t>
            </w:r>
          </w:p>
          <w:p w14:paraId="4977E37E" w14:textId="3A7D560A" w:rsidR="00B401BF" w:rsidRPr="007F20B0" w:rsidRDefault="00272BF6" w:rsidP="0049200A">
            <w:pPr>
              <w:pStyle w:val="In-tableHeading"/>
              <w:jc w:val="center"/>
            </w:pPr>
            <w:r>
              <w:t>Mean (SD)</w:t>
            </w:r>
          </w:p>
        </w:tc>
      </w:tr>
      <w:tr w:rsidR="00B401BF" w:rsidRPr="007D2D5F" w14:paraId="1988FFB1" w14:textId="12EA90D7" w:rsidTr="00395327">
        <w:tc>
          <w:tcPr>
            <w:tcW w:w="904" w:type="pct"/>
            <w:tcBorders>
              <w:bottom w:val="nil"/>
            </w:tcBorders>
            <w:vAlign w:val="center"/>
          </w:tcPr>
          <w:p w14:paraId="0BA014EC" w14:textId="468911C7" w:rsidR="00B401BF" w:rsidRDefault="004F18CD" w:rsidP="0049200A">
            <w:pPr>
              <w:pStyle w:val="In-tableHeading"/>
              <w:jc w:val="center"/>
            </w:pPr>
            <w:r>
              <w:t>Fehlings 2000</w:t>
            </w:r>
          </w:p>
        </w:tc>
        <w:tc>
          <w:tcPr>
            <w:tcW w:w="1303" w:type="pct"/>
            <w:tcBorders>
              <w:bottom w:val="nil"/>
            </w:tcBorders>
            <w:vAlign w:val="center"/>
          </w:tcPr>
          <w:p w14:paraId="174F4AA6" w14:textId="77777777" w:rsidR="00B401BF" w:rsidRPr="00DC01D8" w:rsidRDefault="00B401BF" w:rsidP="0049200A">
            <w:pPr>
              <w:pStyle w:val="In-tableHeading"/>
              <w:jc w:val="center"/>
            </w:pPr>
          </w:p>
        </w:tc>
        <w:tc>
          <w:tcPr>
            <w:tcW w:w="1396" w:type="pct"/>
            <w:tcBorders>
              <w:bottom w:val="nil"/>
            </w:tcBorders>
            <w:vAlign w:val="center"/>
          </w:tcPr>
          <w:p w14:paraId="57EF7C86" w14:textId="77777777" w:rsidR="00B401BF" w:rsidRPr="007F20B0" w:rsidRDefault="00B401BF" w:rsidP="0049200A">
            <w:pPr>
              <w:pStyle w:val="In-tableHeading"/>
              <w:jc w:val="center"/>
            </w:pPr>
          </w:p>
        </w:tc>
        <w:tc>
          <w:tcPr>
            <w:tcW w:w="1396" w:type="pct"/>
            <w:tcBorders>
              <w:bottom w:val="nil"/>
            </w:tcBorders>
          </w:tcPr>
          <w:p w14:paraId="4BC344A6" w14:textId="77777777" w:rsidR="00B401BF" w:rsidRPr="007F20B0" w:rsidRDefault="00B401BF" w:rsidP="0049200A">
            <w:pPr>
              <w:pStyle w:val="In-tableHeading"/>
              <w:jc w:val="center"/>
            </w:pPr>
          </w:p>
        </w:tc>
      </w:tr>
      <w:tr w:rsidR="000C5BB3" w:rsidRPr="007D2D5F" w14:paraId="27B50C36" w14:textId="77777777" w:rsidTr="00395327">
        <w:tc>
          <w:tcPr>
            <w:tcW w:w="904" w:type="pct"/>
            <w:tcBorders>
              <w:top w:val="nil"/>
              <w:bottom w:val="nil"/>
            </w:tcBorders>
            <w:vAlign w:val="center"/>
          </w:tcPr>
          <w:p w14:paraId="477F5576" w14:textId="2317A47C" w:rsidR="000C5BB3" w:rsidRDefault="00BE223C" w:rsidP="0049200A">
            <w:pPr>
              <w:pStyle w:val="In-tableHeading"/>
              <w:jc w:val="center"/>
            </w:pPr>
            <w:r>
              <w:rPr>
                <w:b w:val="0"/>
                <w:bCs/>
              </w:rPr>
              <w:t xml:space="preserve"> </w:t>
            </w:r>
            <w:r w:rsidR="000C5BB3" w:rsidRPr="00B705A6">
              <w:rPr>
                <w:b w:val="0"/>
                <w:bCs/>
              </w:rPr>
              <w:t>No intervention</w:t>
            </w:r>
          </w:p>
        </w:tc>
        <w:tc>
          <w:tcPr>
            <w:tcW w:w="1303" w:type="pct"/>
            <w:tcBorders>
              <w:top w:val="nil"/>
              <w:bottom w:val="nil"/>
            </w:tcBorders>
            <w:vAlign w:val="center"/>
          </w:tcPr>
          <w:p w14:paraId="7AFE72B2" w14:textId="3AE09DEC" w:rsidR="000C5BB3" w:rsidRPr="00B705A6" w:rsidRDefault="000C5BB3" w:rsidP="0049200A">
            <w:pPr>
              <w:pStyle w:val="In-tableHeading"/>
              <w:jc w:val="center"/>
              <w:rPr>
                <w:b w:val="0"/>
                <w:bCs/>
              </w:rPr>
            </w:pPr>
            <w:r w:rsidRPr="00854C0D">
              <w:rPr>
                <w:b w:val="0"/>
                <w:bCs/>
              </w:rPr>
              <w:t>2.2 (0.59)</w:t>
            </w:r>
          </w:p>
        </w:tc>
        <w:tc>
          <w:tcPr>
            <w:tcW w:w="1396" w:type="pct"/>
            <w:tcBorders>
              <w:top w:val="nil"/>
              <w:bottom w:val="nil"/>
            </w:tcBorders>
            <w:vAlign w:val="center"/>
          </w:tcPr>
          <w:p w14:paraId="0E8306E9" w14:textId="4C98B30F" w:rsidR="000C5BB3" w:rsidRPr="00854C0D" w:rsidRDefault="00124AF1" w:rsidP="0049200A">
            <w:pPr>
              <w:pStyle w:val="In-tableHeading"/>
              <w:jc w:val="center"/>
              <w:rPr>
                <w:b w:val="0"/>
                <w:bCs/>
              </w:rPr>
            </w:pPr>
            <w:r w:rsidRPr="00124AF1">
              <w:rPr>
                <w:b w:val="0"/>
                <w:bCs/>
              </w:rPr>
              <w:t>-0.26 (0.53)</w:t>
            </w:r>
          </w:p>
        </w:tc>
        <w:tc>
          <w:tcPr>
            <w:tcW w:w="1396" w:type="pct"/>
            <w:tcBorders>
              <w:top w:val="nil"/>
              <w:bottom w:val="nil"/>
            </w:tcBorders>
          </w:tcPr>
          <w:p w14:paraId="53ACD004" w14:textId="7DA66E49" w:rsidR="000C5BB3" w:rsidRPr="00854C0D" w:rsidRDefault="00A137D0" w:rsidP="0049200A">
            <w:pPr>
              <w:pStyle w:val="In-tableHeading"/>
              <w:jc w:val="center"/>
              <w:rPr>
                <w:b w:val="0"/>
                <w:bCs/>
              </w:rPr>
            </w:pPr>
            <w:r w:rsidRPr="00A137D0">
              <w:rPr>
                <w:b w:val="0"/>
                <w:bCs/>
              </w:rPr>
              <w:t>-0.30 (0.49)</w:t>
            </w:r>
          </w:p>
        </w:tc>
      </w:tr>
      <w:tr w:rsidR="000C5BB3" w:rsidRPr="007D2D5F" w14:paraId="10EDE78C" w14:textId="77777777" w:rsidTr="00395327">
        <w:tc>
          <w:tcPr>
            <w:tcW w:w="904" w:type="pct"/>
            <w:tcBorders>
              <w:top w:val="nil"/>
            </w:tcBorders>
            <w:vAlign w:val="center"/>
          </w:tcPr>
          <w:p w14:paraId="4C1E98C2" w14:textId="036FBBC1" w:rsidR="000C5BB3" w:rsidRDefault="00BE223C" w:rsidP="0049200A">
            <w:pPr>
              <w:pStyle w:val="In-tableHeading"/>
            </w:pPr>
            <w:r>
              <w:rPr>
                <w:b w:val="0"/>
                <w:bCs/>
              </w:rPr>
              <w:t xml:space="preserve"> </w:t>
            </w:r>
            <w:r w:rsidR="000C5BB3" w:rsidRPr="00B705A6">
              <w:rPr>
                <w:b w:val="0"/>
                <w:bCs/>
              </w:rPr>
              <w:t>Botox</w:t>
            </w:r>
          </w:p>
        </w:tc>
        <w:tc>
          <w:tcPr>
            <w:tcW w:w="1303" w:type="pct"/>
            <w:tcBorders>
              <w:top w:val="nil"/>
            </w:tcBorders>
            <w:vAlign w:val="center"/>
          </w:tcPr>
          <w:p w14:paraId="4CD72F7B" w14:textId="5617491D" w:rsidR="000C5BB3" w:rsidRPr="00B705A6" w:rsidRDefault="000C5BB3" w:rsidP="0049200A">
            <w:pPr>
              <w:pStyle w:val="In-tableHeading"/>
              <w:jc w:val="center"/>
              <w:rPr>
                <w:b w:val="0"/>
                <w:bCs/>
              </w:rPr>
            </w:pPr>
            <w:r w:rsidRPr="00854C0D">
              <w:rPr>
                <w:b w:val="0"/>
                <w:bCs/>
              </w:rPr>
              <w:t>2.3 (0.75)</w:t>
            </w:r>
          </w:p>
        </w:tc>
        <w:tc>
          <w:tcPr>
            <w:tcW w:w="1396" w:type="pct"/>
            <w:tcBorders>
              <w:top w:val="nil"/>
            </w:tcBorders>
            <w:vAlign w:val="center"/>
          </w:tcPr>
          <w:p w14:paraId="764555D3" w14:textId="35DB3EFA" w:rsidR="000C5BB3" w:rsidRPr="00854C0D" w:rsidRDefault="001F63E5" w:rsidP="0049200A">
            <w:pPr>
              <w:pStyle w:val="In-tableHeading"/>
              <w:jc w:val="center"/>
              <w:rPr>
                <w:b w:val="0"/>
                <w:bCs/>
              </w:rPr>
            </w:pPr>
            <w:r w:rsidRPr="001F63E5">
              <w:rPr>
                <w:b w:val="0"/>
                <w:bCs/>
              </w:rPr>
              <w:t>-0.34 (0.45)</w:t>
            </w:r>
          </w:p>
        </w:tc>
        <w:tc>
          <w:tcPr>
            <w:tcW w:w="1396" w:type="pct"/>
            <w:tcBorders>
              <w:top w:val="nil"/>
            </w:tcBorders>
          </w:tcPr>
          <w:p w14:paraId="5CFA7F2E" w14:textId="0D9F22EE" w:rsidR="000C5BB3" w:rsidRPr="00854C0D" w:rsidRDefault="00926D35" w:rsidP="0049200A">
            <w:pPr>
              <w:pStyle w:val="In-tableHeading"/>
              <w:jc w:val="center"/>
              <w:rPr>
                <w:b w:val="0"/>
                <w:bCs/>
              </w:rPr>
            </w:pPr>
            <w:r w:rsidRPr="00926D35">
              <w:rPr>
                <w:b w:val="0"/>
                <w:bCs/>
              </w:rPr>
              <w:t>-0.29 (0.41)</w:t>
            </w:r>
          </w:p>
        </w:tc>
      </w:tr>
      <w:tr w:rsidR="00926D35" w:rsidRPr="007D2D5F" w14:paraId="17D86339" w14:textId="77777777" w:rsidTr="00395327">
        <w:tc>
          <w:tcPr>
            <w:tcW w:w="904" w:type="pct"/>
            <w:tcBorders>
              <w:bottom w:val="nil"/>
            </w:tcBorders>
            <w:vAlign w:val="center"/>
          </w:tcPr>
          <w:p w14:paraId="3FAD8164" w14:textId="5529867F" w:rsidR="00926D35" w:rsidRPr="00926D35" w:rsidRDefault="00BE223C" w:rsidP="0049200A">
            <w:pPr>
              <w:pStyle w:val="In-tableHeading"/>
            </w:pPr>
            <w:r>
              <w:rPr>
                <w:b w:val="0"/>
                <w:bCs/>
              </w:rPr>
              <w:t xml:space="preserve"> </w:t>
            </w:r>
            <w:r w:rsidR="00926D35" w:rsidRPr="00926D35">
              <w:t>Lowe 2006</w:t>
            </w:r>
          </w:p>
        </w:tc>
        <w:tc>
          <w:tcPr>
            <w:tcW w:w="1303" w:type="pct"/>
            <w:tcBorders>
              <w:bottom w:val="nil"/>
            </w:tcBorders>
            <w:vAlign w:val="center"/>
          </w:tcPr>
          <w:p w14:paraId="7E49BEED" w14:textId="77777777" w:rsidR="00926D35" w:rsidRPr="00854C0D" w:rsidRDefault="00926D35" w:rsidP="0049200A">
            <w:pPr>
              <w:pStyle w:val="In-tableHeading"/>
              <w:jc w:val="center"/>
              <w:rPr>
                <w:b w:val="0"/>
                <w:bCs/>
              </w:rPr>
            </w:pPr>
          </w:p>
        </w:tc>
        <w:tc>
          <w:tcPr>
            <w:tcW w:w="1396" w:type="pct"/>
            <w:tcBorders>
              <w:bottom w:val="nil"/>
            </w:tcBorders>
            <w:vAlign w:val="center"/>
          </w:tcPr>
          <w:p w14:paraId="6E2E95FC" w14:textId="77777777" w:rsidR="00926D35" w:rsidRPr="001F63E5" w:rsidRDefault="00926D35" w:rsidP="0049200A">
            <w:pPr>
              <w:pStyle w:val="In-tableHeading"/>
              <w:jc w:val="center"/>
              <w:rPr>
                <w:b w:val="0"/>
                <w:bCs/>
              </w:rPr>
            </w:pPr>
          </w:p>
        </w:tc>
        <w:tc>
          <w:tcPr>
            <w:tcW w:w="1396" w:type="pct"/>
            <w:tcBorders>
              <w:bottom w:val="nil"/>
            </w:tcBorders>
          </w:tcPr>
          <w:p w14:paraId="0C3CE98C" w14:textId="77777777" w:rsidR="00926D35" w:rsidRPr="00926D35" w:rsidRDefault="00926D35" w:rsidP="0049200A">
            <w:pPr>
              <w:pStyle w:val="In-tableHeading"/>
              <w:jc w:val="center"/>
              <w:rPr>
                <w:b w:val="0"/>
                <w:bCs/>
              </w:rPr>
            </w:pPr>
          </w:p>
        </w:tc>
      </w:tr>
      <w:tr w:rsidR="00926D35" w:rsidRPr="007D2D5F" w14:paraId="5EE301B0" w14:textId="77777777" w:rsidTr="00395327">
        <w:tc>
          <w:tcPr>
            <w:tcW w:w="904" w:type="pct"/>
            <w:tcBorders>
              <w:top w:val="nil"/>
              <w:bottom w:val="nil"/>
            </w:tcBorders>
            <w:vAlign w:val="center"/>
          </w:tcPr>
          <w:p w14:paraId="73209CEF" w14:textId="5924055E" w:rsidR="00926D35" w:rsidRDefault="00BE223C" w:rsidP="0049200A">
            <w:pPr>
              <w:pStyle w:val="In-tableHeading"/>
              <w:rPr>
                <w:b w:val="0"/>
                <w:bCs/>
              </w:rPr>
            </w:pPr>
            <w:r>
              <w:rPr>
                <w:b w:val="0"/>
                <w:bCs/>
              </w:rPr>
              <w:t xml:space="preserve"> </w:t>
            </w:r>
            <w:r w:rsidR="00C2756E" w:rsidRPr="00B705A6">
              <w:rPr>
                <w:b w:val="0"/>
                <w:bCs/>
              </w:rPr>
              <w:t>No intervention</w:t>
            </w:r>
          </w:p>
        </w:tc>
        <w:tc>
          <w:tcPr>
            <w:tcW w:w="1303" w:type="pct"/>
            <w:tcBorders>
              <w:top w:val="nil"/>
              <w:bottom w:val="nil"/>
            </w:tcBorders>
            <w:vAlign w:val="center"/>
          </w:tcPr>
          <w:p w14:paraId="45318412" w14:textId="631F8274" w:rsidR="00926D35" w:rsidRPr="00854C0D" w:rsidRDefault="00C87CB1" w:rsidP="0049200A">
            <w:pPr>
              <w:pStyle w:val="In-tableHeading"/>
              <w:jc w:val="center"/>
              <w:rPr>
                <w:b w:val="0"/>
                <w:bCs/>
              </w:rPr>
            </w:pPr>
            <w:r w:rsidRPr="00C87CB1">
              <w:rPr>
                <w:b w:val="0"/>
                <w:bCs/>
              </w:rPr>
              <w:t>2.2 (0.1)</w:t>
            </w:r>
          </w:p>
        </w:tc>
        <w:tc>
          <w:tcPr>
            <w:tcW w:w="1396" w:type="pct"/>
            <w:tcBorders>
              <w:top w:val="nil"/>
              <w:bottom w:val="nil"/>
            </w:tcBorders>
            <w:vAlign w:val="center"/>
          </w:tcPr>
          <w:p w14:paraId="17A47B23" w14:textId="7E2F6F3F" w:rsidR="00926D35" w:rsidRPr="001F63E5" w:rsidRDefault="006A7B9F" w:rsidP="0049200A">
            <w:pPr>
              <w:pStyle w:val="In-tableHeading"/>
              <w:jc w:val="center"/>
              <w:rPr>
                <w:b w:val="0"/>
                <w:bCs/>
              </w:rPr>
            </w:pPr>
            <w:r w:rsidRPr="006A7B9F">
              <w:rPr>
                <w:b w:val="0"/>
                <w:bCs/>
              </w:rPr>
              <w:t>-0.03 (NR)</w:t>
            </w:r>
          </w:p>
        </w:tc>
        <w:tc>
          <w:tcPr>
            <w:tcW w:w="1396" w:type="pct"/>
            <w:tcBorders>
              <w:top w:val="nil"/>
              <w:bottom w:val="nil"/>
            </w:tcBorders>
          </w:tcPr>
          <w:p w14:paraId="1C14A3F7" w14:textId="2F61F138" w:rsidR="00926D35" w:rsidRPr="00926D35" w:rsidRDefault="009467DF" w:rsidP="0049200A">
            <w:pPr>
              <w:pStyle w:val="In-tableHeading"/>
              <w:jc w:val="center"/>
              <w:rPr>
                <w:b w:val="0"/>
                <w:bCs/>
              </w:rPr>
            </w:pPr>
            <w:r w:rsidRPr="009467DF">
              <w:rPr>
                <w:b w:val="0"/>
                <w:bCs/>
              </w:rPr>
              <w:t>-0.15 (NR)</w:t>
            </w:r>
          </w:p>
        </w:tc>
      </w:tr>
      <w:tr w:rsidR="00926D35" w:rsidRPr="007D2D5F" w14:paraId="667610CA" w14:textId="77777777" w:rsidTr="00395327">
        <w:tc>
          <w:tcPr>
            <w:tcW w:w="904" w:type="pct"/>
            <w:tcBorders>
              <w:top w:val="nil"/>
            </w:tcBorders>
            <w:vAlign w:val="center"/>
          </w:tcPr>
          <w:p w14:paraId="30EC1E81" w14:textId="431DFF34" w:rsidR="00926D35" w:rsidRDefault="00BE223C" w:rsidP="0049200A">
            <w:pPr>
              <w:pStyle w:val="In-tableHeading"/>
              <w:rPr>
                <w:b w:val="0"/>
                <w:bCs/>
              </w:rPr>
            </w:pPr>
            <w:r>
              <w:rPr>
                <w:b w:val="0"/>
                <w:bCs/>
              </w:rPr>
              <w:t xml:space="preserve"> </w:t>
            </w:r>
            <w:r w:rsidR="00C2756E">
              <w:rPr>
                <w:b w:val="0"/>
                <w:bCs/>
              </w:rPr>
              <w:t>Botox</w:t>
            </w:r>
          </w:p>
        </w:tc>
        <w:tc>
          <w:tcPr>
            <w:tcW w:w="1303" w:type="pct"/>
            <w:tcBorders>
              <w:top w:val="nil"/>
            </w:tcBorders>
            <w:vAlign w:val="center"/>
          </w:tcPr>
          <w:p w14:paraId="6D5AF647" w14:textId="37FB40B4" w:rsidR="00926D35" w:rsidRPr="00854C0D" w:rsidRDefault="004D23A0" w:rsidP="0049200A">
            <w:pPr>
              <w:pStyle w:val="In-tableHeading"/>
              <w:jc w:val="center"/>
              <w:rPr>
                <w:b w:val="0"/>
                <w:bCs/>
              </w:rPr>
            </w:pPr>
            <w:r w:rsidRPr="004D23A0">
              <w:rPr>
                <w:b w:val="0"/>
                <w:bCs/>
              </w:rPr>
              <w:t>2.4 (0.1)</w:t>
            </w:r>
          </w:p>
        </w:tc>
        <w:tc>
          <w:tcPr>
            <w:tcW w:w="1396" w:type="pct"/>
            <w:tcBorders>
              <w:top w:val="nil"/>
            </w:tcBorders>
            <w:vAlign w:val="center"/>
          </w:tcPr>
          <w:p w14:paraId="55A70391" w14:textId="5C3C1CAE" w:rsidR="00926D35" w:rsidRPr="001F63E5" w:rsidRDefault="00664621" w:rsidP="0049200A">
            <w:pPr>
              <w:pStyle w:val="In-tableHeading"/>
              <w:jc w:val="center"/>
              <w:rPr>
                <w:b w:val="0"/>
                <w:bCs/>
              </w:rPr>
            </w:pPr>
            <w:r w:rsidRPr="00664621">
              <w:rPr>
                <w:b w:val="0"/>
                <w:bCs/>
              </w:rPr>
              <w:t>-1.1 (NR)</w:t>
            </w:r>
          </w:p>
        </w:tc>
        <w:tc>
          <w:tcPr>
            <w:tcW w:w="1396" w:type="pct"/>
            <w:tcBorders>
              <w:top w:val="nil"/>
            </w:tcBorders>
          </w:tcPr>
          <w:p w14:paraId="0340C299" w14:textId="5A1B1098" w:rsidR="00926D35" w:rsidRPr="00926D35" w:rsidRDefault="00B73032" w:rsidP="0049200A">
            <w:pPr>
              <w:pStyle w:val="In-tableHeading"/>
              <w:jc w:val="center"/>
              <w:rPr>
                <w:b w:val="0"/>
                <w:bCs/>
              </w:rPr>
            </w:pPr>
            <w:r w:rsidRPr="00B73032">
              <w:rPr>
                <w:b w:val="0"/>
                <w:bCs/>
              </w:rPr>
              <w:t>-0.8 (NR)</w:t>
            </w:r>
          </w:p>
        </w:tc>
      </w:tr>
      <w:tr w:rsidR="00C2756E" w:rsidRPr="007D2D5F" w14:paraId="55486C3E" w14:textId="77777777" w:rsidTr="00395327">
        <w:tc>
          <w:tcPr>
            <w:tcW w:w="904" w:type="pct"/>
            <w:tcBorders>
              <w:bottom w:val="nil"/>
            </w:tcBorders>
            <w:vAlign w:val="center"/>
          </w:tcPr>
          <w:p w14:paraId="527418DD" w14:textId="1155720D" w:rsidR="00C2756E" w:rsidRPr="008C2054" w:rsidRDefault="00BE223C" w:rsidP="0049200A">
            <w:pPr>
              <w:pStyle w:val="In-tableHeading"/>
            </w:pPr>
            <w:r>
              <w:rPr>
                <w:b w:val="0"/>
                <w:bCs/>
              </w:rPr>
              <w:t xml:space="preserve"> </w:t>
            </w:r>
            <w:r w:rsidR="00C2756E" w:rsidRPr="008C2054">
              <w:t xml:space="preserve">Russo </w:t>
            </w:r>
            <w:r w:rsidR="008C2054" w:rsidRPr="008C2054">
              <w:t>2007</w:t>
            </w:r>
          </w:p>
        </w:tc>
        <w:tc>
          <w:tcPr>
            <w:tcW w:w="1303" w:type="pct"/>
            <w:tcBorders>
              <w:bottom w:val="nil"/>
            </w:tcBorders>
            <w:vAlign w:val="center"/>
          </w:tcPr>
          <w:p w14:paraId="4AEAB60B" w14:textId="77777777" w:rsidR="00C2756E" w:rsidRPr="00854C0D" w:rsidRDefault="00C2756E" w:rsidP="0049200A">
            <w:pPr>
              <w:pStyle w:val="In-tableHeading"/>
              <w:jc w:val="center"/>
              <w:rPr>
                <w:b w:val="0"/>
                <w:bCs/>
              </w:rPr>
            </w:pPr>
          </w:p>
        </w:tc>
        <w:tc>
          <w:tcPr>
            <w:tcW w:w="1396" w:type="pct"/>
            <w:tcBorders>
              <w:bottom w:val="nil"/>
            </w:tcBorders>
            <w:vAlign w:val="center"/>
          </w:tcPr>
          <w:p w14:paraId="2956A315" w14:textId="77777777" w:rsidR="00C2756E" w:rsidRPr="001F63E5" w:rsidRDefault="00C2756E" w:rsidP="0049200A">
            <w:pPr>
              <w:pStyle w:val="In-tableHeading"/>
              <w:jc w:val="center"/>
              <w:rPr>
                <w:b w:val="0"/>
                <w:bCs/>
              </w:rPr>
            </w:pPr>
          </w:p>
        </w:tc>
        <w:tc>
          <w:tcPr>
            <w:tcW w:w="1396" w:type="pct"/>
            <w:tcBorders>
              <w:bottom w:val="nil"/>
            </w:tcBorders>
          </w:tcPr>
          <w:p w14:paraId="7BBB235C" w14:textId="77777777" w:rsidR="00C2756E" w:rsidRPr="00926D35" w:rsidRDefault="00C2756E" w:rsidP="0049200A">
            <w:pPr>
              <w:pStyle w:val="In-tableHeading"/>
              <w:jc w:val="center"/>
              <w:rPr>
                <w:b w:val="0"/>
                <w:bCs/>
              </w:rPr>
            </w:pPr>
          </w:p>
        </w:tc>
      </w:tr>
      <w:tr w:rsidR="00C2756E" w:rsidRPr="007D2D5F" w14:paraId="061B34AC" w14:textId="77777777" w:rsidTr="00395327">
        <w:tc>
          <w:tcPr>
            <w:tcW w:w="904" w:type="pct"/>
            <w:tcBorders>
              <w:top w:val="nil"/>
              <w:bottom w:val="nil"/>
            </w:tcBorders>
            <w:vAlign w:val="center"/>
          </w:tcPr>
          <w:p w14:paraId="5C473F99" w14:textId="1ACAE2DE" w:rsidR="00C2756E" w:rsidRDefault="00BE223C" w:rsidP="0049200A">
            <w:pPr>
              <w:pStyle w:val="In-tableHeading"/>
              <w:rPr>
                <w:b w:val="0"/>
                <w:bCs/>
              </w:rPr>
            </w:pPr>
            <w:r>
              <w:rPr>
                <w:b w:val="0"/>
                <w:bCs/>
              </w:rPr>
              <w:t xml:space="preserve"> </w:t>
            </w:r>
            <w:r w:rsidR="008C2054" w:rsidRPr="00B705A6">
              <w:rPr>
                <w:b w:val="0"/>
                <w:bCs/>
              </w:rPr>
              <w:t>No intervention</w:t>
            </w:r>
          </w:p>
        </w:tc>
        <w:tc>
          <w:tcPr>
            <w:tcW w:w="1303" w:type="pct"/>
            <w:tcBorders>
              <w:top w:val="nil"/>
              <w:bottom w:val="nil"/>
            </w:tcBorders>
            <w:vAlign w:val="center"/>
          </w:tcPr>
          <w:p w14:paraId="345FC9D1" w14:textId="0FE04F83" w:rsidR="00C2756E" w:rsidRPr="00854C0D" w:rsidRDefault="006D688E" w:rsidP="0049200A">
            <w:pPr>
              <w:pStyle w:val="In-tableHeading"/>
              <w:jc w:val="center"/>
              <w:rPr>
                <w:b w:val="0"/>
                <w:bCs/>
              </w:rPr>
            </w:pPr>
            <w:r w:rsidRPr="006D688E">
              <w:rPr>
                <w:b w:val="0"/>
                <w:bCs/>
              </w:rPr>
              <w:t>2 (NR)</w:t>
            </w:r>
          </w:p>
        </w:tc>
        <w:tc>
          <w:tcPr>
            <w:tcW w:w="1396" w:type="pct"/>
            <w:tcBorders>
              <w:top w:val="nil"/>
              <w:bottom w:val="nil"/>
            </w:tcBorders>
            <w:vAlign w:val="center"/>
          </w:tcPr>
          <w:p w14:paraId="59CE2CB8" w14:textId="3F692323" w:rsidR="00C2756E" w:rsidRPr="001F63E5" w:rsidRDefault="00664621" w:rsidP="0049200A">
            <w:pPr>
              <w:pStyle w:val="In-tableHeading"/>
              <w:jc w:val="center"/>
              <w:rPr>
                <w:b w:val="0"/>
                <w:bCs/>
              </w:rPr>
            </w:pPr>
            <w:r>
              <w:rPr>
                <w:b w:val="0"/>
                <w:bCs/>
              </w:rPr>
              <w:t>NR</w:t>
            </w:r>
          </w:p>
        </w:tc>
        <w:tc>
          <w:tcPr>
            <w:tcW w:w="1396" w:type="pct"/>
            <w:tcBorders>
              <w:top w:val="nil"/>
              <w:bottom w:val="nil"/>
            </w:tcBorders>
          </w:tcPr>
          <w:p w14:paraId="559667DC" w14:textId="4F9B7E91" w:rsidR="00C2756E" w:rsidRPr="00926D35" w:rsidRDefault="00563664" w:rsidP="0049200A">
            <w:pPr>
              <w:pStyle w:val="In-tableHeading"/>
              <w:jc w:val="center"/>
              <w:rPr>
                <w:b w:val="0"/>
                <w:bCs/>
              </w:rPr>
            </w:pPr>
            <w:r w:rsidRPr="00563664">
              <w:rPr>
                <w:b w:val="0"/>
                <w:bCs/>
              </w:rPr>
              <w:t>2</w:t>
            </w:r>
            <w:r w:rsidR="009E0A24">
              <w:rPr>
                <w:b w:val="0"/>
                <w:bCs/>
              </w:rPr>
              <w:t>.0</w:t>
            </w:r>
            <w:r w:rsidRPr="00563664">
              <w:rPr>
                <w:b w:val="0"/>
                <w:bCs/>
              </w:rPr>
              <w:t xml:space="preserve"> (NR)</w:t>
            </w:r>
          </w:p>
        </w:tc>
      </w:tr>
      <w:tr w:rsidR="00C2756E" w:rsidRPr="007D2D5F" w14:paraId="46905A90" w14:textId="77777777" w:rsidTr="00395327">
        <w:tc>
          <w:tcPr>
            <w:tcW w:w="904" w:type="pct"/>
            <w:tcBorders>
              <w:top w:val="nil"/>
            </w:tcBorders>
            <w:vAlign w:val="center"/>
          </w:tcPr>
          <w:p w14:paraId="1607F877" w14:textId="3EE519D9" w:rsidR="00C2756E" w:rsidRDefault="00BE223C" w:rsidP="0049200A">
            <w:pPr>
              <w:pStyle w:val="In-tableHeading"/>
              <w:rPr>
                <w:b w:val="0"/>
                <w:bCs/>
              </w:rPr>
            </w:pPr>
            <w:r>
              <w:rPr>
                <w:b w:val="0"/>
                <w:bCs/>
              </w:rPr>
              <w:t xml:space="preserve"> </w:t>
            </w:r>
            <w:r w:rsidR="008C2054">
              <w:rPr>
                <w:b w:val="0"/>
                <w:bCs/>
              </w:rPr>
              <w:t>Botox</w:t>
            </w:r>
          </w:p>
        </w:tc>
        <w:tc>
          <w:tcPr>
            <w:tcW w:w="1303" w:type="pct"/>
            <w:tcBorders>
              <w:top w:val="nil"/>
            </w:tcBorders>
            <w:vAlign w:val="center"/>
          </w:tcPr>
          <w:p w14:paraId="4AD39C0F" w14:textId="1C605262" w:rsidR="00C2756E" w:rsidRPr="00854C0D" w:rsidRDefault="000D639B" w:rsidP="0049200A">
            <w:pPr>
              <w:pStyle w:val="In-tableHeading"/>
              <w:jc w:val="center"/>
              <w:rPr>
                <w:b w:val="0"/>
                <w:bCs/>
              </w:rPr>
            </w:pPr>
            <w:r w:rsidRPr="000D639B">
              <w:rPr>
                <w:b w:val="0"/>
                <w:bCs/>
              </w:rPr>
              <w:t>2 (NR)</w:t>
            </w:r>
          </w:p>
        </w:tc>
        <w:tc>
          <w:tcPr>
            <w:tcW w:w="1396" w:type="pct"/>
            <w:tcBorders>
              <w:top w:val="nil"/>
            </w:tcBorders>
            <w:vAlign w:val="center"/>
          </w:tcPr>
          <w:p w14:paraId="3316D972" w14:textId="5C3162CB" w:rsidR="00C2756E" w:rsidRPr="001F63E5" w:rsidRDefault="00664621" w:rsidP="0049200A">
            <w:pPr>
              <w:pStyle w:val="In-tableHeading"/>
              <w:jc w:val="center"/>
              <w:rPr>
                <w:b w:val="0"/>
                <w:bCs/>
              </w:rPr>
            </w:pPr>
            <w:r>
              <w:rPr>
                <w:b w:val="0"/>
                <w:bCs/>
              </w:rPr>
              <w:t>NR</w:t>
            </w:r>
          </w:p>
        </w:tc>
        <w:tc>
          <w:tcPr>
            <w:tcW w:w="1396" w:type="pct"/>
            <w:tcBorders>
              <w:top w:val="nil"/>
            </w:tcBorders>
          </w:tcPr>
          <w:p w14:paraId="0EA0B6C5" w14:textId="2F75AFE5" w:rsidR="00C2756E" w:rsidRPr="00926D35" w:rsidRDefault="00A004C9" w:rsidP="0049200A">
            <w:pPr>
              <w:pStyle w:val="In-tableHeading"/>
              <w:jc w:val="center"/>
              <w:rPr>
                <w:b w:val="0"/>
                <w:bCs/>
              </w:rPr>
            </w:pPr>
            <w:r w:rsidRPr="00A004C9">
              <w:rPr>
                <w:b w:val="0"/>
                <w:bCs/>
              </w:rPr>
              <w:t>-1</w:t>
            </w:r>
            <w:r w:rsidR="009E0A24">
              <w:rPr>
                <w:b w:val="0"/>
                <w:bCs/>
              </w:rPr>
              <w:t>.0</w:t>
            </w:r>
            <w:r w:rsidRPr="00A004C9">
              <w:rPr>
                <w:b w:val="0"/>
                <w:bCs/>
              </w:rPr>
              <w:t xml:space="preserve"> (NR)</w:t>
            </w:r>
          </w:p>
        </w:tc>
      </w:tr>
    </w:tbl>
    <w:p w14:paraId="6A666D02" w14:textId="092B47A0" w:rsidR="00103C83" w:rsidRDefault="00103C83" w:rsidP="0049200A">
      <w:pPr>
        <w:pStyle w:val="TableFigureFooter"/>
      </w:pPr>
      <w:r>
        <w:t xml:space="preserve">Source: </w:t>
      </w:r>
      <w:r w:rsidR="00D502A8">
        <w:t>Table 2.6.4, p</w:t>
      </w:r>
      <w:r w:rsidR="00BC7F97">
        <w:t xml:space="preserve">67 of the submission. </w:t>
      </w:r>
    </w:p>
    <w:p w14:paraId="0FE0B850" w14:textId="59F36B40" w:rsidR="00334301" w:rsidRDefault="00395327" w:rsidP="0049200A">
      <w:pPr>
        <w:pStyle w:val="TableFigureFooter"/>
      </w:pPr>
      <w:r>
        <w:t xml:space="preserve">AS= </w:t>
      </w:r>
      <w:r w:rsidRPr="00395327">
        <w:t xml:space="preserve">Ashworth scale; GMFM= gross motor function measure; kg= kilogram; LSM= least squares mean; MAS= modified Ashworth scale; </w:t>
      </w:r>
      <w:r w:rsidR="00272BF6">
        <w:t xml:space="preserve">NR= not reported; </w:t>
      </w:r>
      <w:r w:rsidRPr="00395327">
        <w:t>SD= standard deviation; U= unit</w:t>
      </w:r>
      <w:r>
        <w:t>.</w:t>
      </w:r>
    </w:p>
    <w:p w14:paraId="74377ECF" w14:textId="4097088C" w:rsidR="004F2774" w:rsidRDefault="00334301" w:rsidP="0049200A">
      <w:pPr>
        <w:pStyle w:val="TableFigureFooter"/>
      </w:pPr>
      <w:r w:rsidRPr="00103C83">
        <w:rPr>
          <w:vertAlign w:val="superscript"/>
        </w:rPr>
        <w:t>a</w:t>
      </w:r>
      <w:r>
        <w:t xml:space="preserve"> </w:t>
      </w:r>
      <w:r w:rsidR="00103C83">
        <w:t xml:space="preserve">First measure= </w:t>
      </w:r>
      <w:r w:rsidR="00A923D7" w:rsidRPr="00A923D7">
        <w:t>four weeks for Xeomin study, one month for Botox</w:t>
      </w:r>
      <w:r w:rsidR="00103C83">
        <w:t>.</w:t>
      </w:r>
    </w:p>
    <w:p w14:paraId="0A8B906F" w14:textId="3E3A1E50" w:rsidR="00A923D7" w:rsidRPr="00A923D7" w:rsidRDefault="00A923D7" w:rsidP="0049200A">
      <w:pPr>
        <w:pStyle w:val="TableFigureFooter"/>
      </w:pPr>
      <w:r w:rsidRPr="00103C83">
        <w:rPr>
          <w:vertAlign w:val="superscript"/>
        </w:rPr>
        <w:t>b</w:t>
      </w:r>
      <w:r>
        <w:t xml:space="preserve"> </w:t>
      </w:r>
      <w:r w:rsidR="00103C83">
        <w:t xml:space="preserve">Second measure= </w:t>
      </w:r>
      <w:r w:rsidR="00103C83" w:rsidRPr="00103C83">
        <w:t>14 weeks for Xeomin study, 3 months for Botox</w:t>
      </w:r>
      <w:r w:rsidR="00103C83">
        <w:t>.</w:t>
      </w:r>
    </w:p>
    <w:p w14:paraId="239BC2D0" w14:textId="612FA3FE" w:rsidR="00E3255A" w:rsidRPr="00F81767" w:rsidRDefault="00BD3FDE" w:rsidP="0049200A">
      <w:pPr>
        <w:pStyle w:val="3-BodyText"/>
        <w:spacing w:before="120" w:after="120"/>
        <w:rPr>
          <w:iCs/>
        </w:rPr>
      </w:pPr>
      <w:r w:rsidRPr="00F81767">
        <w:rPr>
          <w:iCs/>
        </w:rPr>
        <w:t xml:space="preserve">The naïve comparisons presented in </w:t>
      </w:r>
      <w:r w:rsidR="003D3943" w:rsidRPr="00F81767">
        <w:rPr>
          <w:iCs/>
        </w:rPr>
        <w:fldChar w:fldCharType="begin"/>
      </w:r>
      <w:r w:rsidR="003D3943" w:rsidRPr="00F81767">
        <w:rPr>
          <w:iCs/>
        </w:rPr>
        <w:instrText xml:space="preserve"> REF _Ref198638213 \h </w:instrText>
      </w:r>
      <w:r w:rsidR="003D3943" w:rsidRPr="00F81767">
        <w:rPr>
          <w:iCs/>
        </w:rPr>
      </w:r>
      <w:r w:rsidR="003D3943" w:rsidRPr="00F81767">
        <w:rPr>
          <w:iCs/>
        </w:rPr>
        <w:fldChar w:fldCharType="separate"/>
      </w:r>
      <w:r w:rsidR="00AD57D3">
        <w:t xml:space="preserve">Table </w:t>
      </w:r>
      <w:r w:rsidR="00AD57D3">
        <w:rPr>
          <w:noProof/>
        </w:rPr>
        <w:t>5</w:t>
      </w:r>
      <w:r w:rsidR="003D3943" w:rsidRPr="00F81767">
        <w:rPr>
          <w:iCs/>
        </w:rPr>
        <w:fldChar w:fldCharType="end"/>
      </w:r>
      <w:r w:rsidR="003816CD" w:rsidRPr="00F81767">
        <w:rPr>
          <w:iCs/>
        </w:rPr>
        <w:t xml:space="preserve"> </w:t>
      </w:r>
      <w:r w:rsidRPr="00F81767">
        <w:rPr>
          <w:iCs/>
        </w:rPr>
        <w:t>showed</w:t>
      </w:r>
      <w:r w:rsidR="003816CD" w:rsidRPr="00F81767">
        <w:rPr>
          <w:iCs/>
        </w:rPr>
        <w:t xml:space="preserve"> changes in </w:t>
      </w:r>
      <w:r w:rsidRPr="00F81767">
        <w:rPr>
          <w:iCs/>
        </w:rPr>
        <w:t>spasticity scores between Xeomin (XARA trial) and Botox (from three published studies) using the AS and MAS</w:t>
      </w:r>
      <w:r w:rsidR="0047268F" w:rsidRPr="00F81767">
        <w:rPr>
          <w:iCs/>
        </w:rPr>
        <w:t>,</w:t>
      </w:r>
      <w:r w:rsidRPr="00F81767">
        <w:rPr>
          <w:iCs/>
        </w:rPr>
        <w:t xml:space="preserve"> respectively. In the XARA trial, Xeomin showed dose-dependent reductions in AS scores at Week 4, with least squares mean (LSM) changes ranging from </w:t>
      </w:r>
      <w:r w:rsidR="00076A15" w:rsidRPr="00F81767">
        <w:rPr>
          <w:iCs/>
        </w:rPr>
        <w:t>-</w:t>
      </w:r>
      <w:r w:rsidRPr="00F81767">
        <w:rPr>
          <w:iCs/>
        </w:rPr>
        <w:t xml:space="preserve">0.93 (2 U/kg) to </w:t>
      </w:r>
      <w:r w:rsidR="00076A15" w:rsidRPr="00F81767">
        <w:rPr>
          <w:iCs/>
        </w:rPr>
        <w:t>-</w:t>
      </w:r>
      <w:r w:rsidRPr="00F81767">
        <w:rPr>
          <w:iCs/>
        </w:rPr>
        <w:t xml:space="preserve">1.15 (8 U/kg). The second measure </w:t>
      </w:r>
      <w:r w:rsidR="006A0D30" w:rsidRPr="00F81767">
        <w:rPr>
          <w:iCs/>
        </w:rPr>
        <w:t xml:space="preserve">at 14 weeks </w:t>
      </w:r>
      <w:r w:rsidRPr="00F81767">
        <w:rPr>
          <w:iCs/>
        </w:rPr>
        <w:t xml:space="preserve">across all dose groups showed a consistent change of </w:t>
      </w:r>
      <w:r w:rsidR="006A0D30" w:rsidRPr="00F81767">
        <w:rPr>
          <w:iCs/>
        </w:rPr>
        <w:t>-</w:t>
      </w:r>
      <w:r w:rsidRPr="00F81767">
        <w:rPr>
          <w:iCs/>
        </w:rPr>
        <w:t xml:space="preserve">0.4. In contrast, Botox studies showed variable results. In Fehlings (2000), Botox reduced MAS scores by </w:t>
      </w:r>
      <w:r w:rsidR="0047268F" w:rsidRPr="00F81767">
        <w:rPr>
          <w:iCs/>
        </w:rPr>
        <w:t>-</w:t>
      </w:r>
      <w:r w:rsidRPr="00F81767">
        <w:rPr>
          <w:iCs/>
        </w:rPr>
        <w:t xml:space="preserve">0.34, compared to </w:t>
      </w:r>
      <w:r w:rsidR="009D23F4" w:rsidRPr="00F81767">
        <w:rPr>
          <w:iCs/>
        </w:rPr>
        <w:t>-</w:t>
      </w:r>
      <w:r w:rsidRPr="00F81767">
        <w:rPr>
          <w:iCs/>
        </w:rPr>
        <w:t>0.26 in the no-intervention group. Lowe (2006) reported a larger effect with Botox (</w:t>
      </w:r>
      <w:r w:rsidR="0069386F" w:rsidRPr="00F81767">
        <w:rPr>
          <w:iCs/>
        </w:rPr>
        <w:t>-</w:t>
      </w:r>
      <w:r w:rsidRPr="00F81767">
        <w:rPr>
          <w:iCs/>
        </w:rPr>
        <w:t xml:space="preserve">1.1 and </w:t>
      </w:r>
      <w:r w:rsidR="0069386F" w:rsidRPr="00F81767">
        <w:rPr>
          <w:iCs/>
        </w:rPr>
        <w:t>-</w:t>
      </w:r>
      <w:r w:rsidRPr="00F81767">
        <w:rPr>
          <w:iCs/>
        </w:rPr>
        <w:t xml:space="preserve">0.8 for first and second measures), while Russo (2007) showed a </w:t>
      </w:r>
      <w:r w:rsidR="0069386F" w:rsidRPr="00F81767">
        <w:rPr>
          <w:iCs/>
        </w:rPr>
        <w:t>-</w:t>
      </w:r>
      <w:r w:rsidRPr="00F81767">
        <w:rPr>
          <w:iCs/>
        </w:rPr>
        <w:t>1</w:t>
      </w:r>
      <w:r w:rsidR="0069386F" w:rsidRPr="00F81767">
        <w:rPr>
          <w:iCs/>
        </w:rPr>
        <w:t>.0</w:t>
      </w:r>
      <w:r w:rsidRPr="00F81767">
        <w:rPr>
          <w:iCs/>
        </w:rPr>
        <w:t xml:space="preserve"> change in the second MAS measure, although some data were not reported. Overall, Xeomin demonstrated consistent reductions in spasticity, while Botox</w:t>
      </w:r>
      <w:r w:rsidR="00EE35CA" w:rsidRPr="00F81767">
        <w:rPr>
          <w:iCs/>
        </w:rPr>
        <w:t>’</w:t>
      </w:r>
      <w:r w:rsidRPr="00F81767">
        <w:rPr>
          <w:iCs/>
        </w:rPr>
        <w:t>s effectiveness varied across studies, with some comparator (no</w:t>
      </w:r>
      <w:r w:rsidR="00B83513" w:rsidRPr="00F81767">
        <w:rPr>
          <w:iCs/>
        </w:rPr>
        <w:t xml:space="preserve"> </w:t>
      </w:r>
      <w:r w:rsidRPr="00F81767">
        <w:rPr>
          <w:iCs/>
        </w:rPr>
        <w:t>intervention) arms also showing modest improvements. However, differences in scales (AS vs MAS), study design</w:t>
      </w:r>
      <w:r w:rsidR="00B83513" w:rsidRPr="00F81767">
        <w:rPr>
          <w:iCs/>
        </w:rPr>
        <w:t xml:space="preserve"> (double vs single blind)</w:t>
      </w:r>
      <w:r w:rsidRPr="00F81767">
        <w:rPr>
          <w:iCs/>
        </w:rPr>
        <w:t xml:space="preserve">, and data completeness limit </w:t>
      </w:r>
      <w:r w:rsidR="00B95594" w:rsidRPr="00F81767">
        <w:rPr>
          <w:iCs/>
        </w:rPr>
        <w:t>such</w:t>
      </w:r>
      <w:r w:rsidRPr="00F81767">
        <w:rPr>
          <w:iCs/>
        </w:rPr>
        <w:t xml:space="preserve"> comparison</w:t>
      </w:r>
      <w:r w:rsidR="00B95594" w:rsidRPr="00F81767">
        <w:rPr>
          <w:iCs/>
        </w:rPr>
        <w:t>s</w:t>
      </w:r>
      <w:r w:rsidR="005760A5" w:rsidRPr="00F81767">
        <w:rPr>
          <w:iCs/>
        </w:rPr>
        <w:t>.</w:t>
      </w:r>
    </w:p>
    <w:p w14:paraId="443F3177" w14:textId="679BB6F0" w:rsidR="00A71B26" w:rsidRPr="00F81767" w:rsidRDefault="005760A5" w:rsidP="0049200A">
      <w:pPr>
        <w:pStyle w:val="3-BodyText"/>
        <w:spacing w:before="120" w:after="120"/>
        <w:rPr>
          <w:iCs/>
        </w:rPr>
      </w:pPr>
      <w:r w:rsidRPr="00F81767">
        <w:rPr>
          <w:iCs/>
        </w:rPr>
        <w:t>G</w:t>
      </w:r>
      <w:r w:rsidR="00337B80" w:rsidRPr="00F81767">
        <w:rPr>
          <w:iCs/>
        </w:rPr>
        <w:t>iven t</w:t>
      </w:r>
      <w:r w:rsidR="0019072C" w:rsidRPr="00F81767">
        <w:rPr>
          <w:iCs/>
        </w:rPr>
        <w:t xml:space="preserve">he presentation of the naïve comparisons by the submission </w:t>
      </w:r>
      <w:r w:rsidR="00BB4097" w:rsidRPr="00F81767">
        <w:rPr>
          <w:iCs/>
        </w:rPr>
        <w:t xml:space="preserve">was limited, </w:t>
      </w:r>
      <w:bookmarkStart w:id="44" w:name="_Hlk198638284"/>
      <w:r w:rsidR="003D3943" w:rsidRPr="00F81767">
        <w:rPr>
          <w:iCs/>
        </w:rPr>
        <w:fldChar w:fldCharType="begin"/>
      </w:r>
      <w:r w:rsidR="003D3943" w:rsidRPr="00F81767">
        <w:rPr>
          <w:iCs/>
        </w:rPr>
        <w:instrText xml:space="preserve"> REF _Ref198638248 \h  \* MERGEFORMAT </w:instrText>
      </w:r>
      <w:r w:rsidR="003D3943" w:rsidRPr="00F81767">
        <w:rPr>
          <w:iCs/>
        </w:rPr>
      </w:r>
      <w:r w:rsidR="003D3943" w:rsidRPr="00F81767">
        <w:rPr>
          <w:iCs/>
        </w:rPr>
        <w:fldChar w:fldCharType="separate"/>
      </w:r>
      <w:r w:rsidR="00AD57D3" w:rsidRPr="00AD57D3">
        <w:rPr>
          <w:iCs/>
        </w:rPr>
        <w:t xml:space="preserve">Table </w:t>
      </w:r>
      <w:r w:rsidR="00AD57D3" w:rsidRPr="00AD57D3">
        <w:rPr>
          <w:iCs/>
          <w:noProof/>
        </w:rPr>
        <w:t>6</w:t>
      </w:r>
      <w:r w:rsidR="003D3943" w:rsidRPr="00F81767">
        <w:rPr>
          <w:iCs/>
        </w:rPr>
        <w:fldChar w:fldCharType="end"/>
      </w:r>
      <w:bookmarkEnd w:id="44"/>
      <w:r w:rsidR="00A018EE" w:rsidRPr="00F81767">
        <w:rPr>
          <w:iCs/>
        </w:rPr>
        <w:t xml:space="preserve"> </w:t>
      </w:r>
      <w:r w:rsidR="007E1359" w:rsidRPr="00F81767">
        <w:rPr>
          <w:iCs/>
        </w:rPr>
        <w:t>was</w:t>
      </w:r>
      <w:r w:rsidR="00BB4097" w:rsidRPr="00F81767">
        <w:rPr>
          <w:iCs/>
        </w:rPr>
        <w:t xml:space="preserve"> constructed during the evaluation</w:t>
      </w:r>
      <w:r w:rsidRPr="00F81767">
        <w:rPr>
          <w:iCs/>
        </w:rPr>
        <w:t xml:space="preserve">, </w:t>
      </w:r>
      <w:r w:rsidR="00BB4097" w:rsidRPr="00F81767">
        <w:rPr>
          <w:iCs/>
        </w:rPr>
        <w:t>includ</w:t>
      </w:r>
      <w:r w:rsidRPr="00F81767">
        <w:rPr>
          <w:iCs/>
        </w:rPr>
        <w:t>ing</w:t>
      </w:r>
      <w:r w:rsidR="00BB4097" w:rsidRPr="00F81767">
        <w:rPr>
          <w:iCs/>
        </w:rPr>
        <w:t xml:space="preserve"> </w:t>
      </w:r>
      <w:r w:rsidR="00FC287B" w:rsidRPr="00F81767">
        <w:rPr>
          <w:iCs/>
        </w:rPr>
        <w:t>results from the XARA trial for Xeomin</w:t>
      </w:r>
      <w:r w:rsidR="007E1359" w:rsidRPr="00F81767">
        <w:rPr>
          <w:iCs/>
        </w:rPr>
        <w:t xml:space="preserve"> </w:t>
      </w:r>
      <w:r w:rsidR="00F53DDB" w:rsidRPr="00F81767">
        <w:rPr>
          <w:iCs/>
        </w:rPr>
        <w:t xml:space="preserve">and </w:t>
      </w:r>
      <w:r w:rsidR="00BC0503" w:rsidRPr="00F81767">
        <w:rPr>
          <w:iCs/>
        </w:rPr>
        <w:t>results from the Dysport PSD</w:t>
      </w:r>
      <w:r w:rsidR="003D6830">
        <w:rPr>
          <w:iCs/>
        </w:rPr>
        <w:t xml:space="preserve"> (</w:t>
      </w:r>
      <w:r w:rsidR="00BC0503" w:rsidRPr="00F81767">
        <w:rPr>
          <w:iCs/>
        </w:rPr>
        <w:t>July 2020</w:t>
      </w:r>
      <w:r w:rsidR="00530E9E" w:rsidRPr="00F81767">
        <w:rPr>
          <w:iCs/>
        </w:rPr>
        <w:t xml:space="preserve"> PBAC meeting</w:t>
      </w:r>
      <w:r w:rsidR="00BC0503" w:rsidRPr="00F81767">
        <w:rPr>
          <w:iCs/>
        </w:rPr>
        <w:t>), which included a</w:t>
      </w:r>
      <w:r w:rsidR="00DD49C2" w:rsidRPr="00F81767">
        <w:rPr>
          <w:iCs/>
        </w:rPr>
        <w:t xml:space="preserve"> formal</w:t>
      </w:r>
      <w:r w:rsidR="00BC0503" w:rsidRPr="00F81767">
        <w:rPr>
          <w:iCs/>
        </w:rPr>
        <w:t xml:space="preserve"> indirect comparison of Dysport and Botox using MAS outcomes at Week 6</w:t>
      </w:r>
      <w:r w:rsidR="007E1359" w:rsidRPr="00F81767">
        <w:rPr>
          <w:iCs/>
        </w:rPr>
        <w:t>.</w:t>
      </w:r>
    </w:p>
    <w:p w14:paraId="5140CB0C" w14:textId="23035B21" w:rsidR="003A3CA5" w:rsidRDefault="003A3CA5" w:rsidP="0049200A">
      <w:pPr>
        <w:pStyle w:val="TableFigureHeading"/>
      </w:pPr>
      <w:bookmarkStart w:id="45" w:name="_Ref198638248"/>
      <w:r>
        <w:lastRenderedPageBreak/>
        <w:t xml:space="preserve">Table </w:t>
      </w:r>
      <w:r w:rsidR="00A63BF6">
        <w:fldChar w:fldCharType="begin"/>
      </w:r>
      <w:r w:rsidR="00A63BF6">
        <w:instrText xml:space="preserve"> SEQ Table \* ARABIC </w:instrText>
      </w:r>
      <w:r w:rsidR="00A63BF6">
        <w:fldChar w:fldCharType="separate"/>
      </w:r>
      <w:r w:rsidR="00AD57D3">
        <w:rPr>
          <w:noProof/>
        </w:rPr>
        <w:t>6</w:t>
      </w:r>
      <w:r w:rsidR="00A63BF6">
        <w:rPr>
          <w:noProof/>
        </w:rPr>
        <w:fldChar w:fldCharType="end"/>
      </w:r>
      <w:bookmarkEnd w:id="45"/>
      <w:r>
        <w:t xml:space="preserve">: </w:t>
      </w:r>
      <w:r w:rsidRPr="00D90136">
        <w:t>(A) Results for Xeomin for AS in the UL main clinical target pattern (flexed elbow or flexed wrists) at week 4; and (B) results of the indirect comparison Dysport and Botox for MAS PTMG at week 6</w:t>
      </w:r>
    </w:p>
    <w:tbl>
      <w:tblPr>
        <w:tblStyle w:val="TableGrid"/>
        <w:tblW w:w="5000" w:type="pct"/>
        <w:jc w:val="center"/>
        <w:tblLook w:val="04A0" w:firstRow="1" w:lastRow="0" w:firstColumn="1" w:lastColumn="0" w:noHBand="0" w:noVBand="1"/>
        <w:tblCaption w:val="Table 6: (A) Results for Xeomin for AS in the UL main clinical target pattern (flexed elbow or flexed wrists) at week 4; and (B) results of the indirect comparison Dysport and Botox for MAS PTMG at week 6"/>
      </w:tblPr>
      <w:tblGrid>
        <w:gridCol w:w="1865"/>
        <w:gridCol w:w="1726"/>
        <w:gridCol w:w="1760"/>
        <w:gridCol w:w="1237"/>
        <w:gridCol w:w="2429"/>
      </w:tblGrid>
      <w:tr w:rsidR="00A71B26" w:rsidRPr="007D2D5F" w14:paraId="3151F44E" w14:textId="77777777" w:rsidTr="00DF637A">
        <w:trPr>
          <w:jc w:val="center"/>
        </w:trPr>
        <w:tc>
          <w:tcPr>
            <w:tcW w:w="1034" w:type="pct"/>
            <w:vAlign w:val="center"/>
          </w:tcPr>
          <w:p w14:paraId="504FA0D2" w14:textId="77777777" w:rsidR="00A71B26" w:rsidRPr="007D2D5F" w:rsidRDefault="00A71B26" w:rsidP="0049200A">
            <w:pPr>
              <w:pStyle w:val="V50Instructions"/>
              <w:keepNext/>
              <w:keepLines/>
              <w:spacing w:before="0" w:after="0"/>
              <w:jc w:val="left"/>
              <w:rPr>
                <w:rFonts w:ascii="Arial Narrow" w:hAnsi="Arial Narrow"/>
                <w:color w:val="auto"/>
                <w:sz w:val="20"/>
                <w:szCs w:val="20"/>
              </w:rPr>
            </w:pPr>
          </w:p>
        </w:tc>
        <w:tc>
          <w:tcPr>
            <w:tcW w:w="2619" w:type="pct"/>
            <w:gridSpan w:val="3"/>
            <w:vAlign w:val="center"/>
          </w:tcPr>
          <w:p w14:paraId="19D97A00" w14:textId="77777777" w:rsidR="00A71B26" w:rsidRPr="000F3DF8" w:rsidRDefault="00A71B26" w:rsidP="0049200A">
            <w:pPr>
              <w:pStyle w:val="V50Instructions"/>
              <w:keepNext/>
              <w:keepLines/>
              <w:spacing w:before="0" w:after="0"/>
              <w:jc w:val="center"/>
              <w:rPr>
                <w:rFonts w:ascii="Arial Narrow" w:hAnsi="Arial Narrow"/>
                <w:b/>
                <w:bCs/>
                <w:color w:val="auto"/>
                <w:sz w:val="20"/>
                <w:szCs w:val="20"/>
              </w:rPr>
            </w:pPr>
            <w:r>
              <w:rPr>
                <w:rFonts w:ascii="Arial Narrow" w:hAnsi="Arial Narrow"/>
                <w:b/>
                <w:bCs/>
                <w:color w:val="auto"/>
                <w:sz w:val="20"/>
                <w:szCs w:val="20"/>
              </w:rPr>
              <w:t>C</w:t>
            </w:r>
            <w:r w:rsidRPr="000F3DF8">
              <w:rPr>
                <w:rFonts w:ascii="Arial Narrow" w:hAnsi="Arial Narrow"/>
                <w:b/>
                <w:bCs/>
                <w:color w:val="auto"/>
                <w:sz w:val="20"/>
                <w:szCs w:val="20"/>
              </w:rPr>
              <w:t xml:space="preserve">hange from baseline in </w:t>
            </w:r>
            <w:r>
              <w:rPr>
                <w:rFonts w:ascii="Arial Narrow" w:hAnsi="Arial Narrow"/>
                <w:b/>
                <w:bCs/>
                <w:color w:val="auto"/>
                <w:sz w:val="20"/>
                <w:szCs w:val="20"/>
              </w:rPr>
              <w:t xml:space="preserve">AS </w:t>
            </w:r>
            <w:r w:rsidRPr="000F3DF8">
              <w:rPr>
                <w:rFonts w:ascii="Arial Narrow" w:hAnsi="Arial Narrow"/>
                <w:b/>
                <w:bCs/>
                <w:color w:val="auto"/>
                <w:sz w:val="20"/>
                <w:szCs w:val="20"/>
              </w:rPr>
              <w:t>(</w:t>
            </w:r>
            <w:r>
              <w:rPr>
                <w:rFonts w:ascii="Arial Narrow" w:hAnsi="Arial Narrow"/>
                <w:b/>
                <w:bCs/>
                <w:color w:val="auto"/>
                <w:sz w:val="20"/>
                <w:szCs w:val="20"/>
              </w:rPr>
              <w:t>LSM</w:t>
            </w:r>
            <w:r w:rsidRPr="000F3DF8">
              <w:rPr>
                <w:rFonts w:ascii="Arial Narrow" w:hAnsi="Arial Narrow"/>
                <w:b/>
                <w:bCs/>
                <w:color w:val="auto"/>
                <w:sz w:val="20"/>
                <w:szCs w:val="20"/>
              </w:rPr>
              <w:t>)</w:t>
            </w:r>
          </w:p>
        </w:tc>
        <w:tc>
          <w:tcPr>
            <w:tcW w:w="1347" w:type="pct"/>
            <w:vMerge w:val="restart"/>
            <w:vAlign w:val="center"/>
          </w:tcPr>
          <w:p w14:paraId="472A0015" w14:textId="77777777" w:rsidR="00A71B26" w:rsidRPr="000F3DF8" w:rsidRDefault="00A71B26" w:rsidP="0049200A">
            <w:pPr>
              <w:pStyle w:val="V50Instructions"/>
              <w:keepNext/>
              <w:keepLines/>
              <w:spacing w:before="0" w:after="0"/>
              <w:jc w:val="center"/>
              <w:rPr>
                <w:rFonts w:ascii="Arial Narrow" w:hAnsi="Arial Narrow"/>
                <w:b/>
                <w:bCs/>
                <w:color w:val="auto"/>
                <w:sz w:val="20"/>
                <w:szCs w:val="20"/>
              </w:rPr>
            </w:pPr>
            <w:r>
              <w:rPr>
                <w:rFonts w:ascii="Arial Narrow" w:hAnsi="Arial Narrow"/>
                <w:b/>
                <w:bCs/>
                <w:color w:val="auto"/>
                <w:sz w:val="20"/>
                <w:szCs w:val="20"/>
              </w:rPr>
              <w:t>Difference in change from baseline</w:t>
            </w:r>
            <w:r w:rsidRPr="000F3DF8">
              <w:rPr>
                <w:rFonts w:ascii="Arial Narrow" w:hAnsi="Arial Narrow"/>
                <w:b/>
                <w:bCs/>
                <w:color w:val="auto"/>
                <w:sz w:val="20"/>
                <w:szCs w:val="20"/>
              </w:rPr>
              <w:t xml:space="preserve"> (95% CI)</w:t>
            </w:r>
          </w:p>
        </w:tc>
      </w:tr>
      <w:tr w:rsidR="00A71B26" w:rsidRPr="007D2D5F" w14:paraId="77636493" w14:textId="77777777" w:rsidTr="00DF637A">
        <w:trPr>
          <w:jc w:val="center"/>
        </w:trPr>
        <w:tc>
          <w:tcPr>
            <w:tcW w:w="1034" w:type="pct"/>
            <w:vAlign w:val="center"/>
          </w:tcPr>
          <w:p w14:paraId="30162389" w14:textId="77777777" w:rsidR="00A71B26" w:rsidRPr="007D2D5F" w:rsidRDefault="00A71B26" w:rsidP="0049200A">
            <w:pPr>
              <w:pStyle w:val="V50Instructions"/>
              <w:keepNext/>
              <w:keepLines/>
              <w:spacing w:before="0" w:after="0"/>
              <w:jc w:val="center"/>
              <w:rPr>
                <w:rFonts w:ascii="Arial Narrow" w:hAnsi="Arial Narrow"/>
                <w:b/>
                <w:color w:val="auto"/>
                <w:sz w:val="20"/>
                <w:szCs w:val="20"/>
              </w:rPr>
            </w:pPr>
            <w:r>
              <w:rPr>
                <w:rFonts w:ascii="Arial Narrow" w:hAnsi="Arial Narrow"/>
                <w:b/>
                <w:color w:val="auto"/>
                <w:sz w:val="20"/>
                <w:szCs w:val="20"/>
              </w:rPr>
              <w:t>Week 4</w:t>
            </w:r>
          </w:p>
        </w:tc>
        <w:tc>
          <w:tcPr>
            <w:tcW w:w="957" w:type="pct"/>
            <w:vAlign w:val="center"/>
          </w:tcPr>
          <w:p w14:paraId="5C5E1862" w14:textId="05BF0DEF" w:rsidR="00A71B26" w:rsidRPr="007D2D5F" w:rsidRDefault="00A71B26" w:rsidP="0049200A">
            <w:pPr>
              <w:pStyle w:val="V50Instructions"/>
              <w:keepNext/>
              <w:keepLines/>
              <w:spacing w:before="0" w:after="0"/>
              <w:jc w:val="center"/>
              <w:rPr>
                <w:rFonts w:ascii="Arial Narrow" w:hAnsi="Arial Narrow"/>
                <w:b/>
                <w:color w:val="auto"/>
                <w:sz w:val="20"/>
                <w:szCs w:val="20"/>
              </w:rPr>
            </w:pPr>
            <w:r>
              <w:rPr>
                <w:rFonts w:ascii="Arial Narrow" w:hAnsi="Arial Narrow"/>
                <w:b/>
                <w:color w:val="auto"/>
                <w:sz w:val="20"/>
                <w:szCs w:val="20"/>
              </w:rPr>
              <w:t>Xeomin</w:t>
            </w:r>
          </w:p>
        </w:tc>
        <w:tc>
          <w:tcPr>
            <w:tcW w:w="976" w:type="pct"/>
            <w:vAlign w:val="center"/>
          </w:tcPr>
          <w:p w14:paraId="20DA4ABC" w14:textId="016BBEF8" w:rsidR="00A71B26" w:rsidRDefault="00A71B26" w:rsidP="0049200A">
            <w:pPr>
              <w:pStyle w:val="V50Instructions"/>
              <w:keepNext/>
              <w:keepLines/>
              <w:spacing w:before="0" w:after="0"/>
              <w:jc w:val="center"/>
              <w:rPr>
                <w:rFonts w:ascii="Arial Narrow" w:hAnsi="Arial Narrow"/>
                <w:b/>
                <w:color w:val="auto"/>
                <w:sz w:val="20"/>
                <w:szCs w:val="20"/>
              </w:rPr>
            </w:pPr>
            <w:r w:rsidRPr="007D2D5F">
              <w:rPr>
                <w:rFonts w:ascii="Arial Narrow" w:hAnsi="Arial Narrow"/>
                <w:b/>
                <w:color w:val="auto"/>
                <w:sz w:val="20"/>
                <w:szCs w:val="20"/>
              </w:rPr>
              <w:t>Common reference</w:t>
            </w:r>
          </w:p>
          <w:p w14:paraId="7171CDAF" w14:textId="77777777" w:rsidR="00A71B26" w:rsidRPr="007D2D5F" w:rsidRDefault="00A71B26" w:rsidP="0049200A">
            <w:pPr>
              <w:pStyle w:val="V50Instructions"/>
              <w:keepNext/>
              <w:keepLines/>
              <w:spacing w:before="0" w:after="0"/>
              <w:jc w:val="center"/>
              <w:rPr>
                <w:rFonts w:ascii="Arial Narrow" w:hAnsi="Arial Narrow"/>
                <w:b/>
                <w:color w:val="auto"/>
                <w:sz w:val="20"/>
                <w:szCs w:val="20"/>
              </w:rPr>
            </w:pPr>
            <w:r>
              <w:rPr>
                <w:rFonts w:ascii="Arial Narrow" w:hAnsi="Arial Narrow"/>
                <w:b/>
                <w:color w:val="auto"/>
                <w:sz w:val="20"/>
                <w:szCs w:val="20"/>
              </w:rPr>
              <w:t>no intervention</w:t>
            </w:r>
          </w:p>
        </w:tc>
        <w:tc>
          <w:tcPr>
            <w:tcW w:w="686" w:type="pct"/>
            <w:vAlign w:val="center"/>
          </w:tcPr>
          <w:p w14:paraId="35ECA60A" w14:textId="77777777" w:rsidR="00A71B26" w:rsidRPr="007D2D5F" w:rsidRDefault="00A71B26" w:rsidP="0049200A">
            <w:pPr>
              <w:pStyle w:val="V50Instructions"/>
              <w:keepNext/>
              <w:keepLines/>
              <w:spacing w:before="0" w:after="0"/>
              <w:jc w:val="center"/>
              <w:rPr>
                <w:rFonts w:ascii="Arial Narrow" w:hAnsi="Arial Narrow"/>
                <w:b/>
                <w:color w:val="auto"/>
                <w:sz w:val="20"/>
                <w:szCs w:val="20"/>
              </w:rPr>
            </w:pPr>
          </w:p>
        </w:tc>
        <w:tc>
          <w:tcPr>
            <w:tcW w:w="1347" w:type="pct"/>
            <w:vMerge/>
            <w:vAlign w:val="center"/>
          </w:tcPr>
          <w:p w14:paraId="52AAA406" w14:textId="77777777" w:rsidR="00A71B26" w:rsidRPr="007D2D5F" w:rsidRDefault="00A71B26" w:rsidP="0049200A">
            <w:pPr>
              <w:pStyle w:val="V50Instructions"/>
              <w:keepNext/>
              <w:keepLines/>
              <w:spacing w:before="0" w:after="0"/>
              <w:jc w:val="center"/>
              <w:rPr>
                <w:rFonts w:ascii="Arial Narrow" w:hAnsi="Arial Narrow"/>
                <w:b/>
                <w:color w:val="auto"/>
                <w:sz w:val="20"/>
                <w:szCs w:val="20"/>
              </w:rPr>
            </w:pPr>
          </w:p>
        </w:tc>
      </w:tr>
      <w:tr w:rsidR="00A71B26" w:rsidRPr="007D2D5F" w14:paraId="307227BB" w14:textId="77777777" w:rsidTr="00DF637A">
        <w:trPr>
          <w:jc w:val="center"/>
        </w:trPr>
        <w:tc>
          <w:tcPr>
            <w:tcW w:w="1034" w:type="pct"/>
            <w:vAlign w:val="center"/>
          </w:tcPr>
          <w:p w14:paraId="3B1658E8" w14:textId="77777777" w:rsidR="00A71B26" w:rsidRPr="007D2D5F" w:rsidRDefault="00A71B26" w:rsidP="0049200A">
            <w:pPr>
              <w:pStyle w:val="V50Instructions"/>
              <w:keepNext/>
              <w:keepLines/>
              <w:spacing w:before="0" w:after="0"/>
              <w:jc w:val="left"/>
              <w:rPr>
                <w:rFonts w:ascii="Arial Narrow" w:hAnsi="Arial Narrow"/>
                <w:color w:val="auto"/>
                <w:sz w:val="20"/>
                <w:szCs w:val="20"/>
              </w:rPr>
            </w:pPr>
            <w:r>
              <w:rPr>
                <w:rFonts w:ascii="Arial Narrow" w:hAnsi="Arial Narrow"/>
                <w:color w:val="auto"/>
                <w:sz w:val="20"/>
                <w:szCs w:val="20"/>
              </w:rPr>
              <w:t xml:space="preserve">2 U/kg XARA </w:t>
            </w:r>
          </w:p>
        </w:tc>
        <w:tc>
          <w:tcPr>
            <w:tcW w:w="957" w:type="pct"/>
            <w:vAlign w:val="center"/>
          </w:tcPr>
          <w:p w14:paraId="635D9FB6"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N=</w:t>
            </w:r>
            <w:r>
              <w:rPr>
                <w:rFonts w:ascii="Arial Narrow" w:hAnsi="Arial Narrow"/>
                <w:color w:val="auto"/>
                <w:sz w:val="20"/>
                <w:szCs w:val="20"/>
              </w:rPr>
              <w:t>85</w:t>
            </w:r>
          </w:p>
          <w:p w14:paraId="19C4E462"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8A5D1C">
              <w:rPr>
                <w:rFonts w:ascii="Arial Narrow" w:hAnsi="Arial Narrow"/>
                <w:color w:val="auto"/>
                <w:sz w:val="20"/>
                <w:szCs w:val="20"/>
              </w:rPr>
              <w:t>-0.93 (-1.08</w:t>
            </w:r>
            <w:r>
              <w:rPr>
                <w:rFonts w:ascii="Arial Narrow" w:hAnsi="Arial Narrow"/>
                <w:color w:val="auto"/>
                <w:sz w:val="20"/>
                <w:szCs w:val="20"/>
              </w:rPr>
              <w:t xml:space="preserve">, </w:t>
            </w:r>
            <w:r w:rsidRPr="008A5D1C">
              <w:rPr>
                <w:rFonts w:ascii="Arial Narrow" w:hAnsi="Arial Narrow"/>
                <w:color w:val="auto"/>
                <w:sz w:val="20"/>
                <w:szCs w:val="20"/>
              </w:rPr>
              <w:t>-0.78)</w:t>
            </w:r>
          </w:p>
        </w:tc>
        <w:tc>
          <w:tcPr>
            <w:tcW w:w="976" w:type="pct"/>
            <w:vAlign w:val="center"/>
          </w:tcPr>
          <w:p w14:paraId="317A4038"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Pr>
                <w:rFonts w:ascii="Arial Narrow" w:hAnsi="Arial Narrow"/>
                <w:color w:val="auto"/>
                <w:sz w:val="20"/>
                <w:szCs w:val="20"/>
              </w:rPr>
              <w:t>-</w:t>
            </w:r>
          </w:p>
        </w:tc>
        <w:tc>
          <w:tcPr>
            <w:tcW w:w="686" w:type="pct"/>
            <w:vAlign w:val="center"/>
          </w:tcPr>
          <w:p w14:paraId="39FE7C29"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w:t>
            </w:r>
          </w:p>
        </w:tc>
        <w:tc>
          <w:tcPr>
            <w:tcW w:w="1347" w:type="pct"/>
            <w:vAlign w:val="center"/>
          </w:tcPr>
          <w:p w14:paraId="72EE063C" w14:textId="77777777" w:rsidR="00A71B26" w:rsidRPr="007D2D5F" w:rsidRDefault="00A71B26" w:rsidP="0049200A">
            <w:pPr>
              <w:pStyle w:val="V50Instructions"/>
              <w:keepNext/>
              <w:keepLines/>
              <w:spacing w:before="0" w:after="0"/>
              <w:jc w:val="center"/>
              <w:rPr>
                <w:rFonts w:ascii="Arial Narrow" w:hAnsi="Arial Narrow"/>
                <w:b/>
                <w:color w:val="auto"/>
                <w:sz w:val="20"/>
                <w:szCs w:val="20"/>
              </w:rPr>
            </w:pPr>
            <w:r>
              <w:rPr>
                <w:rFonts w:ascii="Arial Narrow" w:hAnsi="Arial Narrow"/>
                <w:b/>
                <w:color w:val="auto"/>
                <w:sz w:val="20"/>
                <w:szCs w:val="20"/>
              </w:rPr>
              <w:t>-</w:t>
            </w:r>
          </w:p>
        </w:tc>
      </w:tr>
      <w:tr w:rsidR="00A71B26" w:rsidRPr="007D2D5F" w14:paraId="51DA194D" w14:textId="77777777" w:rsidTr="00DF637A">
        <w:trPr>
          <w:jc w:val="center"/>
        </w:trPr>
        <w:tc>
          <w:tcPr>
            <w:tcW w:w="1034" w:type="pct"/>
            <w:vAlign w:val="center"/>
          </w:tcPr>
          <w:p w14:paraId="266AF532" w14:textId="77777777" w:rsidR="00A71B26" w:rsidRDefault="00A71B26" w:rsidP="0049200A">
            <w:pPr>
              <w:pStyle w:val="V50Instructions"/>
              <w:keepNext/>
              <w:keepLines/>
              <w:spacing w:before="0" w:after="0"/>
              <w:jc w:val="left"/>
              <w:rPr>
                <w:rFonts w:ascii="Arial Narrow" w:hAnsi="Arial Narrow"/>
                <w:color w:val="auto"/>
                <w:sz w:val="20"/>
                <w:szCs w:val="20"/>
              </w:rPr>
            </w:pPr>
            <w:r>
              <w:rPr>
                <w:rFonts w:ascii="Arial Narrow" w:hAnsi="Arial Narrow"/>
                <w:color w:val="auto"/>
                <w:sz w:val="20"/>
                <w:szCs w:val="20"/>
              </w:rPr>
              <w:t>6 U/kg XARA</w:t>
            </w:r>
          </w:p>
        </w:tc>
        <w:tc>
          <w:tcPr>
            <w:tcW w:w="957" w:type="pct"/>
            <w:vAlign w:val="center"/>
          </w:tcPr>
          <w:p w14:paraId="704D44D8" w14:textId="77777777" w:rsidR="00A71B26" w:rsidRDefault="00A71B26" w:rsidP="0049200A">
            <w:pPr>
              <w:pStyle w:val="V50Instructions"/>
              <w:keepNext/>
              <w:keepLines/>
              <w:spacing w:before="0" w:after="0"/>
              <w:jc w:val="center"/>
              <w:rPr>
                <w:rFonts w:ascii="Arial Narrow" w:hAnsi="Arial Narrow"/>
                <w:color w:val="auto"/>
                <w:sz w:val="20"/>
                <w:szCs w:val="20"/>
              </w:rPr>
            </w:pPr>
            <w:r>
              <w:rPr>
                <w:rFonts w:ascii="Arial Narrow" w:hAnsi="Arial Narrow"/>
                <w:color w:val="auto"/>
                <w:sz w:val="20"/>
                <w:szCs w:val="20"/>
              </w:rPr>
              <w:t>N=87</w:t>
            </w:r>
          </w:p>
          <w:p w14:paraId="5F570FD2"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EC6FF6">
              <w:rPr>
                <w:rFonts w:ascii="Arial Narrow" w:hAnsi="Arial Narrow"/>
                <w:color w:val="auto"/>
                <w:sz w:val="20"/>
                <w:szCs w:val="20"/>
              </w:rPr>
              <w:t>-1.02 (-1.19</w:t>
            </w:r>
            <w:r>
              <w:rPr>
                <w:rFonts w:ascii="Arial Narrow" w:hAnsi="Arial Narrow"/>
                <w:color w:val="auto"/>
                <w:sz w:val="20"/>
                <w:szCs w:val="20"/>
              </w:rPr>
              <w:t xml:space="preserve">, </w:t>
            </w:r>
            <w:r w:rsidRPr="00EC6FF6">
              <w:rPr>
                <w:rFonts w:ascii="Arial Narrow" w:hAnsi="Arial Narrow"/>
                <w:color w:val="auto"/>
                <w:sz w:val="20"/>
                <w:szCs w:val="20"/>
              </w:rPr>
              <w:t>-0.86)</w:t>
            </w:r>
          </w:p>
        </w:tc>
        <w:tc>
          <w:tcPr>
            <w:tcW w:w="976" w:type="pct"/>
            <w:vAlign w:val="center"/>
          </w:tcPr>
          <w:p w14:paraId="2A06E726" w14:textId="77777777" w:rsidR="00A71B26" w:rsidRDefault="00A71B26" w:rsidP="0049200A">
            <w:pPr>
              <w:pStyle w:val="V50Instructions"/>
              <w:keepNext/>
              <w:keepLines/>
              <w:spacing w:before="0" w:after="0"/>
              <w:jc w:val="center"/>
              <w:rPr>
                <w:rFonts w:ascii="Arial Narrow" w:hAnsi="Arial Narrow"/>
                <w:color w:val="auto"/>
                <w:sz w:val="20"/>
                <w:szCs w:val="20"/>
              </w:rPr>
            </w:pPr>
          </w:p>
        </w:tc>
        <w:tc>
          <w:tcPr>
            <w:tcW w:w="686" w:type="pct"/>
            <w:vAlign w:val="center"/>
          </w:tcPr>
          <w:p w14:paraId="65DE59F2"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p>
        </w:tc>
        <w:tc>
          <w:tcPr>
            <w:tcW w:w="1347" w:type="pct"/>
            <w:vAlign w:val="center"/>
          </w:tcPr>
          <w:p w14:paraId="1E2D7B26" w14:textId="77777777" w:rsidR="00A71B26" w:rsidRDefault="00A71B26" w:rsidP="0049200A">
            <w:pPr>
              <w:pStyle w:val="V50Instructions"/>
              <w:keepNext/>
              <w:keepLines/>
              <w:spacing w:before="0" w:after="0"/>
              <w:jc w:val="center"/>
              <w:rPr>
                <w:rFonts w:ascii="Arial Narrow" w:hAnsi="Arial Narrow"/>
                <w:b/>
                <w:color w:val="auto"/>
                <w:sz w:val="20"/>
                <w:szCs w:val="20"/>
              </w:rPr>
            </w:pPr>
          </w:p>
        </w:tc>
      </w:tr>
      <w:tr w:rsidR="00A71B26" w:rsidRPr="007D2D5F" w14:paraId="16459A6F" w14:textId="77777777" w:rsidTr="00DF637A">
        <w:trPr>
          <w:jc w:val="center"/>
        </w:trPr>
        <w:tc>
          <w:tcPr>
            <w:tcW w:w="1034" w:type="pct"/>
            <w:tcBorders>
              <w:bottom w:val="single" w:sz="4" w:space="0" w:color="auto"/>
            </w:tcBorders>
            <w:vAlign w:val="center"/>
          </w:tcPr>
          <w:p w14:paraId="3709772A" w14:textId="77777777" w:rsidR="00A71B26" w:rsidRPr="007D2D5F" w:rsidRDefault="00A71B26" w:rsidP="0049200A">
            <w:pPr>
              <w:pStyle w:val="V50Instructions"/>
              <w:keepNext/>
              <w:keepLines/>
              <w:spacing w:before="0" w:after="0"/>
              <w:jc w:val="left"/>
              <w:rPr>
                <w:rFonts w:ascii="Arial Narrow" w:hAnsi="Arial Narrow"/>
                <w:color w:val="auto"/>
                <w:sz w:val="20"/>
                <w:szCs w:val="20"/>
              </w:rPr>
            </w:pPr>
            <w:r>
              <w:rPr>
                <w:rFonts w:ascii="Arial Narrow" w:hAnsi="Arial Narrow"/>
                <w:color w:val="auto"/>
                <w:sz w:val="20"/>
                <w:szCs w:val="20"/>
              </w:rPr>
              <w:t xml:space="preserve">8 U/kg XARA </w:t>
            </w:r>
          </w:p>
        </w:tc>
        <w:tc>
          <w:tcPr>
            <w:tcW w:w="957" w:type="pct"/>
            <w:tcBorders>
              <w:bottom w:val="single" w:sz="4" w:space="0" w:color="auto"/>
            </w:tcBorders>
            <w:vAlign w:val="center"/>
          </w:tcPr>
          <w:p w14:paraId="012D5815"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N=</w:t>
            </w:r>
            <w:r>
              <w:rPr>
                <w:rFonts w:ascii="Arial Narrow" w:hAnsi="Arial Narrow"/>
                <w:color w:val="auto"/>
                <w:sz w:val="20"/>
                <w:szCs w:val="20"/>
              </w:rPr>
              <w:t>173</w:t>
            </w:r>
          </w:p>
          <w:p w14:paraId="4398DE98"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EB6D91">
              <w:rPr>
                <w:rFonts w:cstheme="minorHAnsi"/>
                <w:sz w:val="18"/>
                <w:szCs w:val="18"/>
              </w:rPr>
              <w:t>-</w:t>
            </w:r>
            <w:r w:rsidRPr="008A5D1C">
              <w:rPr>
                <w:rFonts w:ascii="Arial Narrow" w:hAnsi="Arial Narrow"/>
                <w:color w:val="auto"/>
                <w:sz w:val="20"/>
                <w:szCs w:val="20"/>
              </w:rPr>
              <w:t>1.15 (-1.26</w:t>
            </w:r>
            <w:r>
              <w:rPr>
                <w:rFonts w:ascii="Arial Narrow" w:hAnsi="Arial Narrow"/>
                <w:color w:val="auto"/>
                <w:sz w:val="20"/>
                <w:szCs w:val="20"/>
              </w:rPr>
              <w:t xml:space="preserve">, </w:t>
            </w:r>
            <w:r w:rsidRPr="008A5D1C">
              <w:rPr>
                <w:rFonts w:ascii="Arial Narrow" w:hAnsi="Arial Narrow"/>
                <w:color w:val="auto"/>
                <w:sz w:val="20"/>
                <w:szCs w:val="20"/>
              </w:rPr>
              <w:t>-1.04)</w:t>
            </w:r>
          </w:p>
        </w:tc>
        <w:tc>
          <w:tcPr>
            <w:tcW w:w="976" w:type="pct"/>
            <w:tcBorders>
              <w:bottom w:val="single" w:sz="4" w:space="0" w:color="auto"/>
            </w:tcBorders>
            <w:vAlign w:val="center"/>
          </w:tcPr>
          <w:p w14:paraId="5AA03334"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Pr>
                <w:rFonts w:ascii="Arial Narrow" w:hAnsi="Arial Narrow"/>
                <w:color w:val="auto"/>
                <w:sz w:val="20"/>
                <w:szCs w:val="20"/>
              </w:rPr>
              <w:t>-</w:t>
            </w:r>
          </w:p>
        </w:tc>
        <w:tc>
          <w:tcPr>
            <w:tcW w:w="686" w:type="pct"/>
            <w:tcBorders>
              <w:bottom w:val="single" w:sz="4" w:space="0" w:color="auto"/>
            </w:tcBorders>
            <w:vAlign w:val="center"/>
          </w:tcPr>
          <w:p w14:paraId="4ED929DB"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w:t>
            </w:r>
          </w:p>
        </w:tc>
        <w:tc>
          <w:tcPr>
            <w:tcW w:w="1347" w:type="pct"/>
            <w:tcBorders>
              <w:bottom w:val="single" w:sz="4" w:space="0" w:color="auto"/>
            </w:tcBorders>
            <w:vAlign w:val="center"/>
          </w:tcPr>
          <w:p w14:paraId="7C2799D6" w14:textId="77777777" w:rsidR="00A71B26" w:rsidRPr="007D2D5F" w:rsidRDefault="00A71B26" w:rsidP="0049200A">
            <w:pPr>
              <w:pStyle w:val="V50Instructions"/>
              <w:keepNext/>
              <w:keepLines/>
              <w:spacing w:before="0" w:after="0"/>
              <w:jc w:val="center"/>
              <w:rPr>
                <w:rFonts w:ascii="Arial Narrow" w:hAnsi="Arial Narrow"/>
                <w:b/>
                <w:color w:val="auto"/>
                <w:sz w:val="20"/>
                <w:szCs w:val="20"/>
              </w:rPr>
            </w:pPr>
            <w:r>
              <w:rPr>
                <w:rFonts w:ascii="Arial Narrow" w:hAnsi="Arial Narrow"/>
                <w:b/>
                <w:color w:val="auto"/>
                <w:sz w:val="20"/>
                <w:szCs w:val="20"/>
              </w:rPr>
              <w:t>-</w:t>
            </w:r>
          </w:p>
        </w:tc>
      </w:tr>
      <w:tr w:rsidR="00A71B26" w:rsidRPr="000F3DF8" w14:paraId="09B079A6" w14:textId="77777777" w:rsidTr="00DF637A">
        <w:trPr>
          <w:jc w:val="center"/>
        </w:trPr>
        <w:tc>
          <w:tcPr>
            <w:tcW w:w="1034" w:type="pct"/>
            <w:shd w:val="clear" w:color="auto" w:fill="DBE5F1" w:themeFill="accent1" w:themeFillTint="33"/>
            <w:vAlign w:val="center"/>
          </w:tcPr>
          <w:p w14:paraId="07425930" w14:textId="77777777" w:rsidR="00A71B26" w:rsidRPr="007D2D5F" w:rsidRDefault="00A71B26" w:rsidP="0049200A">
            <w:pPr>
              <w:pStyle w:val="V50Instructions"/>
              <w:keepNext/>
              <w:keepLines/>
              <w:spacing w:before="0" w:after="0"/>
              <w:jc w:val="left"/>
              <w:rPr>
                <w:rFonts w:ascii="Arial Narrow" w:hAnsi="Arial Narrow"/>
                <w:color w:val="auto"/>
                <w:sz w:val="20"/>
                <w:szCs w:val="20"/>
              </w:rPr>
            </w:pPr>
          </w:p>
        </w:tc>
        <w:tc>
          <w:tcPr>
            <w:tcW w:w="2619" w:type="pct"/>
            <w:gridSpan w:val="3"/>
            <w:shd w:val="clear" w:color="auto" w:fill="DBE5F1" w:themeFill="accent1" w:themeFillTint="33"/>
            <w:vAlign w:val="center"/>
          </w:tcPr>
          <w:p w14:paraId="17643725" w14:textId="77777777" w:rsidR="00A71B26" w:rsidRPr="000F3DF8" w:rsidRDefault="00A71B26" w:rsidP="0049200A">
            <w:pPr>
              <w:pStyle w:val="V50Instructions"/>
              <w:keepNext/>
              <w:keepLines/>
              <w:spacing w:before="0" w:after="0"/>
              <w:jc w:val="center"/>
              <w:rPr>
                <w:rFonts w:ascii="Arial Narrow" w:hAnsi="Arial Narrow"/>
                <w:b/>
                <w:bCs/>
                <w:color w:val="auto"/>
                <w:sz w:val="20"/>
                <w:szCs w:val="20"/>
              </w:rPr>
            </w:pPr>
            <w:r>
              <w:rPr>
                <w:rFonts w:ascii="Arial Narrow" w:hAnsi="Arial Narrow"/>
                <w:b/>
                <w:bCs/>
                <w:color w:val="auto"/>
                <w:sz w:val="20"/>
                <w:szCs w:val="20"/>
              </w:rPr>
              <w:t>C</w:t>
            </w:r>
            <w:r w:rsidRPr="000F3DF8">
              <w:rPr>
                <w:rFonts w:ascii="Arial Narrow" w:hAnsi="Arial Narrow"/>
                <w:b/>
                <w:bCs/>
                <w:color w:val="auto"/>
                <w:sz w:val="20"/>
                <w:szCs w:val="20"/>
              </w:rPr>
              <w:t xml:space="preserve">hange from baseline in </w:t>
            </w:r>
            <w:r>
              <w:rPr>
                <w:rFonts w:ascii="Arial Narrow" w:hAnsi="Arial Narrow"/>
                <w:b/>
                <w:bCs/>
                <w:color w:val="auto"/>
                <w:sz w:val="20"/>
                <w:szCs w:val="20"/>
              </w:rPr>
              <w:t>MAS PTMG</w:t>
            </w:r>
            <w:r w:rsidRPr="000F3DF8">
              <w:rPr>
                <w:rFonts w:ascii="Arial Narrow" w:hAnsi="Arial Narrow"/>
                <w:b/>
                <w:bCs/>
                <w:color w:val="auto"/>
                <w:sz w:val="20"/>
                <w:szCs w:val="20"/>
              </w:rPr>
              <w:t xml:space="preserve"> (</w:t>
            </w:r>
            <w:r>
              <w:rPr>
                <w:rFonts w:ascii="Arial Narrow" w:hAnsi="Arial Narrow"/>
                <w:b/>
                <w:bCs/>
                <w:color w:val="auto"/>
                <w:sz w:val="20"/>
                <w:szCs w:val="20"/>
              </w:rPr>
              <w:t>LSM</w:t>
            </w:r>
            <w:r w:rsidRPr="00D67E46">
              <w:rPr>
                <w:rFonts w:ascii="Arial Narrow" w:hAnsi="Arial Narrow"/>
                <w:b/>
                <w:bCs/>
                <w:color w:val="auto"/>
                <w:sz w:val="20"/>
                <w:szCs w:val="20"/>
                <w:vertAlign w:val="superscript"/>
              </w:rPr>
              <w:t>a</w:t>
            </w:r>
            <w:r w:rsidRPr="000F3DF8">
              <w:rPr>
                <w:rFonts w:ascii="Arial Narrow" w:hAnsi="Arial Narrow"/>
                <w:b/>
                <w:bCs/>
                <w:color w:val="auto"/>
                <w:sz w:val="20"/>
                <w:szCs w:val="20"/>
              </w:rPr>
              <w:t>)</w:t>
            </w:r>
          </w:p>
        </w:tc>
        <w:tc>
          <w:tcPr>
            <w:tcW w:w="1347" w:type="pct"/>
            <w:vMerge w:val="restart"/>
            <w:shd w:val="clear" w:color="auto" w:fill="DBE5F1" w:themeFill="accent1" w:themeFillTint="33"/>
            <w:vAlign w:val="center"/>
          </w:tcPr>
          <w:p w14:paraId="7AA43C76" w14:textId="77777777" w:rsidR="00A71B26" w:rsidRPr="000F3DF8" w:rsidRDefault="00A71B26" w:rsidP="0049200A">
            <w:pPr>
              <w:pStyle w:val="V50Instructions"/>
              <w:keepNext/>
              <w:keepLines/>
              <w:spacing w:before="0" w:after="0"/>
              <w:jc w:val="center"/>
              <w:rPr>
                <w:rFonts w:ascii="Arial Narrow" w:hAnsi="Arial Narrow"/>
                <w:b/>
                <w:bCs/>
                <w:color w:val="auto"/>
                <w:sz w:val="20"/>
                <w:szCs w:val="20"/>
              </w:rPr>
            </w:pPr>
            <w:r>
              <w:rPr>
                <w:rFonts w:ascii="Arial Narrow" w:hAnsi="Arial Narrow"/>
                <w:b/>
                <w:bCs/>
                <w:color w:val="auto"/>
                <w:sz w:val="20"/>
                <w:szCs w:val="20"/>
              </w:rPr>
              <w:t>Difference in change from baseline</w:t>
            </w:r>
            <w:r w:rsidRPr="000F3DF8">
              <w:rPr>
                <w:rFonts w:ascii="Arial Narrow" w:hAnsi="Arial Narrow"/>
                <w:b/>
                <w:bCs/>
                <w:color w:val="auto"/>
                <w:sz w:val="20"/>
                <w:szCs w:val="20"/>
              </w:rPr>
              <w:t xml:space="preserve"> (95% CI)</w:t>
            </w:r>
          </w:p>
        </w:tc>
      </w:tr>
      <w:tr w:rsidR="00A71B26" w:rsidRPr="007D2D5F" w14:paraId="743AFE57" w14:textId="77777777" w:rsidTr="00DF637A">
        <w:trPr>
          <w:jc w:val="center"/>
        </w:trPr>
        <w:tc>
          <w:tcPr>
            <w:tcW w:w="1034" w:type="pct"/>
            <w:shd w:val="clear" w:color="auto" w:fill="DBE5F1" w:themeFill="accent1" w:themeFillTint="33"/>
            <w:vAlign w:val="center"/>
          </w:tcPr>
          <w:p w14:paraId="523795AB" w14:textId="77777777" w:rsidR="00A71B26" w:rsidRPr="007D2D5F" w:rsidRDefault="00A71B26" w:rsidP="0049200A">
            <w:pPr>
              <w:pStyle w:val="V50Instructions"/>
              <w:keepNext/>
              <w:keepLines/>
              <w:spacing w:before="0" w:after="0"/>
              <w:jc w:val="center"/>
              <w:rPr>
                <w:rFonts w:ascii="Arial Narrow" w:hAnsi="Arial Narrow"/>
                <w:b/>
                <w:color w:val="auto"/>
                <w:sz w:val="20"/>
                <w:szCs w:val="20"/>
              </w:rPr>
            </w:pPr>
            <w:r>
              <w:rPr>
                <w:rFonts w:ascii="Arial Narrow" w:hAnsi="Arial Narrow"/>
                <w:b/>
                <w:color w:val="auto"/>
                <w:sz w:val="20"/>
                <w:szCs w:val="20"/>
              </w:rPr>
              <w:t>Week 6</w:t>
            </w:r>
          </w:p>
        </w:tc>
        <w:tc>
          <w:tcPr>
            <w:tcW w:w="957" w:type="pct"/>
            <w:shd w:val="clear" w:color="auto" w:fill="DBE5F1" w:themeFill="accent1" w:themeFillTint="33"/>
            <w:vAlign w:val="center"/>
          </w:tcPr>
          <w:p w14:paraId="39759C16" w14:textId="0D86494B" w:rsidR="00A71B26" w:rsidRPr="007D2D5F" w:rsidRDefault="00A71B26" w:rsidP="0049200A">
            <w:pPr>
              <w:pStyle w:val="V50Instructions"/>
              <w:keepNext/>
              <w:keepLines/>
              <w:spacing w:before="0" w:after="0"/>
              <w:jc w:val="center"/>
              <w:rPr>
                <w:rFonts w:ascii="Arial Narrow" w:hAnsi="Arial Narrow"/>
                <w:b/>
                <w:color w:val="auto"/>
                <w:sz w:val="20"/>
                <w:szCs w:val="20"/>
              </w:rPr>
            </w:pPr>
            <w:r>
              <w:rPr>
                <w:rFonts w:ascii="Arial Narrow" w:hAnsi="Arial Narrow"/>
                <w:b/>
                <w:color w:val="auto"/>
                <w:sz w:val="20"/>
                <w:szCs w:val="20"/>
              </w:rPr>
              <w:t>Dysport</w:t>
            </w:r>
          </w:p>
        </w:tc>
        <w:tc>
          <w:tcPr>
            <w:tcW w:w="976" w:type="pct"/>
            <w:shd w:val="clear" w:color="auto" w:fill="DBE5F1" w:themeFill="accent1" w:themeFillTint="33"/>
            <w:vAlign w:val="center"/>
          </w:tcPr>
          <w:p w14:paraId="6FF1BF19" w14:textId="1D89EDBA" w:rsidR="00A71B26" w:rsidRDefault="00A71B26" w:rsidP="0049200A">
            <w:pPr>
              <w:pStyle w:val="V50Instructions"/>
              <w:keepNext/>
              <w:keepLines/>
              <w:spacing w:before="0" w:after="0"/>
              <w:jc w:val="center"/>
              <w:rPr>
                <w:rFonts w:ascii="Arial Narrow" w:hAnsi="Arial Narrow"/>
                <w:b/>
                <w:color w:val="auto"/>
                <w:sz w:val="20"/>
                <w:szCs w:val="20"/>
              </w:rPr>
            </w:pPr>
            <w:r w:rsidRPr="007D2D5F">
              <w:rPr>
                <w:rFonts w:ascii="Arial Narrow" w:hAnsi="Arial Narrow"/>
                <w:b/>
                <w:color w:val="auto"/>
                <w:sz w:val="20"/>
                <w:szCs w:val="20"/>
              </w:rPr>
              <w:t>Common reference</w:t>
            </w:r>
          </w:p>
          <w:p w14:paraId="283D0A62" w14:textId="77777777" w:rsidR="00A71B26" w:rsidRPr="007D2D5F" w:rsidRDefault="00A71B26" w:rsidP="0049200A">
            <w:pPr>
              <w:pStyle w:val="V50Instructions"/>
              <w:keepNext/>
              <w:keepLines/>
              <w:spacing w:before="0" w:after="0"/>
              <w:jc w:val="center"/>
              <w:rPr>
                <w:rFonts w:ascii="Arial Narrow" w:hAnsi="Arial Narrow"/>
                <w:b/>
                <w:color w:val="auto"/>
                <w:sz w:val="20"/>
                <w:szCs w:val="20"/>
              </w:rPr>
            </w:pPr>
            <w:r>
              <w:rPr>
                <w:rFonts w:ascii="Arial Narrow" w:hAnsi="Arial Narrow"/>
                <w:b/>
                <w:color w:val="auto"/>
                <w:sz w:val="20"/>
                <w:szCs w:val="20"/>
              </w:rPr>
              <w:t xml:space="preserve">no intervention </w:t>
            </w:r>
            <w:r w:rsidRPr="00BF2200">
              <w:rPr>
                <w:rFonts w:ascii="Arial Narrow" w:hAnsi="Arial Narrow"/>
                <w:b/>
                <w:color w:val="auto"/>
                <w:sz w:val="20"/>
                <w:szCs w:val="20"/>
                <w:vertAlign w:val="superscript"/>
              </w:rPr>
              <w:t>b</w:t>
            </w:r>
          </w:p>
        </w:tc>
        <w:tc>
          <w:tcPr>
            <w:tcW w:w="686" w:type="pct"/>
            <w:shd w:val="clear" w:color="auto" w:fill="DBE5F1" w:themeFill="accent1" w:themeFillTint="33"/>
            <w:vAlign w:val="center"/>
          </w:tcPr>
          <w:p w14:paraId="48C42572" w14:textId="0B671FC1" w:rsidR="00A71B26" w:rsidRPr="007D2D5F" w:rsidRDefault="00A71B26" w:rsidP="0049200A">
            <w:pPr>
              <w:pStyle w:val="V50Instructions"/>
              <w:keepNext/>
              <w:keepLines/>
              <w:spacing w:before="0" w:after="0"/>
              <w:jc w:val="center"/>
              <w:rPr>
                <w:rFonts w:ascii="Arial Narrow" w:hAnsi="Arial Narrow"/>
                <w:b/>
                <w:color w:val="auto"/>
                <w:sz w:val="20"/>
                <w:szCs w:val="20"/>
              </w:rPr>
            </w:pPr>
            <w:r>
              <w:rPr>
                <w:rFonts w:ascii="Arial Narrow" w:hAnsi="Arial Narrow"/>
                <w:b/>
                <w:color w:val="auto"/>
                <w:sz w:val="20"/>
                <w:szCs w:val="20"/>
              </w:rPr>
              <w:t>Botox</w:t>
            </w:r>
          </w:p>
        </w:tc>
        <w:tc>
          <w:tcPr>
            <w:tcW w:w="1347" w:type="pct"/>
            <w:vMerge/>
            <w:shd w:val="clear" w:color="auto" w:fill="DBE5F1" w:themeFill="accent1" w:themeFillTint="33"/>
            <w:vAlign w:val="center"/>
          </w:tcPr>
          <w:p w14:paraId="27DD6A12" w14:textId="77777777" w:rsidR="00A71B26" w:rsidRPr="007D2D5F" w:rsidRDefault="00A71B26" w:rsidP="0049200A">
            <w:pPr>
              <w:pStyle w:val="V50Instructions"/>
              <w:keepNext/>
              <w:keepLines/>
              <w:spacing w:before="0" w:after="0"/>
              <w:jc w:val="center"/>
              <w:rPr>
                <w:rFonts w:ascii="Arial Narrow" w:hAnsi="Arial Narrow"/>
                <w:b/>
                <w:color w:val="auto"/>
                <w:sz w:val="20"/>
                <w:szCs w:val="20"/>
              </w:rPr>
            </w:pPr>
          </w:p>
        </w:tc>
      </w:tr>
      <w:tr w:rsidR="00A71B26" w:rsidRPr="007D2D5F" w14:paraId="3C618EB2" w14:textId="77777777" w:rsidTr="00DF637A">
        <w:trPr>
          <w:jc w:val="center"/>
        </w:trPr>
        <w:tc>
          <w:tcPr>
            <w:tcW w:w="1034" w:type="pct"/>
            <w:shd w:val="clear" w:color="auto" w:fill="DBE5F1" w:themeFill="accent1" w:themeFillTint="33"/>
            <w:vAlign w:val="center"/>
          </w:tcPr>
          <w:p w14:paraId="163C4C97" w14:textId="77777777" w:rsidR="00A71B26" w:rsidRPr="007D2D5F" w:rsidRDefault="00A71B26" w:rsidP="0049200A">
            <w:pPr>
              <w:pStyle w:val="V50Instructions"/>
              <w:keepNext/>
              <w:keepLines/>
              <w:spacing w:before="0" w:after="0"/>
              <w:jc w:val="left"/>
              <w:rPr>
                <w:rFonts w:ascii="Arial Narrow" w:hAnsi="Arial Narrow"/>
                <w:color w:val="auto"/>
                <w:sz w:val="20"/>
                <w:szCs w:val="20"/>
              </w:rPr>
            </w:pPr>
            <w:r>
              <w:rPr>
                <w:rFonts w:ascii="Arial Narrow" w:hAnsi="Arial Narrow"/>
                <w:color w:val="auto"/>
                <w:sz w:val="20"/>
                <w:szCs w:val="20"/>
              </w:rPr>
              <w:t xml:space="preserve">8 U/kg Study 153 </w:t>
            </w:r>
          </w:p>
        </w:tc>
        <w:tc>
          <w:tcPr>
            <w:tcW w:w="957" w:type="pct"/>
            <w:shd w:val="clear" w:color="auto" w:fill="DBE5F1" w:themeFill="accent1" w:themeFillTint="33"/>
            <w:vAlign w:val="center"/>
          </w:tcPr>
          <w:p w14:paraId="2252EF6F"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N=</w:t>
            </w:r>
            <w:r>
              <w:rPr>
                <w:rFonts w:ascii="Arial Narrow" w:hAnsi="Arial Narrow"/>
                <w:color w:val="auto"/>
                <w:sz w:val="20"/>
                <w:szCs w:val="20"/>
              </w:rPr>
              <w:t>69</w:t>
            </w:r>
            <w:r w:rsidRPr="007D2D5F">
              <w:rPr>
                <w:rFonts w:ascii="Arial Narrow" w:hAnsi="Arial Narrow"/>
                <w:color w:val="auto"/>
                <w:sz w:val="20"/>
                <w:szCs w:val="20"/>
              </w:rPr>
              <w:t xml:space="preserve"> </w:t>
            </w:r>
          </w:p>
          <w:p w14:paraId="62B8401A"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Pr>
                <w:rFonts w:ascii="Arial Narrow" w:hAnsi="Arial Narrow"/>
                <w:color w:val="auto"/>
                <w:sz w:val="20"/>
                <w:szCs w:val="20"/>
              </w:rPr>
              <w:t>-2.0</w:t>
            </w:r>
          </w:p>
        </w:tc>
        <w:tc>
          <w:tcPr>
            <w:tcW w:w="976" w:type="pct"/>
            <w:shd w:val="clear" w:color="auto" w:fill="DBE5F1" w:themeFill="accent1" w:themeFillTint="33"/>
            <w:vAlign w:val="center"/>
          </w:tcPr>
          <w:p w14:paraId="518009EC"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N=</w:t>
            </w:r>
            <w:r>
              <w:rPr>
                <w:rFonts w:ascii="Arial Narrow" w:hAnsi="Arial Narrow"/>
                <w:color w:val="auto"/>
                <w:sz w:val="20"/>
                <w:szCs w:val="20"/>
              </w:rPr>
              <w:t>69</w:t>
            </w:r>
          </w:p>
          <w:p w14:paraId="380992D4"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Pr>
                <w:rFonts w:ascii="Arial Narrow" w:hAnsi="Arial Narrow"/>
                <w:color w:val="auto"/>
                <w:sz w:val="20"/>
                <w:szCs w:val="20"/>
              </w:rPr>
              <w:t>-1.6</w:t>
            </w:r>
          </w:p>
        </w:tc>
        <w:tc>
          <w:tcPr>
            <w:tcW w:w="686" w:type="pct"/>
            <w:shd w:val="clear" w:color="auto" w:fill="DBE5F1" w:themeFill="accent1" w:themeFillTint="33"/>
            <w:vAlign w:val="center"/>
          </w:tcPr>
          <w:p w14:paraId="62529EAA"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w:t>
            </w:r>
          </w:p>
        </w:tc>
        <w:tc>
          <w:tcPr>
            <w:tcW w:w="1347" w:type="pct"/>
            <w:shd w:val="clear" w:color="auto" w:fill="DBE5F1" w:themeFill="accent1" w:themeFillTint="33"/>
            <w:vAlign w:val="center"/>
          </w:tcPr>
          <w:p w14:paraId="169DBCD2" w14:textId="77777777" w:rsidR="00A71B26" w:rsidRPr="007D2D5F" w:rsidRDefault="00A71B26" w:rsidP="0049200A">
            <w:pPr>
              <w:pStyle w:val="V50Instructions"/>
              <w:keepNext/>
              <w:keepLines/>
              <w:spacing w:before="0" w:after="0"/>
              <w:jc w:val="center"/>
              <w:rPr>
                <w:rFonts w:ascii="Arial Narrow" w:hAnsi="Arial Narrow"/>
                <w:b/>
                <w:color w:val="auto"/>
                <w:sz w:val="20"/>
                <w:szCs w:val="20"/>
              </w:rPr>
            </w:pPr>
            <w:r w:rsidRPr="007D2D5F">
              <w:rPr>
                <w:rFonts w:ascii="Arial Narrow" w:hAnsi="Arial Narrow"/>
                <w:b/>
                <w:color w:val="auto"/>
                <w:sz w:val="20"/>
                <w:szCs w:val="20"/>
              </w:rPr>
              <w:t>-0.</w:t>
            </w:r>
            <w:r>
              <w:rPr>
                <w:rFonts w:ascii="Arial Narrow" w:hAnsi="Arial Narrow"/>
                <w:b/>
                <w:color w:val="auto"/>
                <w:sz w:val="20"/>
                <w:szCs w:val="20"/>
              </w:rPr>
              <w:t>40</w:t>
            </w:r>
            <w:r w:rsidRPr="007D2D5F">
              <w:rPr>
                <w:rFonts w:ascii="Arial Narrow" w:hAnsi="Arial Narrow"/>
                <w:b/>
                <w:color w:val="auto"/>
                <w:sz w:val="20"/>
                <w:szCs w:val="20"/>
              </w:rPr>
              <w:t xml:space="preserve"> (-0.</w:t>
            </w:r>
            <w:r>
              <w:rPr>
                <w:rFonts w:ascii="Arial Narrow" w:hAnsi="Arial Narrow"/>
                <w:b/>
                <w:color w:val="auto"/>
                <w:sz w:val="20"/>
                <w:szCs w:val="20"/>
              </w:rPr>
              <w:t>75</w:t>
            </w:r>
            <w:r w:rsidRPr="007D2D5F">
              <w:rPr>
                <w:rFonts w:ascii="Arial Narrow" w:hAnsi="Arial Narrow"/>
                <w:b/>
                <w:color w:val="auto"/>
                <w:sz w:val="20"/>
                <w:szCs w:val="20"/>
              </w:rPr>
              <w:t>, -0.</w:t>
            </w:r>
            <w:r>
              <w:rPr>
                <w:rFonts w:ascii="Arial Narrow" w:hAnsi="Arial Narrow"/>
                <w:b/>
                <w:color w:val="auto"/>
                <w:sz w:val="20"/>
                <w:szCs w:val="20"/>
              </w:rPr>
              <w:t>0</w:t>
            </w:r>
            <w:r w:rsidRPr="007D2D5F">
              <w:rPr>
                <w:rFonts w:ascii="Arial Narrow" w:hAnsi="Arial Narrow"/>
                <w:b/>
                <w:color w:val="auto"/>
                <w:sz w:val="20"/>
                <w:szCs w:val="20"/>
              </w:rPr>
              <w:t>5)</w:t>
            </w:r>
          </w:p>
        </w:tc>
      </w:tr>
      <w:tr w:rsidR="00A71B26" w:rsidRPr="007D2D5F" w14:paraId="0AA86E1A" w14:textId="77777777" w:rsidTr="00DF637A">
        <w:trPr>
          <w:jc w:val="center"/>
        </w:trPr>
        <w:tc>
          <w:tcPr>
            <w:tcW w:w="1034" w:type="pct"/>
            <w:tcBorders>
              <w:bottom w:val="single" w:sz="4" w:space="0" w:color="auto"/>
            </w:tcBorders>
            <w:shd w:val="clear" w:color="auto" w:fill="DBE5F1" w:themeFill="accent1" w:themeFillTint="33"/>
            <w:vAlign w:val="center"/>
          </w:tcPr>
          <w:p w14:paraId="05AC044E" w14:textId="77777777" w:rsidR="00A71B26" w:rsidRPr="007D2D5F" w:rsidRDefault="00A71B26" w:rsidP="0049200A">
            <w:pPr>
              <w:pStyle w:val="V50Instructions"/>
              <w:keepNext/>
              <w:keepLines/>
              <w:spacing w:before="0" w:after="0"/>
              <w:jc w:val="left"/>
              <w:rPr>
                <w:rFonts w:ascii="Arial Narrow" w:hAnsi="Arial Narrow"/>
                <w:color w:val="auto"/>
                <w:sz w:val="20"/>
                <w:szCs w:val="20"/>
              </w:rPr>
            </w:pPr>
            <w:r>
              <w:rPr>
                <w:rFonts w:ascii="Arial Narrow" w:hAnsi="Arial Narrow"/>
                <w:color w:val="auto"/>
                <w:sz w:val="20"/>
                <w:szCs w:val="20"/>
              </w:rPr>
              <w:t xml:space="preserve">16 U/kg Study 153 </w:t>
            </w:r>
          </w:p>
        </w:tc>
        <w:tc>
          <w:tcPr>
            <w:tcW w:w="957" w:type="pct"/>
            <w:tcBorders>
              <w:bottom w:val="single" w:sz="4" w:space="0" w:color="auto"/>
            </w:tcBorders>
            <w:shd w:val="clear" w:color="auto" w:fill="DBE5F1" w:themeFill="accent1" w:themeFillTint="33"/>
            <w:vAlign w:val="center"/>
          </w:tcPr>
          <w:p w14:paraId="332DDC4F"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N=</w:t>
            </w:r>
            <w:r>
              <w:rPr>
                <w:rFonts w:ascii="Arial Narrow" w:hAnsi="Arial Narrow"/>
                <w:color w:val="auto"/>
                <w:sz w:val="20"/>
                <w:szCs w:val="20"/>
              </w:rPr>
              <w:t>70</w:t>
            </w:r>
          </w:p>
          <w:p w14:paraId="0169907B"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Pr>
                <w:rFonts w:ascii="Arial Narrow" w:hAnsi="Arial Narrow"/>
                <w:color w:val="auto"/>
                <w:sz w:val="20"/>
                <w:szCs w:val="20"/>
              </w:rPr>
              <w:t>-2.3</w:t>
            </w:r>
          </w:p>
        </w:tc>
        <w:tc>
          <w:tcPr>
            <w:tcW w:w="976" w:type="pct"/>
            <w:tcBorders>
              <w:bottom w:val="single" w:sz="4" w:space="0" w:color="auto"/>
            </w:tcBorders>
            <w:shd w:val="clear" w:color="auto" w:fill="DBE5F1" w:themeFill="accent1" w:themeFillTint="33"/>
            <w:vAlign w:val="center"/>
          </w:tcPr>
          <w:p w14:paraId="49D860A0"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N=</w:t>
            </w:r>
            <w:r>
              <w:rPr>
                <w:rFonts w:ascii="Arial Narrow" w:hAnsi="Arial Narrow"/>
                <w:color w:val="auto"/>
                <w:sz w:val="20"/>
                <w:szCs w:val="20"/>
              </w:rPr>
              <w:t>69</w:t>
            </w:r>
          </w:p>
          <w:p w14:paraId="0CFFBED5"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Pr>
                <w:rFonts w:ascii="Arial Narrow" w:hAnsi="Arial Narrow"/>
                <w:color w:val="auto"/>
                <w:sz w:val="20"/>
                <w:szCs w:val="20"/>
              </w:rPr>
              <w:t>-1.6</w:t>
            </w:r>
          </w:p>
        </w:tc>
        <w:tc>
          <w:tcPr>
            <w:tcW w:w="686" w:type="pct"/>
            <w:tcBorders>
              <w:bottom w:val="single" w:sz="4" w:space="0" w:color="auto"/>
            </w:tcBorders>
            <w:shd w:val="clear" w:color="auto" w:fill="DBE5F1" w:themeFill="accent1" w:themeFillTint="33"/>
            <w:vAlign w:val="center"/>
          </w:tcPr>
          <w:p w14:paraId="4A48B51D"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w:t>
            </w:r>
          </w:p>
        </w:tc>
        <w:tc>
          <w:tcPr>
            <w:tcW w:w="1347" w:type="pct"/>
            <w:tcBorders>
              <w:bottom w:val="single" w:sz="4" w:space="0" w:color="auto"/>
            </w:tcBorders>
            <w:shd w:val="clear" w:color="auto" w:fill="DBE5F1" w:themeFill="accent1" w:themeFillTint="33"/>
            <w:vAlign w:val="center"/>
          </w:tcPr>
          <w:p w14:paraId="6258FB2A" w14:textId="77777777" w:rsidR="00A71B26" w:rsidRPr="007D2D5F" w:rsidRDefault="00A71B26" w:rsidP="0049200A">
            <w:pPr>
              <w:pStyle w:val="V50Instructions"/>
              <w:keepNext/>
              <w:keepLines/>
              <w:spacing w:before="0" w:after="0"/>
              <w:jc w:val="center"/>
              <w:rPr>
                <w:rFonts w:ascii="Arial Narrow" w:hAnsi="Arial Narrow"/>
                <w:b/>
                <w:color w:val="auto"/>
                <w:sz w:val="20"/>
                <w:szCs w:val="20"/>
              </w:rPr>
            </w:pPr>
            <w:r w:rsidRPr="007D2D5F">
              <w:rPr>
                <w:rFonts w:ascii="Arial Narrow" w:hAnsi="Arial Narrow"/>
                <w:b/>
                <w:color w:val="auto"/>
                <w:sz w:val="20"/>
                <w:szCs w:val="20"/>
              </w:rPr>
              <w:t>-0.</w:t>
            </w:r>
            <w:r>
              <w:rPr>
                <w:rFonts w:ascii="Arial Narrow" w:hAnsi="Arial Narrow"/>
                <w:b/>
                <w:color w:val="auto"/>
                <w:sz w:val="20"/>
                <w:szCs w:val="20"/>
              </w:rPr>
              <w:t>70</w:t>
            </w:r>
            <w:r w:rsidRPr="007D2D5F">
              <w:rPr>
                <w:rFonts w:ascii="Arial Narrow" w:hAnsi="Arial Narrow"/>
                <w:b/>
                <w:color w:val="auto"/>
                <w:sz w:val="20"/>
                <w:szCs w:val="20"/>
              </w:rPr>
              <w:t xml:space="preserve"> (-</w:t>
            </w:r>
            <w:r>
              <w:rPr>
                <w:rFonts w:ascii="Arial Narrow" w:hAnsi="Arial Narrow"/>
                <w:b/>
                <w:color w:val="auto"/>
                <w:sz w:val="20"/>
                <w:szCs w:val="20"/>
              </w:rPr>
              <w:t>1.03</w:t>
            </w:r>
            <w:r w:rsidRPr="007D2D5F">
              <w:rPr>
                <w:rFonts w:ascii="Arial Narrow" w:hAnsi="Arial Narrow"/>
                <w:b/>
                <w:color w:val="auto"/>
                <w:sz w:val="20"/>
                <w:szCs w:val="20"/>
              </w:rPr>
              <w:t>, -0.3</w:t>
            </w:r>
            <w:r>
              <w:rPr>
                <w:rFonts w:ascii="Arial Narrow" w:hAnsi="Arial Narrow"/>
                <w:b/>
                <w:color w:val="auto"/>
                <w:sz w:val="20"/>
                <w:szCs w:val="20"/>
              </w:rPr>
              <w:t>7</w:t>
            </w:r>
            <w:r w:rsidRPr="007D2D5F">
              <w:rPr>
                <w:rFonts w:ascii="Arial Narrow" w:hAnsi="Arial Narrow"/>
                <w:b/>
                <w:color w:val="auto"/>
                <w:sz w:val="20"/>
                <w:szCs w:val="20"/>
              </w:rPr>
              <w:t>)</w:t>
            </w:r>
          </w:p>
        </w:tc>
      </w:tr>
      <w:tr w:rsidR="00A71B26" w:rsidRPr="007D2D5F" w14:paraId="02361E74" w14:textId="77777777" w:rsidTr="00DF637A">
        <w:trPr>
          <w:jc w:val="center"/>
        </w:trPr>
        <w:tc>
          <w:tcPr>
            <w:tcW w:w="3653" w:type="pct"/>
            <w:gridSpan w:val="4"/>
            <w:tcBorders>
              <w:bottom w:val="single" w:sz="4" w:space="0" w:color="auto"/>
            </w:tcBorders>
            <w:shd w:val="clear" w:color="auto" w:fill="DBE5F1" w:themeFill="accent1" w:themeFillTint="33"/>
            <w:vAlign w:val="center"/>
          </w:tcPr>
          <w:p w14:paraId="7A9487E0" w14:textId="42A83C2B" w:rsidR="00A71B26" w:rsidRPr="007D2D5F" w:rsidRDefault="00B404B5" w:rsidP="0049200A">
            <w:pPr>
              <w:pStyle w:val="V50Instructions"/>
              <w:keepNext/>
              <w:keepLines/>
              <w:spacing w:before="0" w:after="0"/>
              <w:jc w:val="right"/>
              <w:rPr>
                <w:rFonts w:ascii="Arial Narrow" w:hAnsi="Arial Narrow"/>
                <w:color w:val="auto"/>
                <w:sz w:val="20"/>
                <w:szCs w:val="20"/>
              </w:rPr>
            </w:pPr>
            <w:r>
              <w:rPr>
                <w:rFonts w:ascii="Arial Narrow" w:hAnsi="Arial Narrow"/>
                <w:color w:val="auto"/>
                <w:sz w:val="20"/>
                <w:szCs w:val="20"/>
              </w:rPr>
              <w:t>P</w:t>
            </w:r>
            <w:r w:rsidR="00A71B26" w:rsidRPr="007D2D5F">
              <w:rPr>
                <w:rFonts w:ascii="Arial Narrow" w:hAnsi="Arial Narrow"/>
                <w:color w:val="auto"/>
                <w:sz w:val="20"/>
                <w:szCs w:val="20"/>
              </w:rPr>
              <w:t xml:space="preserve">ooled </w:t>
            </w:r>
            <w:r w:rsidR="00A71B26">
              <w:rPr>
                <w:rFonts w:ascii="Arial Narrow" w:hAnsi="Arial Narrow"/>
                <w:color w:val="auto"/>
                <w:sz w:val="20"/>
                <w:szCs w:val="20"/>
              </w:rPr>
              <w:t>Dysport fixed effects (</w:t>
            </w:r>
            <w:r w:rsidR="00A71B26" w:rsidRPr="007D2D5F">
              <w:rPr>
                <w:rFonts w:ascii="Arial Narrow" w:hAnsi="Arial Narrow"/>
                <w:color w:val="auto"/>
                <w:sz w:val="20"/>
                <w:szCs w:val="20"/>
              </w:rPr>
              <w:t>1</w:t>
            </w:r>
            <w:r w:rsidR="00A71B26" w:rsidRPr="007D2D5F">
              <w:rPr>
                <w:rFonts w:ascii="Arial Narrow" w:hAnsi="Arial Narrow"/>
                <w:color w:val="auto"/>
                <w:sz w:val="20"/>
                <w:szCs w:val="20"/>
                <w:vertAlign w:val="superscript"/>
              </w:rPr>
              <w:t>2</w:t>
            </w:r>
            <w:r w:rsidR="00A71B26" w:rsidRPr="007D2D5F">
              <w:rPr>
                <w:rFonts w:ascii="Arial Narrow" w:hAnsi="Arial Narrow"/>
                <w:color w:val="auto"/>
                <w:sz w:val="20"/>
                <w:szCs w:val="20"/>
              </w:rPr>
              <w:t>=</w:t>
            </w:r>
            <w:r w:rsidR="00A71B26">
              <w:rPr>
                <w:rFonts w:ascii="Arial Narrow" w:hAnsi="Arial Narrow"/>
                <w:color w:val="auto"/>
                <w:sz w:val="20"/>
                <w:szCs w:val="20"/>
              </w:rPr>
              <w:t>32.3%</w:t>
            </w:r>
            <w:r w:rsidR="00A71B26" w:rsidRPr="007D2D5F">
              <w:rPr>
                <w:rFonts w:ascii="Arial Narrow" w:hAnsi="Arial Narrow"/>
                <w:color w:val="auto"/>
                <w:sz w:val="20"/>
                <w:szCs w:val="20"/>
              </w:rPr>
              <w:t>; p=0.</w:t>
            </w:r>
            <w:r w:rsidR="00A71B26">
              <w:rPr>
                <w:rFonts w:ascii="Arial Narrow" w:hAnsi="Arial Narrow"/>
                <w:color w:val="auto"/>
                <w:sz w:val="20"/>
                <w:szCs w:val="20"/>
              </w:rPr>
              <w:t>22)</w:t>
            </w:r>
          </w:p>
        </w:tc>
        <w:tc>
          <w:tcPr>
            <w:tcW w:w="1347" w:type="pct"/>
            <w:tcBorders>
              <w:bottom w:val="single" w:sz="4" w:space="0" w:color="auto"/>
            </w:tcBorders>
            <w:shd w:val="clear" w:color="auto" w:fill="DBE5F1" w:themeFill="accent1" w:themeFillTint="33"/>
            <w:vAlign w:val="center"/>
          </w:tcPr>
          <w:p w14:paraId="2F2D9190" w14:textId="77777777" w:rsidR="00A71B26" w:rsidRPr="007D2D5F" w:rsidRDefault="00A71B26" w:rsidP="0049200A">
            <w:pPr>
              <w:pStyle w:val="V50Instructions"/>
              <w:keepNext/>
              <w:keepLines/>
              <w:spacing w:before="0" w:after="0"/>
              <w:jc w:val="center"/>
              <w:rPr>
                <w:rFonts w:ascii="Arial Narrow" w:hAnsi="Arial Narrow"/>
                <w:b/>
                <w:color w:val="auto"/>
                <w:sz w:val="20"/>
                <w:szCs w:val="20"/>
              </w:rPr>
            </w:pPr>
            <w:r w:rsidRPr="007D2D5F">
              <w:rPr>
                <w:rFonts w:ascii="Arial Narrow" w:hAnsi="Arial Narrow"/>
                <w:b/>
                <w:color w:val="auto"/>
                <w:sz w:val="20"/>
                <w:szCs w:val="20"/>
              </w:rPr>
              <w:t>-0.5</w:t>
            </w:r>
            <w:r>
              <w:rPr>
                <w:rFonts w:ascii="Arial Narrow" w:hAnsi="Arial Narrow"/>
                <w:b/>
                <w:color w:val="auto"/>
                <w:sz w:val="20"/>
                <w:szCs w:val="20"/>
              </w:rPr>
              <w:t>6</w:t>
            </w:r>
            <w:r w:rsidRPr="007D2D5F">
              <w:rPr>
                <w:rFonts w:ascii="Arial Narrow" w:hAnsi="Arial Narrow"/>
                <w:b/>
                <w:color w:val="auto"/>
                <w:sz w:val="20"/>
                <w:szCs w:val="20"/>
              </w:rPr>
              <w:t xml:space="preserve"> (-0.</w:t>
            </w:r>
            <w:r>
              <w:rPr>
                <w:rFonts w:ascii="Arial Narrow" w:hAnsi="Arial Narrow"/>
                <w:b/>
                <w:color w:val="auto"/>
                <w:sz w:val="20"/>
                <w:szCs w:val="20"/>
              </w:rPr>
              <w:t>80</w:t>
            </w:r>
            <w:r w:rsidRPr="007D2D5F">
              <w:rPr>
                <w:rFonts w:ascii="Arial Narrow" w:hAnsi="Arial Narrow"/>
                <w:b/>
                <w:color w:val="auto"/>
                <w:sz w:val="20"/>
                <w:szCs w:val="20"/>
              </w:rPr>
              <w:t>, -0.3</w:t>
            </w:r>
            <w:r>
              <w:rPr>
                <w:rFonts w:ascii="Arial Narrow" w:hAnsi="Arial Narrow"/>
                <w:b/>
                <w:color w:val="auto"/>
                <w:sz w:val="20"/>
                <w:szCs w:val="20"/>
              </w:rPr>
              <w:t>2</w:t>
            </w:r>
            <w:r w:rsidRPr="007D2D5F">
              <w:rPr>
                <w:rFonts w:ascii="Arial Narrow" w:hAnsi="Arial Narrow"/>
                <w:b/>
                <w:color w:val="auto"/>
                <w:sz w:val="20"/>
                <w:szCs w:val="20"/>
              </w:rPr>
              <w:t>)</w:t>
            </w:r>
          </w:p>
        </w:tc>
      </w:tr>
      <w:tr w:rsidR="00A71B26" w:rsidRPr="005304EE" w14:paraId="1D570CCC" w14:textId="77777777" w:rsidTr="00DF637A">
        <w:trPr>
          <w:jc w:val="center"/>
        </w:trPr>
        <w:tc>
          <w:tcPr>
            <w:tcW w:w="1034" w:type="pct"/>
            <w:tcBorders>
              <w:top w:val="single" w:sz="4" w:space="0" w:color="auto"/>
              <w:bottom w:val="single" w:sz="4" w:space="0" w:color="auto"/>
            </w:tcBorders>
            <w:shd w:val="clear" w:color="auto" w:fill="DBE5F1" w:themeFill="accent1" w:themeFillTint="33"/>
            <w:vAlign w:val="center"/>
          </w:tcPr>
          <w:p w14:paraId="713AF326" w14:textId="77777777" w:rsidR="00A71B26" w:rsidRPr="007D2D5F" w:rsidRDefault="00A71B26" w:rsidP="0049200A">
            <w:pPr>
              <w:pStyle w:val="V50Instructions"/>
              <w:keepNext/>
              <w:keepLines/>
              <w:spacing w:before="0" w:after="0"/>
              <w:jc w:val="left"/>
              <w:rPr>
                <w:rFonts w:ascii="Arial Narrow" w:hAnsi="Arial Narrow"/>
                <w:color w:val="auto"/>
                <w:sz w:val="20"/>
                <w:szCs w:val="20"/>
              </w:rPr>
            </w:pPr>
            <w:r>
              <w:rPr>
                <w:rFonts w:ascii="Arial Narrow" w:hAnsi="Arial Narrow"/>
                <w:color w:val="auto"/>
                <w:sz w:val="20"/>
                <w:szCs w:val="20"/>
              </w:rPr>
              <w:t xml:space="preserve">6 U/kg Fehlings 2018 </w:t>
            </w:r>
          </w:p>
        </w:tc>
        <w:tc>
          <w:tcPr>
            <w:tcW w:w="957" w:type="pct"/>
            <w:tcBorders>
              <w:top w:val="single" w:sz="4" w:space="0" w:color="auto"/>
              <w:bottom w:val="single" w:sz="4" w:space="0" w:color="auto"/>
            </w:tcBorders>
            <w:shd w:val="clear" w:color="auto" w:fill="DBE5F1" w:themeFill="accent1" w:themeFillTint="33"/>
            <w:vAlign w:val="center"/>
          </w:tcPr>
          <w:p w14:paraId="7D8EDCAF"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w:t>
            </w:r>
          </w:p>
        </w:tc>
        <w:tc>
          <w:tcPr>
            <w:tcW w:w="976" w:type="pct"/>
            <w:tcBorders>
              <w:top w:val="single" w:sz="4" w:space="0" w:color="auto"/>
              <w:bottom w:val="single" w:sz="4" w:space="0" w:color="auto"/>
            </w:tcBorders>
            <w:shd w:val="clear" w:color="auto" w:fill="DBE5F1" w:themeFill="accent1" w:themeFillTint="33"/>
            <w:vAlign w:val="center"/>
          </w:tcPr>
          <w:p w14:paraId="6CB51B49"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N=</w:t>
            </w:r>
            <w:r>
              <w:rPr>
                <w:rFonts w:ascii="Arial Narrow" w:hAnsi="Arial Narrow"/>
                <w:color w:val="auto"/>
                <w:sz w:val="20"/>
                <w:szCs w:val="20"/>
              </w:rPr>
              <w:t>79</w:t>
            </w:r>
          </w:p>
          <w:p w14:paraId="7AE4A724"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Pr>
                <w:rFonts w:ascii="Arial Narrow" w:hAnsi="Arial Narrow"/>
                <w:color w:val="auto"/>
                <w:sz w:val="20"/>
                <w:szCs w:val="20"/>
              </w:rPr>
              <w:t>-1.1</w:t>
            </w:r>
          </w:p>
        </w:tc>
        <w:tc>
          <w:tcPr>
            <w:tcW w:w="686" w:type="pct"/>
            <w:tcBorders>
              <w:top w:val="single" w:sz="4" w:space="0" w:color="auto"/>
              <w:bottom w:val="single" w:sz="4" w:space="0" w:color="auto"/>
            </w:tcBorders>
            <w:shd w:val="clear" w:color="auto" w:fill="DBE5F1" w:themeFill="accent1" w:themeFillTint="33"/>
            <w:vAlign w:val="center"/>
          </w:tcPr>
          <w:p w14:paraId="30ED1860"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N=</w:t>
            </w:r>
            <w:r>
              <w:rPr>
                <w:rFonts w:ascii="Arial Narrow" w:hAnsi="Arial Narrow"/>
                <w:color w:val="auto"/>
                <w:sz w:val="20"/>
                <w:szCs w:val="20"/>
              </w:rPr>
              <w:t>77</w:t>
            </w:r>
          </w:p>
          <w:p w14:paraId="12CCDDF0"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Pr>
                <w:rFonts w:ascii="Arial Narrow" w:hAnsi="Arial Narrow"/>
                <w:color w:val="auto"/>
                <w:sz w:val="20"/>
                <w:szCs w:val="20"/>
              </w:rPr>
              <w:t>-1.9</w:t>
            </w:r>
          </w:p>
        </w:tc>
        <w:tc>
          <w:tcPr>
            <w:tcW w:w="1347" w:type="pct"/>
            <w:tcBorders>
              <w:top w:val="single" w:sz="4" w:space="0" w:color="auto"/>
              <w:bottom w:val="single" w:sz="4" w:space="0" w:color="auto"/>
            </w:tcBorders>
            <w:shd w:val="clear" w:color="auto" w:fill="DBE5F1" w:themeFill="accent1" w:themeFillTint="33"/>
            <w:vAlign w:val="center"/>
          </w:tcPr>
          <w:p w14:paraId="586B0977" w14:textId="77777777" w:rsidR="00A71B26" w:rsidRPr="005304EE" w:rsidRDefault="00A71B26" w:rsidP="0049200A">
            <w:pPr>
              <w:pStyle w:val="V50Instructions"/>
              <w:keepNext/>
              <w:keepLines/>
              <w:spacing w:before="0" w:after="0"/>
              <w:jc w:val="center"/>
              <w:rPr>
                <w:rFonts w:ascii="Arial Narrow" w:hAnsi="Arial Narrow"/>
                <w:b/>
                <w:bCs/>
                <w:color w:val="auto"/>
                <w:sz w:val="20"/>
                <w:szCs w:val="20"/>
              </w:rPr>
            </w:pPr>
            <w:r w:rsidRPr="005304EE">
              <w:rPr>
                <w:rFonts w:ascii="Arial Narrow" w:hAnsi="Arial Narrow"/>
                <w:b/>
                <w:bCs/>
                <w:color w:val="auto"/>
                <w:sz w:val="20"/>
                <w:szCs w:val="20"/>
              </w:rPr>
              <w:t>-0.60 (-0.90, 0.30)</w:t>
            </w:r>
          </w:p>
        </w:tc>
      </w:tr>
      <w:tr w:rsidR="00A71B26" w:rsidRPr="005304EE" w14:paraId="2FABAD2E" w14:textId="77777777" w:rsidTr="00DF637A">
        <w:trPr>
          <w:jc w:val="center"/>
        </w:trPr>
        <w:tc>
          <w:tcPr>
            <w:tcW w:w="1034" w:type="pct"/>
            <w:tcBorders>
              <w:top w:val="single" w:sz="4" w:space="0" w:color="auto"/>
            </w:tcBorders>
            <w:shd w:val="clear" w:color="auto" w:fill="DBE5F1" w:themeFill="accent1" w:themeFillTint="33"/>
            <w:vAlign w:val="center"/>
          </w:tcPr>
          <w:p w14:paraId="2F92BD89" w14:textId="77777777" w:rsidR="00A71B26" w:rsidRPr="007D2D5F" w:rsidRDefault="00A71B26" w:rsidP="0049200A">
            <w:pPr>
              <w:pStyle w:val="V50Instructions"/>
              <w:keepNext/>
              <w:keepLines/>
              <w:spacing w:before="0" w:after="0"/>
              <w:jc w:val="left"/>
              <w:rPr>
                <w:rFonts w:ascii="Arial Narrow" w:hAnsi="Arial Narrow"/>
                <w:color w:val="auto"/>
                <w:sz w:val="20"/>
                <w:szCs w:val="20"/>
              </w:rPr>
            </w:pPr>
            <w:r>
              <w:rPr>
                <w:rFonts w:ascii="Arial Narrow" w:hAnsi="Arial Narrow"/>
                <w:color w:val="auto"/>
                <w:sz w:val="20"/>
                <w:szCs w:val="20"/>
              </w:rPr>
              <w:t xml:space="preserve">3 U/kg Fehlings 2018 </w:t>
            </w:r>
          </w:p>
        </w:tc>
        <w:tc>
          <w:tcPr>
            <w:tcW w:w="957" w:type="pct"/>
            <w:tcBorders>
              <w:top w:val="single" w:sz="4" w:space="0" w:color="auto"/>
            </w:tcBorders>
            <w:shd w:val="clear" w:color="auto" w:fill="DBE5F1" w:themeFill="accent1" w:themeFillTint="33"/>
            <w:vAlign w:val="center"/>
          </w:tcPr>
          <w:p w14:paraId="2B7DF8ED"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w:t>
            </w:r>
          </w:p>
        </w:tc>
        <w:tc>
          <w:tcPr>
            <w:tcW w:w="976" w:type="pct"/>
            <w:tcBorders>
              <w:top w:val="single" w:sz="4" w:space="0" w:color="auto"/>
            </w:tcBorders>
            <w:shd w:val="clear" w:color="auto" w:fill="DBE5F1" w:themeFill="accent1" w:themeFillTint="33"/>
            <w:vAlign w:val="center"/>
          </w:tcPr>
          <w:p w14:paraId="1AC372DE"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N=</w:t>
            </w:r>
            <w:r>
              <w:rPr>
                <w:rFonts w:ascii="Arial Narrow" w:hAnsi="Arial Narrow"/>
                <w:color w:val="auto"/>
                <w:sz w:val="20"/>
                <w:szCs w:val="20"/>
              </w:rPr>
              <w:t>79</w:t>
            </w:r>
          </w:p>
          <w:p w14:paraId="571A6F29"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Pr>
                <w:rFonts w:ascii="Arial Narrow" w:hAnsi="Arial Narrow"/>
                <w:color w:val="auto"/>
                <w:sz w:val="20"/>
                <w:szCs w:val="20"/>
              </w:rPr>
              <w:t>-1.1</w:t>
            </w:r>
          </w:p>
        </w:tc>
        <w:tc>
          <w:tcPr>
            <w:tcW w:w="686" w:type="pct"/>
            <w:tcBorders>
              <w:top w:val="single" w:sz="4" w:space="0" w:color="auto"/>
            </w:tcBorders>
            <w:shd w:val="clear" w:color="auto" w:fill="DBE5F1" w:themeFill="accent1" w:themeFillTint="33"/>
            <w:vAlign w:val="center"/>
          </w:tcPr>
          <w:p w14:paraId="2C2760CC"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sidRPr="007D2D5F">
              <w:rPr>
                <w:rFonts w:ascii="Arial Narrow" w:hAnsi="Arial Narrow"/>
                <w:color w:val="auto"/>
                <w:sz w:val="20"/>
                <w:szCs w:val="20"/>
              </w:rPr>
              <w:t>N=</w:t>
            </w:r>
            <w:r>
              <w:rPr>
                <w:rFonts w:ascii="Arial Narrow" w:hAnsi="Arial Narrow"/>
                <w:color w:val="auto"/>
                <w:sz w:val="20"/>
                <w:szCs w:val="20"/>
              </w:rPr>
              <w:t>78</w:t>
            </w:r>
          </w:p>
          <w:p w14:paraId="7DB930F9" w14:textId="77777777" w:rsidR="00A71B26" w:rsidRPr="007D2D5F" w:rsidRDefault="00A71B26" w:rsidP="0049200A">
            <w:pPr>
              <w:pStyle w:val="V50Instructions"/>
              <w:keepNext/>
              <w:keepLines/>
              <w:spacing w:before="0" w:after="0"/>
              <w:jc w:val="center"/>
              <w:rPr>
                <w:rFonts w:ascii="Arial Narrow" w:hAnsi="Arial Narrow"/>
                <w:color w:val="auto"/>
                <w:sz w:val="20"/>
                <w:szCs w:val="20"/>
              </w:rPr>
            </w:pPr>
            <w:r>
              <w:rPr>
                <w:rFonts w:ascii="Arial Narrow" w:hAnsi="Arial Narrow"/>
                <w:color w:val="auto"/>
                <w:sz w:val="20"/>
                <w:szCs w:val="20"/>
              </w:rPr>
              <w:t>-1.9</w:t>
            </w:r>
          </w:p>
        </w:tc>
        <w:tc>
          <w:tcPr>
            <w:tcW w:w="1347" w:type="pct"/>
            <w:tcBorders>
              <w:top w:val="single" w:sz="4" w:space="0" w:color="auto"/>
            </w:tcBorders>
            <w:shd w:val="clear" w:color="auto" w:fill="DBE5F1" w:themeFill="accent1" w:themeFillTint="33"/>
            <w:vAlign w:val="center"/>
          </w:tcPr>
          <w:p w14:paraId="4498A982" w14:textId="77777777" w:rsidR="00A71B26" w:rsidRPr="005304EE" w:rsidRDefault="00A71B26" w:rsidP="0049200A">
            <w:pPr>
              <w:pStyle w:val="V50Instructions"/>
              <w:keepNext/>
              <w:keepLines/>
              <w:spacing w:before="0" w:after="0"/>
              <w:jc w:val="center"/>
              <w:rPr>
                <w:rFonts w:ascii="Arial Narrow" w:hAnsi="Arial Narrow"/>
                <w:b/>
                <w:bCs/>
                <w:color w:val="auto"/>
                <w:sz w:val="20"/>
                <w:szCs w:val="20"/>
              </w:rPr>
            </w:pPr>
            <w:r w:rsidRPr="005304EE">
              <w:rPr>
                <w:rFonts w:ascii="Arial Narrow" w:hAnsi="Arial Narrow"/>
                <w:b/>
                <w:bCs/>
                <w:color w:val="auto"/>
                <w:sz w:val="20"/>
                <w:szCs w:val="20"/>
              </w:rPr>
              <w:t>-0.72 (-0.98, -0.46)</w:t>
            </w:r>
          </w:p>
        </w:tc>
      </w:tr>
      <w:tr w:rsidR="00A71B26" w:rsidRPr="00F823CA" w14:paraId="5EA2430E" w14:textId="77777777" w:rsidTr="00DF637A">
        <w:trPr>
          <w:jc w:val="center"/>
        </w:trPr>
        <w:tc>
          <w:tcPr>
            <w:tcW w:w="3653" w:type="pct"/>
            <w:gridSpan w:val="4"/>
            <w:shd w:val="clear" w:color="auto" w:fill="DBE5F1" w:themeFill="accent1" w:themeFillTint="33"/>
            <w:vAlign w:val="center"/>
          </w:tcPr>
          <w:p w14:paraId="681F8617" w14:textId="7413559C" w:rsidR="00A71B26" w:rsidRPr="007D2D5F" w:rsidRDefault="00B404B5" w:rsidP="0049200A">
            <w:pPr>
              <w:pStyle w:val="V50Instructions"/>
              <w:keepNext/>
              <w:keepLines/>
              <w:spacing w:before="0" w:after="0"/>
              <w:jc w:val="right"/>
              <w:rPr>
                <w:rFonts w:ascii="Arial Narrow" w:hAnsi="Arial Narrow"/>
                <w:color w:val="auto"/>
                <w:sz w:val="20"/>
                <w:szCs w:val="20"/>
              </w:rPr>
            </w:pPr>
            <w:r>
              <w:rPr>
                <w:rFonts w:ascii="Arial Narrow" w:hAnsi="Arial Narrow"/>
                <w:color w:val="auto"/>
                <w:sz w:val="20"/>
                <w:szCs w:val="20"/>
              </w:rPr>
              <w:t>P</w:t>
            </w:r>
            <w:r w:rsidR="00A71B26" w:rsidRPr="007D2D5F">
              <w:rPr>
                <w:rFonts w:ascii="Arial Narrow" w:hAnsi="Arial Narrow"/>
                <w:color w:val="auto"/>
                <w:sz w:val="20"/>
                <w:szCs w:val="20"/>
              </w:rPr>
              <w:t xml:space="preserve">ooled </w:t>
            </w:r>
            <w:r w:rsidR="00A71B26">
              <w:rPr>
                <w:rFonts w:ascii="Arial Narrow" w:hAnsi="Arial Narrow"/>
                <w:color w:val="auto"/>
                <w:sz w:val="20"/>
                <w:szCs w:val="20"/>
              </w:rPr>
              <w:t>Botox fixed effects (</w:t>
            </w:r>
            <w:r w:rsidR="00A71B26" w:rsidRPr="007D2D5F">
              <w:rPr>
                <w:rFonts w:ascii="Arial Narrow" w:hAnsi="Arial Narrow"/>
                <w:color w:val="auto"/>
                <w:sz w:val="20"/>
                <w:szCs w:val="20"/>
              </w:rPr>
              <w:t>I</w:t>
            </w:r>
            <w:r w:rsidR="00A71B26" w:rsidRPr="007D2D5F">
              <w:rPr>
                <w:rFonts w:ascii="Arial Narrow" w:hAnsi="Arial Narrow"/>
                <w:color w:val="auto"/>
                <w:sz w:val="20"/>
                <w:szCs w:val="20"/>
                <w:vertAlign w:val="superscript"/>
              </w:rPr>
              <w:t>2</w:t>
            </w:r>
            <w:r w:rsidR="00A71B26" w:rsidRPr="007D2D5F">
              <w:rPr>
                <w:rFonts w:ascii="Arial Narrow" w:hAnsi="Arial Narrow"/>
                <w:color w:val="auto"/>
                <w:sz w:val="20"/>
                <w:szCs w:val="20"/>
              </w:rPr>
              <w:t>=0%; p=0.</w:t>
            </w:r>
            <w:r w:rsidR="00A71B26">
              <w:rPr>
                <w:rFonts w:ascii="Arial Narrow" w:hAnsi="Arial Narrow"/>
                <w:color w:val="auto"/>
                <w:sz w:val="20"/>
                <w:szCs w:val="20"/>
              </w:rPr>
              <w:t>55)</w:t>
            </w:r>
          </w:p>
        </w:tc>
        <w:tc>
          <w:tcPr>
            <w:tcW w:w="1347" w:type="pct"/>
            <w:shd w:val="clear" w:color="auto" w:fill="DBE5F1" w:themeFill="accent1" w:themeFillTint="33"/>
            <w:vAlign w:val="center"/>
          </w:tcPr>
          <w:p w14:paraId="1C680C08" w14:textId="77777777" w:rsidR="00A71B26" w:rsidRPr="00F823CA" w:rsidRDefault="00A71B26" w:rsidP="0049200A">
            <w:pPr>
              <w:pStyle w:val="V50Instructions"/>
              <w:keepNext/>
              <w:keepLines/>
              <w:spacing w:before="0" w:after="0"/>
              <w:jc w:val="center"/>
              <w:rPr>
                <w:rFonts w:ascii="Arial Narrow" w:hAnsi="Arial Narrow"/>
                <w:b/>
                <w:bCs/>
                <w:color w:val="auto"/>
                <w:sz w:val="20"/>
                <w:szCs w:val="20"/>
              </w:rPr>
            </w:pPr>
            <w:r w:rsidRPr="00F823CA">
              <w:rPr>
                <w:rFonts w:ascii="Arial Narrow" w:hAnsi="Arial Narrow"/>
                <w:b/>
                <w:bCs/>
                <w:color w:val="auto"/>
                <w:sz w:val="20"/>
                <w:szCs w:val="20"/>
              </w:rPr>
              <w:t>-0.67 (-0.87, -0.</w:t>
            </w:r>
            <w:r>
              <w:rPr>
                <w:rFonts w:ascii="Arial Narrow" w:hAnsi="Arial Narrow"/>
                <w:b/>
                <w:bCs/>
                <w:color w:val="auto"/>
                <w:sz w:val="20"/>
                <w:szCs w:val="20"/>
              </w:rPr>
              <w:t>47</w:t>
            </w:r>
            <w:r w:rsidRPr="00F823CA">
              <w:rPr>
                <w:rFonts w:ascii="Arial Narrow" w:hAnsi="Arial Narrow"/>
                <w:b/>
                <w:bCs/>
                <w:color w:val="auto"/>
                <w:sz w:val="20"/>
                <w:szCs w:val="20"/>
              </w:rPr>
              <w:t>)</w:t>
            </w:r>
          </w:p>
        </w:tc>
      </w:tr>
      <w:tr w:rsidR="00A71B26" w:rsidRPr="005304EE" w14:paraId="5FA9E956" w14:textId="77777777" w:rsidTr="00DF637A">
        <w:trPr>
          <w:jc w:val="center"/>
        </w:trPr>
        <w:tc>
          <w:tcPr>
            <w:tcW w:w="3653" w:type="pct"/>
            <w:gridSpan w:val="4"/>
            <w:shd w:val="clear" w:color="auto" w:fill="DBE5F1" w:themeFill="accent1" w:themeFillTint="33"/>
            <w:vAlign w:val="center"/>
          </w:tcPr>
          <w:p w14:paraId="11F35A1D" w14:textId="074499E5" w:rsidR="00A71B26" w:rsidRPr="002C44BE" w:rsidRDefault="00A71B26" w:rsidP="0049200A">
            <w:pPr>
              <w:pStyle w:val="V50Instructions"/>
              <w:keepNext/>
              <w:keepLines/>
              <w:spacing w:before="0" w:after="0"/>
              <w:jc w:val="right"/>
              <w:rPr>
                <w:rFonts w:ascii="Arial Narrow" w:hAnsi="Arial Narrow"/>
                <w:bCs/>
                <w:color w:val="auto"/>
                <w:sz w:val="20"/>
                <w:szCs w:val="20"/>
              </w:rPr>
            </w:pPr>
            <w:r w:rsidRPr="002C44BE">
              <w:rPr>
                <w:rFonts w:ascii="Arial Narrow" w:hAnsi="Arial Narrow"/>
                <w:bCs/>
                <w:color w:val="auto"/>
                <w:sz w:val="20"/>
                <w:szCs w:val="20"/>
              </w:rPr>
              <w:t xml:space="preserve">Indirect pooled </w:t>
            </w:r>
            <w:r>
              <w:rPr>
                <w:rFonts w:ascii="Arial Narrow" w:hAnsi="Arial Narrow"/>
                <w:bCs/>
                <w:color w:val="auto"/>
                <w:sz w:val="20"/>
                <w:szCs w:val="20"/>
              </w:rPr>
              <w:t>Dysport</w:t>
            </w:r>
            <w:r w:rsidRPr="002C44BE">
              <w:rPr>
                <w:rFonts w:ascii="Arial Narrow" w:hAnsi="Arial Narrow"/>
                <w:bCs/>
                <w:color w:val="auto"/>
                <w:sz w:val="20"/>
                <w:szCs w:val="20"/>
              </w:rPr>
              <w:t xml:space="preserve"> vs pooled </w:t>
            </w:r>
            <w:r>
              <w:rPr>
                <w:rFonts w:ascii="Arial Narrow" w:hAnsi="Arial Narrow"/>
                <w:bCs/>
                <w:color w:val="auto"/>
                <w:sz w:val="20"/>
                <w:szCs w:val="20"/>
              </w:rPr>
              <w:t>Botox</w:t>
            </w:r>
            <w:r w:rsidRPr="00830814">
              <w:rPr>
                <w:rFonts w:ascii="Arial Narrow" w:hAnsi="Arial Narrow"/>
                <w:bCs/>
                <w:color w:val="auto"/>
                <w:sz w:val="20"/>
                <w:szCs w:val="20"/>
                <w:vertAlign w:val="superscript"/>
              </w:rPr>
              <w:t xml:space="preserve"> </w:t>
            </w:r>
            <w:r w:rsidRPr="002C44BE">
              <w:rPr>
                <w:rFonts w:ascii="Arial Narrow" w:hAnsi="Arial Narrow"/>
                <w:bCs/>
                <w:color w:val="auto"/>
                <w:sz w:val="20"/>
                <w:szCs w:val="20"/>
              </w:rPr>
              <w:t>(95% CI)</w:t>
            </w:r>
          </w:p>
        </w:tc>
        <w:tc>
          <w:tcPr>
            <w:tcW w:w="1347" w:type="pct"/>
            <w:shd w:val="clear" w:color="auto" w:fill="DBE5F1" w:themeFill="accent1" w:themeFillTint="33"/>
            <w:vAlign w:val="center"/>
          </w:tcPr>
          <w:p w14:paraId="3FD4BED6" w14:textId="77777777" w:rsidR="00A71B26" w:rsidRPr="005304EE" w:rsidRDefault="00A71B26" w:rsidP="0049200A">
            <w:pPr>
              <w:pStyle w:val="V50Instructions"/>
              <w:keepNext/>
              <w:keepLines/>
              <w:spacing w:before="0" w:after="0"/>
              <w:jc w:val="center"/>
              <w:rPr>
                <w:rFonts w:ascii="Arial Narrow" w:hAnsi="Arial Narrow"/>
                <w:bCs/>
                <w:color w:val="auto"/>
                <w:sz w:val="20"/>
                <w:szCs w:val="20"/>
              </w:rPr>
            </w:pPr>
            <w:r w:rsidRPr="005304EE">
              <w:rPr>
                <w:rFonts w:ascii="Arial Narrow" w:hAnsi="Arial Narrow"/>
                <w:bCs/>
                <w:color w:val="auto"/>
                <w:sz w:val="20"/>
                <w:szCs w:val="20"/>
              </w:rPr>
              <w:t>0.11 (-0.20, 0.42)</w:t>
            </w:r>
          </w:p>
        </w:tc>
      </w:tr>
      <w:tr w:rsidR="00A71B26" w:rsidRPr="002539EC" w14:paraId="283FE535" w14:textId="77777777" w:rsidTr="00DF637A">
        <w:trPr>
          <w:jc w:val="center"/>
        </w:trPr>
        <w:tc>
          <w:tcPr>
            <w:tcW w:w="3653" w:type="pct"/>
            <w:gridSpan w:val="4"/>
            <w:shd w:val="clear" w:color="auto" w:fill="DBE5F1" w:themeFill="accent1" w:themeFillTint="33"/>
            <w:vAlign w:val="center"/>
          </w:tcPr>
          <w:p w14:paraId="14698108" w14:textId="39FBC4C3" w:rsidR="00A71B26" w:rsidRPr="002C44BE" w:rsidRDefault="00A71B26" w:rsidP="0049200A">
            <w:pPr>
              <w:pStyle w:val="V50Instructions"/>
              <w:keepNext/>
              <w:keepLines/>
              <w:spacing w:before="0" w:after="0"/>
              <w:jc w:val="right"/>
              <w:rPr>
                <w:rFonts w:ascii="Arial Narrow" w:hAnsi="Arial Narrow"/>
                <w:bCs/>
                <w:color w:val="auto"/>
                <w:sz w:val="20"/>
                <w:szCs w:val="20"/>
              </w:rPr>
            </w:pPr>
            <w:r w:rsidRPr="002C44BE">
              <w:rPr>
                <w:rFonts w:ascii="Arial Narrow" w:hAnsi="Arial Narrow"/>
                <w:bCs/>
                <w:color w:val="auto"/>
                <w:sz w:val="20"/>
                <w:szCs w:val="20"/>
              </w:rPr>
              <w:t xml:space="preserve">Indirect </w:t>
            </w:r>
            <w:r>
              <w:rPr>
                <w:rFonts w:ascii="Arial Narrow" w:hAnsi="Arial Narrow"/>
                <w:bCs/>
                <w:color w:val="auto"/>
                <w:sz w:val="20"/>
                <w:szCs w:val="20"/>
              </w:rPr>
              <w:t>Dysport</w:t>
            </w:r>
            <w:r w:rsidRPr="002C44BE">
              <w:rPr>
                <w:rFonts w:ascii="Arial Narrow" w:hAnsi="Arial Narrow"/>
                <w:bCs/>
                <w:color w:val="auto"/>
                <w:sz w:val="20"/>
                <w:szCs w:val="20"/>
              </w:rPr>
              <w:t xml:space="preserve"> 8</w:t>
            </w:r>
            <w:r w:rsidR="00300C9D">
              <w:rPr>
                <w:rFonts w:ascii="Arial Narrow" w:hAnsi="Arial Narrow"/>
                <w:bCs/>
                <w:color w:val="auto"/>
                <w:sz w:val="20"/>
                <w:szCs w:val="20"/>
              </w:rPr>
              <w:t xml:space="preserve"> </w:t>
            </w:r>
            <w:r w:rsidRPr="002C44BE">
              <w:rPr>
                <w:rFonts w:ascii="Arial Narrow" w:hAnsi="Arial Narrow"/>
                <w:bCs/>
                <w:color w:val="auto"/>
                <w:sz w:val="20"/>
                <w:szCs w:val="20"/>
              </w:rPr>
              <w:t xml:space="preserve">U/kg vs pooled </w:t>
            </w:r>
            <w:r>
              <w:rPr>
                <w:rFonts w:ascii="Arial Narrow" w:hAnsi="Arial Narrow"/>
                <w:bCs/>
                <w:color w:val="auto"/>
                <w:sz w:val="20"/>
                <w:szCs w:val="20"/>
              </w:rPr>
              <w:t>Botox</w:t>
            </w:r>
            <w:r w:rsidRPr="002C44BE">
              <w:rPr>
                <w:rFonts w:ascii="Arial Narrow" w:hAnsi="Arial Narrow"/>
                <w:bCs/>
                <w:color w:val="auto"/>
                <w:sz w:val="20"/>
                <w:szCs w:val="20"/>
              </w:rPr>
              <w:t xml:space="preserve"> (95% CI)</w:t>
            </w:r>
          </w:p>
        </w:tc>
        <w:tc>
          <w:tcPr>
            <w:tcW w:w="1347" w:type="pct"/>
            <w:shd w:val="clear" w:color="auto" w:fill="DBE5F1" w:themeFill="accent1" w:themeFillTint="33"/>
            <w:vAlign w:val="center"/>
          </w:tcPr>
          <w:p w14:paraId="2E87BBE4" w14:textId="77777777" w:rsidR="00A71B26" w:rsidRPr="002539EC" w:rsidRDefault="00A71B26" w:rsidP="0049200A">
            <w:pPr>
              <w:pStyle w:val="V50Instructions"/>
              <w:keepNext/>
              <w:keepLines/>
              <w:spacing w:before="0" w:after="0"/>
              <w:jc w:val="center"/>
              <w:rPr>
                <w:rFonts w:ascii="Arial Narrow" w:hAnsi="Arial Narrow"/>
                <w:bCs/>
                <w:color w:val="auto"/>
                <w:sz w:val="20"/>
                <w:szCs w:val="20"/>
              </w:rPr>
            </w:pPr>
            <w:r w:rsidRPr="002539EC">
              <w:rPr>
                <w:rFonts w:ascii="Arial Narrow" w:hAnsi="Arial Narrow"/>
                <w:bCs/>
                <w:color w:val="auto"/>
                <w:sz w:val="20"/>
                <w:szCs w:val="20"/>
              </w:rPr>
              <w:t>0.27 (-0.13, 0.67)</w:t>
            </w:r>
          </w:p>
        </w:tc>
      </w:tr>
      <w:tr w:rsidR="00A71B26" w:rsidRPr="00A33B6F" w14:paraId="73331ECE" w14:textId="77777777" w:rsidTr="00DF637A">
        <w:trPr>
          <w:jc w:val="center"/>
        </w:trPr>
        <w:tc>
          <w:tcPr>
            <w:tcW w:w="3653" w:type="pct"/>
            <w:gridSpan w:val="4"/>
            <w:tcBorders>
              <w:bottom w:val="double" w:sz="4" w:space="0" w:color="auto"/>
            </w:tcBorders>
            <w:shd w:val="clear" w:color="auto" w:fill="DBE5F1" w:themeFill="accent1" w:themeFillTint="33"/>
            <w:vAlign w:val="center"/>
          </w:tcPr>
          <w:p w14:paraId="3648F1C1" w14:textId="0AB82F9B" w:rsidR="00A71B26" w:rsidRPr="002C44BE" w:rsidRDefault="00A71B26" w:rsidP="0049200A">
            <w:pPr>
              <w:pStyle w:val="V50Instructions"/>
              <w:keepNext/>
              <w:keepLines/>
              <w:spacing w:before="0" w:after="0"/>
              <w:jc w:val="right"/>
              <w:rPr>
                <w:rFonts w:ascii="Arial Narrow" w:hAnsi="Arial Narrow"/>
                <w:bCs/>
                <w:color w:val="auto"/>
                <w:sz w:val="20"/>
                <w:szCs w:val="20"/>
              </w:rPr>
            </w:pPr>
            <w:r w:rsidRPr="002C44BE">
              <w:rPr>
                <w:rFonts w:ascii="Arial Narrow" w:hAnsi="Arial Narrow"/>
                <w:bCs/>
                <w:color w:val="auto"/>
                <w:sz w:val="20"/>
                <w:szCs w:val="20"/>
              </w:rPr>
              <w:t xml:space="preserve">Indirect </w:t>
            </w:r>
            <w:r>
              <w:rPr>
                <w:rFonts w:ascii="Arial Narrow" w:hAnsi="Arial Narrow"/>
                <w:bCs/>
                <w:color w:val="auto"/>
                <w:sz w:val="20"/>
                <w:szCs w:val="20"/>
              </w:rPr>
              <w:t>Dysport</w:t>
            </w:r>
            <w:r w:rsidRPr="002C44BE">
              <w:rPr>
                <w:rFonts w:ascii="Arial Narrow" w:hAnsi="Arial Narrow"/>
                <w:bCs/>
                <w:color w:val="auto"/>
                <w:sz w:val="20"/>
                <w:szCs w:val="20"/>
              </w:rPr>
              <w:t xml:space="preserve"> 16</w:t>
            </w:r>
            <w:r w:rsidR="00300C9D">
              <w:rPr>
                <w:rFonts w:ascii="Arial Narrow" w:hAnsi="Arial Narrow"/>
                <w:bCs/>
                <w:color w:val="auto"/>
                <w:sz w:val="20"/>
                <w:szCs w:val="20"/>
              </w:rPr>
              <w:t xml:space="preserve"> </w:t>
            </w:r>
            <w:r w:rsidRPr="002C44BE">
              <w:rPr>
                <w:rFonts w:ascii="Arial Narrow" w:hAnsi="Arial Narrow"/>
                <w:bCs/>
                <w:color w:val="auto"/>
                <w:sz w:val="20"/>
                <w:szCs w:val="20"/>
              </w:rPr>
              <w:t xml:space="preserve">U/kg vs pooled </w:t>
            </w:r>
            <w:r>
              <w:rPr>
                <w:rFonts w:ascii="Arial Narrow" w:hAnsi="Arial Narrow"/>
                <w:bCs/>
                <w:color w:val="auto"/>
                <w:sz w:val="20"/>
                <w:szCs w:val="20"/>
              </w:rPr>
              <w:t>Botox</w:t>
            </w:r>
            <w:r w:rsidRPr="00830814">
              <w:rPr>
                <w:rFonts w:ascii="Arial Narrow" w:hAnsi="Arial Narrow"/>
                <w:bCs/>
                <w:color w:val="auto"/>
                <w:sz w:val="20"/>
                <w:szCs w:val="20"/>
                <w:vertAlign w:val="superscript"/>
              </w:rPr>
              <w:t xml:space="preserve"> </w:t>
            </w:r>
            <w:r w:rsidRPr="002C44BE">
              <w:rPr>
                <w:rFonts w:ascii="Arial Narrow" w:hAnsi="Arial Narrow"/>
                <w:bCs/>
                <w:color w:val="auto"/>
                <w:sz w:val="20"/>
                <w:szCs w:val="20"/>
              </w:rPr>
              <w:t>(95% CI)</w:t>
            </w:r>
          </w:p>
        </w:tc>
        <w:tc>
          <w:tcPr>
            <w:tcW w:w="1347" w:type="pct"/>
            <w:tcBorders>
              <w:bottom w:val="double" w:sz="4" w:space="0" w:color="auto"/>
            </w:tcBorders>
            <w:shd w:val="clear" w:color="auto" w:fill="DBE5F1" w:themeFill="accent1" w:themeFillTint="33"/>
            <w:vAlign w:val="center"/>
          </w:tcPr>
          <w:p w14:paraId="276F483D" w14:textId="77777777" w:rsidR="00A71B26" w:rsidRPr="00A33B6F" w:rsidRDefault="00A71B26" w:rsidP="0049200A">
            <w:pPr>
              <w:pStyle w:val="V50Instructions"/>
              <w:keepNext/>
              <w:keepLines/>
              <w:spacing w:before="0" w:after="0"/>
              <w:jc w:val="center"/>
              <w:rPr>
                <w:rFonts w:ascii="Arial Narrow" w:hAnsi="Arial Narrow"/>
                <w:bCs/>
                <w:color w:val="auto"/>
                <w:sz w:val="20"/>
                <w:szCs w:val="20"/>
              </w:rPr>
            </w:pPr>
            <w:r w:rsidRPr="00A33B6F">
              <w:rPr>
                <w:rFonts w:ascii="Arial Narrow" w:hAnsi="Arial Narrow"/>
                <w:bCs/>
                <w:color w:val="auto"/>
                <w:sz w:val="20"/>
                <w:szCs w:val="20"/>
              </w:rPr>
              <w:t>-0.03 (-0.42, 0.36)</w:t>
            </w:r>
          </w:p>
        </w:tc>
      </w:tr>
    </w:tbl>
    <w:p w14:paraId="0B31AC17" w14:textId="06EA2EB6" w:rsidR="00A71B26" w:rsidRPr="00384062" w:rsidRDefault="00A71B26" w:rsidP="0049200A">
      <w:pPr>
        <w:pStyle w:val="TableFigureFooter"/>
        <w:rPr>
          <w:lang w:eastAsia="en-GB"/>
        </w:rPr>
      </w:pPr>
      <w:r w:rsidRPr="00384062">
        <w:rPr>
          <w:lang w:eastAsia="en-GB"/>
        </w:rPr>
        <w:t xml:space="preserve">Source: Table </w:t>
      </w:r>
      <w:r>
        <w:rPr>
          <w:lang w:eastAsia="en-GB"/>
        </w:rPr>
        <w:t xml:space="preserve">6, Dysport Public Summary Document, July 2020 PBAC Meeting; Tables 2.5.3, p56 </w:t>
      </w:r>
      <w:r w:rsidRPr="00384062">
        <w:rPr>
          <w:lang w:eastAsia="en-GB"/>
        </w:rPr>
        <w:t>of the submission</w:t>
      </w:r>
      <w:r>
        <w:rPr>
          <w:lang w:eastAsia="en-GB"/>
        </w:rPr>
        <w:t>; Table 34, XARA CSR</w:t>
      </w:r>
      <w:r w:rsidRPr="00384062">
        <w:rPr>
          <w:lang w:eastAsia="en-GB"/>
        </w:rPr>
        <w:t>.</w:t>
      </w:r>
    </w:p>
    <w:p w14:paraId="0BA3AD86" w14:textId="77777777" w:rsidR="00A71B26" w:rsidRPr="00384062" w:rsidRDefault="00A71B26" w:rsidP="0049200A">
      <w:pPr>
        <w:pStyle w:val="TableFigureFooter"/>
        <w:rPr>
          <w:rFonts w:eastAsia="Calibri"/>
          <w:szCs w:val="18"/>
          <w:lang w:eastAsia="en-GB"/>
        </w:rPr>
      </w:pPr>
      <w:r w:rsidRPr="00384062">
        <w:rPr>
          <w:rFonts w:eastAsia="Calibri"/>
          <w:szCs w:val="18"/>
          <w:lang w:eastAsia="en-GB"/>
        </w:rPr>
        <w:t xml:space="preserve">CI=confidence interval; </w:t>
      </w:r>
      <w:r>
        <w:rPr>
          <w:rFonts w:eastAsia="Calibri"/>
          <w:szCs w:val="18"/>
          <w:lang w:eastAsia="en-GB"/>
        </w:rPr>
        <w:t xml:space="preserve">CSR=clinical summary report; </w:t>
      </w:r>
      <w:r w:rsidRPr="00384062">
        <w:rPr>
          <w:rFonts w:eastAsia="Calibri"/>
          <w:szCs w:val="18"/>
          <w:lang w:eastAsia="en-GB"/>
        </w:rPr>
        <w:t xml:space="preserve">LSM=least square mean; MAS=Modified Ashworth Scale; NR=not reported; PTMG=primary target muscle group; </w:t>
      </w:r>
      <w:r>
        <w:rPr>
          <w:rFonts w:eastAsia="Calibri"/>
          <w:szCs w:val="18"/>
          <w:lang w:eastAsia="en-GB"/>
        </w:rPr>
        <w:t>UL = upper limb,</w:t>
      </w:r>
      <w:r w:rsidRPr="00384062">
        <w:rPr>
          <w:rFonts w:eastAsia="Calibri"/>
          <w:szCs w:val="18"/>
          <w:lang w:eastAsia="en-GB"/>
        </w:rPr>
        <w:t xml:space="preserve"> </w:t>
      </w:r>
      <w:r w:rsidRPr="00384062">
        <w:rPr>
          <w:rFonts w:eastAsia="Calibri"/>
          <w:b/>
          <w:bCs/>
          <w:szCs w:val="18"/>
          <w:lang w:eastAsia="en-GB"/>
        </w:rPr>
        <w:t>bold</w:t>
      </w:r>
      <w:r w:rsidRPr="00384062">
        <w:rPr>
          <w:rFonts w:eastAsia="Calibri"/>
          <w:szCs w:val="18"/>
          <w:lang w:eastAsia="en-GB"/>
        </w:rPr>
        <w:t>=statistically significant</w:t>
      </w:r>
      <w:r>
        <w:rPr>
          <w:rFonts w:eastAsia="Calibri"/>
          <w:szCs w:val="18"/>
          <w:lang w:eastAsia="en-GB"/>
        </w:rPr>
        <w:t xml:space="preserve">; </w:t>
      </w:r>
      <w:r w:rsidRPr="00BB19DD">
        <w:rPr>
          <w:rFonts w:eastAsia="Calibri"/>
          <w:szCs w:val="18"/>
          <w:shd w:val="clear" w:color="auto" w:fill="DBE5F1" w:themeFill="accent1" w:themeFillTint="33"/>
          <w:lang w:eastAsia="en-GB"/>
        </w:rPr>
        <w:t>light blue shading indicates results previously seen by the PBAC</w:t>
      </w:r>
      <w:r>
        <w:rPr>
          <w:rFonts w:eastAsia="Calibri"/>
          <w:szCs w:val="18"/>
          <w:lang w:eastAsia="en-GB"/>
        </w:rPr>
        <w:t xml:space="preserve">. </w:t>
      </w:r>
    </w:p>
    <w:p w14:paraId="2144A5E1" w14:textId="77777777" w:rsidR="00A71B26" w:rsidRPr="00384062" w:rsidRDefault="00A71B26" w:rsidP="0049200A">
      <w:pPr>
        <w:pStyle w:val="TableFigureFooter"/>
        <w:rPr>
          <w:rFonts w:eastAsia="Calibri"/>
          <w:szCs w:val="18"/>
          <w:lang w:eastAsia="en-GB"/>
        </w:rPr>
      </w:pPr>
      <w:r w:rsidRPr="00384062">
        <w:rPr>
          <w:rFonts w:eastAsia="Calibri"/>
          <w:szCs w:val="18"/>
          <w:vertAlign w:val="superscript"/>
          <w:lang w:eastAsia="en-GB"/>
        </w:rPr>
        <w:t>a</w:t>
      </w:r>
      <w:r>
        <w:rPr>
          <w:rFonts w:eastAsia="Calibri"/>
          <w:szCs w:val="18"/>
          <w:lang w:eastAsia="en-GB"/>
        </w:rPr>
        <w:t xml:space="preserve"> </w:t>
      </w:r>
      <w:r w:rsidRPr="00384062">
        <w:rPr>
          <w:rFonts w:eastAsia="Calibri"/>
          <w:szCs w:val="18"/>
          <w:lang w:eastAsia="en-GB"/>
        </w:rPr>
        <w:t>Both the submission and the Study 153 CSR provided only least square mean change from baseline values, there were no standard deviations or standard errors provided.</w:t>
      </w:r>
    </w:p>
    <w:p w14:paraId="619C650E" w14:textId="03464618" w:rsidR="00A71B26" w:rsidRDefault="00A71B26" w:rsidP="0049200A">
      <w:pPr>
        <w:pStyle w:val="TableFigureFooter"/>
        <w:rPr>
          <w:rFonts w:eastAsia="Calibri"/>
          <w:szCs w:val="18"/>
          <w:lang w:eastAsia="en-GB"/>
        </w:rPr>
      </w:pPr>
      <w:r w:rsidRPr="00384062">
        <w:rPr>
          <w:rFonts w:eastAsia="Calibri"/>
          <w:szCs w:val="18"/>
          <w:vertAlign w:val="superscript"/>
          <w:lang w:eastAsia="en-GB"/>
        </w:rPr>
        <w:t>b</w:t>
      </w:r>
      <w:r>
        <w:rPr>
          <w:rFonts w:eastAsia="Calibri"/>
          <w:szCs w:val="18"/>
          <w:lang w:eastAsia="en-GB"/>
        </w:rPr>
        <w:t xml:space="preserve"> </w:t>
      </w:r>
      <w:r w:rsidRPr="00384062">
        <w:rPr>
          <w:rFonts w:eastAsia="Calibri"/>
          <w:szCs w:val="18"/>
          <w:lang w:eastAsia="en-GB"/>
        </w:rPr>
        <w:t>In Study 153</w:t>
      </w:r>
      <w:r w:rsidR="005B46DA">
        <w:rPr>
          <w:rFonts w:eastAsia="Calibri"/>
          <w:szCs w:val="18"/>
          <w:lang w:eastAsia="en-GB"/>
        </w:rPr>
        <w:t>,</w:t>
      </w:r>
      <w:r w:rsidRPr="00384062">
        <w:rPr>
          <w:rFonts w:eastAsia="Calibri"/>
          <w:szCs w:val="18"/>
          <w:lang w:eastAsia="en-GB"/>
        </w:rPr>
        <w:t xml:space="preserve"> the 2</w:t>
      </w:r>
      <w:r w:rsidR="00300C9D">
        <w:rPr>
          <w:rFonts w:eastAsia="Calibri"/>
          <w:szCs w:val="18"/>
          <w:lang w:eastAsia="en-GB"/>
        </w:rPr>
        <w:t xml:space="preserve"> </w:t>
      </w:r>
      <w:r w:rsidRPr="00384062">
        <w:rPr>
          <w:rFonts w:eastAsia="Calibri"/>
          <w:szCs w:val="18"/>
          <w:lang w:eastAsia="en-GB"/>
        </w:rPr>
        <w:t>U/kg Dysport arm of the trial was used as the ‘no intervention’ arm.</w:t>
      </w:r>
    </w:p>
    <w:p w14:paraId="0EEBC4AA" w14:textId="4A24B1C2" w:rsidR="009D6608" w:rsidRPr="009D6608" w:rsidRDefault="00C45B1F" w:rsidP="0049200A">
      <w:pPr>
        <w:pStyle w:val="3-BodyText"/>
        <w:spacing w:before="120" w:after="120"/>
      </w:pPr>
      <w:r w:rsidRPr="00F81767">
        <w:t xml:space="preserve">A comparison of results </w:t>
      </w:r>
      <w:r w:rsidR="006763D8" w:rsidRPr="00F81767">
        <w:t>from the XARA trial of Xeomin and the published studies of Botox and Dysport in</w:t>
      </w:r>
      <w:r w:rsidR="006763D8" w:rsidRPr="00F81767" w:rsidDel="007F2E38">
        <w:t xml:space="preserve"> </w:t>
      </w:r>
      <w:r w:rsidR="003D3943" w:rsidRPr="00F81767">
        <w:rPr>
          <w:iCs/>
        </w:rPr>
        <w:fldChar w:fldCharType="begin"/>
      </w:r>
      <w:r w:rsidR="003D3943" w:rsidRPr="00F81767">
        <w:rPr>
          <w:iCs/>
        </w:rPr>
        <w:instrText xml:space="preserve"> REF _Ref198638248 \h  \* MERGEFORMAT </w:instrText>
      </w:r>
      <w:r w:rsidR="003D3943" w:rsidRPr="00F81767">
        <w:rPr>
          <w:iCs/>
        </w:rPr>
      </w:r>
      <w:r w:rsidR="003D3943" w:rsidRPr="00F81767">
        <w:rPr>
          <w:iCs/>
        </w:rPr>
        <w:fldChar w:fldCharType="separate"/>
      </w:r>
      <w:r w:rsidR="00AD57D3" w:rsidRPr="00AD57D3">
        <w:rPr>
          <w:iCs/>
        </w:rPr>
        <w:t>Table 6</w:t>
      </w:r>
      <w:r w:rsidR="003D3943" w:rsidRPr="00F81767">
        <w:rPr>
          <w:iCs/>
        </w:rPr>
        <w:fldChar w:fldCharType="end"/>
      </w:r>
      <w:r w:rsidR="00A71A25" w:rsidRPr="00F81767">
        <w:t xml:space="preserve"> </w:t>
      </w:r>
      <w:r w:rsidR="00D13EB3" w:rsidRPr="00F81767">
        <w:t>show</w:t>
      </w:r>
      <w:r w:rsidR="00BF2EA3" w:rsidRPr="00F81767">
        <w:t>ed</w:t>
      </w:r>
      <w:r w:rsidR="00D43DE8" w:rsidRPr="00F81767">
        <w:t xml:space="preserve"> </w:t>
      </w:r>
      <w:r w:rsidR="007F0CF5" w:rsidRPr="00F81767">
        <w:t xml:space="preserve">improvements </w:t>
      </w:r>
      <w:r w:rsidR="008A0ABE" w:rsidRPr="00F81767">
        <w:t>from baseline in spasticity scores</w:t>
      </w:r>
      <w:r w:rsidR="007F0CF5" w:rsidRPr="00F81767">
        <w:t>. Dysport demonstrated dose-dependent reductions (-2.0 at 8 U/kg and -2.3 at 16 U/kg), while Botox consistently showed a reduction of -1.6. Indirect comparisons between Dysport and Botox showed overlapping confidence intervals, with no statistically significant differences in most pairwise comparisons. In contrast, Xeomin demonstrated LS</w:t>
      </w:r>
      <w:r w:rsidR="0032768C" w:rsidRPr="00F81767">
        <w:t>M</w:t>
      </w:r>
      <w:r w:rsidR="007F0CF5" w:rsidRPr="00F81767">
        <w:t xml:space="preserve"> reductions </w:t>
      </w:r>
      <w:r w:rsidR="00C85456" w:rsidRPr="00F81767">
        <w:t>from baseline</w:t>
      </w:r>
      <w:r w:rsidR="007F0CF5" w:rsidRPr="00F81767">
        <w:t xml:space="preserve"> in AS scores ranging from </w:t>
      </w:r>
      <w:r w:rsidR="0032768C" w:rsidRPr="00F81767">
        <w:t>-</w:t>
      </w:r>
      <w:r w:rsidR="007F0CF5" w:rsidRPr="00F81767">
        <w:t xml:space="preserve">0.93 to </w:t>
      </w:r>
      <w:r w:rsidR="0032768C" w:rsidRPr="00F81767">
        <w:t>-</w:t>
      </w:r>
      <w:r w:rsidR="007F0CF5" w:rsidRPr="00F81767">
        <w:t>1.15 at Week 4.</w:t>
      </w:r>
      <w:r w:rsidR="00A778F8" w:rsidRPr="00F81767">
        <w:t xml:space="preserve"> </w:t>
      </w:r>
      <w:r w:rsidR="006C2BA6" w:rsidRPr="00F81767">
        <w:t xml:space="preserve">While these results suggest that Xeomin and Botox </w:t>
      </w:r>
      <w:r w:rsidR="003F379F" w:rsidRPr="00F81767">
        <w:t>(also Dysport)</w:t>
      </w:r>
      <w:r w:rsidR="006C2BA6" w:rsidRPr="00F81767">
        <w:t xml:space="preserve"> reduced spasticity</w:t>
      </w:r>
      <w:r w:rsidR="005A2E9F" w:rsidRPr="00F81767">
        <w:t xml:space="preserve">, the methodological limitation of this unanchored, unadjusted comparison </w:t>
      </w:r>
      <w:r w:rsidR="007460DD" w:rsidRPr="00F81767">
        <w:t>restricts</w:t>
      </w:r>
      <w:r w:rsidR="0043111A" w:rsidRPr="00F81767">
        <w:t xml:space="preserve"> </w:t>
      </w:r>
      <w:r w:rsidR="00B3445E" w:rsidRPr="00F81767">
        <w:t xml:space="preserve">meaningful </w:t>
      </w:r>
      <w:r w:rsidR="007460DD" w:rsidRPr="00F81767">
        <w:t>comparisons</w:t>
      </w:r>
      <w:r w:rsidR="00B3445E" w:rsidRPr="00F81767">
        <w:t xml:space="preserve"> between the treatments </w:t>
      </w:r>
      <w:r w:rsidR="007460DD" w:rsidRPr="00F81767">
        <w:t>due to</w:t>
      </w:r>
      <w:r w:rsidR="00B3445E" w:rsidRPr="00F81767">
        <w:t xml:space="preserve"> </w:t>
      </w:r>
      <w:r w:rsidR="004E7F0D" w:rsidRPr="00F81767">
        <w:t xml:space="preserve">differences in </w:t>
      </w:r>
      <w:r w:rsidR="007460DD" w:rsidRPr="00F81767">
        <w:t>outcome measures (AS</w:t>
      </w:r>
      <w:r w:rsidR="00EB290C" w:rsidRPr="00F81767">
        <w:t xml:space="preserve"> vs</w:t>
      </w:r>
      <w:r w:rsidR="00FC0F4F" w:rsidRPr="00F81767">
        <w:t xml:space="preserve"> MAS</w:t>
      </w:r>
      <w:r w:rsidR="007460DD" w:rsidRPr="00F81767">
        <w:t>)</w:t>
      </w:r>
      <w:r w:rsidR="00FF7CCF" w:rsidRPr="00F81767">
        <w:t>, dosages, time points (Weeks 4 vs 6), and participant characteristics</w:t>
      </w:r>
      <w:r w:rsidR="00444BC8" w:rsidRPr="00F81767">
        <w:t>.</w:t>
      </w:r>
    </w:p>
    <w:p w14:paraId="29C37625" w14:textId="4A442989" w:rsidR="00D50181" w:rsidRDefault="00D50181" w:rsidP="0049200A">
      <w:pPr>
        <w:pStyle w:val="3-BodyText"/>
        <w:spacing w:before="120" w:after="120"/>
      </w:pPr>
      <w:proofErr w:type="gramStart"/>
      <w:r w:rsidRPr="00F81767">
        <w:rPr>
          <w:iCs/>
        </w:rPr>
        <w:lastRenderedPageBreak/>
        <w:t>In particular, there</w:t>
      </w:r>
      <w:proofErr w:type="gramEnd"/>
      <w:r w:rsidRPr="00F81767">
        <w:rPr>
          <w:iCs/>
        </w:rPr>
        <w:t xml:space="preserve"> were differences in the outcome measures used </w:t>
      </w:r>
      <w:r w:rsidR="00233858">
        <w:rPr>
          <w:iCs/>
        </w:rPr>
        <w:t>–</w:t>
      </w:r>
      <w:r w:rsidRPr="00F81767">
        <w:rPr>
          <w:iCs/>
        </w:rPr>
        <w:t xml:space="preserve"> the key studies for Botox and Dysport used the </w:t>
      </w:r>
      <w:r w:rsidR="00233858">
        <w:rPr>
          <w:iCs/>
        </w:rPr>
        <w:t>MAS</w:t>
      </w:r>
      <w:r w:rsidRPr="00F81767">
        <w:rPr>
          <w:iCs/>
        </w:rPr>
        <w:t xml:space="preserve">, while the XARA used the </w:t>
      </w:r>
      <w:r w:rsidR="00233858">
        <w:rPr>
          <w:iCs/>
        </w:rPr>
        <w:t>AS</w:t>
      </w:r>
      <w:r w:rsidRPr="00F81767">
        <w:rPr>
          <w:iCs/>
        </w:rPr>
        <w:t>. Both are rating scales that measure abnormality in tone or the resistance to passive movements, however</w:t>
      </w:r>
      <w:r w:rsidR="00A1589E" w:rsidRPr="00F81767">
        <w:rPr>
          <w:iCs/>
        </w:rPr>
        <w:t>,</w:t>
      </w:r>
      <w:r w:rsidRPr="00F81767">
        <w:rPr>
          <w:iCs/>
        </w:rPr>
        <w:t xml:space="preserve"> the </w:t>
      </w:r>
      <w:r w:rsidR="00233858">
        <w:rPr>
          <w:iCs/>
        </w:rPr>
        <w:t>AS</w:t>
      </w:r>
      <w:r w:rsidRPr="00F81767">
        <w:rPr>
          <w:iCs/>
        </w:rPr>
        <w:t xml:space="preserve"> is a 5-point scale with a grade score of 0, 1, 2, 3, or 4, while the </w:t>
      </w:r>
      <w:r w:rsidR="00233858">
        <w:rPr>
          <w:iCs/>
        </w:rPr>
        <w:t>MAS</w:t>
      </w:r>
      <w:r w:rsidRPr="00F81767">
        <w:rPr>
          <w:iCs/>
        </w:rPr>
        <w:t xml:space="preserve"> is a 6-point scale with an additional grade of 1+ (plus minor changes </w:t>
      </w:r>
      <w:r w:rsidR="00CD570B" w:rsidRPr="00F81767">
        <w:rPr>
          <w:iCs/>
        </w:rPr>
        <w:t xml:space="preserve">in </w:t>
      </w:r>
      <w:r w:rsidRPr="00F81767">
        <w:rPr>
          <w:iCs/>
        </w:rPr>
        <w:t>the definitions of each score).</w:t>
      </w:r>
      <w:r w:rsidR="00B81935">
        <w:rPr>
          <w:iCs/>
        </w:rPr>
        <w:t xml:space="preserve"> </w:t>
      </w:r>
      <w:r w:rsidR="00B81935" w:rsidRPr="00FB0783">
        <w:rPr>
          <w:iCs/>
        </w:rPr>
        <w:t>The PSCR</w:t>
      </w:r>
      <w:r w:rsidR="00BE223C">
        <w:rPr>
          <w:iCs/>
        </w:rPr>
        <w:t xml:space="preserve"> </w:t>
      </w:r>
      <w:r w:rsidR="00823A51" w:rsidRPr="00FB0783">
        <w:rPr>
          <w:iCs/>
        </w:rPr>
        <w:t>claimed</w:t>
      </w:r>
      <w:r w:rsidR="001E43E2" w:rsidRPr="00FB0783">
        <w:rPr>
          <w:iCs/>
        </w:rPr>
        <w:t xml:space="preserve"> </w:t>
      </w:r>
      <w:r w:rsidR="00E6794B" w:rsidRPr="00FB0783">
        <w:rPr>
          <w:iCs/>
        </w:rPr>
        <w:t>t</w:t>
      </w:r>
      <w:r w:rsidR="001E43E2" w:rsidRPr="00FB0783">
        <w:rPr>
          <w:iCs/>
        </w:rPr>
        <w:t>he PBAC previously considered AS and MAS scores equivalent when evaluating outcomes between Dysport and Botox</w:t>
      </w:r>
      <w:r w:rsidR="00AD0861" w:rsidRPr="00FB0783">
        <w:rPr>
          <w:iCs/>
        </w:rPr>
        <w:t xml:space="preserve"> </w:t>
      </w:r>
      <w:r w:rsidR="001940B0" w:rsidRPr="00FB0783">
        <w:rPr>
          <w:iCs/>
        </w:rPr>
        <w:t>as part of its consideration of the July 2020 Dysport submission</w:t>
      </w:r>
      <w:r w:rsidR="001E43E2" w:rsidRPr="00FB0783">
        <w:rPr>
          <w:iCs/>
        </w:rPr>
        <w:t xml:space="preserve"> </w:t>
      </w:r>
      <w:r w:rsidR="008050C4" w:rsidRPr="00FB0783">
        <w:rPr>
          <w:iCs/>
        </w:rPr>
        <w:t xml:space="preserve">for </w:t>
      </w:r>
      <w:r w:rsidR="001E43E2" w:rsidRPr="00FB0783">
        <w:rPr>
          <w:iCs/>
        </w:rPr>
        <w:t xml:space="preserve">upper-limp cerebral palsy spasticity. </w:t>
      </w:r>
      <w:r w:rsidR="00376DEB" w:rsidRPr="00FB0783">
        <w:rPr>
          <w:iCs/>
        </w:rPr>
        <w:t xml:space="preserve">The ESC noted </w:t>
      </w:r>
      <w:r w:rsidR="008D1098" w:rsidRPr="00FB0783">
        <w:rPr>
          <w:iCs/>
        </w:rPr>
        <w:t>the</w:t>
      </w:r>
      <w:r w:rsidR="00C76CFA" w:rsidRPr="00FB0783">
        <w:rPr>
          <w:iCs/>
        </w:rPr>
        <w:t xml:space="preserve"> July 2020 Dysport PSD </w:t>
      </w:r>
      <w:r w:rsidR="009E59DE" w:rsidRPr="00FB0783">
        <w:rPr>
          <w:iCs/>
        </w:rPr>
        <w:t>d</w:t>
      </w:r>
      <w:r w:rsidR="001A60BF" w:rsidRPr="00FB0783">
        <w:rPr>
          <w:iCs/>
        </w:rPr>
        <w:t xml:space="preserve">oes not </w:t>
      </w:r>
      <w:r w:rsidR="00823A51" w:rsidRPr="00FB0783">
        <w:rPr>
          <w:iCs/>
        </w:rPr>
        <w:t>explicitly</w:t>
      </w:r>
      <w:r w:rsidR="001A60BF" w:rsidRPr="00FB0783">
        <w:rPr>
          <w:iCs/>
        </w:rPr>
        <w:t xml:space="preserve"> state that the PBAC considered AS and MAS scores to be equivalent</w:t>
      </w:r>
      <w:r w:rsidR="009E59DE" w:rsidRPr="00FB0783">
        <w:rPr>
          <w:iCs/>
        </w:rPr>
        <w:t>, only that both scales ha</w:t>
      </w:r>
      <w:r w:rsidR="00F47EEA" w:rsidRPr="00FB0783">
        <w:rPr>
          <w:iCs/>
        </w:rPr>
        <w:t>ve</w:t>
      </w:r>
      <w:r w:rsidR="009E59DE" w:rsidRPr="00FB0783">
        <w:rPr>
          <w:iCs/>
        </w:rPr>
        <w:t xml:space="preserve"> been used </w:t>
      </w:r>
      <w:r w:rsidR="00A174BD" w:rsidRPr="00FB0783">
        <w:rPr>
          <w:iCs/>
        </w:rPr>
        <w:t xml:space="preserve">in numerous PBAC submissions for lower and upper limb spasticity (paragraph </w:t>
      </w:r>
      <w:r w:rsidR="001C178E" w:rsidRPr="00FB0783">
        <w:rPr>
          <w:iCs/>
        </w:rPr>
        <w:t>6.12</w:t>
      </w:r>
      <w:r w:rsidR="00A174BD" w:rsidRPr="00FB0783">
        <w:rPr>
          <w:iCs/>
        </w:rPr>
        <w:t>, Dysport PSD, July 2020 PBAC meeting)</w:t>
      </w:r>
      <w:r w:rsidR="009E59DE" w:rsidRPr="00FB0783">
        <w:rPr>
          <w:iCs/>
        </w:rPr>
        <w:t>.</w:t>
      </w:r>
    </w:p>
    <w:p w14:paraId="47DDAC64" w14:textId="1B050B17" w:rsidR="00A71B26" w:rsidRPr="00C73D34" w:rsidRDefault="00A71A25" w:rsidP="0049200A">
      <w:pPr>
        <w:pStyle w:val="3-BodyText"/>
        <w:spacing w:before="120" w:after="120"/>
      </w:pPr>
      <w:r>
        <w:t>Previously, f</w:t>
      </w:r>
      <w:r w:rsidR="00A71B26">
        <w:t>or the</w:t>
      </w:r>
      <w:r w:rsidR="00D85464">
        <w:t xml:space="preserve"> indirect comparison</w:t>
      </w:r>
      <w:r w:rsidR="006039DC">
        <w:t>s</w:t>
      </w:r>
      <w:r w:rsidR="00EF7CA0">
        <w:t xml:space="preserve"> between the pivotal</w:t>
      </w:r>
      <w:r w:rsidR="00A71B26">
        <w:t xml:space="preserve"> Dysport</w:t>
      </w:r>
      <w:r w:rsidR="00EF7CA0">
        <w:t xml:space="preserve"> trial</w:t>
      </w:r>
      <w:r w:rsidR="00A71B26">
        <w:t xml:space="preserve"> </w:t>
      </w:r>
      <w:r w:rsidR="00EF7CA0">
        <w:t>and five</w:t>
      </w:r>
      <w:r w:rsidR="00C27887">
        <w:t xml:space="preserve"> </w:t>
      </w:r>
      <w:r w:rsidR="00A71B26">
        <w:t xml:space="preserve">Botox </w:t>
      </w:r>
      <w:r w:rsidR="00EF7CA0">
        <w:t>trials</w:t>
      </w:r>
      <w:r w:rsidR="00A71B26">
        <w:t xml:space="preserve"> for the upper limb spasticity</w:t>
      </w:r>
      <w:r w:rsidR="00F8248E">
        <w:t xml:space="preserve"> in patients with cerebral palsy</w:t>
      </w:r>
      <w:r w:rsidR="00A71B26">
        <w:t xml:space="preserve">, the </w:t>
      </w:r>
      <w:r w:rsidR="00A71B26" w:rsidRPr="00C73D34">
        <w:t xml:space="preserve">PBAC noted that the indirect comparisons were limited due to a number of issues, including small </w:t>
      </w:r>
      <w:r w:rsidR="00A71B26">
        <w:t>participant</w:t>
      </w:r>
      <w:r w:rsidR="00A71B26" w:rsidRPr="00C73D34">
        <w:t xml:space="preserve"> numbers in most of the Botox trials, heterogeneity in many of the comparisons, and wide confidence intervals and/or few or no events for many of the safety comparisons</w:t>
      </w:r>
      <w:r w:rsidR="00A71B26">
        <w:t xml:space="preserve"> (paragraph 7.7, Dysport PSD, July 2020 PBAC meeting)</w:t>
      </w:r>
      <w:r w:rsidR="00A71B26" w:rsidRPr="00C73D34">
        <w:t>. However, overall, the PBAC considered that the evidence suggested that Dysport was likely to be non-inferior to Botox in terms of efficacy and safety</w:t>
      </w:r>
      <w:r w:rsidR="00A71B26">
        <w:t xml:space="preserve"> (paragraph 7.7, Dysport PSD, July 2020 PBAC meeting)</w:t>
      </w:r>
      <w:r w:rsidR="00A71B26" w:rsidRPr="00C73D34">
        <w:t>.</w:t>
      </w:r>
    </w:p>
    <w:p w14:paraId="5CFB9A94" w14:textId="75294F11" w:rsidR="0079573C" w:rsidRPr="00F81767" w:rsidRDefault="0004402D" w:rsidP="0049200A">
      <w:pPr>
        <w:pStyle w:val="3-BodyText"/>
        <w:spacing w:before="120" w:after="120"/>
        <w:rPr>
          <w:iCs/>
        </w:rPr>
      </w:pPr>
      <w:r>
        <w:t>The TGA evaluator stated that, for UL</w:t>
      </w:r>
      <w:r w:rsidRPr="0011118D">
        <w:t xml:space="preserve"> spasticity</w:t>
      </w:r>
      <w:r>
        <w:t xml:space="preserve">, the high dose Xeomin group achieved a statistically significant and </w:t>
      </w:r>
      <w:r w:rsidRPr="00382485">
        <w:t>greater mean</w:t>
      </w:r>
      <w:r>
        <w:t xml:space="preserve"> change from baseline</w:t>
      </w:r>
      <w:r w:rsidRPr="00382485">
        <w:t xml:space="preserve"> in AS score</w:t>
      </w:r>
      <w:r>
        <w:t xml:space="preserve"> compared to the low dose group (TGA </w:t>
      </w:r>
      <w:r w:rsidR="0059679A">
        <w:t>CER</w:t>
      </w:r>
      <w:r>
        <w:t>)</w:t>
      </w:r>
      <w:r w:rsidRPr="00382485">
        <w:t xml:space="preserve">. </w:t>
      </w:r>
      <w:r>
        <w:t xml:space="preserve">The </w:t>
      </w:r>
      <w:r w:rsidRPr="00382485">
        <w:t xml:space="preserve">step 4 analysis of the primary efficacy variable did not demonstrate statistical separation between </w:t>
      </w:r>
      <w:r>
        <w:t xml:space="preserve">the </w:t>
      </w:r>
      <w:r w:rsidRPr="00382485">
        <w:t xml:space="preserve">mid-dose vs low-dose </w:t>
      </w:r>
      <w:r>
        <w:t xml:space="preserve">groups, although the </w:t>
      </w:r>
      <w:r w:rsidRPr="00382485">
        <w:t>magnitude of the treatment effect in both groups was clinically meaningful (LS</w:t>
      </w:r>
      <w:r w:rsidR="009D3E46">
        <w:t>M</w:t>
      </w:r>
      <w:r w:rsidRPr="00382485">
        <w:t xml:space="preserve"> changes were -1.02 and -0.96, respectively)</w:t>
      </w:r>
      <w:r>
        <w:t xml:space="preserve"> (TGA </w:t>
      </w:r>
      <w:r w:rsidR="004606DC">
        <w:t>CER</w:t>
      </w:r>
      <w:r>
        <w:t>)</w:t>
      </w:r>
      <w:r w:rsidRPr="00382485">
        <w:t xml:space="preserve">. No major differences were </w:t>
      </w:r>
      <w:r>
        <w:t>observed</w:t>
      </w:r>
      <w:r w:rsidRPr="00382485">
        <w:t xml:space="preserve"> </w:t>
      </w:r>
      <w:r>
        <w:t xml:space="preserve">across </w:t>
      </w:r>
      <w:r w:rsidRPr="00382485">
        <w:t>dose</w:t>
      </w:r>
      <w:r>
        <w:t xml:space="preserve"> </w:t>
      </w:r>
      <w:r w:rsidRPr="00382485">
        <w:t>groups</w:t>
      </w:r>
      <w:r>
        <w:t xml:space="preserve"> overall</w:t>
      </w:r>
      <w:r w:rsidRPr="00382485">
        <w:t>.</w:t>
      </w:r>
    </w:p>
    <w:p w14:paraId="16FE30F5" w14:textId="271FD80C" w:rsidR="001F56CC" w:rsidRDefault="00935545" w:rsidP="0049200A">
      <w:pPr>
        <w:pStyle w:val="3-BodyText"/>
        <w:spacing w:before="120" w:after="120"/>
      </w:pPr>
      <w:r w:rsidRPr="0087605E">
        <w:t>The submission presented a side-by-side comparison</w:t>
      </w:r>
      <w:r w:rsidR="003A1B80" w:rsidRPr="0087605E">
        <w:t xml:space="preserve"> </w:t>
      </w:r>
      <w:r w:rsidR="00975D8A" w:rsidRPr="0087605E">
        <w:t>of the</w:t>
      </w:r>
      <w:r w:rsidR="00BB4FB5">
        <w:t xml:space="preserve"> Xeomin</w:t>
      </w:r>
      <w:r w:rsidR="00975D8A" w:rsidRPr="0087605E">
        <w:t xml:space="preserve"> TIM trial and </w:t>
      </w:r>
      <w:r w:rsidR="0087605E" w:rsidRPr="0087605E">
        <w:t>a Botox study (Flett 1999)</w:t>
      </w:r>
      <w:r w:rsidR="008300BF">
        <w:t xml:space="preserve"> to </w:t>
      </w:r>
      <w:r w:rsidR="008B1AA4">
        <w:t>compare</w:t>
      </w:r>
      <w:r w:rsidR="00016E56" w:rsidRPr="00016E56">
        <w:t xml:space="preserve"> Xeomin and Botox for lower-limb spasticity</w:t>
      </w:r>
      <w:r w:rsidR="00C820F5">
        <w:t xml:space="preserve"> due to cerebral palsy</w:t>
      </w:r>
      <w:r w:rsidR="00196570">
        <w:t xml:space="preserve"> (</w:t>
      </w:r>
      <w:r w:rsidR="003D3943">
        <w:fldChar w:fldCharType="begin"/>
      </w:r>
      <w:r w:rsidR="003D3943">
        <w:instrText xml:space="preserve"> REF _Ref198638295 \h </w:instrText>
      </w:r>
      <w:r w:rsidR="003D3943">
        <w:fldChar w:fldCharType="separate"/>
      </w:r>
      <w:r w:rsidR="00AD57D3">
        <w:t xml:space="preserve">Table </w:t>
      </w:r>
      <w:r w:rsidR="00AD57D3">
        <w:rPr>
          <w:noProof/>
        </w:rPr>
        <w:t>7</w:t>
      </w:r>
      <w:r w:rsidR="003D3943">
        <w:fldChar w:fldCharType="end"/>
      </w:r>
      <w:r w:rsidR="00196570">
        <w:t>)</w:t>
      </w:r>
      <w:r w:rsidR="00016E56">
        <w:t>.</w:t>
      </w:r>
    </w:p>
    <w:p w14:paraId="0EBA847D" w14:textId="3975C32E" w:rsidR="003A3CA5" w:rsidRDefault="003A3CA5" w:rsidP="0049200A">
      <w:pPr>
        <w:pStyle w:val="TableFigureHeading"/>
      </w:pPr>
      <w:bookmarkStart w:id="46" w:name="_Ref198638295"/>
      <w:bookmarkStart w:id="47" w:name="_Hlk198125981"/>
      <w:r>
        <w:lastRenderedPageBreak/>
        <w:t xml:space="preserve">Table </w:t>
      </w:r>
      <w:r w:rsidR="00A63BF6">
        <w:fldChar w:fldCharType="begin"/>
      </w:r>
      <w:r w:rsidR="00A63BF6">
        <w:instrText xml:space="preserve"> SEQ Table \* ARABIC </w:instrText>
      </w:r>
      <w:r w:rsidR="00A63BF6">
        <w:fldChar w:fldCharType="separate"/>
      </w:r>
      <w:r w:rsidR="00AD57D3">
        <w:rPr>
          <w:noProof/>
        </w:rPr>
        <w:t>7</w:t>
      </w:r>
      <w:r w:rsidR="00A63BF6">
        <w:rPr>
          <w:noProof/>
        </w:rPr>
        <w:fldChar w:fldCharType="end"/>
      </w:r>
      <w:bookmarkEnd w:id="46"/>
      <w:r>
        <w:t>:</w:t>
      </w:r>
      <w:r w:rsidR="000D3F6A">
        <w:t xml:space="preserve"> </w:t>
      </w:r>
      <w:r w:rsidRPr="00906D41">
        <w:t>Xeomin vs Botox for lower-limb spasticity due to cerebral palsy, as presented in the submission</w:t>
      </w:r>
    </w:p>
    <w:tbl>
      <w:tblPr>
        <w:tblStyle w:val="TableGrid"/>
        <w:tblW w:w="5000" w:type="pct"/>
        <w:tblLook w:val="04A0" w:firstRow="1" w:lastRow="0" w:firstColumn="1" w:lastColumn="0" w:noHBand="0" w:noVBand="1"/>
        <w:tblCaption w:val="Table 7: Xeomin vs Botox for lower-limb spasticity due to cerebral palsy, as presented in the submission"/>
      </w:tblPr>
      <w:tblGrid>
        <w:gridCol w:w="2263"/>
        <w:gridCol w:w="3261"/>
        <w:gridCol w:w="3493"/>
      </w:tblGrid>
      <w:tr w:rsidR="009503B7" w:rsidRPr="007D2D5F" w14:paraId="5179BA35" w14:textId="77777777" w:rsidTr="00DF637A">
        <w:tc>
          <w:tcPr>
            <w:tcW w:w="1255" w:type="pct"/>
            <w:vAlign w:val="center"/>
          </w:tcPr>
          <w:p w14:paraId="7F1DB25A" w14:textId="7A91251B" w:rsidR="009503B7" w:rsidRPr="007D2D5F" w:rsidRDefault="009503B7" w:rsidP="0049200A">
            <w:pPr>
              <w:pStyle w:val="In-tableHeading"/>
              <w:jc w:val="center"/>
            </w:pPr>
            <w:r>
              <w:t>Xeomin</w:t>
            </w:r>
          </w:p>
        </w:tc>
        <w:tc>
          <w:tcPr>
            <w:tcW w:w="1808" w:type="pct"/>
            <w:vAlign w:val="center"/>
          </w:tcPr>
          <w:p w14:paraId="16B9C0C9" w14:textId="66C626F8" w:rsidR="009503B7" w:rsidRPr="00DC01D8" w:rsidRDefault="009503B7" w:rsidP="0049200A">
            <w:pPr>
              <w:pStyle w:val="In-tableHeading"/>
              <w:jc w:val="center"/>
              <w:rPr>
                <w:b w:val="0"/>
                <w:szCs w:val="20"/>
              </w:rPr>
            </w:pPr>
            <w:r w:rsidRPr="00DC01D8">
              <w:t>Baseline AS</w:t>
            </w:r>
          </w:p>
          <w:p w14:paraId="31502447" w14:textId="6F259EB5" w:rsidR="009503B7" w:rsidRPr="007D2D5F" w:rsidRDefault="009503B7" w:rsidP="0049200A">
            <w:pPr>
              <w:pStyle w:val="In-tableHeading"/>
              <w:jc w:val="center"/>
            </w:pPr>
            <w:r w:rsidRPr="00DC01D8">
              <w:t>Mean (SD)</w:t>
            </w:r>
          </w:p>
        </w:tc>
        <w:tc>
          <w:tcPr>
            <w:tcW w:w="1937" w:type="pct"/>
            <w:vAlign w:val="center"/>
          </w:tcPr>
          <w:p w14:paraId="6445FEAD" w14:textId="402E7D0E" w:rsidR="009503B7" w:rsidRDefault="009503B7" w:rsidP="0049200A">
            <w:pPr>
              <w:pStyle w:val="In-tableHeading"/>
              <w:jc w:val="center"/>
              <w:rPr>
                <w:b w:val="0"/>
                <w:szCs w:val="20"/>
              </w:rPr>
            </w:pPr>
            <w:r w:rsidRPr="001274E6">
              <w:t xml:space="preserve">Change in AS score (primary body side) at 8 weeks vs </w:t>
            </w:r>
            <w:r w:rsidRPr="00431AD9">
              <w:rPr>
                <w:bCs/>
                <w:szCs w:val="20"/>
              </w:rPr>
              <w:t>baseline</w:t>
            </w:r>
          </w:p>
          <w:p w14:paraId="2A746B4A" w14:textId="34CB0138" w:rsidR="008C1775" w:rsidRPr="007D2D5F" w:rsidRDefault="00DA6EEC" w:rsidP="0049200A">
            <w:pPr>
              <w:pStyle w:val="In-tableHeading"/>
              <w:jc w:val="center"/>
            </w:pPr>
            <w:r w:rsidRPr="00DA6EEC">
              <w:t>LS</w:t>
            </w:r>
            <w:r w:rsidR="00BB25DA">
              <w:t>M</w:t>
            </w:r>
            <w:r w:rsidRPr="00DA6EEC">
              <w:t xml:space="preserve"> </w:t>
            </w:r>
            <w:r>
              <w:t>(</w:t>
            </w:r>
            <w:r w:rsidRPr="00DA6EEC">
              <w:t>SE</w:t>
            </w:r>
            <w:r w:rsidR="004F3C93">
              <w:t>)</w:t>
            </w:r>
            <w:r w:rsidRPr="00DA6EEC">
              <w:t xml:space="preserve">; </w:t>
            </w:r>
            <w:r>
              <w:t>(</w:t>
            </w:r>
            <w:r w:rsidRPr="00DA6EEC">
              <w:t>95% CI)</w:t>
            </w:r>
          </w:p>
        </w:tc>
      </w:tr>
      <w:tr w:rsidR="009503B7" w:rsidRPr="007D2D5F" w14:paraId="6D6B1095" w14:textId="77777777" w:rsidTr="00DF637A">
        <w:tc>
          <w:tcPr>
            <w:tcW w:w="1255" w:type="pct"/>
            <w:vAlign w:val="center"/>
          </w:tcPr>
          <w:p w14:paraId="45E96F4D" w14:textId="42A0296E" w:rsidR="009503B7" w:rsidRPr="007D2D5F" w:rsidRDefault="009503B7" w:rsidP="0049200A">
            <w:pPr>
              <w:pStyle w:val="TableText0"/>
              <w:jc w:val="center"/>
            </w:pPr>
            <w:r>
              <w:t>4 U/kg TIM</w:t>
            </w:r>
          </w:p>
        </w:tc>
        <w:tc>
          <w:tcPr>
            <w:tcW w:w="1808" w:type="pct"/>
            <w:vAlign w:val="center"/>
          </w:tcPr>
          <w:p w14:paraId="1D87E027" w14:textId="7C127665" w:rsidR="009503B7" w:rsidRPr="007D2D5F" w:rsidRDefault="009503B7" w:rsidP="0049200A">
            <w:pPr>
              <w:pStyle w:val="TableText0"/>
              <w:jc w:val="center"/>
            </w:pPr>
            <w:r>
              <w:t>2.8 (0.5)</w:t>
            </w:r>
          </w:p>
        </w:tc>
        <w:tc>
          <w:tcPr>
            <w:tcW w:w="1937" w:type="pct"/>
            <w:vAlign w:val="center"/>
          </w:tcPr>
          <w:p w14:paraId="00AEEE58" w14:textId="23D42B5E" w:rsidR="009503B7" w:rsidRPr="007D2D5F" w:rsidRDefault="009503B7" w:rsidP="0049200A">
            <w:pPr>
              <w:pStyle w:val="TableText0"/>
              <w:jc w:val="center"/>
            </w:pPr>
            <w:r w:rsidRPr="0087454A">
              <w:t>-0.69 (0.080);</w:t>
            </w:r>
            <w:r w:rsidR="00A82F8A">
              <w:t xml:space="preserve"> </w:t>
            </w:r>
            <w:r w:rsidRPr="0087454A">
              <w:t>(-0.85; -0.53)</w:t>
            </w:r>
          </w:p>
        </w:tc>
      </w:tr>
      <w:tr w:rsidR="009503B7" w:rsidRPr="007D2D5F" w14:paraId="6A9E6DF7" w14:textId="77777777" w:rsidTr="00DF637A">
        <w:tc>
          <w:tcPr>
            <w:tcW w:w="1255" w:type="pct"/>
            <w:vAlign w:val="center"/>
          </w:tcPr>
          <w:p w14:paraId="3F6828E7" w14:textId="774625BD" w:rsidR="009503B7" w:rsidRDefault="009503B7" w:rsidP="0049200A">
            <w:pPr>
              <w:pStyle w:val="TableText0"/>
              <w:jc w:val="center"/>
            </w:pPr>
            <w:r>
              <w:t>12 U/kg TIM</w:t>
            </w:r>
          </w:p>
        </w:tc>
        <w:tc>
          <w:tcPr>
            <w:tcW w:w="1808" w:type="pct"/>
            <w:vAlign w:val="center"/>
          </w:tcPr>
          <w:p w14:paraId="0C9E0FF2" w14:textId="2F24AE9C" w:rsidR="009503B7" w:rsidRPr="007D2D5F" w:rsidRDefault="009503B7" w:rsidP="0049200A">
            <w:pPr>
              <w:pStyle w:val="TableText0"/>
              <w:jc w:val="center"/>
            </w:pPr>
            <w:r w:rsidRPr="00582108">
              <w:t>2.7 (0.5)</w:t>
            </w:r>
          </w:p>
        </w:tc>
        <w:tc>
          <w:tcPr>
            <w:tcW w:w="1937" w:type="pct"/>
            <w:vAlign w:val="center"/>
          </w:tcPr>
          <w:p w14:paraId="26D675A2" w14:textId="50524ADF" w:rsidR="009503B7" w:rsidRDefault="009503B7" w:rsidP="0049200A">
            <w:pPr>
              <w:pStyle w:val="TableText0"/>
              <w:jc w:val="center"/>
            </w:pPr>
            <w:r w:rsidRPr="0096378F">
              <w:t>-0.74 (0.088);</w:t>
            </w:r>
            <w:r w:rsidR="00A82F8A">
              <w:t xml:space="preserve"> </w:t>
            </w:r>
            <w:r w:rsidRPr="0096378F">
              <w:t>(-0.91; -0.56)</w:t>
            </w:r>
          </w:p>
        </w:tc>
      </w:tr>
      <w:tr w:rsidR="009503B7" w:rsidRPr="007D2D5F" w14:paraId="710800C5" w14:textId="77777777" w:rsidTr="00DF637A">
        <w:tc>
          <w:tcPr>
            <w:tcW w:w="1255" w:type="pct"/>
            <w:vAlign w:val="center"/>
          </w:tcPr>
          <w:p w14:paraId="5AED97B0" w14:textId="4574A5AC" w:rsidR="009503B7" w:rsidRPr="007D2D5F" w:rsidRDefault="009503B7" w:rsidP="0049200A">
            <w:pPr>
              <w:pStyle w:val="TableText0"/>
              <w:jc w:val="center"/>
            </w:pPr>
            <w:r>
              <w:t>16 U/kg TIM</w:t>
            </w:r>
          </w:p>
        </w:tc>
        <w:tc>
          <w:tcPr>
            <w:tcW w:w="1808" w:type="pct"/>
            <w:vAlign w:val="center"/>
          </w:tcPr>
          <w:p w14:paraId="4151432E" w14:textId="4953F658" w:rsidR="009503B7" w:rsidRPr="007D2D5F" w:rsidRDefault="009503B7" w:rsidP="0049200A">
            <w:pPr>
              <w:pStyle w:val="TableText0"/>
              <w:jc w:val="center"/>
            </w:pPr>
            <w:r w:rsidRPr="00A6721E">
              <w:t>2.7 (0.6)</w:t>
            </w:r>
          </w:p>
        </w:tc>
        <w:tc>
          <w:tcPr>
            <w:tcW w:w="1937" w:type="pct"/>
            <w:vAlign w:val="center"/>
          </w:tcPr>
          <w:p w14:paraId="658B1613" w14:textId="757B8341" w:rsidR="009503B7" w:rsidRPr="007D2D5F" w:rsidRDefault="009503B7" w:rsidP="0049200A">
            <w:pPr>
              <w:pStyle w:val="TableText0"/>
              <w:jc w:val="center"/>
            </w:pPr>
            <w:r w:rsidRPr="009918FE">
              <w:t>-0.62 (0.059);</w:t>
            </w:r>
            <w:r w:rsidR="00A82F8A">
              <w:t xml:space="preserve"> </w:t>
            </w:r>
            <w:r w:rsidRPr="009918FE">
              <w:t>(-0.73; -0.50)</w:t>
            </w:r>
          </w:p>
        </w:tc>
      </w:tr>
      <w:tr w:rsidR="009503B7" w:rsidRPr="007D2D5F" w14:paraId="26045D68" w14:textId="77777777" w:rsidTr="00DF637A">
        <w:tc>
          <w:tcPr>
            <w:tcW w:w="1255" w:type="pct"/>
            <w:vAlign w:val="center"/>
          </w:tcPr>
          <w:p w14:paraId="66DFF2D4" w14:textId="76F491C5" w:rsidR="009503B7" w:rsidRPr="007D2D5F" w:rsidRDefault="009503B7" w:rsidP="0049200A">
            <w:pPr>
              <w:pStyle w:val="In-tableHeading"/>
              <w:jc w:val="center"/>
            </w:pPr>
            <w:r>
              <w:t>Botox</w:t>
            </w:r>
          </w:p>
        </w:tc>
        <w:tc>
          <w:tcPr>
            <w:tcW w:w="1808" w:type="pct"/>
            <w:vAlign w:val="center"/>
          </w:tcPr>
          <w:p w14:paraId="606CDD33" w14:textId="5E0A39FA" w:rsidR="00FA78A2" w:rsidRDefault="00A77B2A" w:rsidP="0049200A">
            <w:pPr>
              <w:pStyle w:val="In-tableHeading"/>
              <w:jc w:val="center"/>
            </w:pPr>
            <w:r w:rsidRPr="00DC01D8">
              <w:t>Baseline MAS</w:t>
            </w:r>
            <w:r w:rsidR="002474A9">
              <w:t>:</w:t>
            </w:r>
          </w:p>
          <w:p w14:paraId="3873AC5F" w14:textId="20470A8F" w:rsidR="009503B7" w:rsidRPr="007D2D5F" w:rsidRDefault="00A77B2A" w:rsidP="0049200A">
            <w:pPr>
              <w:pStyle w:val="In-tableHeading"/>
              <w:jc w:val="center"/>
            </w:pPr>
            <w:r w:rsidRPr="00DC01D8">
              <w:t>Mean (SD)</w:t>
            </w:r>
          </w:p>
        </w:tc>
        <w:tc>
          <w:tcPr>
            <w:tcW w:w="1937" w:type="pct"/>
            <w:vAlign w:val="center"/>
          </w:tcPr>
          <w:p w14:paraId="0559C000" w14:textId="21C1A5F4" w:rsidR="005E22C2" w:rsidRPr="007D2D5F" w:rsidRDefault="007F20B0" w:rsidP="0049200A">
            <w:pPr>
              <w:pStyle w:val="In-tableHeading"/>
              <w:jc w:val="center"/>
            </w:pPr>
            <w:r w:rsidRPr="007F20B0">
              <w:t>Change in MAS score (primary body side) at 8 weeks vs baseline</w:t>
            </w:r>
            <w:r w:rsidR="002474A9">
              <w:t xml:space="preserve">: </w:t>
            </w:r>
            <w:r w:rsidR="005E22C2">
              <w:t>Mean</w:t>
            </w:r>
          </w:p>
        </w:tc>
      </w:tr>
      <w:tr w:rsidR="00FF4A9F" w:rsidRPr="007D2D5F" w14:paraId="2F5D85E7" w14:textId="77777777" w:rsidTr="00DF637A">
        <w:tc>
          <w:tcPr>
            <w:tcW w:w="1255" w:type="pct"/>
            <w:vMerge w:val="restart"/>
            <w:vAlign w:val="center"/>
          </w:tcPr>
          <w:p w14:paraId="10801ED9" w14:textId="335FC2A8" w:rsidR="00FF4A9F" w:rsidRPr="007D2D5F" w:rsidRDefault="00FF4A9F" w:rsidP="0049200A">
            <w:pPr>
              <w:pStyle w:val="TableText0"/>
              <w:jc w:val="center"/>
            </w:pPr>
            <w:r>
              <w:t>4 to 8 U/kg Flett 1999</w:t>
            </w:r>
          </w:p>
        </w:tc>
        <w:tc>
          <w:tcPr>
            <w:tcW w:w="1808" w:type="pct"/>
            <w:tcBorders>
              <w:bottom w:val="nil"/>
            </w:tcBorders>
            <w:vAlign w:val="center"/>
          </w:tcPr>
          <w:p w14:paraId="1F511A54" w14:textId="242535BE" w:rsidR="00FF4A9F" w:rsidRPr="007D2D5F" w:rsidRDefault="00FF4A9F" w:rsidP="0049200A">
            <w:pPr>
              <w:pStyle w:val="TableText0"/>
              <w:jc w:val="center"/>
            </w:pPr>
            <w:r w:rsidRPr="00CE627F">
              <w:t xml:space="preserve">Assessed by </w:t>
            </w:r>
            <w:r>
              <w:t xml:space="preserve">a </w:t>
            </w:r>
            <w:r w:rsidRPr="00CE627F">
              <w:t>physio:</w:t>
            </w:r>
            <w:r w:rsidR="00000B5F">
              <w:t xml:space="preserve"> </w:t>
            </w:r>
            <w:r w:rsidRPr="00CE627F">
              <w:t>2.41 (0.65)</w:t>
            </w:r>
          </w:p>
        </w:tc>
        <w:tc>
          <w:tcPr>
            <w:tcW w:w="1937" w:type="pct"/>
            <w:tcBorders>
              <w:bottom w:val="nil"/>
            </w:tcBorders>
            <w:vAlign w:val="center"/>
          </w:tcPr>
          <w:p w14:paraId="13091A93" w14:textId="375B8273" w:rsidR="00FF4A9F" w:rsidRPr="007D2D5F" w:rsidRDefault="00FF4A9F" w:rsidP="0049200A">
            <w:pPr>
              <w:pStyle w:val="TableText0"/>
              <w:jc w:val="center"/>
            </w:pPr>
            <w:r w:rsidRPr="00310DE2">
              <w:t xml:space="preserve">Assessed by </w:t>
            </w:r>
            <w:r>
              <w:t>a p</w:t>
            </w:r>
            <w:r w:rsidRPr="00310DE2">
              <w:t>hysio:</w:t>
            </w:r>
            <w:r w:rsidR="00A82F8A">
              <w:t xml:space="preserve"> </w:t>
            </w:r>
            <w:r w:rsidRPr="00310DE2">
              <w:t>-1.01</w:t>
            </w:r>
          </w:p>
        </w:tc>
      </w:tr>
      <w:tr w:rsidR="00FF4A9F" w:rsidRPr="007D2D5F" w14:paraId="1D0AD5F2" w14:textId="77777777" w:rsidTr="00DF637A">
        <w:trPr>
          <w:trHeight w:val="499"/>
        </w:trPr>
        <w:tc>
          <w:tcPr>
            <w:tcW w:w="1255" w:type="pct"/>
            <w:vMerge/>
          </w:tcPr>
          <w:p w14:paraId="05CB7D4F" w14:textId="77777777" w:rsidR="00FF4A9F" w:rsidRDefault="00FF4A9F" w:rsidP="0049200A">
            <w:pPr>
              <w:pStyle w:val="TableText0"/>
            </w:pPr>
          </w:p>
        </w:tc>
        <w:tc>
          <w:tcPr>
            <w:tcW w:w="1808" w:type="pct"/>
            <w:tcBorders>
              <w:top w:val="nil"/>
            </w:tcBorders>
            <w:vAlign w:val="center"/>
          </w:tcPr>
          <w:p w14:paraId="6A92F618" w14:textId="33438D47" w:rsidR="00FF4A9F" w:rsidRPr="00CE627F" w:rsidRDefault="00FF4A9F" w:rsidP="0049200A">
            <w:pPr>
              <w:pStyle w:val="TableText0"/>
              <w:jc w:val="center"/>
            </w:pPr>
            <w:r w:rsidRPr="00FD797E">
              <w:t xml:space="preserve">Assessed by </w:t>
            </w:r>
            <w:r>
              <w:t xml:space="preserve">a </w:t>
            </w:r>
            <w:r w:rsidRPr="00FD797E">
              <w:t>doctor:</w:t>
            </w:r>
            <w:r w:rsidR="00000B5F">
              <w:t xml:space="preserve"> </w:t>
            </w:r>
            <w:r w:rsidRPr="00FD797E">
              <w:t>2.69 (0.75)</w:t>
            </w:r>
          </w:p>
        </w:tc>
        <w:tc>
          <w:tcPr>
            <w:tcW w:w="1937" w:type="pct"/>
            <w:tcBorders>
              <w:top w:val="nil"/>
            </w:tcBorders>
            <w:vAlign w:val="center"/>
          </w:tcPr>
          <w:p w14:paraId="22F7F1FA" w14:textId="2FB1450E" w:rsidR="00FF4A9F" w:rsidRPr="007D2D5F" w:rsidRDefault="00FF4A9F" w:rsidP="0049200A">
            <w:pPr>
              <w:pStyle w:val="TableText0"/>
              <w:jc w:val="center"/>
            </w:pPr>
            <w:r w:rsidRPr="00E656CA">
              <w:t xml:space="preserve">Assessed by </w:t>
            </w:r>
            <w:r>
              <w:t>a d</w:t>
            </w:r>
            <w:r w:rsidRPr="00E656CA">
              <w:t>octor: -1.29</w:t>
            </w:r>
          </w:p>
        </w:tc>
      </w:tr>
    </w:tbl>
    <w:p w14:paraId="013E4C7F" w14:textId="5A788F01" w:rsidR="00EA0C50" w:rsidRDefault="00AB4CD4" w:rsidP="0049200A">
      <w:pPr>
        <w:pStyle w:val="TableFigureFooter"/>
      </w:pPr>
      <w:r>
        <w:t>Source: Table 2.6.3, p</w:t>
      </w:r>
      <w:r w:rsidR="00EA0C50">
        <w:t>66 of the submission</w:t>
      </w:r>
      <w:r w:rsidR="00F622BE">
        <w:t>.</w:t>
      </w:r>
    </w:p>
    <w:p w14:paraId="192659C9" w14:textId="52901720" w:rsidR="007155F2" w:rsidRPr="0087605E" w:rsidRDefault="000059AB" w:rsidP="0049200A">
      <w:pPr>
        <w:pStyle w:val="TableFigureFooter"/>
      </w:pPr>
      <w:r w:rsidRPr="000059AB">
        <w:t>AS</w:t>
      </w:r>
      <w:r w:rsidR="008F6CCF">
        <w:t>=</w:t>
      </w:r>
      <w:r w:rsidRPr="000059AB">
        <w:t xml:space="preserve"> </w:t>
      </w:r>
      <w:r w:rsidR="00A811D1">
        <w:t>A</w:t>
      </w:r>
      <w:r w:rsidR="00A811D1" w:rsidRPr="000059AB">
        <w:t>shworth</w:t>
      </w:r>
      <w:r w:rsidRPr="000059AB">
        <w:t xml:space="preserve"> scale; </w:t>
      </w:r>
      <w:r w:rsidR="008F6CCF" w:rsidRPr="000059AB">
        <w:t>GMFM</w:t>
      </w:r>
      <w:r w:rsidR="008F6CCF">
        <w:t>=</w:t>
      </w:r>
      <w:r w:rsidR="008F6CCF" w:rsidRPr="000059AB">
        <w:t xml:space="preserve"> </w:t>
      </w:r>
      <w:r w:rsidR="00A811D1">
        <w:t>g</w:t>
      </w:r>
      <w:r w:rsidR="008F6CCF" w:rsidRPr="000059AB">
        <w:t>ross motor function measure</w:t>
      </w:r>
      <w:r w:rsidR="008F6CCF">
        <w:t>;</w:t>
      </w:r>
      <w:r w:rsidR="008F6CCF" w:rsidRPr="000059AB">
        <w:t xml:space="preserve"> </w:t>
      </w:r>
      <w:r w:rsidR="00CE3022">
        <w:t>k</w:t>
      </w:r>
      <w:r w:rsidR="00AE401B">
        <w:t xml:space="preserve">g= kilogram; </w:t>
      </w:r>
      <w:r w:rsidR="00CE3022">
        <w:t xml:space="preserve">LSM= least squares mean; </w:t>
      </w:r>
      <w:r w:rsidRPr="000059AB">
        <w:t>MAS</w:t>
      </w:r>
      <w:r w:rsidR="008F6CCF">
        <w:t>=</w:t>
      </w:r>
      <w:r w:rsidRPr="000059AB">
        <w:t xml:space="preserve"> modified Ashworth scale;</w:t>
      </w:r>
      <w:r w:rsidR="00F622BE">
        <w:t xml:space="preserve"> </w:t>
      </w:r>
      <w:r w:rsidR="00C9672A">
        <w:t>SD= standard deviation</w:t>
      </w:r>
      <w:r w:rsidR="00A811D1">
        <w:t xml:space="preserve">; </w:t>
      </w:r>
      <w:r w:rsidRPr="000059AB">
        <w:t>U</w:t>
      </w:r>
      <w:r w:rsidR="008F6CCF">
        <w:t>=</w:t>
      </w:r>
      <w:r w:rsidRPr="000059AB">
        <w:t xml:space="preserve"> unit</w:t>
      </w:r>
      <w:r w:rsidR="00EA0C50">
        <w:t>.</w:t>
      </w:r>
    </w:p>
    <w:bookmarkEnd w:id="47"/>
    <w:p w14:paraId="48DEC937" w14:textId="44B28D5A" w:rsidR="00BD4C41" w:rsidRPr="00F81767" w:rsidRDefault="002A7A83" w:rsidP="0049200A">
      <w:pPr>
        <w:pStyle w:val="3-BodyText"/>
        <w:spacing w:before="120" w:after="120"/>
      </w:pPr>
      <w:r w:rsidRPr="00F81767">
        <w:t>A</w:t>
      </w:r>
      <w:r w:rsidR="00CC43FF" w:rsidRPr="00F81767">
        <w:t xml:space="preserve"> comparison of results from the TIM trial for Xeomin and the Botox study (Flett 1999) in </w:t>
      </w:r>
      <w:r w:rsidR="003D3943" w:rsidRPr="00F81767">
        <w:rPr>
          <w:iCs/>
        </w:rPr>
        <w:fldChar w:fldCharType="begin"/>
      </w:r>
      <w:r w:rsidR="003D3943" w:rsidRPr="00F81767">
        <w:rPr>
          <w:iCs/>
        </w:rPr>
        <w:instrText xml:space="preserve"> REF _Ref198638295 \h </w:instrText>
      </w:r>
      <w:r w:rsidR="003D3943" w:rsidRPr="00F81767">
        <w:rPr>
          <w:iCs/>
        </w:rPr>
      </w:r>
      <w:r w:rsidR="003D3943" w:rsidRPr="00F81767">
        <w:rPr>
          <w:iCs/>
        </w:rPr>
        <w:fldChar w:fldCharType="separate"/>
      </w:r>
      <w:r w:rsidR="00AD57D3">
        <w:t xml:space="preserve">Table </w:t>
      </w:r>
      <w:r w:rsidR="00AD57D3">
        <w:rPr>
          <w:noProof/>
        </w:rPr>
        <w:t>7</w:t>
      </w:r>
      <w:r w:rsidR="003D3943" w:rsidRPr="00F81767">
        <w:rPr>
          <w:iCs/>
        </w:rPr>
        <w:fldChar w:fldCharType="end"/>
      </w:r>
      <w:r w:rsidRPr="00F81767">
        <w:t xml:space="preserve"> </w:t>
      </w:r>
      <w:r w:rsidR="00CC43FF" w:rsidRPr="00F81767">
        <w:t xml:space="preserve">showed that both treatments demonstrated improvements from baseline in spasticity scores at 8 weeks. In the TIM trial, Xeomin produced LSM changes from baseline in AS scores ranging from </w:t>
      </w:r>
      <w:r w:rsidR="00CE3022" w:rsidRPr="00F81767">
        <w:t>-</w:t>
      </w:r>
      <w:r w:rsidR="00CC43FF" w:rsidRPr="00F81767">
        <w:t xml:space="preserve">0.62 to </w:t>
      </w:r>
      <w:r w:rsidR="00CE3022" w:rsidRPr="00F81767">
        <w:t>-</w:t>
      </w:r>
      <w:r w:rsidR="00CC43FF" w:rsidRPr="00F81767">
        <w:t>0.74 across the 4</w:t>
      </w:r>
      <w:r w:rsidR="00D84B3C" w:rsidRPr="00F81767">
        <w:t xml:space="preserve"> U</w:t>
      </w:r>
      <w:r w:rsidR="00CC43FF" w:rsidRPr="00F81767">
        <w:t>/kg to 16</w:t>
      </w:r>
      <w:r w:rsidR="00D84B3C" w:rsidRPr="00F81767">
        <w:t xml:space="preserve"> U</w:t>
      </w:r>
      <w:r w:rsidR="00CC43FF" w:rsidRPr="00F81767">
        <w:t xml:space="preserve">/kg dose groups. </w:t>
      </w:r>
      <w:r w:rsidR="00C53162" w:rsidRPr="00F81767">
        <w:t>T</w:t>
      </w:r>
      <w:r w:rsidR="00CC43FF" w:rsidRPr="00F81767">
        <w:t xml:space="preserve">he Botox study reported changes from baseline in MAS scores of </w:t>
      </w:r>
      <w:r w:rsidR="00CE3022" w:rsidRPr="00F81767">
        <w:t>-</w:t>
      </w:r>
      <w:r w:rsidR="00CC43FF" w:rsidRPr="00F81767">
        <w:t xml:space="preserve">1.01 (physiotherapist assessment) and </w:t>
      </w:r>
      <w:r w:rsidR="00CE3022" w:rsidRPr="00F81767">
        <w:t>-</w:t>
      </w:r>
      <w:r w:rsidR="00CC43FF" w:rsidRPr="00F81767">
        <w:t>1.29 (doctor assessment) for doses of 4 to 8</w:t>
      </w:r>
      <w:r w:rsidR="00D84B3C" w:rsidRPr="00F81767">
        <w:t xml:space="preserve"> U</w:t>
      </w:r>
      <w:r w:rsidR="00CC43FF" w:rsidRPr="00F81767">
        <w:t xml:space="preserve">/kg. While both treatments showed reductions in spasticity, the results for Botox indicated a larger numerical improvement. However, </w:t>
      </w:r>
      <w:r w:rsidR="006E0815" w:rsidRPr="00F81767">
        <w:rPr>
          <w:iCs/>
        </w:rPr>
        <w:t>as</w:t>
      </w:r>
      <w:r w:rsidR="00146B6A" w:rsidRPr="00F81767">
        <w:t xml:space="preserve"> stated above</w:t>
      </w:r>
      <w:r w:rsidR="00335C5E" w:rsidRPr="00F81767">
        <w:rPr>
          <w:iCs/>
        </w:rPr>
        <w:t xml:space="preserve"> for UL spasticity</w:t>
      </w:r>
      <w:r w:rsidR="00CC43FF" w:rsidRPr="00F81767">
        <w:t xml:space="preserve">, differences in outcome measures (AS vs MAS), assessment methods (assessor variability), study design </w:t>
      </w:r>
      <w:r w:rsidR="00266BEE" w:rsidRPr="00F81767">
        <w:t>(single blind vs double blind)</w:t>
      </w:r>
      <w:r w:rsidR="00CC43FF" w:rsidRPr="00F81767">
        <w:t xml:space="preserve"> </w:t>
      </w:r>
      <w:r w:rsidR="00803519" w:rsidRPr="00F81767">
        <w:rPr>
          <w:iCs/>
        </w:rPr>
        <w:t xml:space="preserve">and other differences </w:t>
      </w:r>
      <w:r w:rsidR="00CC43FF" w:rsidRPr="00F81767">
        <w:t>limit the ability to compare treatment effects between Xeomin and Botox</w:t>
      </w:r>
      <w:r w:rsidR="00803519">
        <w:t>.</w:t>
      </w:r>
    </w:p>
    <w:p w14:paraId="25DA12DB" w14:textId="39A4CDE3" w:rsidR="00BD4C41" w:rsidRDefault="00BD4C41" w:rsidP="0049200A">
      <w:pPr>
        <w:pStyle w:val="3-BodyText"/>
        <w:spacing w:before="120" w:after="120"/>
      </w:pPr>
      <w:r>
        <w:t>The submission stated that t</w:t>
      </w:r>
      <w:r w:rsidRPr="000A7843">
        <w:t xml:space="preserve">he TIM </w:t>
      </w:r>
      <w:r>
        <w:t>trial</w:t>
      </w:r>
      <w:r w:rsidRPr="000A7843">
        <w:t xml:space="preserve"> showed a positive and clinically meaningful treatment response in all treatment groups at Week 4 after injection in pes equinus</w:t>
      </w:r>
      <w:r>
        <w:t>,</w:t>
      </w:r>
      <w:r w:rsidRPr="000A7843">
        <w:t xml:space="preserve"> as demonstrated by the AS and GICS-PF assessment. The results also indicate</w:t>
      </w:r>
      <w:r>
        <w:t>d</w:t>
      </w:r>
      <w:r w:rsidRPr="000A7843">
        <w:t xml:space="preserve"> a favourable safety and tolerability profile at doses of up to 16 U/kg (maximum 400 U) for </w:t>
      </w:r>
      <w:r>
        <w:t>participant</w:t>
      </w:r>
      <w:r w:rsidRPr="000A7843">
        <w:t xml:space="preserve">s in all </w:t>
      </w:r>
      <w:r w:rsidRPr="0011118D">
        <w:t xml:space="preserve">Gross Motor Function Classification System </w:t>
      </w:r>
      <w:r w:rsidRPr="000A7843">
        <w:t>severity groups.</w:t>
      </w:r>
    </w:p>
    <w:p w14:paraId="5FAC3B21" w14:textId="2CF7B63A" w:rsidR="00A71B26" w:rsidRPr="00A71B26" w:rsidRDefault="00BD4C41" w:rsidP="0049200A">
      <w:pPr>
        <w:pStyle w:val="3-BodyText"/>
        <w:spacing w:before="120" w:after="120"/>
        <w:rPr>
          <w:iCs/>
        </w:rPr>
      </w:pPr>
      <w:r>
        <w:t>The TGA evaluator stated that s</w:t>
      </w:r>
      <w:r w:rsidRPr="00A66158">
        <w:t xml:space="preserve">ubjects in both high and low dose </w:t>
      </w:r>
      <w:r w:rsidR="008532C7">
        <w:t xml:space="preserve">Xeomin </w:t>
      </w:r>
      <w:r>
        <w:t>groups</w:t>
      </w:r>
      <w:r w:rsidRPr="00A66158">
        <w:t xml:space="preserve"> achieved improvement</w:t>
      </w:r>
      <w:r>
        <w:t xml:space="preserve"> </w:t>
      </w:r>
      <w:r w:rsidR="00A07026">
        <w:t>in the TIM trial</w:t>
      </w:r>
      <w:r>
        <w:t xml:space="preserve"> (TGA </w:t>
      </w:r>
      <w:r w:rsidR="001B653E">
        <w:t>CER</w:t>
      </w:r>
      <w:r>
        <w:t>)</w:t>
      </w:r>
      <w:r w:rsidRPr="00A66158">
        <w:t>. However, the</w:t>
      </w:r>
      <w:r>
        <w:t xml:space="preserve"> </w:t>
      </w:r>
      <w:r w:rsidR="00A07026">
        <w:t>change from baseline</w:t>
      </w:r>
      <w:r>
        <w:t xml:space="preserve"> in the</w:t>
      </w:r>
      <w:r w:rsidRPr="00A66158">
        <w:t xml:space="preserve"> </w:t>
      </w:r>
      <w:r>
        <w:t>mid-dose</w:t>
      </w:r>
      <w:r w:rsidRPr="00A66158">
        <w:t xml:space="preserve"> group difference was not statistically significant. In terms of co-primary and secondary outcomes, overall, subjects in both treatment arms experienced an improvement in their spasticity. However, treatment difference between dose groups or injection cycles did not achieve statistical significance</w:t>
      </w:r>
      <w:r>
        <w:t xml:space="preserve"> (TGA </w:t>
      </w:r>
      <w:r w:rsidR="003A4F5F">
        <w:t>CER</w:t>
      </w:r>
      <w:r>
        <w:t>).</w:t>
      </w:r>
    </w:p>
    <w:p w14:paraId="38CCEC35" w14:textId="5E61DE3B" w:rsidR="00CC643E" w:rsidRPr="00382485" w:rsidRDefault="00CC643E" w:rsidP="0049200A">
      <w:pPr>
        <w:pStyle w:val="3-BodyText"/>
        <w:spacing w:before="120" w:after="120"/>
      </w:pPr>
      <w:r w:rsidRPr="00885292">
        <w:rPr>
          <w:iCs/>
        </w:rPr>
        <w:t xml:space="preserve">The submission stated that the phase III </w:t>
      </w:r>
      <w:r>
        <w:rPr>
          <w:iCs/>
        </w:rPr>
        <w:t xml:space="preserve">TIMO </w:t>
      </w:r>
      <w:r w:rsidRPr="00885292">
        <w:rPr>
          <w:iCs/>
        </w:rPr>
        <w:t>clinical trial show</w:t>
      </w:r>
      <w:r>
        <w:rPr>
          <w:iCs/>
        </w:rPr>
        <w:t>s</w:t>
      </w:r>
      <w:r w:rsidRPr="00885292">
        <w:rPr>
          <w:iCs/>
        </w:rPr>
        <w:t xml:space="preserve"> that in a paediatric population with </w:t>
      </w:r>
      <w:r w:rsidR="00737ED8">
        <w:rPr>
          <w:iCs/>
        </w:rPr>
        <w:t>CP</w:t>
      </w:r>
      <w:r w:rsidRPr="00885292">
        <w:rPr>
          <w:iCs/>
        </w:rPr>
        <w:t>, treatment with Xeomin offer</w:t>
      </w:r>
      <w:r>
        <w:rPr>
          <w:iCs/>
        </w:rPr>
        <w:t>ed</w:t>
      </w:r>
      <w:r w:rsidRPr="00885292">
        <w:rPr>
          <w:iCs/>
        </w:rPr>
        <w:t xml:space="preserve"> significant and consistent improvement in muscle tone and motor function for children with </w:t>
      </w:r>
      <w:r w:rsidR="000D2AD9">
        <w:rPr>
          <w:iCs/>
        </w:rPr>
        <w:t>CP</w:t>
      </w:r>
      <w:r w:rsidRPr="00885292">
        <w:rPr>
          <w:iCs/>
        </w:rPr>
        <w:t xml:space="preserve"> spasticity in lower and/or upper limb(s).</w:t>
      </w:r>
      <w:r w:rsidRPr="00F81767">
        <w:t xml:space="preserve"> </w:t>
      </w:r>
      <w:r w:rsidRPr="00382485">
        <w:t xml:space="preserve">The TGA </w:t>
      </w:r>
      <w:r>
        <w:t>evaluator</w:t>
      </w:r>
      <w:r w:rsidRPr="00382485">
        <w:t xml:space="preserve"> noted </w:t>
      </w:r>
      <w:r w:rsidR="0042562C">
        <w:t>a</w:t>
      </w:r>
      <w:r w:rsidRPr="00382485">
        <w:t xml:space="preserve"> change from baseline in AS </w:t>
      </w:r>
      <w:r w:rsidRPr="00382485">
        <w:lastRenderedPageBreak/>
        <w:t xml:space="preserve">score of plantar flexors showed </w:t>
      </w:r>
      <w:r>
        <w:t>slight</w:t>
      </w:r>
      <w:r w:rsidRPr="00382485">
        <w:t xml:space="preserve"> improvements from baseline in AS scores from cycle to cycle in both left and right flexors (TGA </w:t>
      </w:r>
      <w:r w:rsidR="00EA1E34">
        <w:t>CER</w:t>
      </w:r>
      <w:r w:rsidRPr="00382485">
        <w:t xml:space="preserve">). The submission stated that </w:t>
      </w:r>
      <w:r w:rsidR="00E31964">
        <w:t>the</w:t>
      </w:r>
      <w:r w:rsidRPr="00382485">
        <w:t xml:space="preserve"> long-term efficacy of up to 4 injections of Xeomin was clearly and consistently demonstrated in TIMO and corresponded well to the results of the lead-in study. </w:t>
      </w:r>
      <w:r w:rsidR="00432B4A" w:rsidRPr="00F81767">
        <w:rPr>
          <w:iCs/>
        </w:rPr>
        <w:t>This was reasonable</w:t>
      </w:r>
      <w:r w:rsidR="00432B4A">
        <w:t>.</w:t>
      </w:r>
    </w:p>
    <w:p w14:paraId="288E8898" w14:textId="12568525" w:rsidR="00CC643E" w:rsidRDefault="00CC643E" w:rsidP="0049200A">
      <w:pPr>
        <w:pStyle w:val="3-BodyText"/>
        <w:spacing w:before="120" w:after="120"/>
      </w:pPr>
      <w:r w:rsidRPr="00421D6B">
        <w:t xml:space="preserve">Overall, the TGA </w:t>
      </w:r>
      <w:r>
        <w:t>evaluator</w:t>
      </w:r>
      <w:r w:rsidRPr="00421D6B">
        <w:t xml:space="preserve"> stated that the magnitude of benefit was comparable between the </w:t>
      </w:r>
      <w:r>
        <w:t xml:space="preserve">Xeomin </w:t>
      </w:r>
      <w:r w:rsidRPr="00421D6B">
        <w:t xml:space="preserve">studies over the dose range of 4 to 16 U/kg for both upper limb, lower limb and combined upper limb and lower limb spasticity (TGA </w:t>
      </w:r>
      <w:r w:rsidR="00EA1E34">
        <w:t>CER</w:t>
      </w:r>
      <w:r w:rsidRPr="00421D6B">
        <w:t>)</w:t>
      </w:r>
      <w:r>
        <w:t>.</w:t>
      </w:r>
    </w:p>
    <w:p w14:paraId="2698285A" w14:textId="467387BD" w:rsidR="00934988" w:rsidRPr="00F527EF" w:rsidRDefault="00F527EF" w:rsidP="0049200A">
      <w:pPr>
        <w:pStyle w:val="3-BodyText"/>
        <w:spacing w:before="120" w:after="120"/>
        <w:rPr>
          <w:rStyle w:val="CommentReference"/>
          <w:rFonts w:asciiTheme="minorHAnsi" w:hAnsiTheme="minorHAnsi"/>
          <w:b w:val="0"/>
          <w:iCs/>
          <w:sz w:val="24"/>
          <w:szCs w:val="22"/>
        </w:rPr>
      </w:pPr>
      <w:r w:rsidRPr="00C81663">
        <w:t xml:space="preserve">The PBAC previously considered that despite the lack of clinical trials in aetiologies other than stroke, the request to extend the listing of botulinum toxins to include </w:t>
      </w:r>
      <w:r w:rsidR="008A4096">
        <w:t>m</w:t>
      </w:r>
      <w:r w:rsidR="008A4096" w:rsidRPr="008A4096">
        <w:t xml:space="preserve">oderate to severe spasticity of the lower limb following </w:t>
      </w:r>
      <w:r w:rsidRPr="00C81663">
        <w:t>acute events was reasonable and biologically plausible (paragraph 5.2, Botox PSD, March 2019</w:t>
      </w:r>
      <w:r w:rsidR="00CC6BB4">
        <w:t xml:space="preserve"> PBAC meeting</w:t>
      </w:r>
      <w:r w:rsidRPr="00C81663">
        <w:t>; paragraph 7.2, Dysport PSD, July 2019</w:t>
      </w:r>
      <w:r w:rsidR="00CC6BB4" w:rsidRPr="00CC6BB4">
        <w:t xml:space="preserve"> </w:t>
      </w:r>
      <w:r w:rsidR="00CC6BB4">
        <w:t>PBAC meeting</w:t>
      </w:r>
      <w:r w:rsidRPr="00C81663">
        <w:t xml:space="preserve">). In addition, </w:t>
      </w:r>
      <w:r>
        <w:t>at its</w:t>
      </w:r>
      <w:r w:rsidRPr="00C81663">
        <w:t xml:space="preserve"> July 2014</w:t>
      </w:r>
      <w:r>
        <w:t xml:space="preserve"> meeting</w:t>
      </w:r>
      <w:r w:rsidRPr="00C81663">
        <w:t xml:space="preserve"> when Xeomin was recommended for </w:t>
      </w:r>
      <w:r w:rsidR="00D83E7E">
        <w:t xml:space="preserve">post-stroke </w:t>
      </w:r>
      <w:r w:rsidRPr="00C81663">
        <w:t xml:space="preserve">upper limb spasticity </w:t>
      </w:r>
      <w:proofErr w:type="gramStart"/>
      <w:r w:rsidRPr="00C81663">
        <w:t>on the basis of</w:t>
      </w:r>
      <w:proofErr w:type="gramEnd"/>
      <w:r w:rsidRPr="00C81663">
        <w:t xml:space="preserve"> a cost-minimisation </w:t>
      </w:r>
      <w:r w:rsidR="00CA7015">
        <w:t>approach</w:t>
      </w:r>
      <w:r w:rsidR="00CA7015" w:rsidRPr="00C81663">
        <w:t xml:space="preserve"> </w:t>
      </w:r>
      <w:r w:rsidRPr="00C81663">
        <w:t xml:space="preserve">with Botox, the PBAC considered that both agents would likely have similar </w:t>
      </w:r>
      <w:r w:rsidRPr="00F527EF">
        <w:t>clinical effects as they are analogues of each other (paragraph 6.17, Xeomin PSD, July 2014</w:t>
      </w:r>
      <w:r w:rsidR="00CC6BB4" w:rsidRPr="00CC6BB4">
        <w:t xml:space="preserve"> </w:t>
      </w:r>
      <w:r w:rsidR="00CC6BB4">
        <w:t>PBAC meeting</w:t>
      </w:r>
      <w:r w:rsidRPr="00F527EF">
        <w:t>).</w:t>
      </w:r>
    </w:p>
    <w:p w14:paraId="1452C351" w14:textId="0D19F1B0" w:rsidR="00B60939" w:rsidRPr="0098262F" w:rsidRDefault="00B60939" w:rsidP="0049200A">
      <w:pPr>
        <w:pStyle w:val="4-SubsectionHeading"/>
      </w:pPr>
      <w:bookmarkStart w:id="48" w:name="_Toc22897642"/>
      <w:bookmarkStart w:id="49" w:name="_Toc198630218"/>
      <w:bookmarkStart w:id="50" w:name="_Toc198724796"/>
      <w:r w:rsidRPr="0098262F">
        <w:t>Comparative harms</w:t>
      </w:r>
      <w:bookmarkEnd w:id="48"/>
      <w:bookmarkEnd w:id="49"/>
      <w:bookmarkEnd w:id="50"/>
    </w:p>
    <w:p w14:paraId="6F761794" w14:textId="61E65FC2" w:rsidR="00F527EF" w:rsidRDefault="00F527EF" w:rsidP="0049200A">
      <w:pPr>
        <w:pStyle w:val="3-BodyText"/>
        <w:spacing w:before="120" w:after="120"/>
      </w:pPr>
      <w:bookmarkStart w:id="51" w:name="_Hlk104801403"/>
      <w:r w:rsidRPr="00580094">
        <w:t>The submission did not present any comparison between the safety of Xeomin and Botox.</w:t>
      </w:r>
    </w:p>
    <w:p w14:paraId="2DAF16D1" w14:textId="72E6B109" w:rsidR="00B60939" w:rsidRPr="0098262F" w:rsidRDefault="00F527EF" w:rsidP="0049200A">
      <w:pPr>
        <w:pStyle w:val="3-BodyText"/>
        <w:rPr>
          <w:color w:val="0066FF"/>
        </w:rPr>
      </w:pPr>
      <w:r>
        <w:t xml:space="preserve">The TGA </w:t>
      </w:r>
      <w:r w:rsidR="00474234">
        <w:t>evaluator</w:t>
      </w:r>
      <w:r>
        <w:t xml:space="preserve"> stated that most of the safety-related events were previously reported in studies with botulinum products. </w:t>
      </w:r>
      <w:r w:rsidR="00F86250">
        <w:t>For the Xeomin studies, t</w:t>
      </w:r>
      <w:r w:rsidR="00474234">
        <w:t xml:space="preserve">he TGA evaluator noted that the </w:t>
      </w:r>
      <w:r w:rsidR="00474234" w:rsidRPr="00474234">
        <w:t xml:space="preserve">highest proportion of subjects that reported </w:t>
      </w:r>
      <w:r w:rsidR="00474234">
        <w:t>treatment emergent adverse events (TEAEs)</w:t>
      </w:r>
      <w:r w:rsidR="00474234" w:rsidRPr="00474234">
        <w:t xml:space="preserve"> was in the Infections and Infestations System Organ Class category, driven by nasopharyngitis, across the controlled phase III studies (TGA </w:t>
      </w:r>
      <w:r w:rsidR="00E36D0A">
        <w:t>CER</w:t>
      </w:r>
      <w:r w:rsidR="00474234" w:rsidRPr="00474234">
        <w:t>)</w:t>
      </w:r>
      <w:r w:rsidR="00474234">
        <w:t xml:space="preserve">. </w:t>
      </w:r>
      <w:r>
        <w:t>N</w:t>
      </w:r>
      <w:r w:rsidR="002E09FA">
        <w:t>o</w:t>
      </w:r>
      <w:r>
        <w:t xml:space="preserve"> serious events related to distant spread of toxin were reported. </w:t>
      </w:r>
      <w:r w:rsidR="00474234" w:rsidRPr="00474234">
        <w:t>There were generally no meaningful dose-related trends or patterns of TEAEs related to the number of injection cycles</w:t>
      </w:r>
      <w:r w:rsidR="00F86250">
        <w:t xml:space="preserve"> (TGA </w:t>
      </w:r>
      <w:r w:rsidR="00797693">
        <w:t>CER</w:t>
      </w:r>
      <w:r w:rsidR="00F86250">
        <w:t>)</w:t>
      </w:r>
      <w:r w:rsidR="00474234" w:rsidRPr="00474234">
        <w:t>.</w:t>
      </w:r>
      <w:r w:rsidR="00474234">
        <w:t xml:space="preserve"> </w:t>
      </w:r>
      <w:r>
        <w:t xml:space="preserve">However, long term safety data for the use of Xeomin in the target patient population is limited (TGA </w:t>
      </w:r>
      <w:r w:rsidR="00797693">
        <w:t>CER</w:t>
      </w:r>
      <w:r>
        <w:t>).</w:t>
      </w:r>
      <w:bookmarkEnd w:id="51"/>
    </w:p>
    <w:p w14:paraId="40875894" w14:textId="77777777" w:rsidR="004A29D1" w:rsidRPr="00C9624D" w:rsidRDefault="004A29D1" w:rsidP="0049200A">
      <w:pPr>
        <w:pStyle w:val="4-SubsectionHeading"/>
      </w:pPr>
      <w:bookmarkStart w:id="52" w:name="_Toc22897643"/>
      <w:bookmarkStart w:id="53" w:name="_Toc198630219"/>
      <w:bookmarkStart w:id="54" w:name="_Toc198724797"/>
      <w:r w:rsidRPr="00C9624D">
        <w:t>Benefits/harms</w:t>
      </w:r>
      <w:bookmarkEnd w:id="52"/>
      <w:bookmarkEnd w:id="53"/>
      <w:bookmarkEnd w:id="54"/>
    </w:p>
    <w:p w14:paraId="3B653B96" w14:textId="6BF93F59" w:rsidR="00FC1884" w:rsidRPr="0098262F" w:rsidRDefault="004A29D1" w:rsidP="0049200A">
      <w:pPr>
        <w:pStyle w:val="3-BodyText"/>
      </w:pPr>
      <w:r w:rsidRPr="00620302">
        <w:rPr>
          <w:lang w:val="en-US"/>
        </w:rPr>
        <w:t>A benefits and harms table is not presented</w:t>
      </w:r>
      <w:r w:rsidRPr="00686413">
        <w:rPr>
          <w:b/>
          <w:bCs/>
          <w:lang w:val="en-US"/>
        </w:rPr>
        <w:t xml:space="preserve"> </w:t>
      </w:r>
      <w:r w:rsidRPr="00686413">
        <w:rPr>
          <w:lang w:val="en-US"/>
        </w:rPr>
        <w:t>as the submission made a claim of non-inferiority</w:t>
      </w:r>
      <w:r w:rsidR="00D2651D">
        <w:rPr>
          <w:lang w:val="en-US"/>
        </w:rPr>
        <w:t>.</w:t>
      </w:r>
    </w:p>
    <w:p w14:paraId="5F809B77" w14:textId="77777777" w:rsidR="001458AE" w:rsidRPr="00C9624D" w:rsidRDefault="001458AE" w:rsidP="0049200A">
      <w:pPr>
        <w:pStyle w:val="4-SubsectionHeading"/>
      </w:pPr>
      <w:bookmarkStart w:id="55" w:name="_Toc22897644"/>
      <w:bookmarkStart w:id="56" w:name="_Toc198630220"/>
      <w:bookmarkStart w:id="57" w:name="_Toc198724798"/>
      <w:r w:rsidRPr="00C9624D">
        <w:t>Clinical claim</w:t>
      </w:r>
      <w:bookmarkEnd w:id="55"/>
      <w:bookmarkEnd w:id="56"/>
      <w:bookmarkEnd w:id="57"/>
    </w:p>
    <w:p w14:paraId="1AAD9CD7" w14:textId="75397CAA" w:rsidR="00673DEF" w:rsidRPr="00F81767" w:rsidRDefault="005F7588" w:rsidP="0049200A">
      <w:pPr>
        <w:pStyle w:val="3-BodyText"/>
        <w:rPr>
          <w:iCs/>
        </w:rPr>
      </w:pPr>
      <w:r w:rsidRPr="00732B71">
        <w:rPr>
          <w:rFonts w:eastAsia="Calibri"/>
        </w:rPr>
        <w:t xml:space="preserve">The </w:t>
      </w:r>
      <w:r w:rsidRPr="000A0EA5">
        <w:t xml:space="preserve">submission described </w:t>
      </w:r>
      <w:r w:rsidR="00F527EF" w:rsidRPr="000A0EA5">
        <w:t>Xeomin</w:t>
      </w:r>
      <w:r w:rsidRPr="000A0EA5">
        <w:t xml:space="preserve"> as non-inferior in terms of </w:t>
      </w:r>
      <w:r w:rsidR="00F527EF" w:rsidRPr="000A0EA5">
        <w:t xml:space="preserve">comparative </w:t>
      </w:r>
      <w:r w:rsidRPr="000A0EA5">
        <w:t>effectiveness</w:t>
      </w:r>
      <w:r w:rsidR="00F527EF" w:rsidRPr="000A0EA5">
        <w:t xml:space="preserve"> and safety</w:t>
      </w:r>
      <w:r w:rsidR="005E1F22">
        <w:t xml:space="preserve"> </w:t>
      </w:r>
      <w:r w:rsidR="005E1F22" w:rsidRPr="005E1F22">
        <w:t>compared to</w:t>
      </w:r>
      <w:r w:rsidR="005E1F22">
        <w:t xml:space="preserve"> Botox</w:t>
      </w:r>
      <w:r w:rsidRPr="000A0EA5">
        <w:t xml:space="preserve">. </w:t>
      </w:r>
      <w:r w:rsidRPr="00F81767">
        <w:rPr>
          <w:iCs/>
        </w:rPr>
        <w:t>Th</w:t>
      </w:r>
      <w:r w:rsidR="0033052D" w:rsidRPr="00F81767">
        <w:rPr>
          <w:iCs/>
        </w:rPr>
        <w:t>e</w:t>
      </w:r>
      <w:r w:rsidR="006F30F9">
        <w:rPr>
          <w:iCs/>
        </w:rPr>
        <w:t xml:space="preserve"> evaluation considered that the</w:t>
      </w:r>
      <w:r w:rsidR="0033052D" w:rsidRPr="00F81767">
        <w:rPr>
          <w:iCs/>
        </w:rPr>
        <w:t xml:space="preserve"> available evidence did</w:t>
      </w:r>
      <w:r w:rsidRPr="00F81767">
        <w:rPr>
          <w:iCs/>
        </w:rPr>
        <w:t xml:space="preserve"> </w:t>
      </w:r>
      <w:r w:rsidR="00784FF1" w:rsidRPr="00F81767">
        <w:rPr>
          <w:iCs/>
        </w:rPr>
        <w:t xml:space="preserve">not </w:t>
      </w:r>
      <w:r w:rsidR="0033052D" w:rsidRPr="00F81767">
        <w:rPr>
          <w:iCs/>
        </w:rPr>
        <w:t>support this claim</w:t>
      </w:r>
      <w:r w:rsidR="00732B71" w:rsidRPr="00F81767">
        <w:rPr>
          <w:iCs/>
        </w:rPr>
        <w:t xml:space="preserve"> because of the lack of a </w:t>
      </w:r>
      <w:r w:rsidR="00784FF1" w:rsidRPr="00F81767">
        <w:rPr>
          <w:iCs/>
        </w:rPr>
        <w:t xml:space="preserve">direct </w:t>
      </w:r>
      <w:r w:rsidR="009307EF" w:rsidRPr="00F81767">
        <w:rPr>
          <w:iCs/>
        </w:rPr>
        <w:t xml:space="preserve">and </w:t>
      </w:r>
      <w:r w:rsidR="00732B71" w:rsidRPr="00F81767">
        <w:rPr>
          <w:iCs/>
        </w:rPr>
        <w:lastRenderedPageBreak/>
        <w:t>indirect comparison.</w:t>
      </w:r>
      <w:r w:rsidR="00673DEF" w:rsidRPr="00F81767">
        <w:rPr>
          <w:iCs/>
        </w:rPr>
        <w:t xml:space="preserve"> </w:t>
      </w:r>
      <w:r w:rsidR="000A0EA5" w:rsidRPr="00F81767">
        <w:rPr>
          <w:iCs/>
        </w:rPr>
        <w:t xml:space="preserve">The comparisons presented were limited to cross-trial comparisons of changes from baseline without appropriate adjustment for key differences in outcome measures (e.g., use of AS vs MAS), dosing regimens, time points for assessment, and </w:t>
      </w:r>
      <w:r w:rsidR="00587D29" w:rsidRPr="00F81767">
        <w:rPr>
          <w:iCs/>
        </w:rPr>
        <w:t>participant</w:t>
      </w:r>
      <w:r w:rsidR="000A0EA5" w:rsidRPr="00F81767">
        <w:rPr>
          <w:iCs/>
        </w:rPr>
        <w:t xml:space="preserve"> characteristics. This approach </w:t>
      </w:r>
      <w:r w:rsidR="009D3ED5" w:rsidRPr="00F81767">
        <w:rPr>
          <w:iCs/>
        </w:rPr>
        <w:t>does</w:t>
      </w:r>
      <w:r w:rsidR="000A0EA5" w:rsidRPr="00F81767">
        <w:rPr>
          <w:iCs/>
        </w:rPr>
        <w:t xml:space="preserve"> not meet the methodological standards for an indirect comparison as outlined in the PBAC guidelines, and the non-inferiority claim should therefore be interpreted with caution. </w:t>
      </w:r>
      <w:r w:rsidR="00673DEF" w:rsidRPr="00F81767">
        <w:rPr>
          <w:iCs/>
        </w:rPr>
        <w:t>For example</w:t>
      </w:r>
      <w:r w:rsidR="003B0799" w:rsidRPr="00F81767">
        <w:rPr>
          <w:iCs/>
        </w:rPr>
        <w:t>,</w:t>
      </w:r>
    </w:p>
    <w:p w14:paraId="72EA587F" w14:textId="2C990887" w:rsidR="00673DEF" w:rsidRPr="00F81767" w:rsidRDefault="00673DEF" w:rsidP="0049200A">
      <w:pPr>
        <w:pStyle w:val="3-BodyText"/>
        <w:numPr>
          <w:ilvl w:val="0"/>
          <w:numId w:val="29"/>
        </w:numPr>
        <w:rPr>
          <w:iCs/>
        </w:rPr>
      </w:pPr>
      <w:r w:rsidRPr="00F81767">
        <w:rPr>
          <w:iCs/>
        </w:rPr>
        <w:t>Time points for assessment: The primary efficacy outcomes in the Xeomin trials were assessed at specific time points (e.g., Week 4), while the Botox studies assessed outcomes at different time points (e.g., Week 6 or Week 12), making comparisons of change from baseline unreliable without adjustment.</w:t>
      </w:r>
    </w:p>
    <w:p w14:paraId="24D6DB86" w14:textId="4F5C474E" w:rsidR="00673DEF" w:rsidRPr="00F81767" w:rsidRDefault="00587D29" w:rsidP="0049200A">
      <w:pPr>
        <w:pStyle w:val="3-BodyText"/>
        <w:numPr>
          <w:ilvl w:val="0"/>
          <w:numId w:val="29"/>
        </w:numPr>
        <w:rPr>
          <w:iCs/>
        </w:rPr>
      </w:pPr>
      <w:r w:rsidRPr="00F81767">
        <w:rPr>
          <w:iCs/>
        </w:rPr>
        <w:t>Participant</w:t>
      </w:r>
      <w:r w:rsidR="00673DEF" w:rsidRPr="00F81767">
        <w:rPr>
          <w:iCs/>
        </w:rPr>
        <w:t xml:space="preserve"> characteristics: Differences between studies included variability in </w:t>
      </w:r>
      <w:r w:rsidRPr="00F81767">
        <w:rPr>
          <w:iCs/>
        </w:rPr>
        <w:t>participant</w:t>
      </w:r>
      <w:r w:rsidR="00673DEF" w:rsidRPr="00F81767">
        <w:rPr>
          <w:iCs/>
        </w:rPr>
        <w:t xml:space="preserve"> age distribution, severity of spasticity at baseline (as measured by AS/MAS scores), prior exposure to botulinum toxin treatment (toxin-naïve vs pre-treated </w:t>
      </w:r>
      <w:r w:rsidRPr="00F81767">
        <w:rPr>
          <w:iCs/>
        </w:rPr>
        <w:t>participants</w:t>
      </w:r>
      <w:r w:rsidR="00673DEF" w:rsidRPr="00F81767">
        <w:rPr>
          <w:iCs/>
        </w:rPr>
        <w:t xml:space="preserve">), and functional status (e.g., GMFCS level or ambulant vs non-ambulant </w:t>
      </w:r>
      <w:r w:rsidRPr="00F81767">
        <w:rPr>
          <w:iCs/>
        </w:rPr>
        <w:t>participants</w:t>
      </w:r>
      <w:r w:rsidR="00673DEF" w:rsidRPr="00F81767">
        <w:rPr>
          <w:iCs/>
        </w:rPr>
        <w:t>).</w:t>
      </w:r>
    </w:p>
    <w:p w14:paraId="6595A710" w14:textId="27F9466E" w:rsidR="00784FF1" w:rsidRDefault="00B0472C" w:rsidP="0049200A">
      <w:pPr>
        <w:pStyle w:val="3-BodyText"/>
        <w:rPr>
          <w:iCs/>
        </w:rPr>
      </w:pPr>
      <w:r w:rsidRPr="00F81767">
        <w:rPr>
          <w:iCs/>
        </w:rPr>
        <w:t xml:space="preserve">In addition, the </w:t>
      </w:r>
      <w:r w:rsidR="00A65693" w:rsidRPr="00F81767">
        <w:rPr>
          <w:iCs/>
        </w:rPr>
        <w:t>safety and efficacy</w:t>
      </w:r>
      <w:r w:rsidRPr="00F81767">
        <w:rPr>
          <w:iCs/>
        </w:rPr>
        <w:t xml:space="preserve"> data presented in the submission were limited to the paediatric population (aged 2-17 years</w:t>
      </w:r>
      <w:r w:rsidR="0007757B" w:rsidRPr="00F81767">
        <w:rPr>
          <w:iCs/>
        </w:rPr>
        <w:t xml:space="preserve">; mean age of Xeomin trial participants </w:t>
      </w:r>
      <w:r w:rsidR="008D0249" w:rsidRPr="00F81767">
        <w:rPr>
          <w:iCs/>
        </w:rPr>
        <w:t>was</w:t>
      </w:r>
      <w:r w:rsidR="0007757B" w:rsidRPr="00F81767">
        <w:rPr>
          <w:iCs/>
        </w:rPr>
        <w:t xml:space="preserve"> &lt;</w:t>
      </w:r>
      <w:r w:rsidR="00BE223C">
        <w:rPr>
          <w:iCs/>
        </w:rPr>
        <w:t xml:space="preserve"> </w:t>
      </w:r>
      <w:r w:rsidR="0007757B" w:rsidRPr="00F81767">
        <w:rPr>
          <w:iCs/>
        </w:rPr>
        <w:t>10 years</w:t>
      </w:r>
      <w:r w:rsidRPr="00F81767">
        <w:rPr>
          <w:iCs/>
        </w:rPr>
        <w:t>), with no clinical evidence provided to support the use of Xeomin in adults</w:t>
      </w:r>
      <w:r w:rsidR="00784FF1" w:rsidRPr="00F81767">
        <w:rPr>
          <w:iCs/>
        </w:rPr>
        <w:t>.</w:t>
      </w:r>
      <w:r w:rsidR="000D033E" w:rsidRPr="00F81767">
        <w:rPr>
          <w:iCs/>
        </w:rPr>
        <w:t xml:space="preserve"> </w:t>
      </w:r>
    </w:p>
    <w:p w14:paraId="4A3DB819" w14:textId="33A0D8BD" w:rsidR="00D470A8" w:rsidRPr="00721F5B" w:rsidRDefault="00EB5F47" w:rsidP="0049200A">
      <w:pPr>
        <w:pStyle w:val="3-BodyText"/>
        <w:rPr>
          <w:iCs/>
        </w:rPr>
      </w:pPr>
      <w:r>
        <w:rPr>
          <w:iCs/>
        </w:rPr>
        <w:t xml:space="preserve">Whilst recognising </w:t>
      </w:r>
      <w:r w:rsidR="008A39A9">
        <w:rPr>
          <w:iCs/>
        </w:rPr>
        <w:t>the</w:t>
      </w:r>
      <w:r w:rsidR="005844AF">
        <w:rPr>
          <w:iCs/>
        </w:rPr>
        <w:t xml:space="preserve"> uncertainties </w:t>
      </w:r>
      <w:r w:rsidR="00FF2902">
        <w:rPr>
          <w:iCs/>
        </w:rPr>
        <w:t>associated with the unadjusted comparisons</w:t>
      </w:r>
      <w:r w:rsidR="00DE00D7">
        <w:rPr>
          <w:iCs/>
        </w:rPr>
        <w:t>, the</w:t>
      </w:r>
      <w:r w:rsidR="00D035BF">
        <w:rPr>
          <w:iCs/>
        </w:rPr>
        <w:t xml:space="preserve"> PB</w:t>
      </w:r>
      <w:r w:rsidR="004C04B9">
        <w:rPr>
          <w:iCs/>
        </w:rPr>
        <w:t xml:space="preserve">AC considered </w:t>
      </w:r>
      <w:r w:rsidR="004808C2">
        <w:rPr>
          <w:iCs/>
        </w:rPr>
        <w:t>th</w:t>
      </w:r>
      <w:r w:rsidR="00345FF4">
        <w:rPr>
          <w:iCs/>
        </w:rPr>
        <w:t>at overall, the</w:t>
      </w:r>
      <w:r w:rsidR="004808C2">
        <w:rPr>
          <w:iCs/>
        </w:rPr>
        <w:t xml:space="preserve"> claim of non-inferior comparative effectiveness </w:t>
      </w:r>
      <w:r w:rsidR="00AC16D5">
        <w:rPr>
          <w:iCs/>
        </w:rPr>
        <w:t>was reasonable</w:t>
      </w:r>
      <w:r w:rsidR="000879ED">
        <w:rPr>
          <w:iCs/>
        </w:rPr>
        <w:t>. The PBAC recalled</w:t>
      </w:r>
      <w:r w:rsidR="00F67AA6">
        <w:rPr>
          <w:iCs/>
        </w:rPr>
        <w:t xml:space="preserve"> it previously considered Xeomin and Botox would </w:t>
      </w:r>
      <w:r w:rsidR="00087D21">
        <w:rPr>
          <w:iCs/>
        </w:rPr>
        <w:t xml:space="preserve">likely have </w:t>
      </w:r>
      <w:r w:rsidR="00721F5B">
        <w:rPr>
          <w:iCs/>
        </w:rPr>
        <w:t xml:space="preserve">similar effects as they are analogues of each other </w:t>
      </w:r>
      <w:r w:rsidR="00721F5B" w:rsidRPr="00721F5B">
        <w:rPr>
          <w:iCs/>
        </w:rPr>
        <w:t>(paragraph 6.17, Xeomin PSD, July 2014 PBAC meeting).</w:t>
      </w:r>
    </w:p>
    <w:p w14:paraId="48EF94AC" w14:textId="74DD1B34" w:rsidR="001A042A" w:rsidRPr="00F81767" w:rsidRDefault="00562A5D" w:rsidP="0049200A">
      <w:pPr>
        <w:pStyle w:val="3-BodyText"/>
        <w:rPr>
          <w:iCs/>
        </w:rPr>
      </w:pPr>
      <w:r>
        <w:rPr>
          <w:iCs/>
        </w:rPr>
        <w:t xml:space="preserve">The </w:t>
      </w:r>
      <w:r w:rsidR="009630AE" w:rsidRPr="009630AE">
        <w:rPr>
          <w:iCs/>
        </w:rPr>
        <w:t xml:space="preserve">PBAC considered </w:t>
      </w:r>
      <w:r w:rsidR="00081EA3">
        <w:rPr>
          <w:iCs/>
        </w:rPr>
        <w:t>the claim of comparable safety</w:t>
      </w:r>
      <w:r w:rsidR="009630AE" w:rsidRPr="009630AE">
        <w:rPr>
          <w:iCs/>
        </w:rPr>
        <w:t xml:space="preserve"> </w:t>
      </w:r>
      <w:r w:rsidR="0076761A">
        <w:rPr>
          <w:iCs/>
        </w:rPr>
        <w:t>to Botox</w:t>
      </w:r>
      <w:r w:rsidR="00081EA3">
        <w:rPr>
          <w:iCs/>
        </w:rPr>
        <w:t xml:space="preserve"> was reasonable</w:t>
      </w:r>
      <w:r w:rsidR="009630AE" w:rsidRPr="009630AE">
        <w:rPr>
          <w:iCs/>
        </w:rPr>
        <w:t>.</w:t>
      </w:r>
    </w:p>
    <w:p w14:paraId="14782D76" w14:textId="0802C9B6" w:rsidR="003A6147" w:rsidRPr="00C9624D" w:rsidRDefault="003A6147" w:rsidP="0049200A">
      <w:pPr>
        <w:pStyle w:val="4-SubsectionHeading"/>
      </w:pPr>
      <w:bookmarkStart w:id="58" w:name="_Toc177099853"/>
      <w:bookmarkStart w:id="59" w:name="_Toc198630221"/>
      <w:bookmarkStart w:id="60" w:name="_Toc198724799"/>
      <w:r w:rsidRPr="00C9624D">
        <w:t>Economic analysis</w:t>
      </w:r>
      <w:bookmarkEnd w:id="58"/>
      <w:bookmarkEnd w:id="59"/>
      <w:bookmarkEnd w:id="60"/>
    </w:p>
    <w:p w14:paraId="6174C8E7" w14:textId="630C0C7A" w:rsidR="003A6147" w:rsidRPr="007C5E57" w:rsidRDefault="003A6147" w:rsidP="0049200A">
      <w:pPr>
        <w:pStyle w:val="3-BodyText"/>
        <w:rPr>
          <w:b/>
          <w:bCs/>
        </w:rPr>
      </w:pPr>
      <w:r w:rsidRPr="0023366F">
        <w:t xml:space="preserve">The submission presented a cost-minimisation approach comparing </w:t>
      </w:r>
      <w:r w:rsidRPr="00DF26E8">
        <w:t>Xeomin</w:t>
      </w:r>
      <w:r w:rsidRPr="0023366F">
        <w:t xml:space="preserve"> to </w:t>
      </w:r>
      <w:r w:rsidRPr="00DF26E8">
        <w:t>Botox</w:t>
      </w:r>
      <w:r w:rsidRPr="0023366F">
        <w:t xml:space="preserve"> </w:t>
      </w:r>
      <w:r w:rsidR="00B950A4">
        <w:t>based on cross-trial comparisons.</w:t>
      </w:r>
    </w:p>
    <w:p w14:paraId="584C393B" w14:textId="0CC00403" w:rsidR="003A6147" w:rsidRPr="00812D54" w:rsidRDefault="003D3943" w:rsidP="0049200A">
      <w:pPr>
        <w:pStyle w:val="3-BodyText"/>
        <w:rPr>
          <w:b/>
          <w:bCs/>
        </w:rPr>
      </w:pPr>
      <w:r>
        <w:fldChar w:fldCharType="begin"/>
      </w:r>
      <w:r>
        <w:instrText xml:space="preserve"> REF _Ref198638322 \h </w:instrText>
      </w:r>
      <w:r>
        <w:fldChar w:fldCharType="separate"/>
      </w:r>
      <w:r w:rsidR="00AD57D3">
        <w:t xml:space="preserve">Table </w:t>
      </w:r>
      <w:r w:rsidR="00AD57D3">
        <w:rPr>
          <w:noProof/>
        </w:rPr>
        <w:t>8</w:t>
      </w:r>
      <w:r>
        <w:fldChar w:fldCharType="end"/>
      </w:r>
      <w:r w:rsidR="003A6147">
        <w:t xml:space="preserve"> </w:t>
      </w:r>
      <w:r w:rsidR="003A6147" w:rsidRPr="002B3348">
        <w:t xml:space="preserve">describes </w:t>
      </w:r>
      <w:r w:rsidR="00E7178A">
        <w:t xml:space="preserve">the </w:t>
      </w:r>
      <w:r w:rsidR="003A6147" w:rsidRPr="002B3348">
        <w:rPr>
          <w:rFonts w:eastAsia="Calibri"/>
        </w:rPr>
        <w:t>key components and assumptions of the cost-minimisation approach.</w:t>
      </w:r>
    </w:p>
    <w:p w14:paraId="0F4FC0D6" w14:textId="2394FF79" w:rsidR="004250FC" w:rsidRDefault="004250FC" w:rsidP="0049200A">
      <w:pPr>
        <w:pStyle w:val="TableFigureHeading"/>
      </w:pPr>
      <w:bookmarkStart w:id="61" w:name="_Ref198638322"/>
      <w:bookmarkStart w:id="62" w:name="_Ref177382287"/>
      <w:r>
        <w:lastRenderedPageBreak/>
        <w:t xml:space="preserve">Table </w:t>
      </w:r>
      <w:r w:rsidR="00A63BF6">
        <w:fldChar w:fldCharType="begin"/>
      </w:r>
      <w:r w:rsidR="00A63BF6">
        <w:instrText xml:space="preserve"> SEQ Table \* ARABIC </w:instrText>
      </w:r>
      <w:r w:rsidR="00A63BF6">
        <w:fldChar w:fldCharType="separate"/>
      </w:r>
      <w:r w:rsidR="00AD57D3">
        <w:rPr>
          <w:noProof/>
        </w:rPr>
        <w:t>8</w:t>
      </w:r>
      <w:r w:rsidR="00A63BF6">
        <w:rPr>
          <w:noProof/>
        </w:rPr>
        <w:fldChar w:fldCharType="end"/>
      </w:r>
      <w:bookmarkEnd w:id="61"/>
      <w:r>
        <w:t xml:space="preserve">: </w:t>
      </w:r>
      <w:r w:rsidRPr="00694074">
        <w:t>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Key components and assumptions of the cost-minimisation approach"/>
      </w:tblPr>
      <w:tblGrid>
        <w:gridCol w:w="3224"/>
        <w:gridCol w:w="5793"/>
      </w:tblGrid>
      <w:tr w:rsidR="003A6147" w:rsidRPr="0098262F" w14:paraId="2E223369" w14:textId="77777777" w:rsidTr="00A86EE2">
        <w:tc>
          <w:tcPr>
            <w:tcW w:w="1788" w:type="pct"/>
            <w:vAlign w:val="center"/>
          </w:tcPr>
          <w:p w14:paraId="4E4E5905" w14:textId="77777777" w:rsidR="003A6147" w:rsidRPr="0098262F" w:rsidRDefault="003A6147" w:rsidP="0049200A">
            <w:pPr>
              <w:pStyle w:val="In-tableHeading"/>
              <w:jc w:val="center"/>
              <w:rPr>
                <w:lang w:val="en-AU"/>
              </w:rPr>
            </w:pPr>
            <w:r w:rsidRPr="0098262F">
              <w:rPr>
                <w:lang w:val="en-AU"/>
              </w:rPr>
              <w:t>Component</w:t>
            </w:r>
          </w:p>
        </w:tc>
        <w:tc>
          <w:tcPr>
            <w:tcW w:w="3212" w:type="pct"/>
            <w:vAlign w:val="center"/>
          </w:tcPr>
          <w:p w14:paraId="2EB9EF68" w14:textId="77777777" w:rsidR="003A6147" w:rsidRPr="0098262F" w:rsidRDefault="003A6147" w:rsidP="0049200A">
            <w:pPr>
              <w:pStyle w:val="In-tableHeading"/>
              <w:jc w:val="center"/>
              <w:rPr>
                <w:lang w:val="en-AU"/>
              </w:rPr>
            </w:pPr>
            <w:r w:rsidRPr="0098262F">
              <w:rPr>
                <w:lang w:val="en-AU"/>
              </w:rPr>
              <w:t>Claim or assumption</w:t>
            </w:r>
          </w:p>
        </w:tc>
      </w:tr>
      <w:tr w:rsidR="003A6147" w:rsidRPr="0098262F" w14:paraId="5CF5A357" w14:textId="77777777" w:rsidTr="00A86EE2">
        <w:tc>
          <w:tcPr>
            <w:tcW w:w="1788" w:type="pct"/>
            <w:vAlign w:val="center"/>
          </w:tcPr>
          <w:p w14:paraId="711B19AF" w14:textId="77777777" w:rsidR="003A6147" w:rsidRPr="0098262F" w:rsidRDefault="003A6147" w:rsidP="0049200A">
            <w:pPr>
              <w:pStyle w:val="TableText0"/>
            </w:pPr>
            <w:r w:rsidRPr="0098262F">
              <w:t>Therapeutic claim: effectiveness</w:t>
            </w:r>
          </w:p>
        </w:tc>
        <w:tc>
          <w:tcPr>
            <w:tcW w:w="3212" w:type="pct"/>
          </w:tcPr>
          <w:p w14:paraId="37B546E9" w14:textId="3FA32A58" w:rsidR="003A6147" w:rsidRDefault="003A6147" w:rsidP="0049200A">
            <w:pPr>
              <w:pStyle w:val="TableText0"/>
            </w:pPr>
            <w:r w:rsidRPr="001B0516">
              <w:t xml:space="preserve">Based on </w:t>
            </w:r>
            <w:r>
              <w:t xml:space="preserve">the </w:t>
            </w:r>
            <w:r w:rsidRPr="001B0516">
              <w:t>evidence presented in Section 2</w:t>
            </w:r>
            <w:r w:rsidR="0019615E">
              <w:t xml:space="preserve"> (the ‘Clinical evaluation’)</w:t>
            </w:r>
            <w:r w:rsidRPr="001B0516">
              <w:t xml:space="preserve">, effectiveness </w:t>
            </w:r>
            <w:r>
              <w:t>wa</w:t>
            </w:r>
            <w:r w:rsidRPr="001B0516">
              <w:t xml:space="preserve">s assumed to be: </w:t>
            </w:r>
          </w:p>
          <w:p w14:paraId="406E27B2" w14:textId="241A4F67" w:rsidR="003A6147" w:rsidRPr="00A83A95" w:rsidRDefault="003A6147" w:rsidP="0049200A">
            <w:pPr>
              <w:pStyle w:val="TableText0"/>
              <w:rPr>
                <w:i/>
                <w:iCs/>
              </w:rPr>
            </w:pPr>
            <w:r w:rsidRPr="00DF26E8">
              <w:t>Xeomin</w:t>
            </w:r>
            <w:r>
              <w:t xml:space="preserve"> is non-inferior to </w:t>
            </w:r>
            <w:r w:rsidRPr="00DF26E8">
              <w:t>Botox</w:t>
            </w:r>
            <w:r>
              <w:t xml:space="preserve"> </w:t>
            </w:r>
            <w:r w:rsidRPr="009718AF">
              <w:t>in patients 2 years and older with upper or lower limb spasticity due to cerebral palsy</w:t>
            </w:r>
            <w:r>
              <w:t xml:space="preserve">. </w:t>
            </w:r>
            <w:r w:rsidRPr="00F81767">
              <w:rPr>
                <w:iCs/>
              </w:rPr>
              <w:t>The</w:t>
            </w:r>
            <w:r w:rsidR="00A448A4">
              <w:rPr>
                <w:iCs/>
              </w:rPr>
              <w:t xml:space="preserve"> evaluation considered that the</w:t>
            </w:r>
            <w:r w:rsidRPr="00F81767">
              <w:rPr>
                <w:iCs/>
              </w:rPr>
              <w:t xml:space="preserve"> submission did not establish non-inferiority of Xeomin compared to Botox in terms of </w:t>
            </w:r>
            <w:r w:rsidR="00993C5C">
              <w:rPr>
                <w:iCs/>
              </w:rPr>
              <w:t>effectiveness</w:t>
            </w:r>
            <w:r w:rsidRPr="00F81767">
              <w:rPr>
                <w:iCs/>
              </w:rPr>
              <w:t xml:space="preserve">, and non-inferiority relative to Dysport was also not </w:t>
            </w:r>
            <w:r w:rsidR="00EA1F1B" w:rsidRPr="00F81767">
              <w:rPr>
                <w:iCs/>
              </w:rPr>
              <w:t>attempted</w:t>
            </w:r>
            <w:r w:rsidRPr="00F81767">
              <w:rPr>
                <w:iCs/>
              </w:rPr>
              <w:t>.</w:t>
            </w:r>
          </w:p>
        </w:tc>
      </w:tr>
      <w:tr w:rsidR="003A6147" w:rsidRPr="0098262F" w14:paraId="03361F47" w14:textId="77777777" w:rsidTr="00A86EE2">
        <w:tc>
          <w:tcPr>
            <w:tcW w:w="1788" w:type="pct"/>
            <w:vAlign w:val="center"/>
          </w:tcPr>
          <w:p w14:paraId="56882BFA" w14:textId="77777777" w:rsidR="003A6147" w:rsidRPr="0098262F" w:rsidRDefault="003A6147" w:rsidP="0049200A">
            <w:pPr>
              <w:pStyle w:val="TableText0"/>
            </w:pPr>
            <w:r w:rsidRPr="0098262F">
              <w:t>Therapeutic claim: safety</w:t>
            </w:r>
          </w:p>
        </w:tc>
        <w:tc>
          <w:tcPr>
            <w:tcW w:w="3212" w:type="pct"/>
          </w:tcPr>
          <w:p w14:paraId="410BFAD3" w14:textId="77777777" w:rsidR="003A6147" w:rsidRPr="00DB5B63" w:rsidRDefault="003A6147" w:rsidP="0049200A">
            <w:pPr>
              <w:pStyle w:val="TableText0"/>
            </w:pPr>
            <w:r w:rsidRPr="00DB5B63">
              <w:t>Based on the evidence presented in Section 2, safety was assumed to be:</w:t>
            </w:r>
          </w:p>
          <w:p w14:paraId="03A244CD" w14:textId="3D8EA19C" w:rsidR="003A6147" w:rsidRPr="00DB5B63" w:rsidRDefault="003A6147" w:rsidP="0049200A">
            <w:pPr>
              <w:pStyle w:val="TableText0"/>
            </w:pPr>
            <w:r w:rsidRPr="00DB5B63">
              <w:t>Xeomin is non-inferior to Botox in patients 2 years and older with upper or lower limb spasticity due to cerebral palsy.</w:t>
            </w:r>
            <w:r w:rsidR="00793D6A" w:rsidRPr="00DB5B63">
              <w:t xml:space="preserve"> </w:t>
            </w:r>
            <w:r w:rsidRPr="00F81767">
              <w:rPr>
                <w:iCs/>
              </w:rPr>
              <w:t xml:space="preserve">The </w:t>
            </w:r>
            <w:r w:rsidR="00A448A4">
              <w:rPr>
                <w:iCs/>
              </w:rPr>
              <w:t xml:space="preserve">evaluation considered that the </w:t>
            </w:r>
            <w:r w:rsidRPr="00F81767">
              <w:rPr>
                <w:iCs/>
              </w:rPr>
              <w:t xml:space="preserve">submission did not establish non-inferiority of Xeomin compared to Botox in terms of safety, and non-inferiority relative to Dysport was also not </w:t>
            </w:r>
            <w:r w:rsidR="00EA1F1B" w:rsidRPr="00F81767">
              <w:rPr>
                <w:iCs/>
              </w:rPr>
              <w:t>attempted</w:t>
            </w:r>
            <w:r w:rsidRPr="00F81767">
              <w:rPr>
                <w:iCs/>
              </w:rPr>
              <w:t>.</w:t>
            </w:r>
          </w:p>
        </w:tc>
      </w:tr>
      <w:tr w:rsidR="003A6147" w:rsidRPr="0098262F" w14:paraId="4ACBF886" w14:textId="77777777" w:rsidTr="00A86EE2">
        <w:tc>
          <w:tcPr>
            <w:tcW w:w="1788" w:type="pct"/>
            <w:vAlign w:val="center"/>
          </w:tcPr>
          <w:p w14:paraId="4E5AA01D" w14:textId="77777777" w:rsidR="003A6147" w:rsidRPr="0098262F" w:rsidRDefault="003A6147" w:rsidP="0049200A">
            <w:pPr>
              <w:pStyle w:val="TableText0"/>
            </w:pPr>
            <w:r w:rsidRPr="0098262F">
              <w:t>Evidence base</w:t>
            </w:r>
          </w:p>
        </w:tc>
        <w:tc>
          <w:tcPr>
            <w:tcW w:w="3212" w:type="pct"/>
          </w:tcPr>
          <w:p w14:paraId="05BD50A8" w14:textId="296526DF" w:rsidR="003A6147" w:rsidRPr="00DB5B63" w:rsidRDefault="006666FA" w:rsidP="0049200A">
            <w:pPr>
              <w:pStyle w:val="TableText0"/>
            </w:pPr>
            <w:r w:rsidRPr="00DB5B63">
              <w:t>Cross-trial</w:t>
            </w:r>
            <w:r w:rsidR="003A6147" w:rsidRPr="00DB5B63">
              <w:t xml:space="preserve"> comparison using randomised controlled trials.</w:t>
            </w:r>
          </w:p>
        </w:tc>
      </w:tr>
      <w:tr w:rsidR="003A6147" w:rsidRPr="0098262F" w14:paraId="2A5D7578" w14:textId="77777777" w:rsidTr="00A86EE2">
        <w:tc>
          <w:tcPr>
            <w:tcW w:w="1788" w:type="pct"/>
            <w:vAlign w:val="center"/>
          </w:tcPr>
          <w:p w14:paraId="0E0A0F10" w14:textId="27EFB124" w:rsidR="003A6147" w:rsidRPr="0098262F" w:rsidRDefault="003A6147" w:rsidP="0049200A">
            <w:pPr>
              <w:pStyle w:val="TableText0"/>
            </w:pPr>
            <w:r w:rsidRPr="0098262F">
              <w:t>Equi-effective doses</w:t>
            </w:r>
          </w:p>
        </w:tc>
        <w:tc>
          <w:tcPr>
            <w:tcW w:w="3212" w:type="pct"/>
          </w:tcPr>
          <w:p w14:paraId="541A03D6" w14:textId="38253603" w:rsidR="003A6147" w:rsidRPr="00411B91" w:rsidRDefault="003A6147" w:rsidP="0049200A">
            <w:pPr>
              <w:pStyle w:val="TableText0"/>
              <w:rPr>
                <w:lang w:val="nl-NL"/>
              </w:rPr>
            </w:pPr>
            <w:r w:rsidRPr="00411B91">
              <w:rPr>
                <w:lang w:val="nl-NL"/>
              </w:rPr>
              <w:t xml:space="preserve">Xeomin </w:t>
            </w:r>
            <w:r w:rsidR="00002AD7">
              <w:rPr>
                <w:lang w:val="nl-NL"/>
              </w:rPr>
              <w:t>400 U</w:t>
            </w:r>
            <w:r w:rsidR="00094E8D" w:rsidRPr="00411B91">
              <w:rPr>
                <w:lang w:val="nl-NL"/>
              </w:rPr>
              <w:t xml:space="preserve"> </w:t>
            </w:r>
            <w:r w:rsidRPr="00411B91">
              <w:rPr>
                <w:lang w:val="nl-NL"/>
              </w:rPr>
              <w:t>is equivalent to</w:t>
            </w:r>
            <w:r w:rsidR="00792999" w:rsidRPr="00411B91">
              <w:rPr>
                <w:lang w:val="nl-NL"/>
              </w:rPr>
              <w:t xml:space="preserve"> </w:t>
            </w:r>
            <w:r w:rsidRPr="00411B91">
              <w:rPr>
                <w:lang w:val="nl-NL"/>
              </w:rPr>
              <w:t xml:space="preserve">Botox </w:t>
            </w:r>
            <w:r w:rsidR="00002AD7">
              <w:rPr>
                <w:lang w:val="nl-NL"/>
              </w:rPr>
              <w:t>400 U</w:t>
            </w:r>
            <w:r w:rsidR="00F06FF6" w:rsidRPr="00411B91">
              <w:rPr>
                <w:lang w:val="nl-NL"/>
              </w:rPr>
              <w:t xml:space="preserve"> (i.e.</w:t>
            </w:r>
            <w:r w:rsidR="00411B91">
              <w:rPr>
                <w:lang w:val="nl-NL"/>
              </w:rPr>
              <w:t xml:space="preserve"> </w:t>
            </w:r>
            <w:r w:rsidR="00411B91" w:rsidRPr="00411B91">
              <w:rPr>
                <w:lang w:val="nl-NL"/>
              </w:rPr>
              <w:t xml:space="preserve">Xeomin </w:t>
            </w:r>
            <w:r w:rsidR="00002AD7">
              <w:rPr>
                <w:lang w:val="nl-NL"/>
              </w:rPr>
              <w:t>1 U</w:t>
            </w:r>
            <w:r w:rsidR="00411B91" w:rsidRPr="00411B91">
              <w:rPr>
                <w:lang w:val="nl-NL"/>
              </w:rPr>
              <w:t xml:space="preserve"> = Botox </w:t>
            </w:r>
            <w:r w:rsidR="00002AD7">
              <w:rPr>
                <w:lang w:val="nl-NL"/>
              </w:rPr>
              <w:t>1 U</w:t>
            </w:r>
            <w:r w:rsidR="00411B91" w:rsidRPr="00411B91">
              <w:rPr>
                <w:lang w:val="nl-NL"/>
              </w:rPr>
              <w:t>)</w:t>
            </w:r>
            <w:r w:rsidRPr="00411B91">
              <w:rPr>
                <w:lang w:val="nl-NL"/>
              </w:rPr>
              <w:t>.</w:t>
            </w:r>
          </w:p>
          <w:p w14:paraId="0511FB51" w14:textId="77777777" w:rsidR="003A6147" w:rsidRPr="00411B91" w:rsidRDefault="003A6147" w:rsidP="0049200A">
            <w:pPr>
              <w:pStyle w:val="TableText0"/>
              <w:rPr>
                <w:lang w:val="nl-NL"/>
              </w:rPr>
            </w:pPr>
          </w:p>
          <w:p w14:paraId="1DE30C59" w14:textId="7B97E29B" w:rsidR="003A6147" w:rsidRPr="00DB5B63" w:rsidRDefault="004A4AC7" w:rsidP="0049200A">
            <w:pPr>
              <w:pStyle w:val="TableText0"/>
              <w:rPr>
                <w:i/>
                <w:iCs/>
              </w:rPr>
            </w:pPr>
            <w:r w:rsidRPr="00F81767">
              <w:rPr>
                <w:iCs/>
              </w:rPr>
              <w:t xml:space="preserve">Taking the </w:t>
            </w:r>
            <w:r w:rsidR="009C77A7" w:rsidRPr="00F81767">
              <w:rPr>
                <w:iCs/>
              </w:rPr>
              <w:t xml:space="preserve">submission’s </w:t>
            </w:r>
            <w:r w:rsidRPr="00F81767">
              <w:rPr>
                <w:iCs/>
              </w:rPr>
              <w:t xml:space="preserve">proposed equi-effective dose, </w:t>
            </w:r>
            <w:r w:rsidR="003A6147" w:rsidRPr="00F81767">
              <w:rPr>
                <w:iCs/>
              </w:rPr>
              <w:t xml:space="preserve">Xeomin </w:t>
            </w:r>
            <w:r w:rsidR="00002AD7" w:rsidRPr="00F81767">
              <w:rPr>
                <w:iCs/>
              </w:rPr>
              <w:t>400 U</w:t>
            </w:r>
            <w:r w:rsidR="00AE7CA4" w:rsidRPr="00F81767">
              <w:rPr>
                <w:iCs/>
              </w:rPr>
              <w:t xml:space="preserve"> </w:t>
            </w:r>
            <w:r w:rsidR="009C77A7" w:rsidRPr="00F81767">
              <w:rPr>
                <w:iCs/>
              </w:rPr>
              <w:t>would be</w:t>
            </w:r>
            <w:r w:rsidR="003A6147" w:rsidRPr="00F81767">
              <w:rPr>
                <w:iCs/>
              </w:rPr>
              <w:t xml:space="preserve"> equivalent to Dysport </w:t>
            </w:r>
            <w:r w:rsidR="00002AD7" w:rsidRPr="00F81767">
              <w:rPr>
                <w:iCs/>
              </w:rPr>
              <w:t>1000 U</w:t>
            </w:r>
            <w:r w:rsidR="00607175" w:rsidRPr="00F81767">
              <w:rPr>
                <w:iCs/>
              </w:rPr>
              <w:t xml:space="preserve"> </w:t>
            </w:r>
            <w:r w:rsidR="00411B91" w:rsidRPr="00F81767">
              <w:rPr>
                <w:iCs/>
              </w:rPr>
              <w:t xml:space="preserve">(i.e. Xeomin </w:t>
            </w:r>
            <w:r w:rsidR="00002AD7" w:rsidRPr="00F81767">
              <w:rPr>
                <w:iCs/>
              </w:rPr>
              <w:t>1 U</w:t>
            </w:r>
            <w:r w:rsidR="00411B91" w:rsidRPr="00F81767">
              <w:rPr>
                <w:iCs/>
              </w:rPr>
              <w:t xml:space="preserve"> = Dysport </w:t>
            </w:r>
            <w:r w:rsidR="00002AD7" w:rsidRPr="00F81767">
              <w:rPr>
                <w:iCs/>
              </w:rPr>
              <w:t>2.5 U</w:t>
            </w:r>
            <w:r w:rsidR="00411B91" w:rsidRPr="00F81767">
              <w:rPr>
                <w:iCs/>
              </w:rPr>
              <w:t>)</w:t>
            </w:r>
            <w:r w:rsidR="00607175" w:rsidRPr="00F81767">
              <w:rPr>
                <w:iCs/>
              </w:rPr>
              <w:t xml:space="preserve"> based on</w:t>
            </w:r>
            <w:r w:rsidR="00BF3228" w:rsidRPr="00F81767">
              <w:rPr>
                <w:iCs/>
              </w:rPr>
              <w:t xml:space="preserve"> the established</w:t>
            </w:r>
            <w:r w:rsidR="005C6CD8" w:rsidRPr="00F81767">
              <w:rPr>
                <w:iCs/>
              </w:rPr>
              <w:t xml:space="preserve"> equi-effective dose of</w:t>
            </w:r>
            <w:r w:rsidR="00607175" w:rsidRPr="00F81767">
              <w:rPr>
                <w:iCs/>
              </w:rPr>
              <w:t xml:space="preserve"> Botox </w:t>
            </w:r>
            <w:r w:rsidR="00002AD7" w:rsidRPr="00F81767">
              <w:rPr>
                <w:iCs/>
              </w:rPr>
              <w:t>400 U</w:t>
            </w:r>
            <w:r w:rsidR="00607175" w:rsidRPr="00F81767">
              <w:rPr>
                <w:iCs/>
              </w:rPr>
              <w:t xml:space="preserve"> </w:t>
            </w:r>
            <w:r w:rsidR="005C6CD8" w:rsidRPr="00F81767">
              <w:rPr>
                <w:iCs/>
              </w:rPr>
              <w:t>=</w:t>
            </w:r>
            <w:r w:rsidR="00607175" w:rsidRPr="00F81767">
              <w:rPr>
                <w:iCs/>
              </w:rPr>
              <w:t xml:space="preserve"> Dysport </w:t>
            </w:r>
            <w:r w:rsidR="00002AD7" w:rsidRPr="00F81767">
              <w:rPr>
                <w:iCs/>
              </w:rPr>
              <w:t>1000 U</w:t>
            </w:r>
            <w:r w:rsidR="003A6147" w:rsidRPr="00F81767">
              <w:rPr>
                <w:iCs/>
              </w:rPr>
              <w:t xml:space="preserve"> (paragraph 7.10, Dysport, PSD, July 2020 PBAC Meeting).</w:t>
            </w:r>
          </w:p>
        </w:tc>
      </w:tr>
      <w:tr w:rsidR="003A6147" w:rsidRPr="0098262F" w14:paraId="6AC2E21C" w14:textId="77777777" w:rsidTr="00A86EE2">
        <w:tc>
          <w:tcPr>
            <w:tcW w:w="1788" w:type="pct"/>
            <w:vAlign w:val="center"/>
          </w:tcPr>
          <w:p w14:paraId="5E704CD7" w14:textId="77777777" w:rsidR="003A6147" w:rsidRPr="0098262F" w:rsidRDefault="003A6147" w:rsidP="0049200A">
            <w:pPr>
              <w:pStyle w:val="TableText0"/>
            </w:pPr>
            <w:r w:rsidRPr="0098262F">
              <w:t>Direct medicine costs</w:t>
            </w:r>
          </w:p>
        </w:tc>
        <w:tc>
          <w:tcPr>
            <w:tcW w:w="3212" w:type="pct"/>
          </w:tcPr>
          <w:p w14:paraId="1540C28D" w14:textId="4BB01B03" w:rsidR="003A6147" w:rsidRPr="00F81767" w:rsidRDefault="003A6147" w:rsidP="0049200A">
            <w:pPr>
              <w:pStyle w:val="TableText0"/>
              <w:numPr>
                <w:ilvl w:val="0"/>
                <w:numId w:val="31"/>
              </w:numPr>
              <w:rPr>
                <w:iCs/>
              </w:rPr>
            </w:pPr>
            <w:r w:rsidRPr="00F81767">
              <w:rPr>
                <w:iCs/>
              </w:rPr>
              <w:t>The AEMP and DPMQ for Xeomin were considered equivalent to those of Botox.</w:t>
            </w:r>
          </w:p>
          <w:p w14:paraId="70746B05" w14:textId="183DE71D" w:rsidR="003A6147" w:rsidRPr="00712CC1" w:rsidRDefault="003A6147" w:rsidP="0049200A">
            <w:pPr>
              <w:pStyle w:val="TableText0"/>
              <w:numPr>
                <w:ilvl w:val="0"/>
                <w:numId w:val="31"/>
              </w:numPr>
              <w:rPr>
                <w:iCs/>
              </w:rPr>
            </w:pPr>
            <w:r w:rsidRPr="00FE20BB">
              <w:rPr>
                <w:iCs/>
              </w:rPr>
              <w:t>AEMP for Botox</w:t>
            </w:r>
            <w:r w:rsidR="00733C03" w:rsidRPr="00FE20BB">
              <w:rPr>
                <w:iCs/>
              </w:rPr>
              <w:t xml:space="preserve"> 100 U</w:t>
            </w:r>
            <w:r w:rsidRPr="00FE20BB">
              <w:rPr>
                <w:iCs/>
              </w:rPr>
              <w:t xml:space="preserve"> (PBS items:10998W and 10999X</w:t>
            </w:r>
            <w:r w:rsidRPr="00712CC1">
              <w:rPr>
                <w:iCs/>
              </w:rPr>
              <w:t>): $262.50.</w:t>
            </w:r>
          </w:p>
          <w:p w14:paraId="3D3A89D1" w14:textId="7A8356DE" w:rsidR="003A6147" w:rsidRPr="00712CC1" w:rsidRDefault="003A6147" w:rsidP="0049200A">
            <w:pPr>
              <w:pStyle w:val="ListParagraph"/>
              <w:numPr>
                <w:ilvl w:val="0"/>
                <w:numId w:val="31"/>
              </w:numPr>
              <w:spacing w:after="0"/>
              <w:rPr>
                <w:rFonts w:ascii="Arial Narrow" w:eastAsiaTheme="majorEastAsia" w:hAnsi="Arial Narrow" w:cstheme="majorBidi"/>
                <w:bCs/>
                <w:iCs/>
                <w:snapToGrid/>
                <w:sz w:val="20"/>
              </w:rPr>
            </w:pPr>
            <w:r w:rsidRPr="00712CC1">
              <w:rPr>
                <w:rFonts w:ascii="Arial Narrow" w:eastAsiaTheme="majorEastAsia" w:hAnsi="Arial Narrow" w:cstheme="majorBidi"/>
                <w:bCs/>
                <w:iCs/>
                <w:snapToGrid/>
                <w:sz w:val="20"/>
              </w:rPr>
              <w:t xml:space="preserve">AEMP for Dysport </w:t>
            </w:r>
            <w:r w:rsidR="00002AD7" w:rsidRPr="00712CC1">
              <w:rPr>
                <w:rFonts w:ascii="Arial Narrow" w:eastAsiaTheme="majorEastAsia" w:hAnsi="Arial Narrow" w:cstheme="majorBidi"/>
                <w:bCs/>
                <w:iCs/>
                <w:snapToGrid/>
                <w:sz w:val="20"/>
              </w:rPr>
              <w:t>300 U</w:t>
            </w:r>
            <w:r w:rsidRPr="00712CC1">
              <w:rPr>
                <w:rFonts w:ascii="Arial Narrow" w:eastAsiaTheme="majorEastAsia" w:hAnsi="Arial Narrow" w:cstheme="majorBidi"/>
                <w:bCs/>
                <w:iCs/>
                <w:snapToGrid/>
                <w:sz w:val="20"/>
              </w:rPr>
              <w:t xml:space="preserve"> (PBS items: 10981Y and 12214W) = $228.39; Dysport </w:t>
            </w:r>
            <w:r w:rsidR="00002AD7" w:rsidRPr="00712CC1">
              <w:rPr>
                <w:rFonts w:ascii="Arial Narrow" w:eastAsiaTheme="majorEastAsia" w:hAnsi="Arial Narrow" w:cstheme="majorBidi"/>
                <w:bCs/>
                <w:iCs/>
                <w:snapToGrid/>
                <w:sz w:val="20"/>
              </w:rPr>
              <w:t>500 U</w:t>
            </w:r>
            <w:r w:rsidRPr="00712CC1">
              <w:rPr>
                <w:rFonts w:ascii="Arial Narrow" w:eastAsiaTheme="majorEastAsia" w:hAnsi="Arial Narrow" w:cstheme="majorBidi"/>
                <w:bCs/>
                <w:iCs/>
                <w:snapToGrid/>
                <w:sz w:val="20"/>
              </w:rPr>
              <w:t xml:space="preserve"> (PBS items: 11006G and 12178Y) = $407.37.</w:t>
            </w:r>
          </w:p>
          <w:p w14:paraId="09C5D917" w14:textId="1E70C7C2" w:rsidR="003A6147" w:rsidRPr="00712CC1" w:rsidRDefault="003A6147" w:rsidP="0049200A">
            <w:pPr>
              <w:pStyle w:val="TableText0"/>
              <w:numPr>
                <w:ilvl w:val="0"/>
                <w:numId w:val="31"/>
              </w:numPr>
            </w:pPr>
            <w:r w:rsidRPr="00712CC1">
              <w:t>DPMQ for Botox</w:t>
            </w:r>
            <w:r w:rsidRPr="00712CC1">
              <w:rPr>
                <w:vertAlign w:val="superscript"/>
              </w:rPr>
              <w:t xml:space="preserve"> </w:t>
            </w:r>
            <w:r w:rsidRPr="00712CC1">
              <w:t>(PBS items:10998W and 10999X) = $1,098.67</w:t>
            </w:r>
            <w:r w:rsidRPr="00712CC1">
              <w:rPr>
                <w:vertAlign w:val="superscript"/>
              </w:rPr>
              <w:t>a</w:t>
            </w:r>
            <w:r w:rsidRPr="00712CC1">
              <w:t>.</w:t>
            </w:r>
          </w:p>
          <w:p w14:paraId="062609BF" w14:textId="2543EA22" w:rsidR="003A6147" w:rsidRPr="00712CC1" w:rsidRDefault="003A6147" w:rsidP="0049200A">
            <w:pPr>
              <w:pStyle w:val="TableText0"/>
              <w:numPr>
                <w:ilvl w:val="0"/>
                <w:numId w:val="31"/>
              </w:numPr>
            </w:pPr>
            <w:r w:rsidRPr="00712CC1">
              <w:rPr>
                <w:iCs/>
              </w:rPr>
              <w:t xml:space="preserve">DPMQs Dysport </w:t>
            </w:r>
            <w:r w:rsidR="00002AD7" w:rsidRPr="00712CC1">
              <w:rPr>
                <w:iCs/>
              </w:rPr>
              <w:t>300 U</w:t>
            </w:r>
            <w:r w:rsidRPr="00712CC1">
              <w:rPr>
                <w:iCs/>
              </w:rPr>
              <w:t xml:space="preserve"> (PBS items: 10981Y and 12214W) = $958.79; Dysport 500 </w:t>
            </w:r>
            <w:r w:rsidR="00002AD7" w:rsidRPr="00712CC1">
              <w:rPr>
                <w:iCs/>
              </w:rPr>
              <w:t>U</w:t>
            </w:r>
            <w:r w:rsidRPr="00712CC1">
              <w:rPr>
                <w:iCs/>
              </w:rPr>
              <w:t xml:space="preserve"> (PBS items: 11006G </w:t>
            </w:r>
            <w:r w:rsidRPr="00712CC1">
              <w:rPr>
                <w:bCs w:val="0"/>
                <w:iCs/>
              </w:rPr>
              <w:t xml:space="preserve">and </w:t>
            </w:r>
            <w:r w:rsidRPr="00712CC1">
              <w:rPr>
                <w:iCs/>
              </w:rPr>
              <w:t>12178Y</w:t>
            </w:r>
            <w:r w:rsidRPr="00712CC1">
              <w:rPr>
                <w:bCs w:val="0"/>
                <w:iCs/>
              </w:rPr>
              <w:t>)</w:t>
            </w:r>
            <w:r w:rsidRPr="00712CC1">
              <w:rPr>
                <w:iCs/>
              </w:rPr>
              <w:t xml:space="preserve"> = $855.99.</w:t>
            </w:r>
          </w:p>
          <w:p w14:paraId="7C509550" w14:textId="77777777" w:rsidR="003A6147" w:rsidRDefault="003A6147" w:rsidP="0049200A">
            <w:pPr>
              <w:pStyle w:val="TableText0"/>
              <w:numPr>
                <w:ilvl w:val="0"/>
                <w:numId w:val="31"/>
              </w:numPr>
            </w:pPr>
            <w:r w:rsidRPr="00712CC1">
              <w:t>Maximum dosage per patient per treatment cycle for chronic or</w:t>
            </w:r>
            <w:r w:rsidRPr="00B940F9">
              <w:t xml:space="preserve"> continuing therapy</w:t>
            </w:r>
            <w:r>
              <w:t>.</w:t>
            </w:r>
          </w:p>
          <w:p w14:paraId="3A7D0F5B" w14:textId="358A2496" w:rsidR="003A6147" w:rsidRPr="0098262F" w:rsidRDefault="003A6147" w:rsidP="0049200A">
            <w:pPr>
              <w:pStyle w:val="TableText0"/>
              <w:numPr>
                <w:ilvl w:val="0"/>
                <w:numId w:val="31"/>
              </w:numPr>
            </w:pPr>
            <w:r w:rsidRPr="00F81767">
              <w:rPr>
                <w:iCs/>
              </w:rPr>
              <w:t xml:space="preserve">Costs of monitoring or managing adverse events = </w:t>
            </w:r>
            <w:r w:rsidR="000E6095">
              <w:rPr>
                <w:iCs/>
              </w:rPr>
              <w:t>n</w:t>
            </w:r>
            <w:r w:rsidRPr="00F81767">
              <w:rPr>
                <w:iCs/>
              </w:rPr>
              <w:t>one considered.</w:t>
            </w:r>
          </w:p>
        </w:tc>
      </w:tr>
      <w:tr w:rsidR="003A6147" w:rsidRPr="0098262F" w14:paraId="5B1FF5C8" w14:textId="77777777" w:rsidTr="00A86EE2">
        <w:tc>
          <w:tcPr>
            <w:tcW w:w="1788" w:type="pct"/>
            <w:vAlign w:val="center"/>
          </w:tcPr>
          <w:p w14:paraId="51693406" w14:textId="77777777" w:rsidR="003A6147" w:rsidRPr="0098262F" w:rsidRDefault="003A6147" w:rsidP="0049200A">
            <w:pPr>
              <w:pStyle w:val="TableText0"/>
            </w:pPr>
            <w:r w:rsidRPr="0098262F">
              <w:t>Other costs or cost offsets</w:t>
            </w:r>
          </w:p>
        </w:tc>
        <w:tc>
          <w:tcPr>
            <w:tcW w:w="3212" w:type="pct"/>
          </w:tcPr>
          <w:p w14:paraId="4BFD9A94" w14:textId="77777777" w:rsidR="003A6147" w:rsidRPr="005C003D" w:rsidRDefault="003A6147" w:rsidP="0049200A">
            <w:pPr>
              <w:pStyle w:val="TableText0"/>
              <w:rPr>
                <w:i/>
                <w:iCs/>
              </w:rPr>
            </w:pPr>
            <w:r w:rsidRPr="00803D94">
              <w:t xml:space="preserve">Not considered; </w:t>
            </w:r>
            <w:r>
              <w:t xml:space="preserve">only </w:t>
            </w:r>
            <w:r w:rsidRPr="00803D94">
              <w:t xml:space="preserve">drug cost </w:t>
            </w:r>
            <w:r>
              <w:t>was presented in the</w:t>
            </w:r>
            <w:r w:rsidRPr="00803D94">
              <w:t xml:space="preserve"> analysis.</w:t>
            </w:r>
            <w:r w:rsidRPr="00DE750D">
              <w:t xml:space="preserve"> </w:t>
            </w:r>
            <w:r w:rsidRPr="00F81767">
              <w:rPr>
                <w:iCs/>
              </w:rPr>
              <w:t>This was reasonable.</w:t>
            </w:r>
          </w:p>
        </w:tc>
      </w:tr>
    </w:tbl>
    <w:p w14:paraId="7424E793" w14:textId="3ED2DA7E" w:rsidR="003A6147" w:rsidRDefault="003A6147" w:rsidP="0049200A">
      <w:pPr>
        <w:pStyle w:val="FooterTableFigure"/>
      </w:pPr>
      <w:r w:rsidRPr="0098262F">
        <w:t xml:space="preserve">Source: </w:t>
      </w:r>
      <w:r>
        <w:t>Table 3.1.1, p78 of the submission; AEMPs and DPMQs</w:t>
      </w:r>
      <w:r w:rsidRPr="00F46BA0">
        <w:t xml:space="preserve"> as of 1 April 2025 based on </w:t>
      </w:r>
      <w:r w:rsidR="00B64BDC" w:rsidRPr="008B74AA">
        <w:t>www.pbs.gov.au/industry/pricing/ex-manufacturer-price/2025/ex-manufacturer-prices-non-efc-2025-04-01.XLSX</w:t>
      </w:r>
      <w:r>
        <w:t xml:space="preserve">; Table 4.2.3, p82 of the submission. </w:t>
      </w:r>
    </w:p>
    <w:p w14:paraId="46D4DE26" w14:textId="77777777" w:rsidR="003A6147" w:rsidRDefault="003A6147" w:rsidP="0049200A">
      <w:pPr>
        <w:pStyle w:val="FooterTableFigure"/>
      </w:pPr>
      <w:r>
        <w:t>AEMP = A</w:t>
      </w:r>
      <w:r w:rsidRPr="002B5CDF">
        <w:t>pproved ex-manufacturer price</w:t>
      </w:r>
      <w:r>
        <w:t>;</w:t>
      </w:r>
      <w:r w:rsidRPr="002B5CDF">
        <w:t xml:space="preserve"> </w:t>
      </w:r>
      <w:r>
        <w:t>DPMQ = Dispensed price for maximum quantity; PBS = Pharmaceutical Benefits Schedule; U = Units.</w:t>
      </w:r>
    </w:p>
    <w:p w14:paraId="6F5B396F" w14:textId="7F4A8214" w:rsidR="003A6147" w:rsidRDefault="003A6147" w:rsidP="0049200A">
      <w:pPr>
        <w:pStyle w:val="FooterTableFigure"/>
      </w:pPr>
      <w:r>
        <w:rPr>
          <w:vertAlign w:val="superscript"/>
        </w:rPr>
        <w:t xml:space="preserve">a </w:t>
      </w:r>
      <w:r w:rsidRPr="00E6144B">
        <w:t>In the submission,</w:t>
      </w:r>
      <w:r>
        <w:rPr>
          <w:vertAlign w:val="superscript"/>
        </w:rPr>
        <w:t xml:space="preserve"> </w:t>
      </w:r>
      <w:r w:rsidRPr="00E6144B">
        <w:t xml:space="preserve">the cost per patient per treatment cycle of Xeomin was estimated to be equivalent to </w:t>
      </w:r>
      <w:r>
        <w:t>that</w:t>
      </w:r>
      <w:r w:rsidRPr="00E6144B">
        <w:t xml:space="preserve"> of Botox (at published DPMQ).</w:t>
      </w:r>
    </w:p>
    <w:p w14:paraId="19B74B2B" w14:textId="77777777" w:rsidR="003A6147" w:rsidRPr="00C00AF5" w:rsidRDefault="003A6147" w:rsidP="0049200A">
      <w:pPr>
        <w:pStyle w:val="FooterTableFigure"/>
      </w:pPr>
    </w:p>
    <w:p w14:paraId="27CB5D35" w14:textId="77777777" w:rsidR="003A6147" w:rsidRDefault="003A6147" w:rsidP="0049200A">
      <w:pPr>
        <w:pStyle w:val="3-BodyText"/>
      </w:pPr>
      <w:r w:rsidRPr="0098262F">
        <w:t>The</w:t>
      </w:r>
      <w:r>
        <w:t xml:space="preserve"> proposed</w:t>
      </w:r>
      <w:r w:rsidRPr="0098262F">
        <w:t xml:space="preserve"> equi-effective doses were estimated as</w:t>
      </w:r>
      <w:r>
        <w:t>:</w:t>
      </w:r>
      <w:bookmarkEnd w:id="62"/>
    </w:p>
    <w:p w14:paraId="3FC370A7" w14:textId="74078118" w:rsidR="003A6147" w:rsidRPr="00EE3745" w:rsidRDefault="003A6147" w:rsidP="0049200A">
      <w:pPr>
        <w:pStyle w:val="3-BodyText"/>
        <w:numPr>
          <w:ilvl w:val="1"/>
          <w:numId w:val="30"/>
        </w:numPr>
        <w:ind w:left="1208" w:hanging="357"/>
        <w:rPr>
          <w:lang w:val="nl-NL"/>
        </w:rPr>
      </w:pPr>
      <w:r w:rsidRPr="00DF26E8">
        <w:rPr>
          <w:lang w:val="nl-NL"/>
        </w:rPr>
        <w:t>Xeomin</w:t>
      </w:r>
      <w:r w:rsidRPr="00EE3745">
        <w:rPr>
          <w:lang w:val="nl-NL"/>
        </w:rPr>
        <w:t xml:space="preserve"> </w:t>
      </w:r>
      <w:r w:rsidR="00002AD7">
        <w:rPr>
          <w:lang w:val="nl-NL"/>
        </w:rPr>
        <w:t>1 U</w:t>
      </w:r>
      <w:r w:rsidRPr="00EE3745">
        <w:rPr>
          <w:lang w:val="nl-NL"/>
        </w:rPr>
        <w:t xml:space="preserve"> = </w:t>
      </w:r>
      <w:r w:rsidRPr="00DF26E8">
        <w:rPr>
          <w:lang w:val="nl-NL"/>
        </w:rPr>
        <w:t>Botox</w:t>
      </w:r>
      <w:r w:rsidRPr="00EE3745">
        <w:rPr>
          <w:lang w:val="nl-NL"/>
        </w:rPr>
        <w:t xml:space="preserve"> </w:t>
      </w:r>
      <w:r w:rsidR="00002AD7">
        <w:rPr>
          <w:lang w:val="nl-NL"/>
        </w:rPr>
        <w:t>1 U</w:t>
      </w:r>
      <w:r w:rsidRPr="00EE3745">
        <w:rPr>
          <w:lang w:val="nl-NL"/>
        </w:rPr>
        <w:t>.</w:t>
      </w:r>
    </w:p>
    <w:p w14:paraId="47C58B90" w14:textId="49F9088F" w:rsidR="003A6147" w:rsidRPr="000E2164" w:rsidRDefault="003A6147" w:rsidP="0049200A">
      <w:pPr>
        <w:pStyle w:val="3-BodyText"/>
        <w:numPr>
          <w:ilvl w:val="1"/>
          <w:numId w:val="30"/>
        </w:numPr>
        <w:ind w:left="1208" w:hanging="357"/>
        <w:rPr>
          <w:lang w:val="nl-NL"/>
        </w:rPr>
      </w:pPr>
      <w:r w:rsidRPr="000E2164">
        <w:rPr>
          <w:lang w:val="nl-NL"/>
        </w:rPr>
        <w:t xml:space="preserve">Xeomin </w:t>
      </w:r>
      <w:r w:rsidR="00002AD7">
        <w:rPr>
          <w:lang w:val="nl-NL"/>
        </w:rPr>
        <w:t>1 U</w:t>
      </w:r>
      <w:r w:rsidRPr="000E2164">
        <w:rPr>
          <w:lang w:val="nl-NL"/>
        </w:rPr>
        <w:t xml:space="preserve"> = Dysport 2.</w:t>
      </w:r>
      <w:r w:rsidR="00002AD7">
        <w:rPr>
          <w:lang w:val="nl-NL"/>
        </w:rPr>
        <w:t>5 U</w:t>
      </w:r>
      <w:r w:rsidRPr="000E2164">
        <w:rPr>
          <w:lang w:val="nl-NL"/>
        </w:rPr>
        <w:t>.</w:t>
      </w:r>
    </w:p>
    <w:p w14:paraId="0087E570" w14:textId="63655026" w:rsidR="003A6147" w:rsidRPr="002632F1" w:rsidRDefault="003A6147" w:rsidP="0049200A">
      <w:pPr>
        <w:pStyle w:val="3-BodyText"/>
        <w:rPr>
          <w:iCs/>
        </w:rPr>
      </w:pPr>
      <w:r w:rsidRPr="002632F1">
        <w:rPr>
          <w:iCs/>
        </w:rPr>
        <w:t>The relativity for Xeomin and Botox was consistent with previous PBAC recommendations</w:t>
      </w:r>
      <w:r w:rsidR="001E5F1F" w:rsidRPr="002632F1">
        <w:rPr>
          <w:iCs/>
        </w:rPr>
        <w:t xml:space="preserve"> for Xeomin and Botox</w:t>
      </w:r>
      <w:r w:rsidRPr="002632F1">
        <w:rPr>
          <w:iCs/>
        </w:rPr>
        <w:t>.</w:t>
      </w:r>
      <w:r>
        <w:t xml:space="preserve"> </w:t>
      </w:r>
      <w:r w:rsidRPr="00E95B7B">
        <w:t>The PBAC previously</w:t>
      </w:r>
      <w:r w:rsidRPr="00E95B7B" w:rsidDel="001E5F1F">
        <w:t xml:space="preserve"> </w:t>
      </w:r>
      <w:r w:rsidR="001E5F1F">
        <w:t>considered</w:t>
      </w:r>
      <w:r w:rsidR="001E5F1F" w:rsidRPr="00E95B7B">
        <w:t xml:space="preserve"> </w:t>
      </w:r>
      <w:r w:rsidRPr="00E95B7B">
        <w:t xml:space="preserve">that </w:t>
      </w:r>
      <w:r w:rsidRPr="00DF26E8">
        <w:t>Xeomin</w:t>
      </w:r>
      <w:r w:rsidRPr="00E95B7B">
        <w:t xml:space="preserve"> is non-inferior to </w:t>
      </w:r>
      <w:r w:rsidRPr="00DF26E8">
        <w:t>Botox</w:t>
      </w:r>
      <w:r w:rsidRPr="00E95B7B">
        <w:t xml:space="preserve"> in terms of efficacy and safety for treating cervical dystonia, blepharospasm, and post-stroke upper limb spasticity at a 1:1 dose ratio</w:t>
      </w:r>
      <w:r>
        <w:t xml:space="preserve"> </w:t>
      </w:r>
      <w:r w:rsidRPr="001438EE">
        <w:lastRenderedPageBreak/>
        <w:t xml:space="preserve">(paragraph 7.7-7.8, </w:t>
      </w:r>
      <w:r w:rsidRPr="00DF26E8">
        <w:t>Xeomin</w:t>
      </w:r>
      <w:r w:rsidRPr="001438EE">
        <w:t>, PSD, July 2014 PBAC Meeting).</w:t>
      </w:r>
      <w:r w:rsidRPr="002632F1">
        <w:rPr>
          <w:iCs/>
        </w:rPr>
        <w:t xml:space="preserve"> Additionally, the TGA evaluator noted that, at face value, the assumed 1:1 therapeutic equivalence ratio between Botox and Xeomin was reasonable for the proposed spasticity indications (</w:t>
      </w:r>
      <w:r w:rsidR="00673BA8" w:rsidRPr="002632F1">
        <w:rPr>
          <w:iCs/>
        </w:rPr>
        <w:t>TGA CER</w:t>
      </w:r>
      <w:r w:rsidRPr="002632F1">
        <w:rPr>
          <w:iCs/>
        </w:rPr>
        <w:t>).</w:t>
      </w:r>
    </w:p>
    <w:p w14:paraId="018C1C05" w14:textId="380FBB88" w:rsidR="003A6147" w:rsidRPr="002632F1" w:rsidRDefault="003A6147" w:rsidP="0049200A">
      <w:pPr>
        <w:pStyle w:val="3-BodyText"/>
        <w:rPr>
          <w:iCs/>
        </w:rPr>
      </w:pPr>
      <w:bookmarkStart w:id="63" w:name="_Hlk195087429"/>
      <w:r>
        <w:t>When estimating PBS usage and financial implications</w:t>
      </w:r>
      <w:bookmarkEnd w:id="63"/>
      <w:r>
        <w:t>, the</w:t>
      </w:r>
      <w:r w:rsidRPr="00E65608">
        <w:t xml:space="preserve"> submission also presented equi-effective doses for </w:t>
      </w:r>
      <w:r w:rsidRPr="00DF26E8">
        <w:t>Xeomin</w:t>
      </w:r>
      <w:r w:rsidRPr="00E65608">
        <w:t xml:space="preserve"> compared to </w:t>
      </w:r>
      <w:r w:rsidRPr="00DF26E8">
        <w:t>Dysport</w:t>
      </w:r>
      <w:r w:rsidRPr="00E65608">
        <w:t xml:space="preserve">, which was </w:t>
      </w:r>
      <w:r>
        <w:t>1</w:t>
      </w:r>
      <w:r w:rsidRPr="00E65608">
        <w:t>:</w:t>
      </w:r>
      <w:r>
        <w:t>2.5</w:t>
      </w:r>
      <w:r w:rsidRPr="00E65608">
        <w:t xml:space="preserve">. </w:t>
      </w:r>
      <w:r w:rsidRPr="004A1856">
        <w:t>In the July</w:t>
      </w:r>
      <w:r w:rsidR="00110914">
        <w:t> </w:t>
      </w:r>
      <w:r w:rsidRPr="004A1856">
        <w:t xml:space="preserve">2020 PBAC submission for the listing of Dysport </w:t>
      </w:r>
      <w:r w:rsidRPr="00F12525">
        <w:t>for the treatment of moderate to severe focal spasticity of the upper limb in patients with cerebral palsy in patients aged 2 years and older</w:t>
      </w:r>
      <w:r w:rsidRPr="004A1856">
        <w:t xml:space="preserve">, the PBAC considered that the maximum quantity of Dysport would be </w:t>
      </w:r>
      <w:r w:rsidR="00002AD7">
        <w:t>1000 U</w:t>
      </w:r>
      <w:r w:rsidRPr="004A1856">
        <w:t xml:space="preserve">, and the maximum quantity of Botox would be </w:t>
      </w:r>
      <w:r w:rsidR="00002AD7">
        <w:t>400 U</w:t>
      </w:r>
      <w:r w:rsidRPr="004A1856">
        <w:t>, resulting in an equi-effective dose of Dysport 2.</w:t>
      </w:r>
      <w:r w:rsidR="00002AD7">
        <w:t>5 U</w:t>
      </w:r>
      <w:r w:rsidRPr="004A1856">
        <w:t xml:space="preserve"> = Botox </w:t>
      </w:r>
      <w:r w:rsidR="00002AD7">
        <w:t>1 U</w:t>
      </w:r>
      <w:r w:rsidRPr="004A1856">
        <w:t xml:space="preserve"> (paragraph 7.10, Botox, PSD, July 2020 PBAC Meeting). </w:t>
      </w:r>
      <w:r w:rsidR="003D3943">
        <w:fldChar w:fldCharType="begin"/>
      </w:r>
      <w:r w:rsidR="003D3943">
        <w:instrText xml:space="preserve"> REF _Ref198638340 \h </w:instrText>
      </w:r>
      <w:r w:rsidR="003D3943">
        <w:fldChar w:fldCharType="separate"/>
      </w:r>
      <w:r w:rsidR="00AD57D3">
        <w:t xml:space="preserve">Table </w:t>
      </w:r>
      <w:r w:rsidR="00AD57D3">
        <w:rPr>
          <w:noProof/>
        </w:rPr>
        <w:t>9</w:t>
      </w:r>
      <w:r w:rsidR="003D3943">
        <w:fldChar w:fldCharType="end"/>
      </w:r>
      <w:r>
        <w:t xml:space="preserve"> presents dose relativities for botulinum toxin treatments recommended by the PBAC.</w:t>
      </w:r>
    </w:p>
    <w:p w14:paraId="739EADCD" w14:textId="3CC8183F" w:rsidR="004250FC" w:rsidRDefault="004250FC" w:rsidP="0049200A">
      <w:pPr>
        <w:pStyle w:val="TableFigureHeading"/>
      </w:pPr>
      <w:bookmarkStart w:id="64" w:name="_Ref198638340"/>
      <w:r>
        <w:t xml:space="preserve">Table </w:t>
      </w:r>
      <w:r w:rsidR="00A63BF6">
        <w:fldChar w:fldCharType="begin"/>
      </w:r>
      <w:r w:rsidR="00A63BF6">
        <w:instrText xml:space="preserve"> SEQ Table \* ARABIC </w:instrText>
      </w:r>
      <w:r w:rsidR="00A63BF6">
        <w:fldChar w:fldCharType="separate"/>
      </w:r>
      <w:r w:rsidR="00AD57D3">
        <w:rPr>
          <w:noProof/>
        </w:rPr>
        <w:t>9</w:t>
      </w:r>
      <w:r w:rsidR="00A63BF6">
        <w:rPr>
          <w:noProof/>
        </w:rPr>
        <w:fldChar w:fldCharType="end"/>
      </w:r>
      <w:bookmarkEnd w:id="64"/>
      <w:r>
        <w:t xml:space="preserve">: </w:t>
      </w:r>
      <w:r w:rsidRPr="004161E7">
        <w:t>Equi-effective doses and dose relativities of botulinum toxins for spasticity indication</w:t>
      </w:r>
      <w:r w:rsidR="00CA165C">
        <w:t>s</w:t>
      </w:r>
    </w:p>
    <w:tbl>
      <w:tblPr>
        <w:tblStyle w:val="TableGrid"/>
        <w:tblW w:w="5000" w:type="pct"/>
        <w:tblLook w:val="04A0" w:firstRow="1" w:lastRow="0" w:firstColumn="1" w:lastColumn="0" w:noHBand="0" w:noVBand="1"/>
        <w:tblCaption w:val="Table 9: Equi-effective doses and dose relativities of botulinum toxins for spasticity indications"/>
      </w:tblPr>
      <w:tblGrid>
        <w:gridCol w:w="1413"/>
        <w:gridCol w:w="1066"/>
        <w:gridCol w:w="1767"/>
        <w:gridCol w:w="994"/>
        <w:gridCol w:w="2552"/>
        <w:gridCol w:w="1225"/>
      </w:tblGrid>
      <w:tr w:rsidR="003A6147" w:rsidRPr="00B06942" w14:paraId="2083EBD8" w14:textId="77777777" w:rsidTr="00F75C77">
        <w:trPr>
          <w:tblHeader/>
        </w:trPr>
        <w:tc>
          <w:tcPr>
            <w:tcW w:w="784" w:type="pct"/>
            <w:tcMar>
              <w:left w:w="28" w:type="dxa"/>
              <w:right w:w="28" w:type="dxa"/>
            </w:tcMar>
          </w:tcPr>
          <w:p w14:paraId="7A16CDC7" w14:textId="77777777" w:rsidR="003A6147" w:rsidRPr="00B06942" w:rsidRDefault="003A6147" w:rsidP="0049200A">
            <w:pPr>
              <w:pStyle w:val="In-tableHeading"/>
              <w:jc w:val="center"/>
            </w:pPr>
          </w:p>
        </w:tc>
        <w:tc>
          <w:tcPr>
            <w:tcW w:w="591" w:type="pct"/>
            <w:tcMar>
              <w:left w:w="28" w:type="dxa"/>
              <w:right w:w="28" w:type="dxa"/>
            </w:tcMar>
          </w:tcPr>
          <w:p w14:paraId="57E145CD" w14:textId="77777777" w:rsidR="003A6147" w:rsidRDefault="003A6147" w:rsidP="0049200A">
            <w:pPr>
              <w:pStyle w:val="In-tableHeading"/>
              <w:jc w:val="center"/>
            </w:pPr>
            <w:r>
              <w:t>PBAC meeting</w:t>
            </w:r>
          </w:p>
        </w:tc>
        <w:tc>
          <w:tcPr>
            <w:tcW w:w="980" w:type="pct"/>
            <w:tcMar>
              <w:left w:w="28" w:type="dxa"/>
              <w:right w:w="28" w:type="dxa"/>
            </w:tcMar>
          </w:tcPr>
          <w:p w14:paraId="783FA2B6" w14:textId="77777777" w:rsidR="003A6147" w:rsidRPr="00B06942" w:rsidRDefault="003A6147" w:rsidP="0049200A">
            <w:pPr>
              <w:pStyle w:val="In-tableHeading"/>
              <w:jc w:val="center"/>
            </w:pPr>
            <w:r>
              <w:t>Equi-</w:t>
            </w:r>
            <w:r w:rsidRPr="00B06942">
              <w:t>effe</w:t>
            </w:r>
            <w:r>
              <w:t>c</w:t>
            </w:r>
            <w:r w:rsidRPr="00B06942">
              <w:t>tive dose</w:t>
            </w:r>
            <w:r>
              <w:t>s</w:t>
            </w:r>
          </w:p>
        </w:tc>
        <w:tc>
          <w:tcPr>
            <w:tcW w:w="551" w:type="pct"/>
            <w:tcMar>
              <w:left w:w="28" w:type="dxa"/>
              <w:right w:w="28" w:type="dxa"/>
            </w:tcMar>
          </w:tcPr>
          <w:p w14:paraId="3C5206C5" w14:textId="77777777" w:rsidR="003A6147" w:rsidRPr="00B06942" w:rsidRDefault="003A6147" w:rsidP="0049200A">
            <w:pPr>
              <w:pStyle w:val="In-tableHeading"/>
              <w:jc w:val="center"/>
            </w:pPr>
            <w:r w:rsidRPr="00B06942">
              <w:t>Dose relativities</w:t>
            </w:r>
          </w:p>
        </w:tc>
        <w:tc>
          <w:tcPr>
            <w:tcW w:w="1415" w:type="pct"/>
          </w:tcPr>
          <w:p w14:paraId="31DA87B6" w14:textId="77777777" w:rsidR="003A6147" w:rsidRPr="00B06942" w:rsidRDefault="003A6147" w:rsidP="0049200A">
            <w:pPr>
              <w:pStyle w:val="In-tableHeading"/>
              <w:jc w:val="center"/>
            </w:pPr>
            <w:r>
              <w:t>Medical condition</w:t>
            </w:r>
          </w:p>
        </w:tc>
        <w:tc>
          <w:tcPr>
            <w:tcW w:w="679" w:type="pct"/>
            <w:tcMar>
              <w:left w:w="28" w:type="dxa"/>
              <w:right w:w="28" w:type="dxa"/>
            </w:tcMar>
          </w:tcPr>
          <w:p w14:paraId="27952A49" w14:textId="77777777" w:rsidR="003A6147" w:rsidRPr="00B06942" w:rsidRDefault="003A6147" w:rsidP="0049200A">
            <w:pPr>
              <w:pStyle w:val="In-tableHeading"/>
              <w:jc w:val="center"/>
            </w:pPr>
            <w:r w:rsidRPr="00B06942">
              <w:t>Source</w:t>
            </w:r>
          </w:p>
        </w:tc>
      </w:tr>
      <w:tr w:rsidR="003A6147" w14:paraId="764218DA" w14:textId="77777777" w:rsidTr="00F75C77">
        <w:tc>
          <w:tcPr>
            <w:tcW w:w="784" w:type="pct"/>
            <w:tcMar>
              <w:left w:w="28" w:type="dxa"/>
              <w:right w:w="28" w:type="dxa"/>
            </w:tcMar>
          </w:tcPr>
          <w:p w14:paraId="69F12B9B" w14:textId="2A8AE081" w:rsidR="003A6147" w:rsidRDefault="003A6147" w:rsidP="0049200A">
            <w:pPr>
              <w:pStyle w:val="TableText0"/>
            </w:pPr>
            <w:r w:rsidRPr="00DF26E8">
              <w:t>Botox</w:t>
            </w:r>
            <w:r>
              <w:t xml:space="preserve"> vs </w:t>
            </w:r>
            <w:r w:rsidRPr="00DF26E8">
              <w:t>Dysport</w:t>
            </w:r>
          </w:p>
        </w:tc>
        <w:tc>
          <w:tcPr>
            <w:tcW w:w="591" w:type="pct"/>
            <w:tcMar>
              <w:left w:w="28" w:type="dxa"/>
              <w:right w:w="28" w:type="dxa"/>
            </w:tcMar>
          </w:tcPr>
          <w:p w14:paraId="6422D28A" w14:textId="77777777" w:rsidR="003A6147" w:rsidDel="00A843AD" w:rsidRDefault="003A6147" w:rsidP="0049200A">
            <w:pPr>
              <w:pStyle w:val="TableText0"/>
            </w:pPr>
            <w:r>
              <w:t>July 2008</w:t>
            </w:r>
          </w:p>
        </w:tc>
        <w:tc>
          <w:tcPr>
            <w:tcW w:w="980" w:type="pct"/>
            <w:tcMar>
              <w:left w:w="28" w:type="dxa"/>
              <w:right w:w="28" w:type="dxa"/>
            </w:tcMar>
          </w:tcPr>
          <w:p w14:paraId="26F3F44A" w14:textId="24ABD0F6" w:rsidR="003A6147" w:rsidRDefault="003A6147" w:rsidP="0049200A">
            <w:pPr>
              <w:pStyle w:val="TableText0"/>
            </w:pPr>
            <w:r w:rsidRPr="00DF26E8">
              <w:t>Botox</w:t>
            </w:r>
            <w:r>
              <w:t xml:space="preserve"> </w:t>
            </w:r>
            <w:r w:rsidRPr="00D90647">
              <w:t>229</w:t>
            </w:r>
            <w:r w:rsidR="005A79C7">
              <w:t xml:space="preserve"> </w:t>
            </w:r>
            <w:r w:rsidRPr="00D90647">
              <w:t xml:space="preserve">U per treatment course </w:t>
            </w:r>
            <w:r>
              <w:t>=</w:t>
            </w:r>
            <w:r w:rsidRPr="00D90647">
              <w:t xml:space="preserve"> </w:t>
            </w:r>
            <w:r>
              <w:br/>
            </w:r>
            <w:r w:rsidRPr="00DF26E8">
              <w:t>Dysport</w:t>
            </w:r>
            <w:r w:rsidRPr="00D90647">
              <w:t xml:space="preserve"> 989</w:t>
            </w:r>
            <w:r w:rsidR="005A79C7">
              <w:t xml:space="preserve"> </w:t>
            </w:r>
            <w:r w:rsidRPr="00D90647">
              <w:t>U per treatment course</w:t>
            </w:r>
          </w:p>
        </w:tc>
        <w:tc>
          <w:tcPr>
            <w:tcW w:w="551" w:type="pct"/>
            <w:tcMar>
              <w:left w:w="28" w:type="dxa"/>
              <w:right w:w="28" w:type="dxa"/>
            </w:tcMar>
          </w:tcPr>
          <w:p w14:paraId="77EF93E5" w14:textId="77777777" w:rsidR="003A6147" w:rsidRDefault="003A6147" w:rsidP="0049200A">
            <w:pPr>
              <w:pStyle w:val="TableText0"/>
              <w:jc w:val="center"/>
            </w:pPr>
            <w:r>
              <w:t>1:4.3</w:t>
            </w:r>
          </w:p>
        </w:tc>
        <w:tc>
          <w:tcPr>
            <w:tcW w:w="1415" w:type="pct"/>
          </w:tcPr>
          <w:p w14:paraId="3D09B04D" w14:textId="77777777" w:rsidR="003A6147" w:rsidRPr="00166E90" w:rsidRDefault="003A6147" w:rsidP="0049200A">
            <w:pPr>
              <w:pStyle w:val="TableText0"/>
            </w:pPr>
            <w:r w:rsidRPr="00166E90">
              <w:t>Moderate to severe spasticity of the lower limb in ambulatory adults following a stroke.</w:t>
            </w:r>
          </w:p>
        </w:tc>
        <w:tc>
          <w:tcPr>
            <w:tcW w:w="679" w:type="pct"/>
            <w:tcMar>
              <w:left w:w="28" w:type="dxa"/>
              <w:right w:w="28" w:type="dxa"/>
            </w:tcMar>
          </w:tcPr>
          <w:p w14:paraId="37BD5A68" w14:textId="5142072F" w:rsidR="003A6147" w:rsidRDefault="003A6147" w:rsidP="0049200A">
            <w:pPr>
              <w:pStyle w:val="TableText0"/>
            </w:pPr>
            <w:r w:rsidRPr="00DF26E8">
              <w:t>Botox</w:t>
            </w:r>
            <w:r>
              <w:t xml:space="preserve"> PSD July 2008</w:t>
            </w:r>
          </w:p>
        </w:tc>
      </w:tr>
      <w:tr w:rsidR="003A6147" w14:paraId="24BFA53F" w14:textId="77777777" w:rsidTr="00F75C77">
        <w:tc>
          <w:tcPr>
            <w:tcW w:w="784" w:type="pct"/>
            <w:tcMar>
              <w:left w:w="28" w:type="dxa"/>
              <w:right w:w="28" w:type="dxa"/>
            </w:tcMar>
          </w:tcPr>
          <w:p w14:paraId="60C05190" w14:textId="6E6A3834" w:rsidR="003A6147" w:rsidRDefault="003A6147" w:rsidP="0049200A">
            <w:pPr>
              <w:pStyle w:val="TableText0"/>
            </w:pPr>
            <w:r w:rsidRPr="00DF26E8">
              <w:t>Botox</w:t>
            </w:r>
            <w:r>
              <w:t xml:space="preserve"> vs </w:t>
            </w:r>
            <w:r w:rsidRPr="00DF26E8">
              <w:t>Xeomin</w:t>
            </w:r>
          </w:p>
        </w:tc>
        <w:tc>
          <w:tcPr>
            <w:tcW w:w="591" w:type="pct"/>
            <w:tcMar>
              <w:left w:w="28" w:type="dxa"/>
              <w:right w:w="28" w:type="dxa"/>
            </w:tcMar>
          </w:tcPr>
          <w:p w14:paraId="4D05F095" w14:textId="77777777" w:rsidR="003A6147" w:rsidDel="00A843AD" w:rsidRDefault="003A6147" w:rsidP="0049200A">
            <w:pPr>
              <w:pStyle w:val="TableText0"/>
            </w:pPr>
            <w:r>
              <w:t>July 2014</w:t>
            </w:r>
          </w:p>
        </w:tc>
        <w:tc>
          <w:tcPr>
            <w:tcW w:w="980" w:type="pct"/>
            <w:tcMar>
              <w:left w:w="28" w:type="dxa"/>
              <w:right w:w="28" w:type="dxa"/>
            </w:tcMar>
          </w:tcPr>
          <w:p w14:paraId="77EB53D9" w14:textId="3BF17C03" w:rsidR="003A6147" w:rsidRDefault="003A6147" w:rsidP="0049200A">
            <w:pPr>
              <w:pStyle w:val="TableText0"/>
            </w:pPr>
            <w:r w:rsidRPr="00DF26E8">
              <w:t>Xeomin</w:t>
            </w:r>
            <w:r>
              <w:t xml:space="preserve"> 229</w:t>
            </w:r>
            <w:r w:rsidR="005A79C7">
              <w:t xml:space="preserve"> </w:t>
            </w:r>
            <w:r>
              <w:t xml:space="preserve">U (over </w:t>
            </w:r>
            <w:r w:rsidR="00522E4C">
              <w:t>approx.</w:t>
            </w:r>
            <w:r>
              <w:t xml:space="preserve"> 87 days) = </w:t>
            </w:r>
            <w:r>
              <w:br/>
            </w:r>
            <w:r w:rsidRPr="00DF26E8">
              <w:t>Botox</w:t>
            </w:r>
            <w:r>
              <w:t xml:space="preserve"> 229</w:t>
            </w:r>
            <w:r w:rsidR="005A79C7">
              <w:t xml:space="preserve"> </w:t>
            </w:r>
            <w:r>
              <w:t xml:space="preserve">U (over </w:t>
            </w:r>
            <w:r w:rsidR="00522E4C">
              <w:t>approx.</w:t>
            </w:r>
            <w:r>
              <w:t xml:space="preserve"> 87 days)</w:t>
            </w:r>
          </w:p>
        </w:tc>
        <w:tc>
          <w:tcPr>
            <w:tcW w:w="551" w:type="pct"/>
            <w:tcMar>
              <w:left w:w="28" w:type="dxa"/>
              <w:right w:w="28" w:type="dxa"/>
            </w:tcMar>
          </w:tcPr>
          <w:p w14:paraId="19FCB63A" w14:textId="77777777" w:rsidR="003A6147" w:rsidRDefault="003A6147" w:rsidP="0049200A">
            <w:pPr>
              <w:pStyle w:val="TableText0"/>
              <w:jc w:val="center"/>
            </w:pPr>
            <w:r>
              <w:t>1:1</w:t>
            </w:r>
          </w:p>
        </w:tc>
        <w:tc>
          <w:tcPr>
            <w:tcW w:w="1415" w:type="pct"/>
          </w:tcPr>
          <w:p w14:paraId="0EE7956E" w14:textId="383D50E4" w:rsidR="003A6147" w:rsidRPr="00166E90" w:rsidRDefault="000D39C6" w:rsidP="0049200A">
            <w:pPr>
              <w:pStyle w:val="TableText0"/>
            </w:pPr>
            <w:r>
              <w:t>P</w:t>
            </w:r>
            <w:r w:rsidR="003A6147" w:rsidRPr="00166E90">
              <w:t>ost-stroke upper limb spasticity.</w:t>
            </w:r>
          </w:p>
        </w:tc>
        <w:tc>
          <w:tcPr>
            <w:tcW w:w="679" w:type="pct"/>
            <w:tcMar>
              <w:left w:w="28" w:type="dxa"/>
              <w:right w:w="28" w:type="dxa"/>
            </w:tcMar>
          </w:tcPr>
          <w:p w14:paraId="655C65F0" w14:textId="141F7D0F" w:rsidR="003A6147" w:rsidRDefault="0011787B" w:rsidP="0049200A">
            <w:pPr>
              <w:pStyle w:val="TableText0"/>
            </w:pPr>
            <w:r>
              <w:t>Botox PSD July 2014</w:t>
            </w:r>
          </w:p>
        </w:tc>
      </w:tr>
      <w:tr w:rsidR="003A6147" w14:paraId="680D7AD6" w14:textId="77777777" w:rsidTr="00F75C77">
        <w:tc>
          <w:tcPr>
            <w:tcW w:w="784" w:type="pct"/>
            <w:tcMar>
              <w:left w:w="28" w:type="dxa"/>
              <w:right w:w="28" w:type="dxa"/>
            </w:tcMar>
          </w:tcPr>
          <w:p w14:paraId="67331B6E" w14:textId="355248B1" w:rsidR="003A6147" w:rsidRDefault="003A6147" w:rsidP="0049200A">
            <w:pPr>
              <w:pStyle w:val="TableText0"/>
            </w:pPr>
            <w:r w:rsidRPr="00DF26E8">
              <w:t>Xeomin</w:t>
            </w:r>
            <w:r>
              <w:t xml:space="preserve"> vs </w:t>
            </w:r>
            <w:r w:rsidRPr="00DF26E8">
              <w:t>Dysport</w:t>
            </w:r>
          </w:p>
        </w:tc>
        <w:tc>
          <w:tcPr>
            <w:tcW w:w="591" w:type="pct"/>
            <w:tcMar>
              <w:left w:w="28" w:type="dxa"/>
              <w:right w:w="28" w:type="dxa"/>
            </w:tcMar>
          </w:tcPr>
          <w:p w14:paraId="2EB037FC" w14:textId="77777777" w:rsidR="003A6147" w:rsidRDefault="003A6147" w:rsidP="0049200A">
            <w:pPr>
              <w:pStyle w:val="TableText0"/>
            </w:pPr>
            <w:r>
              <w:t>November 2019</w:t>
            </w:r>
          </w:p>
        </w:tc>
        <w:tc>
          <w:tcPr>
            <w:tcW w:w="980" w:type="pct"/>
            <w:tcMar>
              <w:left w:w="28" w:type="dxa"/>
              <w:right w:w="28" w:type="dxa"/>
            </w:tcMar>
          </w:tcPr>
          <w:p w14:paraId="39607D0A" w14:textId="6323DED7" w:rsidR="003A6147" w:rsidRDefault="003A6147" w:rsidP="0049200A">
            <w:pPr>
              <w:pStyle w:val="TableText0"/>
            </w:pPr>
            <w:r w:rsidRPr="00DF26E8">
              <w:t>Xeomin</w:t>
            </w:r>
            <w:r>
              <w:t xml:space="preserve"> </w:t>
            </w:r>
            <w:r w:rsidR="00002AD7">
              <w:t>400 U</w:t>
            </w:r>
            <w:r>
              <w:t xml:space="preserve"> = </w:t>
            </w:r>
            <w:r w:rsidRPr="00DF26E8">
              <w:t>Dysport</w:t>
            </w:r>
            <w:r>
              <w:t xml:space="preserve"> 1500</w:t>
            </w:r>
            <w:r w:rsidR="005A79C7">
              <w:t xml:space="preserve"> </w:t>
            </w:r>
            <w:r>
              <w:t>U</w:t>
            </w:r>
          </w:p>
        </w:tc>
        <w:tc>
          <w:tcPr>
            <w:tcW w:w="551" w:type="pct"/>
            <w:tcMar>
              <w:left w:w="28" w:type="dxa"/>
              <w:right w:w="28" w:type="dxa"/>
            </w:tcMar>
          </w:tcPr>
          <w:p w14:paraId="45A9AED7" w14:textId="77777777" w:rsidR="003A6147" w:rsidRDefault="003A6147" w:rsidP="0049200A">
            <w:pPr>
              <w:pStyle w:val="TableText0"/>
              <w:jc w:val="center"/>
            </w:pPr>
            <w:r>
              <w:t>1:3.75</w:t>
            </w:r>
          </w:p>
        </w:tc>
        <w:tc>
          <w:tcPr>
            <w:tcW w:w="1415" w:type="pct"/>
          </w:tcPr>
          <w:p w14:paraId="19A54F84" w14:textId="77777777" w:rsidR="003A6147" w:rsidRPr="00166E90" w:rsidRDefault="003A6147" w:rsidP="0049200A">
            <w:pPr>
              <w:pStyle w:val="TableText0"/>
            </w:pPr>
            <w:r w:rsidRPr="00166E90">
              <w:t>Moderate to severe focal spasticity of the upper limb following a stroke to also include spasticity following acute events other than stroke</w:t>
            </w:r>
          </w:p>
        </w:tc>
        <w:tc>
          <w:tcPr>
            <w:tcW w:w="679" w:type="pct"/>
            <w:tcMar>
              <w:left w:w="28" w:type="dxa"/>
              <w:right w:w="28" w:type="dxa"/>
            </w:tcMar>
          </w:tcPr>
          <w:p w14:paraId="75E83385" w14:textId="26BDF070" w:rsidR="003A6147" w:rsidRDefault="003A6147" w:rsidP="0049200A">
            <w:pPr>
              <w:pStyle w:val="TableText0"/>
            </w:pPr>
            <w:r w:rsidRPr="00DF26E8">
              <w:t>Xeomin</w:t>
            </w:r>
            <w:r>
              <w:t xml:space="preserve"> PSD November 2019</w:t>
            </w:r>
          </w:p>
        </w:tc>
      </w:tr>
      <w:tr w:rsidR="003A6147" w:rsidRPr="00450D03" w14:paraId="6151522A" w14:textId="77777777" w:rsidTr="00F75C77">
        <w:tc>
          <w:tcPr>
            <w:tcW w:w="784" w:type="pct"/>
            <w:tcMar>
              <w:left w:w="28" w:type="dxa"/>
              <w:right w:w="28" w:type="dxa"/>
            </w:tcMar>
          </w:tcPr>
          <w:p w14:paraId="682E57F4" w14:textId="1E152317" w:rsidR="003A6147" w:rsidRPr="00450D03" w:rsidRDefault="003A6147" w:rsidP="0049200A">
            <w:pPr>
              <w:pStyle w:val="TableText0"/>
            </w:pPr>
            <w:r w:rsidRPr="00DF26E8">
              <w:t>Botox</w:t>
            </w:r>
            <w:r w:rsidRPr="00450D03">
              <w:t xml:space="preserve"> vs </w:t>
            </w:r>
            <w:r w:rsidRPr="00DF26E8">
              <w:t>Dysport</w:t>
            </w:r>
          </w:p>
        </w:tc>
        <w:tc>
          <w:tcPr>
            <w:tcW w:w="591" w:type="pct"/>
            <w:tcMar>
              <w:left w:w="28" w:type="dxa"/>
              <w:right w:w="28" w:type="dxa"/>
            </w:tcMar>
          </w:tcPr>
          <w:p w14:paraId="54F12147" w14:textId="77777777" w:rsidR="003A6147" w:rsidRPr="00450D03" w:rsidRDefault="003A6147" w:rsidP="0049200A">
            <w:pPr>
              <w:pStyle w:val="TableText0"/>
            </w:pPr>
            <w:r w:rsidRPr="00450D03">
              <w:t>July 2020</w:t>
            </w:r>
          </w:p>
        </w:tc>
        <w:tc>
          <w:tcPr>
            <w:tcW w:w="980" w:type="pct"/>
            <w:tcMar>
              <w:left w:w="28" w:type="dxa"/>
              <w:right w:w="28" w:type="dxa"/>
            </w:tcMar>
          </w:tcPr>
          <w:p w14:paraId="41968160" w14:textId="1FB6D8C3" w:rsidR="003A6147" w:rsidRPr="00450D03" w:rsidRDefault="003A6147" w:rsidP="0049200A">
            <w:pPr>
              <w:pStyle w:val="TableText0"/>
            </w:pPr>
            <w:r w:rsidRPr="00DF26E8">
              <w:t>Botox</w:t>
            </w:r>
            <w:r w:rsidRPr="00450D03">
              <w:t xml:space="preserve"> </w:t>
            </w:r>
            <w:r w:rsidR="00002AD7">
              <w:t>400 U</w:t>
            </w:r>
            <w:r w:rsidRPr="00450D03">
              <w:t xml:space="preserve"> = </w:t>
            </w:r>
            <w:r w:rsidRPr="00DF26E8">
              <w:t>Dysport</w:t>
            </w:r>
            <w:r w:rsidRPr="00450D03">
              <w:t xml:space="preserve"> </w:t>
            </w:r>
            <w:r w:rsidR="00002AD7">
              <w:t>1000 U</w:t>
            </w:r>
          </w:p>
        </w:tc>
        <w:tc>
          <w:tcPr>
            <w:tcW w:w="551" w:type="pct"/>
            <w:tcMar>
              <w:left w:w="28" w:type="dxa"/>
              <w:right w:w="28" w:type="dxa"/>
            </w:tcMar>
          </w:tcPr>
          <w:p w14:paraId="45EE1EE2" w14:textId="77777777" w:rsidR="003A6147" w:rsidRPr="00450D03" w:rsidRDefault="003A6147" w:rsidP="0049200A">
            <w:pPr>
              <w:pStyle w:val="TableText0"/>
              <w:jc w:val="center"/>
            </w:pPr>
            <w:r w:rsidRPr="00450D03">
              <w:t>1:2.5</w:t>
            </w:r>
          </w:p>
        </w:tc>
        <w:tc>
          <w:tcPr>
            <w:tcW w:w="1415" w:type="pct"/>
          </w:tcPr>
          <w:p w14:paraId="5B23AA3A" w14:textId="77777777" w:rsidR="003A6147" w:rsidRPr="00166E90" w:rsidRDefault="003A6147" w:rsidP="0049200A">
            <w:pPr>
              <w:pStyle w:val="TableText0"/>
            </w:pPr>
            <w:r w:rsidRPr="00166E90">
              <w:t>Moderate to severe focal spasticity of the upper limb in patients with cerebral palsy in patients aged 2 years and older.</w:t>
            </w:r>
          </w:p>
        </w:tc>
        <w:tc>
          <w:tcPr>
            <w:tcW w:w="679" w:type="pct"/>
            <w:tcMar>
              <w:left w:w="28" w:type="dxa"/>
              <w:right w:w="28" w:type="dxa"/>
            </w:tcMar>
          </w:tcPr>
          <w:p w14:paraId="02466304" w14:textId="4BF766D2" w:rsidR="003A6147" w:rsidRPr="00450D03" w:rsidRDefault="003A6147" w:rsidP="0049200A">
            <w:pPr>
              <w:pStyle w:val="TableText0"/>
            </w:pPr>
            <w:r w:rsidRPr="00DF26E8">
              <w:t>Dysport</w:t>
            </w:r>
            <w:r w:rsidRPr="00450D03">
              <w:t xml:space="preserve"> PSD July 2020</w:t>
            </w:r>
          </w:p>
        </w:tc>
      </w:tr>
      <w:tr w:rsidR="004A78B3" w:rsidRPr="00450D03" w14:paraId="08DE443E" w14:textId="77777777" w:rsidTr="00F75C77">
        <w:tc>
          <w:tcPr>
            <w:tcW w:w="784" w:type="pct"/>
            <w:tcMar>
              <w:left w:w="28" w:type="dxa"/>
              <w:right w:w="28" w:type="dxa"/>
            </w:tcMar>
          </w:tcPr>
          <w:p w14:paraId="3366491A" w14:textId="0AAAD71F" w:rsidR="005F0B0F" w:rsidRPr="00DF26E8" w:rsidRDefault="006B161B" w:rsidP="0049200A">
            <w:pPr>
              <w:pStyle w:val="TableText0"/>
            </w:pPr>
            <w:r>
              <w:t>Xeomin</w:t>
            </w:r>
            <w:r w:rsidR="005F0B0F" w:rsidRPr="0054204C">
              <w:t xml:space="preserve"> vs </w:t>
            </w:r>
            <w:r>
              <w:t>Botox</w:t>
            </w:r>
          </w:p>
        </w:tc>
        <w:tc>
          <w:tcPr>
            <w:tcW w:w="591" w:type="pct"/>
            <w:tcMar>
              <w:left w:w="28" w:type="dxa"/>
              <w:right w:w="28" w:type="dxa"/>
            </w:tcMar>
          </w:tcPr>
          <w:p w14:paraId="760F3CCA" w14:textId="213E1B1F" w:rsidR="005F0B0F" w:rsidRPr="00450D03" w:rsidRDefault="005F0B0F" w:rsidP="0049200A">
            <w:pPr>
              <w:pStyle w:val="TableText0"/>
            </w:pPr>
            <w:r>
              <w:t>This submission</w:t>
            </w:r>
          </w:p>
        </w:tc>
        <w:tc>
          <w:tcPr>
            <w:tcW w:w="980" w:type="pct"/>
            <w:tcMar>
              <w:left w:w="28" w:type="dxa"/>
              <w:right w:w="28" w:type="dxa"/>
            </w:tcMar>
          </w:tcPr>
          <w:p w14:paraId="419C0320" w14:textId="407E2BB5" w:rsidR="005F0B0F" w:rsidRPr="00DF26E8" w:rsidRDefault="006B161B" w:rsidP="0049200A">
            <w:pPr>
              <w:pStyle w:val="TableText0"/>
            </w:pPr>
            <w:r>
              <w:t>Xeomin</w:t>
            </w:r>
            <w:r w:rsidR="005F0B0F">
              <w:t xml:space="preserve"> </w:t>
            </w:r>
            <w:r w:rsidR="00002AD7">
              <w:t>400 U</w:t>
            </w:r>
            <w:r w:rsidR="005F0B0F">
              <w:t xml:space="preserve"> = </w:t>
            </w:r>
            <w:r>
              <w:t>Botox</w:t>
            </w:r>
            <w:r w:rsidR="005F0B0F" w:rsidRPr="00450D03">
              <w:t xml:space="preserve"> </w:t>
            </w:r>
            <w:r w:rsidR="00002AD7">
              <w:t>400 U</w:t>
            </w:r>
          </w:p>
        </w:tc>
        <w:tc>
          <w:tcPr>
            <w:tcW w:w="551" w:type="pct"/>
            <w:tcMar>
              <w:left w:w="28" w:type="dxa"/>
              <w:right w:w="28" w:type="dxa"/>
            </w:tcMar>
          </w:tcPr>
          <w:p w14:paraId="1930B247" w14:textId="7BC42565" w:rsidR="005F0B0F" w:rsidRPr="00450D03" w:rsidRDefault="005F0B0F" w:rsidP="0049200A">
            <w:pPr>
              <w:pStyle w:val="TableText0"/>
              <w:jc w:val="center"/>
            </w:pPr>
            <w:r>
              <w:t>1:1</w:t>
            </w:r>
          </w:p>
        </w:tc>
        <w:tc>
          <w:tcPr>
            <w:tcW w:w="1415" w:type="pct"/>
            <w:vMerge w:val="restart"/>
          </w:tcPr>
          <w:p w14:paraId="7C34047D" w14:textId="57577914" w:rsidR="005F0B0F" w:rsidRPr="00166E90" w:rsidRDefault="005F0B0F" w:rsidP="0049200A">
            <w:pPr>
              <w:pStyle w:val="TableText0"/>
            </w:pPr>
            <w:r>
              <w:t>M</w:t>
            </w:r>
            <w:r w:rsidRPr="005F0B0F">
              <w:t xml:space="preserve">oderate to severe upper limb spasticity and </w:t>
            </w:r>
            <w:r w:rsidR="003F680D">
              <w:t>d</w:t>
            </w:r>
            <w:r w:rsidR="003F680D" w:rsidRPr="003F680D">
              <w:t>ynamic equinus foot deformity</w:t>
            </w:r>
            <w:r w:rsidR="003F680D">
              <w:t xml:space="preserve"> (l</w:t>
            </w:r>
            <w:r w:rsidRPr="005F0B0F">
              <w:t>ower limb</w:t>
            </w:r>
            <w:r w:rsidR="003F680D">
              <w:t>)</w:t>
            </w:r>
            <w:r w:rsidRPr="005F0B0F">
              <w:t xml:space="preserve"> spasticity in patients with cerebral palsy aged 2 years and older</w:t>
            </w:r>
            <w:r>
              <w:t>.</w:t>
            </w:r>
          </w:p>
        </w:tc>
        <w:tc>
          <w:tcPr>
            <w:tcW w:w="679" w:type="pct"/>
            <w:tcMar>
              <w:left w:w="28" w:type="dxa"/>
              <w:right w:w="28" w:type="dxa"/>
            </w:tcMar>
          </w:tcPr>
          <w:p w14:paraId="729D202D" w14:textId="26F0E13F" w:rsidR="005F0B0F" w:rsidRPr="00DF26E8" w:rsidRDefault="005F0B0F" w:rsidP="0049200A">
            <w:pPr>
              <w:pStyle w:val="TableText0"/>
            </w:pPr>
            <w:r>
              <w:t>Proposed by the submission</w:t>
            </w:r>
          </w:p>
        </w:tc>
      </w:tr>
      <w:tr w:rsidR="004A78B3" w:rsidRPr="00450D03" w14:paraId="67450D5E" w14:textId="77777777" w:rsidTr="00F75C77">
        <w:tc>
          <w:tcPr>
            <w:tcW w:w="784" w:type="pct"/>
            <w:tcMar>
              <w:left w:w="28" w:type="dxa"/>
              <w:right w:w="28" w:type="dxa"/>
            </w:tcMar>
          </w:tcPr>
          <w:p w14:paraId="5BD6B14D" w14:textId="73EA6366" w:rsidR="005F0B0F" w:rsidRPr="00DF26E8" w:rsidRDefault="006B161B" w:rsidP="0049200A">
            <w:pPr>
              <w:pStyle w:val="TableText0"/>
            </w:pPr>
            <w:r>
              <w:t>Xeomin</w:t>
            </w:r>
            <w:r w:rsidR="005F0B0F">
              <w:t xml:space="preserve"> vs </w:t>
            </w:r>
            <w:r>
              <w:t>Dysport</w:t>
            </w:r>
          </w:p>
        </w:tc>
        <w:tc>
          <w:tcPr>
            <w:tcW w:w="591" w:type="pct"/>
            <w:tcMar>
              <w:left w:w="28" w:type="dxa"/>
              <w:right w:w="28" w:type="dxa"/>
            </w:tcMar>
          </w:tcPr>
          <w:p w14:paraId="565CB0F6" w14:textId="6D81526A" w:rsidR="005F0B0F" w:rsidRDefault="005F0B0F" w:rsidP="0049200A">
            <w:pPr>
              <w:pStyle w:val="TableText0"/>
            </w:pPr>
            <w:r>
              <w:t>This submission</w:t>
            </w:r>
          </w:p>
        </w:tc>
        <w:tc>
          <w:tcPr>
            <w:tcW w:w="980" w:type="pct"/>
            <w:tcMar>
              <w:left w:w="28" w:type="dxa"/>
              <w:right w:w="28" w:type="dxa"/>
            </w:tcMar>
          </w:tcPr>
          <w:p w14:paraId="3CFDACFA" w14:textId="419BF948" w:rsidR="005F0B0F" w:rsidRPr="00E636A0" w:rsidRDefault="006B161B" w:rsidP="0049200A">
            <w:pPr>
              <w:pStyle w:val="TableText0"/>
            </w:pPr>
            <w:r w:rsidRPr="00A7105C">
              <w:t>Xeomin</w:t>
            </w:r>
            <w:r w:rsidR="00E85347" w:rsidRPr="00A7105C">
              <w:t xml:space="preserve"> </w:t>
            </w:r>
            <w:r w:rsidR="00002AD7" w:rsidRPr="00A7105C">
              <w:t>400 U</w:t>
            </w:r>
            <w:r w:rsidR="00E85347" w:rsidRPr="00A7105C">
              <w:t xml:space="preserve"> = </w:t>
            </w:r>
            <w:r w:rsidRPr="00A7105C">
              <w:t>Dysport</w:t>
            </w:r>
            <w:r w:rsidR="00E85347" w:rsidRPr="00A7105C">
              <w:t xml:space="preserve"> </w:t>
            </w:r>
            <w:r w:rsidR="00002AD7" w:rsidRPr="00A7105C">
              <w:t>1000 U</w:t>
            </w:r>
            <w:r w:rsidR="00E636A0" w:rsidRPr="00FB0783">
              <w:rPr>
                <w:vertAlign w:val="superscript"/>
              </w:rPr>
              <w:t>a</w:t>
            </w:r>
          </w:p>
        </w:tc>
        <w:tc>
          <w:tcPr>
            <w:tcW w:w="551" w:type="pct"/>
            <w:tcMar>
              <w:left w:w="28" w:type="dxa"/>
              <w:right w:w="28" w:type="dxa"/>
            </w:tcMar>
          </w:tcPr>
          <w:p w14:paraId="6AE1C3F7" w14:textId="6518B886" w:rsidR="005F0B0F" w:rsidRDefault="005F0B0F" w:rsidP="0049200A">
            <w:pPr>
              <w:pStyle w:val="TableText0"/>
              <w:jc w:val="center"/>
            </w:pPr>
            <w:r>
              <w:t>1:2.5</w:t>
            </w:r>
          </w:p>
        </w:tc>
        <w:tc>
          <w:tcPr>
            <w:tcW w:w="1415" w:type="pct"/>
            <w:vMerge/>
          </w:tcPr>
          <w:p w14:paraId="7227D011" w14:textId="221A02C4" w:rsidR="005F0B0F" w:rsidRPr="00166E90" w:rsidRDefault="005F0B0F" w:rsidP="0049200A">
            <w:pPr>
              <w:pStyle w:val="TableText0"/>
            </w:pPr>
          </w:p>
        </w:tc>
        <w:tc>
          <w:tcPr>
            <w:tcW w:w="679" w:type="pct"/>
            <w:tcMar>
              <w:left w:w="28" w:type="dxa"/>
              <w:right w:w="28" w:type="dxa"/>
            </w:tcMar>
          </w:tcPr>
          <w:p w14:paraId="7C660765" w14:textId="5C9B50C5" w:rsidR="005F0B0F" w:rsidRDefault="005F0B0F" w:rsidP="0049200A">
            <w:pPr>
              <w:pStyle w:val="TableText0"/>
            </w:pPr>
            <w:r>
              <w:t>Used in financial estimates</w:t>
            </w:r>
          </w:p>
        </w:tc>
      </w:tr>
    </w:tbl>
    <w:p w14:paraId="7CF173F3" w14:textId="77777777" w:rsidR="00E636A0" w:rsidRDefault="003A6147" w:rsidP="0049200A">
      <w:pPr>
        <w:pStyle w:val="TableFigureFooter"/>
      </w:pPr>
      <w:r>
        <w:t xml:space="preserve">Source: Table 4.2.4, p83 of the submission; Table 3 of </w:t>
      </w:r>
      <w:r w:rsidRPr="00DF26E8">
        <w:t>Xeomin</w:t>
      </w:r>
      <w:r>
        <w:t xml:space="preserve">, PSD, November 2019 PBAC Meeting; paragraph 7.10, </w:t>
      </w:r>
      <w:r w:rsidRPr="00DF26E8">
        <w:t>Dysport</w:t>
      </w:r>
      <w:r>
        <w:t xml:space="preserve">, PSD, </w:t>
      </w:r>
      <w:r w:rsidRPr="00371CCA">
        <w:t>July 2020 PBAC Meeting</w:t>
      </w:r>
      <w:r>
        <w:t>; Paragraph 1, Botox, PSD, July 2008 PBAC Meeting; Paragraph 1.1, Xeomin, PSD, July 2014 PBAC Meeting; Paragraph 1.1, Xeomin, PSD, November 2019 PBAC Meeting; Paragraph 1.1, Dysport, PSD, July 2020 PBAC Meeting.</w:t>
      </w:r>
    </w:p>
    <w:p w14:paraId="33FB3D8A" w14:textId="532B2747" w:rsidR="00895693" w:rsidRPr="00FB0783" w:rsidRDefault="00E636A0" w:rsidP="0049200A">
      <w:pPr>
        <w:pStyle w:val="TableFigureFooter"/>
      </w:pPr>
      <w:r w:rsidRPr="00FB0783">
        <w:rPr>
          <w:vertAlign w:val="superscript"/>
        </w:rPr>
        <w:t>a</w:t>
      </w:r>
      <w:r w:rsidR="000365D0" w:rsidRPr="00FB0783">
        <w:rPr>
          <w:vertAlign w:val="superscript"/>
        </w:rPr>
        <w:t xml:space="preserve"> </w:t>
      </w:r>
      <w:r w:rsidRPr="00FB0783">
        <w:t>Added during the evaluation</w:t>
      </w:r>
      <w:r w:rsidR="001E415A" w:rsidRPr="00FB0783">
        <w:t>.</w:t>
      </w:r>
      <w:r w:rsidRPr="00FB0783">
        <w:t xml:space="preserve"> </w:t>
      </w:r>
    </w:p>
    <w:p w14:paraId="6A9E46F8" w14:textId="1ED2A303" w:rsidR="003A6147" w:rsidRDefault="003A6147" w:rsidP="0049200A">
      <w:pPr>
        <w:pStyle w:val="TableFigureFooter"/>
      </w:pPr>
      <w:r>
        <w:t xml:space="preserve">PBAC = Pharmaceutical Benefits </w:t>
      </w:r>
      <w:r w:rsidR="00895693">
        <w:t xml:space="preserve">Advisory </w:t>
      </w:r>
      <w:r>
        <w:t>Committee; PBS = Pharmaceutical Benefits Scheme; PSD = Public Summary Document.</w:t>
      </w:r>
    </w:p>
    <w:p w14:paraId="4ECF0D80" w14:textId="0C599A4A" w:rsidR="003A6147" w:rsidRPr="002632F1" w:rsidRDefault="003A6147" w:rsidP="0049200A">
      <w:pPr>
        <w:pStyle w:val="3-BodyText"/>
        <w:rPr>
          <w:iCs/>
        </w:rPr>
      </w:pPr>
      <w:r w:rsidRPr="00E65608">
        <w:t xml:space="preserve">The submission stated that </w:t>
      </w:r>
      <w:r w:rsidRPr="00DF26E8">
        <w:t>Xeomin</w:t>
      </w:r>
      <w:r w:rsidRPr="00E65608">
        <w:t xml:space="preserve"> does not require additional resources beyond those used to treat patients with </w:t>
      </w:r>
      <w:r w:rsidRPr="00DF26E8">
        <w:t>Botox</w:t>
      </w:r>
      <w:r w:rsidRPr="00E65608">
        <w:t xml:space="preserve">. </w:t>
      </w:r>
      <w:r w:rsidRPr="002632F1">
        <w:rPr>
          <w:iCs/>
        </w:rPr>
        <w:t xml:space="preserve">This was reasonable. </w:t>
      </w:r>
      <w:r w:rsidR="00AE3EB5">
        <w:rPr>
          <w:iCs/>
        </w:rPr>
        <w:t>At the proposed equi-</w:t>
      </w:r>
      <w:r w:rsidR="00AE3EB5">
        <w:rPr>
          <w:iCs/>
        </w:rPr>
        <w:lastRenderedPageBreak/>
        <w:t>effective doses, t</w:t>
      </w:r>
      <w:r w:rsidRPr="002632F1">
        <w:rPr>
          <w:iCs/>
        </w:rPr>
        <w:t xml:space="preserve">he listing of Xeomin </w:t>
      </w:r>
      <w:r w:rsidR="003D68F7" w:rsidRPr="002632F1">
        <w:rPr>
          <w:iCs/>
        </w:rPr>
        <w:t xml:space="preserve">is </w:t>
      </w:r>
      <w:r w:rsidRPr="002632F1">
        <w:rPr>
          <w:iCs/>
        </w:rPr>
        <w:t xml:space="preserve">unlikely to have a financial impact on the PBS and MBS due to cost offsets from </w:t>
      </w:r>
      <w:r w:rsidR="00691F91" w:rsidRPr="002632F1">
        <w:rPr>
          <w:iCs/>
        </w:rPr>
        <w:t>an</w:t>
      </w:r>
      <w:r w:rsidRPr="002632F1">
        <w:rPr>
          <w:iCs/>
        </w:rPr>
        <w:t xml:space="preserve"> equivalent decrease in the number of items processed for Botox</w:t>
      </w:r>
      <w:r w:rsidRPr="00C3142B">
        <w:t xml:space="preserve">. </w:t>
      </w:r>
      <w:r w:rsidR="00D3363E" w:rsidRPr="002632F1">
        <w:rPr>
          <w:iCs/>
        </w:rPr>
        <w:t xml:space="preserve">The PBAC previously recommended listing Xeomin for cervical dystonia, blepharospasm, and post-stroke upper limb spasticity based on cost-minimisation analyses compared to Botox, requiring no additional resources beyond those used for Botox treatment (para. 6.36, Xeomin, PSD, July 2014 </w:t>
      </w:r>
      <w:r w:rsidR="003770E7" w:rsidRPr="002632F1">
        <w:rPr>
          <w:iCs/>
        </w:rPr>
        <w:t xml:space="preserve">PBAC </w:t>
      </w:r>
      <w:r w:rsidR="00D3363E" w:rsidRPr="002632F1">
        <w:rPr>
          <w:iCs/>
        </w:rPr>
        <w:t>Meeting).</w:t>
      </w:r>
    </w:p>
    <w:p w14:paraId="7845D737" w14:textId="7E471447" w:rsidR="003A6147" w:rsidRDefault="003A6147" w:rsidP="0049200A">
      <w:pPr>
        <w:pStyle w:val="3-BodyText"/>
      </w:pPr>
      <w:r w:rsidRPr="00C3142B">
        <w:t xml:space="preserve">The submission stated that there are no differences in the costs of monitoring or managing adverse events associated with the therapies. </w:t>
      </w:r>
      <w:r w:rsidR="00942E5B" w:rsidRPr="002632F1">
        <w:rPr>
          <w:iCs/>
        </w:rPr>
        <w:t xml:space="preserve">Without robust comparative safety evidence, it is uncertain whether differences </w:t>
      </w:r>
      <w:r w:rsidR="00BE4035" w:rsidRPr="002632F1">
        <w:rPr>
          <w:iCs/>
        </w:rPr>
        <w:t>between Xeomin and the comparator therapies (Botox or Dysport) in terms of</w:t>
      </w:r>
      <w:r w:rsidR="00942E5B" w:rsidRPr="002632F1">
        <w:rPr>
          <w:iCs/>
        </w:rPr>
        <w:t xml:space="preserve"> adverse event profiles could lead to meaningful differences in costs associated with </w:t>
      </w:r>
      <w:r w:rsidR="00BE4035" w:rsidRPr="002632F1">
        <w:rPr>
          <w:iCs/>
        </w:rPr>
        <w:t>managing or monitoring adverse events</w:t>
      </w:r>
      <w:r w:rsidR="00942E5B" w:rsidRPr="002632F1">
        <w:rPr>
          <w:iCs/>
        </w:rPr>
        <w:t>.</w:t>
      </w:r>
    </w:p>
    <w:p w14:paraId="2A5E5284" w14:textId="77D3B5A7" w:rsidR="003A6147" w:rsidRPr="002632F1" w:rsidRDefault="003D3943" w:rsidP="0049200A">
      <w:pPr>
        <w:pStyle w:val="3-BodyText"/>
        <w:rPr>
          <w:iCs/>
        </w:rPr>
      </w:pPr>
      <w:r>
        <w:fldChar w:fldCharType="begin"/>
      </w:r>
      <w:r>
        <w:instrText xml:space="preserve"> REF _Ref198638354 \h </w:instrText>
      </w:r>
      <w:r>
        <w:fldChar w:fldCharType="separate"/>
      </w:r>
      <w:r w:rsidR="00AD57D3">
        <w:t xml:space="preserve">Table </w:t>
      </w:r>
      <w:r w:rsidR="00AD57D3">
        <w:rPr>
          <w:noProof/>
        </w:rPr>
        <w:t>10</w:t>
      </w:r>
      <w:r>
        <w:fldChar w:fldCharType="end"/>
      </w:r>
      <w:r w:rsidR="003A6147" w:rsidRPr="00C70261">
        <w:t xml:space="preserve"> presents the results of the cost-minimisation approach</w:t>
      </w:r>
      <w:r w:rsidR="003A6147">
        <w:t xml:space="preserve"> (CMA)</w:t>
      </w:r>
      <w:r w:rsidR="003A6147" w:rsidRPr="00C70261">
        <w:t xml:space="preserve">. </w:t>
      </w:r>
      <w:bookmarkStart w:id="65" w:name="_Ref193709305"/>
      <w:r w:rsidR="003A6147" w:rsidRPr="00C70261">
        <w:t xml:space="preserve">The submission stated that using the maximum dispensed quantity for </w:t>
      </w:r>
      <w:r w:rsidR="003A6147">
        <w:t>Xeomin and Dysport</w:t>
      </w:r>
      <w:r w:rsidR="003A6147" w:rsidRPr="00C70261">
        <w:t xml:space="preserve"> therapies, </w:t>
      </w:r>
      <w:r w:rsidR="000C57D3">
        <w:t>three</w:t>
      </w:r>
      <w:r w:rsidR="000C57D3" w:rsidRPr="00C70261">
        <w:t xml:space="preserve"> </w:t>
      </w:r>
      <w:r w:rsidR="003A6147" w:rsidRPr="00C70261">
        <w:t xml:space="preserve">packs were required per year per patient, and the PBS pricing proposed for Xeomin for these requested indications was equivalent to the cost of Botox treatment and would not affect the prices of the currently listed Xeomin items. Accordingly, the submission conducted </w:t>
      </w:r>
      <w:r w:rsidR="001E14D9">
        <w:t xml:space="preserve">the </w:t>
      </w:r>
      <w:r w:rsidR="003A6147">
        <w:t>CMA</w:t>
      </w:r>
      <w:r w:rsidR="003A6147" w:rsidRPr="00C70261">
        <w:t xml:space="preserve"> using</w:t>
      </w:r>
      <w:r w:rsidR="00C6378A">
        <w:t xml:space="preserve"> the</w:t>
      </w:r>
      <w:r w:rsidR="003A6147" w:rsidRPr="00C70261">
        <w:t xml:space="preserve"> published DPMQ</w:t>
      </w:r>
      <w:r w:rsidR="003A6147">
        <w:t xml:space="preserve"> for Botox</w:t>
      </w:r>
      <w:r w:rsidR="003A6147" w:rsidRPr="00C70261">
        <w:t xml:space="preserve"> (i.e. $1,098.67).</w:t>
      </w:r>
      <w:r w:rsidR="003A6147" w:rsidRPr="002632F1">
        <w:rPr>
          <w:iCs/>
        </w:rPr>
        <w:t xml:space="preserve"> The CMA was conducted using AEMPs during the evaluation.</w:t>
      </w:r>
    </w:p>
    <w:p w14:paraId="720EEA47" w14:textId="279B97AF" w:rsidR="00A63BF6" w:rsidRDefault="00A63BF6" w:rsidP="0049200A">
      <w:pPr>
        <w:pStyle w:val="TableFigureHeading"/>
        <w:keepLines/>
      </w:pPr>
      <w:bookmarkStart w:id="66" w:name="_Ref198638354"/>
      <w:bookmarkStart w:id="67" w:name="_Hlk195256080"/>
      <w:bookmarkEnd w:id="65"/>
      <w:r>
        <w:lastRenderedPageBreak/>
        <w:t xml:space="preserve">Table </w:t>
      </w:r>
      <w:r>
        <w:fldChar w:fldCharType="begin"/>
      </w:r>
      <w:r>
        <w:instrText xml:space="preserve"> SEQ Table \* ARABIC </w:instrText>
      </w:r>
      <w:r>
        <w:fldChar w:fldCharType="separate"/>
      </w:r>
      <w:r w:rsidR="00AD57D3">
        <w:rPr>
          <w:noProof/>
        </w:rPr>
        <w:t>10</w:t>
      </w:r>
      <w:r>
        <w:rPr>
          <w:noProof/>
        </w:rPr>
        <w:fldChar w:fldCharType="end"/>
      </w:r>
      <w:bookmarkEnd w:id="66"/>
      <w:r>
        <w:t xml:space="preserve">: </w:t>
      </w:r>
      <w:r w:rsidRPr="009C2189">
        <w:t>Results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Caption w:val="Table 10: Results of the cost-minimisation approach"/>
      </w:tblPr>
      <w:tblGrid>
        <w:gridCol w:w="2098"/>
        <w:gridCol w:w="1555"/>
        <w:gridCol w:w="2009"/>
        <w:gridCol w:w="1497"/>
        <w:gridCol w:w="1858"/>
      </w:tblGrid>
      <w:tr w:rsidR="003A6147" w:rsidRPr="000D7D76" w14:paraId="7AAB1026" w14:textId="77777777" w:rsidTr="00942E3A">
        <w:trPr>
          <w:trHeight w:val="227"/>
          <w:tblHeader/>
        </w:trPr>
        <w:tc>
          <w:tcPr>
            <w:tcW w:w="1163" w:type="pct"/>
            <w:vAlign w:val="center"/>
            <w:hideMark/>
          </w:tcPr>
          <w:p w14:paraId="605C353F" w14:textId="77777777" w:rsidR="003A6147" w:rsidRPr="0047263B" w:rsidRDefault="003A6147" w:rsidP="0049200A">
            <w:pPr>
              <w:pStyle w:val="In-tableHeading"/>
              <w:jc w:val="center"/>
            </w:pPr>
            <w:r w:rsidRPr="0047263B">
              <w:t>Component</w:t>
            </w:r>
          </w:p>
        </w:tc>
        <w:tc>
          <w:tcPr>
            <w:tcW w:w="862" w:type="pct"/>
            <w:vAlign w:val="center"/>
            <w:hideMark/>
          </w:tcPr>
          <w:p w14:paraId="4C73A367" w14:textId="7D89DE20" w:rsidR="003A6147" w:rsidRPr="0047263B" w:rsidRDefault="003A6147" w:rsidP="0049200A">
            <w:pPr>
              <w:pStyle w:val="In-tableHeading"/>
              <w:jc w:val="center"/>
            </w:pPr>
            <w:r w:rsidRPr="00DF26E8">
              <w:t>Xeomin</w:t>
            </w:r>
          </w:p>
        </w:tc>
        <w:tc>
          <w:tcPr>
            <w:tcW w:w="1114" w:type="pct"/>
            <w:vAlign w:val="center"/>
            <w:hideMark/>
          </w:tcPr>
          <w:p w14:paraId="0B508761" w14:textId="3312166E" w:rsidR="003A6147" w:rsidRPr="0047263B" w:rsidRDefault="003A6147" w:rsidP="0049200A">
            <w:pPr>
              <w:pStyle w:val="In-tableHeading"/>
              <w:jc w:val="center"/>
            </w:pPr>
            <w:r w:rsidRPr="00DF26E8">
              <w:t>Botox</w:t>
            </w:r>
          </w:p>
        </w:tc>
        <w:tc>
          <w:tcPr>
            <w:tcW w:w="830" w:type="pct"/>
            <w:vAlign w:val="center"/>
            <w:hideMark/>
          </w:tcPr>
          <w:p w14:paraId="2B66495D" w14:textId="11F68D83" w:rsidR="003A6147" w:rsidRPr="00FB0783" w:rsidRDefault="003A6147" w:rsidP="0049200A">
            <w:pPr>
              <w:pStyle w:val="In-tableHeading"/>
              <w:jc w:val="center"/>
              <w:rPr>
                <w:vertAlign w:val="superscript"/>
              </w:rPr>
            </w:pPr>
            <w:r w:rsidRPr="00FB0783">
              <w:t xml:space="preserve">Dysport </w:t>
            </w:r>
            <w:r w:rsidR="00002AD7" w:rsidRPr="00FB0783">
              <w:t>300 U</w:t>
            </w:r>
            <w:r w:rsidR="00E2083C" w:rsidRPr="00FB0783">
              <w:rPr>
                <w:vertAlign w:val="superscript"/>
              </w:rPr>
              <w:t>d</w:t>
            </w:r>
          </w:p>
        </w:tc>
        <w:tc>
          <w:tcPr>
            <w:tcW w:w="1030" w:type="pct"/>
            <w:vAlign w:val="center"/>
            <w:hideMark/>
          </w:tcPr>
          <w:p w14:paraId="0E19464F" w14:textId="0F98C97D" w:rsidR="003A6147" w:rsidRPr="00FB0783" w:rsidRDefault="003A6147" w:rsidP="0049200A">
            <w:pPr>
              <w:pStyle w:val="In-tableHeading"/>
              <w:jc w:val="center"/>
              <w:rPr>
                <w:vertAlign w:val="superscript"/>
              </w:rPr>
            </w:pPr>
            <w:r w:rsidRPr="00FB0783">
              <w:t xml:space="preserve">Dysport </w:t>
            </w:r>
            <w:r w:rsidR="00002AD7" w:rsidRPr="00FB0783">
              <w:t>500 U</w:t>
            </w:r>
            <w:r w:rsidR="00E2083C" w:rsidRPr="00FB0783">
              <w:rPr>
                <w:vertAlign w:val="superscript"/>
              </w:rPr>
              <w:t>d</w:t>
            </w:r>
          </w:p>
        </w:tc>
      </w:tr>
      <w:tr w:rsidR="003A6147" w:rsidRPr="000D7D76" w14:paraId="42BCB4CE" w14:textId="77777777" w:rsidTr="00942E3A">
        <w:trPr>
          <w:trHeight w:val="227"/>
        </w:trPr>
        <w:tc>
          <w:tcPr>
            <w:tcW w:w="1163" w:type="pct"/>
            <w:vAlign w:val="center"/>
            <w:hideMark/>
          </w:tcPr>
          <w:p w14:paraId="0F977EA3" w14:textId="77777777" w:rsidR="003A6147" w:rsidRPr="0047263B" w:rsidRDefault="003A6147" w:rsidP="0049200A">
            <w:pPr>
              <w:pStyle w:val="TableText0"/>
            </w:pPr>
            <w:r w:rsidRPr="0047263B">
              <w:t>PBS items</w:t>
            </w:r>
          </w:p>
        </w:tc>
        <w:tc>
          <w:tcPr>
            <w:tcW w:w="862" w:type="pct"/>
            <w:vAlign w:val="center"/>
            <w:hideMark/>
          </w:tcPr>
          <w:p w14:paraId="41E1FE5E" w14:textId="77777777" w:rsidR="003A6147" w:rsidRPr="0047263B" w:rsidRDefault="003A6147" w:rsidP="0049200A">
            <w:pPr>
              <w:pStyle w:val="TableText0"/>
              <w:jc w:val="center"/>
            </w:pPr>
            <w:r w:rsidRPr="0047263B">
              <w:t>–</w:t>
            </w:r>
          </w:p>
        </w:tc>
        <w:tc>
          <w:tcPr>
            <w:tcW w:w="1114" w:type="pct"/>
            <w:vAlign w:val="center"/>
            <w:hideMark/>
          </w:tcPr>
          <w:p w14:paraId="15E83D1C" w14:textId="77777777" w:rsidR="003A6147" w:rsidRPr="0047263B" w:rsidRDefault="003A6147" w:rsidP="0049200A">
            <w:pPr>
              <w:pStyle w:val="TableText0"/>
              <w:jc w:val="center"/>
            </w:pPr>
            <w:r w:rsidRPr="0047263B">
              <w:t>10998W, 10999X</w:t>
            </w:r>
          </w:p>
        </w:tc>
        <w:tc>
          <w:tcPr>
            <w:tcW w:w="830" w:type="pct"/>
            <w:vAlign w:val="center"/>
            <w:hideMark/>
          </w:tcPr>
          <w:p w14:paraId="097D104D" w14:textId="77777777" w:rsidR="003A6147" w:rsidRPr="00836AFD" w:rsidRDefault="003A6147" w:rsidP="0049200A">
            <w:pPr>
              <w:pStyle w:val="TableText0"/>
              <w:jc w:val="center"/>
            </w:pPr>
            <w:r w:rsidRPr="00836AFD">
              <w:t>10981Y, 12214W</w:t>
            </w:r>
          </w:p>
        </w:tc>
        <w:tc>
          <w:tcPr>
            <w:tcW w:w="1030" w:type="pct"/>
            <w:vAlign w:val="center"/>
            <w:hideMark/>
          </w:tcPr>
          <w:p w14:paraId="1DE70522" w14:textId="77777777" w:rsidR="003A6147" w:rsidRPr="00836AFD" w:rsidRDefault="003A6147" w:rsidP="0049200A">
            <w:pPr>
              <w:pStyle w:val="TableText0"/>
              <w:jc w:val="center"/>
            </w:pPr>
            <w:r w:rsidRPr="00836AFD">
              <w:t>11006G, 12178Y</w:t>
            </w:r>
          </w:p>
        </w:tc>
      </w:tr>
      <w:tr w:rsidR="003A6147" w:rsidRPr="000D7D76" w14:paraId="33BECA60" w14:textId="77777777" w:rsidTr="00942E3A">
        <w:trPr>
          <w:trHeight w:val="227"/>
        </w:trPr>
        <w:tc>
          <w:tcPr>
            <w:tcW w:w="1163" w:type="pct"/>
            <w:vAlign w:val="center"/>
            <w:hideMark/>
          </w:tcPr>
          <w:p w14:paraId="5C71194D" w14:textId="23FFBD8D" w:rsidR="003A6147" w:rsidRPr="0047263B" w:rsidRDefault="003A6147" w:rsidP="0049200A">
            <w:pPr>
              <w:pStyle w:val="TableText0"/>
            </w:pPr>
            <w:r w:rsidRPr="0047263B">
              <w:t xml:space="preserve">Units </w:t>
            </w:r>
            <w:r w:rsidR="00821BA9">
              <w:t>per vial</w:t>
            </w:r>
          </w:p>
        </w:tc>
        <w:tc>
          <w:tcPr>
            <w:tcW w:w="862" w:type="pct"/>
            <w:vAlign w:val="center"/>
            <w:hideMark/>
          </w:tcPr>
          <w:p w14:paraId="79E49056" w14:textId="15545EE3" w:rsidR="003A6147" w:rsidRPr="0047263B" w:rsidRDefault="00002AD7" w:rsidP="0049200A">
            <w:pPr>
              <w:pStyle w:val="TableText0"/>
              <w:jc w:val="center"/>
            </w:pPr>
            <w:r>
              <w:t>100 U</w:t>
            </w:r>
          </w:p>
        </w:tc>
        <w:tc>
          <w:tcPr>
            <w:tcW w:w="1114" w:type="pct"/>
            <w:vAlign w:val="center"/>
            <w:hideMark/>
          </w:tcPr>
          <w:p w14:paraId="50822CA0" w14:textId="14A0FC1B" w:rsidR="003A6147" w:rsidRPr="0047263B" w:rsidRDefault="00002AD7" w:rsidP="0049200A">
            <w:pPr>
              <w:pStyle w:val="TableText0"/>
              <w:jc w:val="center"/>
            </w:pPr>
            <w:r>
              <w:t>100 U</w:t>
            </w:r>
          </w:p>
        </w:tc>
        <w:tc>
          <w:tcPr>
            <w:tcW w:w="830" w:type="pct"/>
            <w:vAlign w:val="center"/>
            <w:hideMark/>
          </w:tcPr>
          <w:p w14:paraId="2CF6D9DB" w14:textId="0BE54E39" w:rsidR="003A6147" w:rsidRPr="00836AFD" w:rsidRDefault="00002AD7" w:rsidP="0049200A">
            <w:pPr>
              <w:pStyle w:val="TableText0"/>
              <w:jc w:val="center"/>
            </w:pPr>
            <w:r w:rsidRPr="00836AFD">
              <w:t>300 U</w:t>
            </w:r>
          </w:p>
        </w:tc>
        <w:tc>
          <w:tcPr>
            <w:tcW w:w="1030" w:type="pct"/>
            <w:vAlign w:val="center"/>
            <w:hideMark/>
          </w:tcPr>
          <w:p w14:paraId="15107756" w14:textId="2E6FD956" w:rsidR="003A6147" w:rsidRPr="00836AFD" w:rsidRDefault="00002AD7" w:rsidP="0049200A">
            <w:pPr>
              <w:pStyle w:val="TableText0"/>
              <w:jc w:val="center"/>
            </w:pPr>
            <w:r w:rsidRPr="00836AFD">
              <w:t>500 U</w:t>
            </w:r>
          </w:p>
        </w:tc>
      </w:tr>
      <w:tr w:rsidR="00B4635D" w:rsidRPr="000D7D76" w14:paraId="0A15F3E0" w14:textId="77777777" w:rsidTr="00942E3A">
        <w:trPr>
          <w:trHeight w:val="227"/>
        </w:trPr>
        <w:tc>
          <w:tcPr>
            <w:tcW w:w="1163" w:type="pct"/>
            <w:vAlign w:val="center"/>
          </w:tcPr>
          <w:p w14:paraId="38919303" w14:textId="5D514032" w:rsidR="00942E3A" w:rsidRPr="00917890" w:rsidRDefault="00942E3A" w:rsidP="0049200A">
            <w:pPr>
              <w:pStyle w:val="TableText0"/>
              <w:rPr>
                <w:i/>
                <w:iCs/>
                <w:vertAlign w:val="superscript"/>
              </w:rPr>
            </w:pPr>
            <w:r w:rsidRPr="00836AFD">
              <w:t xml:space="preserve">Equi-effective dose vs </w:t>
            </w:r>
            <w:r w:rsidR="006B161B" w:rsidRPr="00836AFD">
              <w:t>Xeomin</w:t>
            </w:r>
            <w:r w:rsidR="00917890" w:rsidRPr="00200A61">
              <w:rPr>
                <w:vertAlign w:val="superscript"/>
              </w:rPr>
              <w:t>d</w:t>
            </w:r>
          </w:p>
        </w:tc>
        <w:tc>
          <w:tcPr>
            <w:tcW w:w="862" w:type="pct"/>
            <w:vAlign w:val="center"/>
          </w:tcPr>
          <w:p w14:paraId="43C1A458" w14:textId="77777777" w:rsidR="00942E3A" w:rsidRDefault="00942E3A" w:rsidP="0049200A">
            <w:pPr>
              <w:pStyle w:val="TableText0"/>
              <w:jc w:val="center"/>
              <w:rPr>
                <w:i/>
                <w:iCs/>
              </w:rPr>
            </w:pPr>
            <w:r>
              <w:rPr>
                <w:i/>
                <w:iCs/>
              </w:rPr>
              <w:t>-</w:t>
            </w:r>
          </w:p>
        </w:tc>
        <w:tc>
          <w:tcPr>
            <w:tcW w:w="1114" w:type="pct"/>
            <w:vAlign w:val="center"/>
          </w:tcPr>
          <w:p w14:paraId="76CA9E08" w14:textId="77777777" w:rsidR="00942E3A" w:rsidRPr="00836AFD" w:rsidRDefault="00942E3A" w:rsidP="0049200A">
            <w:pPr>
              <w:pStyle w:val="TableText0"/>
              <w:jc w:val="center"/>
            </w:pPr>
            <w:r w:rsidRPr="00836AFD">
              <w:t>1:1</w:t>
            </w:r>
          </w:p>
        </w:tc>
        <w:tc>
          <w:tcPr>
            <w:tcW w:w="830" w:type="pct"/>
            <w:vAlign w:val="center"/>
          </w:tcPr>
          <w:p w14:paraId="561D7F7B" w14:textId="3BA52429" w:rsidR="00942E3A" w:rsidRPr="00836AFD" w:rsidRDefault="00942E3A" w:rsidP="0049200A">
            <w:pPr>
              <w:pStyle w:val="TableText0"/>
              <w:jc w:val="center"/>
            </w:pPr>
            <w:r w:rsidRPr="00836AFD">
              <w:t>1:2.5</w:t>
            </w:r>
          </w:p>
        </w:tc>
        <w:tc>
          <w:tcPr>
            <w:tcW w:w="1030" w:type="pct"/>
            <w:vAlign w:val="center"/>
          </w:tcPr>
          <w:p w14:paraId="44B08526" w14:textId="77777777" w:rsidR="00942E3A" w:rsidRPr="00836AFD" w:rsidRDefault="00942E3A" w:rsidP="0049200A">
            <w:pPr>
              <w:pStyle w:val="TableText0"/>
              <w:jc w:val="center"/>
            </w:pPr>
            <w:r w:rsidRPr="00836AFD">
              <w:t>1:2.5</w:t>
            </w:r>
          </w:p>
        </w:tc>
      </w:tr>
      <w:tr w:rsidR="00B4635D" w:rsidRPr="000D7D76" w14:paraId="75506E92" w14:textId="77777777" w:rsidTr="00942E3A">
        <w:trPr>
          <w:trHeight w:val="227"/>
        </w:trPr>
        <w:tc>
          <w:tcPr>
            <w:tcW w:w="1163" w:type="pct"/>
            <w:vAlign w:val="center"/>
          </w:tcPr>
          <w:p w14:paraId="0B04629D" w14:textId="581FC674" w:rsidR="00C5156E" w:rsidRPr="00871484" w:rsidRDefault="00C5156E" w:rsidP="0049200A">
            <w:pPr>
              <w:pStyle w:val="TableText0"/>
              <w:rPr>
                <w:i/>
                <w:iCs/>
              </w:rPr>
            </w:pPr>
            <w:r w:rsidRPr="00B122CD">
              <w:t>Total dose</w:t>
            </w:r>
            <w:r w:rsidR="00AC544E" w:rsidRPr="00B122CD">
              <w:t xml:space="preserve"> per cycle</w:t>
            </w:r>
            <w:r w:rsidR="00140E32" w:rsidRPr="00200A61">
              <w:rPr>
                <w:vertAlign w:val="superscript"/>
              </w:rPr>
              <w:t>a</w:t>
            </w:r>
            <w:r w:rsidR="000D023D" w:rsidRPr="00200A61">
              <w:rPr>
                <w:vertAlign w:val="superscript"/>
              </w:rPr>
              <w:t>,d</w:t>
            </w:r>
          </w:p>
        </w:tc>
        <w:tc>
          <w:tcPr>
            <w:tcW w:w="862" w:type="pct"/>
            <w:vAlign w:val="center"/>
          </w:tcPr>
          <w:p w14:paraId="4247D8DB" w14:textId="7AC906A2" w:rsidR="00C5156E" w:rsidRPr="001340C4" w:rsidRDefault="00002AD7" w:rsidP="0049200A">
            <w:pPr>
              <w:pStyle w:val="TableText0"/>
              <w:jc w:val="center"/>
              <w:rPr>
                <w:vertAlign w:val="superscript"/>
              </w:rPr>
            </w:pPr>
            <w:r w:rsidRPr="001340C4">
              <w:t>400 U</w:t>
            </w:r>
          </w:p>
        </w:tc>
        <w:tc>
          <w:tcPr>
            <w:tcW w:w="1114" w:type="pct"/>
            <w:vAlign w:val="center"/>
          </w:tcPr>
          <w:p w14:paraId="59572FC2" w14:textId="0D107189" w:rsidR="00C5156E" w:rsidRPr="001340C4" w:rsidRDefault="00002AD7" w:rsidP="0049200A">
            <w:pPr>
              <w:pStyle w:val="TableText0"/>
              <w:jc w:val="center"/>
              <w:rPr>
                <w:vertAlign w:val="superscript"/>
              </w:rPr>
            </w:pPr>
            <w:r w:rsidRPr="001340C4">
              <w:t>400 U</w:t>
            </w:r>
          </w:p>
        </w:tc>
        <w:tc>
          <w:tcPr>
            <w:tcW w:w="830" w:type="pct"/>
            <w:vAlign w:val="center"/>
          </w:tcPr>
          <w:p w14:paraId="00D01C64" w14:textId="7E30462D" w:rsidR="00C5156E" w:rsidRPr="00836AFD" w:rsidRDefault="00002AD7" w:rsidP="0049200A">
            <w:pPr>
              <w:pStyle w:val="TableText0"/>
              <w:jc w:val="center"/>
            </w:pPr>
            <w:r w:rsidRPr="00836AFD">
              <w:t>1000 U</w:t>
            </w:r>
          </w:p>
        </w:tc>
        <w:tc>
          <w:tcPr>
            <w:tcW w:w="1030" w:type="pct"/>
            <w:vAlign w:val="center"/>
          </w:tcPr>
          <w:p w14:paraId="4ADDE5EB" w14:textId="4E3FAFC3" w:rsidR="00C5156E" w:rsidRPr="00836AFD" w:rsidRDefault="00002AD7" w:rsidP="0049200A">
            <w:pPr>
              <w:pStyle w:val="TableText0"/>
              <w:jc w:val="center"/>
            </w:pPr>
            <w:r w:rsidRPr="00836AFD">
              <w:t>1000 U</w:t>
            </w:r>
          </w:p>
        </w:tc>
      </w:tr>
      <w:tr w:rsidR="00B4635D" w:rsidRPr="000D7D76" w14:paraId="70B7E4B0" w14:textId="77777777" w:rsidTr="00942E3A">
        <w:trPr>
          <w:trHeight w:val="227"/>
        </w:trPr>
        <w:tc>
          <w:tcPr>
            <w:tcW w:w="1163" w:type="pct"/>
            <w:vAlign w:val="center"/>
          </w:tcPr>
          <w:p w14:paraId="089247EA" w14:textId="72F801BA" w:rsidR="00821BA9" w:rsidRDefault="00821BA9" w:rsidP="0049200A">
            <w:pPr>
              <w:pStyle w:val="TableText0"/>
              <w:rPr>
                <w:i/>
                <w:iCs/>
              </w:rPr>
            </w:pPr>
            <w:r w:rsidRPr="00B122CD">
              <w:t>Number of vials</w:t>
            </w:r>
            <w:r w:rsidR="00B97779" w:rsidRPr="00B122CD">
              <w:t xml:space="preserve"> per cycle</w:t>
            </w:r>
            <w:r w:rsidR="00140E32" w:rsidRPr="00200A61">
              <w:rPr>
                <w:vertAlign w:val="superscript"/>
              </w:rPr>
              <w:t>b</w:t>
            </w:r>
            <w:r w:rsidR="000D023D" w:rsidRPr="00200A61">
              <w:rPr>
                <w:vertAlign w:val="superscript"/>
              </w:rPr>
              <w:t>,d</w:t>
            </w:r>
          </w:p>
        </w:tc>
        <w:tc>
          <w:tcPr>
            <w:tcW w:w="862" w:type="pct"/>
            <w:vAlign w:val="center"/>
          </w:tcPr>
          <w:p w14:paraId="6EDD8A63" w14:textId="57EDE2F5" w:rsidR="00821BA9" w:rsidRPr="001340C4" w:rsidRDefault="00821BA9" w:rsidP="0049200A">
            <w:pPr>
              <w:pStyle w:val="TableText0"/>
              <w:jc w:val="center"/>
              <w:rPr>
                <w:vertAlign w:val="superscript"/>
              </w:rPr>
            </w:pPr>
            <w:r w:rsidRPr="001340C4">
              <w:t>4</w:t>
            </w:r>
          </w:p>
        </w:tc>
        <w:tc>
          <w:tcPr>
            <w:tcW w:w="1114" w:type="pct"/>
            <w:vAlign w:val="center"/>
          </w:tcPr>
          <w:p w14:paraId="4412E283" w14:textId="23258E87" w:rsidR="00821BA9" w:rsidRPr="001340C4" w:rsidRDefault="00821BA9" w:rsidP="0049200A">
            <w:pPr>
              <w:pStyle w:val="TableText0"/>
              <w:jc w:val="center"/>
            </w:pPr>
            <w:r w:rsidRPr="001340C4">
              <w:t>4</w:t>
            </w:r>
          </w:p>
        </w:tc>
        <w:tc>
          <w:tcPr>
            <w:tcW w:w="830" w:type="pct"/>
            <w:vAlign w:val="center"/>
          </w:tcPr>
          <w:p w14:paraId="2388A0D2" w14:textId="5A96856F" w:rsidR="00821BA9" w:rsidRPr="00836AFD" w:rsidRDefault="00903680" w:rsidP="0049200A">
            <w:pPr>
              <w:pStyle w:val="TableText0"/>
              <w:jc w:val="center"/>
            </w:pPr>
            <w:r w:rsidRPr="00836AFD">
              <w:t>3.33</w:t>
            </w:r>
          </w:p>
        </w:tc>
        <w:tc>
          <w:tcPr>
            <w:tcW w:w="1030" w:type="pct"/>
            <w:vAlign w:val="center"/>
          </w:tcPr>
          <w:p w14:paraId="4B8E5AFA" w14:textId="62CCABB7" w:rsidR="00821BA9" w:rsidRPr="00836AFD" w:rsidRDefault="00903680" w:rsidP="0049200A">
            <w:pPr>
              <w:pStyle w:val="TableText0"/>
              <w:jc w:val="center"/>
            </w:pPr>
            <w:r w:rsidRPr="00836AFD">
              <w:t>2</w:t>
            </w:r>
          </w:p>
        </w:tc>
      </w:tr>
      <w:tr w:rsidR="00B4635D" w:rsidRPr="000D7D76" w14:paraId="22D6D6B0" w14:textId="77777777" w:rsidTr="00942E3A">
        <w:trPr>
          <w:trHeight w:val="227"/>
        </w:trPr>
        <w:tc>
          <w:tcPr>
            <w:tcW w:w="1163" w:type="pct"/>
            <w:vAlign w:val="center"/>
          </w:tcPr>
          <w:p w14:paraId="134EF71D" w14:textId="77777777" w:rsidR="003A6147" w:rsidRPr="00FB2B28" w:rsidRDefault="003A6147" w:rsidP="0049200A">
            <w:pPr>
              <w:pStyle w:val="TableText0"/>
            </w:pPr>
            <w:r w:rsidRPr="00FB2B28">
              <w:t>DPMQ</w:t>
            </w:r>
          </w:p>
        </w:tc>
        <w:tc>
          <w:tcPr>
            <w:tcW w:w="862" w:type="pct"/>
            <w:vAlign w:val="center"/>
          </w:tcPr>
          <w:p w14:paraId="576AD0D3" w14:textId="77777777" w:rsidR="003A6147" w:rsidRPr="003C7D3B" w:rsidRDefault="003A6147" w:rsidP="0049200A">
            <w:pPr>
              <w:pStyle w:val="TableText0"/>
              <w:jc w:val="center"/>
            </w:pPr>
            <w:r w:rsidRPr="003C7D3B">
              <w:t>$1,098.67</w:t>
            </w:r>
          </w:p>
        </w:tc>
        <w:tc>
          <w:tcPr>
            <w:tcW w:w="1114" w:type="pct"/>
            <w:vAlign w:val="center"/>
          </w:tcPr>
          <w:p w14:paraId="37DA1ED2" w14:textId="77777777" w:rsidR="003A6147" w:rsidRPr="003C7D3B" w:rsidRDefault="003A6147" w:rsidP="0049200A">
            <w:pPr>
              <w:pStyle w:val="TableText0"/>
              <w:jc w:val="center"/>
            </w:pPr>
            <w:r w:rsidRPr="003C7D3B">
              <w:t>$1,098.67</w:t>
            </w:r>
          </w:p>
        </w:tc>
        <w:tc>
          <w:tcPr>
            <w:tcW w:w="830" w:type="pct"/>
            <w:vAlign w:val="center"/>
          </w:tcPr>
          <w:p w14:paraId="45DD34E8" w14:textId="77777777" w:rsidR="003A6147" w:rsidRPr="003C7D3B" w:rsidRDefault="003A6147" w:rsidP="0049200A">
            <w:pPr>
              <w:pStyle w:val="TableText0"/>
              <w:jc w:val="center"/>
            </w:pPr>
            <w:r w:rsidRPr="003C7D3B">
              <w:t>$958.79</w:t>
            </w:r>
          </w:p>
        </w:tc>
        <w:tc>
          <w:tcPr>
            <w:tcW w:w="1030" w:type="pct"/>
            <w:vAlign w:val="center"/>
          </w:tcPr>
          <w:p w14:paraId="52438138" w14:textId="77777777" w:rsidR="003A6147" w:rsidRPr="003C7D3B" w:rsidRDefault="003A6147" w:rsidP="0049200A">
            <w:pPr>
              <w:pStyle w:val="TableText0"/>
              <w:jc w:val="center"/>
            </w:pPr>
            <w:r w:rsidRPr="003C7D3B">
              <w:t>$855.99</w:t>
            </w:r>
          </w:p>
        </w:tc>
      </w:tr>
      <w:tr w:rsidR="003A6147" w:rsidRPr="000D7D76" w14:paraId="64E97E1E" w14:textId="77777777" w:rsidTr="00942E3A">
        <w:trPr>
          <w:trHeight w:val="227"/>
        </w:trPr>
        <w:tc>
          <w:tcPr>
            <w:tcW w:w="1163" w:type="pct"/>
            <w:vAlign w:val="center"/>
            <w:hideMark/>
          </w:tcPr>
          <w:p w14:paraId="48BAA387" w14:textId="119D1ADA" w:rsidR="003A6147" w:rsidRPr="00917890" w:rsidRDefault="003A6147" w:rsidP="0049200A">
            <w:pPr>
              <w:pStyle w:val="TableText0"/>
              <w:rPr>
                <w:i/>
                <w:iCs/>
                <w:vertAlign w:val="superscript"/>
              </w:rPr>
            </w:pPr>
            <w:r w:rsidRPr="00B122CD">
              <w:t xml:space="preserve">Cost per </w:t>
            </w:r>
            <w:r w:rsidR="008A230F" w:rsidRPr="00B122CD">
              <w:t>vial</w:t>
            </w:r>
            <w:r w:rsidR="00220B6A" w:rsidRPr="00B122CD">
              <w:t xml:space="preserve"> </w:t>
            </w:r>
            <w:r w:rsidRPr="00B122CD">
              <w:t>(AEMP)</w:t>
            </w:r>
            <w:r w:rsidR="00917890" w:rsidRPr="00215C31">
              <w:rPr>
                <w:vertAlign w:val="superscript"/>
              </w:rPr>
              <w:t>d</w:t>
            </w:r>
          </w:p>
        </w:tc>
        <w:tc>
          <w:tcPr>
            <w:tcW w:w="862" w:type="pct"/>
            <w:vAlign w:val="center"/>
            <w:hideMark/>
          </w:tcPr>
          <w:p w14:paraId="3B203BC6" w14:textId="77777777" w:rsidR="003A6147" w:rsidRPr="003C7D3B" w:rsidRDefault="003A6147" w:rsidP="0049200A">
            <w:pPr>
              <w:pStyle w:val="TableText0"/>
              <w:jc w:val="center"/>
            </w:pPr>
            <w:r w:rsidRPr="003C7D3B">
              <w:t>$262.50</w:t>
            </w:r>
          </w:p>
        </w:tc>
        <w:tc>
          <w:tcPr>
            <w:tcW w:w="1114" w:type="pct"/>
            <w:vAlign w:val="center"/>
            <w:hideMark/>
          </w:tcPr>
          <w:p w14:paraId="5EA20194" w14:textId="77777777" w:rsidR="003A6147" w:rsidRPr="003C7D3B" w:rsidRDefault="003A6147" w:rsidP="0049200A">
            <w:pPr>
              <w:pStyle w:val="TableText0"/>
              <w:jc w:val="center"/>
            </w:pPr>
            <w:r w:rsidRPr="003C7D3B">
              <w:t>$262.50</w:t>
            </w:r>
          </w:p>
        </w:tc>
        <w:tc>
          <w:tcPr>
            <w:tcW w:w="830" w:type="pct"/>
            <w:vAlign w:val="center"/>
            <w:hideMark/>
          </w:tcPr>
          <w:p w14:paraId="08238521" w14:textId="77777777" w:rsidR="003A6147" w:rsidRPr="003C7D3B" w:rsidRDefault="003A6147" w:rsidP="0049200A">
            <w:pPr>
              <w:pStyle w:val="TableText0"/>
              <w:jc w:val="center"/>
            </w:pPr>
            <w:r w:rsidRPr="003C7D3B">
              <w:t>$228.39</w:t>
            </w:r>
          </w:p>
        </w:tc>
        <w:tc>
          <w:tcPr>
            <w:tcW w:w="1030" w:type="pct"/>
            <w:vAlign w:val="center"/>
            <w:hideMark/>
          </w:tcPr>
          <w:p w14:paraId="55B6E7DA" w14:textId="77777777" w:rsidR="003A6147" w:rsidRPr="003C7D3B" w:rsidRDefault="003A6147" w:rsidP="0049200A">
            <w:pPr>
              <w:pStyle w:val="TableText0"/>
              <w:jc w:val="center"/>
            </w:pPr>
            <w:r w:rsidRPr="003C7D3B">
              <w:t>$407.37</w:t>
            </w:r>
          </w:p>
        </w:tc>
      </w:tr>
      <w:tr w:rsidR="003A6147" w:rsidRPr="000D7D76" w14:paraId="78DCB65D" w14:textId="77777777" w:rsidTr="00942E3A">
        <w:trPr>
          <w:trHeight w:val="227"/>
        </w:trPr>
        <w:tc>
          <w:tcPr>
            <w:tcW w:w="1163" w:type="pct"/>
            <w:vAlign w:val="center"/>
            <w:hideMark/>
          </w:tcPr>
          <w:p w14:paraId="6C9842A0" w14:textId="5E354E17" w:rsidR="003A6147" w:rsidRPr="0047263B" w:rsidRDefault="003A6147" w:rsidP="0049200A">
            <w:pPr>
              <w:pStyle w:val="TableText0"/>
              <w:rPr>
                <w:i/>
                <w:iCs/>
              </w:rPr>
            </w:pPr>
            <w:r w:rsidRPr="00B122CD">
              <w:t>Cost per cycle (AEMP)</w:t>
            </w:r>
            <w:r w:rsidR="00140E32" w:rsidRPr="00215C31">
              <w:rPr>
                <w:vertAlign w:val="superscript"/>
              </w:rPr>
              <w:t>c</w:t>
            </w:r>
            <w:r w:rsidR="00917890" w:rsidRPr="00215C31">
              <w:rPr>
                <w:vertAlign w:val="superscript"/>
              </w:rPr>
              <w:t>,d</w:t>
            </w:r>
          </w:p>
        </w:tc>
        <w:tc>
          <w:tcPr>
            <w:tcW w:w="862" w:type="pct"/>
            <w:vAlign w:val="center"/>
            <w:hideMark/>
          </w:tcPr>
          <w:p w14:paraId="2840EC63" w14:textId="77777777" w:rsidR="003A6147" w:rsidRPr="003C7D3B" w:rsidRDefault="003A6147" w:rsidP="0049200A">
            <w:pPr>
              <w:pStyle w:val="TableText0"/>
              <w:jc w:val="center"/>
            </w:pPr>
            <w:r w:rsidRPr="003C7D3B">
              <w:t>$1,050.00</w:t>
            </w:r>
          </w:p>
        </w:tc>
        <w:tc>
          <w:tcPr>
            <w:tcW w:w="1114" w:type="pct"/>
            <w:vAlign w:val="center"/>
            <w:hideMark/>
          </w:tcPr>
          <w:p w14:paraId="5DB959F8" w14:textId="77777777" w:rsidR="003A6147" w:rsidRPr="003C7D3B" w:rsidRDefault="003A6147" w:rsidP="0049200A">
            <w:pPr>
              <w:pStyle w:val="TableText0"/>
              <w:jc w:val="center"/>
            </w:pPr>
            <w:r w:rsidRPr="003C7D3B">
              <w:t>$1,050.00</w:t>
            </w:r>
          </w:p>
        </w:tc>
        <w:tc>
          <w:tcPr>
            <w:tcW w:w="830" w:type="pct"/>
            <w:vAlign w:val="center"/>
            <w:hideMark/>
          </w:tcPr>
          <w:p w14:paraId="2ABD6E4A" w14:textId="17B4FAF7" w:rsidR="003A6147" w:rsidRPr="003C7D3B" w:rsidRDefault="00C4153B" w:rsidP="0049200A">
            <w:pPr>
              <w:pStyle w:val="TableText0"/>
              <w:jc w:val="center"/>
            </w:pPr>
            <w:r w:rsidRPr="003C7D3B">
              <w:t>$</w:t>
            </w:r>
            <w:r w:rsidR="00A557B8" w:rsidRPr="003C7D3B">
              <w:t>761.30</w:t>
            </w:r>
          </w:p>
        </w:tc>
        <w:tc>
          <w:tcPr>
            <w:tcW w:w="1030" w:type="pct"/>
            <w:vAlign w:val="center"/>
            <w:hideMark/>
          </w:tcPr>
          <w:p w14:paraId="403CD5A3" w14:textId="77777777" w:rsidR="003A6147" w:rsidRPr="003C7D3B" w:rsidRDefault="003A6147" w:rsidP="0049200A">
            <w:pPr>
              <w:pStyle w:val="TableText0"/>
              <w:jc w:val="center"/>
            </w:pPr>
            <w:r w:rsidRPr="003C7D3B">
              <w:t>$814.74</w:t>
            </w:r>
          </w:p>
        </w:tc>
      </w:tr>
      <w:tr w:rsidR="003A6147" w:rsidRPr="000D7D76" w14:paraId="1C2A0D4D" w14:textId="77777777" w:rsidTr="004C7B4F">
        <w:trPr>
          <w:trHeight w:val="227"/>
        </w:trPr>
        <w:tc>
          <w:tcPr>
            <w:tcW w:w="1163" w:type="pct"/>
            <w:vAlign w:val="center"/>
            <w:hideMark/>
          </w:tcPr>
          <w:p w14:paraId="464CFA0E" w14:textId="1386011B" w:rsidR="003A6147" w:rsidRPr="00917890" w:rsidRDefault="003A6147" w:rsidP="0049200A">
            <w:pPr>
              <w:pStyle w:val="TableText0"/>
              <w:rPr>
                <w:i/>
                <w:iCs/>
                <w:vertAlign w:val="superscript"/>
              </w:rPr>
            </w:pPr>
            <w:r w:rsidRPr="00B122CD">
              <w:t>Cost-minimisation</w:t>
            </w:r>
            <w:r w:rsidR="004C7B4F">
              <w:t xml:space="preserve"> of Xeomin to Dysport (additional cost)</w:t>
            </w:r>
            <w:r w:rsidR="00917890" w:rsidRPr="00215C31">
              <w:rPr>
                <w:vertAlign w:val="superscript"/>
              </w:rPr>
              <w:t>d</w:t>
            </w:r>
          </w:p>
        </w:tc>
        <w:tc>
          <w:tcPr>
            <w:tcW w:w="1976" w:type="pct"/>
            <w:gridSpan w:val="2"/>
            <w:hideMark/>
          </w:tcPr>
          <w:p w14:paraId="1221D710" w14:textId="701F2ABB" w:rsidR="003A6147" w:rsidRPr="003C7D3B" w:rsidRDefault="00830468" w:rsidP="0049200A">
            <w:pPr>
              <w:pStyle w:val="TableText0"/>
              <w:jc w:val="center"/>
            </w:pPr>
            <w:r w:rsidRPr="003C7D3B">
              <w:t>-</w:t>
            </w:r>
          </w:p>
        </w:tc>
        <w:tc>
          <w:tcPr>
            <w:tcW w:w="830" w:type="pct"/>
            <w:hideMark/>
          </w:tcPr>
          <w:p w14:paraId="37442A79" w14:textId="50337536" w:rsidR="003A6147" w:rsidRPr="003C7D3B" w:rsidRDefault="003A6147" w:rsidP="0049200A">
            <w:pPr>
              <w:pStyle w:val="TableText0"/>
              <w:jc w:val="center"/>
            </w:pPr>
            <w:r w:rsidRPr="003C7D3B">
              <w:t>$</w:t>
            </w:r>
            <w:r w:rsidR="001059E5" w:rsidRPr="003C7D3B">
              <w:t>288.70</w:t>
            </w:r>
          </w:p>
        </w:tc>
        <w:tc>
          <w:tcPr>
            <w:tcW w:w="1030" w:type="pct"/>
            <w:hideMark/>
          </w:tcPr>
          <w:p w14:paraId="4D1E3D7F" w14:textId="612488A2" w:rsidR="003A6147" w:rsidRPr="003C7D3B" w:rsidRDefault="003A6147" w:rsidP="0049200A">
            <w:pPr>
              <w:pStyle w:val="TableText0"/>
              <w:jc w:val="center"/>
            </w:pPr>
            <w:r w:rsidRPr="003C7D3B">
              <w:t>$235.26</w:t>
            </w:r>
          </w:p>
        </w:tc>
      </w:tr>
    </w:tbl>
    <w:bookmarkEnd w:id="67"/>
    <w:p w14:paraId="144D067C" w14:textId="69AB2DE6" w:rsidR="003A6147" w:rsidRPr="0012550A" w:rsidRDefault="003A6147" w:rsidP="0049200A">
      <w:pPr>
        <w:pStyle w:val="TableFigureFooter"/>
        <w:keepNext/>
      </w:pPr>
      <w:r w:rsidRPr="0012550A">
        <w:t xml:space="preserve">Source: Tables 36, p79 of the submission; Table 4.2.2, p82 of the submission, Ex-manufacturer prices as of 1 </w:t>
      </w:r>
      <w:r>
        <w:t>April</w:t>
      </w:r>
      <w:r w:rsidRPr="0012550A">
        <w:t xml:space="preserve"> 2025 based on https://www.pbs.gov.au/industry/pricing/ex-manufacturer-price/2025/ex-manufacturer-prices-non-efc-2025-0</w:t>
      </w:r>
      <w:r>
        <w:t>4</w:t>
      </w:r>
      <w:r w:rsidRPr="0012550A">
        <w:t xml:space="preserve">-01.XLSX. </w:t>
      </w:r>
    </w:p>
    <w:p w14:paraId="69FE8FC5" w14:textId="77777777" w:rsidR="003A6147" w:rsidRDefault="003A6147" w:rsidP="0049200A">
      <w:pPr>
        <w:pStyle w:val="TableFigureFooter"/>
        <w:keepNext/>
      </w:pPr>
      <w:r w:rsidRPr="0012550A">
        <w:t>AEMP = Approved ex-manufacturer price</w:t>
      </w:r>
      <w:bookmarkStart w:id="68" w:name="_Hlk194498095"/>
      <w:r>
        <w:t>; DPMQ = Dispensed price for maximum quantity.</w:t>
      </w:r>
    </w:p>
    <w:p w14:paraId="0C8A4351" w14:textId="0BC8ECA1" w:rsidR="00140E32" w:rsidRPr="00626ED6" w:rsidRDefault="003A6147" w:rsidP="0049200A">
      <w:pPr>
        <w:pStyle w:val="TableFigureFooter"/>
        <w:keepNext/>
      </w:pPr>
      <w:r w:rsidRPr="0012550A">
        <w:rPr>
          <w:vertAlign w:val="superscript"/>
        </w:rPr>
        <w:t>a</w:t>
      </w:r>
      <w:r w:rsidR="005A4E4B">
        <w:rPr>
          <w:vertAlign w:val="superscript"/>
        </w:rPr>
        <w:t xml:space="preserve"> </w:t>
      </w:r>
      <w:r w:rsidR="00CE2EA6">
        <w:t>Approximate c</w:t>
      </w:r>
      <w:r w:rsidR="007D4B9C">
        <w:t>ycle length for Xe</w:t>
      </w:r>
      <w:r w:rsidR="000862E9">
        <w:t>o</w:t>
      </w:r>
      <w:r w:rsidR="007D4B9C">
        <w:t>min and Botox</w:t>
      </w:r>
      <w:r w:rsidR="007F2C14">
        <w:t xml:space="preserve"> = </w:t>
      </w:r>
      <w:r w:rsidR="00CE2EA6">
        <w:t>12 Weeks; Dysport</w:t>
      </w:r>
      <w:r w:rsidR="000862E9">
        <w:t xml:space="preserve"> = 16 Weeks.</w:t>
      </w:r>
    </w:p>
    <w:p w14:paraId="3E4EDB3A" w14:textId="11E7CE29" w:rsidR="00AD112F" w:rsidRPr="000F7D8B" w:rsidRDefault="00140E32" w:rsidP="0049200A">
      <w:pPr>
        <w:pStyle w:val="TableFigureFooter"/>
        <w:keepNext/>
      </w:pPr>
      <w:r>
        <w:rPr>
          <w:vertAlign w:val="superscript"/>
        </w:rPr>
        <w:t xml:space="preserve">b </w:t>
      </w:r>
      <w:r w:rsidR="00622512" w:rsidRPr="00887977">
        <w:t xml:space="preserve">Total dose per cycle divided by </w:t>
      </w:r>
      <w:r w:rsidR="00887977" w:rsidRPr="00887977">
        <w:t>units per vial.</w:t>
      </w:r>
      <w:r w:rsidR="00A502DA">
        <w:rPr>
          <w:vertAlign w:val="superscript"/>
        </w:rPr>
        <w:t xml:space="preserve"> </w:t>
      </w:r>
      <w:r w:rsidR="009B0E7E">
        <w:t>The total</w:t>
      </w:r>
      <w:r w:rsidR="0052064D">
        <w:t xml:space="preserve"> dose per cycle for Dysport</w:t>
      </w:r>
      <w:r w:rsidR="0052064D" w:rsidRPr="009B0E7E">
        <w:t xml:space="preserve"> </w:t>
      </w:r>
      <w:r w:rsidR="00002AD7">
        <w:t>300 U</w:t>
      </w:r>
      <w:r w:rsidR="0052064D">
        <w:t xml:space="preserve"> and </w:t>
      </w:r>
      <w:r w:rsidR="00002AD7">
        <w:t>500 U</w:t>
      </w:r>
      <w:r w:rsidR="00ED76C4">
        <w:t xml:space="preserve"> was based on </w:t>
      </w:r>
      <w:r w:rsidR="006E692C">
        <w:t>the PBAC’s previous consideration</w:t>
      </w:r>
      <w:r w:rsidR="008B0FAD">
        <w:t xml:space="preserve"> that </w:t>
      </w:r>
      <w:r w:rsidR="009B0E7E">
        <w:t xml:space="preserve">the </w:t>
      </w:r>
      <w:r w:rsidR="008B0FAD">
        <w:t xml:space="preserve">maximum quantity of </w:t>
      </w:r>
      <w:r w:rsidR="003032B6">
        <w:t xml:space="preserve">Dysport </w:t>
      </w:r>
      <w:r w:rsidR="003032B6" w:rsidRPr="009B0E7E">
        <w:t>would</w:t>
      </w:r>
      <w:r w:rsidR="008B0FAD">
        <w:t xml:space="preserve"> be </w:t>
      </w:r>
      <w:r w:rsidR="00002AD7">
        <w:t>1000 U</w:t>
      </w:r>
      <w:r w:rsidR="001302B4">
        <w:t xml:space="preserve"> and that of Botox</w:t>
      </w:r>
      <w:r w:rsidR="009B0E7E" w:rsidRPr="009B0E7E">
        <w:t xml:space="preserve"> </w:t>
      </w:r>
      <w:r w:rsidR="001302B4">
        <w:t xml:space="preserve">would be </w:t>
      </w:r>
      <w:r w:rsidR="00002AD7">
        <w:t>400 U</w:t>
      </w:r>
      <w:r w:rsidR="005113E7">
        <w:t xml:space="preserve"> (paragraph 7.10, </w:t>
      </w:r>
      <w:r w:rsidR="00127CD3">
        <w:t>Dysport, PSD, July 2020 PBAC Meeting).</w:t>
      </w:r>
    </w:p>
    <w:p w14:paraId="65DE78C4" w14:textId="210CF68F" w:rsidR="003A6147" w:rsidRDefault="00626ED6" w:rsidP="0049200A">
      <w:pPr>
        <w:pStyle w:val="TableFigureFooter"/>
        <w:keepNext/>
      </w:pPr>
      <w:r w:rsidRPr="00626ED6">
        <w:rPr>
          <w:vertAlign w:val="superscript"/>
        </w:rPr>
        <w:t>c</w:t>
      </w:r>
      <w:r w:rsidR="005A4E4B" w:rsidRPr="00626ED6">
        <w:rPr>
          <w:vertAlign w:val="superscript"/>
        </w:rPr>
        <w:t xml:space="preserve"> </w:t>
      </w:r>
      <w:r w:rsidR="00296E35" w:rsidRPr="00296E35">
        <w:t>Cost per vial (</w:t>
      </w:r>
      <w:r w:rsidR="003A6147" w:rsidRPr="00626ED6">
        <w:t>AEMP</w:t>
      </w:r>
      <w:r w:rsidR="00296E35">
        <w:t>)</w:t>
      </w:r>
      <w:r w:rsidR="003A6147" w:rsidRPr="00626ED6">
        <w:t xml:space="preserve"> * </w:t>
      </w:r>
      <w:r w:rsidR="00403EAE" w:rsidRPr="00626ED6">
        <w:t>number of vials</w:t>
      </w:r>
      <w:r w:rsidR="00193750">
        <w:t xml:space="preserve"> per cycle</w:t>
      </w:r>
      <w:r w:rsidR="00887977" w:rsidRPr="00626ED6">
        <w:t>.</w:t>
      </w:r>
    </w:p>
    <w:p w14:paraId="1A871205" w14:textId="668B81C0" w:rsidR="00575F81" w:rsidRPr="00FB0783" w:rsidRDefault="00575F81" w:rsidP="0049200A">
      <w:pPr>
        <w:pStyle w:val="TableFigureFooter"/>
        <w:keepNext/>
      </w:pPr>
      <w:r w:rsidRPr="00FB0783">
        <w:rPr>
          <w:vertAlign w:val="superscript"/>
        </w:rPr>
        <w:t>d</w:t>
      </w:r>
      <w:r w:rsidRPr="00FB0783">
        <w:t xml:space="preserve"> </w:t>
      </w:r>
      <w:r w:rsidR="00F46688" w:rsidRPr="00FB0783">
        <w:t xml:space="preserve">Added during the evaluation. </w:t>
      </w:r>
    </w:p>
    <w:p w14:paraId="22CBEF3E" w14:textId="498FD9E4" w:rsidR="003A6147" w:rsidRPr="002632F1" w:rsidRDefault="00180191" w:rsidP="0049200A">
      <w:pPr>
        <w:pStyle w:val="3-BodyText"/>
        <w:rPr>
          <w:iCs/>
        </w:rPr>
      </w:pPr>
      <w:bookmarkStart w:id="69" w:name="_Toc177099854"/>
      <w:bookmarkEnd w:id="68"/>
      <w:r w:rsidRPr="002632F1">
        <w:rPr>
          <w:iCs/>
        </w:rPr>
        <w:t xml:space="preserve">The </w:t>
      </w:r>
      <w:r w:rsidR="003A6147" w:rsidRPr="002632F1">
        <w:rPr>
          <w:iCs/>
        </w:rPr>
        <w:t xml:space="preserve">CMA comparing Xeomin and Dysport </w:t>
      </w:r>
      <w:r w:rsidR="00002AD7" w:rsidRPr="002632F1">
        <w:rPr>
          <w:iCs/>
        </w:rPr>
        <w:t>300 U</w:t>
      </w:r>
      <w:r w:rsidR="003A6147" w:rsidRPr="002632F1">
        <w:rPr>
          <w:iCs/>
        </w:rPr>
        <w:t xml:space="preserve"> and </w:t>
      </w:r>
      <w:r w:rsidR="00002AD7" w:rsidRPr="002632F1">
        <w:rPr>
          <w:iCs/>
        </w:rPr>
        <w:t>500 U</w:t>
      </w:r>
      <w:r w:rsidR="003A6147" w:rsidRPr="002632F1">
        <w:rPr>
          <w:iCs/>
        </w:rPr>
        <w:t xml:space="preserve"> conducted during the evaluation resulted in </w:t>
      </w:r>
      <w:r w:rsidR="00F835FC" w:rsidRPr="002632F1">
        <w:rPr>
          <w:iCs/>
        </w:rPr>
        <w:t xml:space="preserve">additional costs relative to </w:t>
      </w:r>
      <w:r w:rsidR="003A6147" w:rsidRPr="002632F1">
        <w:rPr>
          <w:iCs/>
        </w:rPr>
        <w:t xml:space="preserve">Dysport </w:t>
      </w:r>
      <w:r w:rsidR="00002AD7" w:rsidRPr="002632F1">
        <w:rPr>
          <w:iCs/>
        </w:rPr>
        <w:t xml:space="preserve">300 </w:t>
      </w:r>
      <w:r w:rsidR="00002AD7" w:rsidRPr="00512D73">
        <w:rPr>
          <w:iCs/>
        </w:rPr>
        <w:t>U</w:t>
      </w:r>
      <w:r w:rsidR="003A6147" w:rsidRPr="00512D73">
        <w:rPr>
          <w:iCs/>
        </w:rPr>
        <w:t xml:space="preserve"> ($</w:t>
      </w:r>
      <w:r w:rsidR="00F835FC" w:rsidRPr="00512D73">
        <w:rPr>
          <w:iCs/>
        </w:rPr>
        <w:t>288.70</w:t>
      </w:r>
      <w:r w:rsidR="003A6147" w:rsidRPr="00512D73">
        <w:rPr>
          <w:iCs/>
        </w:rPr>
        <w:t xml:space="preserve">) and Dysport </w:t>
      </w:r>
      <w:r w:rsidR="00002AD7" w:rsidRPr="00512D73">
        <w:rPr>
          <w:iCs/>
        </w:rPr>
        <w:t>500 U</w:t>
      </w:r>
      <w:r w:rsidR="003A6147" w:rsidRPr="00512D73">
        <w:rPr>
          <w:iCs/>
        </w:rPr>
        <w:t xml:space="preserve"> </w:t>
      </w:r>
      <w:r w:rsidR="00515BEC" w:rsidRPr="00512D73">
        <w:rPr>
          <w:iCs/>
        </w:rPr>
        <w:t>(</w:t>
      </w:r>
      <w:r w:rsidR="003A6147" w:rsidRPr="00512D73">
        <w:rPr>
          <w:iCs/>
        </w:rPr>
        <w:t>$235.26)</w:t>
      </w:r>
      <w:r w:rsidR="00CF3887" w:rsidRPr="00512D73">
        <w:rPr>
          <w:iCs/>
        </w:rPr>
        <w:t xml:space="preserve"> per</w:t>
      </w:r>
      <w:r w:rsidR="00CF3887" w:rsidRPr="002632F1">
        <w:rPr>
          <w:iCs/>
        </w:rPr>
        <w:t xml:space="preserve"> cycle.</w:t>
      </w:r>
    </w:p>
    <w:p w14:paraId="04A5D08E" w14:textId="073723CD" w:rsidR="003A6147" w:rsidRDefault="00AE0555" w:rsidP="0049200A">
      <w:pPr>
        <w:pStyle w:val="3-BodyText"/>
        <w:rPr>
          <w:iCs/>
        </w:rPr>
      </w:pPr>
      <w:r w:rsidRPr="008A33D0">
        <w:rPr>
          <w:iCs/>
        </w:rPr>
        <w:t>The ESC noted that t</w:t>
      </w:r>
      <w:r w:rsidR="003A6147" w:rsidRPr="008A33D0">
        <w:rPr>
          <w:iCs/>
        </w:rPr>
        <w:t>he submission</w:t>
      </w:r>
      <w:r w:rsidR="003A6147" w:rsidRPr="002632F1">
        <w:rPr>
          <w:iCs/>
        </w:rPr>
        <w:t xml:space="preserve"> did not present clinical evidence to justify a higher cost for Xeomin compared to Dysport. </w:t>
      </w:r>
      <w:r w:rsidR="002D4006" w:rsidRPr="002632F1">
        <w:rPr>
          <w:iCs/>
        </w:rPr>
        <w:t xml:space="preserve">Consistent with Section 101(3B) </w:t>
      </w:r>
      <w:r w:rsidR="003A6147" w:rsidRPr="002632F1">
        <w:rPr>
          <w:iCs/>
        </w:rPr>
        <w:t xml:space="preserve">of the </w:t>
      </w:r>
      <w:r w:rsidR="003A6147" w:rsidRPr="008D2F9D">
        <w:rPr>
          <w:i/>
        </w:rPr>
        <w:t>National Health Act 1953</w:t>
      </w:r>
      <w:r w:rsidR="003A6147" w:rsidRPr="002632F1">
        <w:rPr>
          <w:iCs/>
        </w:rPr>
        <w:t xml:space="preserve">, </w:t>
      </w:r>
      <w:r w:rsidR="002D4006" w:rsidRPr="002632F1">
        <w:rPr>
          <w:iCs/>
        </w:rPr>
        <w:t xml:space="preserve">if a medicine is more costly than an alternative therapy, the Committee must be satisfied that it </w:t>
      </w:r>
      <w:r w:rsidR="003A6147" w:rsidRPr="002632F1">
        <w:rPr>
          <w:iCs/>
        </w:rPr>
        <w:t>provides a significant improvement in efficacy and/or reduction of toxicity over the alternative therapy. If the committee is so satisfied, it must make a statement to this effect.</w:t>
      </w:r>
      <w:r w:rsidR="00C14F2A">
        <w:rPr>
          <w:iCs/>
        </w:rPr>
        <w:t xml:space="preserve"> The pre-PBAC </w:t>
      </w:r>
      <w:r w:rsidR="006830ED">
        <w:rPr>
          <w:iCs/>
        </w:rPr>
        <w:t>r</w:t>
      </w:r>
      <w:r w:rsidR="00C14F2A">
        <w:rPr>
          <w:iCs/>
        </w:rPr>
        <w:t>esponse</w:t>
      </w:r>
      <w:r w:rsidR="00DF5851">
        <w:rPr>
          <w:iCs/>
        </w:rPr>
        <w:t xml:space="preserve"> </w:t>
      </w:r>
      <w:r w:rsidR="002808B0">
        <w:rPr>
          <w:iCs/>
        </w:rPr>
        <w:t xml:space="preserve">proposed </w:t>
      </w:r>
      <w:r w:rsidR="00836DDA">
        <w:rPr>
          <w:iCs/>
        </w:rPr>
        <w:t>a</w:t>
      </w:r>
      <w:r w:rsidR="00D23B90">
        <w:rPr>
          <w:iCs/>
        </w:rPr>
        <w:t>n average</w:t>
      </w:r>
      <w:r w:rsidR="00836DDA">
        <w:rPr>
          <w:iCs/>
        </w:rPr>
        <w:t xml:space="preserve"> weighted price for Xeomin based on the utilisation of Boto</w:t>
      </w:r>
      <w:r w:rsidR="00166046">
        <w:rPr>
          <w:iCs/>
        </w:rPr>
        <w:t>x and Dysport</w:t>
      </w:r>
      <w:r w:rsidR="003E7008">
        <w:rPr>
          <w:iCs/>
        </w:rPr>
        <w:t xml:space="preserve">. The pre-PBAC response </w:t>
      </w:r>
      <w:r w:rsidR="000327B9">
        <w:rPr>
          <w:iCs/>
        </w:rPr>
        <w:t xml:space="preserve">proposed that the price </w:t>
      </w:r>
      <w:r w:rsidR="0004643A">
        <w:rPr>
          <w:iCs/>
        </w:rPr>
        <w:t xml:space="preserve">for Xeomin be based on a </w:t>
      </w:r>
      <w:r w:rsidR="0004643A" w:rsidRPr="00AD5E26">
        <w:rPr>
          <w:iCs/>
        </w:rPr>
        <w:t>90:10 split between</w:t>
      </w:r>
      <w:r w:rsidR="0004643A">
        <w:rPr>
          <w:iCs/>
        </w:rPr>
        <w:t xml:space="preserve"> Botox and Dysport. The pre-PBAC response </w:t>
      </w:r>
      <w:r w:rsidR="005D3C84">
        <w:rPr>
          <w:iCs/>
        </w:rPr>
        <w:t>considered</w:t>
      </w:r>
      <w:r w:rsidR="0004643A">
        <w:rPr>
          <w:iCs/>
        </w:rPr>
        <w:t xml:space="preserve"> </w:t>
      </w:r>
      <w:r w:rsidR="00B054B0">
        <w:rPr>
          <w:iCs/>
        </w:rPr>
        <w:t>this was a conservative</w:t>
      </w:r>
      <w:r w:rsidR="00603177">
        <w:rPr>
          <w:iCs/>
        </w:rPr>
        <w:t xml:space="preserve"> </w:t>
      </w:r>
      <w:r w:rsidR="00A67B6C">
        <w:rPr>
          <w:iCs/>
        </w:rPr>
        <w:t xml:space="preserve">approach </w:t>
      </w:r>
      <w:r w:rsidR="005D3C84">
        <w:rPr>
          <w:iCs/>
        </w:rPr>
        <w:t>noting</w:t>
      </w:r>
      <w:r w:rsidR="000D3F6A">
        <w:rPr>
          <w:iCs/>
        </w:rPr>
        <w:t xml:space="preserve"> </w:t>
      </w:r>
      <w:r w:rsidR="00D55950">
        <w:rPr>
          <w:iCs/>
        </w:rPr>
        <w:t xml:space="preserve">the </w:t>
      </w:r>
      <w:r w:rsidR="00D55950" w:rsidRPr="00AD5E26">
        <w:rPr>
          <w:iCs/>
        </w:rPr>
        <w:t>market split of 93% Botox and 7% Dysport</w:t>
      </w:r>
      <w:r w:rsidR="00D55950">
        <w:rPr>
          <w:iCs/>
        </w:rPr>
        <w:t xml:space="preserve"> </w:t>
      </w:r>
      <w:r w:rsidR="00603177">
        <w:rPr>
          <w:iCs/>
        </w:rPr>
        <w:t>based on PBS services for the requested indications over the last calendar year.</w:t>
      </w:r>
    </w:p>
    <w:p w14:paraId="683E7F72" w14:textId="77777777" w:rsidR="003A6147" w:rsidRDefault="003A6147" w:rsidP="0049200A">
      <w:pPr>
        <w:pStyle w:val="4-SubsectionHeading"/>
        <w:rPr>
          <w:lang w:eastAsia="en-AU"/>
        </w:rPr>
      </w:pPr>
      <w:bookmarkStart w:id="70" w:name="_Toc198630222"/>
      <w:bookmarkStart w:id="71" w:name="_Toc198724800"/>
      <w:r w:rsidRPr="002C2775">
        <w:rPr>
          <w:lang w:eastAsia="en-AU"/>
        </w:rPr>
        <w:t>Drug cost/patient/year</w:t>
      </w:r>
      <w:bookmarkEnd w:id="69"/>
      <w:bookmarkEnd w:id="70"/>
      <w:bookmarkEnd w:id="71"/>
    </w:p>
    <w:p w14:paraId="0E001D97" w14:textId="4EDE8569" w:rsidR="00C1347B" w:rsidRPr="00AD5E26" w:rsidRDefault="00C1347B" w:rsidP="0049200A">
      <w:pPr>
        <w:pStyle w:val="3-BodyText"/>
      </w:pPr>
      <w:r w:rsidRPr="002632F1">
        <w:t xml:space="preserve">The financial model </w:t>
      </w:r>
      <w:r w:rsidRPr="00AD5E26">
        <w:t>assumed 3 scripts per year for Xeomin, costing $3,</w:t>
      </w:r>
      <w:r w:rsidR="007B2B87" w:rsidRPr="00AD5E26">
        <w:t>296</w:t>
      </w:r>
      <w:r w:rsidR="00106021" w:rsidRPr="00AD5E26">
        <w:t xml:space="preserve"> (based on DPMQ of </w:t>
      </w:r>
      <w:r w:rsidR="00A50950" w:rsidRPr="00AD5E26">
        <w:t>$1,098.67)</w:t>
      </w:r>
      <w:r w:rsidR="007B2B87" w:rsidRPr="00AD5E26">
        <w:t xml:space="preserve"> </w:t>
      </w:r>
      <w:r w:rsidRPr="00AD5E26">
        <w:t>per patient annually, but this likely underestimated the treatment cost. The Product Information for Xeomin indicated that the minimum time between treatments is 12 weeks, equivalent to 4.35 scripts per year (p4 of the TGA PI</w:t>
      </w:r>
      <w:r w:rsidRPr="002632F1">
        <w:t xml:space="preserve"> for Xeomin). Consequently, the annual cost of treating moderate to severe upper and </w:t>
      </w:r>
      <w:r w:rsidRPr="002632F1">
        <w:lastRenderedPageBreak/>
        <w:t xml:space="preserve">lower limb spasticity in patients aged 2 years and older with cerebral palsy using Xeomin was </w:t>
      </w:r>
      <w:r w:rsidRPr="00AD5E26">
        <w:t>estimated to be $4,</w:t>
      </w:r>
      <w:r w:rsidR="00681A87" w:rsidRPr="00AD5E26">
        <w:t>777.25</w:t>
      </w:r>
      <w:r w:rsidRPr="00AD5E26">
        <w:t xml:space="preserve"> per patient.</w:t>
      </w:r>
    </w:p>
    <w:p w14:paraId="7859E62C" w14:textId="6A7B052D" w:rsidR="00C1347B" w:rsidRPr="002632F1" w:rsidRDefault="00C1347B" w:rsidP="0049200A">
      <w:pPr>
        <w:pStyle w:val="3-BodyText"/>
        <w:rPr>
          <w:iCs/>
        </w:rPr>
      </w:pPr>
      <w:r w:rsidRPr="002632F1">
        <w:rPr>
          <w:iCs/>
        </w:rPr>
        <w:t xml:space="preserve">Assuming a dosing frequency of every 16 weeks for Dysport, the estimated annual cost per </w:t>
      </w:r>
      <w:r w:rsidRPr="00A71B2F">
        <w:rPr>
          <w:iCs/>
        </w:rPr>
        <w:t>patient was $</w:t>
      </w:r>
      <w:r w:rsidR="00681A87" w:rsidRPr="00A71B2F">
        <w:rPr>
          <w:iCs/>
        </w:rPr>
        <w:t>3,126.77</w:t>
      </w:r>
      <w:r w:rsidRPr="00A71B2F">
        <w:rPr>
          <w:iCs/>
        </w:rPr>
        <w:t xml:space="preserve"> for Dysport </w:t>
      </w:r>
      <w:r w:rsidR="00002AD7" w:rsidRPr="00A71B2F">
        <w:rPr>
          <w:iCs/>
        </w:rPr>
        <w:t>300 U</w:t>
      </w:r>
      <w:r w:rsidRPr="00A71B2F">
        <w:rPr>
          <w:iCs/>
        </w:rPr>
        <w:t xml:space="preserve"> and $2,</w:t>
      </w:r>
      <w:r w:rsidR="00681A87" w:rsidRPr="00A71B2F">
        <w:rPr>
          <w:iCs/>
        </w:rPr>
        <w:t>7</w:t>
      </w:r>
      <w:r w:rsidR="004C7CBD" w:rsidRPr="00A71B2F">
        <w:rPr>
          <w:iCs/>
        </w:rPr>
        <w:t>91.52</w:t>
      </w:r>
      <w:r w:rsidRPr="00A71B2F">
        <w:rPr>
          <w:iCs/>
        </w:rPr>
        <w:t xml:space="preserve"> for</w:t>
      </w:r>
      <w:r w:rsidRPr="002632F1">
        <w:rPr>
          <w:iCs/>
        </w:rPr>
        <w:t xml:space="preserve"> Dysport </w:t>
      </w:r>
      <w:r w:rsidR="00002AD7" w:rsidRPr="002632F1">
        <w:rPr>
          <w:iCs/>
        </w:rPr>
        <w:t>500 U</w:t>
      </w:r>
      <w:r w:rsidRPr="002632F1">
        <w:rPr>
          <w:iCs/>
        </w:rPr>
        <w:t>.</w:t>
      </w:r>
    </w:p>
    <w:p w14:paraId="7444CEED" w14:textId="472DB267" w:rsidR="004A30FE" w:rsidRPr="00C9624D" w:rsidRDefault="004A30FE" w:rsidP="0049200A">
      <w:pPr>
        <w:pStyle w:val="4-SubsectionHeading"/>
      </w:pPr>
      <w:bookmarkStart w:id="72" w:name="_Toc153815912"/>
      <w:bookmarkStart w:id="73" w:name="_Toc198630223"/>
      <w:bookmarkStart w:id="74" w:name="_Toc198724801"/>
      <w:r w:rsidRPr="00C9624D">
        <w:t>Estimated PBS usage &amp; financial implications</w:t>
      </w:r>
      <w:bookmarkEnd w:id="72"/>
      <w:bookmarkEnd w:id="73"/>
      <w:bookmarkEnd w:id="74"/>
    </w:p>
    <w:p w14:paraId="0EC3500A" w14:textId="51A2C970" w:rsidR="004A30FE" w:rsidRPr="0097679F" w:rsidRDefault="004A30FE" w:rsidP="0049200A">
      <w:pPr>
        <w:pStyle w:val="3-BodyText"/>
        <w:numPr>
          <w:ilvl w:val="1"/>
          <w:numId w:val="1"/>
        </w:numPr>
        <w:spacing w:before="0" w:after="120"/>
      </w:pPr>
      <w:r w:rsidRPr="0097679F">
        <w:t xml:space="preserve">This submission </w:t>
      </w:r>
      <w:r w:rsidR="008C6BFB">
        <w:t xml:space="preserve">was not </w:t>
      </w:r>
      <w:r w:rsidRPr="0097679F">
        <w:t>considered by DUSC.</w:t>
      </w:r>
    </w:p>
    <w:p w14:paraId="75E23F82" w14:textId="178CDA0B" w:rsidR="004A30FE" w:rsidRDefault="004A30FE" w:rsidP="0049200A">
      <w:pPr>
        <w:pStyle w:val="3-BodyText"/>
        <w:numPr>
          <w:ilvl w:val="1"/>
          <w:numId w:val="1"/>
        </w:numPr>
        <w:spacing w:before="0" w:after="120"/>
      </w:pPr>
      <w:r w:rsidRPr="00D95540">
        <w:t xml:space="preserve">The submission used </w:t>
      </w:r>
      <w:r>
        <w:t>a</w:t>
      </w:r>
      <w:r w:rsidRPr="00D95540">
        <w:t xml:space="preserve"> market share approach to estimate the utilisation and financial </w:t>
      </w:r>
      <w:r w:rsidR="00782D41">
        <w:t>implications</w:t>
      </w:r>
      <w:r w:rsidR="00782D41" w:rsidRPr="00D95540">
        <w:t xml:space="preserve"> </w:t>
      </w:r>
      <w:r w:rsidRPr="00D95540">
        <w:t xml:space="preserve">associated with the PBS listing of </w:t>
      </w:r>
      <w:r>
        <w:t>Xeomin</w:t>
      </w:r>
      <w:r w:rsidRPr="00D95540">
        <w:t xml:space="preserve"> for treating moderate to severe upper limb and lower limb spasticity in patients with cerebral palsy</w:t>
      </w:r>
      <w:r>
        <w:t xml:space="preserve">. </w:t>
      </w:r>
      <w:r w:rsidRPr="00D95540">
        <w:t>This approach was chosen because the botulinum toxin market is well-established and mature, particularly for treating upper and lower limb spasticity in children with cerebral palsy.</w:t>
      </w:r>
      <w:r>
        <w:t xml:space="preserve"> </w:t>
      </w:r>
      <w:r w:rsidR="00B25BDA" w:rsidRPr="00B25BDA">
        <w:t xml:space="preserve">The analysis included the substitution of Botox </w:t>
      </w:r>
      <w:r w:rsidR="00B25BDA">
        <w:t>and</w:t>
      </w:r>
      <w:r w:rsidR="00B25BDA" w:rsidRPr="00B25BDA">
        <w:t xml:space="preserve"> Dysport.</w:t>
      </w:r>
      <w:r w:rsidR="00B25BDA" w:rsidRPr="002632F1">
        <w:rPr>
          <w:iCs/>
        </w:rPr>
        <w:t xml:space="preserve"> </w:t>
      </w:r>
      <w:r w:rsidRPr="002632F1">
        <w:rPr>
          <w:iCs/>
        </w:rPr>
        <w:t>This was reasonable.</w:t>
      </w:r>
    </w:p>
    <w:p w14:paraId="03AB610E" w14:textId="10A2601D" w:rsidR="004A30FE" w:rsidRPr="0097679F" w:rsidRDefault="00AC28AE" w:rsidP="0049200A">
      <w:pPr>
        <w:pStyle w:val="3-BodyText"/>
        <w:numPr>
          <w:ilvl w:val="1"/>
          <w:numId w:val="1"/>
        </w:numPr>
        <w:spacing w:before="0" w:after="120"/>
      </w:pPr>
      <w:r>
        <w:fldChar w:fldCharType="begin"/>
      </w:r>
      <w:r>
        <w:instrText xml:space="preserve"> REF _Ref198638552 \h </w:instrText>
      </w:r>
      <w:r>
        <w:fldChar w:fldCharType="separate"/>
      </w:r>
      <w:r w:rsidR="00AD57D3">
        <w:t xml:space="preserve">Table </w:t>
      </w:r>
      <w:r w:rsidR="00AD57D3">
        <w:rPr>
          <w:noProof/>
        </w:rPr>
        <w:t>11</w:t>
      </w:r>
      <w:r>
        <w:fldChar w:fldCharType="end"/>
      </w:r>
      <w:r w:rsidR="00EF0BE9">
        <w:t xml:space="preserve"> </w:t>
      </w:r>
      <w:r w:rsidR="004A30FE" w:rsidRPr="0097679F">
        <w:t>presents the key inputs used in the financial estimates.</w:t>
      </w:r>
    </w:p>
    <w:p w14:paraId="769E268F" w14:textId="0FDE7D6A" w:rsidR="004A30FE" w:rsidRPr="007F0A45" w:rsidRDefault="007F0A45" w:rsidP="0049200A">
      <w:pPr>
        <w:spacing w:after="0"/>
        <w:jc w:val="left"/>
        <w:rPr>
          <w:rFonts w:asciiTheme="minorHAnsi" w:eastAsiaTheme="minorHAnsi" w:hAnsiTheme="minorHAnsi" w:cstheme="minorBidi"/>
          <w:szCs w:val="22"/>
        </w:rPr>
      </w:pPr>
      <w:r>
        <w:br w:type="page"/>
      </w:r>
    </w:p>
    <w:p w14:paraId="050E4359" w14:textId="36EFBB69" w:rsidR="00A63BF6" w:rsidRDefault="00A63BF6" w:rsidP="0049200A">
      <w:pPr>
        <w:pStyle w:val="TableFigureHeading"/>
      </w:pPr>
      <w:bookmarkStart w:id="75" w:name="_Ref198638552"/>
      <w:r>
        <w:lastRenderedPageBreak/>
        <w:t xml:space="preserve">Table </w:t>
      </w:r>
      <w:r>
        <w:fldChar w:fldCharType="begin"/>
      </w:r>
      <w:r>
        <w:instrText xml:space="preserve"> SEQ Table \* ARABIC </w:instrText>
      </w:r>
      <w:r>
        <w:fldChar w:fldCharType="separate"/>
      </w:r>
      <w:r w:rsidR="00AD57D3">
        <w:rPr>
          <w:noProof/>
        </w:rPr>
        <w:t>11</w:t>
      </w:r>
      <w:r>
        <w:rPr>
          <w:noProof/>
        </w:rPr>
        <w:fldChar w:fldCharType="end"/>
      </w:r>
      <w:bookmarkEnd w:id="75"/>
      <w:r>
        <w:t xml:space="preserve">: </w:t>
      </w:r>
      <w:r w:rsidRPr="00D43453">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Key inputs for financial estimates"/>
      </w:tblPr>
      <w:tblGrid>
        <w:gridCol w:w="1938"/>
        <w:gridCol w:w="947"/>
        <w:gridCol w:w="2314"/>
        <w:gridCol w:w="3818"/>
      </w:tblGrid>
      <w:tr w:rsidR="004A30FE" w:rsidRPr="000919C8" w14:paraId="60116C34" w14:textId="77777777" w:rsidTr="00A63BF6">
        <w:trPr>
          <w:tblHeader/>
        </w:trPr>
        <w:tc>
          <w:tcPr>
            <w:tcW w:w="1075" w:type="pct"/>
            <w:vAlign w:val="center"/>
          </w:tcPr>
          <w:p w14:paraId="69D12127" w14:textId="77777777" w:rsidR="004A30FE" w:rsidRPr="003A0662" w:rsidRDefault="004A30FE" w:rsidP="0049200A">
            <w:pPr>
              <w:pStyle w:val="In-tableHeading"/>
              <w:jc w:val="center"/>
            </w:pPr>
            <w:r w:rsidRPr="003A0662">
              <w:t>Data</w:t>
            </w:r>
          </w:p>
        </w:tc>
        <w:tc>
          <w:tcPr>
            <w:tcW w:w="525" w:type="pct"/>
            <w:vAlign w:val="center"/>
          </w:tcPr>
          <w:p w14:paraId="16F1CEA1" w14:textId="77777777" w:rsidR="004A30FE" w:rsidRPr="003A0662" w:rsidRDefault="004A30FE" w:rsidP="0049200A">
            <w:pPr>
              <w:pStyle w:val="In-tableHeading"/>
              <w:jc w:val="center"/>
            </w:pPr>
            <w:r w:rsidRPr="003A0662">
              <w:t>Value</w:t>
            </w:r>
          </w:p>
        </w:tc>
        <w:tc>
          <w:tcPr>
            <w:tcW w:w="1283" w:type="pct"/>
            <w:vAlign w:val="center"/>
          </w:tcPr>
          <w:p w14:paraId="5590BAD2" w14:textId="77777777" w:rsidR="004A30FE" w:rsidRPr="003A0662" w:rsidRDefault="004A30FE" w:rsidP="0049200A">
            <w:pPr>
              <w:pStyle w:val="In-tableHeading"/>
              <w:jc w:val="center"/>
            </w:pPr>
            <w:r w:rsidRPr="003A0662">
              <w:t>Source</w:t>
            </w:r>
          </w:p>
        </w:tc>
        <w:tc>
          <w:tcPr>
            <w:tcW w:w="2117" w:type="pct"/>
            <w:vAlign w:val="center"/>
          </w:tcPr>
          <w:p w14:paraId="2C5BFD4E" w14:textId="77777777" w:rsidR="004A30FE" w:rsidRPr="003A0662" w:rsidRDefault="004A30FE" w:rsidP="0049200A">
            <w:pPr>
              <w:pStyle w:val="In-tableHeading"/>
              <w:jc w:val="center"/>
            </w:pPr>
            <w:r w:rsidRPr="003A0662">
              <w:t>Comment</w:t>
            </w:r>
          </w:p>
        </w:tc>
      </w:tr>
      <w:tr w:rsidR="004A30FE" w:rsidRPr="000919C8" w14:paraId="658EBC5F" w14:textId="77777777" w:rsidTr="00F75C77">
        <w:tc>
          <w:tcPr>
            <w:tcW w:w="5000" w:type="pct"/>
            <w:gridSpan w:val="4"/>
            <w:vAlign w:val="center"/>
          </w:tcPr>
          <w:p w14:paraId="1771030D" w14:textId="77777777" w:rsidR="004A30FE" w:rsidRPr="000919C8" w:rsidRDefault="004A30FE" w:rsidP="0049200A">
            <w:pPr>
              <w:pStyle w:val="In-tableHeading"/>
              <w:rPr>
                <w:lang w:val="en-AU"/>
              </w:rPr>
            </w:pPr>
            <w:r w:rsidRPr="000919C8">
              <w:rPr>
                <w:lang w:val="en-AU"/>
              </w:rPr>
              <w:t>Eligible population</w:t>
            </w:r>
          </w:p>
        </w:tc>
      </w:tr>
      <w:tr w:rsidR="004A30FE" w:rsidRPr="000919C8" w14:paraId="24B7B140" w14:textId="77777777" w:rsidTr="00A63BF6">
        <w:tc>
          <w:tcPr>
            <w:tcW w:w="1075" w:type="pct"/>
            <w:vAlign w:val="center"/>
          </w:tcPr>
          <w:p w14:paraId="2FDD80A0" w14:textId="61A09520" w:rsidR="004A30FE" w:rsidRPr="000919C8" w:rsidRDefault="004A30FE" w:rsidP="0049200A">
            <w:pPr>
              <w:pStyle w:val="TableText0"/>
              <w:keepNext w:val="0"/>
              <w:keepLines w:val="0"/>
              <w:rPr>
                <w:i/>
                <w:iCs/>
              </w:rPr>
            </w:pPr>
            <w:r>
              <w:t>Current botulin</w:t>
            </w:r>
            <w:r w:rsidR="00AD2239">
              <w:t>um</w:t>
            </w:r>
            <w:r>
              <w:t xml:space="preserve"> toxin market size</w:t>
            </w:r>
            <w:r w:rsidR="00817DCE">
              <w:t xml:space="preserve"> (number of PBS services)</w:t>
            </w:r>
          </w:p>
        </w:tc>
        <w:tc>
          <w:tcPr>
            <w:tcW w:w="525" w:type="pct"/>
            <w:vAlign w:val="center"/>
          </w:tcPr>
          <w:p w14:paraId="5F9C341E" w14:textId="350436B9" w:rsidR="004A30FE" w:rsidRPr="000919C8" w:rsidRDefault="004A30FE" w:rsidP="0049200A">
            <w:pPr>
              <w:pStyle w:val="TableText0"/>
              <w:keepNext w:val="0"/>
              <w:keepLines w:val="0"/>
              <w:jc w:val="center"/>
              <w:rPr>
                <w:i/>
                <w:iCs/>
              </w:rPr>
            </w:pPr>
            <w:r w:rsidRPr="00142CDC">
              <w:t>4,724</w:t>
            </w:r>
            <w:r w:rsidR="00A876C4" w:rsidRPr="00142CDC">
              <w:t>;</w:t>
            </w:r>
            <w:r w:rsidR="00A876C4">
              <w:t xml:space="preserve"> </w:t>
            </w:r>
            <w:r w:rsidR="00A876C4" w:rsidRPr="00AD5E26">
              <w:t xml:space="preserve">Botox: 93%, Dysport: </w:t>
            </w:r>
            <w:r w:rsidR="001C5B4F" w:rsidRPr="00AD5E26">
              <w:t>7%</w:t>
            </w:r>
          </w:p>
        </w:tc>
        <w:tc>
          <w:tcPr>
            <w:tcW w:w="1283" w:type="pct"/>
            <w:vAlign w:val="center"/>
          </w:tcPr>
          <w:p w14:paraId="0688535F" w14:textId="1259C5D6" w:rsidR="004A30FE" w:rsidRPr="000919C8" w:rsidRDefault="004A30FE" w:rsidP="0049200A">
            <w:pPr>
              <w:pStyle w:val="TableText0"/>
              <w:keepNext w:val="0"/>
              <w:keepLines w:val="0"/>
              <w:rPr>
                <w:i/>
                <w:iCs/>
              </w:rPr>
            </w:pPr>
            <w:r w:rsidRPr="000919C8">
              <w:t xml:space="preserve">PBS usage data </w:t>
            </w:r>
            <w:r>
              <w:t xml:space="preserve">for Botox and Dysport items </w:t>
            </w:r>
            <w:r w:rsidRPr="000919C8">
              <w:t>(202</w:t>
            </w:r>
            <w:r>
              <w:t>4</w:t>
            </w:r>
            <w:r w:rsidRPr="000919C8">
              <w:t>).</w:t>
            </w:r>
          </w:p>
        </w:tc>
        <w:tc>
          <w:tcPr>
            <w:tcW w:w="2117" w:type="pct"/>
            <w:vAlign w:val="center"/>
          </w:tcPr>
          <w:p w14:paraId="36F30947" w14:textId="75348F56" w:rsidR="004A30FE" w:rsidRPr="009D1C26" w:rsidRDefault="004A30FE" w:rsidP="0049200A">
            <w:pPr>
              <w:pStyle w:val="TableText0"/>
              <w:rPr>
                <w:iCs/>
              </w:rPr>
            </w:pPr>
            <w:r w:rsidRPr="009D1C26">
              <w:rPr>
                <w:iCs/>
              </w:rPr>
              <w:t>This was reasonable.</w:t>
            </w:r>
          </w:p>
        </w:tc>
      </w:tr>
      <w:tr w:rsidR="004A30FE" w:rsidRPr="000919C8" w14:paraId="1DD97AB0" w14:textId="77777777" w:rsidTr="00A63BF6">
        <w:tc>
          <w:tcPr>
            <w:tcW w:w="1075" w:type="pct"/>
            <w:vAlign w:val="center"/>
          </w:tcPr>
          <w:p w14:paraId="3617B087" w14:textId="7F143EB0" w:rsidR="004A30FE" w:rsidRPr="000919C8" w:rsidRDefault="004A30FE" w:rsidP="0049200A">
            <w:pPr>
              <w:pStyle w:val="TableText0"/>
              <w:keepNext w:val="0"/>
              <w:keepLines w:val="0"/>
              <w:rPr>
                <w:i/>
                <w:iCs/>
              </w:rPr>
            </w:pPr>
            <w:r w:rsidRPr="000919C8">
              <w:t xml:space="preserve">Annual growth in </w:t>
            </w:r>
            <w:r>
              <w:t>botulin</w:t>
            </w:r>
            <w:r w:rsidR="00AD2239">
              <w:t>um</w:t>
            </w:r>
            <w:r>
              <w:t xml:space="preserve"> toxin </w:t>
            </w:r>
            <w:r w:rsidRPr="000919C8">
              <w:t>scripts</w:t>
            </w:r>
          </w:p>
        </w:tc>
        <w:tc>
          <w:tcPr>
            <w:tcW w:w="525" w:type="pct"/>
            <w:vAlign w:val="center"/>
          </w:tcPr>
          <w:p w14:paraId="45DC016F" w14:textId="77777777" w:rsidR="004A30FE" w:rsidRPr="000919C8" w:rsidRDefault="004A30FE" w:rsidP="0049200A">
            <w:pPr>
              <w:pStyle w:val="TableText0"/>
              <w:keepNext w:val="0"/>
              <w:keepLines w:val="0"/>
              <w:jc w:val="center"/>
              <w:rPr>
                <w:i/>
                <w:iCs/>
              </w:rPr>
            </w:pPr>
            <w:r>
              <w:t>4.1%</w:t>
            </w:r>
          </w:p>
        </w:tc>
        <w:tc>
          <w:tcPr>
            <w:tcW w:w="1283" w:type="pct"/>
            <w:vAlign w:val="center"/>
          </w:tcPr>
          <w:p w14:paraId="242FE9B9" w14:textId="77777777" w:rsidR="004A30FE" w:rsidRPr="000919C8" w:rsidRDefault="004A30FE" w:rsidP="0049200A">
            <w:pPr>
              <w:pStyle w:val="TableText0"/>
              <w:keepNext w:val="0"/>
              <w:keepLines w:val="0"/>
              <w:rPr>
                <w:i/>
                <w:iCs/>
                <w:highlight w:val="yellow"/>
              </w:rPr>
            </w:pPr>
            <w:r w:rsidRPr="000919C8">
              <w:t>PBS usage data (202</w:t>
            </w:r>
            <w:r>
              <w:t>0</w:t>
            </w:r>
            <w:r w:rsidRPr="000919C8">
              <w:t>-202</w:t>
            </w:r>
            <w:r>
              <w:t>4</w:t>
            </w:r>
            <w:r w:rsidRPr="000919C8">
              <w:t>)</w:t>
            </w:r>
            <w:r>
              <w:t>; Averaged growth rates.</w:t>
            </w:r>
          </w:p>
        </w:tc>
        <w:tc>
          <w:tcPr>
            <w:tcW w:w="2117" w:type="pct"/>
            <w:vAlign w:val="center"/>
          </w:tcPr>
          <w:p w14:paraId="5D263559" w14:textId="4B88DCBD" w:rsidR="004A30FE" w:rsidRPr="009D1C26" w:rsidRDefault="004A30FE" w:rsidP="0049200A">
            <w:pPr>
              <w:pStyle w:val="TableText0"/>
              <w:keepNext w:val="0"/>
              <w:keepLines w:val="0"/>
              <w:rPr>
                <w:iCs/>
              </w:rPr>
            </w:pPr>
            <w:r w:rsidRPr="009D1C26">
              <w:rPr>
                <w:iCs/>
              </w:rPr>
              <w:t>The assumed constant growth rate of 4.1% per year from 2025 to 2030 was uncertain. Between 2023 and 2024, the combined growth rate for Botox and Dysport was 10%.</w:t>
            </w:r>
          </w:p>
        </w:tc>
      </w:tr>
      <w:tr w:rsidR="004A30FE" w:rsidRPr="000919C8" w14:paraId="4EDE6C89" w14:textId="77777777" w:rsidTr="00F75C77">
        <w:tc>
          <w:tcPr>
            <w:tcW w:w="5000" w:type="pct"/>
            <w:gridSpan w:val="4"/>
            <w:vAlign w:val="center"/>
          </w:tcPr>
          <w:p w14:paraId="3B44863C" w14:textId="77777777" w:rsidR="004A30FE" w:rsidRPr="000919C8" w:rsidRDefault="004A30FE" w:rsidP="0049200A">
            <w:pPr>
              <w:pStyle w:val="TableText0"/>
              <w:keepNext w:val="0"/>
              <w:keepLines w:val="0"/>
              <w:rPr>
                <w:b/>
                <w:bCs w:val="0"/>
                <w:i/>
                <w:iCs/>
              </w:rPr>
            </w:pPr>
            <w:r w:rsidRPr="000919C8">
              <w:rPr>
                <w:b/>
              </w:rPr>
              <w:t>Treatment utili</w:t>
            </w:r>
            <w:r>
              <w:rPr>
                <w:b/>
              </w:rPr>
              <w:t>s</w:t>
            </w:r>
            <w:r w:rsidRPr="000919C8">
              <w:rPr>
                <w:b/>
              </w:rPr>
              <w:t>ation</w:t>
            </w:r>
          </w:p>
        </w:tc>
      </w:tr>
      <w:tr w:rsidR="004A30FE" w:rsidRPr="000919C8" w14:paraId="40CC24C9" w14:textId="77777777" w:rsidTr="00A63BF6">
        <w:tc>
          <w:tcPr>
            <w:tcW w:w="1075" w:type="pct"/>
            <w:vAlign w:val="center"/>
          </w:tcPr>
          <w:p w14:paraId="45F69B36" w14:textId="107E0F32" w:rsidR="004A30FE" w:rsidRPr="000919C8" w:rsidRDefault="004A30FE" w:rsidP="0049200A">
            <w:pPr>
              <w:pStyle w:val="TableText0"/>
              <w:keepNext w:val="0"/>
              <w:keepLines w:val="0"/>
              <w:rPr>
                <w:i/>
                <w:iCs/>
              </w:rPr>
            </w:pPr>
            <w:bookmarkStart w:id="76" w:name="_Hlk195003270"/>
            <w:r>
              <w:t>Xeomin</w:t>
            </w:r>
            <w:r>
              <w:rPr>
                <w:vertAlign w:val="superscript"/>
              </w:rPr>
              <w:t xml:space="preserve"> </w:t>
            </w:r>
            <w:bookmarkEnd w:id="76"/>
            <w:r>
              <w:t xml:space="preserve">substitution of Botox and Dysport </w:t>
            </w:r>
          </w:p>
        </w:tc>
        <w:tc>
          <w:tcPr>
            <w:tcW w:w="525" w:type="pct"/>
            <w:vAlign w:val="center"/>
          </w:tcPr>
          <w:p w14:paraId="20AD3F7C" w14:textId="6A0AB7B4" w:rsidR="004A30FE" w:rsidRDefault="004A30FE" w:rsidP="0049200A">
            <w:pPr>
              <w:pStyle w:val="TableText0"/>
              <w:keepNext w:val="0"/>
              <w:keepLines w:val="0"/>
              <w:jc w:val="center"/>
            </w:pPr>
            <w:r w:rsidRPr="000919C8">
              <w:t>Y1</w:t>
            </w:r>
            <w:r>
              <w:t xml:space="preserve">: </w:t>
            </w:r>
            <w:r w:rsidR="000C2A4B" w:rsidRPr="000C2A4B">
              <w:rPr>
                <w:color w:val="000000"/>
                <w:spacing w:val="166"/>
                <w:shd w:val="solid" w:color="000000" w:fill="000000"/>
                <w:fitText w:val="252" w:id="-632147968"/>
                <w14:textFill>
                  <w14:solidFill>
                    <w14:srgbClr w14:val="000000">
                      <w14:alpha w14:val="100000"/>
                    </w14:srgbClr>
                  </w14:solidFill>
                </w14:textFill>
              </w:rPr>
              <w:t>|</w:t>
            </w:r>
            <w:r w:rsidR="000C2A4B" w:rsidRPr="000C2A4B">
              <w:rPr>
                <w:color w:val="000000"/>
                <w:shd w:val="solid" w:color="000000" w:fill="000000"/>
                <w:fitText w:val="252" w:id="-632147968"/>
                <w14:textFill>
                  <w14:solidFill>
                    <w14:srgbClr w14:val="000000">
                      <w14:alpha w14:val="100000"/>
                    </w14:srgbClr>
                  </w14:solidFill>
                </w14:textFill>
              </w:rPr>
              <w:t>|</w:t>
            </w:r>
            <w:r>
              <w:t>%</w:t>
            </w:r>
          </w:p>
          <w:p w14:paraId="31693BDC" w14:textId="6C734F24" w:rsidR="004A30FE" w:rsidRDefault="004A30FE" w:rsidP="0049200A">
            <w:pPr>
              <w:pStyle w:val="TableText0"/>
              <w:keepNext w:val="0"/>
              <w:keepLines w:val="0"/>
              <w:jc w:val="center"/>
            </w:pPr>
            <w:r>
              <w:t xml:space="preserve">Y2: </w:t>
            </w:r>
            <w:r w:rsidR="000C2A4B" w:rsidRPr="000C2A4B">
              <w:rPr>
                <w:color w:val="000000"/>
                <w:spacing w:val="166"/>
                <w:shd w:val="solid" w:color="000000" w:fill="000000"/>
                <w:fitText w:val="252" w:id="-632147967"/>
                <w14:textFill>
                  <w14:solidFill>
                    <w14:srgbClr w14:val="000000">
                      <w14:alpha w14:val="100000"/>
                    </w14:srgbClr>
                  </w14:solidFill>
                </w14:textFill>
              </w:rPr>
              <w:t>|</w:t>
            </w:r>
            <w:r w:rsidR="000C2A4B" w:rsidRPr="000C2A4B">
              <w:rPr>
                <w:color w:val="000000"/>
                <w:shd w:val="solid" w:color="000000" w:fill="000000"/>
                <w:fitText w:val="252" w:id="-632147967"/>
                <w14:textFill>
                  <w14:solidFill>
                    <w14:srgbClr w14:val="000000">
                      <w14:alpha w14:val="100000"/>
                    </w14:srgbClr>
                  </w14:solidFill>
                </w14:textFill>
              </w:rPr>
              <w:t>|</w:t>
            </w:r>
            <w:r>
              <w:t>%</w:t>
            </w:r>
          </w:p>
          <w:p w14:paraId="2D2A2929" w14:textId="36824D83" w:rsidR="004A30FE" w:rsidRDefault="004A30FE" w:rsidP="0049200A">
            <w:pPr>
              <w:pStyle w:val="TableText0"/>
              <w:keepNext w:val="0"/>
              <w:keepLines w:val="0"/>
              <w:jc w:val="center"/>
            </w:pPr>
            <w:r w:rsidRPr="000919C8">
              <w:t>Y</w:t>
            </w:r>
            <w:r>
              <w:t xml:space="preserve">3: </w:t>
            </w:r>
            <w:r w:rsidR="000C2A4B" w:rsidRPr="000C2A4B">
              <w:rPr>
                <w:color w:val="000000"/>
                <w:spacing w:val="166"/>
                <w:shd w:val="solid" w:color="000000" w:fill="000000"/>
                <w:fitText w:val="252" w:id="-632147966"/>
                <w14:textFill>
                  <w14:solidFill>
                    <w14:srgbClr w14:val="000000">
                      <w14:alpha w14:val="100000"/>
                    </w14:srgbClr>
                  </w14:solidFill>
                </w14:textFill>
              </w:rPr>
              <w:t>|</w:t>
            </w:r>
            <w:r w:rsidR="000C2A4B" w:rsidRPr="000C2A4B">
              <w:rPr>
                <w:color w:val="000000"/>
                <w:shd w:val="solid" w:color="000000" w:fill="000000"/>
                <w:fitText w:val="252" w:id="-632147966"/>
                <w14:textFill>
                  <w14:solidFill>
                    <w14:srgbClr w14:val="000000">
                      <w14:alpha w14:val="100000"/>
                    </w14:srgbClr>
                  </w14:solidFill>
                </w14:textFill>
              </w:rPr>
              <w:t>|</w:t>
            </w:r>
            <w:r>
              <w:t>%</w:t>
            </w:r>
          </w:p>
          <w:p w14:paraId="4579D340" w14:textId="74E143B3" w:rsidR="004A30FE" w:rsidRDefault="004A30FE" w:rsidP="0049200A">
            <w:pPr>
              <w:pStyle w:val="TableText0"/>
              <w:keepNext w:val="0"/>
              <w:keepLines w:val="0"/>
              <w:jc w:val="center"/>
            </w:pPr>
            <w:r>
              <w:t xml:space="preserve">Y4: </w:t>
            </w:r>
            <w:r w:rsidR="000C2A4B" w:rsidRPr="000C2A4B">
              <w:rPr>
                <w:color w:val="000000"/>
                <w:spacing w:val="166"/>
                <w:shd w:val="solid" w:color="000000" w:fill="000000"/>
                <w:fitText w:val="252" w:id="-632147965"/>
                <w14:textFill>
                  <w14:solidFill>
                    <w14:srgbClr w14:val="000000">
                      <w14:alpha w14:val="100000"/>
                    </w14:srgbClr>
                  </w14:solidFill>
                </w14:textFill>
              </w:rPr>
              <w:t>|</w:t>
            </w:r>
            <w:r w:rsidR="000C2A4B" w:rsidRPr="000C2A4B">
              <w:rPr>
                <w:color w:val="000000"/>
                <w:shd w:val="solid" w:color="000000" w:fill="000000"/>
                <w:fitText w:val="252" w:id="-632147965"/>
                <w14:textFill>
                  <w14:solidFill>
                    <w14:srgbClr w14:val="000000">
                      <w14:alpha w14:val="100000"/>
                    </w14:srgbClr>
                  </w14:solidFill>
                </w14:textFill>
              </w:rPr>
              <w:t>|</w:t>
            </w:r>
            <w:r>
              <w:t>%</w:t>
            </w:r>
          </w:p>
          <w:p w14:paraId="6DAA116B" w14:textId="1703E6E3" w:rsidR="004A30FE" w:rsidRDefault="004A30FE" w:rsidP="0049200A">
            <w:pPr>
              <w:pStyle w:val="TableText0"/>
              <w:keepNext w:val="0"/>
              <w:keepLines w:val="0"/>
              <w:jc w:val="center"/>
            </w:pPr>
            <w:r w:rsidRPr="000919C8">
              <w:t>Y</w:t>
            </w:r>
            <w:r>
              <w:t xml:space="preserve">5: </w:t>
            </w:r>
            <w:r w:rsidR="000C2A4B" w:rsidRPr="000C2A4B">
              <w:rPr>
                <w:color w:val="000000"/>
                <w:spacing w:val="166"/>
                <w:shd w:val="solid" w:color="000000" w:fill="000000"/>
                <w:fitText w:val="252" w:id="-632147964"/>
                <w14:textFill>
                  <w14:solidFill>
                    <w14:srgbClr w14:val="000000">
                      <w14:alpha w14:val="100000"/>
                    </w14:srgbClr>
                  </w14:solidFill>
                </w14:textFill>
              </w:rPr>
              <w:t>|</w:t>
            </w:r>
            <w:r w:rsidR="000C2A4B" w:rsidRPr="000C2A4B">
              <w:rPr>
                <w:color w:val="000000"/>
                <w:shd w:val="solid" w:color="000000" w:fill="000000"/>
                <w:fitText w:val="252" w:id="-632147964"/>
                <w14:textFill>
                  <w14:solidFill>
                    <w14:srgbClr w14:val="000000">
                      <w14:alpha w14:val="100000"/>
                    </w14:srgbClr>
                  </w14:solidFill>
                </w14:textFill>
              </w:rPr>
              <w:t>|</w:t>
            </w:r>
            <w:r>
              <w:t>%</w:t>
            </w:r>
          </w:p>
          <w:p w14:paraId="19D8A1BE" w14:textId="1FECC33C" w:rsidR="004A30FE" w:rsidRPr="0073711D" w:rsidRDefault="004A30FE" w:rsidP="0049200A">
            <w:pPr>
              <w:pStyle w:val="TableText0"/>
              <w:keepNext w:val="0"/>
              <w:keepLines w:val="0"/>
              <w:jc w:val="center"/>
            </w:pPr>
            <w:r>
              <w:t xml:space="preserve">Y6: </w:t>
            </w:r>
            <w:r w:rsidR="000C2A4B" w:rsidRPr="000C2A4B">
              <w:rPr>
                <w:color w:val="000000"/>
                <w:spacing w:val="166"/>
                <w:shd w:val="solid" w:color="000000" w:fill="000000"/>
                <w:fitText w:val="252" w:id="-632147963"/>
                <w14:textFill>
                  <w14:solidFill>
                    <w14:srgbClr w14:val="000000">
                      <w14:alpha w14:val="100000"/>
                    </w14:srgbClr>
                  </w14:solidFill>
                </w14:textFill>
              </w:rPr>
              <w:t>|</w:t>
            </w:r>
            <w:r w:rsidR="000C2A4B" w:rsidRPr="000C2A4B">
              <w:rPr>
                <w:color w:val="000000"/>
                <w:shd w:val="solid" w:color="000000" w:fill="000000"/>
                <w:fitText w:val="252" w:id="-632147963"/>
                <w14:textFill>
                  <w14:solidFill>
                    <w14:srgbClr w14:val="000000">
                      <w14:alpha w14:val="100000"/>
                    </w14:srgbClr>
                  </w14:solidFill>
                </w14:textFill>
              </w:rPr>
              <w:t>|</w:t>
            </w:r>
            <w:r>
              <w:t>%</w:t>
            </w:r>
          </w:p>
        </w:tc>
        <w:tc>
          <w:tcPr>
            <w:tcW w:w="1283" w:type="pct"/>
            <w:vAlign w:val="center"/>
          </w:tcPr>
          <w:p w14:paraId="26C1A9E0" w14:textId="12E1A0B1" w:rsidR="004A30FE" w:rsidRPr="000919C8" w:rsidRDefault="004A30FE" w:rsidP="0049200A">
            <w:pPr>
              <w:pStyle w:val="TableText0"/>
              <w:keepNext w:val="0"/>
              <w:keepLines w:val="0"/>
              <w:rPr>
                <w:i/>
                <w:iCs/>
              </w:rPr>
            </w:pPr>
            <w:r>
              <w:t>Submission projections.</w:t>
            </w:r>
          </w:p>
        </w:tc>
        <w:tc>
          <w:tcPr>
            <w:tcW w:w="2117" w:type="pct"/>
            <w:vAlign w:val="center"/>
          </w:tcPr>
          <w:p w14:paraId="6E9EC486" w14:textId="09C7C3B7" w:rsidR="004A30FE" w:rsidRPr="00F56159" w:rsidRDefault="004A30FE" w:rsidP="0049200A">
            <w:pPr>
              <w:pStyle w:val="TableText0"/>
              <w:keepNext w:val="0"/>
              <w:keepLines w:val="0"/>
              <w:rPr>
                <w:iCs/>
              </w:rPr>
            </w:pPr>
            <w:r w:rsidRPr="00F56159">
              <w:rPr>
                <w:iCs/>
              </w:rPr>
              <w:t xml:space="preserve">Likely underestimated. Uptake in initial years may be higher as specialists are already familiar with Xeomin. In its advice to the PBAC regarding Xeomin for treating chronic sialorrhea, the DUSC considered that clinicians would not require training as they would be familiar with its use off-label, particularly for patients in palliative care (DUSC advice to </w:t>
            </w:r>
            <w:r w:rsidR="007C48E0" w:rsidRPr="00F56159">
              <w:rPr>
                <w:iCs/>
              </w:rPr>
              <w:t xml:space="preserve">the </w:t>
            </w:r>
            <w:r w:rsidRPr="00F56159">
              <w:rPr>
                <w:iCs/>
              </w:rPr>
              <w:t>PBAC for chronic sialorrhea).</w:t>
            </w:r>
          </w:p>
          <w:p w14:paraId="5BE633D3" w14:textId="77777777" w:rsidR="004A30FE" w:rsidRPr="002632F1" w:rsidRDefault="004A30FE" w:rsidP="0049200A">
            <w:pPr>
              <w:pStyle w:val="TableText0"/>
              <w:keepNext w:val="0"/>
              <w:keepLines w:val="0"/>
            </w:pPr>
          </w:p>
          <w:p w14:paraId="295F1C44" w14:textId="77777777" w:rsidR="004A30FE" w:rsidRPr="00F56159" w:rsidRDefault="004A30FE" w:rsidP="0049200A">
            <w:pPr>
              <w:pStyle w:val="TableText0"/>
              <w:keepNext w:val="0"/>
              <w:keepLines w:val="0"/>
              <w:rPr>
                <w:iCs/>
              </w:rPr>
            </w:pPr>
            <w:r w:rsidRPr="00F56159">
              <w:rPr>
                <w:iCs/>
              </w:rPr>
              <w:t>Additionally, no evidence was provided regarding how these uptake rates were estimated, nor was a rationale given for the varying uptake rates across the first 6 years of listing. The submission included a sensitivity analysis that varied uptake rates by ±20%.</w:t>
            </w:r>
          </w:p>
        </w:tc>
      </w:tr>
      <w:tr w:rsidR="004A30FE" w:rsidRPr="000919C8" w14:paraId="4BF4F6EC" w14:textId="77777777" w:rsidTr="00F75C77">
        <w:tc>
          <w:tcPr>
            <w:tcW w:w="5000" w:type="pct"/>
            <w:gridSpan w:val="4"/>
            <w:vAlign w:val="center"/>
          </w:tcPr>
          <w:p w14:paraId="72AC02D1" w14:textId="5B9C55CC" w:rsidR="004A30FE" w:rsidRPr="000A42F6" w:rsidRDefault="004A30FE" w:rsidP="0049200A">
            <w:pPr>
              <w:pStyle w:val="TableText0"/>
              <w:keepNext w:val="0"/>
              <w:keepLines w:val="0"/>
              <w:rPr>
                <w:b/>
                <w:bCs w:val="0"/>
                <w:i/>
                <w:iCs/>
              </w:rPr>
            </w:pPr>
            <w:r w:rsidRPr="000A42F6">
              <w:rPr>
                <w:b/>
                <w:bCs w:val="0"/>
              </w:rPr>
              <w:t>Script equivalence</w:t>
            </w:r>
          </w:p>
        </w:tc>
      </w:tr>
      <w:tr w:rsidR="004A30FE" w:rsidRPr="000919C8" w14:paraId="3A827509" w14:textId="77777777" w:rsidTr="00A63BF6">
        <w:tc>
          <w:tcPr>
            <w:tcW w:w="1075" w:type="pct"/>
            <w:vAlign w:val="center"/>
          </w:tcPr>
          <w:p w14:paraId="0FB1A443" w14:textId="56213CB2" w:rsidR="004A30FE" w:rsidRPr="000919C8" w:rsidRDefault="004A30FE" w:rsidP="0049200A">
            <w:pPr>
              <w:pStyle w:val="TableText0"/>
              <w:keepNext w:val="0"/>
              <w:keepLines w:val="0"/>
              <w:rPr>
                <w:i/>
                <w:iCs/>
              </w:rPr>
            </w:pPr>
            <w:r w:rsidRPr="000919C8">
              <w:t>Script equivalence (</w:t>
            </w:r>
            <w:r>
              <w:t>Xeomin vs Botox</w:t>
            </w:r>
            <w:r w:rsidRPr="000919C8">
              <w:t>)</w:t>
            </w:r>
          </w:p>
        </w:tc>
        <w:tc>
          <w:tcPr>
            <w:tcW w:w="525" w:type="pct"/>
            <w:vAlign w:val="center"/>
          </w:tcPr>
          <w:p w14:paraId="2CF760BA" w14:textId="77777777" w:rsidR="004A30FE" w:rsidRPr="00BD7AE9" w:rsidRDefault="004A30FE" w:rsidP="0049200A">
            <w:pPr>
              <w:pStyle w:val="TableText0"/>
              <w:keepNext w:val="0"/>
              <w:keepLines w:val="0"/>
              <w:jc w:val="center"/>
              <w:rPr>
                <w:i/>
                <w:iCs/>
              </w:rPr>
            </w:pPr>
            <w:r>
              <w:t>1:1</w:t>
            </w:r>
          </w:p>
        </w:tc>
        <w:tc>
          <w:tcPr>
            <w:tcW w:w="1283" w:type="pct"/>
            <w:vAlign w:val="center"/>
          </w:tcPr>
          <w:p w14:paraId="294696DD" w14:textId="42FD9975" w:rsidR="004A30FE" w:rsidRPr="00BD7AE9" w:rsidRDefault="004A30FE" w:rsidP="0049200A">
            <w:pPr>
              <w:pStyle w:val="TableText0"/>
              <w:keepNext w:val="0"/>
              <w:keepLines w:val="0"/>
              <w:rPr>
                <w:i/>
                <w:iCs/>
              </w:rPr>
            </w:pPr>
            <w:r>
              <w:t>Xeomin</w:t>
            </w:r>
            <w:r w:rsidRPr="00A91C45">
              <w:t xml:space="preserve"> and </w:t>
            </w:r>
            <w:r>
              <w:t>Botox</w:t>
            </w:r>
            <w:r w:rsidRPr="00A91C45">
              <w:t xml:space="preserve"> are equivalent on a </w:t>
            </w:r>
            <w:r>
              <w:t>unit-per-patient</w:t>
            </w:r>
            <w:r w:rsidRPr="00A91C45">
              <w:t xml:space="preserve"> basis</w:t>
            </w:r>
            <w:r>
              <w:t>.</w:t>
            </w:r>
          </w:p>
        </w:tc>
        <w:tc>
          <w:tcPr>
            <w:tcW w:w="2117" w:type="pct"/>
            <w:vAlign w:val="center"/>
          </w:tcPr>
          <w:p w14:paraId="47EF59A3" w14:textId="4FABEBCB" w:rsidR="00667B73" w:rsidRPr="00F56159" w:rsidRDefault="004A30FE" w:rsidP="0049200A">
            <w:pPr>
              <w:pStyle w:val="TableText0"/>
              <w:keepNext w:val="0"/>
              <w:keepLines w:val="0"/>
              <w:rPr>
                <w:iCs/>
              </w:rPr>
            </w:pPr>
            <w:r w:rsidRPr="00F56159">
              <w:rPr>
                <w:iCs/>
              </w:rPr>
              <w:t>This was reasonable. The PBAC previously</w:t>
            </w:r>
            <w:r w:rsidRPr="00F56159" w:rsidDel="00727922">
              <w:rPr>
                <w:iCs/>
              </w:rPr>
              <w:t xml:space="preserve"> </w:t>
            </w:r>
            <w:r w:rsidR="00727922" w:rsidRPr="00F56159">
              <w:rPr>
                <w:iCs/>
              </w:rPr>
              <w:t xml:space="preserve">considered </w:t>
            </w:r>
            <w:r w:rsidRPr="00F56159">
              <w:rPr>
                <w:iCs/>
              </w:rPr>
              <w:t>that Xeomin is non-inferior to Botox in terms of efficacy and safety for treating cervical dystonia, blepharospasm, and post-stroke upper limb spasticity at a 1:1 dose ratio (paragraph 7.7-7.8, Xeomin, PSD, July 2014 PBAC Meeting). Additionally, the TGA evaluator noted that, at face value, the assumed 1:1 therapeutic equivalence ratio between Botox and Xeomin was reasonable for the proposed spasticity indications (</w:t>
            </w:r>
            <w:r w:rsidR="00352A81" w:rsidRPr="00F56159">
              <w:rPr>
                <w:iCs/>
              </w:rPr>
              <w:t>TGA</w:t>
            </w:r>
            <w:r w:rsidRPr="00F56159">
              <w:rPr>
                <w:iCs/>
              </w:rPr>
              <w:t xml:space="preserve"> </w:t>
            </w:r>
            <w:r w:rsidR="00352A81" w:rsidRPr="00F56159">
              <w:rPr>
                <w:iCs/>
              </w:rPr>
              <w:t>CER</w:t>
            </w:r>
            <w:r w:rsidRPr="00F56159">
              <w:rPr>
                <w:iCs/>
              </w:rPr>
              <w:t>)</w:t>
            </w:r>
            <w:r w:rsidR="00B13C3A" w:rsidRPr="00F56159">
              <w:rPr>
                <w:iCs/>
              </w:rPr>
              <w:t>.</w:t>
            </w:r>
          </w:p>
          <w:p w14:paraId="19DC1332" w14:textId="77777777" w:rsidR="00667B73" w:rsidRPr="006B5FF0" w:rsidRDefault="00667B73" w:rsidP="0049200A">
            <w:pPr>
              <w:pStyle w:val="TableText0"/>
              <w:keepNext w:val="0"/>
              <w:keepLines w:val="0"/>
              <w:rPr>
                <w:iCs/>
              </w:rPr>
            </w:pPr>
          </w:p>
          <w:p w14:paraId="14166737" w14:textId="68928D82" w:rsidR="004A30FE" w:rsidRPr="004437DE" w:rsidRDefault="00544AD3" w:rsidP="0049200A">
            <w:pPr>
              <w:pStyle w:val="TableText0"/>
              <w:keepNext w:val="0"/>
              <w:keepLines w:val="0"/>
              <w:rPr>
                <w:iCs/>
              </w:rPr>
            </w:pPr>
            <w:r w:rsidRPr="004437DE">
              <w:rPr>
                <w:iCs/>
              </w:rPr>
              <w:t>However, t</w:t>
            </w:r>
            <w:r w:rsidR="007C0D4C" w:rsidRPr="004437DE">
              <w:rPr>
                <w:iCs/>
              </w:rPr>
              <w:t xml:space="preserve">here is no indirect treatment comparison between the </w:t>
            </w:r>
            <w:r w:rsidR="0043473D" w:rsidRPr="004437DE">
              <w:rPr>
                <w:iCs/>
              </w:rPr>
              <w:t>2</w:t>
            </w:r>
            <w:r w:rsidR="007C0D4C" w:rsidRPr="004437DE">
              <w:rPr>
                <w:iCs/>
              </w:rPr>
              <w:t xml:space="preserve"> treatments and no non-inferiority analysis.</w:t>
            </w:r>
          </w:p>
        </w:tc>
      </w:tr>
      <w:tr w:rsidR="004A30FE" w:rsidRPr="000919C8" w14:paraId="04BF6CC9" w14:textId="77777777" w:rsidTr="00A63BF6">
        <w:tc>
          <w:tcPr>
            <w:tcW w:w="1075" w:type="pct"/>
            <w:vAlign w:val="center"/>
          </w:tcPr>
          <w:p w14:paraId="39D09BC2" w14:textId="62FD2DA7" w:rsidR="004A30FE" w:rsidRPr="000919C8" w:rsidRDefault="004A30FE" w:rsidP="0049200A">
            <w:pPr>
              <w:pStyle w:val="TableText0"/>
              <w:keepNext w:val="0"/>
              <w:keepLines w:val="0"/>
              <w:rPr>
                <w:i/>
                <w:iCs/>
              </w:rPr>
            </w:pPr>
            <w:r w:rsidRPr="000919C8">
              <w:t>Script equivalence (</w:t>
            </w:r>
            <w:r>
              <w:t>Xeomin vs Dysport</w:t>
            </w:r>
            <w:r w:rsidRPr="000919C8">
              <w:t>)</w:t>
            </w:r>
          </w:p>
        </w:tc>
        <w:tc>
          <w:tcPr>
            <w:tcW w:w="525" w:type="pct"/>
            <w:vAlign w:val="center"/>
          </w:tcPr>
          <w:p w14:paraId="12F431E1" w14:textId="77777777" w:rsidR="004A30FE" w:rsidRPr="00BD7AE9" w:rsidRDefault="004A30FE" w:rsidP="0049200A">
            <w:pPr>
              <w:pStyle w:val="TableText0"/>
              <w:keepNext w:val="0"/>
              <w:keepLines w:val="0"/>
              <w:jc w:val="center"/>
              <w:rPr>
                <w:i/>
                <w:iCs/>
              </w:rPr>
            </w:pPr>
            <w:r>
              <w:t>1:2.5</w:t>
            </w:r>
          </w:p>
        </w:tc>
        <w:tc>
          <w:tcPr>
            <w:tcW w:w="1283" w:type="pct"/>
            <w:vAlign w:val="center"/>
          </w:tcPr>
          <w:p w14:paraId="3D2A3465" w14:textId="5273A4BA" w:rsidR="004A30FE" w:rsidRPr="00C255B4" w:rsidRDefault="004A30FE" w:rsidP="0049200A">
            <w:pPr>
              <w:pStyle w:val="TableText0"/>
              <w:keepNext w:val="0"/>
              <w:keepLines w:val="0"/>
              <w:rPr>
                <w:i/>
                <w:iCs/>
              </w:rPr>
            </w:pPr>
            <w:r w:rsidRPr="00A91C45">
              <w:t xml:space="preserve">The PBAC listed </w:t>
            </w:r>
            <w:r>
              <w:t>Dysport</w:t>
            </w:r>
            <w:r w:rsidRPr="00A91C45">
              <w:t xml:space="preserve"> against </w:t>
            </w:r>
            <w:r>
              <w:t>Botox</w:t>
            </w:r>
            <w:r w:rsidRPr="00A91C45">
              <w:t xml:space="preserve"> at a 2.5:1 ratio.</w:t>
            </w:r>
          </w:p>
        </w:tc>
        <w:tc>
          <w:tcPr>
            <w:tcW w:w="2117" w:type="pct"/>
            <w:vAlign w:val="center"/>
          </w:tcPr>
          <w:p w14:paraId="450C5255" w14:textId="28FABE33" w:rsidR="004A30FE" w:rsidRPr="00A04C72" w:rsidRDefault="004A30FE" w:rsidP="0049200A">
            <w:pPr>
              <w:pStyle w:val="TableText0"/>
              <w:keepNext w:val="0"/>
              <w:keepLines w:val="0"/>
              <w:rPr>
                <w:i/>
                <w:iCs/>
              </w:rPr>
            </w:pPr>
            <w:r w:rsidRPr="00F07FC0">
              <w:rPr>
                <w:iCs/>
              </w:rPr>
              <w:t>This was reasonable.</w:t>
            </w:r>
            <w:r w:rsidRPr="00DB673B">
              <w:rPr>
                <w:iCs/>
              </w:rPr>
              <w:t xml:space="preserve"> </w:t>
            </w:r>
            <w:r w:rsidRPr="00A04C72">
              <w:rPr>
                <w:iCs/>
              </w:rPr>
              <w:t xml:space="preserve">In the July 2020 PBAC submission for the listing of </w:t>
            </w:r>
            <w:r w:rsidRPr="00801DF8">
              <w:rPr>
                <w:iCs/>
              </w:rPr>
              <w:t xml:space="preserve">Dysport </w:t>
            </w:r>
            <w:r w:rsidRPr="00A04C72">
              <w:rPr>
                <w:iCs/>
              </w:rPr>
              <w:t xml:space="preserve">for </w:t>
            </w:r>
            <w:r w:rsidR="002E2BC5" w:rsidRPr="002E2BC5">
              <w:rPr>
                <w:iCs/>
              </w:rPr>
              <w:t>the treatment of moderate to severe focal spasticity of the upper limb in patients with cerebral palsy in patients aged 2 years and older</w:t>
            </w:r>
            <w:r w:rsidR="002E2BC5">
              <w:rPr>
                <w:iCs/>
              </w:rPr>
              <w:t>,</w:t>
            </w:r>
            <w:r w:rsidRPr="00A04C72">
              <w:rPr>
                <w:iCs/>
              </w:rPr>
              <w:t xml:space="preserve"> the PBAC considered that the maximum quantity of </w:t>
            </w:r>
            <w:r w:rsidRPr="00801DF8">
              <w:rPr>
                <w:iCs/>
              </w:rPr>
              <w:t xml:space="preserve">Dysport </w:t>
            </w:r>
            <w:r w:rsidRPr="00A04C72">
              <w:rPr>
                <w:iCs/>
              </w:rPr>
              <w:lastRenderedPageBreak/>
              <w:t xml:space="preserve">would be </w:t>
            </w:r>
            <w:r w:rsidR="00002AD7">
              <w:rPr>
                <w:iCs/>
              </w:rPr>
              <w:t>1000 U</w:t>
            </w:r>
            <w:r>
              <w:rPr>
                <w:iCs/>
              </w:rPr>
              <w:t>,</w:t>
            </w:r>
            <w:r w:rsidRPr="00A04C72">
              <w:rPr>
                <w:iCs/>
              </w:rPr>
              <w:t xml:space="preserve"> and the maximum quantity of </w:t>
            </w:r>
            <w:r w:rsidRPr="00801DF8">
              <w:rPr>
                <w:iCs/>
              </w:rPr>
              <w:t>Botox</w:t>
            </w:r>
            <w:r>
              <w:rPr>
                <w:iCs/>
              </w:rPr>
              <w:t xml:space="preserve"> </w:t>
            </w:r>
            <w:r w:rsidRPr="00A04C72">
              <w:rPr>
                <w:iCs/>
              </w:rPr>
              <w:t xml:space="preserve">would be </w:t>
            </w:r>
            <w:r w:rsidR="00002AD7">
              <w:rPr>
                <w:iCs/>
              </w:rPr>
              <w:t>400 U</w:t>
            </w:r>
            <w:r w:rsidRPr="00A04C72">
              <w:rPr>
                <w:iCs/>
              </w:rPr>
              <w:t xml:space="preserve">, resulting in an equi-effective dose of </w:t>
            </w:r>
            <w:r w:rsidRPr="00801DF8">
              <w:rPr>
                <w:iCs/>
              </w:rPr>
              <w:t>Dysport 2.</w:t>
            </w:r>
            <w:r w:rsidR="00002AD7">
              <w:rPr>
                <w:iCs/>
              </w:rPr>
              <w:t>5 U</w:t>
            </w:r>
            <w:r w:rsidRPr="00801DF8">
              <w:rPr>
                <w:iCs/>
              </w:rPr>
              <w:t xml:space="preserve"> = Botox </w:t>
            </w:r>
            <w:r w:rsidR="00002AD7">
              <w:rPr>
                <w:iCs/>
              </w:rPr>
              <w:t>1 U</w:t>
            </w:r>
            <w:r>
              <w:rPr>
                <w:iCs/>
              </w:rPr>
              <w:t xml:space="preserve"> (</w:t>
            </w:r>
            <w:r w:rsidRPr="00801DF8">
              <w:rPr>
                <w:iCs/>
              </w:rPr>
              <w:t>paragraph 7.10, Botox, PSD, July 2020 PBAC Meeting)</w:t>
            </w:r>
            <w:r w:rsidRPr="00A04C72">
              <w:rPr>
                <w:iCs/>
              </w:rPr>
              <w:t>.</w:t>
            </w:r>
          </w:p>
        </w:tc>
      </w:tr>
      <w:tr w:rsidR="004A30FE" w:rsidRPr="000919C8" w14:paraId="760FEDBD" w14:textId="77777777" w:rsidTr="00F75C77">
        <w:tc>
          <w:tcPr>
            <w:tcW w:w="5000" w:type="pct"/>
            <w:gridSpan w:val="4"/>
            <w:vAlign w:val="center"/>
          </w:tcPr>
          <w:p w14:paraId="3EBD0FB2" w14:textId="77777777" w:rsidR="004A30FE" w:rsidRPr="000919C8" w:rsidRDefault="004A30FE" w:rsidP="0049200A">
            <w:pPr>
              <w:pStyle w:val="TableText0"/>
              <w:keepNext w:val="0"/>
              <w:keepLines w:val="0"/>
              <w:rPr>
                <w:b/>
                <w:bCs w:val="0"/>
                <w:i/>
                <w:iCs/>
              </w:rPr>
            </w:pPr>
            <w:r w:rsidRPr="000919C8">
              <w:rPr>
                <w:b/>
              </w:rPr>
              <w:t>Costs</w:t>
            </w:r>
          </w:p>
        </w:tc>
      </w:tr>
      <w:tr w:rsidR="004A30FE" w:rsidRPr="000919C8" w14:paraId="58A3F552" w14:textId="77777777" w:rsidTr="00A63BF6">
        <w:tc>
          <w:tcPr>
            <w:tcW w:w="1075" w:type="pct"/>
            <w:vAlign w:val="center"/>
          </w:tcPr>
          <w:p w14:paraId="5C204FD7" w14:textId="77777777" w:rsidR="004A30FE" w:rsidRPr="000919C8" w:rsidRDefault="004A30FE" w:rsidP="0049200A">
            <w:pPr>
              <w:pStyle w:val="TableText0"/>
              <w:keepNext w:val="0"/>
              <w:keepLines w:val="0"/>
              <w:rPr>
                <w:i/>
                <w:iCs/>
              </w:rPr>
            </w:pPr>
            <w:r>
              <w:t>Maximum quantity (packs and units)</w:t>
            </w:r>
          </w:p>
        </w:tc>
        <w:tc>
          <w:tcPr>
            <w:tcW w:w="525" w:type="pct"/>
            <w:vAlign w:val="center"/>
          </w:tcPr>
          <w:p w14:paraId="5EA3BF66" w14:textId="6878D856" w:rsidR="004A30FE" w:rsidRPr="000919C8" w:rsidRDefault="004A30FE" w:rsidP="0049200A">
            <w:pPr>
              <w:pStyle w:val="TableText0"/>
              <w:keepNext w:val="0"/>
              <w:keepLines w:val="0"/>
              <w:jc w:val="center"/>
              <w:rPr>
                <w:i/>
                <w:iCs/>
              </w:rPr>
            </w:pPr>
            <w:r>
              <w:t>4</w:t>
            </w:r>
            <w:r w:rsidR="00D000CD">
              <w:t xml:space="preserve"> Xeomin</w:t>
            </w:r>
            <w:r w:rsidR="00D000CD">
              <w:rPr>
                <w:vertAlign w:val="superscript"/>
              </w:rPr>
              <w:t xml:space="preserve">, </w:t>
            </w:r>
            <w:r w:rsidR="00D000CD">
              <w:t>Botox</w:t>
            </w:r>
            <w:r w:rsidR="00D000CD" w:rsidRPr="008534AC">
              <w:t xml:space="preserve">, </w:t>
            </w:r>
            <w:r w:rsidR="008534AC" w:rsidRPr="008534AC">
              <w:t xml:space="preserve">and </w:t>
            </w:r>
            <w:r w:rsidR="00D000CD">
              <w:t>Dysport</w:t>
            </w:r>
            <w:r w:rsidR="00D000CD">
              <w:rPr>
                <w:vertAlign w:val="superscript"/>
              </w:rPr>
              <w:t xml:space="preserve"> </w:t>
            </w:r>
            <w:r w:rsidR="00002AD7">
              <w:t>300 U</w:t>
            </w:r>
            <w:r w:rsidR="00D000CD" w:rsidRPr="00F00C53">
              <w:t xml:space="preserve"> and </w:t>
            </w:r>
            <w:r w:rsidR="00F00C53" w:rsidRPr="00F00C53">
              <w:t>2 for</w:t>
            </w:r>
            <w:r w:rsidR="00F00C53">
              <w:rPr>
                <w:vertAlign w:val="superscript"/>
              </w:rPr>
              <w:t xml:space="preserve"> </w:t>
            </w:r>
            <w:r w:rsidR="00F00C53">
              <w:t>Dysport</w:t>
            </w:r>
            <w:r w:rsidR="00F00C53">
              <w:rPr>
                <w:vertAlign w:val="superscript"/>
              </w:rPr>
              <w:t xml:space="preserve"> </w:t>
            </w:r>
            <w:r w:rsidR="00002AD7">
              <w:t>500 U</w:t>
            </w:r>
          </w:p>
        </w:tc>
        <w:tc>
          <w:tcPr>
            <w:tcW w:w="1283" w:type="pct"/>
            <w:vAlign w:val="center"/>
          </w:tcPr>
          <w:p w14:paraId="4AF29328" w14:textId="77D7F788" w:rsidR="004A30FE" w:rsidRPr="003C48C8" w:rsidRDefault="00376D3C" w:rsidP="0049200A">
            <w:pPr>
              <w:pStyle w:val="TableText0"/>
            </w:pPr>
            <w:r>
              <w:t xml:space="preserve">Based on </w:t>
            </w:r>
            <w:r w:rsidR="00A733ED">
              <w:t>maximum quantit</w:t>
            </w:r>
            <w:r w:rsidR="00D76EF3">
              <w:t>ies</w:t>
            </w:r>
            <w:r w:rsidR="00A733ED">
              <w:t xml:space="preserve"> for </w:t>
            </w:r>
            <w:r>
              <w:t>PBS items 10998W</w:t>
            </w:r>
            <w:r w:rsidR="00A733ED">
              <w:t xml:space="preserve">, </w:t>
            </w:r>
            <w:r>
              <w:t>10999X</w:t>
            </w:r>
            <w:r w:rsidR="00A733ED">
              <w:t xml:space="preserve">, </w:t>
            </w:r>
            <w:r>
              <w:t>10981Y</w:t>
            </w:r>
            <w:r w:rsidR="00A733ED">
              <w:t xml:space="preserve">, </w:t>
            </w:r>
            <w:r>
              <w:t>12214W</w:t>
            </w:r>
            <w:r w:rsidR="00A733ED">
              <w:t xml:space="preserve">, </w:t>
            </w:r>
            <w:r>
              <w:t>11006G and 12178Y.</w:t>
            </w:r>
            <w:r w:rsidR="004A30FE" w:rsidDel="00376D3C">
              <w:t>Botox</w:t>
            </w:r>
          </w:p>
        </w:tc>
        <w:tc>
          <w:tcPr>
            <w:tcW w:w="2117" w:type="pct"/>
            <w:vAlign w:val="center"/>
          </w:tcPr>
          <w:p w14:paraId="57043CF9" w14:textId="77777777" w:rsidR="004A30FE" w:rsidRPr="00F07FC0" w:rsidRDefault="004A30FE" w:rsidP="0049200A">
            <w:pPr>
              <w:pStyle w:val="TableText0"/>
              <w:keepNext w:val="0"/>
              <w:keepLines w:val="0"/>
            </w:pPr>
            <w:r w:rsidRPr="00F07FC0">
              <w:t>This was reasonable.</w:t>
            </w:r>
          </w:p>
        </w:tc>
      </w:tr>
      <w:tr w:rsidR="004A30FE" w:rsidRPr="000919C8" w14:paraId="5C7D6394" w14:textId="77777777" w:rsidTr="00A63BF6">
        <w:tc>
          <w:tcPr>
            <w:tcW w:w="1075" w:type="pct"/>
            <w:vAlign w:val="center"/>
          </w:tcPr>
          <w:p w14:paraId="250734F7" w14:textId="59D94E86" w:rsidR="004A30FE" w:rsidRPr="00DD782C" w:rsidRDefault="004A30FE" w:rsidP="0049200A">
            <w:pPr>
              <w:pStyle w:val="TableText0"/>
              <w:keepNext w:val="0"/>
              <w:keepLines w:val="0"/>
              <w:rPr>
                <w:i/>
                <w:iCs/>
              </w:rPr>
            </w:pPr>
            <w:r w:rsidRPr="00DD782C">
              <w:t>Xeomin</w:t>
            </w:r>
          </w:p>
        </w:tc>
        <w:tc>
          <w:tcPr>
            <w:tcW w:w="525" w:type="pct"/>
            <w:vAlign w:val="center"/>
          </w:tcPr>
          <w:p w14:paraId="2087A9F8" w14:textId="77777777" w:rsidR="004A30FE" w:rsidRPr="00DD782C" w:rsidRDefault="004A30FE" w:rsidP="0049200A">
            <w:pPr>
              <w:pStyle w:val="TableText0"/>
              <w:keepNext w:val="0"/>
              <w:keepLines w:val="0"/>
              <w:jc w:val="center"/>
              <w:rPr>
                <w:i/>
                <w:iCs/>
              </w:rPr>
            </w:pPr>
            <w:r w:rsidRPr="00DD782C">
              <w:t>$1,098.67</w:t>
            </w:r>
          </w:p>
        </w:tc>
        <w:tc>
          <w:tcPr>
            <w:tcW w:w="1283" w:type="pct"/>
            <w:vAlign w:val="center"/>
          </w:tcPr>
          <w:p w14:paraId="0F905874" w14:textId="2547813D" w:rsidR="004A30FE" w:rsidRPr="00DD782C" w:rsidRDefault="004A30FE" w:rsidP="0049200A">
            <w:pPr>
              <w:pStyle w:val="TableText0"/>
              <w:keepNext w:val="0"/>
              <w:keepLines w:val="0"/>
              <w:rPr>
                <w:i/>
                <w:iCs/>
              </w:rPr>
            </w:pPr>
            <w:r w:rsidRPr="00DD782C">
              <w:t>Based on DPMQ for Botox.</w:t>
            </w:r>
          </w:p>
        </w:tc>
        <w:tc>
          <w:tcPr>
            <w:tcW w:w="2117" w:type="pct"/>
            <w:vAlign w:val="center"/>
          </w:tcPr>
          <w:p w14:paraId="2F9E06F3" w14:textId="77777777" w:rsidR="004A30FE" w:rsidRPr="00F07FC0" w:rsidRDefault="004A30FE" w:rsidP="0049200A">
            <w:pPr>
              <w:pStyle w:val="TableText0"/>
              <w:keepNext w:val="0"/>
              <w:keepLines w:val="0"/>
            </w:pPr>
            <w:r w:rsidRPr="00F07FC0">
              <w:t>This was reasonable.</w:t>
            </w:r>
          </w:p>
        </w:tc>
      </w:tr>
      <w:tr w:rsidR="004A30FE" w:rsidRPr="000919C8" w14:paraId="6E31EEED" w14:textId="77777777" w:rsidTr="00A63BF6">
        <w:tc>
          <w:tcPr>
            <w:tcW w:w="1075" w:type="pct"/>
            <w:vAlign w:val="center"/>
          </w:tcPr>
          <w:p w14:paraId="516213A9" w14:textId="01E07A8B" w:rsidR="004A30FE" w:rsidRPr="000919C8" w:rsidRDefault="004A30FE" w:rsidP="0049200A">
            <w:pPr>
              <w:pStyle w:val="TableText0"/>
              <w:keepNext w:val="0"/>
              <w:keepLines w:val="0"/>
              <w:rPr>
                <w:i/>
                <w:iCs/>
              </w:rPr>
            </w:pPr>
            <w:r>
              <w:t>Botox</w:t>
            </w:r>
          </w:p>
        </w:tc>
        <w:tc>
          <w:tcPr>
            <w:tcW w:w="525" w:type="pct"/>
            <w:vAlign w:val="center"/>
          </w:tcPr>
          <w:p w14:paraId="3A990DA4" w14:textId="77777777" w:rsidR="004A30FE" w:rsidRPr="0024141A" w:rsidRDefault="004A30FE" w:rsidP="0049200A">
            <w:pPr>
              <w:pStyle w:val="TableText0"/>
              <w:keepNext w:val="0"/>
              <w:keepLines w:val="0"/>
              <w:jc w:val="center"/>
              <w:rPr>
                <w:i/>
                <w:iCs/>
              </w:rPr>
            </w:pPr>
            <w:r w:rsidRPr="0024141A">
              <w:t>$1,098.67</w:t>
            </w:r>
          </w:p>
        </w:tc>
        <w:tc>
          <w:tcPr>
            <w:tcW w:w="1283" w:type="pct"/>
            <w:vAlign w:val="center"/>
          </w:tcPr>
          <w:p w14:paraId="1CAD1EDA" w14:textId="77777777" w:rsidR="004A30FE" w:rsidRPr="0024141A" w:rsidRDefault="004A30FE" w:rsidP="0049200A">
            <w:pPr>
              <w:pStyle w:val="TableText0"/>
              <w:keepNext w:val="0"/>
              <w:keepLines w:val="0"/>
              <w:rPr>
                <w:i/>
                <w:iCs/>
              </w:rPr>
            </w:pPr>
            <w:r w:rsidRPr="0024141A">
              <w:t>PBS items 10998W and 10999X.</w:t>
            </w:r>
          </w:p>
        </w:tc>
        <w:tc>
          <w:tcPr>
            <w:tcW w:w="2117" w:type="pct"/>
            <w:vAlign w:val="center"/>
          </w:tcPr>
          <w:p w14:paraId="3885559B" w14:textId="371A531C" w:rsidR="004A30FE" w:rsidRPr="00F07FC0" w:rsidRDefault="004A30FE" w:rsidP="0049200A">
            <w:pPr>
              <w:pStyle w:val="TableText0"/>
              <w:keepNext w:val="0"/>
              <w:keepLines w:val="0"/>
              <w:rPr>
                <w:highlight w:val="yellow"/>
              </w:rPr>
            </w:pPr>
            <w:r w:rsidRPr="00F07FC0">
              <w:t>DPMQ verified as correct</w:t>
            </w:r>
            <w:r w:rsidR="007E74A2">
              <w:t xml:space="preserve"> at time of evaluation</w:t>
            </w:r>
            <w:r w:rsidRPr="00F07FC0">
              <w:t>.</w:t>
            </w:r>
          </w:p>
        </w:tc>
      </w:tr>
      <w:tr w:rsidR="004A30FE" w:rsidRPr="000919C8" w14:paraId="619C7027" w14:textId="77777777" w:rsidTr="00A63BF6">
        <w:tc>
          <w:tcPr>
            <w:tcW w:w="1075" w:type="pct"/>
            <w:vAlign w:val="center"/>
          </w:tcPr>
          <w:p w14:paraId="0CA7EF37" w14:textId="02C905C8" w:rsidR="004A30FE" w:rsidRPr="000919C8" w:rsidRDefault="004A30FE" w:rsidP="0049200A">
            <w:pPr>
              <w:pStyle w:val="TableText0"/>
              <w:keepNext w:val="0"/>
              <w:keepLines w:val="0"/>
              <w:rPr>
                <w:i/>
                <w:iCs/>
              </w:rPr>
            </w:pPr>
            <w:r>
              <w:t>Dysport (</w:t>
            </w:r>
            <w:r w:rsidR="00002AD7">
              <w:t>300 U</w:t>
            </w:r>
            <w:r>
              <w:t>)</w:t>
            </w:r>
          </w:p>
        </w:tc>
        <w:tc>
          <w:tcPr>
            <w:tcW w:w="525" w:type="pct"/>
            <w:vAlign w:val="center"/>
          </w:tcPr>
          <w:p w14:paraId="2190C0DD" w14:textId="77777777" w:rsidR="004A30FE" w:rsidRPr="0024141A" w:rsidRDefault="004A30FE" w:rsidP="0049200A">
            <w:pPr>
              <w:pStyle w:val="TableText0"/>
              <w:keepNext w:val="0"/>
              <w:keepLines w:val="0"/>
              <w:jc w:val="center"/>
              <w:rPr>
                <w:i/>
                <w:iCs/>
              </w:rPr>
            </w:pPr>
            <w:r w:rsidRPr="0024141A">
              <w:t>$958.79</w:t>
            </w:r>
          </w:p>
        </w:tc>
        <w:tc>
          <w:tcPr>
            <w:tcW w:w="1283" w:type="pct"/>
            <w:vAlign w:val="center"/>
          </w:tcPr>
          <w:p w14:paraId="49439462" w14:textId="77777777" w:rsidR="004A30FE" w:rsidRPr="0024141A" w:rsidRDefault="004A30FE" w:rsidP="0049200A">
            <w:pPr>
              <w:pStyle w:val="TableText0"/>
              <w:keepNext w:val="0"/>
              <w:keepLines w:val="0"/>
              <w:rPr>
                <w:i/>
                <w:iCs/>
              </w:rPr>
            </w:pPr>
            <w:r w:rsidRPr="0024141A">
              <w:t>PBS items 10981Y and 12214W.</w:t>
            </w:r>
          </w:p>
        </w:tc>
        <w:tc>
          <w:tcPr>
            <w:tcW w:w="2117" w:type="pct"/>
            <w:vAlign w:val="center"/>
          </w:tcPr>
          <w:p w14:paraId="40A052FC" w14:textId="76FED7AA" w:rsidR="004A30FE" w:rsidRPr="00F07FC0" w:rsidRDefault="004A30FE" w:rsidP="0049200A">
            <w:pPr>
              <w:pStyle w:val="TableText0"/>
              <w:keepNext w:val="0"/>
              <w:keepLines w:val="0"/>
            </w:pPr>
            <w:r w:rsidRPr="00F07FC0">
              <w:t>DPMQ verified as correct</w:t>
            </w:r>
            <w:r w:rsidR="007E74A2">
              <w:t xml:space="preserve"> at time of evaluation</w:t>
            </w:r>
            <w:r w:rsidRPr="00F07FC0">
              <w:t>.</w:t>
            </w:r>
          </w:p>
        </w:tc>
      </w:tr>
      <w:tr w:rsidR="004A30FE" w:rsidRPr="000919C8" w14:paraId="161AF3B7" w14:textId="77777777" w:rsidTr="00A63BF6">
        <w:tc>
          <w:tcPr>
            <w:tcW w:w="1075" w:type="pct"/>
            <w:vAlign w:val="center"/>
          </w:tcPr>
          <w:p w14:paraId="49876381" w14:textId="31183B85" w:rsidR="004A30FE" w:rsidRPr="000919C8" w:rsidRDefault="004A30FE" w:rsidP="0049200A">
            <w:pPr>
              <w:pStyle w:val="TableText0"/>
              <w:keepNext w:val="0"/>
              <w:keepLines w:val="0"/>
              <w:rPr>
                <w:i/>
                <w:iCs/>
              </w:rPr>
            </w:pPr>
            <w:r>
              <w:t>Dysport (</w:t>
            </w:r>
            <w:r w:rsidR="00002AD7">
              <w:t>500 U</w:t>
            </w:r>
            <w:r>
              <w:t>)</w:t>
            </w:r>
          </w:p>
        </w:tc>
        <w:tc>
          <w:tcPr>
            <w:tcW w:w="525" w:type="pct"/>
            <w:vAlign w:val="center"/>
          </w:tcPr>
          <w:p w14:paraId="6A0135CF" w14:textId="77777777" w:rsidR="004A30FE" w:rsidRPr="0024141A" w:rsidRDefault="004A30FE" w:rsidP="0049200A">
            <w:pPr>
              <w:pStyle w:val="TableText0"/>
              <w:keepNext w:val="0"/>
              <w:keepLines w:val="0"/>
              <w:jc w:val="center"/>
              <w:rPr>
                <w:i/>
                <w:iCs/>
              </w:rPr>
            </w:pPr>
            <w:r w:rsidRPr="0024141A">
              <w:t>$855.99</w:t>
            </w:r>
          </w:p>
        </w:tc>
        <w:tc>
          <w:tcPr>
            <w:tcW w:w="1283" w:type="pct"/>
            <w:vAlign w:val="center"/>
          </w:tcPr>
          <w:p w14:paraId="4B7A4042" w14:textId="77777777" w:rsidR="004A30FE" w:rsidRPr="0024141A" w:rsidRDefault="004A30FE" w:rsidP="0049200A">
            <w:pPr>
              <w:pStyle w:val="TableText0"/>
              <w:keepNext w:val="0"/>
              <w:keepLines w:val="0"/>
              <w:rPr>
                <w:i/>
                <w:iCs/>
              </w:rPr>
            </w:pPr>
            <w:r w:rsidRPr="0024141A">
              <w:t>PBS items 11006G and 12178Y.</w:t>
            </w:r>
          </w:p>
        </w:tc>
        <w:tc>
          <w:tcPr>
            <w:tcW w:w="2117" w:type="pct"/>
            <w:vAlign w:val="center"/>
          </w:tcPr>
          <w:p w14:paraId="2BFFF9B2" w14:textId="141AF12C" w:rsidR="004A30FE" w:rsidRPr="00F07FC0" w:rsidRDefault="004A30FE" w:rsidP="0049200A">
            <w:pPr>
              <w:pStyle w:val="TableText0"/>
              <w:keepNext w:val="0"/>
              <w:keepLines w:val="0"/>
            </w:pPr>
            <w:r w:rsidRPr="00F07FC0">
              <w:t>DPMQ verified as correct</w:t>
            </w:r>
            <w:r w:rsidR="007E74A2">
              <w:t xml:space="preserve"> at time of evaluation</w:t>
            </w:r>
            <w:r w:rsidRPr="00F07FC0">
              <w:t>.</w:t>
            </w:r>
          </w:p>
        </w:tc>
      </w:tr>
      <w:tr w:rsidR="004A30FE" w:rsidRPr="000919C8" w14:paraId="366557C8" w14:textId="77777777" w:rsidTr="00A63BF6">
        <w:tc>
          <w:tcPr>
            <w:tcW w:w="1075" w:type="pct"/>
            <w:vAlign w:val="center"/>
          </w:tcPr>
          <w:p w14:paraId="230462FD" w14:textId="082FDDC7" w:rsidR="004A30FE" w:rsidRPr="000919C8" w:rsidRDefault="004A30FE" w:rsidP="0049200A">
            <w:pPr>
              <w:pStyle w:val="TableText0"/>
              <w:keepNext w:val="0"/>
              <w:keepLines w:val="0"/>
              <w:rPr>
                <w:i/>
                <w:iCs/>
              </w:rPr>
            </w:pPr>
            <w:r w:rsidRPr="000919C8">
              <w:t>Patient co</w:t>
            </w:r>
            <w:r w:rsidR="008A5CF9">
              <w:t>-</w:t>
            </w:r>
            <w:r w:rsidRPr="000919C8">
              <w:t>payment</w:t>
            </w:r>
          </w:p>
        </w:tc>
        <w:tc>
          <w:tcPr>
            <w:tcW w:w="525" w:type="pct"/>
            <w:vAlign w:val="center"/>
          </w:tcPr>
          <w:p w14:paraId="7A563D87" w14:textId="77777777" w:rsidR="004A30FE" w:rsidRPr="0024141A" w:rsidRDefault="004A30FE" w:rsidP="0049200A">
            <w:pPr>
              <w:pStyle w:val="TableText0"/>
              <w:keepNext w:val="0"/>
              <w:keepLines w:val="0"/>
              <w:jc w:val="center"/>
              <w:rPr>
                <w:iCs/>
              </w:rPr>
            </w:pPr>
            <w:r w:rsidRPr="0024141A">
              <w:t>$15.19 (PBS)</w:t>
            </w:r>
          </w:p>
          <w:p w14:paraId="59835808" w14:textId="77777777" w:rsidR="004A30FE" w:rsidRPr="0024141A" w:rsidRDefault="004A30FE" w:rsidP="0049200A">
            <w:pPr>
              <w:pStyle w:val="TableText0"/>
              <w:keepNext w:val="0"/>
              <w:keepLines w:val="0"/>
              <w:jc w:val="center"/>
              <w:rPr>
                <w:i/>
                <w:iCs/>
              </w:rPr>
            </w:pPr>
            <w:r w:rsidRPr="0024141A">
              <w:t>$3.85 (RPBS)</w:t>
            </w:r>
          </w:p>
        </w:tc>
        <w:tc>
          <w:tcPr>
            <w:tcW w:w="1283" w:type="pct"/>
            <w:vAlign w:val="center"/>
          </w:tcPr>
          <w:p w14:paraId="1ED50BA4" w14:textId="5D9BB1C6" w:rsidR="004A30FE" w:rsidRPr="0024141A" w:rsidRDefault="004A30FE" w:rsidP="0049200A">
            <w:pPr>
              <w:pStyle w:val="TableText0"/>
              <w:keepNext w:val="0"/>
              <w:keepLines w:val="0"/>
              <w:rPr>
                <w:i/>
                <w:iCs/>
              </w:rPr>
            </w:pPr>
            <w:r w:rsidRPr="0024141A">
              <w:t>Assumed based on PBS usage data for Botox and Dysport (2024) and PBS/RPBS co-payments ($31.60 for the general population and $7.70 for concession card holders).</w:t>
            </w:r>
          </w:p>
        </w:tc>
        <w:tc>
          <w:tcPr>
            <w:tcW w:w="2117" w:type="pct"/>
            <w:vAlign w:val="center"/>
          </w:tcPr>
          <w:p w14:paraId="6E2C5928" w14:textId="77777777" w:rsidR="004A30FE" w:rsidRPr="00F07FC0" w:rsidRDefault="004A30FE" w:rsidP="0049200A">
            <w:pPr>
              <w:pStyle w:val="TableText0"/>
              <w:keepNext w:val="0"/>
              <w:keepLines w:val="0"/>
              <w:rPr>
                <w:iCs/>
              </w:rPr>
            </w:pPr>
            <w:r w:rsidRPr="00F07FC0">
              <w:rPr>
                <w:iCs/>
              </w:rPr>
              <w:t>This was reasonable.</w:t>
            </w:r>
          </w:p>
        </w:tc>
      </w:tr>
      <w:tr w:rsidR="004A30FE" w:rsidRPr="000919C8" w14:paraId="5F33C0DA" w14:textId="77777777" w:rsidTr="00A63BF6">
        <w:tc>
          <w:tcPr>
            <w:tcW w:w="1075" w:type="pct"/>
            <w:vAlign w:val="center"/>
          </w:tcPr>
          <w:p w14:paraId="68E55E0F" w14:textId="77777777" w:rsidR="004A30FE" w:rsidRPr="000919C8" w:rsidRDefault="004A30FE" w:rsidP="0049200A">
            <w:pPr>
              <w:pStyle w:val="TableText0"/>
              <w:keepNext w:val="0"/>
              <w:keepLines w:val="0"/>
            </w:pPr>
            <w:r>
              <w:t>MBS costs (injection fee)</w:t>
            </w:r>
          </w:p>
        </w:tc>
        <w:tc>
          <w:tcPr>
            <w:tcW w:w="525" w:type="pct"/>
            <w:vAlign w:val="center"/>
          </w:tcPr>
          <w:p w14:paraId="42564D73" w14:textId="77777777" w:rsidR="004A30FE" w:rsidRPr="0024141A" w:rsidRDefault="004A30FE" w:rsidP="0049200A">
            <w:pPr>
              <w:pStyle w:val="TableText0"/>
              <w:jc w:val="center"/>
            </w:pPr>
            <w:r w:rsidRPr="0024141A">
              <w:t>MBS items 18354 and 18361: $113.80</w:t>
            </w:r>
          </w:p>
          <w:p w14:paraId="03E6131E" w14:textId="77777777" w:rsidR="004A30FE" w:rsidRPr="0024141A" w:rsidRDefault="004A30FE" w:rsidP="0049200A">
            <w:pPr>
              <w:pStyle w:val="TableText0"/>
              <w:keepNext w:val="0"/>
              <w:keepLines w:val="0"/>
              <w:jc w:val="center"/>
            </w:pPr>
          </w:p>
        </w:tc>
        <w:tc>
          <w:tcPr>
            <w:tcW w:w="1283" w:type="pct"/>
            <w:vAlign w:val="center"/>
          </w:tcPr>
          <w:p w14:paraId="2C780D50" w14:textId="243E3BC1" w:rsidR="004A30FE" w:rsidRPr="0024141A" w:rsidRDefault="004A30FE" w:rsidP="0049200A">
            <w:pPr>
              <w:pStyle w:val="TableText0"/>
              <w:keepNext w:val="0"/>
              <w:keepLines w:val="0"/>
              <w:rPr>
                <w:i/>
                <w:iCs/>
              </w:rPr>
            </w:pPr>
            <w:r w:rsidRPr="0024141A">
              <w:t>MBS benefit of 80% (Scheduled fee: $142.25). Applied only on Dysport but not Botox</w:t>
            </w:r>
            <w:r w:rsidR="00FA32A4" w:rsidRPr="0024141A">
              <w:t xml:space="preserve"> (as assumed the same for Botox))</w:t>
            </w:r>
            <w:r w:rsidRPr="0024141A">
              <w:t>.</w:t>
            </w:r>
          </w:p>
        </w:tc>
        <w:tc>
          <w:tcPr>
            <w:tcW w:w="2117" w:type="pct"/>
            <w:vAlign w:val="center"/>
          </w:tcPr>
          <w:p w14:paraId="14A37E5F" w14:textId="03D379CE" w:rsidR="004A30FE" w:rsidRPr="00F07FC0" w:rsidRDefault="004A30FE" w:rsidP="0049200A">
            <w:pPr>
              <w:pStyle w:val="TableText0"/>
              <w:keepNext w:val="0"/>
              <w:keepLines w:val="0"/>
              <w:rPr>
                <w:iCs/>
              </w:rPr>
            </w:pPr>
            <w:r w:rsidRPr="00F07FC0">
              <w:rPr>
                <w:iCs/>
              </w:rPr>
              <w:t xml:space="preserve">This was appropriate. </w:t>
            </w:r>
          </w:p>
        </w:tc>
      </w:tr>
    </w:tbl>
    <w:p w14:paraId="5F7A49D4" w14:textId="14A43C18" w:rsidR="004A30FE" w:rsidRPr="000919C8" w:rsidRDefault="004A30FE" w:rsidP="0049200A">
      <w:pPr>
        <w:pStyle w:val="FooterTableFigure"/>
      </w:pPr>
      <w:r w:rsidRPr="000919C8">
        <w:t xml:space="preserve">Source: </w:t>
      </w:r>
      <w:r>
        <w:t xml:space="preserve">Table 4.2.2, p82; Table 4.2.3, p82; </w:t>
      </w:r>
      <w:r w:rsidRPr="000919C8">
        <w:t>Table 4.</w:t>
      </w:r>
      <w:r>
        <w:t>2.4, p83; Table 4.3.2, p85 of the submission; Sheet “2e. Scripts – market”, Workbook 4</w:t>
      </w:r>
      <w:r w:rsidR="001C5B4F">
        <w:t>; p81 of the submission</w:t>
      </w:r>
    </w:p>
    <w:p w14:paraId="716F33A9" w14:textId="6D4778A0" w:rsidR="004A30FE" w:rsidRDefault="004A30FE" w:rsidP="0049200A">
      <w:pPr>
        <w:pStyle w:val="FooterTableFigure"/>
      </w:pPr>
      <w:r w:rsidRPr="000919C8">
        <w:t>DP</w:t>
      </w:r>
      <w:r>
        <w:t>MQ</w:t>
      </w:r>
      <w:r w:rsidRPr="000919C8">
        <w:t xml:space="preserve"> = dispensed price for maximum quantity</w:t>
      </w:r>
      <w:r>
        <w:t xml:space="preserve">; </w:t>
      </w:r>
      <w:bookmarkStart w:id="77" w:name="_Hlk176460511"/>
      <w:r w:rsidR="004A78B3">
        <w:t xml:space="preserve">DUSC = Drug Utilisation Sub Committee; </w:t>
      </w:r>
      <w:r>
        <w:t>MSAC = Medical Services Advisory Committee;</w:t>
      </w:r>
      <w:r w:rsidR="00786DE5">
        <w:t xml:space="preserve"> MBS = Medi</w:t>
      </w:r>
      <w:r w:rsidR="00987CFA">
        <w:t>care Benefits Schedule;</w:t>
      </w:r>
      <w:r>
        <w:t xml:space="preserve"> PBAC = Pharmaceutical Benefits Advisory Committee; </w:t>
      </w:r>
      <w:r w:rsidRPr="000919C8">
        <w:t>PBS = Pharmaceutical Benefits Scheme</w:t>
      </w:r>
      <w:r>
        <w:t>; PSD = Public Summary Document; RPBS = Repatriation Pharmaceutical Benefits Scheme</w:t>
      </w:r>
      <w:r w:rsidR="004F00E0">
        <w:t xml:space="preserve"> TGA CER = Therapeutic Goods Administration Clinical Evaluation Report</w:t>
      </w:r>
      <w:r w:rsidRPr="000919C8">
        <w:t>.</w:t>
      </w:r>
      <w:bookmarkEnd w:id="77"/>
    </w:p>
    <w:p w14:paraId="5EFEA9D4" w14:textId="4F7513A3" w:rsidR="004A30FE" w:rsidRDefault="004A30FE" w:rsidP="0049200A">
      <w:pPr>
        <w:pStyle w:val="3-BodyText"/>
        <w:numPr>
          <w:ilvl w:val="1"/>
          <w:numId w:val="1"/>
        </w:numPr>
        <w:spacing w:before="0" w:after="120"/>
      </w:pPr>
      <w:r w:rsidRPr="004265FE">
        <w:t xml:space="preserve">The submission estimated the </w:t>
      </w:r>
      <w:r w:rsidR="009A655D">
        <w:t>growth rate</w:t>
      </w:r>
      <w:r w:rsidR="009A655D" w:rsidRPr="004265FE">
        <w:t xml:space="preserve"> </w:t>
      </w:r>
      <w:r w:rsidRPr="004265FE">
        <w:t xml:space="preserve">of the botulinum toxin market using PBS service data from 2020 to 2024 and projected a steady annual growth rate of 4.1%. This annual growth rate was an average of the growth rates from 2020 to 2024. </w:t>
      </w:r>
      <w:r w:rsidRPr="002632F1">
        <w:rPr>
          <w:iCs/>
        </w:rPr>
        <w:t>The assumed constant growth rate of 4.1% per year from 2025 to 2030 was uncertain. Between 2023 and 2024, the combined growth rate for Botox and Dysport was 10%.</w:t>
      </w:r>
    </w:p>
    <w:p w14:paraId="3CCBA763" w14:textId="228DADBE" w:rsidR="00A875C7" w:rsidRPr="002632F1" w:rsidRDefault="004A30FE" w:rsidP="0049200A">
      <w:pPr>
        <w:pStyle w:val="3-BodyText"/>
        <w:numPr>
          <w:ilvl w:val="1"/>
          <w:numId w:val="1"/>
        </w:numPr>
        <w:spacing w:before="0" w:after="120"/>
        <w:rPr>
          <w:iCs/>
        </w:rPr>
      </w:pPr>
      <w:r w:rsidRPr="00650E28">
        <w:t xml:space="preserve">The submission assumed that </w:t>
      </w:r>
      <w:r w:rsidR="000C2A4B" w:rsidRPr="00BE223C">
        <w:rPr>
          <w:color w:val="000000"/>
          <w:w w:val="65"/>
          <w:shd w:val="solid" w:color="000000" w:fill="000000"/>
          <w:fitText w:val="472" w:id="-632147962"/>
          <w14:textFill>
            <w14:solidFill>
              <w14:srgbClr w14:val="000000">
                <w14:alpha w14:val="100000"/>
              </w14:srgbClr>
            </w14:solidFill>
          </w14:textFill>
        </w:rPr>
        <w:t>|||</w:t>
      </w:r>
      <w:r w:rsidR="00BE223C" w:rsidRPr="00BE223C">
        <w:rPr>
          <w:color w:val="000000"/>
          <w:w w:val="65"/>
          <w:shd w:val="solid" w:color="000000" w:fill="000000"/>
          <w:fitText w:val="472" w:id="-632147962"/>
          <w14:textFill>
            <w14:solidFill>
              <w14:srgbClr w14:val="000000">
                <w14:alpha w14:val="100000"/>
              </w14:srgbClr>
            </w14:solidFill>
          </w14:textFill>
        </w:rPr>
        <w:t xml:space="preserve"> </w:t>
      </w:r>
      <w:r w:rsidR="000C2A4B" w:rsidRPr="00BE223C">
        <w:rPr>
          <w:color w:val="000000"/>
          <w:w w:val="65"/>
          <w:shd w:val="solid" w:color="000000" w:fill="000000"/>
          <w:fitText w:val="472" w:id="-632147962"/>
          <w14:textFill>
            <w14:solidFill>
              <w14:srgbClr w14:val="000000">
                <w14:alpha w14:val="100000"/>
              </w14:srgbClr>
            </w14:solidFill>
          </w14:textFill>
        </w:rPr>
        <w:t>||</w:t>
      </w:r>
      <w:r w:rsidR="000C2A4B" w:rsidRPr="00BE223C">
        <w:rPr>
          <w:color w:val="000000"/>
          <w:spacing w:val="6"/>
          <w:w w:val="65"/>
          <w:shd w:val="solid" w:color="000000" w:fill="000000"/>
          <w:fitText w:val="472" w:id="-632147962"/>
          <w14:textFill>
            <w14:solidFill>
              <w14:srgbClr w14:val="000000">
                <w14:alpha w14:val="100000"/>
              </w14:srgbClr>
            </w14:solidFill>
          </w14:textFill>
        </w:rPr>
        <w:t>|</w:t>
      </w:r>
      <w:r w:rsidRPr="00650E28">
        <w:t xml:space="preserve">% of patients on </w:t>
      </w:r>
      <w:r>
        <w:t>Botox</w:t>
      </w:r>
      <w:r w:rsidRPr="00650E28">
        <w:t xml:space="preserve"> or </w:t>
      </w:r>
      <w:r>
        <w:t>Dysport</w:t>
      </w:r>
      <w:r w:rsidRPr="00650E28">
        <w:t xml:space="preserve"> would switch to </w:t>
      </w:r>
      <w:r>
        <w:t>Xeomin</w:t>
      </w:r>
      <w:r w:rsidRPr="00650E28">
        <w:t xml:space="preserve"> in Year 1, increasing to </w:t>
      </w:r>
      <w:r w:rsidR="000C2A4B" w:rsidRPr="00AD57D3">
        <w:rPr>
          <w:color w:val="000000"/>
          <w:w w:val="15"/>
          <w:shd w:val="solid" w:color="000000" w:fill="000000"/>
          <w:fitText w:val="-20" w:id="-632147961"/>
          <w14:textFill>
            <w14:solidFill>
              <w14:srgbClr w14:val="000000">
                <w14:alpha w14:val="100000"/>
              </w14:srgbClr>
            </w14:solidFill>
          </w14:textFill>
        </w:rPr>
        <w:t>|</w:t>
      </w:r>
      <w:r w:rsidR="00BE223C" w:rsidRPr="00AD57D3">
        <w:rPr>
          <w:color w:val="000000"/>
          <w:w w:val="15"/>
          <w:shd w:val="solid" w:color="000000" w:fill="000000"/>
          <w:fitText w:val="-20" w:id="-632147961"/>
          <w14:textFill>
            <w14:solidFill>
              <w14:srgbClr w14:val="000000">
                <w14:alpha w14:val="100000"/>
              </w14:srgbClr>
            </w14:solidFill>
          </w14:textFill>
        </w:rPr>
        <w:t xml:space="preserve"> </w:t>
      </w:r>
      <w:r w:rsidR="000C2A4B" w:rsidRPr="00AD57D3">
        <w:rPr>
          <w:color w:val="000000"/>
          <w:spacing w:val="-61"/>
          <w:w w:val="15"/>
          <w:shd w:val="solid" w:color="000000" w:fill="000000"/>
          <w:fitText w:val="-20" w:id="-632147961"/>
          <w14:textFill>
            <w14:solidFill>
              <w14:srgbClr w14:val="000000">
                <w14:alpha w14:val="100000"/>
              </w14:srgbClr>
            </w14:solidFill>
          </w14:textFill>
        </w:rPr>
        <w:t>|</w:t>
      </w:r>
      <w:r w:rsidRPr="00650E28">
        <w:t xml:space="preserve">% in Year 6. </w:t>
      </w:r>
      <w:r w:rsidR="00AC6D99" w:rsidRPr="00650E28">
        <w:t xml:space="preserve">The submission stated that the uptake </w:t>
      </w:r>
      <w:r w:rsidR="00AC6D99" w:rsidRPr="00650E28">
        <w:lastRenderedPageBreak/>
        <w:t xml:space="preserve">rates for </w:t>
      </w:r>
      <w:r w:rsidR="00AC6D99">
        <w:t>Xeomin</w:t>
      </w:r>
      <w:r w:rsidR="00AC6D99" w:rsidRPr="00650E28">
        <w:t xml:space="preserve"> were “based on their own general commercial experience”.</w:t>
      </w:r>
      <w:r w:rsidR="00AC6D99" w:rsidRPr="002632F1">
        <w:rPr>
          <w:iCs/>
        </w:rPr>
        <w:t xml:space="preserve"> No evidence was provided regarding how these uptake rates were estimated, nor was a rationale given for the varying uptake rates across the first 6 years of listing. </w:t>
      </w:r>
    </w:p>
    <w:p w14:paraId="6AC60188" w14:textId="33FBB288" w:rsidR="004A30FE" w:rsidRPr="002632F1" w:rsidRDefault="004A30FE" w:rsidP="0049200A">
      <w:pPr>
        <w:pStyle w:val="3-BodyText"/>
        <w:numPr>
          <w:ilvl w:val="1"/>
          <w:numId w:val="1"/>
        </w:numPr>
        <w:spacing w:before="0" w:after="120"/>
        <w:rPr>
          <w:iCs/>
        </w:rPr>
      </w:pPr>
      <w:r w:rsidRPr="00650E28">
        <w:t>The submission</w:t>
      </w:r>
      <w:r w:rsidR="00875269">
        <w:t xml:space="preserve"> further</w:t>
      </w:r>
      <w:r w:rsidRPr="00650E28">
        <w:t xml:space="preserve"> stated that the </w:t>
      </w:r>
      <w:r>
        <w:t>substitution</w:t>
      </w:r>
      <w:r w:rsidRPr="00650E28">
        <w:t xml:space="preserve"> rate was expected to be extremely low in the first year of listing as </w:t>
      </w:r>
      <w:r>
        <w:t>Xeomin</w:t>
      </w:r>
      <w:r w:rsidRPr="00650E28">
        <w:t xml:space="preserve"> established itself on the market as a treatment for these conditions but would gradually increase over the subsequent years. </w:t>
      </w:r>
      <w:r w:rsidRPr="002632F1">
        <w:rPr>
          <w:iCs/>
        </w:rPr>
        <w:t xml:space="preserve">Uptake in initial years may be higher as specialists are already familiar with Xeomin. In its advice to the PBAC regarding Xeomin for treating chronic sialorrhea, the DUSC considered that clinicians would not require training as they would be familiar with its use off-label, particularly for patients in palliative care (DUSC advice to </w:t>
      </w:r>
      <w:r w:rsidR="00137C94" w:rsidRPr="002632F1">
        <w:rPr>
          <w:iCs/>
        </w:rPr>
        <w:t>the</w:t>
      </w:r>
      <w:r w:rsidRPr="002632F1">
        <w:rPr>
          <w:iCs/>
        </w:rPr>
        <w:t xml:space="preserve"> PBAC for chronic sialorrhea).</w:t>
      </w:r>
      <w:r w:rsidR="00D25B51">
        <w:rPr>
          <w:iCs/>
        </w:rPr>
        <w:t xml:space="preserve"> </w:t>
      </w:r>
      <w:r w:rsidR="00BA7921" w:rsidRPr="00DB673B">
        <w:rPr>
          <w:iCs/>
        </w:rPr>
        <w:t xml:space="preserve">The PSCR </w:t>
      </w:r>
      <w:r w:rsidR="00B26E10" w:rsidRPr="00DB673B">
        <w:rPr>
          <w:iCs/>
        </w:rPr>
        <w:t>considered the</w:t>
      </w:r>
      <w:r w:rsidR="00BA7921" w:rsidRPr="00DB673B">
        <w:rPr>
          <w:iCs/>
        </w:rPr>
        <w:t xml:space="preserve"> uptake is expected to be low in the first years of listing due to Botox already capturing over 90% of the total market and the listing of Xeomin is not expected to grow the market by introducing new patients.</w:t>
      </w:r>
      <w:r w:rsidR="00BA7921" w:rsidRPr="00BA7921">
        <w:rPr>
          <w:iCs/>
        </w:rPr>
        <w:t xml:space="preserve"> </w:t>
      </w:r>
    </w:p>
    <w:p w14:paraId="15F401FE" w14:textId="127A5F29" w:rsidR="00207020" w:rsidRPr="002632F1" w:rsidRDefault="00207020" w:rsidP="0049200A">
      <w:pPr>
        <w:pStyle w:val="3-BodyText"/>
        <w:numPr>
          <w:ilvl w:val="1"/>
          <w:numId w:val="1"/>
        </w:numPr>
        <w:spacing w:before="0" w:after="120"/>
        <w:rPr>
          <w:iCs/>
        </w:rPr>
      </w:pPr>
      <w:r w:rsidRPr="00E1576C">
        <w:t xml:space="preserve">The total number of </w:t>
      </w:r>
      <w:r>
        <w:t>Xeomin</w:t>
      </w:r>
      <w:r w:rsidRPr="00E1576C">
        <w:t xml:space="preserve"> </w:t>
      </w:r>
      <w:r>
        <w:t>scripts</w:t>
      </w:r>
      <w:r w:rsidRPr="00E1576C">
        <w:t xml:space="preserve"> projected to be dispensed over </w:t>
      </w:r>
      <w:r>
        <w:t>6</w:t>
      </w:r>
      <w:r w:rsidRPr="00E1576C">
        <w:t xml:space="preserve"> years (</w:t>
      </w:r>
      <w:r w:rsidRPr="00080A60">
        <w:t xml:space="preserve">from </w:t>
      </w:r>
      <w:r w:rsidR="00080A60" w:rsidRPr="00080A60">
        <w:t>&lt; 500</w:t>
      </w:r>
      <w:r w:rsidRPr="00E1576C">
        <w:t xml:space="preserve"> in Year 1 </w:t>
      </w:r>
      <w:r w:rsidRPr="002B6BCB">
        <w:t xml:space="preserve">to </w:t>
      </w:r>
      <w:r w:rsidR="005671A0" w:rsidRPr="005671A0">
        <w:t>500 to &lt; 5,000</w:t>
      </w:r>
      <w:r w:rsidRPr="002B6BCB">
        <w:t xml:space="preserve"> in Year 6</w:t>
      </w:r>
      <w:r w:rsidRPr="00E1576C">
        <w:t xml:space="preserve">) was estimated to be slightly lower than the corresponding reduction in PBS services for Botox and Dysport resulting from the listing of </w:t>
      </w:r>
      <w:r>
        <w:t>Xeomin</w:t>
      </w:r>
      <w:r w:rsidRPr="00E1576C">
        <w:t xml:space="preserve"> (from </w:t>
      </w:r>
      <w:r w:rsidR="005A2BCD">
        <w:t>-</w:t>
      </w:r>
      <w:r w:rsidR="00080A60">
        <w:t xml:space="preserve"> </w:t>
      </w:r>
      <w:r w:rsidR="00080A60" w:rsidRPr="00080A60">
        <w:t>&lt; 500</w:t>
      </w:r>
      <w:r w:rsidRPr="00080A60">
        <w:t xml:space="preserve"> i</w:t>
      </w:r>
      <w:r w:rsidRPr="00E1576C">
        <w:t xml:space="preserve">n Year 1 </w:t>
      </w:r>
      <w:r w:rsidRPr="005671A0">
        <w:t xml:space="preserve">to </w:t>
      </w:r>
      <w:r w:rsidR="005A2BCD" w:rsidRPr="005671A0">
        <w:t>-</w:t>
      </w:r>
      <w:r w:rsidR="005671A0" w:rsidRPr="005671A0">
        <w:t>500 to &lt; 5,000</w:t>
      </w:r>
      <w:r w:rsidRPr="005671A0">
        <w:t xml:space="preserve"> in Year 6</w:t>
      </w:r>
      <w:r w:rsidRPr="00E1576C">
        <w:t>).</w:t>
      </w:r>
      <w:r>
        <w:t xml:space="preserve"> </w:t>
      </w:r>
      <w:r w:rsidRPr="002632F1">
        <w:rPr>
          <w:iCs/>
        </w:rPr>
        <w:t xml:space="preserve">This was reasonable. The slight decrease in total Xeomin prescriptions was due to the substitution of Dysport with </w:t>
      </w:r>
      <w:r w:rsidRPr="005671A0">
        <w:rPr>
          <w:iCs/>
        </w:rPr>
        <w:t>Xeomin at a 2.5:1 ratio</w:t>
      </w:r>
      <w:r w:rsidRPr="002632F1">
        <w:rPr>
          <w:iCs/>
        </w:rPr>
        <w:t>.</w:t>
      </w:r>
      <w:r w:rsidR="00080A60">
        <w:rPr>
          <w:iCs/>
        </w:rPr>
        <w:t xml:space="preserve"> </w:t>
      </w:r>
    </w:p>
    <w:p w14:paraId="2904704A" w14:textId="78403296" w:rsidR="004A30FE" w:rsidRDefault="004A30FE" w:rsidP="0049200A">
      <w:pPr>
        <w:pStyle w:val="3-BodyText"/>
        <w:numPr>
          <w:ilvl w:val="1"/>
          <w:numId w:val="1"/>
        </w:numPr>
        <w:spacing w:before="0" w:after="120"/>
      </w:pPr>
      <w:r w:rsidRPr="004265FE">
        <w:t xml:space="preserve">The submission stated that the administration of </w:t>
      </w:r>
      <w:r>
        <w:t>Xeomin</w:t>
      </w:r>
      <w:r w:rsidRPr="004265FE">
        <w:t xml:space="preserve"> would be </w:t>
      </w:r>
      <w:r w:rsidR="00E43A98">
        <w:t>included</w:t>
      </w:r>
      <w:r w:rsidR="00E43A98" w:rsidRPr="004265FE">
        <w:t xml:space="preserve"> </w:t>
      </w:r>
      <w:r w:rsidRPr="004265FE">
        <w:t xml:space="preserve">under the same MBS services used for the current administration of </w:t>
      </w:r>
      <w:r>
        <w:t>Botox</w:t>
      </w:r>
      <w:r w:rsidRPr="004265FE">
        <w:t xml:space="preserve"> and </w:t>
      </w:r>
      <w:r>
        <w:t>Dysport</w:t>
      </w:r>
      <w:r w:rsidRPr="004265FE">
        <w:t xml:space="preserve"> for the same indications. Given that </w:t>
      </w:r>
      <w:r>
        <w:t>Xeomin</w:t>
      </w:r>
      <w:r w:rsidRPr="004265FE">
        <w:t xml:space="preserve"> would replace </w:t>
      </w:r>
      <w:r>
        <w:t>Botox</w:t>
      </w:r>
      <w:r w:rsidRPr="004265FE">
        <w:t xml:space="preserve"> at a 1:1 ratio, </w:t>
      </w:r>
      <w:r w:rsidRPr="00282D96">
        <w:t>the net impact on the MBS would be neutral. However, since Xeomin would replace Dysport at a 2.5:1</w:t>
      </w:r>
      <w:r w:rsidRPr="004265FE">
        <w:t xml:space="preserve"> ratio, the net MBS services would decrease slightly. </w:t>
      </w:r>
      <w:r w:rsidRPr="002632F1">
        <w:rPr>
          <w:iCs/>
        </w:rPr>
        <w:t>This was reasonable.</w:t>
      </w:r>
    </w:p>
    <w:p w14:paraId="2A549077" w14:textId="3DDBB55D" w:rsidR="004A30FE" w:rsidRPr="00DC7307" w:rsidRDefault="004A30FE" w:rsidP="0049200A">
      <w:pPr>
        <w:pStyle w:val="3-BodyText"/>
        <w:numPr>
          <w:ilvl w:val="1"/>
          <w:numId w:val="1"/>
        </w:numPr>
        <w:spacing w:before="0" w:after="120"/>
      </w:pPr>
      <w:r w:rsidRPr="004265FE">
        <w:t xml:space="preserve">Only injection fees (MBS items 18354 and 18361) were assumed to be relevant when estimating net changes to MBS due to the substitution of </w:t>
      </w:r>
      <w:r>
        <w:t>Dysport</w:t>
      </w:r>
      <w:r w:rsidRPr="004265FE">
        <w:t xml:space="preserve"> by </w:t>
      </w:r>
      <w:r>
        <w:t>Xeomin</w:t>
      </w:r>
      <w:r w:rsidRPr="004265FE">
        <w:t xml:space="preserve">. </w:t>
      </w:r>
      <w:r w:rsidR="002F136A" w:rsidRPr="002632F1">
        <w:rPr>
          <w:iCs/>
        </w:rPr>
        <w:t xml:space="preserve">This was reasonable. </w:t>
      </w:r>
      <w:r w:rsidR="005232BB">
        <w:t>A</w:t>
      </w:r>
      <w:r w:rsidRPr="004265FE">
        <w:t xml:space="preserve">n application </w:t>
      </w:r>
      <w:r w:rsidR="00FC2125">
        <w:t>was</w:t>
      </w:r>
      <w:r w:rsidRPr="004265FE">
        <w:t xml:space="preserve"> made to</w:t>
      </w:r>
      <w:r w:rsidRPr="004265FE" w:rsidDel="005232BB">
        <w:t xml:space="preserve"> </w:t>
      </w:r>
      <w:r w:rsidRPr="004265FE">
        <w:t xml:space="preserve">MSAC to amend the existing MBS item codes 18354 and 18361 for botulinum toxin injections to include </w:t>
      </w:r>
      <w:r>
        <w:t>Xeomin</w:t>
      </w:r>
      <w:r w:rsidRPr="004265FE">
        <w:t xml:space="preserve"> by name to enable its identical use as </w:t>
      </w:r>
      <w:r>
        <w:t>Botox</w:t>
      </w:r>
      <w:r w:rsidRPr="004265FE">
        <w:t xml:space="preserve"> and </w:t>
      </w:r>
      <w:r>
        <w:t>Dysport</w:t>
      </w:r>
      <w:r w:rsidR="008B65C2">
        <w:t xml:space="preserve"> (Application 1808 refers)</w:t>
      </w:r>
      <w:r w:rsidRPr="004265FE">
        <w:t>.</w:t>
      </w:r>
      <w:r>
        <w:t xml:space="preserve"> </w:t>
      </w:r>
    </w:p>
    <w:p w14:paraId="0936E6F2" w14:textId="7BDD0341" w:rsidR="004A30FE" w:rsidRDefault="00974561" w:rsidP="0049200A">
      <w:pPr>
        <w:pStyle w:val="3-BodyText"/>
        <w:numPr>
          <w:ilvl w:val="1"/>
          <w:numId w:val="1"/>
        </w:numPr>
        <w:spacing w:before="0" w:after="120"/>
      </w:pPr>
      <w:r>
        <w:fldChar w:fldCharType="begin"/>
      </w:r>
      <w:r>
        <w:instrText xml:space="preserve"> REF _Ref198638569 \h </w:instrText>
      </w:r>
      <w:r>
        <w:fldChar w:fldCharType="separate"/>
      </w:r>
      <w:r w:rsidR="00AD57D3">
        <w:t xml:space="preserve">Table </w:t>
      </w:r>
      <w:r w:rsidR="00AD57D3">
        <w:rPr>
          <w:noProof/>
        </w:rPr>
        <w:t>12</w:t>
      </w:r>
      <w:r>
        <w:fldChar w:fldCharType="end"/>
      </w:r>
      <w:r w:rsidR="004A30FE">
        <w:t xml:space="preserve"> presents the</w:t>
      </w:r>
      <w:r w:rsidR="004A30FE" w:rsidRPr="007E3795">
        <w:t xml:space="preserve"> es</w:t>
      </w:r>
      <w:r w:rsidR="004A30FE">
        <w:t>timated financial implications for the PBS listing of Xeomin for spasticity based on the DPMQs for Botox (</w:t>
      </w:r>
      <w:r w:rsidR="004A30FE" w:rsidRPr="004265FE">
        <w:t xml:space="preserve">PBS items </w:t>
      </w:r>
      <w:r w:rsidR="00571DEC" w:rsidRPr="00571DEC">
        <w:t>10998W and 10999X</w:t>
      </w:r>
      <w:r w:rsidR="004A30FE">
        <w:t xml:space="preserve">, DPMQ = </w:t>
      </w:r>
      <w:r w:rsidR="004A30FE" w:rsidRPr="005975B2">
        <w:t xml:space="preserve">$1,098.67), Dysport </w:t>
      </w:r>
      <w:r w:rsidR="00002AD7" w:rsidRPr="005975B2">
        <w:t>300 U</w:t>
      </w:r>
      <w:r w:rsidR="004A30FE" w:rsidRPr="005975B2">
        <w:t xml:space="preserve"> (PBS items 10981Y and 12214W, DPMQ = $958.79) and Dysport </w:t>
      </w:r>
      <w:r w:rsidR="00002AD7" w:rsidRPr="005975B2">
        <w:t>500 U</w:t>
      </w:r>
      <w:r w:rsidR="004A30FE" w:rsidRPr="005975B2">
        <w:t xml:space="preserve"> (PBS items 11006G and 12178Y, DPMQ = $855.99).</w:t>
      </w:r>
    </w:p>
    <w:p w14:paraId="0FFE08FF" w14:textId="33F87023" w:rsidR="00A63BF6" w:rsidRDefault="00A63BF6" w:rsidP="0049200A">
      <w:pPr>
        <w:pStyle w:val="TableFigureHeading"/>
      </w:pPr>
      <w:bookmarkStart w:id="78" w:name="_Ref198638569"/>
      <w:r>
        <w:lastRenderedPageBreak/>
        <w:t xml:space="preserve">Table </w:t>
      </w:r>
      <w:r>
        <w:fldChar w:fldCharType="begin"/>
      </w:r>
      <w:r>
        <w:instrText xml:space="preserve"> SEQ Table \* ARABIC </w:instrText>
      </w:r>
      <w:r>
        <w:fldChar w:fldCharType="separate"/>
      </w:r>
      <w:r w:rsidR="00AD57D3">
        <w:rPr>
          <w:noProof/>
        </w:rPr>
        <w:t>12</w:t>
      </w:r>
      <w:r>
        <w:rPr>
          <w:noProof/>
        </w:rPr>
        <w:fldChar w:fldCharType="end"/>
      </w:r>
      <w:bookmarkEnd w:id="78"/>
      <w:r>
        <w:t xml:space="preserve">: </w:t>
      </w:r>
      <w:r w:rsidRPr="001C1985">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Estimated use and financial implications"/>
      </w:tblPr>
      <w:tblGrid>
        <w:gridCol w:w="2405"/>
        <w:gridCol w:w="1102"/>
        <w:gridCol w:w="1102"/>
        <w:gridCol w:w="1102"/>
        <w:gridCol w:w="1102"/>
        <w:gridCol w:w="1102"/>
        <w:gridCol w:w="1102"/>
      </w:tblGrid>
      <w:tr w:rsidR="004A30FE" w:rsidRPr="00D1078F" w14:paraId="003A5F63" w14:textId="77777777" w:rsidTr="00925A61">
        <w:trPr>
          <w:tblHeader/>
        </w:trPr>
        <w:tc>
          <w:tcPr>
            <w:tcW w:w="1334" w:type="pct"/>
          </w:tcPr>
          <w:p w14:paraId="202FEB37" w14:textId="77777777" w:rsidR="004A30FE" w:rsidRPr="003639A6" w:rsidRDefault="004A30FE" w:rsidP="0049200A">
            <w:pPr>
              <w:pStyle w:val="In-tableHeading"/>
            </w:pPr>
          </w:p>
        </w:tc>
        <w:tc>
          <w:tcPr>
            <w:tcW w:w="611" w:type="pct"/>
          </w:tcPr>
          <w:p w14:paraId="695F65A9" w14:textId="77777777" w:rsidR="004A30FE" w:rsidRPr="00D1078F" w:rsidRDefault="004A30FE" w:rsidP="0049200A">
            <w:pPr>
              <w:pStyle w:val="In-tableHeading"/>
              <w:jc w:val="center"/>
            </w:pPr>
            <w:r w:rsidRPr="00D1078F">
              <w:t>Year 1</w:t>
            </w:r>
          </w:p>
        </w:tc>
        <w:tc>
          <w:tcPr>
            <w:tcW w:w="611" w:type="pct"/>
          </w:tcPr>
          <w:p w14:paraId="0BCBE594" w14:textId="77777777" w:rsidR="004A30FE" w:rsidRPr="00D1078F" w:rsidRDefault="004A30FE" w:rsidP="0049200A">
            <w:pPr>
              <w:pStyle w:val="In-tableHeading"/>
              <w:jc w:val="center"/>
            </w:pPr>
            <w:r w:rsidRPr="00D1078F">
              <w:t>Year 2</w:t>
            </w:r>
          </w:p>
        </w:tc>
        <w:tc>
          <w:tcPr>
            <w:tcW w:w="611" w:type="pct"/>
          </w:tcPr>
          <w:p w14:paraId="283328CC" w14:textId="77777777" w:rsidR="004A30FE" w:rsidRPr="00D1078F" w:rsidRDefault="004A30FE" w:rsidP="0049200A">
            <w:pPr>
              <w:pStyle w:val="In-tableHeading"/>
              <w:jc w:val="center"/>
            </w:pPr>
            <w:r w:rsidRPr="00D1078F">
              <w:t>Year 3</w:t>
            </w:r>
          </w:p>
        </w:tc>
        <w:tc>
          <w:tcPr>
            <w:tcW w:w="611" w:type="pct"/>
          </w:tcPr>
          <w:p w14:paraId="4DB0DF45" w14:textId="77777777" w:rsidR="004A30FE" w:rsidRPr="00D1078F" w:rsidRDefault="004A30FE" w:rsidP="0049200A">
            <w:pPr>
              <w:pStyle w:val="In-tableHeading"/>
              <w:jc w:val="center"/>
            </w:pPr>
            <w:r w:rsidRPr="00D1078F">
              <w:t>Year 4</w:t>
            </w:r>
          </w:p>
        </w:tc>
        <w:tc>
          <w:tcPr>
            <w:tcW w:w="611" w:type="pct"/>
          </w:tcPr>
          <w:p w14:paraId="157226A5" w14:textId="77777777" w:rsidR="004A30FE" w:rsidRPr="00D1078F" w:rsidRDefault="004A30FE" w:rsidP="0049200A">
            <w:pPr>
              <w:pStyle w:val="In-tableHeading"/>
              <w:jc w:val="center"/>
            </w:pPr>
            <w:r w:rsidRPr="00D1078F">
              <w:t>Year 5</w:t>
            </w:r>
          </w:p>
        </w:tc>
        <w:tc>
          <w:tcPr>
            <w:tcW w:w="611" w:type="pct"/>
          </w:tcPr>
          <w:p w14:paraId="574153D8" w14:textId="77777777" w:rsidR="004A30FE" w:rsidRPr="00D1078F" w:rsidRDefault="004A30FE" w:rsidP="0049200A">
            <w:pPr>
              <w:pStyle w:val="In-tableHeading"/>
              <w:jc w:val="center"/>
            </w:pPr>
            <w:r w:rsidRPr="00D1078F">
              <w:t>Year 6</w:t>
            </w:r>
          </w:p>
        </w:tc>
      </w:tr>
      <w:tr w:rsidR="004A30FE" w:rsidRPr="00D1078F" w14:paraId="313E1ECB" w14:textId="77777777" w:rsidTr="00925A61">
        <w:tc>
          <w:tcPr>
            <w:tcW w:w="5000" w:type="pct"/>
            <w:gridSpan w:val="7"/>
          </w:tcPr>
          <w:p w14:paraId="5A6A0B3E" w14:textId="7DACAA8B" w:rsidR="004A30FE" w:rsidRPr="00D1078F" w:rsidRDefault="004A30FE" w:rsidP="0049200A">
            <w:pPr>
              <w:pStyle w:val="In-tableHeading"/>
              <w:rPr>
                <w:bCs/>
                <w:color w:val="000000"/>
              </w:rPr>
            </w:pPr>
            <w:r w:rsidRPr="00D1078F">
              <w:rPr>
                <w:bCs/>
                <w:color w:val="000000"/>
              </w:rPr>
              <w:t xml:space="preserve">Estimated </w:t>
            </w:r>
            <w:r w:rsidR="00073A58">
              <w:rPr>
                <w:bCs/>
                <w:color w:val="000000"/>
              </w:rPr>
              <w:t>scripts</w:t>
            </w:r>
            <w:r>
              <w:rPr>
                <w:bCs/>
                <w:color w:val="000000"/>
              </w:rPr>
              <w:t xml:space="preserve"> of </w:t>
            </w:r>
            <w:r>
              <w:t>Xeomin</w:t>
            </w:r>
          </w:p>
        </w:tc>
      </w:tr>
      <w:tr w:rsidR="004A30FE" w:rsidRPr="003639A6" w14:paraId="5FE9698E" w14:textId="77777777" w:rsidTr="00925A61">
        <w:tc>
          <w:tcPr>
            <w:tcW w:w="1334" w:type="pct"/>
          </w:tcPr>
          <w:p w14:paraId="37302EBC" w14:textId="709F9008" w:rsidR="004A30FE" w:rsidRPr="003639A6" w:rsidRDefault="004A30FE" w:rsidP="0049200A">
            <w:pPr>
              <w:pStyle w:val="TableText0"/>
            </w:pPr>
            <w:r w:rsidRPr="003B319B">
              <w:t>Xeomin for dynamic equinus foot deformity</w:t>
            </w:r>
          </w:p>
        </w:tc>
        <w:tc>
          <w:tcPr>
            <w:tcW w:w="611" w:type="pct"/>
            <w:tcBorders>
              <w:top w:val="single" w:sz="4" w:space="0" w:color="auto"/>
              <w:left w:val="single" w:sz="4" w:space="0" w:color="auto"/>
              <w:bottom w:val="single" w:sz="4" w:space="0" w:color="auto"/>
              <w:right w:val="single" w:sz="4" w:space="0" w:color="auto"/>
            </w:tcBorders>
          </w:tcPr>
          <w:p w14:paraId="4E7DA5BB" w14:textId="1D76D16A" w:rsidR="004A30FE" w:rsidRPr="003D47A7" w:rsidRDefault="000C2A4B" w:rsidP="0049200A">
            <w:pPr>
              <w:pStyle w:val="TableText0"/>
              <w:jc w:val="center"/>
            </w:pPr>
            <w:r w:rsidRPr="000C2A4B">
              <w:rPr>
                <w:rFonts w:hint="eastAsia"/>
                <w:color w:val="000000"/>
                <w:w w:val="15"/>
                <w:shd w:val="solid" w:color="000000" w:fill="000000"/>
                <w:fitText w:val="54" w:id="-632147960"/>
                <w14:textFill>
                  <w14:solidFill>
                    <w14:srgbClr w14:val="000000">
                      <w14:alpha w14:val="100000"/>
                    </w14:srgbClr>
                  </w14:solidFill>
                </w14:textFill>
              </w:rPr>
              <w:t xml:space="preserve">　</w:t>
            </w:r>
            <w:r w:rsidRPr="000C2A4B">
              <w:rPr>
                <w:color w:val="000000"/>
                <w:w w:val="15"/>
                <w:shd w:val="solid" w:color="000000" w:fill="000000"/>
                <w:fitText w:val="54" w:id="-632147960"/>
                <w14:textFill>
                  <w14:solidFill>
                    <w14:srgbClr w14:val="000000">
                      <w14:alpha w14:val="100000"/>
                    </w14:srgbClr>
                  </w14:solidFill>
                </w14:textFill>
              </w:rPr>
              <w:t>|</w:t>
            </w:r>
            <w:r w:rsidRPr="000C2A4B">
              <w:rPr>
                <w:rFonts w:hint="eastAsia"/>
                <w:color w:val="000000"/>
                <w:spacing w:val="-11"/>
                <w:w w:val="15"/>
                <w:shd w:val="solid" w:color="000000" w:fill="000000"/>
                <w:fitText w:val="54" w:id="-632147960"/>
                <w14:textFill>
                  <w14:solidFill>
                    <w14:srgbClr w14:val="000000">
                      <w14:alpha w14:val="100000"/>
                    </w14:srgbClr>
                  </w14:solidFill>
                </w14:textFill>
              </w:rPr>
              <w:t xml:space="preserve">　</w:t>
            </w:r>
            <w:r w:rsidR="008C3E96"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454BE30E" w14:textId="2EB21420" w:rsidR="004A30FE" w:rsidRPr="003D47A7" w:rsidRDefault="000C2A4B" w:rsidP="0049200A">
            <w:pPr>
              <w:pStyle w:val="TableText0"/>
              <w:jc w:val="center"/>
            </w:pPr>
            <w:r w:rsidRPr="000C2A4B">
              <w:rPr>
                <w:rFonts w:hint="eastAsia"/>
                <w:color w:val="000000"/>
                <w:w w:val="15"/>
                <w:shd w:val="solid" w:color="000000" w:fill="000000"/>
                <w:fitText w:val="54" w:id="-632147959"/>
                <w14:textFill>
                  <w14:solidFill>
                    <w14:srgbClr w14:val="000000">
                      <w14:alpha w14:val="100000"/>
                    </w14:srgbClr>
                  </w14:solidFill>
                </w14:textFill>
              </w:rPr>
              <w:t xml:space="preserve">　</w:t>
            </w:r>
            <w:r w:rsidRPr="000C2A4B">
              <w:rPr>
                <w:color w:val="000000"/>
                <w:w w:val="15"/>
                <w:shd w:val="solid" w:color="000000" w:fill="000000"/>
                <w:fitText w:val="54" w:id="-632147959"/>
                <w14:textFill>
                  <w14:solidFill>
                    <w14:srgbClr w14:val="000000">
                      <w14:alpha w14:val="100000"/>
                    </w14:srgbClr>
                  </w14:solidFill>
                </w14:textFill>
              </w:rPr>
              <w:t>|</w:t>
            </w:r>
            <w:r w:rsidRPr="000C2A4B">
              <w:rPr>
                <w:rFonts w:hint="eastAsia"/>
                <w:color w:val="000000"/>
                <w:spacing w:val="-11"/>
                <w:w w:val="15"/>
                <w:shd w:val="solid" w:color="000000" w:fill="000000"/>
                <w:fitText w:val="54" w:id="-632147959"/>
                <w14:textFill>
                  <w14:solidFill>
                    <w14:srgbClr w14:val="000000">
                      <w14:alpha w14:val="100000"/>
                    </w14:srgbClr>
                  </w14:solidFill>
                </w14:textFill>
              </w:rPr>
              <w:t xml:space="preserve">　</w:t>
            </w:r>
            <w:r w:rsidR="008C3E96"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0B526E0D" w14:textId="2E86ED34" w:rsidR="004A30FE" w:rsidRPr="003D47A7" w:rsidRDefault="000C2A4B" w:rsidP="0049200A">
            <w:pPr>
              <w:pStyle w:val="TableText0"/>
              <w:jc w:val="center"/>
            </w:pPr>
            <w:r w:rsidRPr="000C2A4B">
              <w:rPr>
                <w:rFonts w:hint="eastAsia"/>
                <w:color w:val="000000"/>
                <w:w w:val="15"/>
                <w:shd w:val="solid" w:color="000000" w:fill="000000"/>
                <w:fitText w:val="54" w:id="-632147958"/>
                <w14:textFill>
                  <w14:solidFill>
                    <w14:srgbClr w14:val="000000">
                      <w14:alpha w14:val="100000"/>
                    </w14:srgbClr>
                  </w14:solidFill>
                </w14:textFill>
              </w:rPr>
              <w:t xml:space="preserve">　</w:t>
            </w:r>
            <w:r w:rsidRPr="000C2A4B">
              <w:rPr>
                <w:color w:val="000000"/>
                <w:w w:val="15"/>
                <w:shd w:val="solid" w:color="000000" w:fill="000000"/>
                <w:fitText w:val="54" w:id="-632147958"/>
                <w14:textFill>
                  <w14:solidFill>
                    <w14:srgbClr w14:val="000000">
                      <w14:alpha w14:val="100000"/>
                    </w14:srgbClr>
                  </w14:solidFill>
                </w14:textFill>
              </w:rPr>
              <w:t>|</w:t>
            </w:r>
            <w:r w:rsidRPr="000C2A4B">
              <w:rPr>
                <w:rFonts w:hint="eastAsia"/>
                <w:color w:val="000000"/>
                <w:spacing w:val="-11"/>
                <w:w w:val="15"/>
                <w:shd w:val="solid" w:color="000000" w:fill="000000"/>
                <w:fitText w:val="54" w:id="-632147958"/>
                <w14:textFill>
                  <w14:solidFill>
                    <w14:srgbClr w14:val="000000">
                      <w14:alpha w14:val="100000"/>
                    </w14:srgbClr>
                  </w14:solidFill>
                </w14:textFill>
              </w:rPr>
              <w:t xml:space="preserve">　</w:t>
            </w:r>
            <w:r w:rsidR="008C3E96"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745493A7" w14:textId="25B95F09" w:rsidR="004A30FE" w:rsidRPr="003D47A7" w:rsidRDefault="000C2A4B" w:rsidP="0049200A">
            <w:pPr>
              <w:pStyle w:val="TableText0"/>
              <w:jc w:val="center"/>
            </w:pPr>
            <w:r w:rsidRPr="000C2A4B">
              <w:rPr>
                <w:rFonts w:hint="eastAsia"/>
                <w:color w:val="000000"/>
                <w:w w:val="15"/>
                <w:shd w:val="solid" w:color="000000" w:fill="000000"/>
                <w:fitText w:val="54" w:id="-632147957"/>
                <w14:textFill>
                  <w14:solidFill>
                    <w14:srgbClr w14:val="000000">
                      <w14:alpha w14:val="100000"/>
                    </w14:srgbClr>
                  </w14:solidFill>
                </w14:textFill>
              </w:rPr>
              <w:t xml:space="preserve">　</w:t>
            </w:r>
            <w:r w:rsidRPr="000C2A4B">
              <w:rPr>
                <w:color w:val="000000"/>
                <w:w w:val="15"/>
                <w:shd w:val="solid" w:color="000000" w:fill="000000"/>
                <w:fitText w:val="54" w:id="-632147957"/>
                <w14:textFill>
                  <w14:solidFill>
                    <w14:srgbClr w14:val="000000">
                      <w14:alpha w14:val="100000"/>
                    </w14:srgbClr>
                  </w14:solidFill>
                </w14:textFill>
              </w:rPr>
              <w:t>|</w:t>
            </w:r>
            <w:r w:rsidRPr="000C2A4B">
              <w:rPr>
                <w:rFonts w:hint="eastAsia"/>
                <w:color w:val="000000"/>
                <w:spacing w:val="-11"/>
                <w:w w:val="15"/>
                <w:shd w:val="solid" w:color="000000" w:fill="000000"/>
                <w:fitText w:val="54" w:id="-632147957"/>
                <w14:textFill>
                  <w14:solidFill>
                    <w14:srgbClr w14:val="000000">
                      <w14:alpha w14:val="100000"/>
                    </w14:srgbClr>
                  </w14:solidFill>
                </w14:textFill>
              </w:rPr>
              <w:t xml:space="preserve">　</w:t>
            </w:r>
            <w:r w:rsidR="008C3E96"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6BB170F1" w14:textId="4A3E6878" w:rsidR="004A30FE" w:rsidRPr="003D47A7" w:rsidRDefault="000C2A4B" w:rsidP="0049200A">
            <w:pPr>
              <w:pStyle w:val="TableText0"/>
              <w:jc w:val="center"/>
            </w:pPr>
            <w:r w:rsidRPr="000C2A4B">
              <w:rPr>
                <w:rFonts w:hint="eastAsia"/>
                <w:color w:val="000000"/>
                <w:w w:val="15"/>
                <w:shd w:val="solid" w:color="000000" w:fill="000000"/>
                <w:fitText w:val="54" w:id="-632147956"/>
                <w14:textFill>
                  <w14:solidFill>
                    <w14:srgbClr w14:val="000000">
                      <w14:alpha w14:val="100000"/>
                    </w14:srgbClr>
                  </w14:solidFill>
                </w14:textFill>
              </w:rPr>
              <w:t xml:space="preserve">　</w:t>
            </w:r>
            <w:r w:rsidRPr="000C2A4B">
              <w:rPr>
                <w:color w:val="000000"/>
                <w:w w:val="15"/>
                <w:shd w:val="solid" w:color="000000" w:fill="000000"/>
                <w:fitText w:val="54" w:id="-632147956"/>
                <w14:textFill>
                  <w14:solidFill>
                    <w14:srgbClr w14:val="000000">
                      <w14:alpha w14:val="100000"/>
                    </w14:srgbClr>
                  </w14:solidFill>
                </w14:textFill>
              </w:rPr>
              <w:t>|</w:t>
            </w:r>
            <w:r w:rsidRPr="000C2A4B">
              <w:rPr>
                <w:rFonts w:hint="eastAsia"/>
                <w:color w:val="000000"/>
                <w:spacing w:val="-11"/>
                <w:w w:val="15"/>
                <w:shd w:val="solid" w:color="000000" w:fill="000000"/>
                <w:fitText w:val="54" w:id="-632147956"/>
                <w14:textFill>
                  <w14:solidFill>
                    <w14:srgbClr w14:val="000000">
                      <w14:alpha w14:val="100000"/>
                    </w14:srgbClr>
                  </w14:solidFill>
                </w14:textFill>
              </w:rPr>
              <w:t xml:space="preserve">　</w:t>
            </w:r>
            <w:r w:rsidR="008C3E96"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1146B062" w14:textId="49E5D8B2" w:rsidR="004A30FE" w:rsidRPr="003D47A7" w:rsidRDefault="000C2A4B" w:rsidP="0049200A">
            <w:pPr>
              <w:pStyle w:val="TableText0"/>
              <w:jc w:val="center"/>
            </w:pPr>
            <w:r w:rsidRPr="000C2A4B">
              <w:rPr>
                <w:rFonts w:hint="eastAsia"/>
                <w:color w:val="000000"/>
                <w:w w:val="15"/>
                <w:shd w:val="solid" w:color="000000" w:fill="000000"/>
                <w:fitText w:val="54" w:id="-632147955"/>
                <w14:textFill>
                  <w14:solidFill>
                    <w14:srgbClr w14:val="000000">
                      <w14:alpha w14:val="100000"/>
                    </w14:srgbClr>
                  </w14:solidFill>
                </w14:textFill>
              </w:rPr>
              <w:t xml:space="preserve">　</w:t>
            </w:r>
            <w:r w:rsidRPr="000C2A4B">
              <w:rPr>
                <w:color w:val="000000"/>
                <w:w w:val="15"/>
                <w:shd w:val="solid" w:color="000000" w:fill="000000"/>
                <w:fitText w:val="54" w:id="-632147955"/>
                <w14:textFill>
                  <w14:solidFill>
                    <w14:srgbClr w14:val="000000">
                      <w14:alpha w14:val="100000"/>
                    </w14:srgbClr>
                  </w14:solidFill>
                </w14:textFill>
              </w:rPr>
              <w:t>|</w:t>
            </w:r>
            <w:r w:rsidRPr="000C2A4B">
              <w:rPr>
                <w:rFonts w:hint="eastAsia"/>
                <w:color w:val="000000"/>
                <w:spacing w:val="-11"/>
                <w:w w:val="15"/>
                <w:shd w:val="solid" w:color="000000" w:fill="000000"/>
                <w:fitText w:val="54" w:id="-632147955"/>
                <w14:textFill>
                  <w14:solidFill>
                    <w14:srgbClr w14:val="000000">
                      <w14:alpha w14:val="100000"/>
                    </w14:srgbClr>
                  </w14:solidFill>
                </w14:textFill>
              </w:rPr>
              <w:t xml:space="preserve">　</w:t>
            </w:r>
            <w:r w:rsidR="00392F87" w:rsidRPr="00392F87">
              <w:rPr>
                <w:color w:val="333333"/>
                <w:szCs w:val="20"/>
                <w:vertAlign w:val="superscript"/>
              </w:rPr>
              <w:t>2</w:t>
            </w:r>
          </w:p>
        </w:tc>
      </w:tr>
      <w:tr w:rsidR="004A30FE" w:rsidRPr="003639A6" w14:paraId="714E1E72" w14:textId="77777777" w:rsidTr="00925A61">
        <w:tc>
          <w:tcPr>
            <w:tcW w:w="1334" w:type="pct"/>
          </w:tcPr>
          <w:p w14:paraId="18835124" w14:textId="77777777" w:rsidR="004A30FE" w:rsidRPr="003639A6" w:rsidRDefault="004A30FE" w:rsidP="0049200A">
            <w:pPr>
              <w:pStyle w:val="TableText0"/>
              <w:rPr>
                <w:rFonts w:ascii="Times" w:hAnsi="Times"/>
              </w:rPr>
            </w:pPr>
            <w:r w:rsidRPr="003B319B">
              <w:t>Xeomin for moderate to severe spasticity of the upper limb</w:t>
            </w:r>
          </w:p>
        </w:tc>
        <w:tc>
          <w:tcPr>
            <w:tcW w:w="611" w:type="pct"/>
            <w:tcBorders>
              <w:top w:val="single" w:sz="4" w:space="0" w:color="auto"/>
              <w:left w:val="single" w:sz="4" w:space="0" w:color="auto"/>
              <w:bottom w:val="single" w:sz="4" w:space="0" w:color="auto"/>
              <w:right w:val="single" w:sz="4" w:space="0" w:color="auto"/>
            </w:tcBorders>
          </w:tcPr>
          <w:p w14:paraId="00CCA2C8" w14:textId="2355B94C" w:rsidR="004A30FE" w:rsidRPr="003639A6" w:rsidRDefault="000C2A4B" w:rsidP="0049200A">
            <w:pPr>
              <w:pStyle w:val="TableText0"/>
              <w:jc w:val="center"/>
              <w:rPr>
                <w:color w:val="000000"/>
              </w:rPr>
            </w:pPr>
            <w:r w:rsidRPr="000C2A4B">
              <w:rPr>
                <w:rFonts w:hint="eastAsia"/>
                <w:color w:val="000000"/>
                <w:w w:val="15"/>
                <w:shd w:val="solid" w:color="000000" w:fill="000000"/>
                <w:fitText w:val="54" w:id="-632147954"/>
                <w14:textFill>
                  <w14:solidFill>
                    <w14:srgbClr w14:val="000000">
                      <w14:alpha w14:val="100000"/>
                    </w14:srgbClr>
                  </w14:solidFill>
                </w14:textFill>
              </w:rPr>
              <w:t xml:space="preserve">　</w:t>
            </w:r>
            <w:r w:rsidRPr="000C2A4B">
              <w:rPr>
                <w:color w:val="000000"/>
                <w:w w:val="15"/>
                <w:shd w:val="solid" w:color="000000" w:fill="000000"/>
                <w:fitText w:val="54" w:id="-632147954"/>
                <w14:textFill>
                  <w14:solidFill>
                    <w14:srgbClr w14:val="000000">
                      <w14:alpha w14:val="100000"/>
                    </w14:srgbClr>
                  </w14:solidFill>
                </w14:textFill>
              </w:rPr>
              <w:t>|</w:t>
            </w:r>
            <w:r w:rsidRPr="000C2A4B">
              <w:rPr>
                <w:rFonts w:hint="eastAsia"/>
                <w:color w:val="000000"/>
                <w:spacing w:val="-11"/>
                <w:w w:val="15"/>
                <w:shd w:val="solid" w:color="000000" w:fill="000000"/>
                <w:fitText w:val="54" w:id="-632147954"/>
                <w14:textFill>
                  <w14:solidFill>
                    <w14:srgbClr w14:val="000000">
                      <w14:alpha w14:val="100000"/>
                    </w14:srgbClr>
                  </w14:solidFill>
                </w14:textFill>
              </w:rPr>
              <w:t xml:space="preserve">　</w:t>
            </w:r>
            <w:r w:rsidR="008C3E96"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458D77D2" w14:textId="5464DB60" w:rsidR="004A30FE" w:rsidRPr="003639A6" w:rsidRDefault="000C2A4B" w:rsidP="0049200A">
            <w:pPr>
              <w:pStyle w:val="TableText0"/>
              <w:jc w:val="center"/>
              <w:rPr>
                <w:color w:val="000000"/>
              </w:rPr>
            </w:pPr>
            <w:r w:rsidRPr="000C2A4B">
              <w:rPr>
                <w:rFonts w:hint="eastAsia"/>
                <w:color w:val="000000"/>
                <w:w w:val="15"/>
                <w:shd w:val="solid" w:color="000000" w:fill="000000"/>
                <w:fitText w:val="54" w:id="-632147953"/>
                <w14:textFill>
                  <w14:solidFill>
                    <w14:srgbClr w14:val="000000">
                      <w14:alpha w14:val="100000"/>
                    </w14:srgbClr>
                  </w14:solidFill>
                </w14:textFill>
              </w:rPr>
              <w:t xml:space="preserve">　</w:t>
            </w:r>
            <w:r w:rsidRPr="000C2A4B">
              <w:rPr>
                <w:color w:val="000000"/>
                <w:w w:val="15"/>
                <w:shd w:val="solid" w:color="000000" w:fill="000000"/>
                <w:fitText w:val="54" w:id="-632147953"/>
                <w14:textFill>
                  <w14:solidFill>
                    <w14:srgbClr w14:val="000000">
                      <w14:alpha w14:val="100000"/>
                    </w14:srgbClr>
                  </w14:solidFill>
                </w14:textFill>
              </w:rPr>
              <w:t>|</w:t>
            </w:r>
            <w:r w:rsidRPr="000C2A4B">
              <w:rPr>
                <w:rFonts w:hint="eastAsia"/>
                <w:color w:val="000000"/>
                <w:spacing w:val="-11"/>
                <w:w w:val="15"/>
                <w:shd w:val="solid" w:color="000000" w:fill="000000"/>
                <w:fitText w:val="54" w:id="-632147953"/>
                <w14:textFill>
                  <w14:solidFill>
                    <w14:srgbClr w14:val="000000">
                      <w14:alpha w14:val="100000"/>
                    </w14:srgbClr>
                  </w14:solidFill>
                </w14:textFill>
              </w:rPr>
              <w:t xml:space="preserve">　</w:t>
            </w:r>
            <w:r w:rsidR="008C3E96"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5F3A90B9" w14:textId="18F20780" w:rsidR="004A30FE" w:rsidRPr="003639A6" w:rsidRDefault="000C2A4B" w:rsidP="0049200A">
            <w:pPr>
              <w:pStyle w:val="TableText0"/>
              <w:jc w:val="center"/>
              <w:rPr>
                <w:color w:val="000000"/>
              </w:rPr>
            </w:pPr>
            <w:r w:rsidRPr="000C2A4B">
              <w:rPr>
                <w:rFonts w:hint="eastAsia"/>
                <w:color w:val="000000"/>
                <w:w w:val="15"/>
                <w:shd w:val="solid" w:color="000000" w:fill="000000"/>
                <w:fitText w:val="54" w:id="-632147712"/>
                <w14:textFill>
                  <w14:solidFill>
                    <w14:srgbClr w14:val="000000">
                      <w14:alpha w14:val="100000"/>
                    </w14:srgbClr>
                  </w14:solidFill>
                </w14:textFill>
              </w:rPr>
              <w:t xml:space="preserve">　</w:t>
            </w:r>
            <w:r w:rsidRPr="000C2A4B">
              <w:rPr>
                <w:color w:val="000000"/>
                <w:w w:val="15"/>
                <w:shd w:val="solid" w:color="000000" w:fill="000000"/>
                <w:fitText w:val="54" w:id="-632147712"/>
                <w14:textFill>
                  <w14:solidFill>
                    <w14:srgbClr w14:val="000000">
                      <w14:alpha w14:val="100000"/>
                    </w14:srgbClr>
                  </w14:solidFill>
                </w14:textFill>
              </w:rPr>
              <w:t>|</w:t>
            </w:r>
            <w:r w:rsidRPr="000C2A4B">
              <w:rPr>
                <w:rFonts w:hint="eastAsia"/>
                <w:color w:val="000000"/>
                <w:spacing w:val="-11"/>
                <w:w w:val="15"/>
                <w:shd w:val="solid" w:color="000000" w:fill="000000"/>
                <w:fitText w:val="54" w:id="-632147712"/>
                <w14:textFill>
                  <w14:solidFill>
                    <w14:srgbClr w14:val="000000">
                      <w14:alpha w14:val="100000"/>
                    </w14:srgbClr>
                  </w14:solidFill>
                </w14:textFill>
              </w:rPr>
              <w:t xml:space="preserve">　</w:t>
            </w:r>
            <w:r w:rsidR="008C3E96"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64CF01EA" w14:textId="3B62E04B" w:rsidR="004A30FE" w:rsidRPr="003639A6" w:rsidRDefault="000C2A4B" w:rsidP="0049200A">
            <w:pPr>
              <w:pStyle w:val="TableText0"/>
              <w:jc w:val="center"/>
              <w:rPr>
                <w:color w:val="000000"/>
              </w:rPr>
            </w:pPr>
            <w:r w:rsidRPr="000C2A4B">
              <w:rPr>
                <w:rFonts w:hint="eastAsia"/>
                <w:color w:val="000000"/>
                <w:w w:val="15"/>
                <w:shd w:val="solid" w:color="000000" w:fill="000000"/>
                <w:fitText w:val="54" w:id="-632147711"/>
                <w14:textFill>
                  <w14:solidFill>
                    <w14:srgbClr w14:val="000000">
                      <w14:alpha w14:val="100000"/>
                    </w14:srgbClr>
                  </w14:solidFill>
                </w14:textFill>
              </w:rPr>
              <w:t xml:space="preserve">　</w:t>
            </w:r>
            <w:r w:rsidRPr="000C2A4B">
              <w:rPr>
                <w:color w:val="000000"/>
                <w:w w:val="15"/>
                <w:shd w:val="solid" w:color="000000" w:fill="000000"/>
                <w:fitText w:val="54" w:id="-632147711"/>
                <w14:textFill>
                  <w14:solidFill>
                    <w14:srgbClr w14:val="000000">
                      <w14:alpha w14:val="100000"/>
                    </w14:srgbClr>
                  </w14:solidFill>
                </w14:textFill>
              </w:rPr>
              <w:t>|</w:t>
            </w:r>
            <w:r w:rsidRPr="000C2A4B">
              <w:rPr>
                <w:rFonts w:hint="eastAsia"/>
                <w:color w:val="000000"/>
                <w:spacing w:val="-11"/>
                <w:w w:val="15"/>
                <w:shd w:val="solid" w:color="000000" w:fill="000000"/>
                <w:fitText w:val="54" w:id="-632147711"/>
                <w14:textFill>
                  <w14:solidFill>
                    <w14:srgbClr w14:val="000000">
                      <w14:alpha w14:val="100000"/>
                    </w14:srgbClr>
                  </w14:solidFill>
                </w14:textFill>
              </w:rPr>
              <w:t xml:space="preserve">　</w:t>
            </w:r>
            <w:r w:rsidR="008C3E96"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74895FBF" w14:textId="533907E8" w:rsidR="004A30FE" w:rsidRPr="003639A6" w:rsidRDefault="000C2A4B" w:rsidP="0049200A">
            <w:pPr>
              <w:pStyle w:val="TableText0"/>
              <w:jc w:val="center"/>
              <w:rPr>
                <w:color w:val="000000"/>
              </w:rPr>
            </w:pPr>
            <w:r w:rsidRPr="000C2A4B">
              <w:rPr>
                <w:rFonts w:hint="eastAsia"/>
                <w:color w:val="000000"/>
                <w:w w:val="15"/>
                <w:shd w:val="solid" w:color="000000" w:fill="000000"/>
                <w:fitText w:val="54" w:id="-632147710"/>
                <w14:textFill>
                  <w14:solidFill>
                    <w14:srgbClr w14:val="000000">
                      <w14:alpha w14:val="100000"/>
                    </w14:srgbClr>
                  </w14:solidFill>
                </w14:textFill>
              </w:rPr>
              <w:t xml:space="preserve">　</w:t>
            </w:r>
            <w:r w:rsidRPr="000C2A4B">
              <w:rPr>
                <w:color w:val="000000"/>
                <w:w w:val="15"/>
                <w:shd w:val="solid" w:color="000000" w:fill="000000"/>
                <w:fitText w:val="54" w:id="-632147710"/>
                <w14:textFill>
                  <w14:solidFill>
                    <w14:srgbClr w14:val="000000">
                      <w14:alpha w14:val="100000"/>
                    </w14:srgbClr>
                  </w14:solidFill>
                </w14:textFill>
              </w:rPr>
              <w:t>|</w:t>
            </w:r>
            <w:r w:rsidRPr="000C2A4B">
              <w:rPr>
                <w:rFonts w:hint="eastAsia"/>
                <w:color w:val="000000"/>
                <w:spacing w:val="-11"/>
                <w:w w:val="15"/>
                <w:shd w:val="solid" w:color="000000" w:fill="000000"/>
                <w:fitText w:val="54" w:id="-632147710"/>
                <w14:textFill>
                  <w14:solidFill>
                    <w14:srgbClr w14:val="000000">
                      <w14:alpha w14:val="100000"/>
                    </w14:srgbClr>
                  </w14:solidFill>
                </w14:textFill>
              </w:rPr>
              <w:t xml:space="preserve">　</w:t>
            </w:r>
            <w:r w:rsidR="008C3E96"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552B183F" w14:textId="489B6513" w:rsidR="004A30FE" w:rsidRPr="003639A6" w:rsidRDefault="000C2A4B" w:rsidP="0049200A">
            <w:pPr>
              <w:pStyle w:val="TableText0"/>
              <w:jc w:val="center"/>
              <w:rPr>
                <w:color w:val="000000"/>
              </w:rPr>
            </w:pPr>
            <w:r w:rsidRPr="000C2A4B">
              <w:rPr>
                <w:rFonts w:hint="eastAsia"/>
                <w:color w:val="000000"/>
                <w:w w:val="15"/>
                <w:shd w:val="solid" w:color="000000" w:fill="000000"/>
                <w:fitText w:val="54" w:id="-632147709"/>
                <w14:textFill>
                  <w14:solidFill>
                    <w14:srgbClr w14:val="000000">
                      <w14:alpha w14:val="100000"/>
                    </w14:srgbClr>
                  </w14:solidFill>
                </w14:textFill>
              </w:rPr>
              <w:t xml:space="preserve">　</w:t>
            </w:r>
            <w:r w:rsidRPr="000C2A4B">
              <w:rPr>
                <w:color w:val="000000"/>
                <w:w w:val="15"/>
                <w:shd w:val="solid" w:color="000000" w:fill="000000"/>
                <w:fitText w:val="54" w:id="-632147709"/>
                <w14:textFill>
                  <w14:solidFill>
                    <w14:srgbClr w14:val="000000">
                      <w14:alpha w14:val="100000"/>
                    </w14:srgbClr>
                  </w14:solidFill>
                </w14:textFill>
              </w:rPr>
              <w:t>|</w:t>
            </w:r>
            <w:r w:rsidRPr="000C2A4B">
              <w:rPr>
                <w:rFonts w:hint="eastAsia"/>
                <w:color w:val="000000"/>
                <w:spacing w:val="-11"/>
                <w:w w:val="15"/>
                <w:shd w:val="solid" w:color="000000" w:fill="000000"/>
                <w:fitText w:val="54" w:id="-632147709"/>
                <w14:textFill>
                  <w14:solidFill>
                    <w14:srgbClr w14:val="000000">
                      <w14:alpha w14:val="100000"/>
                    </w14:srgbClr>
                  </w14:solidFill>
                </w14:textFill>
              </w:rPr>
              <w:t xml:space="preserve">　</w:t>
            </w:r>
            <w:r w:rsidR="008C3E96" w:rsidRPr="008C3E96">
              <w:rPr>
                <w:color w:val="333333"/>
                <w:szCs w:val="20"/>
                <w:vertAlign w:val="superscript"/>
              </w:rPr>
              <w:t>1</w:t>
            </w:r>
          </w:p>
        </w:tc>
      </w:tr>
      <w:tr w:rsidR="004A30FE" w:rsidRPr="003639A6" w14:paraId="3E973B57" w14:textId="77777777" w:rsidTr="00925A61">
        <w:tc>
          <w:tcPr>
            <w:tcW w:w="1334" w:type="pct"/>
          </w:tcPr>
          <w:p w14:paraId="5CF2FB64" w14:textId="77777777" w:rsidR="004A30FE" w:rsidRPr="003B319B" w:rsidRDefault="004A30FE" w:rsidP="0049200A">
            <w:pPr>
              <w:pStyle w:val="TableText0"/>
            </w:pPr>
            <w:r>
              <w:t>Total</w:t>
            </w:r>
          </w:p>
        </w:tc>
        <w:tc>
          <w:tcPr>
            <w:tcW w:w="611" w:type="pct"/>
            <w:tcBorders>
              <w:top w:val="single" w:sz="4" w:space="0" w:color="auto"/>
              <w:left w:val="single" w:sz="4" w:space="0" w:color="auto"/>
              <w:bottom w:val="single" w:sz="4" w:space="0" w:color="auto"/>
              <w:right w:val="single" w:sz="4" w:space="0" w:color="auto"/>
            </w:tcBorders>
          </w:tcPr>
          <w:p w14:paraId="70A30E75" w14:textId="1E5AC69E" w:rsidR="004A30FE" w:rsidRPr="003D47A7" w:rsidRDefault="000C2A4B" w:rsidP="0049200A">
            <w:pPr>
              <w:pStyle w:val="TableText0"/>
              <w:jc w:val="center"/>
            </w:pPr>
            <w:r w:rsidRPr="000C2A4B">
              <w:rPr>
                <w:rFonts w:hint="eastAsia"/>
                <w:color w:val="000000"/>
                <w:w w:val="15"/>
                <w:shd w:val="solid" w:color="000000" w:fill="000000"/>
                <w:fitText w:val="54" w:id="-632147708"/>
                <w14:textFill>
                  <w14:solidFill>
                    <w14:srgbClr w14:val="000000">
                      <w14:alpha w14:val="100000"/>
                    </w14:srgbClr>
                  </w14:solidFill>
                </w14:textFill>
              </w:rPr>
              <w:t xml:space="preserve">　</w:t>
            </w:r>
            <w:r w:rsidRPr="000C2A4B">
              <w:rPr>
                <w:color w:val="000000"/>
                <w:w w:val="15"/>
                <w:shd w:val="solid" w:color="000000" w:fill="000000"/>
                <w:fitText w:val="54" w:id="-632147708"/>
                <w14:textFill>
                  <w14:solidFill>
                    <w14:srgbClr w14:val="000000">
                      <w14:alpha w14:val="100000"/>
                    </w14:srgbClr>
                  </w14:solidFill>
                </w14:textFill>
              </w:rPr>
              <w:t>|</w:t>
            </w:r>
            <w:r w:rsidRPr="000C2A4B">
              <w:rPr>
                <w:rFonts w:hint="eastAsia"/>
                <w:color w:val="000000"/>
                <w:spacing w:val="-11"/>
                <w:w w:val="15"/>
                <w:shd w:val="solid" w:color="000000" w:fill="000000"/>
                <w:fitText w:val="54" w:id="-632147708"/>
                <w14:textFill>
                  <w14:solidFill>
                    <w14:srgbClr w14:val="000000">
                      <w14:alpha w14:val="100000"/>
                    </w14:srgbClr>
                  </w14:solidFill>
                </w14:textFill>
              </w:rPr>
              <w:t xml:space="preserve">　</w:t>
            </w:r>
            <w:r w:rsidR="008C3E96"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3A6E8442" w14:textId="7F91A733" w:rsidR="004A30FE" w:rsidRPr="003D47A7" w:rsidRDefault="000C2A4B" w:rsidP="0049200A">
            <w:pPr>
              <w:pStyle w:val="TableText0"/>
              <w:jc w:val="center"/>
            </w:pPr>
            <w:r w:rsidRPr="000C2A4B">
              <w:rPr>
                <w:rFonts w:hint="eastAsia"/>
                <w:color w:val="000000"/>
                <w:w w:val="15"/>
                <w:shd w:val="solid" w:color="000000" w:fill="000000"/>
                <w:fitText w:val="54" w:id="-632147707"/>
                <w14:textFill>
                  <w14:solidFill>
                    <w14:srgbClr w14:val="000000">
                      <w14:alpha w14:val="100000"/>
                    </w14:srgbClr>
                  </w14:solidFill>
                </w14:textFill>
              </w:rPr>
              <w:t xml:space="preserve">　</w:t>
            </w:r>
            <w:r w:rsidRPr="000C2A4B">
              <w:rPr>
                <w:color w:val="000000"/>
                <w:w w:val="15"/>
                <w:shd w:val="solid" w:color="000000" w:fill="000000"/>
                <w:fitText w:val="54" w:id="-632147707"/>
                <w14:textFill>
                  <w14:solidFill>
                    <w14:srgbClr w14:val="000000">
                      <w14:alpha w14:val="100000"/>
                    </w14:srgbClr>
                  </w14:solidFill>
                </w14:textFill>
              </w:rPr>
              <w:t>|</w:t>
            </w:r>
            <w:r w:rsidRPr="000C2A4B">
              <w:rPr>
                <w:rFonts w:hint="eastAsia"/>
                <w:color w:val="000000"/>
                <w:spacing w:val="-11"/>
                <w:w w:val="15"/>
                <w:shd w:val="solid" w:color="000000" w:fill="000000"/>
                <w:fitText w:val="54" w:id="-632147707"/>
                <w14:textFill>
                  <w14:solidFill>
                    <w14:srgbClr w14:val="000000">
                      <w14:alpha w14:val="100000"/>
                    </w14:srgbClr>
                  </w14:solidFill>
                </w14:textFill>
              </w:rPr>
              <w:t xml:space="preserve">　</w:t>
            </w:r>
            <w:r w:rsidR="008C3E96"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3CD4A53A" w14:textId="35D7430E" w:rsidR="004A30FE" w:rsidRPr="003D47A7" w:rsidRDefault="000C2A4B" w:rsidP="0049200A">
            <w:pPr>
              <w:pStyle w:val="TableText0"/>
              <w:jc w:val="center"/>
            </w:pPr>
            <w:r w:rsidRPr="000C2A4B">
              <w:rPr>
                <w:rFonts w:hint="eastAsia"/>
                <w:color w:val="000000"/>
                <w:w w:val="15"/>
                <w:shd w:val="solid" w:color="000000" w:fill="000000"/>
                <w:fitText w:val="54" w:id="-632147706"/>
                <w14:textFill>
                  <w14:solidFill>
                    <w14:srgbClr w14:val="000000">
                      <w14:alpha w14:val="100000"/>
                    </w14:srgbClr>
                  </w14:solidFill>
                </w14:textFill>
              </w:rPr>
              <w:t xml:space="preserve">　</w:t>
            </w:r>
            <w:r w:rsidRPr="000C2A4B">
              <w:rPr>
                <w:color w:val="000000"/>
                <w:w w:val="15"/>
                <w:shd w:val="solid" w:color="000000" w:fill="000000"/>
                <w:fitText w:val="54" w:id="-632147706"/>
                <w14:textFill>
                  <w14:solidFill>
                    <w14:srgbClr w14:val="000000">
                      <w14:alpha w14:val="100000"/>
                    </w14:srgbClr>
                  </w14:solidFill>
                </w14:textFill>
              </w:rPr>
              <w:t>|</w:t>
            </w:r>
            <w:r w:rsidRPr="000C2A4B">
              <w:rPr>
                <w:rFonts w:hint="eastAsia"/>
                <w:color w:val="000000"/>
                <w:spacing w:val="-11"/>
                <w:w w:val="15"/>
                <w:shd w:val="solid" w:color="000000" w:fill="000000"/>
                <w:fitText w:val="54" w:id="-632147706"/>
                <w14:textFill>
                  <w14:solidFill>
                    <w14:srgbClr w14:val="000000">
                      <w14:alpha w14:val="100000"/>
                    </w14:srgbClr>
                  </w14:solidFill>
                </w14:textFill>
              </w:rPr>
              <w:t xml:space="preserve">　</w:t>
            </w:r>
            <w:r w:rsidR="008C3E96"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44D38653" w14:textId="2CE80976" w:rsidR="004A30FE" w:rsidRPr="003D47A7" w:rsidRDefault="000C2A4B" w:rsidP="0049200A">
            <w:pPr>
              <w:pStyle w:val="TableText0"/>
              <w:jc w:val="center"/>
            </w:pPr>
            <w:r w:rsidRPr="000C2A4B">
              <w:rPr>
                <w:rFonts w:hint="eastAsia"/>
                <w:color w:val="000000"/>
                <w:w w:val="15"/>
                <w:shd w:val="solid" w:color="000000" w:fill="000000"/>
                <w:fitText w:val="54" w:id="-632147705"/>
                <w14:textFill>
                  <w14:solidFill>
                    <w14:srgbClr w14:val="000000">
                      <w14:alpha w14:val="100000"/>
                    </w14:srgbClr>
                  </w14:solidFill>
                </w14:textFill>
              </w:rPr>
              <w:t xml:space="preserve">　</w:t>
            </w:r>
            <w:r w:rsidRPr="000C2A4B">
              <w:rPr>
                <w:color w:val="000000"/>
                <w:w w:val="15"/>
                <w:shd w:val="solid" w:color="000000" w:fill="000000"/>
                <w:fitText w:val="54" w:id="-632147705"/>
                <w14:textFill>
                  <w14:solidFill>
                    <w14:srgbClr w14:val="000000">
                      <w14:alpha w14:val="100000"/>
                    </w14:srgbClr>
                  </w14:solidFill>
                </w14:textFill>
              </w:rPr>
              <w:t>|</w:t>
            </w:r>
            <w:r w:rsidRPr="000C2A4B">
              <w:rPr>
                <w:rFonts w:hint="eastAsia"/>
                <w:color w:val="000000"/>
                <w:spacing w:val="-11"/>
                <w:w w:val="15"/>
                <w:shd w:val="solid" w:color="000000" w:fill="000000"/>
                <w:fitText w:val="54" w:id="-632147705"/>
                <w14:textFill>
                  <w14:solidFill>
                    <w14:srgbClr w14:val="000000">
                      <w14:alpha w14:val="100000"/>
                    </w14:srgbClr>
                  </w14:solidFill>
                </w14:textFill>
              </w:rPr>
              <w:t xml:space="preserve">　</w:t>
            </w:r>
            <w:r w:rsidR="00392F87" w:rsidRPr="00392F87">
              <w:rPr>
                <w:color w:val="333333"/>
                <w:szCs w:val="20"/>
                <w:vertAlign w:val="superscript"/>
              </w:rPr>
              <w:t>2</w:t>
            </w:r>
          </w:p>
        </w:tc>
        <w:tc>
          <w:tcPr>
            <w:tcW w:w="611" w:type="pct"/>
            <w:tcBorders>
              <w:top w:val="single" w:sz="4" w:space="0" w:color="auto"/>
              <w:left w:val="nil"/>
              <w:bottom w:val="single" w:sz="4" w:space="0" w:color="auto"/>
              <w:right w:val="single" w:sz="4" w:space="0" w:color="auto"/>
            </w:tcBorders>
          </w:tcPr>
          <w:p w14:paraId="01D4F958" w14:textId="10D50C03" w:rsidR="004A30FE" w:rsidRPr="003D47A7" w:rsidRDefault="000C2A4B" w:rsidP="0049200A">
            <w:pPr>
              <w:pStyle w:val="TableText0"/>
              <w:jc w:val="center"/>
            </w:pPr>
            <w:r w:rsidRPr="000C2A4B">
              <w:rPr>
                <w:rFonts w:hint="eastAsia"/>
                <w:color w:val="000000"/>
                <w:w w:val="15"/>
                <w:shd w:val="solid" w:color="000000" w:fill="000000"/>
                <w:fitText w:val="54" w:id="-632147704"/>
                <w14:textFill>
                  <w14:solidFill>
                    <w14:srgbClr w14:val="000000">
                      <w14:alpha w14:val="100000"/>
                    </w14:srgbClr>
                  </w14:solidFill>
                </w14:textFill>
              </w:rPr>
              <w:t xml:space="preserve">　</w:t>
            </w:r>
            <w:r w:rsidRPr="000C2A4B">
              <w:rPr>
                <w:color w:val="000000"/>
                <w:w w:val="15"/>
                <w:shd w:val="solid" w:color="000000" w:fill="000000"/>
                <w:fitText w:val="54" w:id="-632147704"/>
                <w14:textFill>
                  <w14:solidFill>
                    <w14:srgbClr w14:val="000000">
                      <w14:alpha w14:val="100000"/>
                    </w14:srgbClr>
                  </w14:solidFill>
                </w14:textFill>
              </w:rPr>
              <w:t>|</w:t>
            </w:r>
            <w:r w:rsidRPr="000C2A4B">
              <w:rPr>
                <w:rFonts w:hint="eastAsia"/>
                <w:color w:val="000000"/>
                <w:spacing w:val="-11"/>
                <w:w w:val="15"/>
                <w:shd w:val="solid" w:color="000000" w:fill="000000"/>
                <w:fitText w:val="54" w:id="-632147704"/>
                <w14:textFill>
                  <w14:solidFill>
                    <w14:srgbClr w14:val="000000">
                      <w14:alpha w14:val="100000"/>
                    </w14:srgbClr>
                  </w14:solidFill>
                </w14:textFill>
              </w:rPr>
              <w:t xml:space="preserve">　</w:t>
            </w:r>
            <w:r w:rsidR="00392F87" w:rsidRPr="00392F87">
              <w:rPr>
                <w:color w:val="333333"/>
                <w:szCs w:val="20"/>
                <w:vertAlign w:val="superscript"/>
              </w:rPr>
              <w:t>2</w:t>
            </w:r>
          </w:p>
        </w:tc>
        <w:tc>
          <w:tcPr>
            <w:tcW w:w="611" w:type="pct"/>
            <w:tcBorders>
              <w:top w:val="single" w:sz="4" w:space="0" w:color="auto"/>
              <w:left w:val="nil"/>
              <w:bottom w:val="single" w:sz="4" w:space="0" w:color="auto"/>
              <w:right w:val="single" w:sz="4" w:space="0" w:color="auto"/>
            </w:tcBorders>
          </w:tcPr>
          <w:p w14:paraId="626E5A9E" w14:textId="67D471CE" w:rsidR="004A30FE" w:rsidRPr="003D47A7" w:rsidRDefault="000C2A4B" w:rsidP="0049200A">
            <w:pPr>
              <w:pStyle w:val="TableText0"/>
              <w:jc w:val="center"/>
            </w:pPr>
            <w:r w:rsidRPr="000C2A4B">
              <w:rPr>
                <w:rFonts w:hint="eastAsia"/>
                <w:color w:val="000000"/>
                <w:w w:val="15"/>
                <w:shd w:val="solid" w:color="000000" w:fill="000000"/>
                <w:fitText w:val="54" w:id="-632147703"/>
                <w14:textFill>
                  <w14:solidFill>
                    <w14:srgbClr w14:val="000000">
                      <w14:alpha w14:val="100000"/>
                    </w14:srgbClr>
                  </w14:solidFill>
                </w14:textFill>
              </w:rPr>
              <w:t xml:space="preserve">　</w:t>
            </w:r>
            <w:r w:rsidRPr="000C2A4B">
              <w:rPr>
                <w:color w:val="000000"/>
                <w:w w:val="15"/>
                <w:shd w:val="solid" w:color="000000" w:fill="000000"/>
                <w:fitText w:val="54" w:id="-632147703"/>
                <w14:textFill>
                  <w14:solidFill>
                    <w14:srgbClr w14:val="000000">
                      <w14:alpha w14:val="100000"/>
                    </w14:srgbClr>
                  </w14:solidFill>
                </w14:textFill>
              </w:rPr>
              <w:t>|</w:t>
            </w:r>
            <w:r w:rsidRPr="000C2A4B">
              <w:rPr>
                <w:rFonts w:hint="eastAsia"/>
                <w:color w:val="000000"/>
                <w:spacing w:val="-11"/>
                <w:w w:val="15"/>
                <w:shd w:val="solid" w:color="000000" w:fill="000000"/>
                <w:fitText w:val="54" w:id="-632147703"/>
                <w14:textFill>
                  <w14:solidFill>
                    <w14:srgbClr w14:val="000000">
                      <w14:alpha w14:val="100000"/>
                    </w14:srgbClr>
                  </w14:solidFill>
                </w14:textFill>
              </w:rPr>
              <w:t xml:space="preserve">　</w:t>
            </w:r>
            <w:r w:rsidR="00392F87" w:rsidRPr="00392F87">
              <w:rPr>
                <w:color w:val="333333"/>
                <w:szCs w:val="20"/>
                <w:vertAlign w:val="superscript"/>
              </w:rPr>
              <w:t>2</w:t>
            </w:r>
          </w:p>
        </w:tc>
      </w:tr>
      <w:tr w:rsidR="004A30FE" w:rsidRPr="00D1078F" w14:paraId="187B9402" w14:textId="77777777" w:rsidTr="00925A61">
        <w:tc>
          <w:tcPr>
            <w:tcW w:w="5000" w:type="pct"/>
            <w:gridSpan w:val="7"/>
          </w:tcPr>
          <w:p w14:paraId="4ACC3E37" w14:textId="64179400" w:rsidR="004A30FE" w:rsidRPr="007463C7" w:rsidRDefault="004A30FE" w:rsidP="0049200A">
            <w:pPr>
              <w:pStyle w:val="In-tableHeading"/>
              <w:rPr>
                <w:bCs/>
                <w:color w:val="000000"/>
              </w:rPr>
            </w:pPr>
            <w:r>
              <w:rPr>
                <w:bCs/>
                <w:color w:val="000000"/>
              </w:rPr>
              <w:t xml:space="preserve">Changes in </w:t>
            </w:r>
            <w:r w:rsidR="00073A58">
              <w:rPr>
                <w:bCs/>
                <w:color w:val="000000"/>
              </w:rPr>
              <w:t>scripts</w:t>
            </w:r>
            <w:r>
              <w:rPr>
                <w:bCs/>
                <w:color w:val="000000"/>
              </w:rPr>
              <w:t xml:space="preserve"> for Botox</w:t>
            </w:r>
            <w:r>
              <w:rPr>
                <w:vertAlign w:val="superscript"/>
              </w:rPr>
              <w:t xml:space="preserve"> </w:t>
            </w:r>
            <w:r>
              <w:t>and Dysport</w:t>
            </w:r>
          </w:p>
        </w:tc>
      </w:tr>
      <w:tr w:rsidR="004A30FE" w:rsidRPr="003639A6" w14:paraId="756A9DFA" w14:textId="77777777" w:rsidTr="00925A61">
        <w:tc>
          <w:tcPr>
            <w:tcW w:w="1334" w:type="pct"/>
          </w:tcPr>
          <w:p w14:paraId="57E9C3E7" w14:textId="77777777" w:rsidR="004A30FE" w:rsidRDefault="004A30FE" w:rsidP="0049200A">
            <w:pPr>
              <w:pStyle w:val="TableText0"/>
            </w:pPr>
            <w:r w:rsidRPr="005328CE">
              <w:t>Botox (10998W)</w:t>
            </w:r>
          </w:p>
        </w:tc>
        <w:tc>
          <w:tcPr>
            <w:tcW w:w="611" w:type="pct"/>
            <w:tcBorders>
              <w:top w:val="single" w:sz="4" w:space="0" w:color="auto"/>
              <w:left w:val="single" w:sz="4" w:space="0" w:color="auto"/>
              <w:bottom w:val="single" w:sz="4" w:space="0" w:color="auto"/>
              <w:right w:val="single" w:sz="4" w:space="0" w:color="auto"/>
            </w:tcBorders>
          </w:tcPr>
          <w:p w14:paraId="3E0D5115" w14:textId="1BDD68D7" w:rsidR="004A30FE" w:rsidRPr="003D47A7" w:rsidRDefault="004A30FE" w:rsidP="0049200A">
            <w:pPr>
              <w:pStyle w:val="TableText0"/>
              <w:jc w:val="center"/>
            </w:pPr>
            <w:r w:rsidRPr="00273331">
              <w:t>-</w:t>
            </w:r>
            <w:r w:rsidR="000C2A4B" w:rsidRPr="000C2A4B">
              <w:rPr>
                <w:rFonts w:hint="eastAsia"/>
                <w:color w:val="000000"/>
                <w:w w:val="17"/>
                <w:shd w:val="solid" w:color="000000" w:fill="000000"/>
                <w:fitText w:val="78" w:id="-632147702"/>
                <w14:textFill>
                  <w14:solidFill>
                    <w14:srgbClr w14:val="000000">
                      <w14:alpha w14:val="100000"/>
                    </w14:srgbClr>
                  </w14:solidFill>
                </w14:textFill>
              </w:rPr>
              <w:t xml:space="preserve">　</w:t>
            </w:r>
            <w:r w:rsidR="000C2A4B" w:rsidRPr="000C2A4B">
              <w:rPr>
                <w:color w:val="000000"/>
                <w:w w:val="17"/>
                <w:shd w:val="solid" w:color="000000" w:fill="000000"/>
                <w:fitText w:val="78" w:id="-632147702"/>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2"/>
                <w14:textFill>
                  <w14:solidFill>
                    <w14:srgbClr w14:val="000000">
                      <w14:alpha w14:val="100000"/>
                    </w14:srgbClr>
                  </w14:solidFill>
                </w14:textFill>
              </w:rPr>
              <w:t xml:space="preserve">　</w:t>
            </w:r>
            <w:r w:rsidR="00392F87"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1FEC5624" w14:textId="105E762D" w:rsidR="004A30FE" w:rsidRPr="003D47A7" w:rsidRDefault="004A30FE" w:rsidP="0049200A">
            <w:pPr>
              <w:pStyle w:val="TableText0"/>
              <w:jc w:val="center"/>
            </w:pPr>
            <w:r w:rsidRPr="00273331">
              <w:t>-</w:t>
            </w:r>
            <w:r w:rsidR="000C2A4B" w:rsidRPr="000C2A4B">
              <w:rPr>
                <w:rFonts w:hint="eastAsia"/>
                <w:color w:val="000000"/>
                <w:w w:val="17"/>
                <w:shd w:val="solid" w:color="000000" w:fill="000000"/>
                <w:fitText w:val="78" w:id="-632147701"/>
                <w14:textFill>
                  <w14:solidFill>
                    <w14:srgbClr w14:val="000000">
                      <w14:alpha w14:val="100000"/>
                    </w14:srgbClr>
                  </w14:solidFill>
                </w14:textFill>
              </w:rPr>
              <w:t xml:space="preserve">　</w:t>
            </w:r>
            <w:r w:rsidR="000C2A4B" w:rsidRPr="000C2A4B">
              <w:rPr>
                <w:color w:val="000000"/>
                <w:w w:val="17"/>
                <w:shd w:val="solid" w:color="000000" w:fill="000000"/>
                <w:fitText w:val="78" w:id="-632147701"/>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1"/>
                <w14:textFill>
                  <w14:solidFill>
                    <w14:srgbClr w14:val="000000">
                      <w14:alpha w14:val="100000"/>
                    </w14:srgbClr>
                  </w14:solidFill>
                </w14:textFill>
              </w:rPr>
              <w:t xml:space="preserve">　</w:t>
            </w:r>
            <w:r w:rsidR="00392F87"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48B16FCE" w14:textId="4ECCB83E" w:rsidR="004A30FE" w:rsidRPr="003D47A7" w:rsidRDefault="004A30FE" w:rsidP="0049200A">
            <w:pPr>
              <w:pStyle w:val="TableText0"/>
              <w:jc w:val="center"/>
            </w:pPr>
            <w:r w:rsidRPr="00273331">
              <w:t>-</w:t>
            </w:r>
            <w:r w:rsidR="000C2A4B" w:rsidRPr="000C2A4B">
              <w:rPr>
                <w:rFonts w:hint="eastAsia"/>
                <w:color w:val="000000"/>
                <w:w w:val="17"/>
                <w:shd w:val="solid" w:color="000000" w:fill="000000"/>
                <w:fitText w:val="78" w:id="-632147700"/>
                <w14:textFill>
                  <w14:solidFill>
                    <w14:srgbClr w14:val="000000">
                      <w14:alpha w14:val="100000"/>
                    </w14:srgbClr>
                  </w14:solidFill>
                </w14:textFill>
              </w:rPr>
              <w:t xml:space="preserve">　</w:t>
            </w:r>
            <w:r w:rsidR="000C2A4B" w:rsidRPr="000C2A4B">
              <w:rPr>
                <w:color w:val="000000"/>
                <w:w w:val="17"/>
                <w:shd w:val="solid" w:color="000000" w:fill="000000"/>
                <w:fitText w:val="78" w:id="-632147700"/>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0"/>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5A1B0BAC" w14:textId="3F1B5408" w:rsidR="004A30FE" w:rsidRPr="003D47A7" w:rsidRDefault="004A30FE" w:rsidP="0049200A">
            <w:pPr>
              <w:pStyle w:val="TableText0"/>
              <w:jc w:val="center"/>
            </w:pPr>
            <w:r w:rsidRPr="00273331">
              <w:t>-</w:t>
            </w:r>
            <w:r w:rsidR="000C2A4B" w:rsidRPr="000C2A4B">
              <w:rPr>
                <w:rFonts w:hint="eastAsia"/>
                <w:color w:val="000000"/>
                <w:w w:val="17"/>
                <w:shd w:val="solid" w:color="000000" w:fill="000000"/>
                <w:fitText w:val="78" w:id="-632147699"/>
                <w14:textFill>
                  <w14:solidFill>
                    <w14:srgbClr w14:val="000000">
                      <w14:alpha w14:val="100000"/>
                    </w14:srgbClr>
                  </w14:solidFill>
                </w14:textFill>
              </w:rPr>
              <w:t xml:space="preserve">　</w:t>
            </w:r>
            <w:r w:rsidR="000C2A4B" w:rsidRPr="000C2A4B">
              <w:rPr>
                <w:color w:val="000000"/>
                <w:w w:val="17"/>
                <w:shd w:val="solid" w:color="000000" w:fill="000000"/>
                <w:fitText w:val="78" w:id="-632147699"/>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699"/>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5A9BBD85" w14:textId="7E17AE35" w:rsidR="004A30FE" w:rsidRPr="003D47A7" w:rsidRDefault="004A30FE" w:rsidP="0049200A">
            <w:pPr>
              <w:pStyle w:val="TableText0"/>
              <w:jc w:val="center"/>
            </w:pPr>
            <w:r w:rsidRPr="00273331">
              <w:t>-</w:t>
            </w:r>
            <w:r w:rsidR="000C2A4B" w:rsidRPr="000C2A4B">
              <w:rPr>
                <w:rFonts w:hint="eastAsia"/>
                <w:color w:val="000000"/>
                <w:w w:val="17"/>
                <w:shd w:val="solid" w:color="000000" w:fill="000000"/>
                <w:fitText w:val="78" w:id="-632147698"/>
                <w14:textFill>
                  <w14:solidFill>
                    <w14:srgbClr w14:val="000000">
                      <w14:alpha w14:val="100000"/>
                    </w14:srgbClr>
                  </w14:solidFill>
                </w14:textFill>
              </w:rPr>
              <w:t xml:space="preserve">　</w:t>
            </w:r>
            <w:r w:rsidR="000C2A4B" w:rsidRPr="000C2A4B">
              <w:rPr>
                <w:color w:val="000000"/>
                <w:w w:val="17"/>
                <w:shd w:val="solid" w:color="000000" w:fill="000000"/>
                <w:fitText w:val="78" w:id="-632147698"/>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698"/>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23C270B5" w14:textId="26EF2EFD" w:rsidR="004A30FE" w:rsidRPr="003D47A7" w:rsidRDefault="004A30FE" w:rsidP="0049200A">
            <w:pPr>
              <w:pStyle w:val="TableText0"/>
              <w:jc w:val="center"/>
            </w:pPr>
            <w:r w:rsidRPr="00273331">
              <w:t>-</w:t>
            </w:r>
            <w:r w:rsidR="000C2A4B" w:rsidRPr="000C2A4B">
              <w:rPr>
                <w:rFonts w:hint="eastAsia"/>
                <w:color w:val="000000"/>
                <w:w w:val="17"/>
                <w:shd w:val="solid" w:color="000000" w:fill="000000"/>
                <w:fitText w:val="78" w:id="-632147697"/>
                <w14:textFill>
                  <w14:solidFill>
                    <w14:srgbClr w14:val="000000">
                      <w14:alpha w14:val="100000"/>
                    </w14:srgbClr>
                  </w14:solidFill>
                </w14:textFill>
              </w:rPr>
              <w:t xml:space="preserve">　</w:t>
            </w:r>
            <w:r w:rsidR="000C2A4B" w:rsidRPr="000C2A4B">
              <w:rPr>
                <w:color w:val="000000"/>
                <w:w w:val="17"/>
                <w:shd w:val="solid" w:color="000000" w:fill="000000"/>
                <w:fitText w:val="78" w:id="-632147697"/>
                <w14:textFill>
                  <w14:solidFill>
                    <w14:srgbClr w14:val="000000">
                      <w14:alpha w14:val="100000"/>
                    </w14:srgbClr>
                  </w14:solidFill>
                </w14:textFill>
              </w:rPr>
              <w:t>|</w:t>
            </w:r>
            <w:r w:rsidR="000C2A4B" w:rsidRPr="000C2A4B">
              <w:rPr>
                <w:rFonts w:hint="eastAsia"/>
                <w:color w:val="000000"/>
                <w:w w:val="17"/>
                <w:shd w:val="solid" w:color="000000" w:fill="000000"/>
                <w:fitText w:val="78" w:id="-632147697"/>
                <w14:textFill>
                  <w14:solidFill>
                    <w14:srgbClr w14:val="000000">
                      <w14:alpha w14:val="100000"/>
                    </w14:srgbClr>
                  </w14:solidFill>
                </w14:textFill>
              </w:rPr>
              <w:t xml:space="preserve">　</w:t>
            </w:r>
            <w:r w:rsidR="00D14B5D" w:rsidRPr="008C3E96">
              <w:rPr>
                <w:color w:val="333333"/>
                <w:szCs w:val="20"/>
                <w:vertAlign w:val="superscript"/>
              </w:rPr>
              <w:t>1</w:t>
            </w:r>
          </w:p>
        </w:tc>
      </w:tr>
      <w:tr w:rsidR="004A30FE" w:rsidRPr="003639A6" w14:paraId="56813988" w14:textId="77777777" w:rsidTr="00925A61">
        <w:tc>
          <w:tcPr>
            <w:tcW w:w="1334" w:type="pct"/>
          </w:tcPr>
          <w:p w14:paraId="163B71F0" w14:textId="77777777" w:rsidR="004A30FE" w:rsidRDefault="004A30FE" w:rsidP="0049200A">
            <w:pPr>
              <w:pStyle w:val="TableText0"/>
            </w:pPr>
            <w:r w:rsidRPr="005328CE">
              <w:t>Botox (10999X)</w:t>
            </w:r>
          </w:p>
        </w:tc>
        <w:tc>
          <w:tcPr>
            <w:tcW w:w="611" w:type="pct"/>
            <w:tcBorders>
              <w:top w:val="single" w:sz="4" w:space="0" w:color="auto"/>
              <w:left w:val="single" w:sz="4" w:space="0" w:color="auto"/>
              <w:bottom w:val="single" w:sz="4" w:space="0" w:color="auto"/>
              <w:right w:val="single" w:sz="4" w:space="0" w:color="auto"/>
            </w:tcBorders>
          </w:tcPr>
          <w:p w14:paraId="018ED03E" w14:textId="214262A0" w:rsidR="004A30FE" w:rsidRPr="003D47A7" w:rsidRDefault="004A30FE" w:rsidP="0049200A">
            <w:pPr>
              <w:pStyle w:val="TableText0"/>
              <w:jc w:val="center"/>
            </w:pPr>
            <w:r w:rsidRPr="00273331">
              <w:t>-</w:t>
            </w:r>
            <w:r w:rsidR="000C2A4B" w:rsidRPr="000C2A4B">
              <w:rPr>
                <w:rFonts w:hint="eastAsia"/>
                <w:color w:val="000000"/>
                <w:w w:val="17"/>
                <w:shd w:val="solid" w:color="000000" w:fill="000000"/>
                <w:fitText w:val="78" w:id="-632147696"/>
                <w14:textFill>
                  <w14:solidFill>
                    <w14:srgbClr w14:val="000000">
                      <w14:alpha w14:val="100000"/>
                    </w14:srgbClr>
                  </w14:solidFill>
                </w14:textFill>
              </w:rPr>
              <w:t xml:space="preserve">　</w:t>
            </w:r>
            <w:r w:rsidR="000C2A4B" w:rsidRPr="000C2A4B">
              <w:rPr>
                <w:color w:val="000000"/>
                <w:w w:val="17"/>
                <w:shd w:val="solid" w:color="000000" w:fill="000000"/>
                <w:fitText w:val="78" w:id="-632147696"/>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696"/>
                <w14:textFill>
                  <w14:solidFill>
                    <w14:srgbClr w14:val="000000">
                      <w14:alpha w14:val="100000"/>
                    </w14:srgbClr>
                  </w14:solidFill>
                </w14:textFill>
              </w:rPr>
              <w:t xml:space="preserve">　</w:t>
            </w:r>
            <w:r w:rsidR="00392F87"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5ED79C02" w14:textId="037CEB66" w:rsidR="004A30FE" w:rsidRPr="003D47A7" w:rsidRDefault="004A30FE" w:rsidP="0049200A">
            <w:pPr>
              <w:pStyle w:val="TableText0"/>
              <w:jc w:val="center"/>
            </w:pPr>
            <w:r w:rsidRPr="00273331">
              <w:t>-</w:t>
            </w:r>
            <w:r w:rsidR="000C2A4B" w:rsidRPr="000C2A4B">
              <w:rPr>
                <w:rFonts w:hint="eastAsia"/>
                <w:color w:val="000000"/>
                <w:w w:val="17"/>
                <w:shd w:val="solid" w:color="000000" w:fill="000000"/>
                <w:fitText w:val="78" w:id="-632147712"/>
                <w14:textFill>
                  <w14:solidFill>
                    <w14:srgbClr w14:val="000000">
                      <w14:alpha w14:val="100000"/>
                    </w14:srgbClr>
                  </w14:solidFill>
                </w14:textFill>
              </w:rPr>
              <w:t xml:space="preserve">　</w:t>
            </w:r>
            <w:r w:rsidR="000C2A4B" w:rsidRPr="000C2A4B">
              <w:rPr>
                <w:color w:val="000000"/>
                <w:w w:val="17"/>
                <w:shd w:val="solid" w:color="000000" w:fill="000000"/>
                <w:fitText w:val="78" w:id="-632147712"/>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12"/>
                <w14:textFill>
                  <w14:solidFill>
                    <w14:srgbClr w14:val="000000">
                      <w14:alpha w14:val="100000"/>
                    </w14:srgbClr>
                  </w14:solidFill>
                </w14:textFill>
              </w:rPr>
              <w:t xml:space="preserve">　</w:t>
            </w:r>
            <w:r w:rsidR="00392F87"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1088EF7E" w14:textId="18070B42" w:rsidR="004A30FE" w:rsidRPr="003D47A7" w:rsidRDefault="004A30FE" w:rsidP="0049200A">
            <w:pPr>
              <w:pStyle w:val="TableText0"/>
              <w:jc w:val="center"/>
            </w:pPr>
            <w:r w:rsidRPr="00273331">
              <w:t>-</w:t>
            </w:r>
            <w:r w:rsidR="000C2A4B" w:rsidRPr="000C2A4B">
              <w:rPr>
                <w:rFonts w:hint="eastAsia"/>
                <w:color w:val="000000"/>
                <w:w w:val="17"/>
                <w:shd w:val="solid" w:color="000000" w:fill="000000"/>
                <w:fitText w:val="78" w:id="-632147711"/>
                <w14:textFill>
                  <w14:solidFill>
                    <w14:srgbClr w14:val="000000">
                      <w14:alpha w14:val="100000"/>
                    </w14:srgbClr>
                  </w14:solidFill>
                </w14:textFill>
              </w:rPr>
              <w:t xml:space="preserve">　</w:t>
            </w:r>
            <w:r w:rsidR="000C2A4B" w:rsidRPr="000C2A4B">
              <w:rPr>
                <w:color w:val="000000"/>
                <w:w w:val="17"/>
                <w:shd w:val="solid" w:color="000000" w:fill="000000"/>
                <w:fitText w:val="78" w:id="-632147711"/>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11"/>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70586FE4" w14:textId="19BB5433" w:rsidR="004A30FE" w:rsidRPr="003D47A7" w:rsidRDefault="004A30FE" w:rsidP="0049200A">
            <w:pPr>
              <w:pStyle w:val="TableText0"/>
              <w:jc w:val="center"/>
            </w:pPr>
            <w:r w:rsidRPr="00273331">
              <w:t>-</w:t>
            </w:r>
            <w:r w:rsidR="000C2A4B" w:rsidRPr="007B66F9">
              <w:rPr>
                <w:rFonts w:hint="eastAsia"/>
                <w:color w:val="000000"/>
                <w:w w:val="28"/>
                <w:shd w:val="solid" w:color="000000" w:fill="000000"/>
                <w:fitText w:val="126" w:id="-632147710"/>
                <w14:textFill>
                  <w14:solidFill>
                    <w14:srgbClr w14:val="000000">
                      <w14:alpha w14:val="100000"/>
                    </w14:srgbClr>
                  </w14:solidFill>
                </w14:textFill>
              </w:rPr>
              <w:t xml:space="preserve">　</w:t>
            </w:r>
            <w:r w:rsidR="000C2A4B" w:rsidRPr="007B66F9">
              <w:rPr>
                <w:color w:val="000000"/>
                <w:w w:val="28"/>
                <w:shd w:val="solid" w:color="000000" w:fill="000000"/>
                <w:fitText w:val="126" w:id="-632147710"/>
                <w14:textFill>
                  <w14:solidFill>
                    <w14:srgbClr w14:val="000000">
                      <w14:alpha w14:val="100000"/>
                    </w14:srgbClr>
                  </w14:solidFill>
                </w14:textFill>
              </w:rPr>
              <w:t>|</w:t>
            </w:r>
            <w:r w:rsidR="000C2A4B" w:rsidRPr="007B66F9">
              <w:rPr>
                <w:rFonts w:hint="eastAsia"/>
                <w:color w:val="000000"/>
                <w:w w:val="28"/>
                <w:shd w:val="solid" w:color="000000" w:fill="000000"/>
                <w:fitText w:val="126" w:id="-632147710"/>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0BC963BC" w14:textId="5A689E47" w:rsidR="004A30FE" w:rsidRPr="003D47A7" w:rsidRDefault="004A30FE" w:rsidP="0049200A">
            <w:pPr>
              <w:pStyle w:val="TableText0"/>
              <w:jc w:val="center"/>
            </w:pPr>
            <w:r w:rsidRPr="00273331">
              <w:t>-</w:t>
            </w:r>
            <w:r w:rsidR="000C2A4B" w:rsidRPr="000C2A4B">
              <w:rPr>
                <w:rFonts w:hint="eastAsia"/>
                <w:color w:val="000000"/>
                <w:w w:val="17"/>
                <w:shd w:val="solid" w:color="000000" w:fill="000000"/>
                <w:fitText w:val="78" w:id="-632147709"/>
                <w14:textFill>
                  <w14:solidFill>
                    <w14:srgbClr w14:val="000000">
                      <w14:alpha w14:val="100000"/>
                    </w14:srgbClr>
                  </w14:solidFill>
                </w14:textFill>
              </w:rPr>
              <w:t xml:space="preserve">　</w:t>
            </w:r>
            <w:r w:rsidR="000C2A4B" w:rsidRPr="000C2A4B">
              <w:rPr>
                <w:color w:val="000000"/>
                <w:w w:val="17"/>
                <w:shd w:val="solid" w:color="000000" w:fill="000000"/>
                <w:fitText w:val="78" w:id="-632147709"/>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9"/>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4803D7F9" w14:textId="08177DDD" w:rsidR="004A30FE" w:rsidRPr="003D47A7" w:rsidRDefault="004A30FE" w:rsidP="0049200A">
            <w:pPr>
              <w:pStyle w:val="TableText0"/>
              <w:jc w:val="center"/>
            </w:pPr>
            <w:r w:rsidRPr="00273331">
              <w:t>-</w:t>
            </w:r>
            <w:r w:rsidR="000C2A4B" w:rsidRPr="000C2A4B">
              <w:rPr>
                <w:rFonts w:hint="eastAsia"/>
                <w:color w:val="000000"/>
                <w:w w:val="17"/>
                <w:shd w:val="solid" w:color="000000" w:fill="000000"/>
                <w:fitText w:val="78" w:id="-632147708"/>
                <w14:textFill>
                  <w14:solidFill>
                    <w14:srgbClr w14:val="000000">
                      <w14:alpha w14:val="100000"/>
                    </w14:srgbClr>
                  </w14:solidFill>
                </w14:textFill>
              </w:rPr>
              <w:t xml:space="preserve">　</w:t>
            </w:r>
            <w:r w:rsidR="000C2A4B" w:rsidRPr="000C2A4B">
              <w:rPr>
                <w:color w:val="000000"/>
                <w:w w:val="17"/>
                <w:shd w:val="solid" w:color="000000" w:fill="000000"/>
                <w:fitText w:val="78" w:id="-632147708"/>
                <w14:textFill>
                  <w14:solidFill>
                    <w14:srgbClr w14:val="000000">
                      <w14:alpha w14:val="100000"/>
                    </w14:srgbClr>
                  </w14:solidFill>
                </w14:textFill>
              </w:rPr>
              <w:t>|</w:t>
            </w:r>
            <w:r w:rsidR="000C2A4B" w:rsidRPr="000C2A4B">
              <w:rPr>
                <w:rFonts w:hint="eastAsia"/>
                <w:color w:val="000000"/>
                <w:w w:val="17"/>
                <w:shd w:val="solid" w:color="000000" w:fill="000000"/>
                <w:fitText w:val="78" w:id="-632147708"/>
                <w14:textFill>
                  <w14:solidFill>
                    <w14:srgbClr w14:val="000000">
                      <w14:alpha w14:val="100000"/>
                    </w14:srgbClr>
                  </w14:solidFill>
                </w14:textFill>
              </w:rPr>
              <w:t xml:space="preserve">　</w:t>
            </w:r>
            <w:r w:rsidR="00D14B5D" w:rsidRPr="008C3E96">
              <w:rPr>
                <w:color w:val="333333"/>
                <w:szCs w:val="20"/>
                <w:vertAlign w:val="superscript"/>
              </w:rPr>
              <w:t>1</w:t>
            </w:r>
          </w:p>
        </w:tc>
      </w:tr>
      <w:tr w:rsidR="004A30FE" w:rsidRPr="003639A6" w14:paraId="42428AF6" w14:textId="77777777" w:rsidTr="00925A61">
        <w:tc>
          <w:tcPr>
            <w:tcW w:w="1334" w:type="pct"/>
          </w:tcPr>
          <w:p w14:paraId="3688FA96" w14:textId="77777777" w:rsidR="004A30FE" w:rsidRDefault="004A30FE" w:rsidP="0049200A">
            <w:pPr>
              <w:pStyle w:val="TableText0"/>
            </w:pPr>
            <w:r>
              <w:t>Dysport</w:t>
            </w:r>
            <w:r w:rsidRPr="00EA29CE">
              <w:t xml:space="preserve"> </w:t>
            </w:r>
            <w:r>
              <w:t>(</w:t>
            </w:r>
            <w:r w:rsidRPr="00EA29CE">
              <w:t>10981Y</w:t>
            </w:r>
            <w:r>
              <w:t>)</w:t>
            </w:r>
          </w:p>
        </w:tc>
        <w:tc>
          <w:tcPr>
            <w:tcW w:w="611" w:type="pct"/>
            <w:tcBorders>
              <w:top w:val="single" w:sz="4" w:space="0" w:color="auto"/>
              <w:left w:val="single" w:sz="4" w:space="0" w:color="auto"/>
              <w:bottom w:val="single" w:sz="4" w:space="0" w:color="auto"/>
              <w:right w:val="single" w:sz="4" w:space="0" w:color="auto"/>
            </w:tcBorders>
          </w:tcPr>
          <w:p w14:paraId="400220B6" w14:textId="01D8899F"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7"/>
                <w14:textFill>
                  <w14:solidFill>
                    <w14:srgbClr w14:val="000000">
                      <w14:alpha w14:val="100000"/>
                    </w14:srgbClr>
                  </w14:solidFill>
                </w14:textFill>
              </w:rPr>
              <w:t xml:space="preserve">　</w:t>
            </w:r>
            <w:r w:rsidR="000C2A4B" w:rsidRPr="000C2A4B">
              <w:rPr>
                <w:color w:val="000000"/>
                <w:w w:val="17"/>
                <w:shd w:val="solid" w:color="000000" w:fill="000000"/>
                <w:fitText w:val="78" w:id="-632147707"/>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7"/>
                <w14:textFill>
                  <w14:solidFill>
                    <w14:srgbClr w14:val="000000">
                      <w14:alpha w14:val="100000"/>
                    </w14:srgbClr>
                  </w14:solidFill>
                </w14:textFill>
              </w:rPr>
              <w:t xml:space="preserve">　</w:t>
            </w:r>
            <w:r w:rsidR="00392F87"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2CADC640" w14:textId="01712BE3"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6"/>
                <w14:textFill>
                  <w14:solidFill>
                    <w14:srgbClr w14:val="000000">
                      <w14:alpha w14:val="100000"/>
                    </w14:srgbClr>
                  </w14:solidFill>
                </w14:textFill>
              </w:rPr>
              <w:t xml:space="preserve">　</w:t>
            </w:r>
            <w:r w:rsidR="000C2A4B" w:rsidRPr="000C2A4B">
              <w:rPr>
                <w:color w:val="000000"/>
                <w:w w:val="17"/>
                <w:shd w:val="solid" w:color="000000" w:fill="000000"/>
                <w:fitText w:val="78" w:id="-632147706"/>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6"/>
                <w14:textFill>
                  <w14:solidFill>
                    <w14:srgbClr w14:val="000000">
                      <w14:alpha w14:val="100000"/>
                    </w14:srgbClr>
                  </w14:solidFill>
                </w14:textFill>
              </w:rPr>
              <w:t xml:space="preserve">　</w:t>
            </w:r>
            <w:r w:rsidR="00392F87"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219B60D1" w14:textId="7E7190E7"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5"/>
                <w14:textFill>
                  <w14:solidFill>
                    <w14:srgbClr w14:val="000000">
                      <w14:alpha w14:val="100000"/>
                    </w14:srgbClr>
                  </w14:solidFill>
                </w14:textFill>
              </w:rPr>
              <w:t xml:space="preserve">　</w:t>
            </w:r>
            <w:r w:rsidR="000C2A4B" w:rsidRPr="000C2A4B">
              <w:rPr>
                <w:color w:val="000000"/>
                <w:w w:val="17"/>
                <w:shd w:val="solid" w:color="000000" w:fill="000000"/>
                <w:fitText w:val="78" w:id="-632147705"/>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5"/>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60DDE40D" w14:textId="5E50E948"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4"/>
                <w14:textFill>
                  <w14:solidFill>
                    <w14:srgbClr w14:val="000000">
                      <w14:alpha w14:val="100000"/>
                    </w14:srgbClr>
                  </w14:solidFill>
                </w14:textFill>
              </w:rPr>
              <w:t xml:space="preserve">　</w:t>
            </w:r>
            <w:r w:rsidR="000C2A4B" w:rsidRPr="000C2A4B">
              <w:rPr>
                <w:color w:val="000000"/>
                <w:w w:val="17"/>
                <w:shd w:val="solid" w:color="000000" w:fill="000000"/>
                <w:fitText w:val="78" w:id="-632147704"/>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4"/>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3B82B46B" w14:textId="7B9680DD"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3"/>
                <w14:textFill>
                  <w14:solidFill>
                    <w14:srgbClr w14:val="000000">
                      <w14:alpha w14:val="100000"/>
                    </w14:srgbClr>
                  </w14:solidFill>
                </w14:textFill>
              </w:rPr>
              <w:t xml:space="preserve">　</w:t>
            </w:r>
            <w:r w:rsidR="000C2A4B" w:rsidRPr="000C2A4B">
              <w:rPr>
                <w:color w:val="000000"/>
                <w:w w:val="17"/>
                <w:shd w:val="solid" w:color="000000" w:fill="000000"/>
                <w:fitText w:val="78" w:id="-632147703"/>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3"/>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205043B7" w14:textId="70D042AC"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2"/>
                <w14:textFill>
                  <w14:solidFill>
                    <w14:srgbClr w14:val="000000">
                      <w14:alpha w14:val="100000"/>
                    </w14:srgbClr>
                  </w14:solidFill>
                </w14:textFill>
              </w:rPr>
              <w:t xml:space="preserve">　</w:t>
            </w:r>
            <w:r w:rsidR="000C2A4B" w:rsidRPr="000C2A4B">
              <w:rPr>
                <w:color w:val="000000"/>
                <w:w w:val="17"/>
                <w:shd w:val="solid" w:color="000000" w:fill="000000"/>
                <w:fitText w:val="78" w:id="-632147702"/>
                <w14:textFill>
                  <w14:solidFill>
                    <w14:srgbClr w14:val="000000">
                      <w14:alpha w14:val="100000"/>
                    </w14:srgbClr>
                  </w14:solidFill>
                </w14:textFill>
              </w:rPr>
              <w:t>|</w:t>
            </w:r>
            <w:r w:rsidR="000C2A4B" w:rsidRPr="000C2A4B">
              <w:rPr>
                <w:rFonts w:hint="eastAsia"/>
                <w:color w:val="000000"/>
                <w:w w:val="17"/>
                <w:shd w:val="solid" w:color="000000" w:fill="000000"/>
                <w:fitText w:val="78" w:id="-632147702"/>
                <w14:textFill>
                  <w14:solidFill>
                    <w14:srgbClr w14:val="000000">
                      <w14:alpha w14:val="100000"/>
                    </w14:srgbClr>
                  </w14:solidFill>
                </w14:textFill>
              </w:rPr>
              <w:t xml:space="preserve">　</w:t>
            </w:r>
            <w:r w:rsidR="00D14B5D" w:rsidRPr="008C3E96">
              <w:rPr>
                <w:color w:val="333333"/>
                <w:szCs w:val="20"/>
                <w:vertAlign w:val="superscript"/>
              </w:rPr>
              <w:t>1</w:t>
            </w:r>
          </w:p>
        </w:tc>
      </w:tr>
      <w:tr w:rsidR="004A30FE" w:rsidRPr="003639A6" w14:paraId="23E7CFE6" w14:textId="77777777" w:rsidTr="00925A61">
        <w:tc>
          <w:tcPr>
            <w:tcW w:w="1334" w:type="pct"/>
          </w:tcPr>
          <w:p w14:paraId="0DD9E426" w14:textId="77777777" w:rsidR="004A30FE" w:rsidRDefault="004A30FE" w:rsidP="0049200A">
            <w:pPr>
              <w:pStyle w:val="TableText0"/>
            </w:pPr>
            <w:r>
              <w:t>Dysport</w:t>
            </w:r>
            <w:r w:rsidRPr="00EA29CE">
              <w:t xml:space="preserve"> </w:t>
            </w:r>
            <w:r>
              <w:t>(</w:t>
            </w:r>
            <w:r w:rsidRPr="00EA29CE">
              <w:t>11006G</w:t>
            </w:r>
            <w:r>
              <w:t>)</w:t>
            </w:r>
          </w:p>
        </w:tc>
        <w:tc>
          <w:tcPr>
            <w:tcW w:w="611" w:type="pct"/>
            <w:tcBorders>
              <w:top w:val="single" w:sz="4" w:space="0" w:color="auto"/>
              <w:left w:val="single" w:sz="4" w:space="0" w:color="auto"/>
              <w:bottom w:val="single" w:sz="4" w:space="0" w:color="auto"/>
              <w:right w:val="single" w:sz="4" w:space="0" w:color="auto"/>
            </w:tcBorders>
          </w:tcPr>
          <w:p w14:paraId="7B12450A" w14:textId="429BA5E9"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1"/>
                <w14:textFill>
                  <w14:solidFill>
                    <w14:srgbClr w14:val="000000">
                      <w14:alpha w14:val="100000"/>
                    </w14:srgbClr>
                  </w14:solidFill>
                </w14:textFill>
              </w:rPr>
              <w:t xml:space="preserve">　</w:t>
            </w:r>
            <w:r w:rsidR="000C2A4B" w:rsidRPr="000C2A4B">
              <w:rPr>
                <w:color w:val="000000"/>
                <w:w w:val="17"/>
                <w:shd w:val="solid" w:color="000000" w:fill="000000"/>
                <w:fitText w:val="78" w:id="-632147701"/>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1"/>
                <w14:textFill>
                  <w14:solidFill>
                    <w14:srgbClr w14:val="000000">
                      <w14:alpha w14:val="100000"/>
                    </w14:srgbClr>
                  </w14:solidFill>
                </w14:textFill>
              </w:rPr>
              <w:t xml:space="preserve">　</w:t>
            </w:r>
            <w:r w:rsidR="00392F87"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06EF9C87" w14:textId="4674A771"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0"/>
                <w14:textFill>
                  <w14:solidFill>
                    <w14:srgbClr w14:val="000000">
                      <w14:alpha w14:val="100000"/>
                    </w14:srgbClr>
                  </w14:solidFill>
                </w14:textFill>
              </w:rPr>
              <w:t xml:space="preserve">　</w:t>
            </w:r>
            <w:r w:rsidR="000C2A4B" w:rsidRPr="000C2A4B">
              <w:rPr>
                <w:color w:val="000000"/>
                <w:w w:val="17"/>
                <w:shd w:val="solid" w:color="000000" w:fill="000000"/>
                <w:fitText w:val="78" w:id="-632147700"/>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0"/>
                <w14:textFill>
                  <w14:solidFill>
                    <w14:srgbClr w14:val="000000">
                      <w14:alpha w14:val="100000"/>
                    </w14:srgbClr>
                  </w14:solidFill>
                </w14:textFill>
              </w:rPr>
              <w:t xml:space="preserve">　</w:t>
            </w:r>
            <w:r w:rsidR="00392F87"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31549F51" w14:textId="28F7F638"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699"/>
                <w14:textFill>
                  <w14:solidFill>
                    <w14:srgbClr w14:val="000000">
                      <w14:alpha w14:val="100000"/>
                    </w14:srgbClr>
                  </w14:solidFill>
                </w14:textFill>
              </w:rPr>
              <w:t xml:space="preserve">　</w:t>
            </w:r>
            <w:r w:rsidR="000C2A4B" w:rsidRPr="000C2A4B">
              <w:rPr>
                <w:color w:val="000000"/>
                <w:w w:val="17"/>
                <w:shd w:val="solid" w:color="000000" w:fill="000000"/>
                <w:fitText w:val="78" w:id="-632147699"/>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699"/>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1670A9B7" w14:textId="10C123F7"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698"/>
                <w14:textFill>
                  <w14:solidFill>
                    <w14:srgbClr w14:val="000000">
                      <w14:alpha w14:val="100000"/>
                    </w14:srgbClr>
                  </w14:solidFill>
                </w14:textFill>
              </w:rPr>
              <w:t xml:space="preserve">　</w:t>
            </w:r>
            <w:r w:rsidR="000C2A4B" w:rsidRPr="000C2A4B">
              <w:rPr>
                <w:color w:val="000000"/>
                <w:w w:val="17"/>
                <w:shd w:val="solid" w:color="000000" w:fill="000000"/>
                <w:fitText w:val="78" w:id="-632147698"/>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698"/>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7B2B894C" w14:textId="189F3D39"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697"/>
                <w14:textFill>
                  <w14:solidFill>
                    <w14:srgbClr w14:val="000000">
                      <w14:alpha w14:val="100000"/>
                    </w14:srgbClr>
                  </w14:solidFill>
                </w14:textFill>
              </w:rPr>
              <w:t xml:space="preserve">　</w:t>
            </w:r>
            <w:r w:rsidR="000C2A4B" w:rsidRPr="000C2A4B">
              <w:rPr>
                <w:color w:val="000000"/>
                <w:w w:val="17"/>
                <w:shd w:val="solid" w:color="000000" w:fill="000000"/>
                <w:fitText w:val="78" w:id="-632147697"/>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697"/>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503F352D" w14:textId="6CAA74BE"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696"/>
                <w14:textFill>
                  <w14:solidFill>
                    <w14:srgbClr w14:val="000000">
                      <w14:alpha w14:val="100000"/>
                    </w14:srgbClr>
                  </w14:solidFill>
                </w14:textFill>
              </w:rPr>
              <w:t xml:space="preserve">　</w:t>
            </w:r>
            <w:r w:rsidR="000C2A4B" w:rsidRPr="000C2A4B">
              <w:rPr>
                <w:color w:val="000000"/>
                <w:w w:val="17"/>
                <w:shd w:val="solid" w:color="000000" w:fill="000000"/>
                <w:fitText w:val="78" w:id="-632147696"/>
                <w14:textFill>
                  <w14:solidFill>
                    <w14:srgbClr w14:val="000000">
                      <w14:alpha w14:val="100000"/>
                    </w14:srgbClr>
                  </w14:solidFill>
                </w14:textFill>
              </w:rPr>
              <w:t>|</w:t>
            </w:r>
            <w:r w:rsidR="000C2A4B" w:rsidRPr="000C2A4B">
              <w:rPr>
                <w:rFonts w:hint="eastAsia"/>
                <w:color w:val="000000"/>
                <w:w w:val="17"/>
                <w:shd w:val="solid" w:color="000000" w:fill="000000"/>
                <w:fitText w:val="78" w:id="-632147696"/>
                <w14:textFill>
                  <w14:solidFill>
                    <w14:srgbClr w14:val="000000">
                      <w14:alpha w14:val="100000"/>
                    </w14:srgbClr>
                  </w14:solidFill>
                </w14:textFill>
              </w:rPr>
              <w:t xml:space="preserve">　</w:t>
            </w:r>
            <w:r w:rsidR="00D14B5D" w:rsidRPr="008C3E96">
              <w:rPr>
                <w:color w:val="333333"/>
                <w:szCs w:val="20"/>
                <w:vertAlign w:val="superscript"/>
              </w:rPr>
              <w:t>1</w:t>
            </w:r>
          </w:p>
        </w:tc>
      </w:tr>
      <w:tr w:rsidR="004A30FE" w:rsidRPr="003639A6" w14:paraId="26CB8CAF" w14:textId="77777777" w:rsidTr="00925A61">
        <w:tc>
          <w:tcPr>
            <w:tcW w:w="1334" w:type="pct"/>
          </w:tcPr>
          <w:p w14:paraId="0F1F6826" w14:textId="77777777" w:rsidR="004A30FE" w:rsidRDefault="004A30FE" w:rsidP="0049200A">
            <w:pPr>
              <w:pStyle w:val="TableText0"/>
            </w:pPr>
            <w:r>
              <w:t>Dysport</w:t>
            </w:r>
            <w:r w:rsidRPr="00EA29CE">
              <w:t xml:space="preserve"> </w:t>
            </w:r>
            <w:r>
              <w:t>(</w:t>
            </w:r>
            <w:r w:rsidRPr="00EA29CE">
              <w:t>12178Y</w:t>
            </w:r>
            <w:r>
              <w:t>)</w:t>
            </w:r>
          </w:p>
        </w:tc>
        <w:tc>
          <w:tcPr>
            <w:tcW w:w="611" w:type="pct"/>
            <w:tcBorders>
              <w:top w:val="single" w:sz="4" w:space="0" w:color="auto"/>
              <w:left w:val="single" w:sz="4" w:space="0" w:color="auto"/>
              <w:bottom w:val="single" w:sz="4" w:space="0" w:color="auto"/>
              <w:right w:val="single" w:sz="4" w:space="0" w:color="auto"/>
            </w:tcBorders>
          </w:tcPr>
          <w:p w14:paraId="42EB391F" w14:textId="3B633636"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12"/>
                <w14:textFill>
                  <w14:solidFill>
                    <w14:srgbClr w14:val="000000">
                      <w14:alpha w14:val="100000"/>
                    </w14:srgbClr>
                  </w14:solidFill>
                </w14:textFill>
              </w:rPr>
              <w:t xml:space="preserve">　</w:t>
            </w:r>
            <w:r w:rsidR="000C2A4B" w:rsidRPr="000C2A4B">
              <w:rPr>
                <w:color w:val="000000"/>
                <w:w w:val="17"/>
                <w:shd w:val="solid" w:color="000000" w:fill="000000"/>
                <w:fitText w:val="78" w:id="-632147712"/>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12"/>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54FB2065" w14:textId="410DE0C6"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11"/>
                <w14:textFill>
                  <w14:solidFill>
                    <w14:srgbClr w14:val="000000">
                      <w14:alpha w14:val="100000"/>
                    </w14:srgbClr>
                  </w14:solidFill>
                </w14:textFill>
              </w:rPr>
              <w:t xml:space="preserve">　</w:t>
            </w:r>
            <w:r w:rsidR="000C2A4B" w:rsidRPr="000C2A4B">
              <w:rPr>
                <w:color w:val="000000"/>
                <w:w w:val="17"/>
                <w:shd w:val="solid" w:color="000000" w:fill="000000"/>
                <w:fitText w:val="78" w:id="-632147711"/>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11"/>
                <w14:textFill>
                  <w14:solidFill>
                    <w14:srgbClr w14:val="000000">
                      <w14:alpha w14:val="100000"/>
                    </w14:srgbClr>
                  </w14:solidFill>
                </w14:textFill>
              </w:rPr>
              <w:t xml:space="preserve">　</w:t>
            </w:r>
            <w:r w:rsidR="00392F87"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41169D21" w14:textId="22036407"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10"/>
                <w14:textFill>
                  <w14:solidFill>
                    <w14:srgbClr w14:val="000000">
                      <w14:alpha w14:val="100000"/>
                    </w14:srgbClr>
                  </w14:solidFill>
                </w14:textFill>
              </w:rPr>
              <w:t xml:space="preserve">　</w:t>
            </w:r>
            <w:r w:rsidR="000C2A4B" w:rsidRPr="000C2A4B">
              <w:rPr>
                <w:color w:val="000000"/>
                <w:w w:val="17"/>
                <w:shd w:val="solid" w:color="000000" w:fill="000000"/>
                <w:fitText w:val="78" w:id="-632147710"/>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10"/>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1B96DE0C" w14:textId="04BCDB48"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9"/>
                <w14:textFill>
                  <w14:solidFill>
                    <w14:srgbClr w14:val="000000">
                      <w14:alpha w14:val="100000"/>
                    </w14:srgbClr>
                  </w14:solidFill>
                </w14:textFill>
              </w:rPr>
              <w:t xml:space="preserve">　</w:t>
            </w:r>
            <w:r w:rsidR="000C2A4B" w:rsidRPr="000C2A4B">
              <w:rPr>
                <w:color w:val="000000"/>
                <w:w w:val="17"/>
                <w:shd w:val="solid" w:color="000000" w:fill="000000"/>
                <w:fitText w:val="78" w:id="-632147709"/>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9"/>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05D12AC9" w14:textId="3E062CB1"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8"/>
                <w14:textFill>
                  <w14:solidFill>
                    <w14:srgbClr w14:val="000000">
                      <w14:alpha w14:val="100000"/>
                    </w14:srgbClr>
                  </w14:solidFill>
                </w14:textFill>
              </w:rPr>
              <w:t xml:space="preserve">　</w:t>
            </w:r>
            <w:r w:rsidR="000C2A4B" w:rsidRPr="000C2A4B">
              <w:rPr>
                <w:color w:val="000000"/>
                <w:w w:val="17"/>
                <w:shd w:val="solid" w:color="000000" w:fill="000000"/>
                <w:fitText w:val="78" w:id="-632147708"/>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8"/>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44630BE1" w14:textId="0B439BA5"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7"/>
                <w14:textFill>
                  <w14:solidFill>
                    <w14:srgbClr w14:val="000000">
                      <w14:alpha w14:val="100000"/>
                    </w14:srgbClr>
                  </w14:solidFill>
                </w14:textFill>
              </w:rPr>
              <w:t xml:space="preserve">　</w:t>
            </w:r>
            <w:r w:rsidR="000C2A4B" w:rsidRPr="000C2A4B">
              <w:rPr>
                <w:color w:val="000000"/>
                <w:w w:val="17"/>
                <w:shd w:val="solid" w:color="000000" w:fill="000000"/>
                <w:fitText w:val="78" w:id="-632147707"/>
                <w14:textFill>
                  <w14:solidFill>
                    <w14:srgbClr w14:val="000000">
                      <w14:alpha w14:val="100000"/>
                    </w14:srgbClr>
                  </w14:solidFill>
                </w14:textFill>
              </w:rPr>
              <w:t>|</w:t>
            </w:r>
            <w:r w:rsidR="000C2A4B" w:rsidRPr="000C2A4B">
              <w:rPr>
                <w:rFonts w:hint="eastAsia"/>
                <w:color w:val="000000"/>
                <w:w w:val="17"/>
                <w:shd w:val="solid" w:color="000000" w:fill="000000"/>
                <w:fitText w:val="78" w:id="-632147707"/>
                <w14:textFill>
                  <w14:solidFill>
                    <w14:srgbClr w14:val="000000">
                      <w14:alpha w14:val="100000"/>
                    </w14:srgbClr>
                  </w14:solidFill>
                </w14:textFill>
              </w:rPr>
              <w:t xml:space="preserve">　</w:t>
            </w:r>
            <w:r w:rsidR="00D14B5D" w:rsidRPr="008C3E96">
              <w:rPr>
                <w:color w:val="333333"/>
                <w:szCs w:val="20"/>
                <w:vertAlign w:val="superscript"/>
              </w:rPr>
              <w:t>1</w:t>
            </w:r>
          </w:p>
        </w:tc>
      </w:tr>
      <w:tr w:rsidR="004A30FE" w:rsidRPr="003639A6" w14:paraId="52A2E404" w14:textId="77777777" w:rsidTr="00925A61">
        <w:tc>
          <w:tcPr>
            <w:tcW w:w="1334" w:type="pct"/>
          </w:tcPr>
          <w:p w14:paraId="69E0D629" w14:textId="77777777" w:rsidR="004A30FE" w:rsidRDefault="004A30FE" w:rsidP="0049200A">
            <w:pPr>
              <w:pStyle w:val="TableText0"/>
            </w:pPr>
            <w:r>
              <w:t>Dysport</w:t>
            </w:r>
            <w:r w:rsidRPr="00EA29CE">
              <w:t xml:space="preserve"> </w:t>
            </w:r>
            <w:r>
              <w:t>(</w:t>
            </w:r>
            <w:r w:rsidRPr="00EA29CE">
              <w:t>12214W</w:t>
            </w:r>
            <w:r>
              <w:t>)</w:t>
            </w:r>
          </w:p>
        </w:tc>
        <w:tc>
          <w:tcPr>
            <w:tcW w:w="611" w:type="pct"/>
            <w:tcBorders>
              <w:top w:val="single" w:sz="4" w:space="0" w:color="auto"/>
              <w:left w:val="single" w:sz="4" w:space="0" w:color="auto"/>
              <w:bottom w:val="single" w:sz="4" w:space="0" w:color="auto"/>
              <w:right w:val="single" w:sz="4" w:space="0" w:color="auto"/>
            </w:tcBorders>
          </w:tcPr>
          <w:p w14:paraId="7184D2C3" w14:textId="620EC102"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6"/>
                <w14:textFill>
                  <w14:solidFill>
                    <w14:srgbClr w14:val="000000">
                      <w14:alpha w14:val="100000"/>
                    </w14:srgbClr>
                  </w14:solidFill>
                </w14:textFill>
              </w:rPr>
              <w:t xml:space="preserve">　</w:t>
            </w:r>
            <w:r w:rsidR="000C2A4B" w:rsidRPr="000C2A4B">
              <w:rPr>
                <w:color w:val="000000"/>
                <w:w w:val="17"/>
                <w:shd w:val="solid" w:color="000000" w:fill="000000"/>
                <w:fitText w:val="78" w:id="-632147706"/>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6"/>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0F9663F3" w14:textId="2A64A24C"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5"/>
                <w14:textFill>
                  <w14:solidFill>
                    <w14:srgbClr w14:val="000000">
                      <w14:alpha w14:val="100000"/>
                    </w14:srgbClr>
                  </w14:solidFill>
                </w14:textFill>
              </w:rPr>
              <w:t xml:space="preserve">　</w:t>
            </w:r>
            <w:r w:rsidR="000C2A4B" w:rsidRPr="000C2A4B">
              <w:rPr>
                <w:color w:val="000000"/>
                <w:w w:val="17"/>
                <w:shd w:val="solid" w:color="000000" w:fill="000000"/>
                <w:fitText w:val="78" w:id="-632147705"/>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5"/>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17852457" w14:textId="5A32CCA1"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4"/>
                <w14:textFill>
                  <w14:solidFill>
                    <w14:srgbClr w14:val="000000">
                      <w14:alpha w14:val="100000"/>
                    </w14:srgbClr>
                  </w14:solidFill>
                </w14:textFill>
              </w:rPr>
              <w:t xml:space="preserve">　</w:t>
            </w:r>
            <w:r w:rsidR="000C2A4B" w:rsidRPr="000C2A4B">
              <w:rPr>
                <w:color w:val="000000"/>
                <w:w w:val="17"/>
                <w:shd w:val="solid" w:color="000000" w:fill="000000"/>
                <w:fitText w:val="78" w:id="-632147704"/>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4"/>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69CFE6E2" w14:textId="6164A3EB"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3"/>
                <w14:textFill>
                  <w14:solidFill>
                    <w14:srgbClr w14:val="000000">
                      <w14:alpha w14:val="100000"/>
                    </w14:srgbClr>
                  </w14:solidFill>
                </w14:textFill>
              </w:rPr>
              <w:t xml:space="preserve">　</w:t>
            </w:r>
            <w:r w:rsidR="000C2A4B" w:rsidRPr="000C2A4B">
              <w:rPr>
                <w:color w:val="000000"/>
                <w:w w:val="17"/>
                <w:shd w:val="solid" w:color="000000" w:fill="000000"/>
                <w:fitText w:val="78" w:id="-632147703"/>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3"/>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67D95EAA" w14:textId="78608771"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2"/>
                <w14:textFill>
                  <w14:solidFill>
                    <w14:srgbClr w14:val="000000">
                      <w14:alpha w14:val="100000"/>
                    </w14:srgbClr>
                  </w14:solidFill>
                </w14:textFill>
              </w:rPr>
              <w:t xml:space="preserve">　</w:t>
            </w:r>
            <w:r w:rsidR="000C2A4B" w:rsidRPr="000C2A4B">
              <w:rPr>
                <w:color w:val="000000"/>
                <w:w w:val="17"/>
                <w:shd w:val="solid" w:color="000000" w:fill="000000"/>
                <w:fitText w:val="78" w:id="-632147702"/>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2"/>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1911958C" w14:textId="7E07F4A8" w:rsidR="004A30FE" w:rsidRPr="003D47A7" w:rsidRDefault="004A30FE" w:rsidP="0049200A">
            <w:pPr>
              <w:pStyle w:val="TableText0"/>
              <w:jc w:val="center"/>
            </w:pPr>
            <w:r w:rsidRPr="00EA29CE">
              <w:t>-</w:t>
            </w:r>
            <w:r w:rsidR="000C2A4B" w:rsidRPr="000C2A4B">
              <w:rPr>
                <w:rFonts w:hint="eastAsia"/>
                <w:color w:val="000000"/>
                <w:w w:val="17"/>
                <w:shd w:val="solid" w:color="000000" w:fill="000000"/>
                <w:fitText w:val="78" w:id="-632147701"/>
                <w14:textFill>
                  <w14:solidFill>
                    <w14:srgbClr w14:val="000000">
                      <w14:alpha w14:val="100000"/>
                    </w14:srgbClr>
                  </w14:solidFill>
                </w14:textFill>
              </w:rPr>
              <w:t xml:space="preserve">　</w:t>
            </w:r>
            <w:r w:rsidR="000C2A4B" w:rsidRPr="000C2A4B">
              <w:rPr>
                <w:color w:val="000000"/>
                <w:w w:val="17"/>
                <w:shd w:val="solid" w:color="000000" w:fill="000000"/>
                <w:fitText w:val="78" w:id="-632147701"/>
                <w14:textFill>
                  <w14:solidFill>
                    <w14:srgbClr w14:val="000000">
                      <w14:alpha w14:val="100000"/>
                    </w14:srgbClr>
                  </w14:solidFill>
                </w14:textFill>
              </w:rPr>
              <w:t>|</w:t>
            </w:r>
            <w:r w:rsidR="000C2A4B" w:rsidRPr="000C2A4B">
              <w:rPr>
                <w:rFonts w:hint="eastAsia"/>
                <w:color w:val="000000"/>
                <w:w w:val="17"/>
                <w:shd w:val="solid" w:color="000000" w:fill="000000"/>
                <w:fitText w:val="78" w:id="-632147701"/>
                <w14:textFill>
                  <w14:solidFill>
                    <w14:srgbClr w14:val="000000">
                      <w14:alpha w14:val="100000"/>
                    </w14:srgbClr>
                  </w14:solidFill>
                </w14:textFill>
              </w:rPr>
              <w:t xml:space="preserve">　</w:t>
            </w:r>
            <w:r w:rsidR="00D14B5D" w:rsidRPr="008C3E96">
              <w:rPr>
                <w:color w:val="333333"/>
                <w:szCs w:val="20"/>
                <w:vertAlign w:val="superscript"/>
              </w:rPr>
              <w:t>1</w:t>
            </w:r>
          </w:p>
        </w:tc>
      </w:tr>
      <w:tr w:rsidR="004A30FE" w:rsidRPr="003639A6" w14:paraId="086D79B7" w14:textId="77777777" w:rsidTr="00925A61">
        <w:tc>
          <w:tcPr>
            <w:tcW w:w="1334" w:type="pct"/>
          </w:tcPr>
          <w:p w14:paraId="4E124438" w14:textId="48A7254E" w:rsidR="004A30FE" w:rsidRDefault="004A30FE" w:rsidP="0049200A">
            <w:pPr>
              <w:pStyle w:val="TableText0"/>
            </w:pPr>
            <w:r>
              <w:t>Total</w:t>
            </w:r>
          </w:p>
        </w:tc>
        <w:tc>
          <w:tcPr>
            <w:tcW w:w="611" w:type="pct"/>
            <w:tcBorders>
              <w:top w:val="single" w:sz="4" w:space="0" w:color="auto"/>
              <w:left w:val="single" w:sz="4" w:space="0" w:color="auto"/>
              <w:bottom w:val="single" w:sz="4" w:space="0" w:color="auto"/>
              <w:right w:val="single" w:sz="4" w:space="0" w:color="auto"/>
            </w:tcBorders>
          </w:tcPr>
          <w:p w14:paraId="2DCFFF39" w14:textId="693F87C6" w:rsidR="004A30FE" w:rsidRPr="003D47A7" w:rsidRDefault="004A30FE" w:rsidP="0049200A">
            <w:pPr>
              <w:pStyle w:val="TableText0"/>
              <w:jc w:val="center"/>
            </w:pPr>
            <w:r w:rsidRPr="00016742">
              <w:t>-</w:t>
            </w:r>
            <w:r w:rsidR="000C2A4B" w:rsidRPr="000C2A4B">
              <w:rPr>
                <w:rFonts w:hint="eastAsia"/>
                <w:color w:val="000000"/>
                <w:w w:val="17"/>
                <w:shd w:val="solid" w:color="000000" w:fill="000000"/>
                <w:fitText w:val="78" w:id="-632147700"/>
                <w14:textFill>
                  <w14:solidFill>
                    <w14:srgbClr w14:val="000000">
                      <w14:alpha w14:val="100000"/>
                    </w14:srgbClr>
                  </w14:solidFill>
                </w14:textFill>
              </w:rPr>
              <w:t xml:space="preserve">　</w:t>
            </w:r>
            <w:r w:rsidR="000C2A4B" w:rsidRPr="000C2A4B">
              <w:rPr>
                <w:color w:val="000000"/>
                <w:w w:val="17"/>
                <w:shd w:val="solid" w:color="000000" w:fill="000000"/>
                <w:fitText w:val="78" w:id="-632147700"/>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700"/>
                <w14:textFill>
                  <w14:solidFill>
                    <w14:srgbClr w14:val="000000">
                      <w14:alpha w14:val="100000"/>
                    </w14:srgbClr>
                  </w14:solidFill>
                </w14:textFill>
              </w:rPr>
              <w:t xml:space="preserve">　</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1F7EF03F" w14:textId="4145A7F5" w:rsidR="004A30FE" w:rsidRPr="003D47A7" w:rsidRDefault="004A30FE" w:rsidP="0049200A">
            <w:pPr>
              <w:pStyle w:val="TableText0"/>
              <w:jc w:val="center"/>
            </w:pPr>
            <w:r w:rsidRPr="00016742">
              <w:t>-</w:t>
            </w:r>
            <w:r w:rsidR="000C2A4B" w:rsidRPr="000C2A4B">
              <w:rPr>
                <w:rFonts w:hint="eastAsia"/>
                <w:color w:val="000000"/>
                <w:w w:val="24"/>
                <w:shd w:val="solid" w:color="000000" w:fill="000000"/>
                <w:fitText w:val="108" w:id="-632147699"/>
                <w14:textFill>
                  <w14:solidFill>
                    <w14:srgbClr w14:val="000000">
                      <w14:alpha w14:val="100000"/>
                    </w14:srgbClr>
                  </w14:solidFill>
                </w14:textFill>
              </w:rPr>
              <w:t xml:space="preserve">　</w:t>
            </w:r>
            <w:r w:rsidR="000C2A4B" w:rsidRPr="000C2A4B">
              <w:rPr>
                <w:color w:val="000000"/>
                <w:w w:val="24"/>
                <w:shd w:val="solid" w:color="000000" w:fill="000000"/>
                <w:fitText w:val="108" w:id="-632147699"/>
                <w14:textFill>
                  <w14:solidFill>
                    <w14:srgbClr w14:val="000000">
                      <w14:alpha w14:val="100000"/>
                    </w14:srgbClr>
                  </w14:solidFill>
                </w14:textFill>
              </w:rPr>
              <w:t>|</w:t>
            </w:r>
            <w:r w:rsidR="000C2A4B" w:rsidRPr="000C2A4B">
              <w:rPr>
                <w:rFonts w:hint="eastAsia"/>
                <w:color w:val="000000"/>
                <w:spacing w:val="4"/>
                <w:w w:val="24"/>
                <w:shd w:val="solid" w:color="000000" w:fill="000000"/>
                <w:fitText w:val="108" w:id="-632147699"/>
                <w14:textFill>
                  <w14:solidFill>
                    <w14:srgbClr w14:val="000000">
                      <w14:alpha w14:val="100000"/>
                    </w14:srgbClr>
                  </w14:solidFill>
                </w14:textFill>
              </w:rPr>
              <w:t xml:space="preserve">　</w:t>
            </w:r>
            <w:r w:rsidR="00934F41" w:rsidRPr="00934F41">
              <w:rPr>
                <w:vertAlign w:val="superscript"/>
              </w:rPr>
              <w:t>a</w:t>
            </w:r>
            <w:r w:rsidR="00D14B5D" w:rsidRPr="008C3E96">
              <w:rPr>
                <w:color w:val="333333"/>
                <w:szCs w:val="20"/>
                <w:vertAlign w:val="superscript"/>
              </w:rPr>
              <w:t>1</w:t>
            </w:r>
          </w:p>
        </w:tc>
        <w:tc>
          <w:tcPr>
            <w:tcW w:w="611" w:type="pct"/>
            <w:tcBorders>
              <w:top w:val="single" w:sz="4" w:space="0" w:color="auto"/>
              <w:left w:val="nil"/>
              <w:bottom w:val="single" w:sz="4" w:space="0" w:color="auto"/>
              <w:right w:val="single" w:sz="4" w:space="0" w:color="auto"/>
            </w:tcBorders>
          </w:tcPr>
          <w:p w14:paraId="63D35FC0" w14:textId="09E57B3F" w:rsidR="004A30FE" w:rsidRPr="003D47A7" w:rsidRDefault="004A30FE" w:rsidP="0049200A">
            <w:pPr>
              <w:pStyle w:val="TableText0"/>
              <w:jc w:val="center"/>
            </w:pPr>
            <w:r w:rsidRPr="00016742">
              <w:t>-</w:t>
            </w:r>
            <w:r w:rsidR="000C2A4B" w:rsidRPr="000C2A4B">
              <w:rPr>
                <w:rFonts w:hint="eastAsia"/>
                <w:color w:val="000000"/>
                <w:w w:val="24"/>
                <w:shd w:val="solid" w:color="000000" w:fill="000000"/>
                <w:fitText w:val="108" w:id="-632147698"/>
                <w14:textFill>
                  <w14:solidFill>
                    <w14:srgbClr w14:val="000000">
                      <w14:alpha w14:val="100000"/>
                    </w14:srgbClr>
                  </w14:solidFill>
                </w14:textFill>
              </w:rPr>
              <w:t xml:space="preserve">　</w:t>
            </w:r>
            <w:r w:rsidR="000C2A4B" w:rsidRPr="000C2A4B">
              <w:rPr>
                <w:color w:val="000000"/>
                <w:w w:val="24"/>
                <w:shd w:val="solid" w:color="000000" w:fill="000000"/>
                <w:fitText w:val="108" w:id="-632147698"/>
                <w14:textFill>
                  <w14:solidFill>
                    <w14:srgbClr w14:val="000000">
                      <w14:alpha w14:val="100000"/>
                    </w14:srgbClr>
                  </w14:solidFill>
                </w14:textFill>
              </w:rPr>
              <w:t>|</w:t>
            </w:r>
            <w:r w:rsidR="000C2A4B" w:rsidRPr="000C2A4B">
              <w:rPr>
                <w:rFonts w:hint="eastAsia"/>
                <w:color w:val="000000"/>
                <w:spacing w:val="4"/>
                <w:w w:val="24"/>
                <w:shd w:val="solid" w:color="000000" w:fill="000000"/>
                <w:fitText w:val="108" w:id="-632147698"/>
                <w14:textFill>
                  <w14:solidFill>
                    <w14:srgbClr w14:val="000000">
                      <w14:alpha w14:val="100000"/>
                    </w14:srgbClr>
                  </w14:solidFill>
                </w14:textFill>
              </w:rPr>
              <w:t xml:space="preserve">　</w:t>
            </w:r>
            <w:r w:rsidR="00934F41" w:rsidRPr="00934F41">
              <w:rPr>
                <w:vertAlign w:val="superscript"/>
              </w:rPr>
              <w:t>a</w:t>
            </w:r>
            <w:r w:rsidR="00392F87" w:rsidRPr="00392F87">
              <w:rPr>
                <w:color w:val="333333"/>
                <w:szCs w:val="20"/>
                <w:vertAlign w:val="superscript"/>
              </w:rPr>
              <w:t>2</w:t>
            </w:r>
          </w:p>
        </w:tc>
        <w:tc>
          <w:tcPr>
            <w:tcW w:w="611" w:type="pct"/>
            <w:tcBorders>
              <w:top w:val="single" w:sz="4" w:space="0" w:color="auto"/>
              <w:left w:val="nil"/>
              <w:bottom w:val="single" w:sz="4" w:space="0" w:color="auto"/>
              <w:right w:val="single" w:sz="4" w:space="0" w:color="auto"/>
            </w:tcBorders>
          </w:tcPr>
          <w:p w14:paraId="3F0D31CD" w14:textId="3C99E66D" w:rsidR="004A30FE" w:rsidRPr="003D47A7" w:rsidRDefault="004A30FE" w:rsidP="0049200A">
            <w:pPr>
              <w:pStyle w:val="TableText0"/>
              <w:jc w:val="center"/>
            </w:pPr>
            <w:r w:rsidRPr="00016742">
              <w:t>-</w:t>
            </w:r>
            <w:r w:rsidR="000C2A4B" w:rsidRPr="000C2A4B">
              <w:rPr>
                <w:rFonts w:hint="eastAsia"/>
                <w:color w:val="000000"/>
                <w:w w:val="17"/>
                <w:shd w:val="solid" w:color="000000" w:fill="000000"/>
                <w:fitText w:val="78" w:id="-632147697"/>
                <w14:textFill>
                  <w14:solidFill>
                    <w14:srgbClr w14:val="000000">
                      <w14:alpha w14:val="100000"/>
                    </w14:srgbClr>
                  </w14:solidFill>
                </w14:textFill>
              </w:rPr>
              <w:t xml:space="preserve">　</w:t>
            </w:r>
            <w:r w:rsidR="000C2A4B" w:rsidRPr="000C2A4B">
              <w:rPr>
                <w:color w:val="000000"/>
                <w:w w:val="17"/>
                <w:shd w:val="solid" w:color="000000" w:fill="000000"/>
                <w:fitText w:val="78" w:id="-632147697"/>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697"/>
                <w14:textFill>
                  <w14:solidFill>
                    <w14:srgbClr w14:val="000000">
                      <w14:alpha w14:val="100000"/>
                    </w14:srgbClr>
                  </w14:solidFill>
                </w14:textFill>
              </w:rPr>
              <w:t xml:space="preserve">　</w:t>
            </w:r>
            <w:r w:rsidR="00392F87" w:rsidRPr="00392F87">
              <w:rPr>
                <w:color w:val="333333"/>
                <w:szCs w:val="20"/>
                <w:vertAlign w:val="superscript"/>
              </w:rPr>
              <w:t>2</w:t>
            </w:r>
          </w:p>
        </w:tc>
        <w:tc>
          <w:tcPr>
            <w:tcW w:w="611" w:type="pct"/>
            <w:tcBorders>
              <w:top w:val="single" w:sz="4" w:space="0" w:color="auto"/>
              <w:left w:val="nil"/>
              <w:bottom w:val="single" w:sz="4" w:space="0" w:color="auto"/>
              <w:right w:val="single" w:sz="4" w:space="0" w:color="auto"/>
            </w:tcBorders>
          </w:tcPr>
          <w:p w14:paraId="783C5245" w14:textId="7FD0E3A2" w:rsidR="004A30FE" w:rsidRPr="003D47A7" w:rsidRDefault="004A30FE" w:rsidP="0049200A">
            <w:pPr>
              <w:pStyle w:val="TableText0"/>
              <w:jc w:val="center"/>
            </w:pPr>
            <w:r w:rsidRPr="00016742">
              <w:t>-</w:t>
            </w:r>
            <w:r w:rsidR="000C2A4B" w:rsidRPr="000C2A4B">
              <w:rPr>
                <w:rFonts w:hint="eastAsia"/>
                <w:color w:val="000000"/>
                <w:w w:val="17"/>
                <w:shd w:val="solid" w:color="000000" w:fill="000000"/>
                <w:fitText w:val="78" w:id="-632147696"/>
                <w14:textFill>
                  <w14:solidFill>
                    <w14:srgbClr w14:val="000000">
                      <w14:alpha w14:val="100000"/>
                    </w14:srgbClr>
                  </w14:solidFill>
                </w14:textFill>
              </w:rPr>
              <w:t xml:space="preserve">　</w:t>
            </w:r>
            <w:r w:rsidR="000C2A4B" w:rsidRPr="000C2A4B">
              <w:rPr>
                <w:color w:val="000000"/>
                <w:w w:val="17"/>
                <w:shd w:val="solid" w:color="000000" w:fill="000000"/>
                <w:fitText w:val="78" w:id="-632147696"/>
                <w14:textFill>
                  <w14:solidFill>
                    <w14:srgbClr w14:val="000000">
                      <w14:alpha w14:val="100000"/>
                    </w14:srgbClr>
                  </w14:solidFill>
                </w14:textFill>
              </w:rPr>
              <w:t>|</w:t>
            </w:r>
            <w:r w:rsidR="000C2A4B" w:rsidRPr="000C2A4B">
              <w:rPr>
                <w:rFonts w:hint="eastAsia"/>
                <w:color w:val="000000"/>
                <w:spacing w:val="5"/>
                <w:w w:val="17"/>
                <w:shd w:val="solid" w:color="000000" w:fill="000000"/>
                <w:fitText w:val="78" w:id="-632147696"/>
                <w14:textFill>
                  <w14:solidFill>
                    <w14:srgbClr w14:val="000000">
                      <w14:alpha w14:val="100000"/>
                    </w14:srgbClr>
                  </w14:solidFill>
                </w14:textFill>
              </w:rPr>
              <w:t xml:space="preserve">　</w:t>
            </w:r>
            <w:r w:rsidR="00392F87" w:rsidRPr="00392F87">
              <w:rPr>
                <w:color w:val="333333"/>
                <w:szCs w:val="20"/>
                <w:vertAlign w:val="superscript"/>
              </w:rPr>
              <w:t>2</w:t>
            </w:r>
          </w:p>
        </w:tc>
        <w:tc>
          <w:tcPr>
            <w:tcW w:w="611" w:type="pct"/>
            <w:tcBorders>
              <w:top w:val="single" w:sz="4" w:space="0" w:color="auto"/>
              <w:left w:val="nil"/>
              <w:bottom w:val="single" w:sz="4" w:space="0" w:color="auto"/>
              <w:right w:val="single" w:sz="4" w:space="0" w:color="auto"/>
            </w:tcBorders>
          </w:tcPr>
          <w:p w14:paraId="3D2D283D" w14:textId="5E89BD77" w:rsidR="004A30FE" w:rsidRPr="003D47A7" w:rsidRDefault="004A30FE" w:rsidP="0049200A">
            <w:pPr>
              <w:pStyle w:val="TableText0"/>
              <w:jc w:val="center"/>
            </w:pPr>
            <w:r w:rsidRPr="00016742">
              <w:t>-</w:t>
            </w:r>
            <w:r w:rsidR="000C2A4B" w:rsidRPr="000C2A4B">
              <w:rPr>
                <w:rFonts w:hint="eastAsia"/>
                <w:color w:val="000000"/>
                <w:w w:val="17"/>
                <w:shd w:val="solid" w:color="000000" w:fill="000000"/>
                <w:fitText w:val="78" w:id="-632147712"/>
                <w14:textFill>
                  <w14:solidFill>
                    <w14:srgbClr w14:val="000000">
                      <w14:alpha w14:val="100000"/>
                    </w14:srgbClr>
                  </w14:solidFill>
                </w14:textFill>
              </w:rPr>
              <w:t xml:space="preserve">　</w:t>
            </w:r>
            <w:r w:rsidR="000C2A4B" w:rsidRPr="000C2A4B">
              <w:rPr>
                <w:color w:val="000000"/>
                <w:w w:val="17"/>
                <w:shd w:val="solid" w:color="000000" w:fill="000000"/>
                <w:fitText w:val="78" w:id="-632147712"/>
                <w14:textFill>
                  <w14:solidFill>
                    <w14:srgbClr w14:val="000000">
                      <w14:alpha w14:val="100000"/>
                    </w14:srgbClr>
                  </w14:solidFill>
                </w14:textFill>
              </w:rPr>
              <w:t>|</w:t>
            </w:r>
            <w:r w:rsidR="000C2A4B" w:rsidRPr="000C2A4B">
              <w:rPr>
                <w:rFonts w:hint="eastAsia"/>
                <w:color w:val="000000"/>
                <w:w w:val="17"/>
                <w:shd w:val="solid" w:color="000000" w:fill="000000"/>
                <w:fitText w:val="78" w:id="-632147712"/>
                <w14:textFill>
                  <w14:solidFill>
                    <w14:srgbClr w14:val="000000">
                      <w14:alpha w14:val="100000"/>
                    </w14:srgbClr>
                  </w14:solidFill>
                </w14:textFill>
              </w:rPr>
              <w:t xml:space="preserve">　</w:t>
            </w:r>
            <w:r w:rsidR="00392F87" w:rsidRPr="00392F87">
              <w:rPr>
                <w:color w:val="333333"/>
                <w:szCs w:val="20"/>
                <w:vertAlign w:val="superscript"/>
              </w:rPr>
              <w:t>2</w:t>
            </w:r>
          </w:p>
        </w:tc>
      </w:tr>
      <w:tr w:rsidR="004A30FE" w:rsidRPr="00D1078F" w14:paraId="24A4ECCF" w14:textId="77777777" w:rsidTr="00925A61">
        <w:tc>
          <w:tcPr>
            <w:tcW w:w="5000" w:type="pct"/>
            <w:gridSpan w:val="7"/>
          </w:tcPr>
          <w:p w14:paraId="6AE314E1" w14:textId="31198C53" w:rsidR="004A30FE" w:rsidRPr="00D1078F" w:rsidRDefault="004A30FE" w:rsidP="0049200A">
            <w:pPr>
              <w:pStyle w:val="In-tableHeading"/>
            </w:pPr>
            <w:r w:rsidRPr="00D1078F">
              <w:t xml:space="preserve">Estimated </w:t>
            </w:r>
            <w:r>
              <w:t>financial implications of Xeomin</w:t>
            </w:r>
          </w:p>
        </w:tc>
      </w:tr>
      <w:tr w:rsidR="004A30FE" w:rsidRPr="003639A6" w14:paraId="05EBE8C2" w14:textId="77777777" w:rsidTr="00925A61">
        <w:tc>
          <w:tcPr>
            <w:tcW w:w="1334" w:type="pct"/>
          </w:tcPr>
          <w:p w14:paraId="661D786B" w14:textId="77777777" w:rsidR="004A30FE" w:rsidRDefault="004A30FE" w:rsidP="0049200A">
            <w:pPr>
              <w:pStyle w:val="TableText0"/>
              <w:rPr>
                <w:sz w:val="19"/>
                <w:szCs w:val="19"/>
              </w:rPr>
            </w:pPr>
            <w:r w:rsidRPr="00DF110B">
              <w:t>Net cost to the PBS/RPBS</w:t>
            </w:r>
            <w:r>
              <w:t xml:space="preserve"> less copayments</w:t>
            </w:r>
          </w:p>
        </w:tc>
        <w:tc>
          <w:tcPr>
            <w:tcW w:w="611" w:type="pct"/>
            <w:tcBorders>
              <w:top w:val="single" w:sz="4" w:space="0" w:color="auto"/>
              <w:left w:val="single" w:sz="4" w:space="0" w:color="auto"/>
              <w:bottom w:val="single" w:sz="4" w:space="0" w:color="auto"/>
              <w:right w:val="single" w:sz="4" w:space="0" w:color="auto"/>
            </w:tcBorders>
          </w:tcPr>
          <w:p w14:paraId="13A19C0E" w14:textId="2BC9329C" w:rsidR="004A30FE" w:rsidRPr="00462829" w:rsidRDefault="004A30FE" w:rsidP="0049200A">
            <w:pPr>
              <w:pStyle w:val="TableText0"/>
              <w:jc w:val="center"/>
            </w:pPr>
            <w:r w:rsidRPr="00E02586">
              <w:t>$</w:t>
            </w:r>
            <w:r w:rsidR="000C2A4B" w:rsidRPr="000C2A4B">
              <w:rPr>
                <w:rFonts w:hint="eastAsia"/>
                <w:color w:val="000000"/>
                <w:w w:val="21"/>
                <w:shd w:val="solid" w:color="000000" w:fill="000000"/>
                <w:fitText w:val="96" w:id="-632147711"/>
                <w14:textFill>
                  <w14:solidFill>
                    <w14:srgbClr w14:val="000000">
                      <w14:alpha w14:val="100000"/>
                    </w14:srgbClr>
                  </w14:solidFill>
                </w14:textFill>
              </w:rPr>
              <w:t xml:space="preserve">　</w:t>
            </w:r>
            <w:r w:rsidR="000C2A4B" w:rsidRPr="000C2A4B">
              <w:rPr>
                <w:color w:val="000000"/>
                <w:w w:val="21"/>
                <w:shd w:val="solid" w:color="000000" w:fill="000000"/>
                <w:fitText w:val="96" w:id="-632147711"/>
                <w14:textFill>
                  <w14:solidFill>
                    <w14:srgbClr w14:val="000000">
                      <w14:alpha w14:val="100000"/>
                    </w14:srgbClr>
                  </w14:solidFill>
                </w14:textFill>
              </w:rPr>
              <w:t>|</w:t>
            </w:r>
            <w:r w:rsidR="000C2A4B" w:rsidRPr="000C2A4B">
              <w:rPr>
                <w:rFonts w:hint="eastAsia"/>
                <w:color w:val="000000"/>
                <w:spacing w:val="5"/>
                <w:w w:val="21"/>
                <w:shd w:val="solid" w:color="000000" w:fill="000000"/>
                <w:fitText w:val="96" w:id="-632147711"/>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39EC903D" w14:textId="292A1088" w:rsidR="004A30FE" w:rsidRPr="00462829" w:rsidRDefault="004A30FE" w:rsidP="0049200A">
            <w:pPr>
              <w:pStyle w:val="TableText0"/>
              <w:jc w:val="center"/>
            </w:pPr>
            <w:r w:rsidRPr="00E02586">
              <w:t>$</w:t>
            </w:r>
            <w:r w:rsidR="000C2A4B" w:rsidRPr="000C2A4B">
              <w:rPr>
                <w:rFonts w:hint="eastAsia"/>
                <w:color w:val="000000"/>
                <w:w w:val="21"/>
                <w:shd w:val="solid" w:color="000000" w:fill="000000"/>
                <w:fitText w:val="96" w:id="-632147710"/>
                <w14:textFill>
                  <w14:solidFill>
                    <w14:srgbClr w14:val="000000">
                      <w14:alpha w14:val="100000"/>
                    </w14:srgbClr>
                  </w14:solidFill>
                </w14:textFill>
              </w:rPr>
              <w:t xml:space="preserve">　</w:t>
            </w:r>
            <w:r w:rsidR="000C2A4B" w:rsidRPr="000C2A4B">
              <w:rPr>
                <w:color w:val="000000"/>
                <w:w w:val="21"/>
                <w:shd w:val="solid" w:color="000000" w:fill="000000"/>
                <w:fitText w:val="96" w:id="-632147710"/>
                <w14:textFill>
                  <w14:solidFill>
                    <w14:srgbClr w14:val="000000">
                      <w14:alpha w14:val="100000"/>
                    </w14:srgbClr>
                  </w14:solidFill>
                </w14:textFill>
              </w:rPr>
              <w:t>|</w:t>
            </w:r>
            <w:r w:rsidR="000C2A4B" w:rsidRPr="000C2A4B">
              <w:rPr>
                <w:rFonts w:hint="eastAsia"/>
                <w:color w:val="000000"/>
                <w:spacing w:val="5"/>
                <w:w w:val="21"/>
                <w:shd w:val="solid" w:color="000000" w:fill="000000"/>
                <w:fitText w:val="96" w:id="-632147710"/>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4366551E" w14:textId="51DE2956" w:rsidR="004A30FE" w:rsidRPr="00462829" w:rsidRDefault="004A30FE" w:rsidP="0049200A">
            <w:pPr>
              <w:pStyle w:val="TableText0"/>
              <w:jc w:val="center"/>
            </w:pPr>
            <w:r w:rsidRPr="00E02586">
              <w:t>$</w:t>
            </w:r>
            <w:r w:rsidR="000C2A4B" w:rsidRPr="000C2A4B">
              <w:rPr>
                <w:rFonts w:hint="eastAsia"/>
                <w:color w:val="000000"/>
                <w:w w:val="21"/>
                <w:shd w:val="solid" w:color="000000" w:fill="000000"/>
                <w:fitText w:val="96" w:id="-632147709"/>
                <w14:textFill>
                  <w14:solidFill>
                    <w14:srgbClr w14:val="000000">
                      <w14:alpha w14:val="100000"/>
                    </w14:srgbClr>
                  </w14:solidFill>
                </w14:textFill>
              </w:rPr>
              <w:t xml:space="preserve">　</w:t>
            </w:r>
            <w:r w:rsidR="000C2A4B" w:rsidRPr="000C2A4B">
              <w:rPr>
                <w:color w:val="000000"/>
                <w:w w:val="21"/>
                <w:shd w:val="solid" w:color="000000" w:fill="000000"/>
                <w:fitText w:val="96" w:id="-632147709"/>
                <w14:textFill>
                  <w14:solidFill>
                    <w14:srgbClr w14:val="000000">
                      <w14:alpha w14:val="100000"/>
                    </w14:srgbClr>
                  </w14:solidFill>
                </w14:textFill>
              </w:rPr>
              <w:t>|</w:t>
            </w:r>
            <w:r w:rsidR="000C2A4B" w:rsidRPr="000C2A4B">
              <w:rPr>
                <w:rFonts w:hint="eastAsia"/>
                <w:color w:val="000000"/>
                <w:spacing w:val="5"/>
                <w:w w:val="21"/>
                <w:shd w:val="solid" w:color="000000" w:fill="000000"/>
                <w:fitText w:val="96" w:id="-632147709"/>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47DC3B63" w14:textId="607086FE" w:rsidR="004A30FE" w:rsidRPr="00462829" w:rsidRDefault="004A30FE" w:rsidP="0049200A">
            <w:pPr>
              <w:pStyle w:val="TableText0"/>
              <w:jc w:val="center"/>
            </w:pPr>
            <w:r w:rsidRPr="00E02586">
              <w:t>$</w:t>
            </w:r>
            <w:r w:rsidR="000C2A4B" w:rsidRPr="000C2A4B">
              <w:rPr>
                <w:rFonts w:hint="eastAsia"/>
                <w:color w:val="000000"/>
                <w:w w:val="21"/>
                <w:shd w:val="solid" w:color="000000" w:fill="000000"/>
                <w:fitText w:val="96" w:id="-632147708"/>
                <w14:textFill>
                  <w14:solidFill>
                    <w14:srgbClr w14:val="000000">
                      <w14:alpha w14:val="100000"/>
                    </w14:srgbClr>
                  </w14:solidFill>
                </w14:textFill>
              </w:rPr>
              <w:t xml:space="preserve">　</w:t>
            </w:r>
            <w:r w:rsidR="000C2A4B" w:rsidRPr="000C2A4B">
              <w:rPr>
                <w:color w:val="000000"/>
                <w:w w:val="21"/>
                <w:shd w:val="solid" w:color="000000" w:fill="000000"/>
                <w:fitText w:val="96" w:id="-632147708"/>
                <w14:textFill>
                  <w14:solidFill>
                    <w14:srgbClr w14:val="000000">
                      <w14:alpha w14:val="100000"/>
                    </w14:srgbClr>
                  </w14:solidFill>
                </w14:textFill>
              </w:rPr>
              <w:t>|</w:t>
            </w:r>
            <w:r w:rsidR="000C2A4B" w:rsidRPr="000C2A4B">
              <w:rPr>
                <w:rFonts w:hint="eastAsia"/>
                <w:color w:val="000000"/>
                <w:spacing w:val="5"/>
                <w:w w:val="21"/>
                <w:shd w:val="solid" w:color="000000" w:fill="000000"/>
                <w:fitText w:val="96" w:id="-632147708"/>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66DF167C" w14:textId="52684E7D" w:rsidR="004A30FE" w:rsidRPr="00462829" w:rsidRDefault="004A30FE" w:rsidP="0049200A">
            <w:pPr>
              <w:pStyle w:val="TableText0"/>
              <w:jc w:val="center"/>
            </w:pPr>
            <w:r w:rsidRPr="00E02586">
              <w:t>$</w:t>
            </w:r>
            <w:r w:rsidR="000C2A4B" w:rsidRPr="000C2A4B">
              <w:rPr>
                <w:rFonts w:hint="eastAsia"/>
                <w:color w:val="000000"/>
                <w:w w:val="21"/>
                <w:shd w:val="solid" w:color="000000" w:fill="000000"/>
                <w:fitText w:val="96" w:id="-632147707"/>
                <w14:textFill>
                  <w14:solidFill>
                    <w14:srgbClr w14:val="000000">
                      <w14:alpha w14:val="100000"/>
                    </w14:srgbClr>
                  </w14:solidFill>
                </w14:textFill>
              </w:rPr>
              <w:t xml:space="preserve">　</w:t>
            </w:r>
            <w:r w:rsidR="000C2A4B" w:rsidRPr="000C2A4B">
              <w:rPr>
                <w:color w:val="000000"/>
                <w:w w:val="21"/>
                <w:shd w:val="solid" w:color="000000" w:fill="000000"/>
                <w:fitText w:val="96" w:id="-632147707"/>
                <w14:textFill>
                  <w14:solidFill>
                    <w14:srgbClr w14:val="000000">
                      <w14:alpha w14:val="100000"/>
                    </w14:srgbClr>
                  </w14:solidFill>
                </w14:textFill>
              </w:rPr>
              <w:t>|</w:t>
            </w:r>
            <w:r w:rsidR="000C2A4B" w:rsidRPr="000C2A4B">
              <w:rPr>
                <w:rFonts w:hint="eastAsia"/>
                <w:color w:val="000000"/>
                <w:spacing w:val="5"/>
                <w:w w:val="21"/>
                <w:shd w:val="solid" w:color="000000" w:fill="000000"/>
                <w:fitText w:val="96" w:id="-632147707"/>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176E84DE" w14:textId="48C5B732" w:rsidR="004A30FE" w:rsidRPr="00462829" w:rsidRDefault="004A30FE" w:rsidP="0049200A">
            <w:pPr>
              <w:pStyle w:val="TableText0"/>
              <w:jc w:val="center"/>
            </w:pPr>
            <w:r w:rsidRPr="00E02586">
              <w:t>$</w:t>
            </w:r>
            <w:r w:rsidR="000C2A4B" w:rsidRPr="000C2A4B">
              <w:rPr>
                <w:rFonts w:hint="eastAsia"/>
                <w:color w:val="000000"/>
                <w:w w:val="21"/>
                <w:shd w:val="solid" w:color="000000" w:fill="000000"/>
                <w:fitText w:val="96" w:id="-632147706"/>
                <w14:textFill>
                  <w14:solidFill>
                    <w14:srgbClr w14:val="000000">
                      <w14:alpha w14:val="100000"/>
                    </w14:srgbClr>
                  </w14:solidFill>
                </w14:textFill>
              </w:rPr>
              <w:t xml:space="preserve">　</w:t>
            </w:r>
            <w:r w:rsidR="000C2A4B" w:rsidRPr="000C2A4B">
              <w:rPr>
                <w:color w:val="000000"/>
                <w:w w:val="21"/>
                <w:shd w:val="solid" w:color="000000" w:fill="000000"/>
                <w:fitText w:val="96" w:id="-632147706"/>
                <w14:textFill>
                  <w14:solidFill>
                    <w14:srgbClr w14:val="000000">
                      <w14:alpha w14:val="100000"/>
                    </w14:srgbClr>
                  </w14:solidFill>
                </w14:textFill>
              </w:rPr>
              <w:t>|</w:t>
            </w:r>
            <w:r w:rsidR="000C2A4B" w:rsidRPr="000C2A4B">
              <w:rPr>
                <w:rFonts w:hint="eastAsia"/>
                <w:color w:val="000000"/>
                <w:w w:val="21"/>
                <w:shd w:val="solid" w:color="000000" w:fill="000000"/>
                <w:fitText w:val="96" w:id="-632147706"/>
                <w14:textFill>
                  <w14:solidFill>
                    <w14:srgbClr w14:val="000000">
                      <w14:alpha w14:val="100000"/>
                    </w14:srgbClr>
                  </w14:solidFill>
                </w14:textFill>
              </w:rPr>
              <w:t xml:space="preserve">　</w:t>
            </w:r>
            <w:r w:rsidR="00DC004B">
              <w:rPr>
                <w:color w:val="333333"/>
                <w:szCs w:val="20"/>
                <w:vertAlign w:val="superscript"/>
              </w:rPr>
              <w:t>3</w:t>
            </w:r>
          </w:p>
        </w:tc>
      </w:tr>
      <w:tr w:rsidR="004A30FE" w:rsidRPr="003639A6" w14:paraId="12E3F4EC" w14:textId="77777777" w:rsidTr="00925A61">
        <w:tc>
          <w:tcPr>
            <w:tcW w:w="5000" w:type="pct"/>
            <w:gridSpan w:val="7"/>
          </w:tcPr>
          <w:p w14:paraId="464CFF1E" w14:textId="195CBED0" w:rsidR="004A30FE" w:rsidRPr="00C4074D" w:rsidRDefault="004A30FE" w:rsidP="0049200A">
            <w:pPr>
              <w:pStyle w:val="TableText0"/>
              <w:rPr>
                <w:b/>
                <w:bCs w:val="0"/>
              </w:rPr>
            </w:pPr>
            <w:r w:rsidRPr="00C4074D">
              <w:rPr>
                <w:b/>
                <w:bCs w:val="0"/>
              </w:rPr>
              <w:t xml:space="preserve">Estimated financial implications for </w:t>
            </w:r>
            <w:r>
              <w:rPr>
                <w:b/>
                <w:bCs w:val="0"/>
              </w:rPr>
              <w:t>Botox and Dysport</w:t>
            </w:r>
          </w:p>
        </w:tc>
      </w:tr>
      <w:tr w:rsidR="004A30FE" w:rsidRPr="003639A6" w14:paraId="58C94893" w14:textId="77777777" w:rsidTr="00925A61">
        <w:tc>
          <w:tcPr>
            <w:tcW w:w="1334" w:type="pct"/>
          </w:tcPr>
          <w:p w14:paraId="4E37BF1A" w14:textId="77777777" w:rsidR="004A30FE" w:rsidRDefault="004A30FE" w:rsidP="0049200A">
            <w:pPr>
              <w:pStyle w:val="TableText0"/>
              <w:rPr>
                <w:sz w:val="19"/>
                <w:szCs w:val="19"/>
              </w:rPr>
            </w:pPr>
            <w:r w:rsidRPr="00DF110B">
              <w:t>Net cost to the PBS/RPBS</w:t>
            </w:r>
            <w:r>
              <w:t xml:space="preserve"> less copayments</w:t>
            </w:r>
          </w:p>
        </w:tc>
        <w:tc>
          <w:tcPr>
            <w:tcW w:w="611" w:type="pct"/>
            <w:tcBorders>
              <w:top w:val="single" w:sz="4" w:space="0" w:color="auto"/>
              <w:left w:val="single" w:sz="4" w:space="0" w:color="auto"/>
              <w:bottom w:val="single" w:sz="4" w:space="0" w:color="auto"/>
              <w:right w:val="single" w:sz="4" w:space="0" w:color="auto"/>
            </w:tcBorders>
          </w:tcPr>
          <w:p w14:paraId="4BAB1938" w14:textId="6885FF2C" w:rsidR="004A30FE" w:rsidRPr="00011958" w:rsidRDefault="004A30FE" w:rsidP="0049200A">
            <w:pPr>
              <w:pStyle w:val="TableText0"/>
              <w:jc w:val="center"/>
            </w:pPr>
            <w:r w:rsidRPr="004F33C1">
              <w:t>-$</w:t>
            </w:r>
            <w:r w:rsidR="000C2A4B" w:rsidRPr="000C2A4B">
              <w:rPr>
                <w:rFonts w:hint="eastAsia"/>
                <w:color w:val="000000"/>
                <w:w w:val="28"/>
                <w:shd w:val="solid" w:color="000000" w:fill="000000"/>
                <w:fitText w:val="126" w:id="-632147705"/>
                <w14:textFill>
                  <w14:solidFill>
                    <w14:srgbClr w14:val="000000">
                      <w14:alpha w14:val="100000"/>
                    </w14:srgbClr>
                  </w14:solidFill>
                </w14:textFill>
              </w:rPr>
              <w:t xml:space="preserve">　</w:t>
            </w:r>
            <w:r w:rsidR="000C2A4B" w:rsidRPr="000C2A4B">
              <w:rPr>
                <w:color w:val="000000"/>
                <w:w w:val="28"/>
                <w:shd w:val="solid" w:color="000000" w:fill="000000"/>
                <w:fitText w:val="126" w:id="-632147705"/>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05"/>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7DF34BD6" w14:textId="35A7344F" w:rsidR="004A30FE" w:rsidRPr="00011958" w:rsidRDefault="004A30FE" w:rsidP="0049200A">
            <w:pPr>
              <w:pStyle w:val="TableText0"/>
              <w:jc w:val="center"/>
            </w:pPr>
            <w:r w:rsidRPr="004F33C1">
              <w:t>-$</w:t>
            </w:r>
            <w:r w:rsidR="000C2A4B" w:rsidRPr="000C2A4B">
              <w:rPr>
                <w:rFonts w:hint="eastAsia"/>
                <w:color w:val="000000"/>
                <w:w w:val="28"/>
                <w:shd w:val="solid" w:color="000000" w:fill="000000"/>
                <w:fitText w:val="126" w:id="-632147704"/>
                <w14:textFill>
                  <w14:solidFill>
                    <w14:srgbClr w14:val="000000">
                      <w14:alpha w14:val="100000"/>
                    </w14:srgbClr>
                  </w14:solidFill>
                </w14:textFill>
              </w:rPr>
              <w:t xml:space="preserve">　</w:t>
            </w:r>
            <w:r w:rsidR="000C2A4B" w:rsidRPr="000C2A4B">
              <w:rPr>
                <w:color w:val="000000"/>
                <w:w w:val="28"/>
                <w:shd w:val="solid" w:color="000000" w:fill="000000"/>
                <w:fitText w:val="126" w:id="-632147704"/>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04"/>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79B1506B" w14:textId="7ED01C8C" w:rsidR="004A30FE" w:rsidRPr="00011958" w:rsidRDefault="004A30FE" w:rsidP="0049200A">
            <w:pPr>
              <w:pStyle w:val="TableText0"/>
              <w:jc w:val="center"/>
            </w:pPr>
            <w:r w:rsidRPr="004F33C1">
              <w:t>-$</w:t>
            </w:r>
            <w:r w:rsidR="000C2A4B" w:rsidRPr="000C2A4B">
              <w:rPr>
                <w:rFonts w:hint="eastAsia"/>
                <w:color w:val="000000"/>
                <w:w w:val="28"/>
                <w:shd w:val="solid" w:color="000000" w:fill="000000"/>
                <w:fitText w:val="126" w:id="-632147703"/>
                <w14:textFill>
                  <w14:solidFill>
                    <w14:srgbClr w14:val="000000">
                      <w14:alpha w14:val="100000"/>
                    </w14:srgbClr>
                  </w14:solidFill>
                </w14:textFill>
              </w:rPr>
              <w:t xml:space="preserve">　</w:t>
            </w:r>
            <w:r w:rsidR="000C2A4B" w:rsidRPr="000C2A4B">
              <w:rPr>
                <w:color w:val="000000"/>
                <w:w w:val="28"/>
                <w:shd w:val="solid" w:color="000000" w:fill="000000"/>
                <w:fitText w:val="126" w:id="-632147703"/>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03"/>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2267067E" w14:textId="02BF2C7D" w:rsidR="004A30FE" w:rsidRPr="00011958" w:rsidRDefault="004A30FE" w:rsidP="0049200A">
            <w:pPr>
              <w:pStyle w:val="TableText0"/>
              <w:jc w:val="center"/>
            </w:pPr>
            <w:r w:rsidRPr="004F33C1">
              <w:t>-$</w:t>
            </w:r>
            <w:r w:rsidR="000C2A4B" w:rsidRPr="000C2A4B">
              <w:rPr>
                <w:rFonts w:hint="eastAsia"/>
                <w:color w:val="000000"/>
                <w:w w:val="28"/>
                <w:shd w:val="solid" w:color="000000" w:fill="000000"/>
                <w:fitText w:val="126" w:id="-632147702"/>
                <w14:textFill>
                  <w14:solidFill>
                    <w14:srgbClr w14:val="000000">
                      <w14:alpha w14:val="100000"/>
                    </w14:srgbClr>
                  </w14:solidFill>
                </w14:textFill>
              </w:rPr>
              <w:t xml:space="preserve">　</w:t>
            </w:r>
            <w:r w:rsidR="000C2A4B" w:rsidRPr="000C2A4B">
              <w:rPr>
                <w:color w:val="000000"/>
                <w:w w:val="28"/>
                <w:shd w:val="solid" w:color="000000" w:fill="000000"/>
                <w:fitText w:val="126" w:id="-632147702"/>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02"/>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6570DFB8" w14:textId="0A3BD982" w:rsidR="004A30FE" w:rsidRPr="00011958" w:rsidRDefault="004A30FE" w:rsidP="0049200A">
            <w:pPr>
              <w:pStyle w:val="TableText0"/>
              <w:jc w:val="center"/>
            </w:pPr>
            <w:r w:rsidRPr="004F33C1">
              <w:t>-$</w:t>
            </w:r>
            <w:r w:rsidR="000C2A4B" w:rsidRPr="000C2A4B">
              <w:rPr>
                <w:rFonts w:hint="eastAsia"/>
                <w:color w:val="000000"/>
                <w:w w:val="28"/>
                <w:shd w:val="solid" w:color="000000" w:fill="000000"/>
                <w:fitText w:val="126" w:id="-632147701"/>
                <w14:textFill>
                  <w14:solidFill>
                    <w14:srgbClr w14:val="000000">
                      <w14:alpha w14:val="100000"/>
                    </w14:srgbClr>
                  </w14:solidFill>
                </w14:textFill>
              </w:rPr>
              <w:t xml:space="preserve">　</w:t>
            </w:r>
            <w:r w:rsidR="000C2A4B" w:rsidRPr="000C2A4B">
              <w:rPr>
                <w:color w:val="000000"/>
                <w:w w:val="28"/>
                <w:shd w:val="solid" w:color="000000" w:fill="000000"/>
                <w:fitText w:val="126" w:id="-632147701"/>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01"/>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36438EC7" w14:textId="3F58B87D" w:rsidR="004A30FE" w:rsidRPr="00011958" w:rsidRDefault="004A30FE" w:rsidP="0049200A">
            <w:pPr>
              <w:pStyle w:val="TableText0"/>
              <w:jc w:val="center"/>
            </w:pPr>
            <w:r w:rsidRPr="004F33C1">
              <w:t>-$</w:t>
            </w:r>
            <w:r w:rsidR="000C2A4B" w:rsidRPr="000C2A4B">
              <w:rPr>
                <w:rFonts w:hint="eastAsia"/>
                <w:color w:val="000000"/>
                <w:w w:val="28"/>
                <w:shd w:val="solid" w:color="000000" w:fill="000000"/>
                <w:fitText w:val="126" w:id="-632147700"/>
                <w14:textFill>
                  <w14:solidFill>
                    <w14:srgbClr w14:val="000000">
                      <w14:alpha w14:val="100000"/>
                    </w14:srgbClr>
                  </w14:solidFill>
                </w14:textFill>
              </w:rPr>
              <w:t xml:space="preserve">　</w:t>
            </w:r>
            <w:r w:rsidR="000C2A4B" w:rsidRPr="000C2A4B">
              <w:rPr>
                <w:color w:val="000000"/>
                <w:w w:val="28"/>
                <w:shd w:val="solid" w:color="000000" w:fill="000000"/>
                <w:fitText w:val="126" w:id="-632147700"/>
                <w14:textFill>
                  <w14:solidFill>
                    <w14:srgbClr w14:val="000000">
                      <w14:alpha w14:val="100000"/>
                    </w14:srgbClr>
                  </w14:solidFill>
                </w14:textFill>
              </w:rPr>
              <w:t>|</w:t>
            </w:r>
            <w:r w:rsidR="000C2A4B" w:rsidRPr="000C2A4B">
              <w:rPr>
                <w:rFonts w:hint="eastAsia"/>
                <w:color w:val="000000"/>
                <w:w w:val="28"/>
                <w:shd w:val="solid" w:color="000000" w:fill="000000"/>
                <w:fitText w:val="126" w:id="-632147700"/>
                <w14:textFill>
                  <w14:solidFill>
                    <w14:srgbClr w14:val="000000">
                      <w14:alpha w14:val="100000"/>
                    </w14:srgbClr>
                  </w14:solidFill>
                </w14:textFill>
              </w:rPr>
              <w:t xml:space="preserve">　</w:t>
            </w:r>
            <w:r w:rsidR="00DC004B">
              <w:rPr>
                <w:color w:val="333333"/>
                <w:szCs w:val="20"/>
                <w:vertAlign w:val="superscript"/>
              </w:rPr>
              <w:t>3</w:t>
            </w:r>
          </w:p>
        </w:tc>
      </w:tr>
      <w:tr w:rsidR="004A30FE" w:rsidRPr="00FC22AB" w14:paraId="2EB2262B" w14:textId="77777777" w:rsidTr="00925A61">
        <w:tc>
          <w:tcPr>
            <w:tcW w:w="5000" w:type="pct"/>
            <w:gridSpan w:val="7"/>
          </w:tcPr>
          <w:p w14:paraId="3CF218E7" w14:textId="77777777" w:rsidR="004A30FE" w:rsidRPr="00FC22AB" w:rsidRDefault="004A30FE" w:rsidP="0049200A">
            <w:pPr>
              <w:pStyle w:val="In-tableHeading"/>
            </w:pPr>
            <w:r w:rsidRPr="00FC22AB">
              <w:t>Net financial implications</w:t>
            </w:r>
          </w:p>
        </w:tc>
      </w:tr>
      <w:tr w:rsidR="004A30FE" w:rsidRPr="003639A6" w14:paraId="0E68772F" w14:textId="77777777" w:rsidTr="00925A61">
        <w:tc>
          <w:tcPr>
            <w:tcW w:w="1334" w:type="pct"/>
          </w:tcPr>
          <w:p w14:paraId="036F07B5" w14:textId="77777777" w:rsidR="004A30FE" w:rsidRPr="007956AE" w:rsidRDefault="004A30FE" w:rsidP="0049200A">
            <w:pPr>
              <w:pStyle w:val="TableText0"/>
            </w:pPr>
            <w:r w:rsidRPr="007956AE">
              <w:t>Net cost to PBS/RPBS</w:t>
            </w:r>
          </w:p>
        </w:tc>
        <w:tc>
          <w:tcPr>
            <w:tcW w:w="611" w:type="pct"/>
            <w:tcBorders>
              <w:top w:val="single" w:sz="4" w:space="0" w:color="auto"/>
              <w:left w:val="single" w:sz="4" w:space="0" w:color="auto"/>
              <w:bottom w:val="single" w:sz="4" w:space="0" w:color="auto"/>
              <w:right w:val="single" w:sz="4" w:space="0" w:color="auto"/>
            </w:tcBorders>
          </w:tcPr>
          <w:p w14:paraId="55875430" w14:textId="428D1C95"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699"/>
                <w14:textFill>
                  <w14:solidFill>
                    <w14:srgbClr w14:val="000000">
                      <w14:alpha w14:val="100000"/>
                    </w14:srgbClr>
                  </w14:solidFill>
                </w14:textFill>
              </w:rPr>
              <w:t xml:space="preserve">　</w:t>
            </w:r>
            <w:r w:rsidR="000C2A4B" w:rsidRPr="000C2A4B">
              <w:rPr>
                <w:color w:val="000000"/>
                <w:w w:val="28"/>
                <w:shd w:val="solid" w:color="000000" w:fill="000000"/>
                <w:fitText w:val="126" w:id="-632147699"/>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699"/>
                <w14:textFill>
                  <w14:solidFill>
                    <w14:srgbClr w14:val="000000">
                      <w14:alpha w14:val="100000"/>
                    </w14:srgbClr>
                  </w14:solidFill>
                </w14:textFill>
              </w:rPr>
              <w:t xml:space="preserve">　</w:t>
            </w:r>
            <w:r w:rsidR="00A014B9" w:rsidRPr="00A014B9">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43B5A06F" w14:textId="245B675C"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698"/>
                <w14:textFill>
                  <w14:solidFill>
                    <w14:srgbClr w14:val="000000">
                      <w14:alpha w14:val="100000"/>
                    </w14:srgbClr>
                  </w14:solidFill>
                </w14:textFill>
              </w:rPr>
              <w:t xml:space="preserve">　</w:t>
            </w:r>
            <w:r w:rsidR="000C2A4B" w:rsidRPr="000C2A4B">
              <w:rPr>
                <w:color w:val="000000"/>
                <w:w w:val="28"/>
                <w:shd w:val="solid" w:color="000000" w:fill="000000"/>
                <w:fitText w:val="126" w:id="-632147698"/>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698"/>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29D8AADA" w14:textId="6D35B0DF"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697"/>
                <w14:textFill>
                  <w14:solidFill>
                    <w14:srgbClr w14:val="000000">
                      <w14:alpha w14:val="100000"/>
                    </w14:srgbClr>
                  </w14:solidFill>
                </w14:textFill>
              </w:rPr>
              <w:t xml:space="preserve">　</w:t>
            </w:r>
            <w:r w:rsidR="000C2A4B" w:rsidRPr="000C2A4B">
              <w:rPr>
                <w:color w:val="000000"/>
                <w:w w:val="28"/>
                <w:shd w:val="solid" w:color="000000" w:fill="000000"/>
                <w:fitText w:val="126" w:id="-632147697"/>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697"/>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781F2F94" w14:textId="0F64FC5B"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696"/>
                <w14:textFill>
                  <w14:solidFill>
                    <w14:srgbClr w14:val="000000">
                      <w14:alpha w14:val="100000"/>
                    </w14:srgbClr>
                  </w14:solidFill>
                </w14:textFill>
              </w:rPr>
              <w:t xml:space="preserve">　</w:t>
            </w:r>
            <w:r w:rsidR="000C2A4B" w:rsidRPr="000C2A4B">
              <w:rPr>
                <w:color w:val="000000"/>
                <w:w w:val="28"/>
                <w:shd w:val="solid" w:color="000000" w:fill="000000"/>
                <w:fitText w:val="126" w:id="-632147696"/>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696"/>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5F713E6B" w14:textId="56FDF828"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712"/>
                <w14:textFill>
                  <w14:solidFill>
                    <w14:srgbClr w14:val="000000">
                      <w14:alpha w14:val="100000"/>
                    </w14:srgbClr>
                  </w14:solidFill>
                </w14:textFill>
              </w:rPr>
              <w:t xml:space="preserve">　</w:t>
            </w:r>
            <w:r w:rsidR="000C2A4B" w:rsidRPr="000C2A4B">
              <w:rPr>
                <w:color w:val="000000"/>
                <w:w w:val="28"/>
                <w:shd w:val="solid" w:color="000000" w:fill="000000"/>
                <w:fitText w:val="126" w:id="-632147712"/>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12"/>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1674803E" w14:textId="70BB000E"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711"/>
                <w14:textFill>
                  <w14:solidFill>
                    <w14:srgbClr w14:val="000000">
                      <w14:alpha w14:val="100000"/>
                    </w14:srgbClr>
                  </w14:solidFill>
                </w14:textFill>
              </w:rPr>
              <w:t xml:space="preserve">　</w:t>
            </w:r>
            <w:r w:rsidR="000C2A4B" w:rsidRPr="000C2A4B">
              <w:rPr>
                <w:color w:val="000000"/>
                <w:w w:val="28"/>
                <w:shd w:val="solid" w:color="000000" w:fill="000000"/>
                <w:fitText w:val="126" w:id="-632147711"/>
                <w14:textFill>
                  <w14:solidFill>
                    <w14:srgbClr w14:val="000000">
                      <w14:alpha w14:val="100000"/>
                    </w14:srgbClr>
                  </w14:solidFill>
                </w14:textFill>
              </w:rPr>
              <w:t>|</w:t>
            </w:r>
            <w:r w:rsidR="000C2A4B" w:rsidRPr="000C2A4B">
              <w:rPr>
                <w:rFonts w:hint="eastAsia"/>
                <w:color w:val="000000"/>
                <w:w w:val="28"/>
                <w:shd w:val="solid" w:color="000000" w:fill="000000"/>
                <w:fitText w:val="126" w:id="-632147711"/>
                <w14:textFill>
                  <w14:solidFill>
                    <w14:srgbClr w14:val="000000">
                      <w14:alpha w14:val="100000"/>
                    </w14:srgbClr>
                  </w14:solidFill>
                </w14:textFill>
              </w:rPr>
              <w:t xml:space="preserve">　</w:t>
            </w:r>
            <w:r w:rsidR="00DC004B">
              <w:rPr>
                <w:color w:val="333333"/>
                <w:szCs w:val="20"/>
                <w:vertAlign w:val="superscript"/>
              </w:rPr>
              <w:t>3</w:t>
            </w:r>
          </w:p>
        </w:tc>
      </w:tr>
      <w:tr w:rsidR="004A30FE" w:rsidRPr="003639A6" w14:paraId="4D0C52D2" w14:textId="77777777" w:rsidTr="00925A61">
        <w:tc>
          <w:tcPr>
            <w:tcW w:w="1334" w:type="pct"/>
          </w:tcPr>
          <w:p w14:paraId="58B10370" w14:textId="77777777" w:rsidR="004A30FE" w:rsidRPr="007956AE" w:rsidRDefault="004A30FE" w:rsidP="0049200A">
            <w:pPr>
              <w:pStyle w:val="TableText0"/>
            </w:pPr>
            <w:r w:rsidRPr="007956AE">
              <w:t>Net cost to MBS</w:t>
            </w:r>
          </w:p>
        </w:tc>
        <w:tc>
          <w:tcPr>
            <w:tcW w:w="611" w:type="pct"/>
            <w:tcBorders>
              <w:bottom w:val="single" w:sz="4" w:space="0" w:color="auto"/>
            </w:tcBorders>
          </w:tcPr>
          <w:p w14:paraId="19DDD6D3" w14:textId="1980AC6E"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710"/>
                <w14:textFill>
                  <w14:solidFill>
                    <w14:srgbClr w14:val="000000">
                      <w14:alpha w14:val="100000"/>
                    </w14:srgbClr>
                  </w14:solidFill>
                </w14:textFill>
              </w:rPr>
              <w:t xml:space="preserve">　</w:t>
            </w:r>
            <w:r w:rsidR="000C2A4B" w:rsidRPr="000C2A4B">
              <w:rPr>
                <w:color w:val="000000"/>
                <w:w w:val="28"/>
                <w:shd w:val="solid" w:color="000000" w:fill="000000"/>
                <w:fitText w:val="126" w:id="-632147710"/>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10"/>
                <w14:textFill>
                  <w14:solidFill>
                    <w14:srgbClr w14:val="000000">
                      <w14:alpha w14:val="100000"/>
                    </w14:srgbClr>
                  </w14:solidFill>
                </w14:textFill>
              </w:rPr>
              <w:t xml:space="preserve">　</w:t>
            </w:r>
            <w:r w:rsidR="00A014B9" w:rsidRPr="00A014B9">
              <w:rPr>
                <w:color w:val="333333"/>
                <w:szCs w:val="20"/>
                <w:vertAlign w:val="superscript"/>
              </w:rPr>
              <w:t>3</w:t>
            </w:r>
          </w:p>
        </w:tc>
        <w:tc>
          <w:tcPr>
            <w:tcW w:w="611" w:type="pct"/>
            <w:tcBorders>
              <w:bottom w:val="single" w:sz="4" w:space="0" w:color="auto"/>
            </w:tcBorders>
          </w:tcPr>
          <w:p w14:paraId="6E872F25" w14:textId="4B632C29"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709"/>
                <w14:textFill>
                  <w14:solidFill>
                    <w14:srgbClr w14:val="000000">
                      <w14:alpha w14:val="100000"/>
                    </w14:srgbClr>
                  </w14:solidFill>
                </w14:textFill>
              </w:rPr>
              <w:t xml:space="preserve">　</w:t>
            </w:r>
            <w:r w:rsidR="000C2A4B" w:rsidRPr="000C2A4B">
              <w:rPr>
                <w:color w:val="000000"/>
                <w:w w:val="28"/>
                <w:shd w:val="solid" w:color="000000" w:fill="000000"/>
                <w:fitText w:val="126" w:id="-632147709"/>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09"/>
                <w14:textFill>
                  <w14:solidFill>
                    <w14:srgbClr w14:val="000000">
                      <w14:alpha w14:val="100000"/>
                    </w14:srgbClr>
                  </w14:solidFill>
                </w14:textFill>
              </w:rPr>
              <w:t xml:space="preserve">　</w:t>
            </w:r>
            <w:r w:rsidR="00500816" w:rsidRPr="00A014B9">
              <w:rPr>
                <w:color w:val="333333"/>
                <w:szCs w:val="20"/>
                <w:vertAlign w:val="superscript"/>
              </w:rPr>
              <w:t>3</w:t>
            </w:r>
          </w:p>
        </w:tc>
        <w:tc>
          <w:tcPr>
            <w:tcW w:w="611" w:type="pct"/>
            <w:tcBorders>
              <w:bottom w:val="single" w:sz="4" w:space="0" w:color="auto"/>
            </w:tcBorders>
          </w:tcPr>
          <w:p w14:paraId="53289E1E" w14:textId="447550FC"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708"/>
                <w14:textFill>
                  <w14:solidFill>
                    <w14:srgbClr w14:val="000000">
                      <w14:alpha w14:val="100000"/>
                    </w14:srgbClr>
                  </w14:solidFill>
                </w14:textFill>
              </w:rPr>
              <w:t xml:space="preserve">　</w:t>
            </w:r>
            <w:r w:rsidR="000C2A4B" w:rsidRPr="000C2A4B">
              <w:rPr>
                <w:color w:val="000000"/>
                <w:w w:val="28"/>
                <w:shd w:val="solid" w:color="000000" w:fill="000000"/>
                <w:fitText w:val="126" w:id="-632147708"/>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08"/>
                <w14:textFill>
                  <w14:solidFill>
                    <w14:srgbClr w14:val="000000">
                      <w14:alpha w14:val="100000"/>
                    </w14:srgbClr>
                  </w14:solidFill>
                </w14:textFill>
              </w:rPr>
              <w:t xml:space="preserve">　</w:t>
            </w:r>
            <w:r w:rsidR="00500816" w:rsidRPr="00A014B9">
              <w:rPr>
                <w:color w:val="333333"/>
                <w:szCs w:val="20"/>
                <w:vertAlign w:val="superscript"/>
              </w:rPr>
              <w:t>3</w:t>
            </w:r>
          </w:p>
        </w:tc>
        <w:tc>
          <w:tcPr>
            <w:tcW w:w="611" w:type="pct"/>
            <w:tcBorders>
              <w:bottom w:val="single" w:sz="4" w:space="0" w:color="auto"/>
            </w:tcBorders>
          </w:tcPr>
          <w:p w14:paraId="5846D284" w14:textId="08214738"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707"/>
                <w14:textFill>
                  <w14:solidFill>
                    <w14:srgbClr w14:val="000000">
                      <w14:alpha w14:val="100000"/>
                    </w14:srgbClr>
                  </w14:solidFill>
                </w14:textFill>
              </w:rPr>
              <w:t xml:space="preserve">　</w:t>
            </w:r>
            <w:r w:rsidR="000C2A4B" w:rsidRPr="000C2A4B">
              <w:rPr>
                <w:color w:val="000000"/>
                <w:w w:val="28"/>
                <w:shd w:val="solid" w:color="000000" w:fill="000000"/>
                <w:fitText w:val="126" w:id="-632147707"/>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07"/>
                <w14:textFill>
                  <w14:solidFill>
                    <w14:srgbClr w14:val="000000">
                      <w14:alpha w14:val="100000"/>
                    </w14:srgbClr>
                  </w14:solidFill>
                </w14:textFill>
              </w:rPr>
              <w:t xml:space="preserve">　</w:t>
            </w:r>
            <w:r w:rsidR="00500816" w:rsidRPr="00A014B9">
              <w:rPr>
                <w:color w:val="333333"/>
                <w:szCs w:val="20"/>
                <w:vertAlign w:val="superscript"/>
              </w:rPr>
              <w:t>3</w:t>
            </w:r>
          </w:p>
        </w:tc>
        <w:tc>
          <w:tcPr>
            <w:tcW w:w="611" w:type="pct"/>
            <w:tcBorders>
              <w:bottom w:val="single" w:sz="4" w:space="0" w:color="auto"/>
            </w:tcBorders>
          </w:tcPr>
          <w:p w14:paraId="30070831" w14:textId="1CD3AFB0"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706"/>
                <w14:textFill>
                  <w14:solidFill>
                    <w14:srgbClr w14:val="000000">
                      <w14:alpha w14:val="100000"/>
                    </w14:srgbClr>
                  </w14:solidFill>
                </w14:textFill>
              </w:rPr>
              <w:t xml:space="preserve">　</w:t>
            </w:r>
            <w:r w:rsidR="000C2A4B" w:rsidRPr="000C2A4B">
              <w:rPr>
                <w:color w:val="000000"/>
                <w:w w:val="28"/>
                <w:shd w:val="solid" w:color="000000" w:fill="000000"/>
                <w:fitText w:val="126" w:id="-632147706"/>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06"/>
                <w14:textFill>
                  <w14:solidFill>
                    <w14:srgbClr w14:val="000000">
                      <w14:alpha w14:val="100000"/>
                    </w14:srgbClr>
                  </w14:solidFill>
                </w14:textFill>
              </w:rPr>
              <w:t xml:space="preserve">　</w:t>
            </w:r>
            <w:r w:rsidR="00500816" w:rsidRPr="00A014B9">
              <w:rPr>
                <w:color w:val="333333"/>
                <w:szCs w:val="20"/>
                <w:vertAlign w:val="superscript"/>
              </w:rPr>
              <w:t>3</w:t>
            </w:r>
          </w:p>
        </w:tc>
        <w:tc>
          <w:tcPr>
            <w:tcW w:w="611" w:type="pct"/>
            <w:tcBorders>
              <w:bottom w:val="single" w:sz="4" w:space="0" w:color="auto"/>
            </w:tcBorders>
          </w:tcPr>
          <w:p w14:paraId="18D20B68" w14:textId="3CFE7B00"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705"/>
                <w14:textFill>
                  <w14:solidFill>
                    <w14:srgbClr w14:val="000000">
                      <w14:alpha w14:val="100000"/>
                    </w14:srgbClr>
                  </w14:solidFill>
                </w14:textFill>
              </w:rPr>
              <w:t xml:space="preserve">　</w:t>
            </w:r>
            <w:r w:rsidR="000C2A4B" w:rsidRPr="000C2A4B">
              <w:rPr>
                <w:color w:val="000000"/>
                <w:w w:val="28"/>
                <w:shd w:val="solid" w:color="000000" w:fill="000000"/>
                <w:fitText w:val="126" w:id="-632147705"/>
                <w14:textFill>
                  <w14:solidFill>
                    <w14:srgbClr w14:val="000000">
                      <w14:alpha w14:val="100000"/>
                    </w14:srgbClr>
                  </w14:solidFill>
                </w14:textFill>
              </w:rPr>
              <w:t>|</w:t>
            </w:r>
            <w:r w:rsidR="000C2A4B" w:rsidRPr="000C2A4B">
              <w:rPr>
                <w:rFonts w:hint="eastAsia"/>
                <w:color w:val="000000"/>
                <w:w w:val="28"/>
                <w:shd w:val="solid" w:color="000000" w:fill="000000"/>
                <w:fitText w:val="126" w:id="-632147705"/>
                <w14:textFill>
                  <w14:solidFill>
                    <w14:srgbClr w14:val="000000">
                      <w14:alpha w14:val="100000"/>
                    </w14:srgbClr>
                  </w14:solidFill>
                </w14:textFill>
              </w:rPr>
              <w:t xml:space="preserve">　</w:t>
            </w:r>
            <w:r w:rsidR="00500816" w:rsidRPr="00A014B9">
              <w:rPr>
                <w:color w:val="333333"/>
                <w:szCs w:val="20"/>
                <w:vertAlign w:val="superscript"/>
              </w:rPr>
              <w:t>3</w:t>
            </w:r>
          </w:p>
        </w:tc>
      </w:tr>
      <w:tr w:rsidR="004A30FE" w:rsidRPr="007956AE" w14:paraId="46EB6721" w14:textId="77777777" w:rsidTr="00925A61">
        <w:tc>
          <w:tcPr>
            <w:tcW w:w="1334" w:type="pct"/>
          </w:tcPr>
          <w:p w14:paraId="6CD22B69" w14:textId="77777777" w:rsidR="004A30FE" w:rsidRPr="007956AE" w:rsidRDefault="004A30FE" w:rsidP="0049200A">
            <w:pPr>
              <w:pStyle w:val="TableText0"/>
            </w:pPr>
            <w:r w:rsidRPr="007956AE">
              <w:t>Net cost to the Australian Government</w:t>
            </w:r>
          </w:p>
        </w:tc>
        <w:tc>
          <w:tcPr>
            <w:tcW w:w="611" w:type="pct"/>
            <w:tcBorders>
              <w:top w:val="single" w:sz="4" w:space="0" w:color="auto"/>
              <w:left w:val="single" w:sz="4" w:space="0" w:color="auto"/>
              <w:bottom w:val="single" w:sz="4" w:space="0" w:color="auto"/>
              <w:right w:val="single" w:sz="4" w:space="0" w:color="auto"/>
            </w:tcBorders>
          </w:tcPr>
          <w:p w14:paraId="55D85547" w14:textId="391B1022"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704"/>
                <w14:textFill>
                  <w14:solidFill>
                    <w14:srgbClr w14:val="000000">
                      <w14:alpha w14:val="100000"/>
                    </w14:srgbClr>
                  </w14:solidFill>
                </w14:textFill>
              </w:rPr>
              <w:t xml:space="preserve">　</w:t>
            </w:r>
            <w:r w:rsidR="000C2A4B" w:rsidRPr="000C2A4B">
              <w:rPr>
                <w:color w:val="000000"/>
                <w:w w:val="28"/>
                <w:shd w:val="solid" w:color="000000" w:fill="000000"/>
                <w:fitText w:val="126" w:id="-632147704"/>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04"/>
                <w14:textFill>
                  <w14:solidFill>
                    <w14:srgbClr w14:val="000000">
                      <w14:alpha w14:val="100000"/>
                    </w14:srgbClr>
                  </w14:solidFill>
                </w14:textFill>
              </w:rPr>
              <w:t xml:space="preserve">　</w:t>
            </w:r>
            <w:r w:rsidR="00A014B9" w:rsidRPr="00A014B9">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674C61A1" w14:textId="464549CF"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703"/>
                <w14:textFill>
                  <w14:solidFill>
                    <w14:srgbClr w14:val="000000">
                      <w14:alpha w14:val="100000"/>
                    </w14:srgbClr>
                  </w14:solidFill>
                </w14:textFill>
              </w:rPr>
              <w:t xml:space="preserve">　</w:t>
            </w:r>
            <w:r w:rsidR="000C2A4B" w:rsidRPr="000C2A4B">
              <w:rPr>
                <w:color w:val="000000"/>
                <w:w w:val="28"/>
                <w:shd w:val="solid" w:color="000000" w:fill="000000"/>
                <w:fitText w:val="126" w:id="-632147703"/>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03"/>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784A3959" w14:textId="75670A84"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702"/>
                <w14:textFill>
                  <w14:solidFill>
                    <w14:srgbClr w14:val="000000">
                      <w14:alpha w14:val="100000"/>
                    </w14:srgbClr>
                  </w14:solidFill>
                </w14:textFill>
              </w:rPr>
              <w:t xml:space="preserve">　</w:t>
            </w:r>
            <w:r w:rsidR="000C2A4B" w:rsidRPr="000C2A4B">
              <w:rPr>
                <w:color w:val="000000"/>
                <w:w w:val="28"/>
                <w:shd w:val="solid" w:color="000000" w:fill="000000"/>
                <w:fitText w:val="126" w:id="-632147702"/>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02"/>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5286FFB2" w14:textId="136880FF"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701"/>
                <w14:textFill>
                  <w14:solidFill>
                    <w14:srgbClr w14:val="000000">
                      <w14:alpha w14:val="100000"/>
                    </w14:srgbClr>
                  </w14:solidFill>
                </w14:textFill>
              </w:rPr>
              <w:t xml:space="preserve">　</w:t>
            </w:r>
            <w:r w:rsidR="000C2A4B" w:rsidRPr="000C2A4B">
              <w:rPr>
                <w:color w:val="000000"/>
                <w:w w:val="28"/>
                <w:shd w:val="solid" w:color="000000" w:fill="000000"/>
                <w:fitText w:val="126" w:id="-632147701"/>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01"/>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200C2CF4" w14:textId="1AB9DE06"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700"/>
                <w14:textFill>
                  <w14:solidFill>
                    <w14:srgbClr w14:val="000000">
                      <w14:alpha w14:val="100000"/>
                    </w14:srgbClr>
                  </w14:solidFill>
                </w14:textFill>
              </w:rPr>
              <w:t xml:space="preserve">　</w:t>
            </w:r>
            <w:r w:rsidR="000C2A4B" w:rsidRPr="000C2A4B">
              <w:rPr>
                <w:color w:val="000000"/>
                <w:w w:val="28"/>
                <w:shd w:val="solid" w:color="000000" w:fill="000000"/>
                <w:fitText w:val="126" w:id="-632147700"/>
                <w14:textFill>
                  <w14:solidFill>
                    <w14:srgbClr w14:val="000000">
                      <w14:alpha w14:val="100000"/>
                    </w14:srgbClr>
                  </w14:solidFill>
                </w14:textFill>
              </w:rPr>
              <w:t>|</w:t>
            </w:r>
            <w:r w:rsidR="000C2A4B" w:rsidRPr="000C2A4B">
              <w:rPr>
                <w:rFonts w:hint="eastAsia"/>
                <w:color w:val="000000"/>
                <w:spacing w:val="4"/>
                <w:w w:val="28"/>
                <w:shd w:val="solid" w:color="000000" w:fill="000000"/>
                <w:fitText w:val="126" w:id="-632147700"/>
                <w14:textFill>
                  <w14:solidFill>
                    <w14:srgbClr w14:val="000000">
                      <w14:alpha w14:val="100000"/>
                    </w14:srgbClr>
                  </w14:solidFill>
                </w14:textFill>
              </w:rPr>
              <w:t xml:space="preserve">　</w:t>
            </w:r>
            <w:r w:rsidR="00DC004B">
              <w:rPr>
                <w:color w:val="333333"/>
                <w:szCs w:val="20"/>
                <w:vertAlign w:val="superscript"/>
              </w:rPr>
              <w:t>3</w:t>
            </w:r>
          </w:p>
        </w:tc>
        <w:tc>
          <w:tcPr>
            <w:tcW w:w="611" w:type="pct"/>
            <w:tcBorders>
              <w:top w:val="single" w:sz="4" w:space="0" w:color="auto"/>
              <w:left w:val="single" w:sz="4" w:space="0" w:color="auto"/>
              <w:bottom w:val="single" w:sz="4" w:space="0" w:color="auto"/>
              <w:right w:val="single" w:sz="4" w:space="0" w:color="auto"/>
            </w:tcBorders>
          </w:tcPr>
          <w:p w14:paraId="0E254597" w14:textId="49919C8D" w:rsidR="004A30FE" w:rsidRPr="007956AE" w:rsidRDefault="004A30FE" w:rsidP="0049200A">
            <w:pPr>
              <w:pStyle w:val="TableText0"/>
              <w:jc w:val="center"/>
            </w:pPr>
            <w:r w:rsidRPr="007956AE">
              <w:t>-$</w:t>
            </w:r>
            <w:r w:rsidR="000C2A4B" w:rsidRPr="000C2A4B">
              <w:rPr>
                <w:rFonts w:hint="eastAsia"/>
                <w:color w:val="000000"/>
                <w:w w:val="28"/>
                <w:shd w:val="solid" w:color="000000" w:fill="000000"/>
                <w:fitText w:val="126" w:id="-632147699"/>
                <w14:textFill>
                  <w14:solidFill>
                    <w14:srgbClr w14:val="000000">
                      <w14:alpha w14:val="100000"/>
                    </w14:srgbClr>
                  </w14:solidFill>
                </w14:textFill>
              </w:rPr>
              <w:t xml:space="preserve">　</w:t>
            </w:r>
            <w:r w:rsidR="000C2A4B" w:rsidRPr="000C2A4B">
              <w:rPr>
                <w:color w:val="000000"/>
                <w:w w:val="28"/>
                <w:shd w:val="solid" w:color="000000" w:fill="000000"/>
                <w:fitText w:val="126" w:id="-632147699"/>
                <w14:textFill>
                  <w14:solidFill>
                    <w14:srgbClr w14:val="000000">
                      <w14:alpha w14:val="100000"/>
                    </w14:srgbClr>
                  </w14:solidFill>
                </w14:textFill>
              </w:rPr>
              <w:t>|</w:t>
            </w:r>
            <w:r w:rsidR="000C2A4B" w:rsidRPr="000C2A4B">
              <w:rPr>
                <w:rFonts w:hint="eastAsia"/>
                <w:color w:val="000000"/>
                <w:w w:val="28"/>
                <w:shd w:val="solid" w:color="000000" w:fill="000000"/>
                <w:fitText w:val="126" w:id="-632147699"/>
                <w14:textFill>
                  <w14:solidFill>
                    <w14:srgbClr w14:val="000000">
                      <w14:alpha w14:val="100000"/>
                    </w14:srgbClr>
                  </w14:solidFill>
                </w14:textFill>
              </w:rPr>
              <w:t xml:space="preserve">　</w:t>
            </w:r>
            <w:r w:rsidR="00DC004B">
              <w:rPr>
                <w:color w:val="333333"/>
                <w:szCs w:val="20"/>
                <w:vertAlign w:val="superscript"/>
              </w:rPr>
              <w:t>3</w:t>
            </w:r>
          </w:p>
        </w:tc>
      </w:tr>
    </w:tbl>
    <w:p w14:paraId="4FE03C72" w14:textId="77777777" w:rsidR="004A30FE" w:rsidRDefault="004A30FE" w:rsidP="0049200A">
      <w:pPr>
        <w:pStyle w:val="FooterTableFigure"/>
      </w:pPr>
      <w:r>
        <w:t xml:space="preserve">Source: </w:t>
      </w:r>
      <w:r w:rsidRPr="004265FE">
        <w:t>Table</w:t>
      </w:r>
      <w:r>
        <w:t xml:space="preserve">s </w:t>
      </w:r>
      <w:r w:rsidRPr="004265FE">
        <w:t>4.3.3,</w:t>
      </w:r>
      <w:r>
        <w:t xml:space="preserve"> p85;</w:t>
      </w:r>
      <w:r w:rsidRPr="004265FE">
        <w:t xml:space="preserve"> 4.3.5,</w:t>
      </w:r>
      <w:r>
        <w:t xml:space="preserve"> p86; 4.4.1-4.4.2, p87;</w:t>
      </w:r>
      <w:r w:rsidRPr="004265FE">
        <w:t xml:space="preserve"> </w:t>
      </w:r>
      <w:r>
        <w:t>4.5.1, p88; 52, p89; 60</w:t>
      </w:r>
      <w:r w:rsidRPr="004265FE">
        <w:t xml:space="preserve"> p8</w:t>
      </w:r>
      <w:r>
        <w:t>9</w:t>
      </w:r>
      <w:r w:rsidRPr="004265FE">
        <w:t xml:space="preserve"> of the submission</w:t>
      </w:r>
      <w:r>
        <w:t>.</w:t>
      </w:r>
    </w:p>
    <w:p w14:paraId="687BCAFC" w14:textId="77777777" w:rsidR="004A30FE" w:rsidRDefault="004A30FE" w:rsidP="0049200A">
      <w:pPr>
        <w:pStyle w:val="FooterTableFigure"/>
        <w:spacing w:after="0"/>
      </w:pPr>
      <w:r>
        <w:t>MBS = Medicare Benefits Schedule; PBS = Pharmaceutical Benefits Scheme; RPBS = Repatriation Pharmaceutical Benefits Scheme.</w:t>
      </w:r>
    </w:p>
    <w:p w14:paraId="35CC5CEA" w14:textId="1BC39A4A" w:rsidR="00934F41" w:rsidRDefault="00934F41" w:rsidP="0049200A">
      <w:pPr>
        <w:spacing w:after="0"/>
        <w:rPr>
          <w:rFonts w:ascii="Arial Narrow" w:hAnsi="Arial Narrow"/>
          <w:snapToGrid w:val="0"/>
          <w:sz w:val="18"/>
          <w:szCs w:val="22"/>
        </w:rPr>
      </w:pPr>
      <w:r w:rsidRPr="00934F41">
        <w:rPr>
          <w:vertAlign w:val="superscript"/>
        </w:rPr>
        <w:t>a</w:t>
      </w:r>
      <w:r>
        <w:t xml:space="preserve"> </w:t>
      </w:r>
      <w:r w:rsidRPr="00934F41">
        <w:rPr>
          <w:rFonts w:ascii="Arial Narrow" w:hAnsi="Arial Narrow"/>
          <w:snapToGrid w:val="0"/>
          <w:sz w:val="18"/>
          <w:szCs w:val="22"/>
        </w:rPr>
        <w:t>The minor discrepancy in the total</w:t>
      </w:r>
      <w:r w:rsidR="00A03F0E">
        <w:rPr>
          <w:rFonts w:ascii="Arial Narrow" w:hAnsi="Arial Narrow"/>
          <w:snapToGrid w:val="0"/>
          <w:sz w:val="18"/>
          <w:szCs w:val="22"/>
        </w:rPr>
        <w:t xml:space="preserve"> resulted</w:t>
      </w:r>
      <w:r w:rsidRPr="00934F41">
        <w:rPr>
          <w:rFonts w:ascii="Arial Narrow" w:hAnsi="Arial Narrow"/>
          <w:snapToGrid w:val="0"/>
          <w:sz w:val="18"/>
          <w:szCs w:val="22"/>
        </w:rPr>
        <w:t xml:space="preserve"> from rounding adjustments.</w:t>
      </w:r>
    </w:p>
    <w:p w14:paraId="2074C242" w14:textId="23639B16" w:rsidR="003118BA" w:rsidRPr="003118BA" w:rsidRDefault="003118BA" w:rsidP="0049200A">
      <w:pPr>
        <w:spacing w:after="0"/>
        <w:rPr>
          <w:rFonts w:ascii="Arial Narrow" w:hAnsi="Arial Narrow"/>
          <w:i/>
          <w:snapToGrid w:val="0"/>
          <w:sz w:val="18"/>
          <w:szCs w:val="22"/>
        </w:rPr>
      </w:pPr>
      <w:r w:rsidRPr="003118BA">
        <w:rPr>
          <w:rFonts w:ascii="Arial Narrow" w:hAnsi="Arial Narrow"/>
          <w:i/>
          <w:snapToGrid w:val="0"/>
          <w:sz w:val="18"/>
          <w:szCs w:val="22"/>
        </w:rPr>
        <w:t xml:space="preserve">The redacted values correspond to the following ranges: </w:t>
      </w:r>
    </w:p>
    <w:p w14:paraId="33D75D35" w14:textId="1A05511D" w:rsidR="00122098" w:rsidRPr="00440ECD" w:rsidRDefault="008C3E96" w:rsidP="0049200A">
      <w:pPr>
        <w:spacing w:after="0"/>
        <w:ind w:right="147"/>
        <w:rPr>
          <w:rFonts w:ascii="Arial Narrow" w:hAnsi="Arial Narrow"/>
          <w:i/>
          <w:iCs/>
          <w:color w:val="333333"/>
          <w:sz w:val="18"/>
          <w:szCs w:val="18"/>
        </w:rPr>
      </w:pPr>
      <w:r w:rsidRPr="00440ECD">
        <w:rPr>
          <w:rFonts w:ascii="Arial Narrow" w:hAnsi="Arial Narrow"/>
          <w:i/>
          <w:iCs/>
          <w:color w:val="333333"/>
          <w:sz w:val="18"/>
          <w:szCs w:val="18"/>
          <w:vertAlign w:val="superscript"/>
        </w:rPr>
        <w:t xml:space="preserve">1 </w:t>
      </w:r>
      <w:r w:rsidR="00122098" w:rsidRPr="00440ECD">
        <w:rPr>
          <w:rFonts w:ascii="Arial Narrow" w:hAnsi="Arial Narrow"/>
          <w:i/>
          <w:iCs/>
          <w:color w:val="333333"/>
          <w:sz w:val="18"/>
          <w:szCs w:val="18"/>
        </w:rPr>
        <w:t>&lt; 500</w:t>
      </w:r>
    </w:p>
    <w:p w14:paraId="681F9750" w14:textId="54B3B69E" w:rsidR="00122098" w:rsidRPr="00440ECD" w:rsidRDefault="00392F87" w:rsidP="0049200A">
      <w:pPr>
        <w:spacing w:after="0"/>
        <w:ind w:right="147"/>
        <w:rPr>
          <w:rFonts w:ascii="Arial Narrow" w:hAnsi="Arial Narrow"/>
          <w:i/>
          <w:iCs/>
          <w:color w:val="333333"/>
          <w:sz w:val="18"/>
          <w:szCs w:val="18"/>
        </w:rPr>
      </w:pPr>
      <w:r w:rsidRPr="00440ECD">
        <w:rPr>
          <w:rFonts w:ascii="Arial Narrow" w:hAnsi="Arial Narrow"/>
          <w:i/>
          <w:iCs/>
          <w:color w:val="333333"/>
          <w:sz w:val="18"/>
          <w:szCs w:val="18"/>
          <w:vertAlign w:val="superscript"/>
        </w:rPr>
        <w:t xml:space="preserve">2 </w:t>
      </w:r>
      <w:r w:rsidR="00122098" w:rsidRPr="00440ECD">
        <w:rPr>
          <w:rFonts w:ascii="Arial Narrow" w:hAnsi="Arial Narrow"/>
          <w:i/>
          <w:iCs/>
          <w:color w:val="333333"/>
          <w:sz w:val="18"/>
          <w:szCs w:val="18"/>
        </w:rPr>
        <w:t>500 to &lt; 5,000</w:t>
      </w:r>
    </w:p>
    <w:p w14:paraId="64130B24" w14:textId="77777777" w:rsidR="008A0BC4" w:rsidRDefault="00A014B9" w:rsidP="0049200A">
      <w:pPr>
        <w:spacing w:after="0"/>
        <w:ind w:right="147"/>
        <w:rPr>
          <w:rFonts w:ascii="Arial Narrow" w:hAnsi="Arial Narrow"/>
          <w:i/>
          <w:iCs/>
          <w:color w:val="333333"/>
          <w:sz w:val="18"/>
          <w:szCs w:val="18"/>
        </w:rPr>
      </w:pPr>
      <w:r w:rsidRPr="00440ECD">
        <w:rPr>
          <w:rFonts w:ascii="Arial Narrow" w:hAnsi="Arial Narrow"/>
          <w:i/>
          <w:iCs/>
          <w:color w:val="333333"/>
          <w:sz w:val="18"/>
          <w:szCs w:val="18"/>
          <w:vertAlign w:val="superscript"/>
        </w:rPr>
        <w:t xml:space="preserve">3 </w:t>
      </w:r>
      <w:r w:rsidR="00447C89" w:rsidRPr="00447C89">
        <w:rPr>
          <w:rFonts w:ascii="Arial Narrow" w:hAnsi="Arial Narrow"/>
          <w:i/>
          <w:iCs/>
          <w:color w:val="333333"/>
          <w:sz w:val="18"/>
          <w:szCs w:val="18"/>
        </w:rPr>
        <w:t>$0 to &lt; $10 million</w:t>
      </w:r>
    </w:p>
    <w:p w14:paraId="474ABC04" w14:textId="77777777" w:rsidR="008A0BC4" w:rsidRDefault="008A0BC4" w:rsidP="0049200A">
      <w:pPr>
        <w:spacing w:after="0"/>
        <w:ind w:right="147"/>
        <w:rPr>
          <w:rFonts w:ascii="Arial Narrow" w:hAnsi="Arial Narrow"/>
          <w:i/>
          <w:iCs/>
          <w:color w:val="333333"/>
          <w:sz w:val="18"/>
          <w:szCs w:val="18"/>
        </w:rPr>
      </w:pPr>
    </w:p>
    <w:p w14:paraId="70272320" w14:textId="32105F9F" w:rsidR="004A30FE" w:rsidRPr="00353858" w:rsidRDefault="004A30FE" w:rsidP="0049200A">
      <w:pPr>
        <w:pStyle w:val="3-BodyText"/>
        <w:numPr>
          <w:ilvl w:val="1"/>
          <w:numId w:val="1"/>
        </w:numPr>
        <w:spacing w:before="0" w:after="120"/>
      </w:pPr>
      <w:r w:rsidRPr="00E6749F">
        <w:t xml:space="preserve">The net financial impact of listing </w:t>
      </w:r>
      <w:r>
        <w:t>Xeomin</w:t>
      </w:r>
      <w:r w:rsidRPr="00E6749F">
        <w:t xml:space="preserve"> for spasticity </w:t>
      </w:r>
      <w:r w:rsidR="00567BCE">
        <w:t>to</w:t>
      </w:r>
      <w:r w:rsidR="00567BCE" w:rsidRPr="00E6749F">
        <w:t xml:space="preserve"> </w:t>
      </w:r>
      <w:r w:rsidRPr="00E6749F">
        <w:t xml:space="preserve">the Australian Government was estimated to be </w:t>
      </w:r>
      <w:r w:rsidR="005B5E92">
        <w:t xml:space="preserve">a net save of </w:t>
      </w:r>
      <w:r w:rsidR="005B5E92" w:rsidRPr="00E6749F">
        <w:t>$</w:t>
      </w:r>
      <w:r w:rsidR="00447C89" w:rsidRPr="00447C89">
        <w:t>0 to &lt; $10 million</w:t>
      </w:r>
      <w:r w:rsidR="00447C89">
        <w:t xml:space="preserve"> </w:t>
      </w:r>
      <w:r w:rsidRPr="00E6749F">
        <w:t xml:space="preserve">in 2025 (Year 1), increasing to </w:t>
      </w:r>
      <w:r w:rsidR="005B5E92">
        <w:t xml:space="preserve">a net save of </w:t>
      </w:r>
      <w:r w:rsidR="005B5E92" w:rsidRPr="00E6749F">
        <w:t>$</w:t>
      </w:r>
      <w:r w:rsidR="00447C89" w:rsidRPr="00447C89">
        <w:t>0 to &lt; $10 million</w:t>
      </w:r>
      <w:r w:rsidR="00447C89">
        <w:t xml:space="preserve"> </w:t>
      </w:r>
      <w:r w:rsidRPr="00E6749F">
        <w:t>by 2030 (Year 6).</w:t>
      </w:r>
      <w:r>
        <w:t xml:space="preserve"> </w:t>
      </w:r>
      <w:r w:rsidRPr="004265FE">
        <w:t xml:space="preserve">The estimated total savings were </w:t>
      </w:r>
      <w:r w:rsidRPr="00150FC9">
        <w:t>$</w:t>
      </w:r>
      <w:r w:rsidR="00447C89" w:rsidRPr="00447C89">
        <w:t>0 to &lt; $10 million</w:t>
      </w:r>
      <w:r>
        <w:t xml:space="preserve"> </w:t>
      </w:r>
      <w:r w:rsidRPr="004265FE">
        <w:t>over 6 years</w:t>
      </w:r>
      <w:r w:rsidRPr="00650E28">
        <w:t xml:space="preserve">. </w:t>
      </w:r>
      <w:bookmarkStart w:id="79" w:name="_Hlk194322117"/>
      <w:r w:rsidRPr="008A0BC4">
        <w:t>The savings resulted from a slight reduction in the number of scripts processed for Xeomin compared to Dysport, given the equi-effectiveness of 1:2.5.</w:t>
      </w:r>
      <w:bookmarkEnd w:id="79"/>
    </w:p>
    <w:p w14:paraId="287B6CF3" w14:textId="04ABA4D3" w:rsidR="004A30FE" w:rsidRPr="002632F1" w:rsidRDefault="004A30FE" w:rsidP="0049200A">
      <w:pPr>
        <w:pStyle w:val="3-BodyText"/>
        <w:numPr>
          <w:ilvl w:val="1"/>
          <w:numId w:val="1"/>
        </w:numPr>
        <w:spacing w:before="0" w:after="120"/>
        <w:rPr>
          <w:iCs/>
        </w:rPr>
      </w:pPr>
      <w:r w:rsidRPr="000105C5">
        <w:t xml:space="preserve">The submission identified the </w:t>
      </w:r>
      <w:r>
        <w:t>uptake rate as a potential source</w:t>
      </w:r>
      <w:r w:rsidRPr="000105C5">
        <w:t xml:space="preserve"> of uncertainty</w:t>
      </w:r>
      <w:r w:rsidR="005D629D">
        <w:t xml:space="preserve"> (see </w:t>
      </w:r>
      <w:bookmarkStart w:id="80" w:name="_Hlk201144635"/>
      <w:r w:rsidR="00974561">
        <w:fldChar w:fldCharType="begin"/>
      </w:r>
      <w:r w:rsidR="00974561">
        <w:instrText xml:space="preserve"> REF _Ref198638584 \h </w:instrText>
      </w:r>
      <w:r w:rsidR="00974561">
        <w:fldChar w:fldCharType="separate"/>
      </w:r>
      <w:r w:rsidR="00AD57D3">
        <w:t xml:space="preserve">Table </w:t>
      </w:r>
      <w:r w:rsidR="00AD57D3">
        <w:rPr>
          <w:noProof/>
        </w:rPr>
        <w:t>13</w:t>
      </w:r>
      <w:r w:rsidR="00974561">
        <w:fldChar w:fldCharType="end"/>
      </w:r>
      <w:bookmarkEnd w:id="80"/>
      <w:r w:rsidR="005D629D">
        <w:t>)</w:t>
      </w:r>
      <w:r w:rsidRPr="000105C5">
        <w:t>.</w:t>
      </w:r>
      <w:r>
        <w:t xml:space="preserve"> </w:t>
      </w:r>
      <w:r w:rsidRPr="002632F1">
        <w:rPr>
          <w:iCs/>
        </w:rPr>
        <w:t>During the evaluation, the following further sensitivity analyses were undertaken:</w:t>
      </w:r>
    </w:p>
    <w:p w14:paraId="220F7687" w14:textId="6447BD83" w:rsidR="004A30FE" w:rsidRPr="002632F1" w:rsidRDefault="00886FD4" w:rsidP="0049200A">
      <w:pPr>
        <w:pStyle w:val="ListParagraph"/>
        <w:rPr>
          <w:iCs/>
        </w:rPr>
      </w:pPr>
      <w:r w:rsidRPr="002632F1">
        <w:rPr>
          <w:iCs/>
        </w:rPr>
        <w:t>Increase in u</w:t>
      </w:r>
      <w:r w:rsidR="004A30FE" w:rsidRPr="002632F1">
        <w:rPr>
          <w:iCs/>
        </w:rPr>
        <w:t xml:space="preserve">ptake rates </w:t>
      </w:r>
      <w:r w:rsidRPr="002632F1">
        <w:rPr>
          <w:iCs/>
        </w:rPr>
        <w:t xml:space="preserve">by </w:t>
      </w:r>
      <w:r w:rsidR="000C2A4B" w:rsidRPr="00AD57D3">
        <w:rPr>
          <w:iCs/>
          <w:color w:val="000000"/>
          <w:w w:val="15"/>
          <w:shd w:val="solid" w:color="000000" w:fill="000000"/>
          <w:fitText w:val="-20" w:id="-632147698"/>
          <w14:textFill>
            <w14:solidFill>
              <w14:srgbClr w14:val="000000">
                <w14:alpha w14:val="100000"/>
              </w14:srgbClr>
            </w14:solidFill>
          </w14:textFill>
        </w:rPr>
        <w:t>|</w:t>
      </w:r>
      <w:r w:rsidR="00BE223C" w:rsidRPr="00AD57D3">
        <w:rPr>
          <w:iCs/>
          <w:color w:val="000000"/>
          <w:w w:val="15"/>
          <w:shd w:val="solid" w:color="000000" w:fill="000000"/>
          <w:fitText w:val="-20" w:id="-632147698"/>
          <w14:textFill>
            <w14:solidFill>
              <w14:srgbClr w14:val="000000">
                <w14:alpha w14:val="100000"/>
              </w14:srgbClr>
            </w14:solidFill>
          </w14:textFill>
        </w:rPr>
        <w:t xml:space="preserve"> </w:t>
      </w:r>
      <w:r w:rsidR="000C2A4B" w:rsidRPr="00AD57D3">
        <w:rPr>
          <w:iCs/>
          <w:color w:val="000000"/>
          <w:spacing w:val="-61"/>
          <w:w w:val="15"/>
          <w:shd w:val="solid" w:color="000000" w:fill="000000"/>
          <w:fitText w:val="-20" w:id="-632147698"/>
          <w14:textFill>
            <w14:solidFill>
              <w14:srgbClr w14:val="000000">
                <w14:alpha w14:val="100000"/>
              </w14:srgbClr>
            </w14:solidFill>
          </w14:textFill>
        </w:rPr>
        <w:t>|</w:t>
      </w:r>
      <w:r w:rsidRPr="002632F1">
        <w:rPr>
          <w:iCs/>
        </w:rPr>
        <w:t>%</w:t>
      </w:r>
      <w:r w:rsidR="009A062F" w:rsidRPr="002632F1">
        <w:rPr>
          <w:iCs/>
        </w:rPr>
        <w:t xml:space="preserve"> from </w:t>
      </w:r>
      <w:r w:rsidR="000E4A8E" w:rsidRPr="002632F1">
        <w:rPr>
          <w:iCs/>
        </w:rPr>
        <w:t xml:space="preserve">the </w:t>
      </w:r>
      <w:r w:rsidR="009A062F" w:rsidRPr="002632F1">
        <w:rPr>
          <w:iCs/>
        </w:rPr>
        <w:t>base case</w:t>
      </w:r>
      <w:r w:rsidR="004A30FE" w:rsidRPr="002632F1">
        <w:rPr>
          <w:iCs/>
        </w:rPr>
        <w:t>.</w:t>
      </w:r>
    </w:p>
    <w:p w14:paraId="4642E120" w14:textId="01D3F5ED" w:rsidR="004A30FE" w:rsidRPr="002632F1" w:rsidRDefault="004A30FE" w:rsidP="0049200A">
      <w:pPr>
        <w:pStyle w:val="ListParagraph"/>
        <w:rPr>
          <w:iCs/>
        </w:rPr>
      </w:pPr>
      <w:r w:rsidRPr="002632F1">
        <w:rPr>
          <w:iCs/>
        </w:rPr>
        <w:lastRenderedPageBreak/>
        <w:t xml:space="preserve">A constant increase of </w:t>
      </w:r>
      <w:r w:rsidR="000C2A4B" w:rsidRPr="00AD57D3">
        <w:rPr>
          <w:iCs/>
          <w:color w:val="000000"/>
          <w:w w:val="15"/>
          <w:shd w:val="solid" w:color="000000" w:fill="000000"/>
          <w:fitText w:val="-20" w:id="-632147697"/>
          <w14:textFill>
            <w14:solidFill>
              <w14:srgbClr w14:val="000000">
                <w14:alpha w14:val="100000"/>
              </w14:srgbClr>
            </w14:solidFill>
          </w14:textFill>
        </w:rPr>
        <w:t>|</w:t>
      </w:r>
      <w:r w:rsidR="00BE223C" w:rsidRPr="00AD57D3">
        <w:rPr>
          <w:iCs/>
          <w:color w:val="000000"/>
          <w:w w:val="15"/>
          <w:shd w:val="solid" w:color="000000" w:fill="000000"/>
          <w:fitText w:val="-20" w:id="-632147697"/>
          <w14:textFill>
            <w14:solidFill>
              <w14:srgbClr w14:val="000000">
                <w14:alpha w14:val="100000"/>
              </w14:srgbClr>
            </w14:solidFill>
          </w14:textFill>
        </w:rPr>
        <w:t xml:space="preserve"> </w:t>
      </w:r>
      <w:r w:rsidR="000C2A4B" w:rsidRPr="00AD57D3">
        <w:rPr>
          <w:iCs/>
          <w:color w:val="000000"/>
          <w:spacing w:val="-61"/>
          <w:w w:val="15"/>
          <w:shd w:val="solid" w:color="000000" w:fill="000000"/>
          <w:fitText w:val="-20" w:id="-632147697"/>
          <w14:textFill>
            <w14:solidFill>
              <w14:srgbClr w14:val="000000">
                <w14:alpha w14:val="100000"/>
              </w14:srgbClr>
            </w14:solidFill>
          </w14:textFill>
        </w:rPr>
        <w:t>|</w:t>
      </w:r>
      <w:r w:rsidRPr="002632F1">
        <w:rPr>
          <w:iCs/>
        </w:rPr>
        <w:t>% in scripts per year (i.e. botulinum market growth rate based on the 2023-2024 period).</w:t>
      </w:r>
    </w:p>
    <w:p w14:paraId="11199EB8" w14:textId="3222303C" w:rsidR="00A63BF6" w:rsidRDefault="00A63BF6" w:rsidP="0049200A">
      <w:pPr>
        <w:pStyle w:val="TableFigureHeading"/>
      </w:pPr>
      <w:bookmarkStart w:id="81" w:name="_Ref198638584"/>
      <w:r>
        <w:t xml:space="preserve">Table </w:t>
      </w:r>
      <w:r>
        <w:fldChar w:fldCharType="begin"/>
      </w:r>
      <w:r>
        <w:instrText xml:space="preserve"> SEQ Table \* ARABIC </w:instrText>
      </w:r>
      <w:r>
        <w:fldChar w:fldCharType="separate"/>
      </w:r>
      <w:r w:rsidR="00AD57D3">
        <w:rPr>
          <w:noProof/>
        </w:rPr>
        <w:t>13</w:t>
      </w:r>
      <w:r>
        <w:fldChar w:fldCharType="end"/>
      </w:r>
      <w:bookmarkEnd w:id="81"/>
      <w:r>
        <w:t xml:space="preserve">: </w:t>
      </w:r>
      <w:r w:rsidRPr="007261DF">
        <w:t>Results of one-way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Results of one-way sensitivity analyses"/>
      </w:tblPr>
      <w:tblGrid>
        <w:gridCol w:w="2169"/>
        <w:gridCol w:w="1042"/>
        <w:gridCol w:w="1634"/>
        <w:gridCol w:w="1042"/>
        <w:gridCol w:w="1042"/>
        <w:gridCol w:w="1042"/>
        <w:gridCol w:w="1046"/>
      </w:tblGrid>
      <w:tr w:rsidR="004A30FE" w:rsidRPr="000926B0" w14:paraId="1D5B22A3" w14:textId="77777777" w:rsidTr="00A63BF6">
        <w:trPr>
          <w:tblHeader/>
        </w:trPr>
        <w:tc>
          <w:tcPr>
            <w:tcW w:w="1202" w:type="pct"/>
            <w:vAlign w:val="center"/>
          </w:tcPr>
          <w:p w14:paraId="470E24D4" w14:textId="77777777" w:rsidR="004A30FE" w:rsidRPr="000926B0" w:rsidRDefault="004A30FE" w:rsidP="0049200A">
            <w:pPr>
              <w:pStyle w:val="In-tableHeading"/>
            </w:pPr>
          </w:p>
        </w:tc>
        <w:tc>
          <w:tcPr>
            <w:tcW w:w="578" w:type="pct"/>
            <w:vAlign w:val="center"/>
          </w:tcPr>
          <w:p w14:paraId="04A7B748" w14:textId="77777777" w:rsidR="004A30FE" w:rsidRPr="000926B0" w:rsidRDefault="004A30FE" w:rsidP="0049200A">
            <w:pPr>
              <w:pStyle w:val="TableText0"/>
              <w:jc w:val="center"/>
              <w:rPr>
                <w:b/>
                <w:bCs w:val="0"/>
              </w:rPr>
            </w:pPr>
            <w:r w:rsidRPr="000926B0">
              <w:rPr>
                <w:b/>
                <w:bCs w:val="0"/>
              </w:rPr>
              <w:t>Year 1</w:t>
            </w:r>
          </w:p>
        </w:tc>
        <w:tc>
          <w:tcPr>
            <w:tcW w:w="906" w:type="pct"/>
            <w:vAlign w:val="center"/>
          </w:tcPr>
          <w:p w14:paraId="312EE59A" w14:textId="77777777" w:rsidR="004A30FE" w:rsidRPr="000926B0" w:rsidRDefault="004A30FE" w:rsidP="0049200A">
            <w:pPr>
              <w:pStyle w:val="TableText0"/>
              <w:jc w:val="center"/>
              <w:rPr>
                <w:b/>
                <w:bCs w:val="0"/>
              </w:rPr>
            </w:pPr>
            <w:r w:rsidRPr="000926B0">
              <w:rPr>
                <w:b/>
                <w:bCs w:val="0"/>
              </w:rPr>
              <w:t>Year 2</w:t>
            </w:r>
          </w:p>
        </w:tc>
        <w:tc>
          <w:tcPr>
            <w:tcW w:w="578" w:type="pct"/>
            <w:vAlign w:val="center"/>
          </w:tcPr>
          <w:p w14:paraId="6F2B115F" w14:textId="77777777" w:rsidR="004A30FE" w:rsidRPr="000926B0" w:rsidRDefault="004A30FE" w:rsidP="0049200A">
            <w:pPr>
              <w:pStyle w:val="TableText0"/>
              <w:jc w:val="center"/>
              <w:rPr>
                <w:b/>
                <w:bCs w:val="0"/>
              </w:rPr>
            </w:pPr>
            <w:r w:rsidRPr="000926B0">
              <w:rPr>
                <w:b/>
                <w:bCs w:val="0"/>
              </w:rPr>
              <w:t>Year 3</w:t>
            </w:r>
          </w:p>
        </w:tc>
        <w:tc>
          <w:tcPr>
            <w:tcW w:w="578" w:type="pct"/>
            <w:vAlign w:val="center"/>
          </w:tcPr>
          <w:p w14:paraId="62464DD7" w14:textId="77777777" w:rsidR="004A30FE" w:rsidRPr="000926B0" w:rsidRDefault="004A30FE" w:rsidP="0049200A">
            <w:pPr>
              <w:pStyle w:val="TableText0"/>
              <w:jc w:val="center"/>
              <w:rPr>
                <w:b/>
                <w:bCs w:val="0"/>
              </w:rPr>
            </w:pPr>
            <w:r w:rsidRPr="000926B0">
              <w:rPr>
                <w:b/>
                <w:bCs w:val="0"/>
              </w:rPr>
              <w:t>Year 4</w:t>
            </w:r>
          </w:p>
        </w:tc>
        <w:tc>
          <w:tcPr>
            <w:tcW w:w="578" w:type="pct"/>
            <w:vAlign w:val="center"/>
          </w:tcPr>
          <w:p w14:paraId="3E251356" w14:textId="77777777" w:rsidR="004A30FE" w:rsidRPr="000926B0" w:rsidRDefault="004A30FE" w:rsidP="0049200A">
            <w:pPr>
              <w:pStyle w:val="TableText0"/>
              <w:jc w:val="center"/>
              <w:rPr>
                <w:b/>
                <w:bCs w:val="0"/>
              </w:rPr>
            </w:pPr>
            <w:r w:rsidRPr="000926B0">
              <w:rPr>
                <w:b/>
                <w:bCs w:val="0"/>
              </w:rPr>
              <w:t>Year 5</w:t>
            </w:r>
          </w:p>
        </w:tc>
        <w:tc>
          <w:tcPr>
            <w:tcW w:w="581" w:type="pct"/>
            <w:vAlign w:val="center"/>
          </w:tcPr>
          <w:p w14:paraId="2F63A91A" w14:textId="77777777" w:rsidR="004A30FE" w:rsidRPr="000926B0" w:rsidRDefault="004A30FE" w:rsidP="0049200A">
            <w:pPr>
              <w:pStyle w:val="TableText0"/>
              <w:jc w:val="center"/>
              <w:rPr>
                <w:b/>
                <w:bCs w:val="0"/>
              </w:rPr>
            </w:pPr>
            <w:r w:rsidRPr="000926B0">
              <w:rPr>
                <w:b/>
                <w:bCs w:val="0"/>
              </w:rPr>
              <w:t>Year 6</w:t>
            </w:r>
          </w:p>
        </w:tc>
      </w:tr>
      <w:tr w:rsidR="004A30FE" w:rsidRPr="000926B0" w14:paraId="3197D599" w14:textId="77777777" w:rsidTr="00925A61">
        <w:tc>
          <w:tcPr>
            <w:tcW w:w="5000" w:type="pct"/>
            <w:gridSpan w:val="7"/>
            <w:vAlign w:val="center"/>
          </w:tcPr>
          <w:p w14:paraId="4C4C9909" w14:textId="77777777" w:rsidR="004A30FE" w:rsidRPr="000926B0" w:rsidRDefault="004A30FE" w:rsidP="0049200A">
            <w:pPr>
              <w:pStyle w:val="TableText0"/>
              <w:rPr>
                <w:b/>
                <w:bCs w:val="0"/>
              </w:rPr>
            </w:pPr>
            <w:r w:rsidRPr="000926B0">
              <w:rPr>
                <w:b/>
                <w:bCs w:val="0"/>
              </w:rPr>
              <w:t xml:space="preserve">Base case </w:t>
            </w:r>
          </w:p>
        </w:tc>
      </w:tr>
      <w:tr w:rsidR="004A30FE" w:rsidRPr="000926B0" w14:paraId="49B121D8" w14:textId="77777777" w:rsidTr="00A63BF6">
        <w:tc>
          <w:tcPr>
            <w:tcW w:w="1202" w:type="pct"/>
          </w:tcPr>
          <w:p w14:paraId="28EA1491" w14:textId="22A877DD" w:rsidR="004A30FE" w:rsidRPr="000926B0" w:rsidRDefault="004A30FE" w:rsidP="0049200A">
            <w:pPr>
              <w:pStyle w:val="TableText0"/>
            </w:pPr>
            <w:r w:rsidRPr="000926B0">
              <w:rPr>
                <w:lang w:eastAsia="en-US"/>
              </w:rPr>
              <w:t xml:space="preserve">Net cost to Government </w:t>
            </w:r>
          </w:p>
        </w:tc>
        <w:tc>
          <w:tcPr>
            <w:tcW w:w="578" w:type="pct"/>
            <w:tcBorders>
              <w:top w:val="single" w:sz="4" w:space="0" w:color="auto"/>
              <w:left w:val="single" w:sz="4" w:space="0" w:color="auto"/>
              <w:bottom w:val="single" w:sz="4" w:space="0" w:color="auto"/>
              <w:right w:val="single" w:sz="4" w:space="0" w:color="auto"/>
            </w:tcBorders>
          </w:tcPr>
          <w:p w14:paraId="3723CB2E" w14:textId="20B64F63" w:rsidR="004A30FE" w:rsidRPr="0083779E" w:rsidRDefault="004A30FE" w:rsidP="0049200A">
            <w:pPr>
              <w:pStyle w:val="TableText0"/>
              <w:jc w:val="center"/>
              <w:rPr>
                <w:b/>
                <w:bCs w:val="0"/>
              </w:rPr>
            </w:pPr>
            <w:r w:rsidRPr="0083779E">
              <w:rPr>
                <w:b/>
                <w:bCs w:val="0"/>
              </w:rPr>
              <w:t>-$</w:t>
            </w:r>
            <w:r w:rsidR="000C2A4B" w:rsidRPr="000C2A4B">
              <w:rPr>
                <w:b/>
                <w:bCs w:val="0"/>
                <w:color w:val="000000"/>
                <w:spacing w:val="106"/>
                <w:shd w:val="solid" w:color="000000" w:fill="000000"/>
                <w:fitText w:val="198" w:id="-632147696"/>
                <w14:textFill>
                  <w14:solidFill>
                    <w14:srgbClr w14:val="000000">
                      <w14:alpha w14:val="100000"/>
                    </w14:srgbClr>
                  </w14:solidFill>
                </w14:textFill>
              </w:rPr>
              <w:t>|</w:t>
            </w:r>
            <w:r w:rsidR="000C2A4B" w:rsidRPr="000C2A4B">
              <w:rPr>
                <w:b/>
                <w:bCs w:val="0"/>
                <w:color w:val="000000"/>
                <w:spacing w:val="1"/>
                <w:shd w:val="solid" w:color="000000" w:fill="000000"/>
                <w:fitText w:val="198" w:id="-632147696"/>
                <w14:textFill>
                  <w14:solidFill>
                    <w14:srgbClr w14:val="000000">
                      <w14:alpha w14:val="100000"/>
                    </w14:srgbClr>
                  </w14:solidFill>
                </w14:textFill>
              </w:rPr>
              <w:t>|</w:t>
            </w:r>
            <w:r w:rsidR="00B3772B" w:rsidRPr="00B3772B">
              <w:rPr>
                <w:color w:val="333333"/>
                <w:szCs w:val="20"/>
                <w:vertAlign w:val="superscript"/>
              </w:rPr>
              <w:t>1</w:t>
            </w:r>
          </w:p>
        </w:tc>
        <w:tc>
          <w:tcPr>
            <w:tcW w:w="906" w:type="pct"/>
            <w:tcBorders>
              <w:top w:val="single" w:sz="4" w:space="0" w:color="auto"/>
              <w:left w:val="single" w:sz="4" w:space="0" w:color="auto"/>
              <w:bottom w:val="single" w:sz="4" w:space="0" w:color="auto"/>
              <w:right w:val="single" w:sz="4" w:space="0" w:color="auto"/>
            </w:tcBorders>
          </w:tcPr>
          <w:p w14:paraId="733668A4" w14:textId="550E0DB9" w:rsidR="004A30FE" w:rsidRPr="0083779E" w:rsidRDefault="004A30FE" w:rsidP="0049200A">
            <w:pPr>
              <w:pStyle w:val="TableText0"/>
              <w:jc w:val="center"/>
              <w:rPr>
                <w:b/>
                <w:bCs w:val="0"/>
              </w:rPr>
            </w:pPr>
            <w:r w:rsidRPr="0083779E">
              <w:rPr>
                <w:b/>
                <w:bCs w:val="0"/>
              </w:rPr>
              <w:t>-$</w:t>
            </w:r>
            <w:r w:rsidR="000C2A4B" w:rsidRPr="000C2A4B">
              <w:rPr>
                <w:b/>
                <w:bCs w:val="0"/>
                <w:color w:val="000000"/>
                <w:shd w:val="solid" w:color="000000" w:fill="000000"/>
                <w14:textFill>
                  <w14:solidFill>
                    <w14:srgbClr w14:val="000000">
                      <w14:alpha w14:val="100000"/>
                    </w14:srgbClr>
                  </w14:solidFill>
                </w14:textFill>
              </w:rPr>
              <w:t>|</w:t>
            </w:r>
            <w:r w:rsidR="00FF4C9A">
              <w:rPr>
                <w:color w:val="333333"/>
                <w:szCs w:val="20"/>
                <w:vertAlign w:val="superscript"/>
              </w:rPr>
              <w:t>1</w:t>
            </w:r>
          </w:p>
        </w:tc>
        <w:tc>
          <w:tcPr>
            <w:tcW w:w="578" w:type="pct"/>
            <w:tcBorders>
              <w:top w:val="single" w:sz="4" w:space="0" w:color="auto"/>
              <w:left w:val="single" w:sz="4" w:space="0" w:color="auto"/>
              <w:bottom w:val="single" w:sz="4" w:space="0" w:color="auto"/>
              <w:right w:val="single" w:sz="4" w:space="0" w:color="auto"/>
            </w:tcBorders>
          </w:tcPr>
          <w:p w14:paraId="09595FFB" w14:textId="02A1B6ED" w:rsidR="004A30FE" w:rsidRPr="0083779E" w:rsidRDefault="004A30FE" w:rsidP="0049200A">
            <w:pPr>
              <w:pStyle w:val="TableText0"/>
              <w:jc w:val="center"/>
              <w:rPr>
                <w:b/>
                <w:bCs w:val="0"/>
              </w:rPr>
            </w:pPr>
            <w:r w:rsidRPr="0083779E">
              <w:rPr>
                <w:b/>
                <w:bCs w:val="0"/>
              </w:rPr>
              <w:t>-$</w:t>
            </w:r>
            <w:r w:rsidR="000C2A4B" w:rsidRPr="000C2A4B">
              <w:rPr>
                <w:b/>
                <w:bCs w:val="0"/>
                <w:color w:val="000000"/>
                <w:spacing w:val="106"/>
                <w:shd w:val="solid" w:color="000000" w:fill="000000"/>
                <w:fitText w:val="198" w:id="-632147712"/>
                <w14:textFill>
                  <w14:solidFill>
                    <w14:srgbClr w14:val="000000">
                      <w14:alpha w14:val="100000"/>
                    </w14:srgbClr>
                  </w14:solidFill>
                </w14:textFill>
              </w:rPr>
              <w:t>|</w:t>
            </w:r>
            <w:r w:rsidR="000C2A4B" w:rsidRPr="000C2A4B">
              <w:rPr>
                <w:b/>
                <w:bCs w:val="0"/>
                <w:color w:val="000000"/>
                <w:spacing w:val="1"/>
                <w:shd w:val="solid" w:color="000000" w:fill="000000"/>
                <w:fitText w:val="198" w:id="-632147712"/>
                <w14:textFill>
                  <w14:solidFill>
                    <w14:srgbClr w14:val="000000">
                      <w14:alpha w14:val="100000"/>
                    </w14:srgbClr>
                  </w14:solidFill>
                </w14:textFill>
              </w:rPr>
              <w:t>|</w:t>
            </w:r>
            <w:r w:rsidR="00FF4C9A">
              <w:rPr>
                <w:color w:val="333333"/>
                <w:szCs w:val="20"/>
                <w:vertAlign w:val="superscript"/>
              </w:rPr>
              <w:t>1</w:t>
            </w:r>
          </w:p>
        </w:tc>
        <w:tc>
          <w:tcPr>
            <w:tcW w:w="578" w:type="pct"/>
            <w:tcBorders>
              <w:top w:val="single" w:sz="4" w:space="0" w:color="auto"/>
              <w:left w:val="single" w:sz="4" w:space="0" w:color="auto"/>
              <w:bottom w:val="single" w:sz="4" w:space="0" w:color="auto"/>
              <w:right w:val="single" w:sz="4" w:space="0" w:color="auto"/>
            </w:tcBorders>
          </w:tcPr>
          <w:p w14:paraId="44C3D229" w14:textId="38643E53" w:rsidR="004A30FE" w:rsidRPr="0083779E" w:rsidRDefault="004A30FE" w:rsidP="0049200A">
            <w:pPr>
              <w:pStyle w:val="TableText0"/>
              <w:jc w:val="center"/>
              <w:rPr>
                <w:b/>
                <w:bCs w:val="0"/>
              </w:rPr>
            </w:pPr>
            <w:r w:rsidRPr="0083779E">
              <w:rPr>
                <w:b/>
                <w:bCs w:val="0"/>
              </w:rPr>
              <w:t>-$</w:t>
            </w:r>
            <w:r w:rsidR="000C2A4B" w:rsidRPr="000C2A4B">
              <w:rPr>
                <w:b/>
                <w:bCs w:val="0"/>
                <w:color w:val="000000"/>
                <w:spacing w:val="106"/>
                <w:shd w:val="solid" w:color="000000" w:fill="000000"/>
                <w:fitText w:val="198" w:id="-632147711"/>
                <w14:textFill>
                  <w14:solidFill>
                    <w14:srgbClr w14:val="000000">
                      <w14:alpha w14:val="100000"/>
                    </w14:srgbClr>
                  </w14:solidFill>
                </w14:textFill>
              </w:rPr>
              <w:t>|</w:t>
            </w:r>
            <w:r w:rsidR="000C2A4B" w:rsidRPr="000C2A4B">
              <w:rPr>
                <w:b/>
                <w:bCs w:val="0"/>
                <w:color w:val="000000"/>
                <w:spacing w:val="1"/>
                <w:shd w:val="solid" w:color="000000" w:fill="000000"/>
                <w:fitText w:val="198" w:id="-632147711"/>
                <w14:textFill>
                  <w14:solidFill>
                    <w14:srgbClr w14:val="000000">
                      <w14:alpha w14:val="100000"/>
                    </w14:srgbClr>
                  </w14:solidFill>
                </w14:textFill>
              </w:rPr>
              <w:t>|</w:t>
            </w:r>
            <w:r w:rsidR="00FF4C9A">
              <w:rPr>
                <w:color w:val="333333"/>
                <w:szCs w:val="20"/>
                <w:vertAlign w:val="superscript"/>
              </w:rPr>
              <w:t>1</w:t>
            </w:r>
          </w:p>
        </w:tc>
        <w:tc>
          <w:tcPr>
            <w:tcW w:w="578" w:type="pct"/>
            <w:tcBorders>
              <w:top w:val="single" w:sz="4" w:space="0" w:color="auto"/>
              <w:left w:val="single" w:sz="4" w:space="0" w:color="auto"/>
              <w:bottom w:val="single" w:sz="4" w:space="0" w:color="auto"/>
              <w:right w:val="single" w:sz="4" w:space="0" w:color="auto"/>
            </w:tcBorders>
          </w:tcPr>
          <w:p w14:paraId="27624EA8" w14:textId="4FA97DC1" w:rsidR="004A30FE" w:rsidRPr="0083779E" w:rsidRDefault="004A30FE" w:rsidP="0049200A">
            <w:pPr>
              <w:pStyle w:val="TableText0"/>
              <w:jc w:val="center"/>
              <w:rPr>
                <w:b/>
                <w:bCs w:val="0"/>
              </w:rPr>
            </w:pPr>
            <w:r w:rsidRPr="0083779E">
              <w:rPr>
                <w:b/>
                <w:bCs w:val="0"/>
              </w:rPr>
              <w:t>-$</w:t>
            </w:r>
            <w:r w:rsidR="000C2A4B" w:rsidRPr="000C2A4B">
              <w:rPr>
                <w:b/>
                <w:bCs w:val="0"/>
                <w:color w:val="000000"/>
                <w:spacing w:val="106"/>
                <w:shd w:val="solid" w:color="000000" w:fill="000000"/>
                <w:fitText w:val="198" w:id="-632147710"/>
                <w14:textFill>
                  <w14:solidFill>
                    <w14:srgbClr w14:val="000000">
                      <w14:alpha w14:val="100000"/>
                    </w14:srgbClr>
                  </w14:solidFill>
                </w14:textFill>
              </w:rPr>
              <w:t>|</w:t>
            </w:r>
            <w:r w:rsidR="000C2A4B" w:rsidRPr="000C2A4B">
              <w:rPr>
                <w:b/>
                <w:bCs w:val="0"/>
                <w:color w:val="000000"/>
                <w:spacing w:val="1"/>
                <w:shd w:val="solid" w:color="000000" w:fill="000000"/>
                <w:fitText w:val="198" w:id="-632147710"/>
                <w14:textFill>
                  <w14:solidFill>
                    <w14:srgbClr w14:val="000000">
                      <w14:alpha w14:val="100000"/>
                    </w14:srgbClr>
                  </w14:solidFill>
                </w14:textFill>
              </w:rPr>
              <w:t>|</w:t>
            </w:r>
            <w:r w:rsidR="00FF4C9A">
              <w:rPr>
                <w:color w:val="333333"/>
                <w:szCs w:val="20"/>
                <w:vertAlign w:val="superscript"/>
              </w:rPr>
              <w:t>1</w:t>
            </w:r>
          </w:p>
        </w:tc>
        <w:tc>
          <w:tcPr>
            <w:tcW w:w="581" w:type="pct"/>
            <w:tcBorders>
              <w:top w:val="single" w:sz="4" w:space="0" w:color="auto"/>
              <w:left w:val="single" w:sz="4" w:space="0" w:color="auto"/>
              <w:bottom w:val="single" w:sz="4" w:space="0" w:color="auto"/>
              <w:right w:val="single" w:sz="4" w:space="0" w:color="auto"/>
            </w:tcBorders>
          </w:tcPr>
          <w:p w14:paraId="01703BC2" w14:textId="2178852E" w:rsidR="004A30FE" w:rsidRPr="0083779E" w:rsidRDefault="004A30FE" w:rsidP="0049200A">
            <w:pPr>
              <w:pStyle w:val="TableText0"/>
              <w:jc w:val="center"/>
              <w:rPr>
                <w:b/>
                <w:bCs w:val="0"/>
              </w:rPr>
            </w:pPr>
            <w:r w:rsidRPr="0083779E">
              <w:rPr>
                <w:b/>
                <w:bCs w:val="0"/>
              </w:rPr>
              <w:t>-$</w:t>
            </w:r>
            <w:r w:rsidR="000C2A4B" w:rsidRPr="000C2A4B">
              <w:rPr>
                <w:b/>
                <w:bCs w:val="0"/>
                <w:color w:val="000000"/>
                <w:spacing w:val="106"/>
                <w:shd w:val="solid" w:color="000000" w:fill="000000"/>
                <w:fitText w:val="198" w:id="-632147709"/>
                <w14:textFill>
                  <w14:solidFill>
                    <w14:srgbClr w14:val="000000">
                      <w14:alpha w14:val="100000"/>
                    </w14:srgbClr>
                  </w14:solidFill>
                </w14:textFill>
              </w:rPr>
              <w:t>|</w:t>
            </w:r>
            <w:r w:rsidR="000C2A4B" w:rsidRPr="000C2A4B">
              <w:rPr>
                <w:b/>
                <w:bCs w:val="0"/>
                <w:color w:val="000000"/>
                <w:spacing w:val="1"/>
                <w:shd w:val="solid" w:color="000000" w:fill="000000"/>
                <w:fitText w:val="198" w:id="-632147709"/>
                <w14:textFill>
                  <w14:solidFill>
                    <w14:srgbClr w14:val="000000">
                      <w14:alpha w14:val="100000"/>
                    </w14:srgbClr>
                  </w14:solidFill>
                </w14:textFill>
              </w:rPr>
              <w:t>|</w:t>
            </w:r>
            <w:r w:rsidR="00FF4C9A">
              <w:rPr>
                <w:color w:val="333333"/>
                <w:szCs w:val="20"/>
                <w:vertAlign w:val="superscript"/>
              </w:rPr>
              <w:t>1</w:t>
            </w:r>
          </w:p>
        </w:tc>
      </w:tr>
      <w:tr w:rsidR="004A30FE" w:rsidRPr="000926B0" w14:paraId="73F7D5CB" w14:textId="77777777" w:rsidTr="00925A61">
        <w:tc>
          <w:tcPr>
            <w:tcW w:w="5000" w:type="pct"/>
            <w:gridSpan w:val="7"/>
            <w:vAlign w:val="center"/>
          </w:tcPr>
          <w:p w14:paraId="2B6C474B" w14:textId="3BCFD5EB" w:rsidR="004A30FE" w:rsidRPr="000926B0" w:rsidRDefault="004A30FE" w:rsidP="0049200A">
            <w:pPr>
              <w:pStyle w:val="TableText0"/>
              <w:rPr>
                <w:b/>
                <w:bCs w:val="0"/>
              </w:rPr>
            </w:pPr>
            <w:r>
              <w:rPr>
                <w:b/>
                <w:bCs w:val="0"/>
              </w:rPr>
              <w:t>Higher uptake rate</w:t>
            </w:r>
            <w:r w:rsidRPr="000926B0">
              <w:rPr>
                <w:b/>
                <w:bCs w:val="0"/>
              </w:rPr>
              <w:t xml:space="preserve"> (</w:t>
            </w:r>
            <w:r>
              <w:rPr>
                <w:b/>
                <w:bCs w:val="0"/>
              </w:rPr>
              <w:t>+</w:t>
            </w:r>
            <w:r w:rsidR="000C2A4B" w:rsidRPr="000C2A4B">
              <w:rPr>
                <w:b/>
                <w:bCs w:val="0"/>
                <w:color w:val="000000"/>
                <w:spacing w:val="58"/>
                <w:shd w:val="solid" w:color="000000" w:fill="000000"/>
                <w:fitText w:val="360" w:id="-632147708"/>
                <w14:textFill>
                  <w14:solidFill>
                    <w14:srgbClr w14:val="000000">
                      <w14:alpha w14:val="100000"/>
                    </w14:srgbClr>
                  </w14:solidFill>
                </w14:textFill>
              </w:rPr>
              <w:t>|||</w:t>
            </w:r>
            <w:r w:rsidR="000C2A4B" w:rsidRPr="000C2A4B">
              <w:rPr>
                <w:b/>
                <w:bCs w:val="0"/>
                <w:color w:val="000000"/>
                <w:spacing w:val="3"/>
                <w:shd w:val="solid" w:color="000000" w:fill="000000"/>
                <w:fitText w:val="360" w:id="-632147708"/>
                <w14:textFill>
                  <w14:solidFill>
                    <w14:srgbClr w14:val="000000">
                      <w14:alpha w14:val="100000"/>
                    </w14:srgbClr>
                  </w14:solidFill>
                </w14:textFill>
              </w:rPr>
              <w:t>|</w:t>
            </w:r>
            <w:r>
              <w:rPr>
                <w:b/>
                <w:bCs w:val="0"/>
              </w:rPr>
              <w:t>%</w:t>
            </w:r>
            <w:r w:rsidRPr="000926B0">
              <w:rPr>
                <w:b/>
                <w:bCs w:val="0"/>
              </w:rPr>
              <w:t xml:space="preserve"> in each year)</w:t>
            </w:r>
            <w:r w:rsidRPr="008275D3">
              <w:rPr>
                <w:b/>
                <w:bCs w:val="0"/>
                <w:vertAlign w:val="superscript"/>
              </w:rPr>
              <w:t>a</w:t>
            </w:r>
          </w:p>
        </w:tc>
      </w:tr>
      <w:tr w:rsidR="004A30FE" w:rsidRPr="000926B0" w14:paraId="21FECDBA" w14:textId="77777777" w:rsidTr="00A63BF6">
        <w:tc>
          <w:tcPr>
            <w:tcW w:w="1202" w:type="pct"/>
          </w:tcPr>
          <w:p w14:paraId="05D1CCE1" w14:textId="77777777" w:rsidR="004A30FE" w:rsidRPr="000926B0" w:rsidRDefault="004A30FE" w:rsidP="0049200A">
            <w:pPr>
              <w:pStyle w:val="TableText0"/>
            </w:pPr>
            <w:r w:rsidRPr="000926B0">
              <w:rPr>
                <w:lang w:eastAsia="en-US"/>
              </w:rPr>
              <w:t xml:space="preserve">Net cost to Government </w:t>
            </w:r>
          </w:p>
        </w:tc>
        <w:tc>
          <w:tcPr>
            <w:tcW w:w="578" w:type="pct"/>
            <w:tcBorders>
              <w:top w:val="single" w:sz="4" w:space="0" w:color="auto"/>
              <w:left w:val="single" w:sz="4" w:space="0" w:color="auto"/>
              <w:bottom w:val="single" w:sz="4" w:space="0" w:color="auto"/>
              <w:right w:val="single" w:sz="4" w:space="0" w:color="auto"/>
            </w:tcBorders>
          </w:tcPr>
          <w:p w14:paraId="5CAD783A" w14:textId="0B7CC5DF" w:rsidR="004A30FE" w:rsidRPr="000926B0" w:rsidRDefault="004A30FE" w:rsidP="0049200A">
            <w:pPr>
              <w:pStyle w:val="TableText0"/>
              <w:jc w:val="center"/>
            </w:pPr>
            <w:r w:rsidRPr="002F1D7A">
              <w:t>-$</w:t>
            </w:r>
            <w:r w:rsidR="000C2A4B" w:rsidRPr="000C2A4B">
              <w:rPr>
                <w:color w:val="000000"/>
                <w:spacing w:val="70"/>
                <w:shd w:val="solid" w:color="000000" w:fill="000000"/>
                <w:fitText w:val="156" w:id="-632147707"/>
                <w14:textFill>
                  <w14:solidFill>
                    <w14:srgbClr w14:val="000000">
                      <w14:alpha w14:val="100000"/>
                    </w14:srgbClr>
                  </w14:solidFill>
                </w14:textFill>
              </w:rPr>
              <w:t>|</w:t>
            </w:r>
            <w:r w:rsidR="000C2A4B" w:rsidRPr="000C2A4B">
              <w:rPr>
                <w:color w:val="000000"/>
                <w:spacing w:val="1"/>
                <w:shd w:val="solid" w:color="000000" w:fill="000000"/>
                <w:fitText w:val="156" w:id="-632147707"/>
                <w14:textFill>
                  <w14:solidFill>
                    <w14:srgbClr w14:val="000000">
                      <w14:alpha w14:val="100000"/>
                    </w14:srgbClr>
                  </w14:solidFill>
                </w14:textFill>
              </w:rPr>
              <w:t>|</w:t>
            </w:r>
            <w:r w:rsidR="00FF4C9A">
              <w:rPr>
                <w:color w:val="333333"/>
                <w:szCs w:val="20"/>
                <w:vertAlign w:val="superscript"/>
              </w:rPr>
              <w:t>1</w:t>
            </w:r>
          </w:p>
        </w:tc>
        <w:tc>
          <w:tcPr>
            <w:tcW w:w="906" w:type="pct"/>
            <w:tcBorders>
              <w:top w:val="single" w:sz="4" w:space="0" w:color="auto"/>
              <w:left w:val="single" w:sz="4" w:space="0" w:color="auto"/>
              <w:bottom w:val="single" w:sz="4" w:space="0" w:color="auto"/>
              <w:right w:val="single" w:sz="4" w:space="0" w:color="auto"/>
            </w:tcBorders>
          </w:tcPr>
          <w:p w14:paraId="05EA3485" w14:textId="6E9FCFA7" w:rsidR="004A30FE" w:rsidRPr="000926B0" w:rsidRDefault="004A30FE" w:rsidP="0049200A">
            <w:pPr>
              <w:pStyle w:val="TableText0"/>
              <w:jc w:val="center"/>
            </w:pPr>
            <w:r w:rsidRPr="002F1D7A">
              <w:t>-$</w:t>
            </w:r>
            <w:r w:rsidR="000C2A4B" w:rsidRPr="000C2A4B">
              <w:rPr>
                <w:color w:val="000000"/>
                <w:shd w:val="solid" w:color="000000" w:fill="000000"/>
                <w14:textFill>
                  <w14:solidFill>
                    <w14:srgbClr w14:val="000000">
                      <w14:alpha w14:val="100000"/>
                    </w14:srgbClr>
                  </w14:solidFill>
                </w14:textFill>
              </w:rPr>
              <w:t>|</w:t>
            </w:r>
            <w:r w:rsidR="00FF4C9A">
              <w:rPr>
                <w:color w:val="333333"/>
                <w:szCs w:val="20"/>
                <w:vertAlign w:val="superscript"/>
              </w:rPr>
              <w:t>1</w:t>
            </w:r>
          </w:p>
        </w:tc>
        <w:tc>
          <w:tcPr>
            <w:tcW w:w="578" w:type="pct"/>
            <w:tcBorders>
              <w:top w:val="single" w:sz="4" w:space="0" w:color="auto"/>
              <w:left w:val="single" w:sz="4" w:space="0" w:color="auto"/>
              <w:bottom w:val="single" w:sz="4" w:space="0" w:color="auto"/>
              <w:right w:val="single" w:sz="4" w:space="0" w:color="auto"/>
            </w:tcBorders>
          </w:tcPr>
          <w:p w14:paraId="04ED97EE" w14:textId="74F338DE" w:rsidR="004A30FE" w:rsidRPr="000926B0" w:rsidRDefault="004A30FE" w:rsidP="0049200A">
            <w:pPr>
              <w:pStyle w:val="TableText0"/>
              <w:jc w:val="center"/>
            </w:pPr>
            <w:r w:rsidRPr="002F1D7A">
              <w:t>-$</w:t>
            </w:r>
            <w:r w:rsidR="000C2A4B" w:rsidRPr="000C2A4B">
              <w:rPr>
                <w:color w:val="000000"/>
                <w:spacing w:val="70"/>
                <w:shd w:val="solid" w:color="000000" w:fill="000000"/>
                <w:fitText w:val="156" w:id="-632147706"/>
                <w14:textFill>
                  <w14:solidFill>
                    <w14:srgbClr w14:val="000000">
                      <w14:alpha w14:val="100000"/>
                    </w14:srgbClr>
                  </w14:solidFill>
                </w14:textFill>
              </w:rPr>
              <w:t>|</w:t>
            </w:r>
            <w:r w:rsidR="000C2A4B" w:rsidRPr="000C2A4B">
              <w:rPr>
                <w:color w:val="000000"/>
                <w:spacing w:val="1"/>
                <w:shd w:val="solid" w:color="000000" w:fill="000000"/>
                <w:fitText w:val="156" w:id="-632147706"/>
                <w14:textFill>
                  <w14:solidFill>
                    <w14:srgbClr w14:val="000000">
                      <w14:alpha w14:val="100000"/>
                    </w14:srgbClr>
                  </w14:solidFill>
                </w14:textFill>
              </w:rPr>
              <w:t>|</w:t>
            </w:r>
            <w:r w:rsidR="00FF4C9A">
              <w:rPr>
                <w:color w:val="333333"/>
                <w:szCs w:val="20"/>
                <w:vertAlign w:val="superscript"/>
              </w:rPr>
              <w:t>1</w:t>
            </w:r>
          </w:p>
        </w:tc>
        <w:tc>
          <w:tcPr>
            <w:tcW w:w="578" w:type="pct"/>
            <w:tcBorders>
              <w:top w:val="single" w:sz="4" w:space="0" w:color="auto"/>
              <w:left w:val="single" w:sz="4" w:space="0" w:color="auto"/>
              <w:bottom w:val="single" w:sz="4" w:space="0" w:color="auto"/>
              <w:right w:val="single" w:sz="4" w:space="0" w:color="auto"/>
            </w:tcBorders>
          </w:tcPr>
          <w:p w14:paraId="29EA2F1F" w14:textId="24BFF75E" w:rsidR="004A30FE" w:rsidRPr="000926B0" w:rsidRDefault="004A30FE" w:rsidP="0049200A">
            <w:pPr>
              <w:pStyle w:val="TableText0"/>
              <w:jc w:val="center"/>
            </w:pPr>
            <w:r w:rsidRPr="002F1D7A">
              <w:t>-$</w:t>
            </w:r>
            <w:r w:rsidR="000C2A4B" w:rsidRPr="000C2A4B">
              <w:rPr>
                <w:color w:val="000000"/>
                <w:spacing w:val="70"/>
                <w:shd w:val="solid" w:color="000000" w:fill="000000"/>
                <w:fitText w:val="156" w:id="-632147705"/>
                <w14:textFill>
                  <w14:solidFill>
                    <w14:srgbClr w14:val="000000">
                      <w14:alpha w14:val="100000"/>
                    </w14:srgbClr>
                  </w14:solidFill>
                </w14:textFill>
              </w:rPr>
              <w:t>|</w:t>
            </w:r>
            <w:r w:rsidR="000C2A4B" w:rsidRPr="000C2A4B">
              <w:rPr>
                <w:color w:val="000000"/>
                <w:spacing w:val="1"/>
                <w:shd w:val="solid" w:color="000000" w:fill="000000"/>
                <w:fitText w:val="156" w:id="-632147705"/>
                <w14:textFill>
                  <w14:solidFill>
                    <w14:srgbClr w14:val="000000">
                      <w14:alpha w14:val="100000"/>
                    </w14:srgbClr>
                  </w14:solidFill>
                </w14:textFill>
              </w:rPr>
              <w:t>|</w:t>
            </w:r>
            <w:r w:rsidR="00FF4C9A">
              <w:rPr>
                <w:color w:val="333333"/>
                <w:szCs w:val="20"/>
                <w:vertAlign w:val="superscript"/>
              </w:rPr>
              <w:t>1</w:t>
            </w:r>
          </w:p>
        </w:tc>
        <w:tc>
          <w:tcPr>
            <w:tcW w:w="578" w:type="pct"/>
            <w:tcBorders>
              <w:top w:val="single" w:sz="4" w:space="0" w:color="auto"/>
              <w:left w:val="single" w:sz="4" w:space="0" w:color="auto"/>
              <w:bottom w:val="single" w:sz="4" w:space="0" w:color="auto"/>
              <w:right w:val="single" w:sz="4" w:space="0" w:color="auto"/>
            </w:tcBorders>
          </w:tcPr>
          <w:p w14:paraId="181E91CE" w14:textId="4A16447F" w:rsidR="004A30FE" w:rsidRPr="000926B0" w:rsidRDefault="004A30FE" w:rsidP="0049200A">
            <w:pPr>
              <w:pStyle w:val="TableText0"/>
              <w:jc w:val="center"/>
            </w:pPr>
            <w:r w:rsidRPr="002F1D7A">
              <w:t>-$</w:t>
            </w:r>
            <w:r w:rsidR="000C2A4B" w:rsidRPr="000C2A4B">
              <w:rPr>
                <w:color w:val="000000"/>
                <w:spacing w:val="70"/>
                <w:shd w:val="solid" w:color="000000" w:fill="000000"/>
                <w:fitText w:val="156" w:id="-632147704"/>
                <w14:textFill>
                  <w14:solidFill>
                    <w14:srgbClr w14:val="000000">
                      <w14:alpha w14:val="100000"/>
                    </w14:srgbClr>
                  </w14:solidFill>
                </w14:textFill>
              </w:rPr>
              <w:t>|</w:t>
            </w:r>
            <w:r w:rsidR="000C2A4B" w:rsidRPr="000C2A4B">
              <w:rPr>
                <w:color w:val="000000"/>
                <w:spacing w:val="1"/>
                <w:shd w:val="solid" w:color="000000" w:fill="000000"/>
                <w:fitText w:val="156" w:id="-632147704"/>
                <w14:textFill>
                  <w14:solidFill>
                    <w14:srgbClr w14:val="000000">
                      <w14:alpha w14:val="100000"/>
                    </w14:srgbClr>
                  </w14:solidFill>
                </w14:textFill>
              </w:rPr>
              <w:t>|</w:t>
            </w:r>
            <w:r w:rsidR="00FF4C9A">
              <w:rPr>
                <w:color w:val="333333"/>
                <w:szCs w:val="20"/>
                <w:vertAlign w:val="superscript"/>
              </w:rPr>
              <w:t>1</w:t>
            </w:r>
          </w:p>
        </w:tc>
        <w:tc>
          <w:tcPr>
            <w:tcW w:w="581" w:type="pct"/>
            <w:tcBorders>
              <w:top w:val="single" w:sz="4" w:space="0" w:color="auto"/>
              <w:left w:val="single" w:sz="4" w:space="0" w:color="auto"/>
              <w:bottom w:val="single" w:sz="4" w:space="0" w:color="auto"/>
              <w:right w:val="single" w:sz="4" w:space="0" w:color="auto"/>
            </w:tcBorders>
          </w:tcPr>
          <w:p w14:paraId="67CC41A2" w14:textId="3058F0F6" w:rsidR="004A30FE" w:rsidRPr="000926B0" w:rsidRDefault="004A30FE" w:rsidP="0049200A">
            <w:pPr>
              <w:pStyle w:val="TableText0"/>
              <w:jc w:val="center"/>
            </w:pPr>
            <w:r w:rsidRPr="002F1D7A">
              <w:t>-$</w:t>
            </w:r>
            <w:r w:rsidR="000C2A4B" w:rsidRPr="000C2A4B">
              <w:rPr>
                <w:color w:val="000000"/>
                <w:spacing w:val="70"/>
                <w:shd w:val="solid" w:color="000000" w:fill="000000"/>
                <w:fitText w:val="156" w:id="-632147703"/>
                <w14:textFill>
                  <w14:solidFill>
                    <w14:srgbClr w14:val="000000">
                      <w14:alpha w14:val="100000"/>
                    </w14:srgbClr>
                  </w14:solidFill>
                </w14:textFill>
              </w:rPr>
              <w:t>|</w:t>
            </w:r>
            <w:r w:rsidR="000C2A4B" w:rsidRPr="000C2A4B">
              <w:rPr>
                <w:color w:val="000000"/>
                <w:spacing w:val="1"/>
                <w:shd w:val="solid" w:color="000000" w:fill="000000"/>
                <w:fitText w:val="156" w:id="-632147703"/>
                <w14:textFill>
                  <w14:solidFill>
                    <w14:srgbClr w14:val="000000">
                      <w14:alpha w14:val="100000"/>
                    </w14:srgbClr>
                  </w14:solidFill>
                </w14:textFill>
              </w:rPr>
              <w:t>|</w:t>
            </w:r>
            <w:r w:rsidR="00FF4C9A">
              <w:rPr>
                <w:color w:val="333333"/>
                <w:szCs w:val="20"/>
                <w:vertAlign w:val="superscript"/>
              </w:rPr>
              <w:t>1</w:t>
            </w:r>
          </w:p>
        </w:tc>
      </w:tr>
      <w:tr w:rsidR="004A30FE" w:rsidRPr="000926B0" w14:paraId="01CAD1C2" w14:textId="77777777" w:rsidTr="00A63BF6">
        <w:tc>
          <w:tcPr>
            <w:tcW w:w="1202" w:type="pct"/>
          </w:tcPr>
          <w:p w14:paraId="4727254C" w14:textId="184DCDDA" w:rsidR="004A30FE" w:rsidRPr="00CB6C21" w:rsidRDefault="004A30FE" w:rsidP="0049200A">
            <w:pPr>
              <w:pStyle w:val="TableText0"/>
              <w:rPr>
                <w:i/>
                <w:iCs/>
                <w:vertAlign w:val="superscript"/>
              </w:rPr>
            </w:pPr>
            <w:r w:rsidRPr="00CB6C21">
              <w:t>% Change from base case</w:t>
            </w:r>
            <w:r w:rsidR="00CB6C21">
              <w:t xml:space="preserve"> </w:t>
            </w:r>
            <w:r w:rsidR="00CB6C21" w:rsidRPr="00AD2935">
              <w:rPr>
                <w:vertAlign w:val="superscript"/>
              </w:rPr>
              <w:t>b</w:t>
            </w:r>
          </w:p>
        </w:tc>
        <w:tc>
          <w:tcPr>
            <w:tcW w:w="578" w:type="pct"/>
            <w:tcBorders>
              <w:top w:val="single" w:sz="4" w:space="0" w:color="auto"/>
              <w:left w:val="single" w:sz="4" w:space="0" w:color="auto"/>
              <w:bottom w:val="single" w:sz="4" w:space="0" w:color="auto"/>
              <w:right w:val="single" w:sz="4" w:space="0" w:color="auto"/>
            </w:tcBorders>
          </w:tcPr>
          <w:p w14:paraId="43CEAE73" w14:textId="77777777" w:rsidR="004A30FE" w:rsidRPr="00DF72FC" w:rsidRDefault="004A30FE" w:rsidP="0049200A">
            <w:pPr>
              <w:pStyle w:val="TableText0"/>
              <w:jc w:val="center"/>
            </w:pPr>
            <w:r w:rsidRPr="00DF72FC">
              <w:t>20%</w:t>
            </w:r>
          </w:p>
        </w:tc>
        <w:tc>
          <w:tcPr>
            <w:tcW w:w="906" w:type="pct"/>
            <w:tcBorders>
              <w:top w:val="single" w:sz="4" w:space="0" w:color="auto"/>
              <w:left w:val="nil"/>
              <w:bottom w:val="single" w:sz="4" w:space="0" w:color="auto"/>
              <w:right w:val="single" w:sz="4" w:space="0" w:color="auto"/>
            </w:tcBorders>
          </w:tcPr>
          <w:p w14:paraId="6B074372" w14:textId="77777777" w:rsidR="004A30FE" w:rsidRPr="00DF72FC" w:rsidRDefault="004A30FE" w:rsidP="0049200A">
            <w:pPr>
              <w:pStyle w:val="TableText0"/>
              <w:jc w:val="center"/>
            </w:pPr>
            <w:r w:rsidRPr="00DF72FC">
              <w:t>20%</w:t>
            </w:r>
          </w:p>
        </w:tc>
        <w:tc>
          <w:tcPr>
            <w:tcW w:w="578" w:type="pct"/>
            <w:tcBorders>
              <w:top w:val="single" w:sz="4" w:space="0" w:color="auto"/>
              <w:left w:val="nil"/>
              <w:bottom w:val="single" w:sz="4" w:space="0" w:color="auto"/>
              <w:right w:val="single" w:sz="4" w:space="0" w:color="auto"/>
            </w:tcBorders>
          </w:tcPr>
          <w:p w14:paraId="10B36C2C" w14:textId="77777777" w:rsidR="004A30FE" w:rsidRPr="00DF72FC" w:rsidRDefault="004A30FE" w:rsidP="0049200A">
            <w:pPr>
              <w:pStyle w:val="TableText0"/>
              <w:jc w:val="center"/>
            </w:pPr>
            <w:r w:rsidRPr="00DF72FC">
              <w:t>20%</w:t>
            </w:r>
          </w:p>
        </w:tc>
        <w:tc>
          <w:tcPr>
            <w:tcW w:w="578" w:type="pct"/>
            <w:tcBorders>
              <w:top w:val="single" w:sz="4" w:space="0" w:color="auto"/>
              <w:left w:val="nil"/>
              <w:bottom w:val="single" w:sz="4" w:space="0" w:color="auto"/>
              <w:right w:val="single" w:sz="4" w:space="0" w:color="auto"/>
            </w:tcBorders>
          </w:tcPr>
          <w:p w14:paraId="4E497BEC" w14:textId="77777777" w:rsidR="004A30FE" w:rsidRPr="00DF72FC" w:rsidRDefault="004A30FE" w:rsidP="0049200A">
            <w:pPr>
              <w:pStyle w:val="TableText0"/>
              <w:jc w:val="center"/>
            </w:pPr>
            <w:r w:rsidRPr="00DF72FC">
              <w:t>20%</w:t>
            </w:r>
          </w:p>
        </w:tc>
        <w:tc>
          <w:tcPr>
            <w:tcW w:w="578" w:type="pct"/>
            <w:tcBorders>
              <w:top w:val="single" w:sz="4" w:space="0" w:color="auto"/>
              <w:left w:val="nil"/>
              <w:bottom w:val="single" w:sz="4" w:space="0" w:color="auto"/>
              <w:right w:val="single" w:sz="4" w:space="0" w:color="auto"/>
            </w:tcBorders>
          </w:tcPr>
          <w:p w14:paraId="7423DF74" w14:textId="77777777" w:rsidR="004A30FE" w:rsidRPr="00DF72FC" w:rsidRDefault="004A30FE" w:rsidP="0049200A">
            <w:pPr>
              <w:pStyle w:val="TableText0"/>
              <w:jc w:val="center"/>
            </w:pPr>
            <w:r w:rsidRPr="00DF72FC">
              <w:t>20%</w:t>
            </w:r>
          </w:p>
        </w:tc>
        <w:tc>
          <w:tcPr>
            <w:tcW w:w="581" w:type="pct"/>
            <w:tcBorders>
              <w:top w:val="single" w:sz="4" w:space="0" w:color="auto"/>
              <w:left w:val="nil"/>
              <w:bottom w:val="single" w:sz="4" w:space="0" w:color="auto"/>
              <w:right w:val="single" w:sz="4" w:space="0" w:color="auto"/>
            </w:tcBorders>
          </w:tcPr>
          <w:p w14:paraId="1F40535D" w14:textId="77777777" w:rsidR="004A30FE" w:rsidRPr="00DF72FC" w:rsidRDefault="004A30FE" w:rsidP="0049200A">
            <w:pPr>
              <w:pStyle w:val="TableText0"/>
              <w:jc w:val="center"/>
            </w:pPr>
            <w:r w:rsidRPr="00DF72FC">
              <w:t>20%</w:t>
            </w:r>
          </w:p>
        </w:tc>
      </w:tr>
      <w:tr w:rsidR="004A30FE" w:rsidRPr="000926B0" w14:paraId="3FDF2F8C" w14:textId="77777777" w:rsidTr="00925A61">
        <w:tc>
          <w:tcPr>
            <w:tcW w:w="5000" w:type="pct"/>
            <w:gridSpan w:val="7"/>
            <w:vAlign w:val="center"/>
          </w:tcPr>
          <w:p w14:paraId="5CDDB114" w14:textId="42F7ADB6" w:rsidR="004A30FE" w:rsidRPr="000926B0" w:rsidRDefault="004A30FE" w:rsidP="0049200A">
            <w:pPr>
              <w:pStyle w:val="TableText0"/>
            </w:pPr>
            <w:r>
              <w:rPr>
                <w:b/>
                <w:bCs w:val="0"/>
              </w:rPr>
              <w:t>Lower uptake rate</w:t>
            </w:r>
            <w:r w:rsidRPr="000926B0">
              <w:rPr>
                <w:b/>
                <w:bCs w:val="0"/>
              </w:rPr>
              <w:t xml:space="preserve"> (</w:t>
            </w:r>
            <w:r>
              <w:rPr>
                <w:b/>
                <w:bCs w:val="0"/>
              </w:rPr>
              <w:t>-</w:t>
            </w:r>
            <w:r w:rsidR="000C2A4B" w:rsidRPr="000C2A4B">
              <w:rPr>
                <w:b/>
                <w:bCs w:val="0"/>
                <w:color w:val="000000"/>
                <w:spacing w:val="58"/>
                <w:shd w:val="solid" w:color="000000" w:fill="000000"/>
                <w:fitText w:val="360" w:id="-632147702"/>
                <w14:textFill>
                  <w14:solidFill>
                    <w14:srgbClr w14:val="000000">
                      <w14:alpha w14:val="100000"/>
                    </w14:srgbClr>
                  </w14:solidFill>
                </w14:textFill>
              </w:rPr>
              <w:t>|||</w:t>
            </w:r>
            <w:r w:rsidR="000C2A4B" w:rsidRPr="000C2A4B">
              <w:rPr>
                <w:b/>
                <w:bCs w:val="0"/>
                <w:color w:val="000000"/>
                <w:spacing w:val="3"/>
                <w:shd w:val="solid" w:color="000000" w:fill="000000"/>
                <w:fitText w:val="360" w:id="-632147702"/>
                <w14:textFill>
                  <w14:solidFill>
                    <w14:srgbClr w14:val="000000">
                      <w14:alpha w14:val="100000"/>
                    </w14:srgbClr>
                  </w14:solidFill>
                </w14:textFill>
              </w:rPr>
              <w:t>|</w:t>
            </w:r>
            <w:r>
              <w:rPr>
                <w:b/>
                <w:bCs w:val="0"/>
              </w:rPr>
              <w:t>%</w:t>
            </w:r>
            <w:r w:rsidRPr="000926B0">
              <w:rPr>
                <w:b/>
                <w:bCs w:val="0"/>
              </w:rPr>
              <w:t xml:space="preserve"> in each year)</w:t>
            </w:r>
            <w:r w:rsidRPr="008275D3">
              <w:rPr>
                <w:b/>
                <w:bCs w:val="0"/>
                <w:vertAlign w:val="superscript"/>
              </w:rPr>
              <w:t>a</w:t>
            </w:r>
          </w:p>
        </w:tc>
      </w:tr>
      <w:tr w:rsidR="004A30FE" w:rsidRPr="000926B0" w14:paraId="022AAAB6" w14:textId="77777777" w:rsidTr="00A63BF6">
        <w:tc>
          <w:tcPr>
            <w:tcW w:w="1202" w:type="pct"/>
          </w:tcPr>
          <w:p w14:paraId="702FF230" w14:textId="77777777" w:rsidR="004A30FE" w:rsidRPr="000926B0" w:rsidRDefault="004A30FE" w:rsidP="0049200A">
            <w:pPr>
              <w:pStyle w:val="TableText0"/>
            </w:pPr>
            <w:r w:rsidRPr="000926B0">
              <w:rPr>
                <w:lang w:eastAsia="en-US"/>
              </w:rPr>
              <w:t>Net cost to Government</w:t>
            </w:r>
          </w:p>
        </w:tc>
        <w:tc>
          <w:tcPr>
            <w:tcW w:w="578" w:type="pct"/>
            <w:tcBorders>
              <w:top w:val="single" w:sz="4" w:space="0" w:color="auto"/>
              <w:left w:val="single" w:sz="4" w:space="0" w:color="auto"/>
              <w:bottom w:val="single" w:sz="4" w:space="0" w:color="auto"/>
              <w:right w:val="single" w:sz="4" w:space="0" w:color="auto"/>
            </w:tcBorders>
          </w:tcPr>
          <w:p w14:paraId="7A6AFD97" w14:textId="279EE820" w:rsidR="004A30FE" w:rsidRPr="000926B0" w:rsidRDefault="004A30FE" w:rsidP="0049200A">
            <w:pPr>
              <w:pStyle w:val="TableText0"/>
              <w:jc w:val="center"/>
            </w:pPr>
            <w:r w:rsidRPr="00DD58CB">
              <w:t>-$</w:t>
            </w:r>
            <w:r w:rsidR="000C2A4B" w:rsidRPr="000C2A4B">
              <w:rPr>
                <w:color w:val="000000"/>
                <w:spacing w:val="70"/>
                <w:shd w:val="solid" w:color="000000" w:fill="000000"/>
                <w:fitText w:val="156" w:id="-632147701"/>
                <w14:textFill>
                  <w14:solidFill>
                    <w14:srgbClr w14:val="000000">
                      <w14:alpha w14:val="100000"/>
                    </w14:srgbClr>
                  </w14:solidFill>
                </w14:textFill>
              </w:rPr>
              <w:t>|</w:t>
            </w:r>
            <w:r w:rsidR="000C2A4B" w:rsidRPr="000C2A4B">
              <w:rPr>
                <w:color w:val="000000"/>
                <w:spacing w:val="1"/>
                <w:shd w:val="solid" w:color="000000" w:fill="000000"/>
                <w:fitText w:val="156" w:id="-632147701"/>
                <w14:textFill>
                  <w14:solidFill>
                    <w14:srgbClr w14:val="000000">
                      <w14:alpha w14:val="100000"/>
                    </w14:srgbClr>
                  </w14:solidFill>
                </w14:textFill>
              </w:rPr>
              <w:t>|</w:t>
            </w:r>
            <w:r w:rsidR="00B3772B" w:rsidRPr="00B3772B">
              <w:rPr>
                <w:color w:val="333333"/>
                <w:szCs w:val="20"/>
                <w:vertAlign w:val="superscript"/>
              </w:rPr>
              <w:t>1</w:t>
            </w:r>
          </w:p>
        </w:tc>
        <w:tc>
          <w:tcPr>
            <w:tcW w:w="906" w:type="pct"/>
            <w:tcBorders>
              <w:top w:val="single" w:sz="4" w:space="0" w:color="auto"/>
              <w:left w:val="single" w:sz="4" w:space="0" w:color="auto"/>
              <w:bottom w:val="single" w:sz="4" w:space="0" w:color="auto"/>
              <w:right w:val="single" w:sz="4" w:space="0" w:color="auto"/>
            </w:tcBorders>
          </w:tcPr>
          <w:p w14:paraId="758F8842" w14:textId="4AE24B34" w:rsidR="004A30FE" w:rsidRPr="000926B0" w:rsidRDefault="004A30FE" w:rsidP="0049200A">
            <w:pPr>
              <w:pStyle w:val="TableText0"/>
              <w:jc w:val="center"/>
            </w:pPr>
            <w:r w:rsidRPr="00DD58CB">
              <w:t>-$</w:t>
            </w:r>
            <w:r w:rsidR="000C2A4B" w:rsidRPr="000C2A4B">
              <w:rPr>
                <w:color w:val="000000"/>
                <w:shd w:val="solid" w:color="000000" w:fill="000000"/>
                <w14:textFill>
                  <w14:solidFill>
                    <w14:srgbClr w14:val="000000">
                      <w14:alpha w14:val="100000"/>
                    </w14:srgbClr>
                  </w14:solidFill>
                </w14:textFill>
              </w:rPr>
              <w:t>|</w:t>
            </w:r>
            <w:r w:rsidR="00FF4C9A">
              <w:rPr>
                <w:color w:val="333333"/>
                <w:szCs w:val="20"/>
                <w:vertAlign w:val="superscript"/>
              </w:rPr>
              <w:t>1</w:t>
            </w:r>
          </w:p>
        </w:tc>
        <w:tc>
          <w:tcPr>
            <w:tcW w:w="578" w:type="pct"/>
            <w:tcBorders>
              <w:top w:val="single" w:sz="4" w:space="0" w:color="auto"/>
              <w:left w:val="single" w:sz="4" w:space="0" w:color="auto"/>
              <w:bottom w:val="single" w:sz="4" w:space="0" w:color="auto"/>
              <w:right w:val="single" w:sz="4" w:space="0" w:color="auto"/>
            </w:tcBorders>
          </w:tcPr>
          <w:p w14:paraId="1E6B364D" w14:textId="7ED753B4" w:rsidR="004A30FE" w:rsidRPr="000926B0" w:rsidRDefault="004A30FE" w:rsidP="0049200A">
            <w:pPr>
              <w:pStyle w:val="TableText0"/>
              <w:jc w:val="center"/>
            </w:pPr>
            <w:r w:rsidRPr="00DD58CB">
              <w:t>-$</w:t>
            </w:r>
            <w:r w:rsidR="000C2A4B" w:rsidRPr="000C2A4B">
              <w:rPr>
                <w:color w:val="000000"/>
                <w:spacing w:val="70"/>
                <w:shd w:val="solid" w:color="000000" w:fill="000000"/>
                <w:fitText w:val="156" w:id="-632147700"/>
                <w14:textFill>
                  <w14:solidFill>
                    <w14:srgbClr w14:val="000000">
                      <w14:alpha w14:val="100000"/>
                    </w14:srgbClr>
                  </w14:solidFill>
                </w14:textFill>
              </w:rPr>
              <w:t>|</w:t>
            </w:r>
            <w:r w:rsidR="000C2A4B" w:rsidRPr="000C2A4B">
              <w:rPr>
                <w:color w:val="000000"/>
                <w:spacing w:val="1"/>
                <w:shd w:val="solid" w:color="000000" w:fill="000000"/>
                <w:fitText w:val="156" w:id="-632147700"/>
                <w14:textFill>
                  <w14:solidFill>
                    <w14:srgbClr w14:val="000000">
                      <w14:alpha w14:val="100000"/>
                    </w14:srgbClr>
                  </w14:solidFill>
                </w14:textFill>
              </w:rPr>
              <w:t>|</w:t>
            </w:r>
            <w:r w:rsidR="00FF4C9A">
              <w:rPr>
                <w:color w:val="333333"/>
                <w:szCs w:val="20"/>
                <w:vertAlign w:val="superscript"/>
              </w:rPr>
              <w:t>1</w:t>
            </w:r>
          </w:p>
        </w:tc>
        <w:tc>
          <w:tcPr>
            <w:tcW w:w="578" w:type="pct"/>
            <w:tcBorders>
              <w:top w:val="single" w:sz="4" w:space="0" w:color="auto"/>
              <w:left w:val="single" w:sz="4" w:space="0" w:color="auto"/>
              <w:bottom w:val="single" w:sz="4" w:space="0" w:color="auto"/>
              <w:right w:val="single" w:sz="4" w:space="0" w:color="auto"/>
            </w:tcBorders>
          </w:tcPr>
          <w:p w14:paraId="120EF839" w14:textId="25EAC4ED" w:rsidR="004A30FE" w:rsidRPr="000926B0" w:rsidRDefault="004A30FE" w:rsidP="0049200A">
            <w:pPr>
              <w:pStyle w:val="TableText0"/>
              <w:jc w:val="center"/>
            </w:pPr>
            <w:r w:rsidRPr="00DD58CB">
              <w:t>-$</w:t>
            </w:r>
            <w:r w:rsidR="000C2A4B" w:rsidRPr="000C2A4B">
              <w:rPr>
                <w:color w:val="000000"/>
                <w:spacing w:val="70"/>
                <w:shd w:val="solid" w:color="000000" w:fill="000000"/>
                <w:fitText w:val="156" w:id="-632147699"/>
                <w14:textFill>
                  <w14:solidFill>
                    <w14:srgbClr w14:val="000000">
                      <w14:alpha w14:val="100000"/>
                    </w14:srgbClr>
                  </w14:solidFill>
                </w14:textFill>
              </w:rPr>
              <w:t>|</w:t>
            </w:r>
            <w:r w:rsidR="000C2A4B" w:rsidRPr="000C2A4B">
              <w:rPr>
                <w:color w:val="000000"/>
                <w:spacing w:val="1"/>
                <w:shd w:val="solid" w:color="000000" w:fill="000000"/>
                <w:fitText w:val="156" w:id="-632147699"/>
                <w14:textFill>
                  <w14:solidFill>
                    <w14:srgbClr w14:val="000000">
                      <w14:alpha w14:val="100000"/>
                    </w14:srgbClr>
                  </w14:solidFill>
                </w14:textFill>
              </w:rPr>
              <w:t>|</w:t>
            </w:r>
            <w:r w:rsidR="00FF4C9A">
              <w:rPr>
                <w:color w:val="333333"/>
                <w:szCs w:val="20"/>
                <w:vertAlign w:val="superscript"/>
              </w:rPr>
              <w:t>1</w:t>
            </w:r>
          </w:p>
        </w:tc>
        <w:tc>
          <w:tcPr>
            <w:tcW w:w="578" w:type="pct"/>
            <w:tcBorders>
              <w:top w:val="single" w:sz="4" w:space="0" w:color="auto"/>
              <w:left w:val="single" w:sz="4" w:space="0" w:color="auto"/>
              <w:bottom w:val="single" w:sz="4" w:space="0" w:color="auto"/>
              <w:right w:val="single" w:sz="4" w:space="0" w:color="auto"/>
            </w:tcBorders>
          </w:tcPr>
          <w:p w14:paraId="63556AC9" w14:textId="27D10298" w:rsidR="004A30FE" w:rsidRPr="000926B0" w:rsidRDefault="004A30FE" w:rsidP="0049200A">
            <w:pPr>
              <w:pStyle w:val="TableText0"/>
              <w:jc w:val="center"/>
            </w:pPr>
            <w:r w:rsidRPr="00DD58CB">
              <w:t>-$</w:t>
            </w:r>
            <w:r w:rsidR="000C2A4B" w:rsidRPr="000C2A4B">
              <w:rPr>
                <w:color w:val="000000"/>
                <w:spacing w:val="70"/>
                <w:shd w:val="solid" w:color="000000" w:fill="000000"/>
                <w:fitText w:val="156" w:id="-632147698"/>
                <w14:textFill>
                  <w14:solidFill>
                    <w14:srgbClr w14:val="000000">
                      <w14:alpha w14:val="100000"/>
                    </w14:srgbClr>
                  </w14:solidFill>
                </w14:textFill>
              </w:rPr>
              <w:t>|</w:t>
            </w:r>
            <w:r w:rsidR="000C2A4B" w:rsidRPr="000C2A4B">
              <w:rPr>
                <w:color w:val="000000"/>
                <w:spacing w:val="1"/>
                <w:shd w:val="solid" w:color="000000" w:fill="000000"/>
                <w:fitText w:val="156" w:id="-632147698"/>
                <w14:textFill>
                  <w14:solidFill>
                    <w14:srgbClr w14:val="000000">
                      <w14:alpha w14:val="100000"/>
                    </w14:srgbClr>
                  </w14:solidFill>
                </w14:textFill>
              </w:rPr>
              <w:t>|</w:t>
            </w:r>
            <w:r w:rsidR="00FF4C9A">
              <w:rPr>
                <w:color w:val="333333"/>
                <w:szCs w:val="20"/>
                <w:vertAlign w:val="superscript"/>
              </w:rPr>
              <w:t>1</w:t>
            </w:r>
          </w:p>
        </w:tc>
        <w:tc>
          <w:tcPr>
            <w:tcW w:w="581" w:type="pct"/>
            <w:tcBorders>
              <w:top w:val="single" w:sz="4" w:space="0" w:color="auto"/>
              <w:left w:val="single" w:sz="4" w:space="0" w:color="auto"/>
              <w:bottom w:val="single" w:sz="4" w:space="0" w:color="auto"/>
              <w:right w:val="single" w:sz="4" w:space="0" w:color="auto"/>
            </w:tcBorders>
          </w:tcPr>
          <w:p w14:paraId="5EEE972E" w14:textId="0B8557AF" w:rsidR="004A30FE" w:rsidRPr="000926B0" w:rsidRDefault="004A30FE" w:rsidP="0049200A">
            <w:pPr>
              <w:pStyle w:val="TableText0"/>
              <w:jc w:val="center"/>
            </w:pPr>
            <w:r w:rsidRPr="00DD58CB">
              <w:t>-$</w:t>
            </w:r>
            <w:r w:rsidR="000C2A4B" w:rsidRPr="000C2A4B">
              <w:rPr>
                <w:color w:val="000000"/>
                <w:spacing w:val="70"/>
                <w:shd w:val="solid" w:color="000000" w:fill="000000"/>
                <w:fitText w:val="156" w:id="-632147697"/>
                <w14:textFill>
                  <w14:solidFill>
                    <w14:srgbClr w14:val="000000">
                      <w14:alpha w14:val="100000"/>
                    </w14:srgbClr>
                  </w14:solidFill>
                </w14:textFill>
              </w:rPr>
              <w:t>|</w:t>
            </w:r>
            <w:r w:rsidR="000C2A4B" w:rsidRPr="000C2A4B">
              <w:rPr>
                <w:color w:val="000000"/>
                <w:spacing w:val="1"/>
                <w:shd w:val="solid" w:color="000000" w:fill="000000"/>
                <w:fitText w:val="156" w:id="-632147697"/>
                <w14:textFill>
                  <w14:solidFill>
                    <w14:srgbClr w14:val="000000">
                      <w14:alpha w14:val="100000"/>
                    </w14:srgbClr>
                  </w14:solidFill>
                </w14:textFill>
              </w:rPr>
              <w:t>|</w:t>
            </w:r>
            <w:r w:rsidR="00FF4C9A">
              <w:rPr>
                <w:color w:val="333333"/>
                <w:szCs w:val="20"/>
                <w:vertAlign w:val="superscript"/>
              </w:rPr>
              <w:t>1</w:t>
            </w:r>
          </w:p>
        </w:tc>
      </w:tr>
      <w:tr w:rsidR="004A30FE" w:rsidRPr="000926B0" w14:paraId="4F251A14" w14:textId="77777777" w:rsidTr="00A63BF6">
        <w:tc>
          <w:tcPr>
            <w:tcW w:w="1202" w:type="pct"/>
          </w:tcPr>
          <w:p w14:paraId="39E3CA48" w14:textId="51BC55CC" w:rsidR="004A30FE" w:rsidRPr="00182060" w:rsidRDefault="004A30FE" w:rsidP="0049200A">
            <w:pPr>
              <w:pStyle w:val="TableText0"/>
              <w:rPr>
                <w:i/>
                <w:iCs/>
                <w:vertAlign w:val="superscript"/>
              </w:rPr>
            </w:pPr>
            <w:r w:rsidRPr="00182060">
              <w:t>% Change from base case</w:t>
            </w:r>
            <w:r w:rsidR="00182060">
              <w:t xml:space="preserve"> </w:t>
            </w:r>
            <w:r w:rsidR="00182060" w:rsidRPr="00AD2935">
              <w:rPr>
                <w:vertAlign w:val="superscript"/>
              </w:rPr>
              <w:t>b</w:t>
            </w:r>
          </w:p>
        </w:tc>
        <w:tc>
          <w:tcPr>
            <w:tcW w:w="578" w:type="pct"/>
            <w:tcBorders>
              <w:top w:val="single" w:sz="4" w:space="0" w:color="auto"/>
              <w:left w:val="single" w:sz="4" w:space="0" w:color="auto"/>
              <w:bottom w:val="single" w:sz="4" w:space="0" w:color="auto"/>
              <w:right w:val="single" w:sz="4" w:space="0" w:color="auto"/>
            </w:tcBorders>
          </w:tcPr>
          <w:p w14:paraId="72D3EE8B" w14:textId="77777777" w:rsidR="004A30FE" w:rsidRPr="00DF72FC" w:rsidRDefault="004A30FE" w:rsidP="0049200A">
            <w:pPr>
              <w:pStyle w:val="TableText0"/>
              <w:jc w:val="center"/>
            </w:pPr>
            <w:r w:rsidRPr="00DF72FC">
              <w:t>-20%</w:t>
            </w:r>
          </w:p>
        </w:tc>
        <w:tc>
          <w:tcPr>
            <w:tcW w:w="906" w:type="pct"/>
            <w:tcBorders>
              <w:top w:val="single" w:sz="4" w:space="0" w:color="auto"/>
              <w:left w:val="nil"/>
              <w:bottom w:val="single" w:sz="4" w:space="0" w:color="auto"/>
              <w:right w:val="single" w:sz="4" w:space="0" w:color="auto"/>
            </w:tcBorders>
          </w:tcPr>
          <w:p w14:paraId="477338CA" w14:textId="77777777" w:rsidR="004A30FE" w:rsidRPr="00DF72FC" w:rsidRDefault="004A30FE" w:rsidP="0049200A">
            <w:pPr>
              <w:pStyle w:val="TableText0"/>
              <w:jc w:val="center"/>
            </w:pPr>
            <w:r w:rsidRPr="00DF72FC">
              <w:t>-20%</w:t>
            </w:r>
          </w:p>
        </w:tc>
        <w:tc>
          <w:tcPr>
            <w:tcW w:w="578" w:type="pct"/>
            <w:tcBorders>
              <w:top w:val="single" w:sz="4" w:space="0" w:color="auto"/>
              <w:left w:val="nil"/>
              <w:bottom w:val="single" w:sz="4" w:space="0" w:color="auto"/>
              <w:right w:val="single" w:sz="4" w:space="0" w:color="auto"/>
            </w:tcBorders>
          </w:tcPr>
          <w:p w14:paraId="2A56859C" w14:textId="77777777" w:rsidR="004A30FE" w:rsidRPr="00DF72FC" w:rsidRDefault="004A30FE" w:rsidP="0049200A">
            <w:pPr>
              <w:pStyle w:val="TableText0"/>
              <w:jc w:val="center"/>
            </w:pPr>
            <w:r w:rsidRPr="00DF72FC">
              <w:t>-20%</w:t>
            </w:r>
          </w:p>
        </w:tc>
        <w:tc>
          <w:tcPr>
            <w:tcW w:w="578" w:type="pct"/>
            <w:tcBorders>
              <w:top w:val="single" w:sz="4" w:space="0" w:color="auto"/>
              <w:left w:val="nil"/>
              <w:bottom w:val="single" w:sz="4" w:space="0" w:color="auto"/>
              <w:right w:val="single" w:sz="4" w:space="0" w:color="auto"/>
            </w:tcBorders>
          </w:tcPr>
          <w:p w14:paraId="54507E8C" w14:textId="77777777" w:rsidR="004A30FE" w:rsidRPr="00DF72FC" w:rsidRDefault="004A30FE" w:rsidP="0049200A">
            <w:pPr>
              <w:pStyle w:val="TableText0"/>
              <w:jc w:val="center"/>
            </w:pPr>
            <w:r w:rsidRPr="00DF72FC">
              <w:t>-20%</w:t>
            </w:r>
          </w:p>
        </w:tc>
        <w:tc>
          <w:tcPr>
            <w:tcW w:w="578" w:type="pct"/>
            <w:tcBorders>
              <w:top w:val="single" w:sz="4" w:space="0" w:color="auto"/>
              <w:left w:val="nil"/>
              <w:bottom w:val="single" w:sz="4" w:space="0" w:color="auto"/>
              <w:right w:val="single" w:sz="4" w:space="0" w:color="auto"/>
            </w:tcBorders>
          </w:tcPr>
          <w:p w14:paraId="2F13A8A3" w14:textId="77777777" w:rsidR="004A30FE" w:rsidRPr="00DF72FC" w:rsidRDefault="004A30FE" w:rsidP="0049200A">
            <w:pPr>
              <w:pStyle w:val="TableText0"/>
              <w:jc w:val="center"/>
            </w:pPr>
            <w:r w:rsidRPr="00DF72FC">
              <w:t>-20%</w:t>
            </w:r>
          </w:p>
        </w:tc>
        <w:tc>
          <w:tcPr>
            <w:tcW w:w="581" w:type="pct"/>
            <w:tcBorders>
              <w:top w:val="single" w:sz="4" w:space="0" w:color="auto"/>
              <w:left w:val="nil"/>
              <w:bottom w:val="single" w:sz="4" w:space="0" w:color="auto"/>
              <w:right w:val="single" w:sz="4" w:space="0" w:color="auto"/>
            </w:tcBorders>
          </w:tcPr>
          <w:p w14:paraId="20393EA6" w14:textId="77777777" w:rsidR="004A30FE" w:rsidRPr="00DF72FC" w:rsidRDefault="004A30FE" w:rsidP="0049200A">
            <w:pPr>
              <w:pStyle w:val="TableText0"/>
              <w:jc w:val="center"/>
            </w:pPr>
            <w:r w:rsidRPr="00DF72FC">
              <w:t>-20%</w:t>
            </w:r>
          </w:p>
        </w:tc>
      </w:tr>
      <w:tr w:rsidR="004A30FE" w:rsidRPr="008275D3" w14:paraId="08BEC911" w14:textId="77777777" w:rsidTr="00925A61">
        <w:tc>
          <w:tcPr>
            <w:tcW w:w="5000" w:type="pct"/>
            <w:gridSpan w:val="7"/>
          </w:tcPr>
          <w:p w14:paraId="0C7BE9A3" w14:textId="326AAF02" w:rsidR="004A30FE" w:rsidRPr="008275D3" w:rsidRDefault="00C40CA1" w:rsidP="0049200A">
            <w:pPr>
              <w:pStyle w:val="TableText0"/>
              <w:rPr>
                <w:i/>
                <w:iCs/>
              </w:rPr>
            </w:pPr>
            <w:r w:rsidRPr="00671BE1">
              <w:rPr>
                <w:b/>
                <w:bCs w:val="0"/>
              </w:rPr>
              <w:t xml:space="preserve">Higher uptake </w:t>
            </w:r>
            <w:r w:rsidR="004A30FE" w:rsidRPr="00671BE1">
              <w:rPr>
                <w:b/>
                <w:bCs w:val="0"/>
              </w:rPr>
              <w:t xml:space="preserve">rate </w:t>
            </w:r>
            <w:r w:rsidRPr="00671BE1">
              <w:rPr>
                <w:b/>
                <w:bCs w:val="0"/>
              </w:rPr>
              <w:t>(+</w:t>
            </w:r>
            <w:r w:rsidR="000C2A4B" w:rsidRPr="000C2A4B">
              <w:rPr>
                <w:b/>
                <w:bCs w:val="0"/>
                <w:color w:val="000000"/>
                <w:spacing w:val="58"/>
                <w:shd w:val="solid" w:color="000000" w:fill="000000"/>
                <w:fitText w:val="360" w:id="-632147696"/>
                <w14:textFill>
                  <w14:solidFill>
                    <w14:srgbClr w14:val="000000">
                      <w14:alpha w14:val="100000"/>
                    </w14:srgbClr>
                  </w14:solidFill>
                </w14:textFill>
              </w:rPr>
              <w:t>|||</w:t>
            </w:r>
            <w:r w:rsidR="000C2A4B" w:rsidRPr="000C2A4B">
              <w:rPr>
                <w:b/>
                <w:bCs w:val="0"/>
                <w:color w:val="000000"/>
                <w:spacing w:val="3"/>
                <w:shd w:val="solid" w:color="000000" w:fill="000000"/>
                <w:fitText w:val="360" w:id="-632147696"/>
                <w14:textFill>
                  <w14:solidFill>
                    <w14:srgbClr w14:val="000000">
                      <w14:alpha w14:val="100000"/>
                    </w14:srgbClr>
                  </w14:solidFill>
                </w14:textFill>
              </w:rPr>
              <w:t>|</w:t>
            </w:r>
            <w:r w:rsidR="004A30FE" w:rsidRPr="00671BE1">
              <w:rPr>
                <w:b/>
                <w:bCs w:val="0"/>
              </w:rPr>
              <w:t xml:space="preserve">% </w:t>
            </w:r>
            <w:r w:rsidR="00A43574" w:rsidRPr="00671BE1">
              <w:rPr>
                <w:b/>
                <w:bCs w:val="0"/>
              </w:rPr>
              <w:t>from base case)</w:t>
            </w:r>
            <w:r w:rsidR="004A30FE" w:rsidRPr="00AD2935">
              <w:rPr>
                <w:b/>
                <w:bCs w:val="0"/>
                <w:vertAlign w:val="superscript"/>
              </w:rPr>
              <w:t>a</w:t>
            </w:r>
            <w:r w:rsidR="00671BE1" w:rsidRPr="00AD2935">
              <w:rPr>
                <w:b/>
                <w:bCs w:val="0"/>
                <w:vertAlign w:val="superscript"/>
              </w:rPr>
              <w:t>,b</w:t>
            </w:r>
          </w:p>
        </w:tc>
      </w:tr>
      <w:tr w:rsidR="00931AFE" w:rsidRPr="008275D3" w14:paraId="56AFD5A4" w14:textId="77777777" w:rsidTr="00A63BF6">
        <w:tc>
          <w:tcPr>
            <w:tcW w:w="1202" w:type="pct"/>
          </w:tcPr>
          <w:p w14:paraId="1A344328" w14:textId="77777777" w:rsidR="00931AFE" w:rsidRPr="00F867C0" w:rsidRDefault="00931AFE" w:rsidP="0049200A">
            <w:pPr>
              <w:pStyle w:val="TableText0"/>
            </w:pPr>
            <w:r w:rsidRPr="00F867C0">
              <w:rPr>
                <w:lang w:eastAsia="en-US"/>
              </w:rPr>
              <w:t>Net cost to Government</w:t>
            </w:r>
          </w:p>
        </w:tc>
        <w:tc>
          <w:tcPr>
            <w:tcW w:w="578" w:type="pct"/>
          </w:tcPr>
          <w:p w14:paraId="62010EED" w14:textId="0C7BD3D9" w:rsidR="00931AFE" w:rsidRPr="00F867C0" w:rsidRDefault="00931AFE" w:rsidP="0049200A">
            <w:pPr>
              <w:pStyle w:val="TableText0"/>
              <w:jc w:val="center"/>
            </w:pPr>
            <w:r w:rsidRPr="00F867C0">
              <w:t>-$</w:t>
            </w:r>
            <w:r w:rsidR="000C2A4B" w:rsidRPr="000C2A4B">
              <w:rPr>
                <w:color w:val="000000"/>
                <w:spacing w:val="70"/>
                <w:shd w:val="solid" w:color="000000" w:fill="000000"/>
                <w:fitText w:val="156" w:id="-632147712"/>
                <w14:textFill>
                  <w14:solidFill>
                    <w14:srgbClr w14:val="000000">
                      <w14:alpha w14:val="100000"/>
                    </w14:srgbClr>
                  </w14:solidFill>
                </w14:textFill>
              </w:rPr>
              <w:t>|</w:t>
            </w:r>
            <w:r w:rsidR="000C2A4B" w:rsidRPr="000C2A4B">
              <w:rPr>
                <w:color w:val="000000"/>
                <w:spacing w:val="1"/>
                <w:shd w:val="solid" w:color="000000" w:fill="000000"/>
                <w:fitText w:val="156" w:id="-632147712"/>
                <w14:textFill>
                  <w14:solidFill>
                    <w14:srgbClr w14:val="000000">
                      <w14:alpha w14:val="100000"/>
                    </w14:srgbClr>
                  </w14:solidFill>
                </w14:textFill>
              </w:rPr>
              <w:t>|</w:t>
            </w:r>
            <w:r w:rsidR="003B0980">
              <w:rPr>
                <w:color w:val="333333"/>
                <w:szCs w:val="20"/>
                <w:vertAlign w:val="superscript"/>
              </w:rPr>
              <w:t>1</w:t>
            </w:r>
          </w:p>
        </w:tc>
        <w:tc>
          <w:tcPr>
            <w:tcW w:w="906" w:type="pct"/>
          </w:tcPr>
          <w:p w14:paraId="5DA6792E" w14:textId="3DF67AC8" w:rsidR="00931AFE" w:rsidRPr="00F867C0" w:rsidRDefault="00931AFE" w:rsidP="0049200A">
            <w:pPr>
              <w:pStyle w:val="TableText0"/>
              <w:jc w:val="center"/>
            </w:pPr>
            <w:r w:rsidRPr="00F867C0">
              <w:t>-$</w:t>
            </w:r>
            <w:r w:rsidR="000C2A4B" w:rsidRPr="000C2A4B">
              <w:rPr>
                <w:color w:val="000000"/>
                <w:shd w:val="solid" w:color="000000" w:fill="000000"/>
                <w14:textFill>
                  <w14:solidFill>
                    <w14:srgbClr w14:val="000000">
                      <w14:alpha w14:val="100000"/>
                    </w14:srgbClr>
                  </w14:solidFill>
                </w14:textFill>
              </w:rPr>
              <w:t>|</w:t>
            </w:r>
            <w:r w:rsidR="003B0980">
              <w:rPr>
                <w:color w:val="333333"/>
                <w:szCs w:val="20"/>
                <w:vertAlign w:val="superscript"/>
              </w:rPr>
              <w:t>1</w:t>
            </w:r>
          </w:p>
        </w:tc>
        <w:tc>
          <w:tcPr>
            <w:tcW w:w="578" w:type="pct"/>
          </w:tcPr>
          <w:p w14:paraId="5683C6CE" w14:textId="12EA0A3D" w:rsidR="00931AFE" w:rsidRPr="00F867C0" w:rsidRDefault="00931AFE" w:rsidP="0049200A">
            <w:pPr>
              <w:pStyle w:val="TableText0"/>
              <w:jc w:val="center"/>
            </w:pPr>
            <w:r w:rsidRPr="00F867C0">
              <w:t>-$</w:t>
            </w:r>
            <w:r w:rsidR="000C2A4B" w:rsidRPr="000C2A4B">
              <w:rPr>
                <w:color w:val="000000"/>
                <w:spacing w:val="70"/>
                <w:shd w:val="solid" w:color="000000" w:fill="000000"/>
                <w:fitText w:val="156" w:id="-632147711"/>
                <w14:textFill>
                  <w14:solidFill>
                    <w14:srgbClr w14:val="000000">
                      <w14:alpha w14:val="100000"/>
                    </w14:srgbClr>
                  </w14:solidFill>
                </w14:textFill>
              </w:rPr>
              <w:t>|</w:t>
            </w:r>
            <w:r w:rsidR="000C2A4B" w:rsidRPr="000C2A4B">
              <w:rPr>
                <w:color w:val="000000"/>
                <w:spacing w:val="1"/>
                <w:shd w:val="solid" w:color="000000" w:fill="000000"/>
                <w:fitText w:val="156" w:id="-632147711"/>
                <w14:textFill>
                  <w14:solidFill>
                    <w14:srgbClr w14:val="000000">
                      <w14:alpha w14:val="100000"/>
                    </w14:srgbClr>
                  </w14:solidFill>
                </w14:textFill>
              </w:rPr>
              <w:t>|</w:t>
            </w:r>
            <w:r w:rsidR="003B0980">
              <w:rPr>
                <w:color w:val="333333"/>
                <w:szCs w:val="20"/>
                <w:vertAlign w:val="superscript"/>
              </w:rPr>
              <w:t>1</w:t>
            </w:r>
          </w:p>
        </w:tc>
        <w:tc>
          <w:tcPr>
            <w:tcW w:w="578" w:type="pct"/>
          </w:tcPr>
          <w:p w14:paraId="186EB8A9" w14:textId="24154A9B" w:rsidR="00931AFE" w:rsidRPr="00F867C0" w:rsidRDefault="00931AFE" w:rsidP="0049200A">
            <w:pPr>
              <w:pStyle w:val="TableText0"/>
              <w:jc w:val="center"/>
            </w:pPr>
            <w:r w:rsidRPr="00F867C0">
              <w:t>-$</w:t>
            </w:r>
            <w:r w:rsidR="000C2A4B" w:rsidRPr="000C2A4B">
              <w:rPr>
                <w:color w:val="000000"/>
                <w:spacing w:val="70"/>
                <w:shd w:val="solid" w:color="000000" w:fill="000000"/>
                <w:fitText w:val="156" w:id="-632147710"/>
                <w14:textFill>
                  <w14:solidFill>
                    <w14:srgbClr w14:val="000000">
                      <w14:alpha w14:val="100000"/>
                    </w14:srgbClr>
                  </w14:solidFill>
                </w14:textFill>
              </w:rPr>
              <w:t>|</w:t>
            </w:r>
            <w:r w:rsidR="000C2A4B" w:rsidRPr="000C2A4B">
              <w:rPr>
                <w:color w:val="000000"/>
                <w:spacing w:val="1"/>
                <w:shd w:val="solid" w:color="000000" w:fill="000000"/>
                <w:fitText w:val="156" w:id="-632147710"/>
                <w14:textFill>
                  <w14:solidFill>
                    <w14:srgbClr w14:val="000000">
                      <w14:alpha w14:val="100000"/>
                    </w14:srgbClr>
                  </w14:solidFill>
                </w14:textFill>
              </w:rPr>
              <w:t>|</w:t>
            </w:r>
            <w:r w:rsidR="003B0980">
              <w:rPr>
                <w:color w:val="333333"/>
                <w:szCs w:val="20"/>
                <w:vertAlign w:val="superscript"/>
              </w:rPr>
              <w:t>1</w:t>
            </w:r>
          </w:p>
        </w:tc>
        <w:tc>
          <w:tcPr>
            <w:tcW w:w="578" w:type="pct"/>
          </w:tcPr>
          <w:p w14:paraId="6AAEED7B" w14:textId="03F26D95" w:rsidR="00931AFE" w:rsidRPr="00F867C0" w:rsidRDefault="00931AFE" w:rsidP="0049200A">
            <w:pPr>
              <w:pStyle w:val="TableText0"/>
              <w:jc w:val="center"/>
            </w:pPr>
            <w:r w:rsidRPr="00F867C0">
              <w:t>-$</w:t>
            </w:r>
            <w:r w:rsidR="000C2A4B" w:rsidRPr="000C2A4B">
              <w:rPr>
                <w:color w:val="000000"/>
                <w:spacing w:val="70"/>
                <w:shd w:val="solid" w:color="000000" w:fill="000000"/>
                <w:fitText w:val="156" w:id="-632147709"/>
                <w14:textFill>
                  <w14:solidFill>
                    <w14:srgbClr w14:val="000000">
                      <w14:alpha w14:val="100000"/>
                    </w14:srgbClr>
                  </w14:solidFill>
                </w14:textFill>
              </w:rPr>
              <w:t>|</w:t>
            </w:r>
            <w:r w:rsidR="000C2A4B" w:rsidRPr="000C2A4B">
              <w:rPr>
                <w:color w:val="000000"/>
                <w:spacing w:val="1"/>
                <w:shd w:val="solid" w:color="000000" w:fill="000000"/>
                <w:fitText w:val="156" w:id="-632147709"/>
                <w14:textFill>
                  <w14:solidFill>
                    <w14:srgbClr w14:val="000000">
                      <w14:alpha w14:val="100000"/>
                    </w14:srgbClr>
                  </w14:solidFill>
                </w14:textFill>
              </w:rPr>
              <w:t>|</w:t>
            </w:r>
            <w:r w:rsidR="003B0980">
              <w:rPr>
                <w:color w:val="333333"/>
                <w:szCs w:val="20"/>
                <w:vertAlign w:val="superscript"/>
              </w:rPr>
              <w:t>1</w:t>
            </w:r>
          </w:p>
        </w:tc>
        <w:tc>
          <w:tcPr>
            <w:tcW w:w="581" w:type="pct"/>
          </w:tcPr>
          <w:p w14:paraId="53D96977" w14:textId="46EED85B" w:rsidR="00931AFE" w:rsidRPr="00F867C0" w:rsidRDefault="00931AFE" w:rsidP="0049200A">
            <w:pPr>
              <w:pStyle w:val="TableText0"/>
              <w:jc w:val="center"/>
            </w:pPr>
            <w:r w:rsidRPr="00F867C0">
              <w:t>-$</w:t>
            </w:r>
            <w:r w:rsidR="000C2A4B" w:rsidRPr="000C2A4B">
              <w:rPr>
                <w:color w:val="000000"/>
                <w:spacing w:val="70"/>
                <w:shd w:val="solid" w:color="000000" w:fill="000000"/>
                <w:fitText w:val="156" w:id="-632147708"/>
                <w14:textFill>
                  <w14:solidFill>
                    <w14:srgbClr w14:val="000000">
                      <w14:alpha w14:val="100000"/>
                    </w14:srgbClr>
                  </w14:solidFill>
                </w14:textFill>
              </w:rPr>
              <w:t>|</w:t>
            </w:r>
            <w:r w:rsidR="000C2A4B" w:rsidRPr="000C2A4B">
              <w:rPr>
                <w:color w:val="000000"/>
                <w:spacing w:val="1"/>
                <w:shd w:val="solid" w:color="000000" w:fill="000000"/>
                <w:fitText w:val="156" w:id="-632147708"/>
                <w14:textFill>
                  <w14:solidFill>
                    <w14:srgbClr w14:val="000000">
                      <w14:alpha w14:val="100000"/>
                    </w14:srgbClr>
                  </w14:solidFill>
                </w14:textFill>
              </w:rPr>
              <w:t>|</w:t>
            </w:r>
            <w:r w:rsidR="003B0980">
              <w:rPr>
                <w:color w:val="333333"/>
                <w:szCs w:val="20"/>
                <w:vertAlign w:val="superscript"/>
              </w:rPr>
              <w:t>1</w:t>
            </w:r>
          </w:p>
        </w:tc>
      </w:tr>
      <w:tr w:rsidR="00931AFE" w:rsidRPr="008275D3" w14:paraId="356F2D80" w14:textId="77777777" w:rsidTr="00A63BF6">
        <w:tc>
          <w:tcPr>
            <w:tcW w:w="1202" w:type="pct"/>
          </w:tcPr>
          <w:p w14:paraId="32A3E57F" w14:textId="77777777" w:rsidR="00931AFE" w:rsidRPr="00F867C0" w:rsidRDefault="00931AFE" w:rsidP="0049200A">
            <w:pPr>
              <w:pStyle w:val="TableText0"/>
            </w:pPr>
            <w:r w:rsidRPr="00F867C0">
              <w:t>% Change from base case</w:t>
            </w:r>
          </w:p>
        </w:tc>
        <w:tc>
          <w:tcPr>
            <w:tcW w:w="578" w:type="pct"/>
            <w:tcBorders>
              <w:top w:val="single" w:sz="4" w:space="0" w:color="auto"/>
              <w:left w:val="single" w:sz="4" w:space="0" w:color="auto"/>
              <w:bottom w:val="single" w:sz="4" w:space="0" w:color="auto"/>
              <w:right w:val="single" w:sz="4" w:space="0" w:color="auto"/>
            </w:tcBorders>
          </w:tcPr>
          <w:p w14:paraId="54A808B6" w14:textId="0C193FA3" w:rsidR="00931AFE" w:rsidRPr="00DF72FC" w:rsidRDefault="00931AFE" w:rsidP="0049200A">
            <w:pPr>
              <w:pStyle w:val="TableText0"/>
              <w:jc w:val="center"/>
            </w:pPr>
            <w:r w:rsidRPr="00DF72FC">
              <w:t>50%</w:t>
            </w:r>
          </w:p>
        </w:tc>
        <w:tc>
          <w:tcPr>
            <w:tcW w:w="906" w:type="pct"/>
            <w:tcBorders>
              <w:top w:val="single" w:sz="4" w:space="0" w:color="auto"/>
              <w:left w:val="nil"/>
              <w:bottom w:val="single" w:sz="4" w:space="0" w:color="auto"/>
              <w:right w:val="single" w:sz="4" w:space="0" w:color="auto"/>
            </w:tcBorders>
          </w:tcPr>
          <w:p w14:paraId="4D630436" w14:textId="3FAB039E" w:rsidR="00931AFE" w:rsidRPr="00DF72FC" w:rsidRDefault="00931AFE" w:rsidP="0049200A">
            <w:pPr>
              <w:pStyle w:val="TableText0"/>
              <w:jc w:val="center"/>
            </w:pPr>
            <w:r w:rsidRPr="00DF72FC">
              <w:t>-25%</w:t>
            </w:r>
          </w:p>
        </w:tc>
        <w:tc>
          <w:tcPr>
            <w:tcW w:w="578" w:type="pct"/>
            <w:tcBorders>
              <w:top w:val="single" w:sz="4" w:space="0" w:color="auto"/>
              <w:left w:val="nil"/>
              <w:bottom w:val="single" w:sz="4" w:space="0" w:color="auto"/>
              <w:right w:val="single" w:sz="4" w:space="0" w:color="auto"/>
            </w:tcBorders>
          </w:tcPr>
          <w:p w14:paraId="6AA55A24" w14:textId="1EB6A619" w:rsidR="00931AFE" w:rsidRPr="00DF72FC" w:rsidRDefault="00931AFE" w:rsidP="0049200A">
            <w:pPr>
              <w:pStyle w:val="TableText0"/>
              <w:jc w:val="center"/>
            </w:pPr>
            <w:r w:rsidRPr="00DF72FC">
              <w:t>50%</w:t>
            </w:r>
          </w:p>
        </w:tc>
        <w:tc>
          <w:tcPr>
            <w:tcW w:w="578" w:type="pct"/>
            <w:tcBorders>
              <w:top w:val="single" w:sz="4" w:space="0" w:color="auto"/>
              <w:left w:val="nil"/>
              <w:bottom w:val="single" w:sz="4" w:space="0" w:color="auto"/>
              <w:right w:val="single" w:sz="4" w:space="0" w:color="auto"/>
            </w:tcBorders>
          </w:tcPr>
          <w:p w14:paraId="647FFEB4" w14:textId="600ED23D" w:rsidR="00931AFE" w:rsidRPr="00DF72FC" w:rsidRDefault="00931AFE" w:rsidP="0049200A">
            <w:pPr>
              <w:pStyle w:val="TableText0"/>
              <w:jc w:val="center"/>
            </w:pPr>
            <w:r w:rsidRPr="00DF72FC">
              <w:t>50%</w:t>
            </w:r>
          </w:p>
        </w:tc>
        <w:tc>
          <w:tcPr>
            <w:tcW w:w="578" w:type="pct"/>
            <w:tcBorders>
              <w:top w:val="single" w:sz="4" w:space="0" w:color="auto"/>
              <w:left w:val="nil"/>
              <w:bottom w:val="single" w:sz="4" w:space="0" w:color="auto"/>
              <w:right w:val="single" w:sz="4" w:space="0" w:color="auto"/>
            </w:tcBorders>
          </w:tcPr>
          <w:p w14:paraId="1D5B2140" w14:textId="33A4611A" w:rsidR="00931AFE" w:rsidRPr="00DF72FC" w:rsidRDefault="00931AFE" w:rsidP="0049200A">
            <w:pPr>
              <w:pStyle w:val="TableText0"/>
              <w:jc w:val="center"/>
            </w:pPr>
            <w:r w:rsidRPr="00DF72FC">
              <w:t>50%</w:t>
            </w:r>
          </w:p>
        </w:tc>
        <w:tc>
          <w:tcPr>
            <w:tcW w:w="581" w:type="pct"/>
            <w:tcBorders>
              <w:top w:val="single" w:sz="4" w:space="0" w:color="auto"/>
              <w:left w:val="nil"/>
              <w:bottom w:val="single" w:sz="4" w:space="0" w:color="auto"/>
              <w:right w:val="single" w:sz="4" w:space="0" w:color="auto"/>
            </w:tcBorders>
          </w:tcPr>
          <w:p w14:paraId="4C175044" w14:textId="442DEE59" w:rsidR="00931AFE" w:rsidRPr="00DF72FC" w:rsidRDefault="00931AFE" w:rsidP="0049200A">
            <w:pPr>
              <w:pStyle w:val="TableText0"/>
              <w:jc w:val="center"/>
            </w:pPr>
            <w:r w:rsidRPr="00DF72FC">
              <w:t>50%</w:t>
            </w:r>
          </w:p>
        </w:tc>
      </w:tr>
      <w:tr w:rsidR="004A30FE" w:rsidRPr="008275D3" w14:paraId="50F4A959" w14:textId="77777777" w:rsidTr="00925A61">
        <w:tc>
          <w:tcPr>
            <w:tcW w:w="5000" w:type="pct"/>
            <w:gridSpan w:val="7"/>
          </w:tcPr>
          <w:p w14:paraId="05315774" w14:textId="35471A78" w:rsidR="004A30FE" w:rsidRPr="00F867C0" w:rsidRDefault="004A30FE" w:rsidP="0049200A">
            <w:pPr>
              <w:pStyle w:val="TableText0"/>
              <w:rPr>
                <w:i/>
                <w:iCs/>
                <w:vertAlign w:val="superscript"/>
              </w:rPr>
            </w:pPr>
            <w:r w:rsidRPr="008F5369">
              <w:rPr>
                <w:b/>
                <w:bCs w:val="0"/>
              </w:rPr>
              <w:t>Botulinum toxin market growth rate of 10% for all years (Base case:4.10% in all years)</w:t>
            </w:r>
            <w:r w:rsidR="008F5369" w:rsidRPr="00AD2935">
              <w:rPr>
                <w:b/>
                <w:bCs w:val="0"/>
                <w:vertAlign w:val="superscript"/>
              </w:rPr>
              <w:t>b</w:t>
            </w:r>
          </w:p>
        </w:tc>
      </w:tr>
      <w:tr w:rsidR="004A30FE" w:rsidRPr="008275D3" w14:paraId="1AAE1568" w14:textId="77777777" w:rsidTr="00A63BF6">
        <w:tc>
          <w:tcPr>
            <w:tcW w:w="1202" w:type="pct"/>
          </w:tcPr>
          <w:p w14:paraId="55119B9D" w14:textId="77777777" w:rsidR="004A30FE" w:rsidRPr="009C5665" w:rsidRDefault="004A30FE" w:rsidP="0049200A">
            <w:pPr>
              <w:pStyle w:val="TableText0"/>
            </w:pPr>
            <w:r w:rsidRPr="009C5665">
              <w:rPr>
                <w:lang w:eastAsia="en-US"/>
              </w:rPr>
              <w:t>Net cost to Government</w:t>
            </w:r>
          </w:p>
        </w:tc>
        <w:tc>
          <w:tcPr>
            <w:tcW w:w="578" w:type="pct"/>
          </w:tcPr>
          <w:p w14:paraId="1F8BBF89" w14:textId="74FE1EBD" w:rsidR="004A30FE" w:rsidRPr="009C5665" w:rsidRDefault="004A30FE" w:rsidP="0049200A">
            <w:pPr>
              <w:pStyle w:val="TableText0"/>
              <w:jc w:val="center"/>
            </w:pPr>
            <w:r w:rsidRPr="009C5665">
              <w:t>-$</w:t>
            </w:r>
            <w:r w:rsidR="000C2A4B" w:rsidRPr="000C2A4B">
              <w:rPr>
                <w:color w:val="000000"/>
                <w:spacing w:val="70"/>
                <w:shd w:val="solid" w:color="000000" w:fill="000000"/>
                <w:fitText w:val="156" w:id="-632147707"/>
                <w14:textFill>
                  <w14:solidFill>
                    <w14:srgbClr w14:val="000000">
                      <w14:alpha w14:val="100000"/>
                    </w14:srgbClr>
                  </w14:solidFill>
                </w14:textFill>
              </w:rPr>
              <w:t>|</w:t>
            </w:r>
            <w:r w:rsidR="000C2A4B" w:rsidRPr="000C2A4B">
              <w:rPr>
                <w:color w:val="000000"/>
                <w:spacing w:val="1"/>
                <w:shd w:val="solid" w:color="000000" w:fill="000000"/>
                <w:fitText w:val="156" w:id="-632147707"/>
                <w14:textFill>
                  <w14:solidFill>
                    <w14:srgbClr w14:val="000000">
                      <w14:alpha w14:val="100000"/>
                    </w14:srgbClr>
                  </w14:solidFill>
                </w14:textFill>
              </w:rPr>
              <w:t>|</w:t>
            </w:r>
            <w:r w:rsidR="00B3772B" w:rsidRPr="00B3772B">
              <w:rPr>
                <w:color w:val="333333"/>
                <w:szCs w:val="20"/>
                <w:vertAlign w:val="superscript"/>
              </w:rPr>
              <w:t>1</w:t>
            </w:r>
          </w:p>
        </w:tc>
        <w:tc>
          <w:tcPr>
            <w:tcW w:w="906" w:type="pct"/>
          </w:tcPr>
          <w:p w14:paraId="4F3FBB04" w14:textId="72DD2DC6" w:rsidR="004A30FE" w:rsidRPr="009C5665" w:rsidRDefault="004A30FE" w:rsidP="0049200A">
            <w:pPr>
              <w:pStyle w:val="TableText0"/>
              <w:jc w:val="center"/>
            </w:pPr>
            <w:r w:rsidRPr="009C5665">
              <w:t>-$</w:t>
            </w:r>
            <w:r w:rsidR="000C2A4B" w:rsidRPr="000C2A4B">
              <w:rPr>
                <w:color w:val="000000"/>
                <w:shd w:val="solid" w:color="000000" w:fill="000000"/>
                <w14:textFill>
                  <w14:solidFill>
                    <w14:srgbClr w14:val="000000">
                      <w14:alpha w14:val="100000"/>
                    </w14:srgbClr>
                  </w14:solidFill>
                </w14:textFill>
              </w:rPr>
              <w:t>|</w:t>
            </w:r>
            <w:r w:rsidR="003B0980">
              <w:rPr>
                <w:color w:val="333333"/>
                <w:szCs w:val="20"/>
                <w:vertAlign w:val="superscript"/>
              </w:rPr>
              <w:t>1</w:t>
            </w:r>
          </w:p>
        </w:tc>
        <w:tc>
          <w:tcPr>
            <w:tcW w:w="578" w:type="pct"/>
          </w:tcPr>
          <w:p w14:paraId="5AF676E5" w14:textId="1E977477" w:rsidR="004A30FE" w:rsidRPr="009C5665" w:rsidRDefault="004A30FE" w:rsidP="0049200A">
            <w:pPr>
              <w:pStyle w:val="TableText0"/>
              <w:jc w:val="center"/>
            </w:pPr>
            <w:r w:rsidRPr="009C5665">
              <w:t>-$</w:t>
            </w:r>
            <w:r w:rsidR="000C2A4B" w:rsidRPr="000C2A4B">
              <w:rPr>
                <w:color w:val="000000"/>
                <w:spacing w:val="70"/>
                <w:shd w:val="solid" w:color="000000" w:fill="000000"/>
                <w:fitText w:val="156" w:id="-632147706"/>
                <w14:textFill>
                  <w14:solidFill>
                    <w14:srgbClr w14:val="000000">
                      <w14:alpha w14:val="100000"/>
                    </w14:srgbClr>
                  </w14:solidFill>
                </w14:textFill>
              </w:rPr>
              <w:t>|</w:t>
            </w:r>
            <w:r w:rsidR="000C2A4B" w:rsidRPr="000C2A4B">
              <w:rPr>
                <w:color w:val="000000"/>
                <w:spacing w:val="1"/>
                <w:shd w:val="solid" w:color="000000" w:fill="000000"/>
                <w:fitText w:val="156" w:id="-632147706"/>
                <w14:textFill>
                  <w14:solidFill>
                    <w14:srgbClr w14:val="000000">
                      <w14:alpha w14:val="100000"/>
                    </w14:srgbClr>
                  </w14:solidFill>
                </w14:textFill>
              </w:rPr>
              <w:t>|</w:t>
            </w:r>
            <w:r w:rsidR="003B0980">
              <w:rPr>
                <w:color w:val="333333"/>
                <w:szCs w:val="20"/>
                <w:vertAlign w:val="superscript"/>
              </w:rPr>
              <w:t>1</w:t>
            </w:r>
          </w:p>
        </w:tc>
        <w:tc>
          <w:tcPr>
            <w:tcW w:w="578" w:type="pct"/>
          </w:tcPr>
          <w:p w14:paraId="3C3C255B" w14:textId="1FAE1EBB" w:rsidR="004A30FE" w:rsidRPr="009C5665" w:rsidRDefault="004A30FE" w:rsidP="0049200A">
            <w:pPr>
              <w:pStyle w:val="TableText0"/>
              <w:jc w:val="center"/>
            </w:pPr>
            <w:r w:rsidRPr="009C5665">
              <w:t>-$</w:t>
            </w:r>
            <w:r w:rsidR="000C2A4B" w:rsidRPr="000C2A4B">
              <w:rPr>
                <w:color w:val="000000"/>
                <w:spacing w:val="70"/>
                <w:shd w:val="solid" w:color="000000" w:fill="000000"/>
                <w:fitText w:val="156" w:id="-632147705"/>
                <w14:textFill>
                  <w14:solidFill>
                    <w14:srgbClr w14:val="000000">
                      <w14:alpha w14:val="100000"/>
                    </w14:srgbClr>
                  </w14:solidFill>
                </w14:textFill>
              </w:rPr>
              <w:t>|</w:t>
            </w:r>
            <w:r w:rsidR="000C2A4B" w:rsidRPr="000C2A4B">
              <w:rPr>
                <w:color w:val="000000"/>
                <w:spacing w:val="1"/>
                <w:shd w:val="solid" w:color="000000" w:fill="000000"/>
                <w:fitText w:val="156" w:id="-632147705"/>
                <w14:textFill>
                  <w14:solidFill>
                    <w14:srgbClr w14:val="000000">
                      <w14:alpha w14:val="100000"/>
                    </w14:srgbClr>
                  </w14:solidFill>
                </w14:textFill>
              </w:rPr>
              <w:t>|</w:t>
            </w:r>
            <w:r w:rsidR="003B0980">
              <w:rPr>
                <w:color w:val="333333"/>
                <w:szCs w:val="20"/>
                <w:vertAlign w:val="superscript"/>
              </w:rPr>
              <w:t>1</w:t>
            </w:r>
          </w:p>
        </w:tc>
        <w:tc>
          <w:tcPr>
            <w:tcW w:w="578" w:type="pct"/>
          </w:tcPr>
          <w:p w14:paraId="6A71D8B1" w14:textId="79B15491" w:rsidR="004A30FE" w:rsidRPr="009C5665" w:rsidRDefault="004A30FE" w:rsidP="0049200A">
            <w:pPr>
              <w:pStyle w:val="TableText0"/>
              <w:jc w:val="center"/>
            </w:pPr>
            <w:r w:rsidRPr="009C5665">
              <w:t>-$</w:t>
            </w:r>
            <w:r w:rsidR="000C2A4B" w:rsidRPr="000C2A4B">
              <w:rPr>
                <w:color w:val="000000"/>
                <w:spacing w:val="70"/>
                <w:shd w:val="solid" w:color="000000" w:fill="000000"/>
                <w:fitText w:val="156" w:id="-632147704"/>
                <w14:textFill>
                  <w14:solidFill>
                    <w14:srgbClr w14:val="000000">
                      <w14:alpha w14:val="100000"/>
                    </w14:srgbClr>
                  </w14:solidFill>
                </w14:textFill>
              </w:rPr>
              <w:t>|</w:t>
            </w:r>
            <w:r w:rsidR="000C2A4B" w:rsidRPr="000C2A4B">
              <w:rPr>
                <w:color w:val="000000"/>
                <w:spacing w:val="1"/>
                <w:shd w:val="solid" w:color="000000" w:fill="000000"/>
                <w:fitText w:val="156" w:id="-632147704"/>
                <w14:textFill>
                  <w14:solidFill>
                    <w14:srgbClr w14:val="000000">
                      <w14:alpha w14:val="100000"/>
                    </w14:srgbClr>
                  </w14:solidFill>
                </w14:textFill>
              </w:rPr>
              <w:t>|</w:t>
            </w:r>
            <w:r w:rsidR="003B0980">
              <w:rPr>
                <w:color w:val="333333"/>
                <w:szCs w:val="20"/>
                <w:vertAlign w:val="superscript"/>
              </w:rPr>
              <w:t>1</w:t>
            </w:r>
          </w:p>
        </w:tc>
        <w:tc>
          <w:tcPr>
            <w:tcW w:w="581" w:type="pct"/>
          </w:tcPr>
          <w:p w14:paraId="2C92E6D4" w14:textId="30F7D095" w:rsidR="004A30FE" w:rsidRPr="009C5665" w:rsidRDefault="004A30FE" w:rsidP="0049200A">
            <w:pPr>
              <w:pStyle w:val="TableText0"/>
              <w:jc w:val="center"/>
            </w:pPr>
            <w:r w:rsidRPr="009C5665">
              <w:t>-$</w:t>
            </w:r>
            <w:r w:rsidR="000C2A4B" w:rsidRPr="000C2A4B">
              <w:rPr>
                <w:color w:val="000000"/>
                <w:spacing w:val="70"/>
                <w:shd w:val="solid" w:color="000000" w:fill="000000"/>
                <w:fitText w:val="156" w:id="-632147703"/>
                <w14:textFill>
                  <w14:solidFill>
                    <w14:srgbClr w14:val="000000">
                      <w14:alpha w14:val="100000"/>
                    </w14:srgbClr>
                  </w14:solidFill>
                </w14:textFill>
              </w:rPr>
              <w:t>|</w:t>
            </w:r>
            <w:r w:rsidR="000C2A4B" w:rsidRPr="000C2A4B">
              <w:rPr>
                <w:color w:val="000000"/>
                <w:spacing w:val="1"/>
                <w:shd w:val="solid" w:color="000000" w:fill="000000"/>
                <w:fitText w:val="156" w:id="-632147703"/>
                <w14:textFill>
                  <w14:solidFill>
                    <w14:srgbClr w14:val="000000">
                      <w14:alpha w14:val="100000"/>
                    </w14:srgbClr>
                  </w14:solidFill>
                </w14:textFill>
              </w:rPr>
              <w:t>|</w:t>
            </w:r>
            <w:r w:rsidR="003B0980">
              <w:rPr>
                <w:color w:val="333333"/>
                <w:szCs w:val="20"/>
                <w:vertAlign w:val="superscript"/>
              </w:rPr>
              <w:t>1</w:t>
            </w:r>
          </w:p>
        </w:tc>
      </w:tr>
      <w:tr w:rsidR="004A30FE" w:rsidRPr="008275D3" w14:paraId="6D423553" w14:textId="77777777" w:rsidTr="00A63BF6">
        <w:tc>
          <w:tcPr>
            <w:tcW w:w="1202" w:type="pct"/>
          </w:tcPr>
          <w:p w14:paraId="2377E7B6" w14:textId="77777777" w:rsidR="004A30FE" w:rsidRPr="009C5665" w:rsidRDefault="004A30FE" w:rsidP="0049200A">
            <w:pPr>
              <w:pStyle w:val="TableText0"/>
            </w:pPr>
            <w:r w:rsidRPr="009C5665">
              <w:t>% Change from base case</w:t>
            </w:r>
          </w:p>
        </w:tc>
        <w:tc>
          <w:tcPr>
            <w:tcW w:w="578" w:type="pct"/>
            <w:tcBorders>
              <w:top w:val="single" w:sz="4" w:space="0" w:color="auto"/>
              <w:left w:val="single" w:sz="4" w:space="0" w:color="auto"/>
              <w:bottom w:val="single" w:sz="4" w:space="0" w:color="auto"/>
              <w:right w:val="single" w:sz="4" w:space="0" w:color="auto"/>
            </w:tcBorders>
          </w:tcPr>
          <w:p w14:paraId="4A00FC0C" w14:textId="77777777" w:rsidR="004A30FE" w:rsidRPr="00DF72FC" w:rsidRDefault="004A30FE" w:rsidP="0049200A">
            <w:pPr>
              <w:pStyle w:val="TableText0"/>
              <w:jc w:val="center"/>
            </w:pPr>
            <w:r w:rsidRPr="00DF72FC">
              <w:t>0%</w:t>
            </w:r>
          </w:p>
        </w:tc>
        <w:tc>
          <w:tcPr>
            <w:tcW w:w="906" w:type="pct"/>
            <w:tcBorders>
              <w:top w:val="single" w:sz="4" w:space="0" w:color="auto"/>
              <w:left w:val="nil"/>
              <w:bottom w:val="single" w:sz="4" w:space="0" w:color="auto"/>
              <w:right w:val="single" w:sz="4" w:space="0" w:color="auto"/>
            </w:tcBorders>
          </w:tcPr>
          <w:p w14:paraId="22D2246A" w14:textId="77777777" w:rsidR="004A30FE" w:rsidRPr="00DF72FC" w:rsidRDefault="004A30FE" w:rsidP="0049200A">
            <w:pPr>
              <w:pStyle w:val="TableText0"/>
              <w:jc w:val="center"/>
            </w:pPr>
            <w:r w:rsidRPr="00DF72FC">
              <w:t>6%</w:t>
            </w:r>
          </w:p>
        </w:tc>
        <w:tc>
          <w:tcPr>
            <w:tcW w:w="578" w:type="pct"/>
            <w:tcBorders>
              <w:top w:val="single" w:sz="4" w:space="0" w:color="auto"/>
              <w:left w:val="nil"/>
              <w:bottom w:val="single" w:sz="4" w:space="0" w:color="auto"/>
              <w:right w:val="single" w:sz="4" w:space="0" w:color="auto"/>
            </w:tcBorders>
          </w:tcPr>
          <w:p w14:paraId="72CBB7FE" w14:textId="77777777" w:rsidR="004A30FE" w:rsidRPr="00DF72FC" w:rsidRDefault="004A30FE" w:rsidP="0049200A">
            <w:pPr>
              <w:pStyle w:val="TableText0"/>
              <w:jc w:val="center"/>
            </w:pPr>
            <w:r w:rsidRPr="00DF72FC">
              <w:t>12%</w:t>
            </w:r>
          </w:p>
        </w:tc>
        <w:tc>
          <w:tcPr>
            <w:tcW w:w="578" w:type="pct"/>
            <w:tcBorders>
              <w:top w:val="single" w:sz="4" w:space="0" w:color="auto"/>
              <w:left w:val="nil"/>
              <w:bottom w:val="single" w:sz="4" w:space="0" w:color="auto"/>
              <w:right w:val="single" w:sz="4" w:space="0" w:color="auto"/>
            </w:tcBorders>
          </w:tcPr>
          <w:p w14:paraId="0C5E820A" w14:textId="77777777" w:rsidR="004A30FE" w:rsidRPr="00DF72FC" w:rsidRDefault="004A30FE" w:rsidP="0049200A">
            <w:pPr>
              <w:pStyle w:val="TableText0"/>
              <w:jc w:val="center"/>
            </w:pPr>
            <w:r w:rsidRPr="00DF72FC">
              <w:t>18%</w:t>
            </w:r>
          </w:p>
        </w:tc>
        <w:tc>
          <w:tcPr>
            <w:tcW w:w="578" w:type="pct"/>
            <w:tcBorders>
              <w:top w:val="single" w:sz="4" w:space="0" w:color="auto"/>
              <w:left w:val="nil"/>
              <w:bottom w:val="single" w:sz="4" w:space="0" w:color="auto"/>
              <w:right w:val="single" w:sz="4" w:space="0" w:color="auto"/>
            </w:tcBorders>
          </w:tcPr>
          <w:p w14:paraId="20AF695D" w14:textId="77777777" w:rsidR="004A30FE" w:rsidRPr="00DF72FC" w:rsidRDefault="004A30FE" w:rsidP="0049200A">
            <w:pPr>
              <w:pStyle w:val="TableText0"/>
              <w:jc w:val="center"/>
            </w:pPr>
            <w:r w:rsidRPr="00DF72FC">
              <w:t>25%</w:t>
            </w:r>
          </w:p>
        </w:tc>
        <w:tc>
          <w:tcPr>
            <w:tcW w:w="581" w:type="pct"/>
            <w:tcBorders>
              <w:top w:val="single" w:sz="4" w:space="0" w:color="auto"/>
              <w:left w:val="nil"/>
              <w:bottom w:val="single" w:sz="4" w:space="0" w:color="auto"/>
              <w:right w:val="single" w:sz="4" w:space="0" w:color="auto"/>
            </w:tcBorders>
          </w:tcPr>
          <w:p w14:paraId="0469E350" w14:textId="77777777" w:rsidR="004A30FE" w:rsidRPr="00DF72FC" w:rsidRDefault="004A30FE" w:rsidP="0049200A">
            <w:pPr>
              <w:pStyle w:val="TableText0"/>
              <w:jc w:val="center"/>
            </w:pPr>
            <w:r w:rsidRPr="00DF72FC">
              <w:t>32%</w:t>
            </w:r>
          </w:p>
        </w:tc>
      </w:tr>
    </w:tbl>
    <w:p w14:paraId="0F0DF1E0" w14:textId="0E47DD09" w:rsidR="004A30FE" w:rsidRPr="00AD2935" w:rsidRDefault="004A30FE" w:rsidP="0049200A">
      <w:pPr>
        <w:pStyle w:val="TableFigureFooter"/>
        <w:spacing w:after="0"/>
        <w:rPr>
          <w:lang w:val="en-US"/>
        </w:rPr>
      </w:pPr>
      <w:r w:rsidRPr="000926B0">
        <w:rPr>
          <w:lang w:val="en-US"/>
        </w:rPr>
        <w:t xml:space="preserve">Source: Table </w:t>
      </w:r>
      <w:r>
        <w:rPr>
          <w:lang w:val="en-US"/>
        </w:rPr>
        <w:t>4.7.1</w:t>
      </w:r>
      <w:r w:rsidRPr="000926B0">
        <w:rPr>
          <w:lang w:val="en-US"/>
        </w:rPr>
        <w:t>, p</w:t>
      </w:r>
      <w:r>
        <w:rPr>
          <w:lang w:val="en-US"/>
        </w:rPr>
        <w:t>p</w:t>
      </w:r>
      <w:r w:rsidRPr="000926B0">
        <w:rPr>
          <w:lang w:val="en-US"/>
        </w:rPr>
        <w:t>89</w:t>
      </w:r>
      <w:r>
        <w:rPr>
          <w:lang w:val="en-US"/>
        </w:rPr>
        <w:t>-90</w:t>
      </w:r>
      <w:r w:rsidRPr="000926B0">
        <w:rPr>
          <w:lang w:val="en-US"/>
        </w:rPr>
        <w:t xml:space="preserve"> of the submission, sheet ‘</w:t>
      </w:r>
      <w:r>
        <w:rPr>
          <w:lang w:val="en-US"/>
        </w:rPr>
        <w:t>Botulinum Toxin PBS Services’</w:t>
      </w:r>
      <w:r w:rsidRPr="000926B0">
        <w:rPr>
          <w:lang w:val="en-US"/>
        </w:rPr>
        <w:t xml:space="preserve"> of the </w:t>
      </w:r>
      <w:r>
        <w:rPr>
          <w:lang w:val="en-US"/>
        </w:rPr>
        <w:t>Workbook 4</w:t>
      </w:r>
      <w:r w:rsidRPr="000926B0">
        <w:rPr>
          <w:lang w:val="en-US"/>
        </w:rPr>
        <w:t>.</w:t>
      </w:r>
    </w:p>
    <w:p w14:paraId="2504CD35" w14:textId="3127A35B" w:rsidR="004A30FE" w:rsidRDefault="004A30FE" w:rsidP="0049200A">
      <w:pPr>
        <w:pStyle w:val="FooterTableFigure"/>
      </w:pPr>
      <w:r w:rsidRPr="008275D3">
        <w:rPr>
          <w:vertAlign w:val="superscript"/>
        </w:rPr>
        <w:t>a</w:t>
      </w:r>
      <w:r>
        <w:t xml:space="preserve"> </w:t>
      </w:r>
      <w:r w:rsidR="00F1585B">
        <w:t>Base case uptake rates</w:t>
      </w:r>
      <w:r>
        <w:t xml:space="preserve">: </w:t>
      </w:r>
      <w:r w:rsidR="000C2A4B" w:rsidRPr="00BE223C">
        <w:rPr>
          <w:color w:val="000000"/>
          <w:spacing w:val="78"/>
          <w:shd w:val="solid" w:color="000000" w:fill="000000"/>
          <w:fitText w:val="274" w:id="-632147702"/>
          <w14:textFill>
            <w14:solidFill>
              <w14:srgbClr w14:val="000000">
                <w14:alpha w14:val="100000"/>
              </w14:srgbClr>
            </w14:solidFill>
          </w14:textFill>
        </w:rPr>
        <w:t>|</w:t>
      </w:r>
      <w:r w:rsidR="00BE223C" w:rsidRPr="00BE223C">
        <w:rPr>
          <w:color w:val="000000"/>
          <w:spacing w:val="78"/>
          <w:shd w:val="solid" w:color="000000" w:fill="000000"/>
          <w:fitText w:val="274" w:id="-632147702"/>
          <w14:textFill>
            <w14:solidFill>
              <w14:srgbClr w14:val="000000">
                <w14:alpha w14:val="100000"/>
              </w14:srgbClr>
            </w14:solidFill>
          </w14:textFill>
        </w:rPr>
        <w:t xml:space="preserve"> </w:t>
      </w:r>
      <w:r w:rsidR="000C2A4B" w:rsidRPr="00BE223C">
        <w:rPr>
          <w:color w:val="000000"/>
          <w:spacing w:val="1"/>
          <w:shd w:val="solid" w:color="000000" w:fill="000000"/>
          <w:fitText w:val="274" w:id="-632147702"/>
          <w14:textFill>
            <w14:solidFill>
              <w14:srgbClr w14:val="000000">
                <w14:alpha w14:val="100000"/>
              </w14:srgbClr>
            </w14:solidFill>
          </w14:textFill>
        </w:rPr>
        <w:t>|</w:t>
      </w:r>
      <w:r w:rsidRPr="000926B0">
        <w:t>% in Year 1</w:t>
      </w:r>
      <w:r>
        <w:t xml:space="preserve">, </w:t>
      </w:r>
      <w:r w:rsidR="000C2A4B" w:rsidRPr="00BE223C">
        <w:rPr>
          <w:color w:val="000000"/>
          <w:spacing w:val="78"/>
          <w:shd w:val="solid" w:color="000000" w:fill="000000"/>
          <w:fitText w:val="274" w:id="-632147701"/>
          <w14:textFill>
            <w14:solidFill>
              <w14:srgbClr w14:val="000000">
                <w14:alpha w14:val="100000"/>
              </w14:srgbClr>
            </w14:solidFill>
          </w14:textFill>
        </w:rPr>
        <w:t>|</w:t>
      </w:r>
      <w:r w:rsidR="00BE223C" w:rsidRPr="00BE223C">
        <w:rPr>
          <w:color w:val="000000"/>
          <w:spacing w:val="78"/>
          <w:shd w:val="solid" w:color="000000" w:fill="000000"/>
          <w:fitText w:val="274" w:id="-632147701"/>
          <w14:textFill>
            <w14:solidFill>
              <w14:srgbClr w14:val="000000">
                <w14:alpha w14:val="100000"/>
              </w14:srgbClr>
            </w14:solidFill>
          </w14:textFill>
        </w:rPr>
        <w:t xml:space="preserve"> </w:t>
      </w:r>
      <w:r w:rsidR="000C2A4B" w:rsidRPr="00BE223C">
        <w:rPr>
          <w:color w:val="000000"/>
          <w:spacing w:val="1"/>
          <w:shd w:val="solid" w:color="000000" w:fill="000000"/>
          <w:fitText w:val="274" w:id="-632147701"/>
          <w14:textFill>
            <w14:solidFill>
              <w14:srgbClr w14:val="000000">
                <w14:alpha w14:val="100000"/>
              </w14:srgbClr>
            </w14:solidFill>
          </w14:textFill>
        </w:rPr>
        <w:t>|</w:t>
      </w:r>
      <w:r>
        <w:t xml:space="preserve">% in Year 2, </w:t>
      </w:r>
      <w:r w:rsidR="000C2A4B" w:rsidRPr="00BE223C">
        <w:rPr>
          <w:color w:val="000000"/>
          <w:spacing w:val="81"/>
          <w:shd w:val="solid" w:color="000000" w:fill="000000"/>
          <w:fitText w:val="280" w:id="-632147700"/>
          <w14:textFill>
            <w14:solidFill>
              <w14:srgbClr w14:val="000000">
                <w14:alpha w14:val="100000"/>
              </w14:srgbClr>
            </w14:solidFill>
          </w14:textFill>
        </w:rPr>
        <w:t>|</w:t>
      </w:r>
      <w:r w:rsidR="00BE223C" w:rsidRPr="00BE223C">
        <w:rPr>
          <w:color w:val="000000"/>
          <w:spacing w:val="81"/>
          <w:shd w:val="solid" w:color="000000" w:fill="000000"/>
          <w:fitText w:val="280" w:id="-632147700"/>
          <w14:textFill>
            <w14:solidFill>
              <w14:srgbClr w14:val="000000">
                <w14:alpha w14:val="100000"/>
              </w14:srgbClr>
            </w14:solidFill>
          </w14:textFill>
        </w:rPr>
        <w:t xml:space="preserve"> </w:t>
      </w:r>
      <w:r w:rsidR="000C2A4B" w:rsidRPr="00BE223C">
        <w:rPr>
          <w:color w:val="000000"/>
          <w:spacing w:val="1"/>
          <w:shd w:val="solid" w:color="000000" w:fill="000000"/>
          <w:fitText w:val="280" w:id="-632147700"/>
          <w14:textFill>
            <w14:solidFill>
              <w14:srgbClr w14:val="000000">
                <w14:alpha w14:val="100000"/>
              </w14:srgbClr>
            </w14:solidFill>
          </w14:textFill>
        </w:rPr>
        <w:t>|</w:t>
      </w:r>
      <w:r>
        <w:t xml:space="preserve">% in Years 3-4 and </w:t>
      </w:r>
      <w:r w:rsidR="000C2A4B" w:rsidRPr="00BE223C">
        <w:rPr>
          <w:color w:val="000000"/>
          <w:spacing w:val="81"/>
          <w:shd w:val="solid" w:color="000000" w:fill="000000"/>
          <w:fitText w:val="280" w:id="-632147699"/>
          <w14:textFill>
            <w14:solidFill>
              <w14:srgbClr w14:val="000000">
                <w14:alpha w14:val="100000"/>
              </w14:srgbClr>
            </w14:solidFill>
          </w14:textFill>
        </w:rPr>
        <w:t>|</w:t>
      </w:r>
      <w:r w:rsidR="00BE223C" w:rsidRPr="00BE223C">
        <w:rPr>
          <w:color w:val="000000"/>
          <w:spacing w:val="81"/>
          <w:shd w:val="solid" w:color="000000" w:fill="000000"/>
          <w:fitText w:val="280" w:id="-632147699"/>
          <w14:textFill>
            <w14:solidFill>
              <w14:srgbClr w14:val="000000">
                <w14:alpha w14:val="100000"/>
              </w14:srgbClr>
            </w14:solidFill>
          </w14:textFill>
        </w:rPr>
        <w:t xml:space="preserve"> </w:t>
      </w:r>
      <w:r w:rsidR="000C2A4B" w:rsidRPr="00BE223C">
        <w:rPr>
          <w:color w:val="000000"/>
          <w:spacing w:val="1"/>
          <w:shd w:val="solid" w:color="000000" w:fill="000000"/>
          <w:fitText w:val="280" w:id="-632147699"/>
          <w14:textFill>
            <w14:solidFill>
              <w14:srgbClr w14:val="000000">
                <w14:alpha w14:val="100000"/>
              </w14:srgbClr>
            </w14:solidFill>
          </w14:textFill>
        </w:rPr>
        <w:t>|</w:t>
      </w:r>
      <w:r w:rsidRPr="000926B0">
        <w:t>% in Year</w:t>
      </w:r>
      <w:r>
        <w:t>s 5-6</w:t>
      </w:r>
    </w:p>
    <w:p w14:paraId="65F35F4D" w14:textId="3EF1DF35" w:rsidR="009C5665" w:rsidRDefault="009C5665" w:rsidP="0049200A">
      <w:pPr>
        <w:pStyle w:val="FooterTableFigure"/>
        <w:spacing w:after="0"/>
      </w:pPr>
      <w:r w:rsidRPr="00AD2935">
        <w:rPr>
          <w:vertAlign w:val="superscript"/>
        </w:rPr>
        <w:t xml:space="preserve">b </w:t>
      </w:r>
      <w:r w:rsidR="00313EFE" w:rsidRPr="00AD2935">
        <w:t>Added during the evaluation.</w:t>
      </w:r>
    </w:p>
    <w:p w14:paraId="418C955F" w14:textId="1BA84095" w:rsidR="00FF4C9A" w:rsidRPr="00FF4C9A" w:rsidRDefault="00FF4C9A" w:rsidP="0049200A">
      <w:pPr>
        <w:spacing w:after="0"/>
        <w:ind w:right="147"/>
        <w:rPr>
          <w:rFonts w:ascii="Arial Narrow" w:hAnsi="Arial Narrow"/>
          <w:i/>
          <w:iCs/>
          <w:color w:val="333333"/>
          <w:sz w:val="18"/>
          <w:szCs w:val="18"/>
        </w:rPr>
      </w:pPr>
      <w:r w:rsidRPr="00FF4C9A">
        <w:rPr>
          <w:rFonts w:ascii="Arial Narrow" w:hAnsi="Arial Narrow"/>
          <w:i/>
          <w:iCs/>
          <w:color w:val="333333"/>
          <w:sz w:val="18"/>
          <w:szCs w:val="18"/>
        </w:rPr>
        <w:t>The redacted values correspond to the following ranges:</w:t>
      </w:r>
    </w:p>
    <w:p w14:paraId="7D9BB268" w14:textId="0ECF4B68" w:rsidR="00F84807" w:rsidRPr="00F50E78" w:rsidRDefault="00B3772B" w:rsidP="0049200A">
      <w:pPr>
        <w:spacing w:after="0"/>
        <w:ind w:right="147"/>
        <w:rPr>
          <w:rFonts w:ascii="Arial Narrow" w:hAnsi="Arial Narrow"/>
          <w:i/>
          <w:iCs/>
          <w:color w:val="333333"/>
          <w:sz w:val="18"/>
          <w:szCs w:val="18"/>
        </w:rPr>
      </w:pPr>
      <w:r w:rsidRPr="00F50E78">
        <w:rPr>
          <w:rFonts w:ascii="Arial Narrow" w:hAnsi="Arial Narrow"/>
          <w:i/>
          <w:iCs/>
          <w:color w:val="333333"/>
          <w:sz w:val="18"/>
          <w:szCs w:val="18"/>
          <w:vertAlign w:val="superscript"/>
        </w:rPr>
        <w:t xml:space="preserve">1 </w:t>
      </w:r>
      <w:r w:rsidR="00962732" w:rsidRPr="00F50E78">
        <w:rPr>
          <w:rFonts w:ascii="Arial Narrow" w:hAnsi="Arial Narrow"/>
          <w:i/>
          <w:iCs/>
          <w:color w:val="333333"/>
          <w:sz w:val="18"/>
          <w:szCs w:val="18"/>
        </w:rPr>
        <w:t>$0 to &lt; $10 million</w:t>
      </w:r>
    </w:p>
    <w:p w14:paraId="7E693370" w14:textId="77777777" w:rsidR="00F84807" w:rsidRPr="00AD2935" w:rsidRDefault="00F84807" w:rsidP="0049200A">
      <w:pPr>
        <w:pStyle w:val="FooterTableFigure"/>
      </w:pPr>
    </w:p>
    <w:p w14:paraId="4F31CCD7" w14:textId="308DD784" w:rsidR="009E0CFB" w:rsidRPr="002632F1" w:rsidRDefault="004A30FE" w:rsidP="0049200A">
      <w:pPr>
        <w:pStyle w:val="3-BodyText"/>
        <w:numPr>
          <w:ilvl w:val="1"/>
          <w:numId w:val="1"/>
        </w:numPr>
        <w:spacing w:before="0" w:after="120"/>
        <w:rPr>
          <w:iCs/>
        </w:rPr>
      </w:pPr>
      <w:r w:rsidRPr="002632F1">
        <w:rPr>
          <w:iCs/>
        </w:rPr>
        <w:t>The net financial implication</w:t>
      </w:r>
      <w:r w:rsidR="004A448D" w:rsidRPr="002632F1">
        <w:rPr>
          <w:iCs/>
        </w:rPr>
        <w:t>s</w:t>
      </w:r>
      <w:r w:rsidRPr="002632F1">
        <w:rPr>
          <w:iCs/>
        </w:rPr>
        <w:t xml:space="preserve"> for Government </w:t>
      </w:r>
      <w:r w:rsidR="003134EF" w:rsidRPr="002632F1">
        <w:rPr>
          <w:iCs/>
        </w:rPr>
        <w:t>were</w:t>
      </w:r>
      <w:r w:rsidR="00E4045C" w:rsidRPr="002632F1">
        <w:rPr>
          <w:iCs/>
        </w:rPr>
        <w:t xml:space="preserve"> </w:t>
      </w:r>
      <w:r w:rsidRPr="002632F1">
        <w:rPr>
          <w:iCs/>
        </w:rPr>
        <w:t>sensitive to the botulinum toxin market growth rate</w:t>
      </w:r>
      <w:r w:rsidR="004409FF" w:rsidRPr="002632F1">
        <w:rPr>
          <w:iCs/>
        </w:rPr>
        <w:t xml:space="preserve">. </w:t>
      </w:r>
      <w:r w:rsidRPr="002632F1">
        <w:rPr>
          <w:iCs/>
        </w:rPr>
        <w:t xml:space="preserve">Assuming a constant </w:t>
      </w:r>
      <w:r w:rsidR="000C2A4B" w:rsidRPr="00AD57D3">
        <w:rPr>
          <w:iCs/>
          <w:color w:val="000000"/>
          <w:w w:val="15"/>
          <w:shd w:val="solid" w:color="000000" w:fill="000000"/>
          <w:fitText w:val="-20" w:id="-632147698"/>
          <w14:textFill>
            <w14:solidFill>
              <w14:srgbClr w14:val="000000">
                <w14:alpha w14:val="100000"/>
              </w14:srgbClr>
            </w14:solidFill>
          </w14:textFill>
        </w:rPr>
        <w:t>|</w:t>
      </w:r>
      <w:r w:rsidR="00BE223C" w:rsidRPr="00AD57D3">
        <w:rPr>
          <w:iCs/>
          <w:color w:val="000000"/>
          <w:w w:val="15"/>
          <w:shd w:val="solid" w:color="000000" w:fill="000000"/>
          <w:fitText w:val="-20" w:id="-632147698"/>
          <w14:textFill>
            <w14:solidFill>
              <w14:srgbClr w14:val="000000">
                <w14:alpha w14:val="100000"/>
              </w14:srgbClr>
            </w14:solidFill>
          </w14:textFill>
        </w:rPr>
        <w:t xml:space="preserve"> </w:t>
      </w:r>
      <w:r w:rsidR="000C2A4B" w:rsidRPr="00AD57D3">
        <w:rPr>
          <w:iCs/>
          <w:color w:val="000000"/>
          <w:spacing w:val="-61"/>
          <w:w w:val="15"/>
          <w:shd w:val="solid" w:color="000000" w:fill="000000"/>
          <w:fitText w:val="-20" w:id="-632147698"/>
          <w14:textFill>
            <w14:solidFill>
              <w14:srgbClr w14:val="000000">
                <w14:alpha w14:val="100000"/>
              </w14:srgbClr>
            </w14:solidFill>
          </w14:textFill>
        </w:rPr>
        <w:t>|</w:t>
      </w:r>
      <w:r w:rsidRPr="002632F1">
        <w:rPr>
          <w:iCs/>
        </w:rPr>
        <w:t>% growth rate for the botulinum toxin market</w:t>
      </w:r>
      <w:r w:rsidR="003134EF" w:rsidRPr="002632F1">
        <w:rPr>
          <w:iCs/>
        </w:rPr>
        <w:t xml:space="preserve">, </w:t>
      </w:r>
      <w:r w:rsidRPr="002632F1">
        <w:rPr>
          <w:iCs/>
        </w:rPr>
        <w:t xml:space="preserve">the cost savings to Government </w:t>
      </w:r>
      <w:r w:rsidR="003134EF" w:rsidRPr="002632F1">
        <w:rPr>
          <w:iCs/>
        </w:rPr>
        <w:t xml:space="preserve">increased </w:t>
      </w:r>
      <w:r w:rsidRPr="00F50E78">
        <w:rPr>
          <w:iCs/>
        </w:rPr>
        <w:t>by 21</w:t>
      </w:r>
      <w:r w:rsidRPr="002632F1">
        <w:rPr>
          <w:iCs/>
        </w:rPr>
        <w:t>% over 6 years.</w:t>
      </w:r>
      <w:r w:rsidR="00775831" w:rsidRPr="002632F1">
        <w:rPr>
          <w:iCs/>
        </w:rPr>
        <w:t xml:space="preserve"> It was also sensitive to the </w:t>
      </w:r>
      <w:r w:rsidR="0096725A" w:rsidRPr="002632F1">
        <w:rPr>
          <w:iCs/>
        </w:rPr>
        <w:t>h</w:t>
      </w:r>
      <w:r w:rsidR="00775831" w:rsidRPr="002632F1">
        <w:rPr>
          <w:iCs/>
        </w:rPr>
        <w:t>igher uptake rate (+</w:t>
      </w:r>
      <w:r w:rsidR="000C2A4B" w:rsidRPr="00AD57D3">
        <w:rPr>
          <w:iCs/>
          <w:color w:val="000000"/>
          <w:w w:val="15"/>
          <w:shd w:val="solid" w:color="000000" w:fill="000000"/>
          <w:fitText w:val="-20" w:id="-632147697"/>
          <w14:textFill>
            <w14:solidFill>
              <w14:srgbClr w14:val="000000">
                <w14:alpha w14:val="100000"/>
              </w14:srgbClr>
            </w14:solidFill>
          </w14:textFill>
        </w:rPr>
        <w:t>|</w:t>
      </w:r>
      <w:r w:rsidR="00BE223C" w:rsidRPr="00AD57D3">
        <w:rPr>
          <w:iCs/>
          <w:color w:val="000000"/>
          <w:w w:val="15"/>
          <w:shd w:val="solid" w:color="000000" w:fill="000000"/>
          <w:fitText w:val="-20" w:id="-632147697"/>
          <w14:textFill>
            <w14:solidFill>
              <w14:srgbClr w14:val="000000">
                <w14:alpha w14:val="100000"/>
              </w14:srgbClr>
            </w14:solidFill>
          </w14:textFill>
        </w:rPr>
        <w:t xml:space="preserve"> </w:t>
      </w:r>
      <w:r w:rsidR="000C2A4B" w:rsidRPr="00AD57D3">
        <w:rPr>
          <w:iCs/>
          <w:color w:val="000000"/>
          <w:spacing w:val="-61"/>
          <w:w w:val="15"/>
          <w:shd w:val="solid" w:color="000000" w:fill="000000"/>
          <w:fitText w:val="-20" w:id="-632147697"/>
          <w14:textFill>
            <w14:solidFill>
              <w14:srgbClr w14:val="000000">
                <w14:alpha w14:val="100000"/>
              </w14:srgbClr>
            </w14:solidFill>
          </w14:textFill>
        </w:rPr>
        <w:t>|</w:t>
      </w:r>
      <w:r w:rsidR="00775831" w:rsidRPr="002632F1">
        <w:rPr>
          <w:iCs/>
        </w:rPr>
        <w:t>% from the base case).</w:t>
      </w:r>
    </w:p>
    <w:p w14:paraId="50D9A103" w14:textId="71ADCB4C" w:rsidR="0090592F" w:rsidRDefault="000D6F60" w:rsidP="0049200A">
      <w:pPr>
        <w:pStyle w:val="3-BodyText"/>
        <w:numPr>
          <w:ilvl w:val="0"/>
          <w:numId w:val="0"/>
        </w:numPr>
        <w:spacing w:before="0" w:after="120"/>
        <w:ind w:firstLine="720"/>
        <w:rPr>
          <w:i/>
          <w:iCs/>
        </w:rPr>
      </w:pPr>
      <w:r w:rsidRPr="000D6F60">
        <w:rPr>
          <w:i/>
          <w:iCs/>
        </w:rPr>
        <w:t>For more detail on PBAC’s view, see section 7 PBAC outcome.</w:t>
      </w:r>
    </w:p>
    <w:p w14:paraId="442A549F" w14:textId="7ECA2FBA" w:rsidR="0090592F" w:rsidRDefault="00655090" w:rsidP="0049200A">
      <w:pPr>
        <w:pStyle w:val="2-SectionHeading"/>
      </w:pPr>
      <w:r>
        <w:t xml:space="preserve">PBAC Outcome </w:t>
      </w:r>
    </w:p>
    <w:p w14:paraId="091AEAB7" w14:textId="0E3B26F7" w:rsidR="00D57593" w:rsidRDefault="00BA1AD2" w:rsidP="0049200A">
      <w:pPr>
        <w:pStyle w:val="3-BodyText"/>
      </w:pPr>
      <w:r>
        <w:t xml:space="preserve">The PBAC </w:t>
      </w:r>
      <w:r w:rsidRPr="00BA1AD2">
        <w:t xml:space="preserve">recommended the </w:t>
      </w:r>
      <w:r w:rsidR="006A14D7">
        <w:t>Authority required (</w:t>
      </w:r>
      <w:r w:rsidR="009D7525">
        <w:t>STREAMLINED</w:t>
      </w:r>
      <w:r w:rsidR="006A14D7">
        <w:t>)</w:t>
      </w:r>
      <w:r w:rsidR="00E21F8C">
        <w:t xml:space="preserve"> </w:t>
      </w:r>
      <w:r w:rsidRPr="00BA1AD2">
        <w:t xml:space="preserve">listing of </w:t>
      </w:r>
      <w:r w:rsidR="004F3763">
        <w:t>incobotulinum</w:t>
      </w:r>
      <w:r w:rsidRPr="00BA1AD2">
        <w:t>toxin</w:t>
      </w:r>
      <w:r w:rsidR="004F3763">
        <w:t>A</w:t>
      </w:r>
      <w:r w:rsidRPr="00BA1AD2">
        <w:t xml:space="preserve"> (</w:t>
      </w:r>
      <w:r w:rsidR="004F3763">
        <w:t>Xeomin</w:t>
      </w:r>
      <w:bookmarkStart w:id="82" w:name="_Hlk205197825"/>
      <w:r w:rsidRPr="00BA1AD2">
        <w:t>®</w:t>
      </w:r>
      <w:bookmarkEnd w:id="82"/>
      <w:r w:rsidRPr="00BA1AD2">
        <w:t>), on the basis that it should be available only under special arrangements under Section 100 (Botulinum Toxin Program), for the treatment of moderate to severe spasticity of the upper limb</w:t>
      </w:r>
      <w:r w:rsidR="00745FCF">
        <w:t xml:space="preserve"> and d</w:t>
      </w:r>
      <w:r w:rsidR="00745FCF" w:rsidRPr="00745FCF">
        <w:t>ynamic equinus foot deformity</w:t>
      </w:r>
      <w:r w:rsidRPr="00BA1AD2">
        <w:t xml:space="preserve"> in patients with cerebral palsy.</w:t>
      </w:r>
      <w:r w:rsidR="003D2A4D" w:rsidRPr="003D2A4D">
        <w:t xml:space="preserve"> </w:t>
      </w:r>
      <w:r w:rsidR="003D2A4D">
        <w:t xml:space="preserve">The PBAC’s recommendation for listing was based on, among other matters, its assessment that </w:t>
      </w:r>
      <w:r w:rsidR="00E25E06">
        <w:t>Xeomin</w:t>
      </w:r>
      <w:r w:rsidR="003D2A4D">
        <w:t xml:space="preserve"> would be cost-effective if it </w:t>
      </w:r>
      <w:r w:rsidR="00045FEA">
        <w:t xml:space="preserve">cost no more than the lowest cost alternative therapy </w:t>
      </w:r>
      <w:r w:rsidR="000827AB">
        <w:t xml:space="preserve">– </w:t>
      </w:r>
      <w:r w:rsidR="006B1F32" w:rsidRPr="006B1F32">
        <w:t>botulinum toxin type A</w:t>
      </w:r>
      <w:r w:rsidR="006B1F32">
        <w:t xml:space="preserve"> (Botox</w:t>
      </w:r>
      <w:r w:rsidR="006D38CE" w:rsidRPr="006D38CE">
        <w:t>®</w:t>
      </w:r>
      <w:r w:rsidR="006D38CE">
        <w:t xml:space="preserve">) </w:t>
      </w:r>
      <w:r w:rsidR="003D2A4D">
        <w:t xml:space="preserve">or </w:t>
      </w:r>
      <w:r w:rsidR="00075F8F">
        <w:t xml:space="preserve">clostridium botulinum </w:t>
      </w:r>
      <w:r w:rsidR="00C077D8">
        <w:t>t</w:t>
      </w:r>
      <w:r w:rsidR="00075F8F">
        <w:t>ype A toxin-haemagglutinin complex (</w:t>
      </w:r>
      <w:r w:rsidR="006D38CE">
        <w:t>Dysport</w:t>
      </w:r>
      <w:r w:rsidR="00075F8F" w:rsidRPr="00075F8F">
        <w:t>®</w:t>
      </w:r>
      <w:r w:rsidR="00075F8F">
        <w:t>)</w:t>
      </w:r>
      <w:r w:rsidR="00276209">
        <w:t>.</w:t>
      </w:r>
      <w:r w:rsidR="00BE223C">
        <w:t xml:space="preserve"> </w:t>
      </w:r>
    </w:p>
    <w:p w14:paraId="51A23B19" w14:textId="2BD108FB" w:rsidR="003348F9" w:rsidRDefault="001859E1" w:rsidP="0049200A">
      <w:pPr>
        <w:pStyle w:val="3-BodyText"/>
      </w:pPr>
      <w:r>
        <w:t xml:space="preserve">The PBAC considered that </w:t>
      </w:r>
      <w:r w:rsidR="006A7079">
        <w:t>the nominated comparator of Botox was appropriate.</w:t>
      </w:r>
      <w:r w:rsidR="00A22C19">
        <w:t xml:space="preserve"> The PBAC considered that Dysport was also an </w:t>
      </w:r>
      <w:r w:rsidR="00936EE7">
        <w:t>alternative therapy</w:t>
      </w:r>
      <w:r w:rsidR="00A22C19">
        <w:t>.</w:t>
      </w:r>
    </w:p>
    <w:p w14:paraId="42AA0511" w14:textId="718A7552" w:rsidR="00FD4A9E" w:rsidRDefault="00150AD1" w:rsidP="0049200A">
      <w:pPr>
        <w:pStyle w:val="3-BodyText"/>
      </w:pPr>
      <w:r>
        <w:t xml:space="preserve">The PBAC noted there were no </w:t>
      </w:r>
      <w:r w:rsidRPr="00150AD1">
        <w:t xml:space="preserve">direct head-to-head trials comparing Xeomin and Botox for upper and lower limb spasticity </w:t>
      </w:r>
      <w:r>
        <w:t xml:space="preserve">and </w:t>
      </w:r>
      <w:r w:rsidR="00806556">
        <w:t xml:space="preserve">that the submission was based on </w:t>
      </w:r>
      <w:r w:rsidR="00C52215">
        <w:lastRenderedPageBreak/>
        <w:t xml:space="preserve">unadjusted </w:t>
      </w:r>
      <w:r w:rsidR="00EE33A3">
        <w:t xml:space="preserve">comparisons between </w:t>
      </w:r>
      <w:r w:rsidR="008433EB">
        <w:t xml:space="preserve">results of </w:t>
      </w:r>
      <w:r w:rsidR="00AD240E">
        <w:t>two Xeomin trials (</w:t>
      </w:r>
      <w:r w:rsidR="008433EB">
        <w:t xml:space="preserve">TIM and ZARA) </w:t>
      </w:r>
      <w:r w:rsidR="00BD7DBB">
        <w:t xml:space="preserve">and </w:t>
      </w:r>
      <w:r w:rsidR="003405A6">
        <w:t>four Botox trials (F</w:t>
      </w:r>
      <w:r w:rsidR="003C6DB9">
        <w:t>lett 1999, Fehlings 2000, Lowe 2006 and Russo 2007).</w:t>
      </w:r>
      <w:r w:rsidR="00750DD0">
        <w:t xml:space="preserve"> The PBAC noted that TIM </w:t>
      </w:r>
      <w:r w:rsidR="0005537D">
        <w:t xml:space="preserve">was a randomised, double-blind </w:t>
      </w:r>
      <w:r w:rsidR="00593A40">
        <w:t xml:space="preserve">dose-response trial evaluating the </w:t>
      </w:r>
      <w:r w:rsidR="006B01FD">
        <w:t>efficacy and safety</w:t>
      </w:r>
      <w:r w:rsidR="00593A40">
        <w:t xml:space="preserve"> of </w:t>
      </w:r>
      <w:r w:rsidR="00E06799">
        <w:t>100 U, 200 U and 400 U Xeomin</w:t>
      </w:r>
      <w:r w:rsidR="001E3A71">
        <w:t xml:space="preserve"> doses</w:t>
      </w:r>
      <w:r w:rsidR="00E06799">
        <w:t xml:space="preserve"> for the treatment of lower limb spasticity in patients aged 2-17 years with cereb</w:t>
      </w:r>
      <w:r w:rsidR="00A9430E">
        <w:t>r</w:t>
      </w:r>
      <w:r w:rsidR="00E06799">
        <w:t>al palsy</w:t>
      </w:r>
      <w:r w:rsidR="00922743">
        <w:t>.</w:t>
      </w:r>
      <w:r w:rsidR="00AE320E">
        <w:t xml:space="preserve"> The PBAC noted that ZARA</w:t>
      </w:r>
      <w:r w:rsidR="003273FF">
        <w:t xml:space="preserve"> was a prospective randomised, double-blind dose-response trial </w:t>
      </w:r>
      <w:r w:rsidR="006B01FD">
        <w:t>evaluating the efficacy a</w:t>
      </w:r>
      <w:r w:rsidR="00B91845">
        <w:t xml:space="preserve">nd safety of 50 U, 150 U and 200 U Xeomin doses for the treatment of upper limb spasticity </w:t>
      </w:r>
      <w:r w:rsidR="00F0651B">
        <w:t>alone or combined upper and lower limb spasticity in patients aged 2</w:t>
      </w:r>
      <w:r w:rsidR="009B594F">
        <w:noBreakHyphen/>
      </w:r>
      <w:r w:rsidR="00F0651B">
        <w:t>17 years with cereb</w:t>
      </w:r>
      <w:r w:rsidR="00A9430E">
        <w:t>r</w:t>
      </w:r>
      <w:r w:rsidR="00F0651B">
        <w:t>al palsy.</w:t>
      </w:r>
    </w:p>
    <w:p w14:paraId="051DA46C" w14:textId="799DCD16" w:rsidR="00E958EB" w:rsidRDefault="00E63F4F" w:rsidP="0049200A">
      <w:pPr>
        <w:pStyle w:val="3-BodyText"/>
      </w:pPr>
      <w:r>
        <w:t xml:space="preserve">The PBAC </w:t>
      </w:r>
      <w:r w:rsidR="008B4AE9">
        <w:t>acknowledged the</w:t>
      </w:r>
      <w:r w:rsidR="00654829">
        <w:t xml:space="preserve"> limitations of </w:t>
      </w:r>
      <w:r w:rsidR="00AE053F">
        <w:t xml:space="preserve">the unadjusted comparisons </w:t>
      </w:r>
      <w:r w:rsidR="00EB29F2">
        <w:t>noting</w:t>
      </w:r>
      <w:r w:rsidR="00073369">
        <w:t xml:space="preserve"> there were</w:t>
      </w:r>
      <w:r w:rsidR="00EB29F2">
        <w:t xml:space="preserve"> </w:t>
      </w:r>
      <w:r w:rsidR="00790A85">
        <w:t>key difference</w:t>
      </w:r>
      <w:r w:rsidR="00073369">
        <w:t>s</w:t>
      </w:r>
      <w:r w:rsidR="00790A85">
        <w:t xml:space="preserve"> between the trials </w:t>
      </w:r>
      <w:r w:rsidR="00567228">
        <w:t>in dosing</w:t>
      </w:r>
      <w:r w:rsidR="00073369">
        <w:t xml:space="preserve"> regimens</w:t>
      </w:r>
      <w:r w:rsidR="00567228">
        <w:t>, outcome measures and patient characteristics.</w:t>
      </w:r>
      <w:r w:rsidR="00170FFA">
        <w:t xml:space="preserve"> </w:t>
      </w:r>
      <w:r w:rsidR="00CF15BD" w:rsidRPr="00CF15BD">
        <w:t>However, overall, the PBAC considered that the claim of non</w:t>
      </w:r>
      <w:r w:rsidR="00713959">
        <w:noBreakHyphen/>
      </w:r>
      <w:r w:rsidR="00CF15BD" w:rsidRPr="00CF15BD">
        <w:t xml:space="preserve">inferior </w:t>
      </w:r>
      <w:r w:rsidR="00052887">
        <w:t>effectiveness</w:t>
      </w:r>
      <w:r w:rsidR="00CF15BD" w:rsidRPr="00CF15BD">
        <w:t xml:space="preserve"> and safety to Botox was reasonable. The PBAC noted that </w:t>
      </w:r>
      <w:r w:rsidR="00231E88">
        <w:t xml:space="preserve">in its </w:t>
      </w:r>
      <w:r w:rsidR="00CC613E">
        <w:t xml:space="preserve">previous </w:t>
      </w:r>
      <w:r w:rsidR="00231E88">
        <w:t xml:space="preserve">consideration of Dysport for the treatment </w:t>
      </w:r>
      <w:r w:rsidR="00A96B2C">
        <w:t xml:space="preserve">of </w:t>
      </w:r>
      <w:r w:rsidR="00A96B2C" w:rsidRPr="00A96B2C">
        <w:t>moderate to severe focal spasticity of the upper limb in patients with cerebral</w:t>
      </w:r>
      <w:r w:rsidR="00976A77">
        <w:t xml:space="preserve"> palsy</w:t>
      </w:r>
      <w:r w:rsidR="00A96B2C">
        <w:t xml:space="preserve">, </w:t>
      </w:r>
      <w:r w:rsidR="00CF15BD" w:rsidRPr="00CF15BD">
        <w:t>it considered</w:t>
      </w:r>
      <w:r w:rsidR="00A96B2C">
        <w:t xml:space="preserve"> </w:t>
      </w:r>
      <w:r w:rsidR="00CF15BD" w:rsidRPr="00CF15BD">
        <w:t>Dysport was likely non-inferior to Botox in terms of efficacy and safety while acknowledging there were limitations with the comparisons such as heterogeneity</w:t>
      </w:r>
      <w:r w:rsidR="00AE28A4">
        <w:t xml:space="preserve"> (paragraph 7.7</w:t>
      </w:r>
      <w:r w:rsidR="00606699">
        <w:t>, Dysport PSD, July 2020 PBAC meeting)</w:t>
      </w:r>
      <w:r w:rsidR="00CF15BD" w:rsidRPr="00CF15BD">
        <w:t xml:space="preserve">. In addition, the PBAC recalled that when it recommended </w:t>
      </w:r>
      <w:r w:rsidR="006034CA">
        <w:t>listing</w:t>
      </w:r>
      <w:r w:rsidR="00CF15BD" w:rsidRPr="00CF15BD">
        <w:t xml:space="preserve"> Xeomin for </w:t>
      </w:r>
      <w:r w:rsidR="006754E4">
        <w:t xml:space="preserve">post-stroke </w:t>
      </w:r>
      <w:r w:rsidR="00CF15BD" w:rsidRPr="00CF15BD">
        <w:t xml:space="preserve">upper limb spasticity </w:t>
      </w:r>
      <w:proofErr w:type="gramStart"/>
      <w:r w:rsidR="00CF15BD" w:rsidRPr="00CF15BD">
        <w:t>on the basis of</w:t>
      </w:r>
      <w:proofErr w:type="gramEnd"/>
      <w:r w:rsidR="00CF15BD" w:rsidRPr="00CF15BD">
        <w:t xml:space="preserve"> a cost-minimisation </w:t>
      </w:r>
      <w:r w:rsidR="00BD63D5">
        <w:t>approach</w:t>
      </w:r>
      <w:r w:rsidR="00CF15BD" w:rsidRPr="00CF15BD">
        <w:t xml:space="preserve"> with Botox, it considered that both agents would likely</w:t>
      </w:r>
      <w:r w:rsidR="00CE77E4">
        <w:t xml:space="preserve"> </w:t>
      </w:r>
      <w:r w:rsidR="00CF15BD" w:rsidRPr="00CF15BD">
        <w:t>have similar clinical effects as they are analogues of each other (paragraph 6.17, Xeomin PSD, July 2014 PBAC meeting)</w:t>
      </w:r>
      <w:r w:rsidR="004968E8">
        <w:t xml:space="preserve">. </w:t>
      </w:r>
    </w:p>
    <w:p w14:paraId="37A3C6A0" w14:textId="1BD44F08" w:rsidR="00A22C19" w:rsidRDefault="00645A08" w:rsidP="0049200A">
      <w:pPr>
        <w:pStyle w:val="3-BodyText"/>
      </w:pPr>
      <w:r>
        <w:t xml:space="preserve">The </w:t>
      </w:r>
      <w:r w:rsidR="0012523A" w:rsidRPr="0012523A">
        <w:t xml:space="preserve">PBAC noted that the </w:t>
      </w:r>
      <w:r w:rsidR="00C42314">
        <w:t>Xeomin</w:t>
      </w:r>
      <w:r w:rsidR="0012523A" w:rsidRPr="0012523A">
        <w:t xml:space="preserve"> and Botox trials were conducted in the paediatric population. The PBAC agreed with the ESC in considering that, provided fixed contractures had not developed, there would be no clinical reason to expect a lack of effectiveness in adults and noting that, given the nature of the therapy, treatment was unlikely to be continued if no effect was observed.</w:t>
      </w:r>
    </w:p>
    <w:p w14:paraId="535C8758" w14:textId="2B2E8324" w:rsidR="00B30F03" w:rsidRDefault="0012542A" w:rsidP="0049200A">
      <w:pPr>
        <w:pStyle w:val="3-BodyText"/>
      </w:pPr>
      <w:r>
        <w:t xml:space="preserve">The PBAC </w:t>
      </w:r>
      <w:r w:rsidR="00AE5644">
        <w:t xml:space="preserve">noted that the submission </w:t>
      </w:r>
      <w:r w:rsidR="00DD1328">
        <w:t xml:space="preserve">presented a cost-minimisation </w:t>
      </w:r>
      <w:r w:rsidR="004F0F4E">
        <w:t xml:space="preserve">approach </w:t>
      </w:r>
      <w:r w:rsidR="0060178C">
        <w:t xml:space="preserve">between Xeomin and </w:t>
      </w:r>
      <w:r w:rsidR="00527443">
        <w:t>Botox</w:t>
      </w:r>
      <w:r w:rsidR="00761CF8">
        <w:t xml:space="preserve"> based on </w:t>
      </w:r>
      <w:r w:rsidR="00641C6A">
        <w:t xml:space="preserve">a </w:t>
      </w:r>
      <w:r w:rsidR="004B63A6">
        <w:t xml:space="preserve">proposed </w:t>
      </w:r>
      <w:r w:rsidR="00894EBD">
        <w:t>equi-effective do</w:t>
      </w:r>
      <w:r w:rsidR="00E818C0">
        <w:t xml:space="preserve">se of </w:t>
      </w:r>
      <w:r w:rsidR="00E10D45">
        <w:t xml:space="preserve">Xeomin 1 U = Botox </w:t>
      </w:r>
      <w:r w:rsidR="00FA2C17">
        <w:t>1 U</w:t>
      </w:r>
      <w:r w:rsidR="00AE66EE">
        <w:t>,</w:t>
      </w:r>
      <w:r w:rsidR="008C1E52">
        <w:t xml:space="preserve"> which </w:t>
      </w:r>
      <w:r w:rsidR="009E5AE9">
        <w:t xml:space="preserve">was </w:t>
      </w:r>
      <w:r w:rsidR="00C242FC" w:rsidRPr="00C242FC">
        <w:t>consistent with</w:t>
      </w:r>
      <w:r w:rsidR="00C242FC">
        <w:t xml:space="preserve"> its</w:t>
      </w:r>
      <w:r w:rsidR="00C242FC" w:rsidRPr="00C242FC">
        <w:t xml:space="preserve"> previous recommendation for Xeomin and Botox</w:t>
      </w:r>
      <w:r w:rsidR="00676714">
        <w:t xml:space="preserve"> across several indications (</w:t>
      </w:r>
      <w:r w:rsidR="001B72F6">
        <w:t>para</w:t>
      </w:r>
      <w:r w:rsidR="00E11976">
        <w:t>graph</w:t>
      </w:r>
      <w:r w:rsidR="001B72F6">
        <w:t xml:space="preserve"> 7.3, </w:t>
      </w:r>
      <w:r w:rsidR="00676714" w:rsidRPr="00CF15BD">
        <w:t>Xeomin PSD, July 2014 PBAC meeting</w:t>
      </w:r>
      <w:r w:rsidR="00676714">
        <w:t>)</w:t>
      </w:r>
      <w:r w:rsidR="00C242FC" w:rsidRPr="00C242FC">
        <w:t>.</w:t>
      </w:r>
      <w:r w:rsidR="0002524E">
        <w:t xml:space="preserve"> </w:t>
      </w:r>
      <w:r w:rsidR="00BF0543">
        <w:t xml:space="preserve">The PBAC considered that </w:t>
      </w:r>
      <w:r w:rsidR="007C186A">
        <w:t xml:space="preserve">Dysport was </w:t>
      </w:r>
      <w:r w:rsidR="0087006E">
        <w:t>also an</w:t>
      </w:r>
      <w:r w:rsidR="007C186A">
        <w:t xml:space="preserve"> alternative therapy to </w:t>
      </w:r>
      <w:r w:rsidR="00514261">
        <w:t>Xeomin</w:t>
      </w:r>
      <w:r w:rsidR="00310DA6">
        <w:t>.</w:t>
      </w:r>
      <w:r w:rsidR="00CA4FED">
        <w:t xml:space="preserve"> The PBAC noted that the pre-PBAC Response </w:t>
      </w:r>
      <w:r w:rsidR="00593E24" w:rsidRPr="00593E24">
        <w:t xml:space="preserve">proposed </w:t>
      </w:r>
      <w:r w:rsidR="006A0641">
        <w:t>that</w:t>
      </w:r>
      <w:r w:rsidR="000A0D0D">
        <w:t xml:space="preserve"> Xeomin</w:t>
      </w:r>
      <w:r w:rsidR="006A0641">
        <w:t xml:space="preserve"> </w:t>
      </w:r>
      <w:r w:rsidR="00E350B2">
        <w:t>have a higher price</w:t>
      </w:r>
      <w:r w:rsidR="0059710A">
        <w:t xml:space="preserve"> than Dysport,</w:t>
      </w:r>
      <w:r w:rsidR="000A0D0D">
        <w:t xml:space="preserve"> </w:t>
      </w:r>
      <w:r w:rsidR="00E350B2">
        <w:t xml:space="preserve">calculated using </w:t>
      </w:r>
      <w:r w:rsidR="000E0D79">
        <w:t>the prices of</w:t>
      </w:r>
      <w:r w:rsidR="00C460CF">
        <w:t xml:space="preserve"> </w:t>
      </w:r>
      <w:r w:rsidR="00C050B3">
        <w:t xml:space="preserve">Dysport and </w:t>
      </w:r>
      <w:r w:rsidR="00E350B2">
        <w:t>Botox</w:t>
      </w:r>
      <w:r w:rsidR="000E0D79">
        <w:t xml:space="preserve"> weighted by market share</w:t>
      </w:r>
      <w:r w:rsidR="00E350B2">
        <w:t>.</w:t>
      </w:r>
      <w:r w:rsidR="001E456E">
        <w:t xml:space="preserve"> </w:t>
      </w:r>
      <w:bookmarkStart w:id="83" w:name="_Hlk205202947"/>
      <w:r w:rsidR="00817369">
        <w:t>The PBAC</w:t>
      </w:r>
      <w:r w:rsidR="00402B56">
        <w:t xml:space="preserve"> noted </w:t>
      </w:r>
      <w:r w:rsidR="00447FA1">
        <w:t xml:space="preserve">it had previously considered Botox and Dysport </w:t>
      </w:r>
      <w:r w:rsidR="004368FE">
        <w:t xml:space="preserve">to have non-inferior </w:t>
      </w:r>
      <w:r w:rsidR="00EC7AFA">
        <w:t xml:space="preserve">efficacy and safety for </w:t>
      </w:r>
      <w:r w:rsidR="00EC7AFA" w:rsidRPr="00A11B60">
        <w:t>the treatment of moderate to severe focal spasticity of the upper limb in patients with cerebral palsy</w:t>
      </w:r>
      <w:r w:rsidR="00EC7AFA">
        <w:t xml:space="preserve"> </w:t>
      </w:r>
      <w:r w:rsidR="00EC7AFA" w:rsidRPr="0093714B">
        <w:t>(paragraph 7.</w:t>
      </w:r>
      <w:r w:rsidR="00EC7AFA">
        <w:t>2</w:t>
      </w:r>
      <w:r w:rsidR="00EC7AFA" w:rsidRPr="0093714B">
        <w:t xml:space="preserve">, </w:t>
      </w:r>
      <w:r w:rsidR="00EC7AFA">
        <w:t>Dysport PSD</w:t>
      </w:r>
      <w:r w:rsidR="00EC7AFA" w:rsidRPr="0093714B">
        <w:t xml:space="preserve">, July </w:t>
      </w:r>
      <w:r w:rsidR="00EC7AFA">
        <w:t>2020</w:t>
      </w:r>
      <w:r w:rsidR="00EC7AFA" w:rsidRPr="0093714B">
        <w:t xml:space="preserve"> PBAC Meeting</w:t>
      </w:r>
      <w:r w:rsidR="00EC7AFA">
        <w:t>)</w:t>
      </w:r>
      <w:r w:rsidR="00EC7AFA" w:rsidRPr="00A11B60">
        <w:t>.</w:t>
      </w:r>
      <w:r w:rsidR="00EC7AFA">
        <w:t xml:space="preserve"> </w:t>
      </w:r>
      <w:r w:rsidR="001E50DE">
        <w:t>T</w:t>
      </w:r>
      <w:r w:rsidR="00EC7AFA">
        <w:t xml:space="preserve">he </w:t>
      </w:r>
      <w:r w:rsidR="00561411">
        <w:t xml:space="preserve">evidence presented in the submission did not satisfy the PBAC that </w:t>
      </w:r>
      <w:r w:rsidR="00C554A0">
        <w:t>Xeomi</w:t>
      </w:r>
      <w:r w:rsidR="00266E7A">
        <w:t>n would be more effective or safe than Dysport</w:t>
      </w:r>
      <w:r w:rsidR="00D74F4D">
        <w:t>.</w:t>
      </w:r>
      <w:r w:rsidR="00E2002B">
        <w:t xml:space="preserve"> The PBAC noted th</w:t>
      </w:r>
      <w:r w:rsidR="00586814">
        <w:t>e</w:t>
      </w:r>
      <w:r w:rsidR="00936D41">
        <w:t xml:space="preserve"> </w:t>
      </w:r>
      <w:r w:rsidR="008A02ED">
        <w:t>submission’s</w:t>
      </w:r>
      <w:r w:rsidR="00936D41">
        <w:t xml:space="preserve"> claim that the </w:t>
      </w:r>
      <w:r w:rsidR="00F367DF">
        <w:t xml:space="preserve">structure of incobotulinum toxin may reduce </w:t>
      </w:r>
      <w:r w:rsidR="00F367DF">
        <w:lastRenderedPageBreak/>
        <w:t xml:space="preserve">immunogenic responses compared to </w:t>
      </w:r>
      <w:r w:rsidR="009F452B">
        <w:t>alternative botulinum toxin products.</w:t>
      </w:r>
      <w:r w:rsidR="004F25E1">
        <w:t xml:space="preserve"> However</w:t>
      </w:r>
      <w:r w:rsidR="007C73A5">
        <w:t>,</w:t>
      </w:r>
      <w:r w:rsidR="004F25E1">
        <w:t xml:space="preserve"> the submission did not </w:t>
      </w:r>
      <w:r w:rsidR="00B729C5">
        <w:t>demonstrate</w:t>
      </w:r>
      <w:r w:rsidR="004F25E1">
        <w:t xml:space="preserve"> </w:t>
      </w:r>
      <w:r w:rsidR="00A30935">
        <w:t>how many,</w:t>
      </w:r>
      <w:r w:rsidR="00B729C5">
        <w:t xml:space="preserve"> or</w:t>
      </w:r>
      <w:r w:rsidR="00A30935">
        <w:t xml:space="preserve"> to what extent, patients may benefit from this.</w:t>
      </w:r>
      <w:r w:rsidR="00C24B59">
        <w:t xml:space="preserve"> Further,</w:t>
      </w:r>
      <w:r w:rsidR="00333074">
        <w:t xml:space="preserve"> </w:t>
      </w:r>
      <w:r w:rsidR="00C24B59">
        <w:t>t</w:t>
      </w:r>
      <w:r w:rsidR="00333074">
        <w:t xml:space="preserve">he PBAC recalled that it had previously considered Xeomin to be non-inferior to Botox and Dysport for other indications. </w:t>
      </w:r>
      <w:r w:rsidR="00D74F4D">
        <w:t xml:space="preserve">The PBAC therefore did not consider a higher price </w:t>
      </w:r>
      <w:r w:rsidR="00C853DF">
        <w:t>than Dysport</w:t>
      </w:r>
      <w:r w:rsidR="00D74F4D">
        <w:t xml:space="preserve"> </w:t>
      </w:r>
      <w:r w:rsidR="00AF1A28">
        <w:t>was justified</w:t>
      </w:r>
      <w:r w:rsidR="005E0E65">
        <w:t xml:space="preserve">. It </w:t>
      </w:r>
      <w:r w:rsidR="00B13238">
        <w:t>advised</w:t>
      </w:r>
      <w:r w:rsidR="00A5420D">
        <w:t xml:space="preserve"> that </w:t>
      </w:r>
      <w:r w:rsidR="005D17A4">
        <w:t xml:space="preserve">Xeomin should </w:t>
      </w:r>
      <w:r w:rsidR="00776DDD">
        <w:t xml:space="preserve">be </w:t>
      </w:r>
      <w:r w:rsidR="00344198">
        <w:t xml:space="preserve">listed on a cost-minimisation basis against the least costly </w:t>
      </w:r>
      <w:r w:rsidR="00FF07D8">
        <w:t>alternative therapy (Dysport or Botox)</w:t>
      </w:r>
      <w:r w:rsidR="005D17A4">
        <w:t>.</w:t>
      </w:r>
      <w:r w:rsidR="00D74F4D">
        <w:t xml:space="preserve"> </w:t>
      </w:r>
      <w:bookmarkEnd w:id="83"/>
    </w:p>
    <w:p w14:paraId="4C0631F4" w14:textId="201B373D" w:rsidR="003379DA" w:rsidRDefault="00435F43" w:rsidP="0049200A">
      <w:pPr>
        <w:pStyle w:val="3-BodyText"/>
      </w:pPr>
      <w:r>
        <w:t xml:space="preserve">The </w:t>
      </w:r>
      <w:r w:rsidR="00F654ED">
        <w:t xml:space="preserve">PBAC </w:t>
      </w:r>
      <w:r>
        <w:t>noted</w:t>
      </w:r>
      <w:r w:rsidR="005A6F41">
        <w:t xml:space="preserve"> the </w:t>
      </w:r>
      <w:r w:rsidR="005B7C7A" w:rsidRPr="005B7C7A">
        <w:t>Pre-Sub-Committee Response</w:t>
      </w:r>
      <w:r w:rsidR="00862E17">
        <w:t xml:space="preserve"> </w:t>
      </w:r>
      <w:r w:rsidR="005A6F41">
        <w:t>claimed that dose relativit</w:t>
      </w:r>
      <w:r w:rsidR="00420FC7">
        <w:t>y</w:t>
      </w:r>
      <w:r w:rsidR="0083376F">
        <w:t xml:space="preserve"> </w:t>
      </w:r>
      <w:r w:rsidR="00174357">
        <w:t>for Botox and Dysport</w:t>
      </w:r>
      <w:r w:rsidR="0083376F">
        <w:t xml:space="preserve"> </w:t>
      </w:r>
      <w:r w:rsidR="005A6F41">
        <w:t>varie</w:t>
      </w:r>
      <w:r w:rsidR="00D63D59">
        <w:t>s</w:t>
      </w:r>
      <w:r w:rsidR="005A6F41">
        <w:t xml:space="preserve"> from 1:2 to 1:9. </w:t>
      </w:r>
      <w:r w:rsidR="006B7844">
        <w:t xml:space="preserve">The </w:t>
      </w:r>
      <w:r w:rsidR="00D9270F">
        <w:t xml:space="preserve">PBAC </w:t>
      </w:r>
      <w:r w:rsidR="002171DD">
        <w:t xml:space="preserve">reaffirmed its previous </w:t>
      </w:r>
      <w:r w:rsidR="005B5D57">
        <w:t xml:space="preserve">advice that </w:t>
      </w:r>
      <w:r w:rsidR="000B1DE1" w:rsidRPr="000B1DE1">
        <w:t>equi-effective doses based on maximum quantities dispensed should be used</w:t>
      </w:r>
      <w:r w:rsidR="00CA1F0D">
        <w:t xml:space="preserve"> </w:t>
      </w:r>
      <w:r w:rsidR="00CA1F0D" w:rsidRPr="00CA1F0D">
        <w:t>(paragraph 7.</w:t>
      </w:r>
      <w:r w:rsidR="002F6E82">
        <w:t>10</w:t>
      </w:r>
      <w:r w:rsidR="00CA1F0D" w:rsidRPr="00CA1F0D">
        <w:t>, Dysport PSD, July 2020 PBAC meeting)</w:t>
      </w:r>
      <w:r w:rsidR="000B1DE1" w:rsidRPr="000B1DE1">
        <w:t>.</w:t>
      </w:r>
      <w:r w:rsidR="002F6E82">
        <w:t xml:space="preserve"> </w:t>
      </w:r>
      <w:r w:rsidR="002E043A">
        <w:t xml:space="preserve">The </w:t>
      </w:r>
      <w:r w:rsidR="003379DA" w:rsidRPr="001B1319">
        <w:t xml:space="preserve">PBAC </w:t>
      </w:r>
      <w:r w:rsidR="003379DA">
        <w:t>advised</w:t>
      </w:r>
      <w:r w:rsidR="003379DA" w:rsidRPr="001B1319">
        <w:t xml:space="preserve"> that</w:t>
      </w:r>
      <w:r w:rsidR="003379DA">
        <w:t xml:space="preserve"> the </w:t>
      </w:r>
      <w:r w:rsidR="003379DA" w:rsidRPr="001B1319">
        <w:t xml:space="preserve">equi-effective doses </w:t>
      </w:r>
      <w:r w:rsidR="006701FA">
        <w:t>were:</w:t>
      </w:r>
    </w:p>
    <w:p w14:paraId="1D4A6C33" w14:textId="7CA6F593" w:rsidR="006701FA" w:rsidRDefault="006701FA" w:rsidP="0049200A">
      <w:pPr>
        <w:pStyle w:val="3-BodyText"/>
        <w:numPr>
          <w:ilvl w:val="0"/>
          <w:numId w:val="0"/>
        </w:numPr>
        <w:ind w:left="1440"/>
      </w:pPr>
      <w:r>
        <w:t xml:space="preserve">Xeomin 1 U = Botox 1 U </w:t>
      </w:r>
    </w:p>
    <w:p w14:paraId="64BCC6F6" w14:textId="1A4A4C7A" w:rsidR="00280444" w:rsidRDefault="00280444" w:rsidP="0049200A">
      <w:pPr>
        <w:pStyle w:val="3-BodyText"/>
        <w:numPr>
          <w:ilvl w:val="0"/>
          <w:numId w:val="0"/>
        </w:numPr>
        <w:ind w:left="1440"/>
      </w:pPr>
      <w:r>
        <w:t>Xeomin 1 U = Dysport 2.5 U</w:t>
      </w:r>
    </w:p>
    <w:p w14:paraId="72414E05" w14:textId="6C434E0D" w:rsidR="000B3BE4" w:rsidRDefault="009D52D1" w:rsidP="0049200A">
      <w:pPr>
        <w:pStyle w:val="3-BodyText"/>
      </w:pPr>
      <w:r>
        <w:t>The PBAC advised</w:t>
      </w:r>
      <w:r w:rsidRPr="009D52D1">
        <w:t xml:space="preserve"> that the </w:t>
      </w:r>
      <w:r w:rsidR="00860EDB">
        <w:t xml:space="preserve">Xeomin </w:t>
      </w:r>
      <w:r w:rsidRPr="009D52D1">
        <w:t>restriction</w:t>
      </w:r>
      <w:r w:rsidR="00860EDB">
        <w:t>s</w:t>
      </w:r>
      <w:r w:rsidRPr="009D52D1">
        <w:t xml:space="preserve"> should be consistent with the current </w:t>
      </w:r>
      <w:r w:rsidR="00195754">
        <w:t>Botox and Dysport</w:t>
      </w:r>
      <w:r w:rsidRPr="009D52D1">
        <w:t xml:space="preserve"> restrictions for moderate to severe spasticity of the upper limb</w:t>
      </w:r>
      <w:r w:rsidR="00195754">
        <w:t xml:space="preserve"> and dynamic equinus foot deformity</w:t>
      </w:r>
      <w:r w:rsidRPr="009D52D1">
        <w:t xml:space="preserve"> in patients</w:t>
      </w:r>
      <w:r w:rsidR="006B6AE9">
        <w:t xml:space="preserve"> 2 years and older</w:t>
      </w:r>
      <w:r w:rsidRPr="009D52D1">
        <w:t xml:space="preserve"> with cerebral palsy.</w:t>
      </w:r>
    </w:p>
    <w:p w14:paraId="68FA23CB" w14:textId="6CEDF0BB" w:rsidR="00177DB2" w:rsidRDefault="00687C08" w:rsidP="0049200A">
      <w:pPr>
        <w:pStyle w:val="3-BodyText"/>
      </w:pPr>
      <w:r w:rsidRPr="00687C08">
        <w:rPr>
          <w:iCs/>
        </w:rPr>
        <w:t xml:space="preserve">PBAC noted that its recommendation was on a cost-minimisation basis and advised that, because </w:t>
      </w:r>
      <w:r>
        <w:rPr>
          <w:iCs/>
        </w:rPr>
        <w:t>Xeomin</w:t>
      </w:r>
      <w:r w:rsidRPr="00687C08">
        <w:rPr>
          <w:iCs/>
        </w:rPr>
        <w:t xml:space="preserve"> is not expected to provide a substantial and clinically relevant improvement in efficacy, or reduction of toxicity, over Botox</w:t>
      </w:r>
      <w:r w:rsidR="00CD6446">
        <w:rPr>
          <w:iCs/>
        </w:rPr>
        <w:t xml:space="preserve"> and Dysport</w:t>
      </w:r>
      <w:r w:rsidRPr="00687C08">
        <w:rPr>
          <w:iCs/>
        </w:rPr>
        <w:t xml:space="preserve">, and not expected to address a high and urgent unmet clinical need given the presence of </w:t>
      </w:r>
      <w:r w:rsidRPr="00687C08">
        <w:t>alternative therap</w:t>
      </w:r>
      <w:r>
        <w:t>ies</w:t>
      </w:r>
      <w:r w:rsidRPr="00687C08">
        <w:t xml:space="preserve">, the criteria prescribed by the </w:t>
      </w:r>
      <w:r w:rsidRPr="00687C08">
        <w:rPr>
          <w:i/>
          <w:iCs/>
        </w:rPr>
        <w:t xml:space="preserve">National Health (Pharmaceuticals and Vaccines – Cost Recovery) Regulations 2009 </w:t>
      </w:r>
      <w:r w:rsidRPr="00687C08">
        <w:t>for Pricing Pathway A were not met.</w:t>
      </w:r>
    </w:p>
    <w:p w14:paraId="54E9B903" w14:textId="15224F87" w:rsidR="004D0B69" w:rsidRDefault="004D0B69" w:rsidP="0049200A">
      <w:pPr>
        <w:pStyle w:val="3-BodyText"/>
      </w:pPr>
      <w:r w:rsidRPr="004D0B69">
        <w:t xml:space="preserve">The PBAC noted that this submission is not eligible for an Independent Review as it received a positive recommendation. </w:t>
      </w:r>
    </w:p>
    <w:p w14:paraId="02F10769" w14:textId="77777777" w:rsidR="00690879" w:rsidRDefault="00690879" w:rsidP="0049200A">
      <w:pPr>
        <w:pStyle w:val="3-BodyText"/>
        <w:numPr>
          <w:ilvl w:val="0"/>
          <w:numId w:val="0"/>
        </w:numPr>
        <w:ind w:left="720"/>
      </w:pPr>
    </w:p>
    <w:p w14:paraId="4CFDD48F" w14:textId="26B67F8F" w:rsidR="00690879" w:rsidRDefault="00690879" w:rsidP="0049200A">
      <w:pPr>
        <w:pStyle w:val="3-BodyText"/>
        <w:numPr>
          <w:ilvl w:val="0"/>
          <w:numId w:val="0"/>
        </w:numPr>
        <w:spacing w:after="0"/>
        <w:rPr>
          <w:b/>
          <w:bCs/>
        </w:rPr>
      </w:pPr>
      <w:r w:rsidRPr="00690879">
        <w:rPr>
          <w:b/>
          <w:bCs/>
        </w:rPr>
        <w:t>Outcome:</w:t>
      </w:r>
    </w:p>
    <w:p w14:paraId="0C9ECA0F" w14:textId="3A9CCB1B" w:rsidR="00690879" w:rsidRDefault="00690879" w:rsidP="0049200A">
      <w:pPr>
        <w:pStyle w:val="3-BodyText"/>
        <w:numPr>
          <w:ilvl w:val="0"/>
          <w:numId w:val="0"/>
        </w:numPr>
        <w:spacing w:before="0"/>
      </w:pPr>
      <w:r>
        <w:t xml:space="preserve">Recommended </w:t>
      </w:r>
    </w:p>
    <w:p w14:paraId="0DE7D969" w14:textId="279381C2" w:rsidR="00170071" w:rsidRDefault="00170071" w:rsidP="0049200A">
      <w:pPr>
        <w:spacing w:after="0"/>
        <w:jc w:val="left"/>
        <w:rPr>
          <w:rFonts w:asciiTheme="minorHAnsi" w:eastAsiaTheme="minorHAnsi" w:hAnsiTheme="minorHAnsi" w:cstheme="minorBidi"/>
          <w:szCs w:val="22"/>
        </w:rPr>
      </w:pPr>
      <w:r>
        <w:br w:type="page"/>
      </w:r>
    </w:p>
    <w:p w14:paraId="4D62C0A9" w14:textId="77777777" w:rsidR="00B235E1" w:rsidRPr="00907671" w:rsidRDefault="00B235E1" w:rsidP="0049200A">
      <w:pPr>
        <w:pStyle w:val="2-SectionHeading"/>
      </w:pPr>
      <w:r w:rsidRPr="00907671">
        <w:lastRenderedPageBreak/>
        <w:t>Recommended listing</w:t>
      </w:r>
    </w:p>
    <w:p w14:paraId="782E3EC7" w14:textId="0E7F776C" w:rsidR="007B33AC" w:rsidRPr="007B33AC" w:rsidRDefault="007B33AC" w:rsidP="0049200A">
      <w:pPr>
        <w:numPr>
          <w:ilvl w:val="1"/>
          <w:numId w:val="1"/>
        </w:numPr>
        <w:spacing w:after="0"/>
        <w:contextualSpacing/>
        <w:rPr>
          <w:rFonts w:asciiTheme="minorHAnsi" w:hAnsiTheme="minorHAnsi"/>
          <w:b/>
          <w:bCs/>
          <w:snapToGrid w:val="0"/>
        </w:rPr>
      </w:pPr>
      <w:r w:rsidRPr="007B33AC">
        <w:rPr>
          <w:rFonts w:asciiTheme="minorHAnsi" w:hAnsiTheme="minorHAnsi"/>
          <w:bCs/>
          <w:snapToGrid w:val="0"/>
        </w:rPr>
        <w:t>A</w:t>
      </w:r>
      <w:r w:rsidR="00776F04">
        <w:rPr>
          <w:rFonts w:asciiTheme="minorHAnsi" w:hAnsiTheme="minorHAnsi"/>
          <w:bCs/>
          <w:snapToGrid w:val="0"/>
        </w:rPr>
        <w:t>dd</w:t>
      </w:r>
      <w:r w:rsidR="00BE223C">
        <w:rPr>
          <w:rFonts w:asciiTheme="minorHAnsi" w:hAnsiTheme="minorHAnsi"/>
          <w:bCs/>
          <w:snapToGrid w:val="0"/>
        </w:rPr>
        <w:t xml:space="preserve"> </w:t>
      </w:r>
      <w:r w:rsidR="00AC6EED">
        <w:rPr>
          <w:rFonts w:asciiTheme="minorHAnsi" w:hAnsiTheme="minorHAnsi"/>
          <w:bCs/>
          <w:snapToGrid w:val="0"/>
        </w:rPr>
        <w:t>new</w:t>
      </w:r>
      <w:r w:rsidRPr="007B33AC">
        <w:rPr>
          <w:rFonts w:asciiTheme="minorHAnsi" w:hAnsiTheme="minorHAnsi"/>
          <w:bCs/>
          <w:snapToGrid w:val="0"/>
        </w:rPr>
        <w:t xml:space="preserve"> listing</w:t>
      </w:r>
      <w:r w:rsidR="00117EE2">
        <w:rPr>
          <w:rFonts w:asciiTheme="minorHAnsi" w:hAnsiTheme="minorHAnsi"/>
          <w:bCs/>
          <w:snapToGrid w:val="0"/>
        </w:rPr>
        <w:t>s</w:t>
      </w:r>
      <w:r w:rsidRPr="007B33AC">
        <w:rPr>
          <w:rFonts w:asciiTheme="minorHAnsi" w:hAnsiTheme="minorHAnsi"/>
          <w:bCs/>
          <w:snapToGrid w:val="0"/>
        </w:rPr>
        <w:t xml:space="preserve"> as follows:</w:t>
      </w:r>
    </w:p>
    <w:p w14:paraId="38D6A076" w14:textId="77777777" w:rsidR="00B235E1" w:rsidRPr="00B235E1" w:rsidRDefault="00B235E1" w:rsidP="0049200A">
      <w:pPr>
        <w:pStyle w:val="3-BodyText"/>
        <w:numPr>
          <w:ilvl w:val="0"/>
          <w:numId w:val="0"/>
        </w:num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Dynamic equinus foot deformity"/>
      </w:tblPr>
      <w:tblGrid>
        <w:gridCol w:w="3940"/>
        <w:gridCol w:w="811"/>
        <w:gridCol w:w="812"/>
        <w:gridCol w:w="811"/>
        <w:gridCol w:w="812"/>
        <w:gridCol w:w="1881"/>
      </w:tblGrid>
      <w:tr w:rsidR="007C0829" w:rsidRPr="000E6BCB" w14:paraId="0DB287E7" w14:textId="77777777" w:rsidTr="00170071">
        <w:trPr>
          <w:cantSplit/>
          <w:trHeight w:val="20"/>
        </w:trPr>
        <w:tc>
          <w:tcPr>
            <w:tcW w:w="3940" w:type="dxa"/>
            <w:vAlign w:val="center"/>
          </w:tcPr>
          <w:p w14:paraId="4D1938D3" w14:textId="77777777" w:rsidR="007C0829" w:rsidRPr="000E6BCB" w:rsidRDefault="007C0829" w:rsidP="0049200A">
            <w:pPr>
              <w:keepLines/>
              <w:spacing w:after="0"/>
              <w:rPr>
                <w:rFonts w:ascii="Arial Narrow" w:hAnsi="Arial Narrow"/>
                <w:b/>
                <w:bCs/>
                <w:sz w:val="20"/>
                <w:szCs w:val="20"/>
                <w14:ligatures w14:val="standardContextual"/>
              </w:rPr>
            </w:pPr>
            <w:r w:rsidRPr="000E6BCB">
              <w:rPr>
                <w:rFonts w:ascii="Arial Narrow" w:hAnsi="Arial Narrow"/>
                <w:b/>
                <w:bCs/>
                <w:sz w:val="20"/>
                <w:szCs w:val="20"/>
                <w14:ligatures w14:val="standardContextual"/>
              </w:rPr>
              <w:t>MEDICINAL PRODUCT</w:t>
            </w:r>
          </w:p>
          <w:p w14:paraId="5BA5DEF3" w14:textId="77777777" w:rsidR="007C0829" w:rsidRPr="000E6BCB" w:rsidRDefault="007C0829" w:rsidP="0049200A">
            <w:pPr>
              <w:keepLines/>
              <w:spacing w:after="0"/>
              <w:rPr>
                <w:rFonts w:ascii="Arial Narrow" w:hAnsi="Arial Narrow"/>
                <w:b/>
                <w:sz w:val="20"/>
                <w:szCs w:val="20"/>
                <w14:ligatures w14:val="standardContextual"/>
              </w:rPr>
            </w:pPr>
            <w:r w:rsidRPr="000E6BCB">
              <w:rPr>
                <w:rFonts w:ascii="Arial Narrow" w:hAnsi="Arial Narrow"/>
                <w:b/>
                <w:bCs/>
                <w:sz w:val="20"/>
                <w:szCs w:val="20"/>
                <w14:ligatures w14:val="standardContextual"/>
              </w:rPr>
              <w:t>medicinal product pack</w:t>
            </w:r>
          </w:p>
        </w:tc>
        <w:tc>
          <w:tcPr>
            <w:tcW w:w="811" w:type="dxa"/>
            <w:vAlign w:val="center"/>
          </w:tcPr>
          <w:p w14:paraId="05670A7D" w14:textId="77777777" w:rsidR="007C0829" w:rsidRPr="000E6BCB" w:rsidRDefault="007C0829" w:rsidP="0049200A">
            <w:pPr>
              <w:keepLines/>
              <w:spacing w:after="0"/>
              <w:jc w:val="center"/>
              <w:rPr>
                <w:rFonts w:ascii="Arial Narrow" w:hAnsi="Arial Narrow"/>
                <w:b/>
                <w:sz w:val="20"/>
                <w:szCs w:val="20"/>
                <w14:ligatures w14:val="standardContextual"/>
              </w:rPr>
            </w:pPr>
            <w:r w:rsidRPr="000E6BCB">
              <w:rPr>
                <w:rFonts w:ascii="Arial Narrow" w:hAnsi="Arial Narrow"/>
                <w:b/>
                <w:sz w:val="20"/>
                <w:szCs w:val="20"/>
                <w14:ligatures w14:val="standardContextual"/>
              </w:rPr>
              <w:t>PBS item code</w:t>
            </w:r>
          </w:p>
        </w:tc>
        <w:tc>
          <w:tcPr>
            <w:tcW w:w="812" w:type="dxa"/>
            <w:vAlign w:val="center"/>
          </w:tcPr>
          <w:p w14:paraId="5D0A1AB3" w14:textId="77777777" w:rsidR="007C0829" w:rsidRPr="000E6BCB" w:rsidRDefault="007C0829" w:rsidP="0049200A">
            <w:pPr>
              <w:keepLines/>
              <w:spacing w:after="0"/>
              <w:jc w:val="center"/>
              <w:rPr>
                <w:rFonts w:ascii="Arial Narrow" w:hAnsi="Arial Narrow"/>
                <w:b/>
                <w:sz w:val="20"/>
                <w:szCs w:val="20"/>
                <w14:ligatures w14:val="standardContextual"/>
              </w:rPr>
            </w:pPr>
            <w:r w:rsidRPr="000E6BCB">
              <w:rPr>
                <w:rFonts w:ascii="Arial Narrow" w:hAnsi="Arial Narrow"/>
                <w:b/>
                <w:sz w:val="20"/>
                <w:szCs w:val="20"/>
                <w14:ligatures w14:val="standardContextual"/>
              </w:rPr>
              <w:t>Max. qty packs</w:t>
            </w:r>
          </w:p>
        </w:tc>
        <w:tc>
          <w:tcPr>
            <w:tcW w:w="811" w:type="dxa"/>
            <w:vAlign w:val="center"/>
          </w:tcPr>
          <w:p w14:paraId="67AF3531" w14:textId="77777777" w:rsidR="007C0829" w:rsidRPr="000E6BCB" w:rsidRDefault="007C0829" w:rsidP="0049200A">
            <w:pPr>
              <w:keepLines/>
              <w:spacing w:after="0"/>
              <w:jc w:val="center"/>
              <w:rPr>
                <w:rFonts w:ascii="Arial Narrow" w:hAnsi="Arial Narrow"/>
                <w:b/>
                <w:sz w:val="20"/>
                <w:szCs w:val="20"/>
                <w14:ligatures w14:val="standardContextual"/>
              </w:rPr>
            </w:pPr>
            <w:r w:rsidRPr="000E6BCB">
              <w:rPr>
                <w:rFonts w:ascii="Arial Narrow" w:hAnsi="Arial Narrow"/>
                <w:b/>
                <w:sz w:val="20"/>
                <w:szCs w:val="20"/>
                <w14:ligatures w14:val="standardContextual"/>
              </w:rPr>
              <w:t>Max. qty units</w:t>
            </w:r>
          </w:p>
        </w:tc>
        <w:tc>
          <w:tcPr>
            <w:tcW w:w="812" w:type="dxa"/>
            <w:vAlign w:val="center"/>
          </w:tcPr>
          <w:p w14:paraId="479895C8" w14:textId="77777777" w:rsidR="007C0829" w:rsidRPr="000E6BCB" w:rsidRDefault="007C0829" w:rsidP="0049200A">
            <w:pPr>
              <w:keepLines/>
              <w:spacing w:after="0"/>
              <w:jc w:val="center"/>
              <w:rPr>
                <w:rFonts w:ascii="Arial Narrow" w:hAnsi="Arial Narrow"/>
                <w:b/>
                <w:sz w:val="20"/>
                <w:szCs w:val="20"/>
                <w14:ligatures w14:val="standardContextual"/>
              </w:rPr>
            </w:pPr>
            <w:r w:rsidRPr="000E6BCB">
              <w:rPr>
                <w:rFonts w:ascii="Arial Narrow" w:hAnsi="Arial Narrow"/>
                <w:b/>
                <w:sz w:val="20"/>
                <w:szCs w:val="20"/>
                <w14:ligatures w14:val="standardContextual"/>
              </w:rPr>
              <w:t>№.of</w:t>
            </w:r>
          </w:p>
          <w:p w14:paraId="43B6F299" w14:textId="77777777" w:rsidR="007C0829" w:rsidRPr="000E6BCB" w:rsidRDefault="007C0829" w:rsidP="0049200A">
            <w:pPr>
              <w:keepLines/>
              <w:spacing w:after="0"/>
              <w:jc w:val="center"/>
              <w:rPr>
                <w:rFonts w:ascii="Arial Narrow" w:hAnsi="Arial Narrow"/>
                <w:b/>
                <w:sz w:val="20"/>
                <w:szCs w:val="20"/>
                <w14:ligatures w14:val="standardContextual"/>
              </w:rPr>
            </w:pPr>
            <w:r w:rsidRPr="000E6BCB">
              <w:rPr>
                <w:rFonts w:ascii="Arial Narrow" w:hAnsi="Arial Narrow"/>
                <w:b/>
                <w:sz w:val="20"/>
                <w:szCs w:val="20"/>
                <w14:ligatures w14:val="standardContextual"/>
              </w:rPr>
              <w:t>Rpts</w:t>
            </w:r>
          </w:p>
        </w:tc>
        <w:tc>
          <w:tcPr>
            <w:tcW w:w="1881" w:type="dxa"/>
            <w:vAlign w:val="center"/>
          </w:tcPr>
          <w:p w14:paraId="5C85A25C" w14:textId="77777777" w:rsidR="007C0829" w:rsidRPr="000E6BCB" w:rsidRDefault="007C0829" w:rsidP="0049200A">
            <w:pPr>
              <w:keepLines/>
              <w:spacing w:after="0"/>
              <w:rPr>
                <w:rFonts w:ascii="Arial Narrow" w:hAnsi="Arial Narrow"/>
                <w:b/>
                <w:sz w:val="20"/>
                <w:szCs w:val="20"/>
                <w:lang w:val="fr-FR"/>
                <w14:ligatures w14:val="standardContextual"/>
              </w:rPr>
            </w:pPr>
            <w:r w:rsidRPr="000E6BCB">
              <w:rPr>
                <w:rFonts w:ascii="Arial Narrow" w:hAnsi="Arial Narrow"/>
                <w:b/>
                <w:sz w:val="20"/>
                <w:szCs w:val="20"/>
                <w14:ligatures w14:val="standardContextual"/>
              </w:rPr>
              <w:t>Available brands</w:t>
            </w:r>
          </w:p>
        </w:tc>
      </w:tr>
      <w:tr w:rsidR="007C0829" w:rsidRPr="000E6BCB" w14:paraId="4C7F19F4" w14:textId="77777777" w:rsidTr="00170071">
        <w:trPr>
          <w:cantSplit/>
          <w:trHeight w:val="20"/>
        </w:trPr>
        <w:tc>
          <w:tcPr>
            <w:tcW w:w="9067" w:type="dxa"/>
            <w:gridSpan w:val="6"/>
            <w:vAlign w:val="center"/>
          </w:tcPr>
          <w:p w14:paraId="151472A6" w14:textId="77777777" w:rsidR="007C0829" w:rsidRPr="00FD3225" w:rsidRDefault="007C0829" w:rsidP="0049200A">
            <w:pPr>
              <w:keepLines/>
              <w:spacing w:after="0"/>
              <w:rPr>
                <w:rFonts w:ascii="Arial Narrow" w:hAnsi="Arial Narrow"/>
                <w:sz w:val="20"/>
                <w:szCs w:val="20"/>
                <w14:ligatures w14:val="standardContextual"/>
              </w:rPr>
            </w:pPr>
            <w:r w:rsidRPr="00FD3225">
              <w:rPr>
                <w:rFonts w:ascii="Arial Narrow" w:hAnsi="Arial Narrow"/>
                <w:sz w:val="20"/>
                <w:szCs w:val="20"/>
                <w14:ligatures w14:val="standardContextual"/>
              </w:rPr>
              <w:t>INCOBOTULINUMTOXINA</w:t>
            </w:r>
          </w:p>
        </w:tc>
      </w:tr>
      <w:tr w:rsidR="007C0829" w:rsidRPr="000E6BCB" w14:paraId="4A2F3728" w14:textId="77777777" w:rsidTr="00170071">
        <w:trPr>
          <w:cantSplit/>
          <w:trHeight w:val="20"/>
        </w:trPr>
        <w:tc>
          <w:tcPr>
            <w:tcW w:w="3940" w:type="dxa"/>
            <w:vAlign w:val="center"/>
          </w:tcPr>
          <w:p w14:paraId="5E89FDCB" w14:textId="77777777" w:rsidR="007C0829" w:rsidRPr="00FD3225" w:rsidRDefault="007C0829" w:rsidP="0049200A">
            <w:pPr>
              <w:keepLines/>
              <w:spacing w:after="0"/>
              <w:rPr>
                <w:rFonts w:ascii="Arial Narrow" w:hAnsi="Arial Narrow"/>
                <w:sz w:val="20"/>
                <w:szCs w:val="20"/>
                <w14:ligatures w14:val="standardContextual"/>
              </w:rPr>
            </w:pPr>
            <w:r w:rsidRPr="00FD3225">
              <w:rPr>
                <w:rFonts w:ascii="Arial Narrow" w:hAnsi="Arial Narrow"/>
                <w:sz w:val="20"/>
                <w:szCs w:val="20"/>
                <w14:ligatures w14:val="standardContextual"/>
              </w:rPr>
              <w:t>incobotulinumtoxinA 100 units injection, 1 vial</w:t>
            </w:r>
          </w:p>
        </w:tc>
        <w:tc>
          <w:tcPr>
            <w:tcW w:w="811" w:type="dxa"/>
            <w:vAlign w:val="center"/>
          </w:tcPr>
          <w:p w14:paraId="6EDA3CBE" w14:textId="77777777" w:rsidR="007C0829" w:rsidRPr="00FD3225" w:rsidRDefault="007C0829" w:rsidP="0049200A">
            <w:pPr>
              <w:keepLines/>
              <w:spacing w:after="0"/>
              <w:jc w:val="center"/>
              <w:rPr>
                <w:rFonts w:ascii="Arial Narrow" w:hAnsi="Arial Narrow"/>
                <w:sz w:val="20"/>
                <w:szCs w:val="20"/>
                <w14:ligatures w14:val="standardContextual"/>
              </w:rPr>
            </w:pPr>
            <w:r w:rsidRPr="00FD3225">
              <w:rPr>
                <w:rFonts w:ascii="Arial Narrow" w:hAnsi="Arial Narrow"/>
                <w:sz w:val="20"/>
                <w:szCs w:val="20"/>
                <w14:ligatures w14:val="standardContextual"/>
              </w:rPr>
              <w:t>NEW</w:t>
            </w:r>
          </w:p>
        </w:tc>
        <w:tc>
          <w:tcPr>
            <w:tcW w:w="812" w:type="dxa"/>
            <w:vAlign w:val="center"/>
          </w:tcPr>
          <w:p w14:paraId="455949B9" w14:textId="77777777" w:rsidR="007C0829" w:rsidRPr="00FD3225" w:rsidRDefault="007C0829" w:rsidP="0049200A">
            <w:pPr>
              <w:keepLines/>
              <w:spacing w:after="0"/>
              <w:jc w:val="center"/>
              <w:rPr>
                <w:rFonts w:ascii="Arial Narrow" w:hAnsi="Arial Narrow"/>
                <w:sz w:val="20"/>
                <w:szCs w:val="20"/>
                <w14:ligatures w14:val="standardContextual"/>
              </w:rPr>
            </w:pPr>
            <w:r w:rsidRPr="00FD3225">
              <w:rPr>
                <w:rFonts w:ascii="Arial Narrow" w:hAnsi="Arial Narrow"/>
                <w:sz w:val="20"/>
                <w:szCs w:val="20"/>
                <w14:ligatures w14:val="standardContextual"/>
              </w:rPr>
              <w:t>4</w:t>
            </w:r>
          </w:p>
        </w:tc>
        <w:tc>
          <w:tcPr>
            <w:tcW w:w="811" w:type="dxa"/>
            <w:vAlign w:val="center"/>
          </w:tcPr>
          <w:p w14:paraId="0D6E0C10" w14:textId="77777777" w:rsidR="007C0829" w:rsidRPr="00FD3225" w:rsidRDefault="007C0829" w:rsidP="0049200A">
            <w:pPr>
              <w:keepLines/>
              <w:spacing w:after="0"/>
              <w:jc w:val="center"/>
              <w:rPr>
                <w:rFonts w:ascii="Arial Narrow" w:hAnsi="Arial Narrow"/>
                <w:sz w:val="20"/>
                <w:szCs w:val="20"/>
                <w14:ligatures w14:val="standardContextual"/>
              </w:rPr>
            </w:pPr>
            <w:r w:rsidRPr="00FD3225">
              <w:rPr>
                <w:rFonts w:ascii="Arial Narrow" w:hAnsi="Arial Narrow"/>
                <w:sz w:val="20"/>
                <w:szCs w:val="20"/>
                <w14:ligatures w14:val="standardContextual"/>
              </w:rPr>
              <w:t>4</w:t>
            </w:r>
          </w:p>
        </w:tc>
        <w:tc>
          <w:tcPr>
            <w:tcW w:w="812" w:type="dxa"/>
            <w:vAlign w:val="center"/>
          </w:tcPr>
          <w:p w14:paraId="51D16AB9" w14:textId="77777777" w:rsidR="007C0829" w:rsidRPr="00FD3225" w:rsidRDefault="007C0829" w:rsidP="0049200A">
            <w:pPr>
              <w:keepLines/>
              <w:spacing w:after="0"/>
              <w:jc w:val="center"/>
              <w:rPr>
                <w:rFonts w:ascii="Arial Narrow" w:hAnsi="Arial Narrow"/>
                <w:sz w:val="20"/>
                <w:szCs w:val="20"/>
                <w14:ligatures w14:val="standardContextual"/>
              </w:rPr>
            </w:pPr>
            <w:r w:rsidRPr="00FD3225">
              <w:rPr>
                <w:rFonts w:ascii="Arial Narrow" w:hAnsi="Arial Narrow"/>
                <w:sz w:val="20"/>
                <w:szCs w:val="20"/>
                <w14:ligatures w14:val="standardContextual"/>
              </w:rPr>
              <w:t>0</w:t>
            </w:r>
          </w:p>
        </w:tc>
        <w:tc>
          <w:tcPr>
            <w:tcW w:w="1881" w:type="dxa"/>
            <w:vAlign w:val="center"/>
          </w:tcPr>
          <w:p w14:paraId="65DC2974" w14:textId="77777777" w:rsidR="007C0829" w:rsidRPr="00FD3225" w:rsidRDefault="007C0829" w:rsidP="0049200A">
            <w:pPr>
              <w:keepLines/>
              <w:spacing w:after="0"/>
              <w:jc w:val="center"/>
              <w:rPr>
                <w:rFonts w:ascii="Arial Narrow" w:hAnsi="Arial Narrow"/>
                <w:sz w:val="20"/>
                <w:szCs w:val="20"/>
                <w14:ligatures w14:val="standardContextual"/>
              </w:rPr>
            </w:pPr>
            <w:r w:rsidRPr="00FD3225">
              <w:rPr>
                <w:rFonts w:ascii="Arial Narrow" w:hAnsi="Arial Narrow"/>
                <w:sz w:val="20"/>
                <w:szCs w:val="20"/>
                <w14:ligatures w14:val="standardContextual"/>
              </w:rPr>
              <w:t>Xeomin</w:t>
            </w:r>
          </w:p>
        </w:tc>
      </w:tr>
      <w:tr w:rsidR="007C0829" w:rsidRPr="000E6BCB" w14:paraId="63DE3095" w14:textId="77777777" w:rsidTr="00170071">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1063E894" w14:textId="77777777" w:rsidR="007C0829" w:rsidRPr="000E6BCB" w:rsidRDefault="007C0829" w:rsidP="0049200A">
            <w:pPr>
              <w:spacing w:after="0"/>
              <w:rPr>
                <w:rFonts w:ascii="Arial Narrow" w:hAnsi="Arial Narrow"/>
                <w:sz w:val="20"/>
                <w:szCs w:val="20"/>
                <w14:ligatures w14:val="standardContextual"/>
              </w:rPr>
            </w:pPr>
          </w:p>
        </w:tc>
      </w:tr>
      <w:tr w:rsidR="00170071" w:rsidRPr="000E6BCB" w14:paraId="2B9E5EA1" w14:textId="77777777" w:rsidTr="00170071">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030D2DB0" w14:textId="77777777" w:rsidR="00170071" w:rsidRPr="000E6BCB" w:rsidRDefault="00170071" w:rsidP="0049200A">
            <w:pPr>
              <w:keepLines/>
              <w:spacing w:after="0"/>
              <w:jc w:val="left"/>
              <w:rPr>
                <w:rFonts w:ascii="Arial Narrow" w:hAnsi="Arial Narrow"/>
                <w:sz w:val="20"/>
                <w:szCs w:val="20"/>
                <w14:ligatures w14:val="standardContextual"/>
              </w:rPr>
            </w:pPr>
            <w:r w:rsidRPr="000E6BCB">
              <w:rPr>
                <w:rFonts w:ascii="Arial Narrow" w:hAnsi="Arial Narrow"/>
                <w:b/>
                <w:sz w:val="20"/>
                <w:szCs w:val="20"/>
                <w14:ligatures w14:val="standardContextual"/>
              </w:rPr>
              <w:t>Category / Program:</w:t>
            </w:r>
            <w:r w:rsidRPr="000E6BCB">
              <w:rPr>
                <w:rFonts w:ascii="Arial Narrow" w:hAnsi="Arial Narrow"/>
                <w:sz w:val="20"/>
                <w:szCs w:val="20"/>
                <w14:ligatures w14:val="standardContextual"/>
              </w:rPr>
              <w:t xml:space="preserve"> </w:t>
            </w:r>
            <w:r w:rsidRPr="000E6BCB">
              <w:rPr>
                <w:rFonts w:ascii="Arial Narrow" w:hAnsi="Arial Narrow"/>
                <w:sz w:val="20"/>
                <w:szCs w:val="20"/>
                <w14:ligatures w14:val="standardContextual"/>
              </w:rPr>
              <w:fldChar w:fldCharType="begin">
                <w:ffData>
                  <w:name w:val=""/>
                  <w:enabled/>
                  <w:calcOnExit w:val="0"/>
                  <w:checkBox>
                    <w:sizeAuto/>
                    <w:default w:val="1"/>
                  </w:checkBox>
                </w:ffData>
              </w:fldChar>
            </w:r>
            <w:r w:rsidRPr="000E6BCB">
              <w:rPr>
                <w:rFonts w:ascii="Arial Narrow" w:hAnsi="Arial Narrow"/>
                <w:sz w:val="20"/>
                <w:szCs w:val="20"/>
                <w14:ligatures w14:val="standardContextual"/>
              </w:rPr>
              <w:instrText xml:space="preserve"> FORMCHECKBOX </w:instrText>
            </w:r>
            <w:r w:rsidRPr="000E6BCB">
              <w:rPr>
                <w:rFonts w:ascii="Arial Narrow" w:hAnsi="Arial Narrow"/>
                <w:sz w:val="20"/>
                <w:szCs w:val="20"/>
                <w14:ligatures w14:val="standardContextual"/>
              </w:rPr>
            </w:r>
            <w:r w:rsidRPr="000E6BCB">
              <w:rPr>
                <w:rFonts w:ascii="Arial Narrow" w:hAnsi="Arial Narrow"/>
                <w:sz w:val="20"/>
                <w:szCs w:val="20"/>
                <w14:ligatures w14:val="standardContextual"/>
              </w:rPr>
              <w:fldChar w:fldCharType="separate"/>
            </w:r>
            <w:r w:rsidRPr="000E6BCB">
              <w:rPr>
                <w:rFonts w:ascii="Arial Narrow" w:hAnsi="Arial Narrow"/>
                <w:sz w:val="20"/>
                <w:szCs w:val="20"/>
                <w14:ligatures w14:val="standardContextual"/>
              </w:rPr>
              <w:fldChar w:fldCharType="end"/>
            </w:r>
            <w:r w:rsidRPr="000E6BCB">
              <w:rPr>
                <w:rFonts w:ascii="Arial Narrow" w:hAnsi="Arial Narrow"/>
                <w:sz w:val="20"/>
                <w:szCs w:val="20"/>
                <w14:ligatures w14:val="standardContextual"/>
              </w:rPr>
              <w:t xml:space="preserve"> Section 100 – Botulinum Toxin Program (Code MF)</w:t>
            </w:r>
          </w:p>
        </w:tc>
      </w:tr>
      <w:tr w:rsidR="00170071" w:rsidRPr="000E6BCB" w14:paraId="6CEEFCA8" w14:textId="77777777" w:rsidTr="00170071">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3DBBE939" w14:textId="77777777" w:rsidR="00170071" w:rsidRPr="000E6BCB" w:rsidRDefault="00170071" w:rsidP="0049200A">
            <w:pPr>
              <w:keepLines/>
              <w:spacing w:after="0"/>
              <w:jc w:val="left"/>
              <w:rPr>
                <w:rFonts w:ascii="Arial Narrow" w:hAnsi="Arial Narrow"/>
                <w:b/>
                <w:sz w:val="20"/>
                <w:szCs w:val="20"/>
                <w14:ligatures w14:val="standardContextual"/>
              </w:rPr>
            </w:pPr>
            <w:r w:rsidRPr="000E6BCB">
              <w:rPr>
                <w:rFonts w:ascii="Arial Narrow" w:hAnsi="Arial Narrow"/>
                <w:b/>
                <w:sz w:val="20"/>
                <w:szCs w:val="20"/>
                <w14:ligatures w14:val="standardContextual"/>
              </w:rPr>
              <w:t xml:space="preserve">Prescriber type: </w:t>
            </w:r>
            <w:r w:rsidRPr="000E6BCB">
              <w:rPr>
                <w:rFonts w:ascii="Arial Narrow" w:hAnsi="Arial Narrow"/>
                <w:sz w:val="20"/>
                <w:szCs w:val="20"/>
                <w14:ligatures w14:val="standardContextual"/>
              </w:rPr>
              <w:fldChar w:fldCharType="begin">
                <w:ffData>
                  <w:name w:val=""/>
                  <w:enabled/>
                  <w:calcOnExit w:val="0"/>
                  <w:checkBox>
                    <w:sizeAuto/>
                    <w:default w:val="1"/>
                  </w:checkBox>
                </w:ffData>
              </w:fldChar>
            </w:r>
            <w:r w:rsidRPr="000E6BCB">
              <w:rPr>
                <w:rFonts w:ascii="Arial Narrow" w:hAnsi="Arial Narrow"/>
                <w:sz w:val="20"/>
                <w:szCs w:val="20"/>
                <w14:ligatures w14:val="standardContextual"/>
              </w:rPr>
              <w:instrText xml:space="preserve"> FORMCHECKBOX </w:instrText>
            </w:r>
            <w:r w:rsidRPr="000E6BCB">
              <w:rPr>
                <w:rFonts w:ascii="Arial Narrow" w:hAnsi="Arial Narrow"/>
                <w:sz w:val="20"/>
                <w:szCs w:val="20"/>
                <w14:ligatures w14:val="standardContextual"/>
              </w:rPr>
            </w:r>
            <w:r w:rsidRPr="000E6BCB">
              <w:rPr>
                <w:rFonts w:ascii="Arial Narrow" w:hAnsi="Arial Narrow"/>
                <w:sz w:val="20"/>
                <w:szCs w:val="20"/>
                <w14:ligatures w14:val="standardContextual"/>
              </w:rPr>
              <w:fldChar w:fldCharType="separate"/>
            </w:r>
            <w:r w:rsidRPr="000E6BCB">
              <w:rPr>
                <w:rFonts w:ascii="Arial Narrow" w:hAnsi="Arial Narrow"/>
                <w:sz w:val="20"/>
                <w:szCs w:val="20"/>
                <w14:ligatures w14:val="standardContextual"/>
              </w:rPr>
              <w:fldChar w:fldCharType="end"/>
            </w:r>
            <w:r w:rsidRPr="000E6BCB">
              <w:rPr>
                <w:rFonts w:ascii="Arial Narrow" w:hAnsi="Arial Narrow"/>
                <w:sz w:val="20"/>
                <w:szCs w:val="20"/>
                <w14:ligatures w14:val="standardContextual"/>
              </w:rPr>
              <w:t xml:space="preserve"> Medical Practitioners </w:t>
            </w:r>
          </w:p>
        </w:tc>
      </w:tr>
      <w:tr w:rsidR="00170071" w:rsidRPr="000E6BCB" w14:paraId="6D71A833" w14:textId="77777777" w:rsidTr="00170071">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1BB442C1" w14:textId="77777777" w:rsidR="00170071" w:rsidRPr="000E6BCB" w:rsidRDefault="00170071" w:rsidP="0049200A">
            <w:pPr>
              <w:keepLines/>
              <w:spacing w:after="0"/>
              <w:jc w:val="left"/>
              <w:rPr>
                <w:rFonts w:ascii="Arial Narrow" w:eastAsia="Calibri" w:hAnsi="Arial Narrow"/>
                <w:sz w:val="20"/>
                <w:szCs w:val="20"/>
                <w14:ligatures w14:val="standardContextual"/>
              </w:rPr>
            </w:pPr>
            <w:r w:rsidRPr="000E6BCB">
              <w:rPr>
                <w:rFonts w:ascii="Arial Narrow" w:hAnsi="Arial Narrow"/>
                <w:b/>
                <w:sz w:val="20"/>
                <w:szCs w:val="20"/>
                <w14:ligatures w14:val="standardContextual"/>
              </w:rPr>
              <w:t>Benefit type:</w:t>
            </w:r>
            <w:r w:rsidRPr="000E6BCB">
              <w:rPr>
                <w:rFonts w:ascii="Arial Narrow" w:hAnsi="Arial Narrow"/>
                <w:sz w:val="20"/>
                <w:szCs w:val="20"/>
                <w14:ligatures w14:val="standardContextual"/>
              </w:rPr>
              <w:fldChar w:fldCharType="begin">
                <w:ffData>
                  <w:name w:val=""/>
                  <w:enabled/>
                  <w:calcOnExit w:val="0"/>
                  <w:checkBox>
                    <w:sizeAuto/>
                    <w:default w:val="1"/>
                  </w:checkBox>
                </w:ffData>
              </w:fldChar>
            </w:r>
            <w:r w:rsidRPr="000E6BCB">
              <w:rPr>
                <w:rFonts w:ascii="Arial Narrow" w:hAnsi="Arial Narrow"/>
                <w:sz w:val="20"/>
                <w:szCs w:val="20"/>
                <w14:ligatures w14:val="standardContextual"/>
              </w:rPr>
              <w:instrText xml:space="preserve"> FORMCHECKBOX </w:instrText>
            </w:r>
            <w:r w:rsidRPr="000E6BCB">
              <w:rPr>
                <w:rFonts w:ascii="Arial Narrow" w:hAnsi="Arial Narrow"/>
                <w:sz w:val="20"/>
                <w:szCs w:val="20"/>
                <w14:ligatures w14:val="standardContextual"/>
              </w:rPr>
            </w:r>
            <w:r w:rsidRPr="000E6BCB">
              <w:rPr>
                <w:rFonts w:ascii="Arial Narrow" w:hAnsi="Arial Narrow"/>
                <w:sz w:val="20"/>
                <w:szCs w:val="20"/>
                <w14:ligatures w14:val="standardContextual"/>
              </w:rPr>
              <w:fldChar w:fldCharType="separate"/>
            </w:r>
            <w:r w:rsidRPr="000E6BCB">
              <w:rPr>
                <w:rFonts w:ascii="Arial Narrow" w:hAnsi="Arial Narrow"/>
                <w:sz w:val="20"/>
                <w:szCs w:val="20"/>
                <w14:ligatures w14:val="standardContextual"/>
              </w:rPr>
              <w:fldChar w:fldCharType="end"/>
            </w:r>
            <w:r w:rsidRPr="000E6BCB">
              <w:rPr>
                <w:rFonts w:ascii="Arial Narrow" w:hAnsi="Arial Narrow"/>
                <w:sz w:val="20"/>
                <w:szCs w:val="20"/>
                <w14:ligatures w14:val="standardContextual"/>
              </w:rPr>
              <w:t xml:space="preserve"> </w:t>
            </w:r>
            <w:r w:rsidRPr="000E6BCB">
              <w:rPr>
                <w:rFonts w:ascii="Arial Narrow" w:eastAsia="Calibri" w:hAnsi="Arial Narrow"/>
                <w:sz w:val="20"/>
                <w:szCs w:val="20"/>
                <w14:ligatures w14:val="standardContextual"/>
              </w:rPr>
              <w:t xml:space="preserve">Authority Required (STREAMLINED) [5359/ 8822] </w:t>
            </w:r>
          </w:p>
        </w:tc>
      </w:tr>
      <w:tr w:rsidR="00170071" w:rsidRPr="000E6BCB" w14:paraId="67FC2AF5" w14:textId="77777777" w:rsidTr="00170071">
        <w:tblPrEx>
          <w:tblCellMar>
            <w:top w:w="15" w:type="dxa"/>
            <w:bottom w:w="15" w:type="dxa"/>
          </w:tblCellMar>
          <w:tblLook w:val="04A0" w:firstRow="1" w:lastRow="0" w:firstColumn="1" w:lastColumn="0" w:noHBand="0" w:noVBand="1"/>
        </w:tblPrEx>
        <w:trPr>
          <w:trHeight w:val="186"/>
        </w:trPr>
        <w:tc>
          <w:tcPr>
            <w:tcW w:w="9067" w:type="dxa"/>
            <w:gridSpan w:val="6"/>
            <w:tcBorders>
              <w:top w:val="single" w:sz="4" w:space="0" w:color="auto"/>
              <w:left w:val="single" w:sz="4" w:space="0" w:color="auto"/>
              <w:bottom w:val="single" w:sz="4" w:space="0" w:color="auto"/>
              <w:right w:val="single" w:sz="4" w:space="0" w:color="auto"/>
            </w:tcBorders>
            <w:vAlign w:val="center"/>
          </w:tcPr>
          <w:p w14:paraId="2CB64830" w14:textId="77777777" w:rsidR="00170071" w:rsidRPr="000E6BCB" w:rsidRDefault="00170071" w:rsidP="0049200A">
            <w:pPr>
              <w:spacing w:after="0"/>
              <w:jc w:val="left"/>
              <w:rPr>
                <w:rFonts w:ascii="Arial Narrow" w:hAnsi="Arial Narrow"/>
                <w:b/>
                <w:sz w:val="20"/>
                <w:szCs w:val="20"/>
              </w:rPr>
            </w:pPr>
            <w:r w:rsidRPr="000E6BCB">
              <w:rPr>
                <w:rFonts w:ascii="Arial Narrow" w:hAnsi="Arial Narrow"/>
                <w:b/>
                <w:sz w:val="20"/>
                <w:szCs w:val="20"/>
              </w:rPr>
              <w:t xml:space="preserve">Prescribing rule level: </w:t>
            </w:r>
          </w:p>
        </w:tc>
      </w:tr>
      <w:tr w:rsidR="00170071" w:rsidRPr="000E6BCB" w14:paraId="527E5AB4" w14:textId="77777777" w:rsidTr="00170071">
        <w:tblPrEx>
          <w:tblCellMar>
            <w:top w:w="15" w:type="dxa"/>
            <w:bottom w:w="15" w:type="dxa"/>
          </w:tblCellMar>
          <w:tblLook w:val="04A0" w:firstRow="1" w:lastRow="0" w:firstColumn="1" w:lastColumn="0" w:noHBand="0" w:noVBand="1"/>
        </w:tblPrEx>
        <w:trPr>
          <w:trHeight w:val="186"/>
        </w:trPr>
        <w:tc>
          <w:tcPr>
            <w:tcW w:w="9067" w:type="dxa"/>
            <w:gridSpan w:val="6"/>
            <w:tcBorders>
              <w:top w:val="single" w:sz="4" w:space="0" w:color="auto"/>
              <w:left w:val="single" w:sz="4" w:space="0" w:color="auto"/>
              <w:bottom w:val="single" w:sz="4" w:space="0" w:color="auto"/>
              <w:right w:val="single" w:sz="4" w:space="0" w:color="auto"/>
            </w:tcBorders>
            <w:vAlign w:val="center"/>
          </w:tcPr>
          <w:p w14:paraId="012550C3" w14:textId="77777777" w:rsidR="00170071" w:rsidRPr="009F5512" w:rsidRDefault="00170071" w:rsidP="0049200A">
            <w:pPr>
              <w:spacing w:after="0"/>
              <w:jc w:val="left"/>
              <w:rPr>
                <w:rFonts w:ascii="Arial Narrow" w:hAnsi="Arial Narrow"/>
                <w:b/>
                <w:sz w:val="20"/>
                <w:szCs w:val="20"/>
              </w:rPr>
            </w:pPr>
            <w:r w:rsidRPr="009F5512">
              <w:rPr>
                <w:rFonts w:ascii="Arial Narrow" w:hAnsi="Arial Narrow"/>
                <w:b/>
                <w:sz w:val="20"/>
                <w:szCs w:val="20"/>
              </w:rPr>
              <w:t>Caution:</w:t>
            </w:r>
          </w:p>
          <w:p w14:paraId="0F97ED7C" w14:textId="77777777" w:rsidR="00170071" w:rsidRPr="009F5512" w:rsidRDefault="00170071" w:rsidP="0049200A">
            <w:pPr>
              <w:spacing w:after="0"/>
              <w:jc w:val="left"/>
              <w:rPr>
                <w:rFonts w:ascii="Arial Narrow" w:hAnsi="Arial Narrow"/>
                <w:bCs/>
                <w:sz w:val="20"/>
                <w:szCs w:val="20"/>
              </w:rPr>
            </w:pPr>
            <w:r w:rsidRPr="009F5512">
              <w:rPr>
                <w:rFonts w:ascii="Arial Narrow" w:hAnsi="Arial Narrow"/>
                <w:bCs/>
                <w:sz w:val="20"/>
                <w:szCs w:val="20"/>
              </w:rPr>
              <w:t>Contraindications to treatment include known sensitivity to botulinum toxin.</w:t>
            </w:r>
          </w:p>
        </w:tc>
      </w:tr>
      <w:tr w:rsidR="00170071" w:rsidRPr="000E6BCB" w14:paraId="6CB79496" w14:textId="77777777" w:rsidTr="00170071">
        <w:tblPrEx>
          <w:tblCellMar>
            <w:top w:w="15" w:type="dxa"/>
            <w:bottom w:w="15" w:type="dxa"/>
          </w:tblCellMar>
          <w:tblLook w:val="04A0" w:firstRow="1" w:lastRow="0" w:firstColumn="1" w:lastColumn="0" w:noHBand="0" w:noVBand="1"/>
        </w:tblPrEx>
        <w:trPr>
          <w:trHeight w:val="186"/>
        </w:trPr>
        <w:tc>
          <w:tcPr>
            <w:tcW w:w="9067" w:type="dxa"/>
            <w:gridSpan w:val="6"/>
            <w:tcBorders>
              <w:top w:val="single" w:sz="4" w:space="0" w:color="auto"/>
              <w:left w:val="single" w:sz="4" w:space="0" w:color="auto"/>
              <w:bottom w:val="single" w:sz="4" w:space="0" w:color="auto"/>
              <w:right w:val="single" w:sz="4" w:space="0" w:color="auto"/>
            </w:tcBorders>
            <w:vAlign w:val="center"/>
          </w:tcPr>
          <w:p w14:paraId="18BAA539" w14:textId="77777777" w:rsidR="00170071" w:rsidRPr="009F5512" w:rsidRDefault="00170071" w:rsidP="0049200A">
            <w:pPr>
              <w:spacing w:after="0"/>
              <w:jc w:val="left"/>
              <w:rPr>
                <w:rFonts w:ascii="Arial Narrow" w:hAnsi="Arial Narrow"/>
                <w:b/>
                <w:color w:val="000000"/>
                <w:sz w:val="20"/>
                <w:szCs w:val="20"/>
              </w:rPr>
            </w:pPr>
            <w:r w:rsidRPr="009F5512">
              <w:rPr>
                <w:rFonts w:ascii="Arial Narrow" w:hAnsi="Arial Narrow"/>
                <w:b/>
                <w:color w:val="000000"/>
                <w:sz w:val="20"/>
                <w:szCs w:val="20"/>
              </w:rPr>
              <w:t>Administrative Advice:</w:t>
            </w:r>
          </w:p>
          <w:p w14:paraId="4B613EEB" w14:textId="77777777" w:rsidR="00170071" w:rsidRPr="009F5512" w:rsidRDefault="00170071" w:rsidP="0049200A">
            <w:pPr>
              <w:spacing w:after="0"/>
              <w:jc w:val="left"/>
              <w:rPr>
                <w:rFonts w:ascii="Arial Narrow" w:hAnsi="Arial Narrow"/>
                <w:bCs/>
                <w:color w:val="000000"/>
                <w:sz w:val="20"/>
                <w:szCs w:val="20"/>
              </w:rPr>
            </w:pPr>
            <w:r w:rsidRPr="009F5512">
              <w:rPr>
                <w:rFonts w:ascii="Arial Narrow" w:hAnsi="Arial Narrow"/>
                <w:bCs/>
                <w:color w:val="000000"/>
                <w:sz w:val="20"/>
                <w:szCs w:val="20"/>
              </w:rPr>
              <w:t>The units used to express the potency of botulinum toxin preparations currently available for PBS subsidy are not equivalent.</w:t>
            </w:r>
          </w:p>
        </w:tc>
      </w:tr>
      <w:tr w:rsidR="00170071" w:rsidRPr="000E6BCB" w14:paraId="19FB486E" w14:textId="77777777" w:rsidTr="00170071">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0846AA2D" w14:textId="77777777" w:rsidR="00170071" w:rsidRPr="000E6BCB" w:rsidRDefault="00170071" w:rsidP="0049200A">
            <w:pPr>
              <w:keepLines/>
              <w:spacing w:after="0"/>
              <w:rPr>
                <w:rFonts w:ascii="Arial Narrow" w:hAnsi="Arial Narrow"/>
                <w:b/>
                <w:bCs/>
                <w:color w:val="333333"/>
                <w:sz w:val="20"/>
                <w:szCs w:val="20"/>
                <w14:ligatures w14:val="standardContextual"/>
              </w:rPr>
            </w:pPr>
            <w:r w:rsidRPr="000E6BCB">
              <w:rPr>
                <w:rFonts w:ascii="Arial Narrow" w:hAnsi="Arial Narrow"/>
                <w:b/>
                <w:sz w:val="20"/>
                <w:szCs w:val="20"/>
                <w14:ligatures w14:val="standardContextual"/>
              </w:rPr>
              <w:t>Restriction Summary 8901 / Treatment of Concept: 5359</w:t>
            </w:r>
          </w:p>
        </w:tc>
      </w:tr>
      <w:tr w:rsidR="00170071" w:rsidRPr="000E6BCB" w14:paraId="05A65C39"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7740A27C" w14:textId="77777777" w:rsidR="00170071" w:rsidRPr="009F5512" w:rsidRDefault="00170071" w:rsidP="0049200A">
            <w:pPr>
              <w:keepLines/>
              <w:spacing w:after="0"/>
              <w:rPr>
                <w:rFonts w:ascii="Arial Narrow" w:hAnsi="Arial Narrow"/>
                <w:sz w:val="20"/>
                <w:szCs w:val="20"/>
                <w14:ligatures w14:val="standardContextual"/>
              </w:rPr>
            </w:pPr>
            <w:r w:rsidRPr="009F5512">
              <w:rPr>
                <w:rFonts w:ascii="Arial Narrow" w:hAnsi="Arial Narrow"/>
                <w:b/>
                <w:bCs/>
                <w:sz w:val="20"/>
                <w:szCs w:val="20"/>
                <w14:ligatures w14:val="standardContextual"/>
              </w:rPr>
              <w:t>Indication:</w:t>
            </w:r>
            <w:r w:rsidRPr="009F5512">
              <w:rPr>
                <w:rFonts w:ascii="Arial Narrow" w:hAnsi="Arial Narrow"/>
                <w:sz w:val="20"/>
                <w:szCs w:val="20"/>
                <w14:ligatures w14:val="standardContextual"/>
              </w:rPr>
              <w:t xml:space="preserve"> Dynamic equinus foot deformity</w:t>
            </w:r>
          </w:p>
        </w:tc>
      </w:tr>
      <w:tr w:rsidR="00170071" w:rsidRPr="000E6BCB" w14:paraId="57CDEB0F"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0D14842" w14:textId="77777777" w:rsidR="00170071" w:rsidRPr="000E6BCB" w:rsidRDefault="00170071" w:rsidP="0049200A">
            <w:pPr>
              <w:spacing w:after="0"/>
              <w:rPr>
                <w:rFonts w:ascii="Arial Narrow" w:hAnsi="Arial Narrow"/>
                <w:sz w:val="20"/>
                <w:szCs w:val="20"/>
                <w14:ligatures w14:val="standardContextual"/>
              </w:rPr>
            </w:pPr>
            <w:r w:rsidRPr="000E6BCB">
              <w:rPr>
                <w:rFonts w:ascii="Arial Narrow" w:hAnsi="Arial Narrow"/>
                <w:b/>
                <w:bCs/>
                <w:color w:val="333333"/>
                <w:sz w:val="20"/>
                <w:szCs w:val="20"/>
                <w14:ligatures w14:val="standardContextual"/>
              </w:rPr>
              <w:t xml:space="preserve">Clinical criteria: </w:t>
            </w:r>
          </w:p>
        </w:tc>
      </w:tr>
      <w:tr w:rsidR="00170071" w:rsidRPr="000E6BCB" w14:paraId="06DEEEE1"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7C593F51" w14:textId="77777777" w:rsidR="00170071" w:rsidRPr="000E6BCB" w:rsidRDefault="00170071" w:rsidP="0049200A">
            <w:pPr>
              <w:spacing w:after="0"/>
              <w:rPr>
                <w:rFonts w:ascii="Arial Narrow" w:hAnsi="Arial Narrow"/>
                <w:i/>
                <w:iCs/>
                <w:color w:val="333333"/>
                <w:sz w:val="20"/>
                <w:szCs w:val="20"/>
                <w14:ligatures w14:val="standardContextual"/>
              </w:rPr>
            </w:pPr>
            <w:r w:rsidRPr="000E6BCB">
              <w:rPr>
                <w:rFonts w:ascii="Arial Narrow" w:hAnsi="Arial Narrow"/>
                <w:color w:val="333333"/>
                <w:sz w:val="20"/>
                <w:szCs w:val="20"/>
                <w14:ligatures w14:val="standardContextual"/>
              </w:rPr>
              <w:t>The condition must be due to spasticity</w:t>
            </w:r>
            <w:r w:rsidRPr="005B79C0">
              <w:rPr>
                <w:rFonts w:ascii="Arial Narrow" w:hAnsi="Arial Narrow"/>
                <w:color w:val="333333"/>
                <w:sz w:val="20"/>
                <w:szCs w:val="20"/>
                <w14:ligatures w14:val="standardContextual"/>
              </w:rPr>
              <w:t>,</w:t>
            </w:r>
          </w:p>
        </w:tc>
      </w:tr>
      <w:tr w:rsidR="00170071" w:rsidRPr="000E6BCB" w14:paraId="7F76A83F"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CC93EAF" w14:textId="77777777" w:rsidR="00170071" w:rsidRPr="000E6BCB" w:rsidRDefault="00170071" w:rsidP="0049200A">
            <w:pPr>
              <w:spacing w:after="0"/>
              <w:rPr>
                <w:rFonts w:ascii="Arial Narrow" w:hAnsi="Arial Narrow"/>
                <w:color w:val="333333"/>
                <w:sz w:val="20"/>
                <w:szCs w:val="20"/>
                <w14:ligatures w14:val="standardContextual"/>
              </w:rPr>
            </w:pPr>
            <w:r w:rsidRPr="000E6BCB">
              <w:rPr>
                <w:rFonts w:ascii="Arial Narrow" w:hAnsi="Arial Narrow"/>
                <w:b/>
                <w:bCs/>
                <w:color w:val="333333"/>
                <w:sz w:val="20"/>
                <w:szCs w:val="20"/>
                <w14:ligatures w14:val="standardContextual"/>
              </w:rPr>
              <w:t>AND</w:t>
            </w:r>
          </w:p>
        </w:tc>
      </w:tr>
      <w:tr w:rsidR="00170071" w:rsidRPr="000E6BCB" w14:paraId="61065C94"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4BC50966" w14:textId="77777777" w:rsidR="00170071" w:rsidRPr="000E6BCB" w:rsidRDefault="00170071" w:rsidP="0049200A">
            <w:pPr>
              <w:spacing w:after="0"/>
              <w:rPr>
                <w:rFonts w:ascii="Arial Narrow" w:hAnsi="Arial Narrow"/>
                <w:color w:val="333333"/>
                <w:sz w:val="20"/>
                <w:szCs w:val="20"/>
                <w14:ligatures w14:val="standardContextual"/>
              </w:rPr>
            </w:pPr>
            <w:r w:rsidRPr="000E6BCB">
              <w:rPr>
                <w:rFonts w:ascii="Arial Narrow" w:hAnsi="Arial Narrow"/>
                <w:b/>
                <w:bCs/>
                <w:color w:val="333333"/>
                <w:sz w:val="20"/>
                <w:szCs w:val="20"/>
                <w14:ligatures w14:val="standardContextual"/>
              </w:rPr>
              <w:t>Clinical criteria:</w:t>
            </w:r>
          </w:p>
        </w:tc>
      </w:tr>
      <w:tr w:rsidR="00170071" w:rsidRPr="000E6BCB" w14:paraId="2833DC75"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FE2BB30" w14:textId="77777777" w:rsidR="00170071" w:rsidRPr="000E6BCB" w:rsidRDefault="00170071" w:rsidP="0049200A">
            <w:pPr>
              <w:spacing w:after="0"/>
              <w:rPr>
                <w:rFonts w:ascii="Arial Narrow" w:hAnsi="Arial Narrow"/>
                <w:sz w:val="20"/>
                <w:szCs w:val="20"/>
                <w14:ligatures w14:val="standardContextual"/>
              </w:rPr>
            </w:pPr>
            <w:r w:rsidRPr="000E6BCB">
              <w:rPr>
                <w:rFonts w:ascii="Arial Narrow" w:hAnsi="Arial Narrow"/>
                <w:sz w:val="20"/>
                <w:szCs w:val="20"/>
                <w14:ligatures w14:val="standardContextual"/>
              </w:rPr>
              <w:t>Patient must have cerebral palsy</w:t>
            </w:r>
            <w:r w:rsidRPr="005B79C0">
              <w:rPr>
                <w:rFonts w:ascii="Arial Narrow" w:hAnsi="Arial Narrow"/>
                <w:sz w:val="20"/>
                <w:szCs w:val="20"/>
                <w14:ligatures w14:val="standardContextual"/>
              </w:rPr>
              <w:t xml:space="preserve">, </w:t>
            </w:r>
          </w:p>
        </w:tc>
      </w:tr>
      <w:tr w:rsidR="00170071" w:rsidRPr="000E6BCB" w14:paraId="3698E649"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2EAD922" w14:textId="77777777" w:rsidR="00170071" w:rsidRPr="000E6BCB" w:rsidRDefault="00170071" w:rsidP="0049200A">
            <w:pPr>
              <w:spacing w:after="0"/>
              <w:rPr>
                <w:rFonts w:ascii="Arial Narrow" w:hAnsi="Arial Narrow"/>
                <w:color w:val="FF0000"/>
                <w:sz w:val="20"/>
                <w:szCs w:val="20"/>
                <w14:ligatures w14:val="standardContextual"/>
              </w:rPr>
            </w:pPr>
            <w:r w:rsidRPr="000E6BCB">
              <w:rPr>
                <w:rFonts w:ascii="Arial Narrow" w:hAnsi="Arial Narrow" w:cs="Arial Narrow"/>
                <w:b/>
                <w:bCs/>
                <w:iCs/>
                <w:sz w:val="20"/>
                <w:szCs w:val="20"/>
                <w14:ligatures w14:val="standardContextual"/>
              </w:rPr>
              <w:t>AND</w:t>
            </w:r>
          </w:p>
        </w:tc>
      </w:tr>
      <w:tr w:rsidR="00170071" w:rsidRPr="000E6BCB" w14:paraId="716D3F7C"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559287B6" w14:textId="77777777" w:rsidR="00170071" w:rsidRPr="000E6BCB" w:rsidRDefault="00170071" w:rsidP="0049200A">
            <w:pPr>
              <w:keepNext/>
              <w:spacing w:after="0"/>
              <w:rPr>
                <w:rFonts w:ascii="Arial Narrow" w:hAnsi="Arial Narrow"/>
                <w:sz w:val="20"/>
                <w:szCs w:val="20"/>
                <w14:ligatures w14:val="standardContextual"/>
              </w:rPr>
            </w:pPr>
            <w:r w:rsidRPr="000E6BCB">
              <w:rPr>
                <w:rFonts w:ascii="Arial Narrow" w:hAnsi="Arial Narrow"/>
                <w:b/>
                <w:bCs/>
                <w:color w:val="333333"/>
                <w:sz w:val="20"/>
                <w:szCs w:val="20"/>
                <w14:ligatures w14:val="standardContextual"/>
              </w:rPr>
              <w:t>Clinical criteria:</w:t>
            </w:r>
          </w:p>
        </w:tc>
      </w:tr>
      <w:tr w:rsidR="00170071" w:rsidRPr="000E6BCB" w14:paraId="427B51F2"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A6A7E47" w14:textId="77777777" w:rsidR="00170071" w:rsidRPr="000E6BCB" w:rsidRDefault="00170071" w:rsidP="0049200A">
            <w:pPr>
              <w:autoSpaceDE w:val="0"/>
              <w:autoSpaceDN w:val="0"/>
              <w:adjustRightInd w:val="0"/>
              <w:spacing w:after="0"/>
              <w:jc w:val="left"/>
              <w:rPr>
                <w:rFonts w:ascii="Arial Narrow" w:hAnsi="Arial Narrow" w:cs="Arial Narrow"/>
                <w:sz w:val="20"/>
                <w:szCs w:val="20"/>
                <w14:ligatures w14:val="standardContextual"/>
              </w:rPr>
            </w:pPr>
            <w:r w:rsidRPr="000E6BCB">
              <w:rPr>
                <w:rFonts w:ascii="Arial Narrow" w:hAnsi="Arial Narrow" w:cs="Arial Narrow"/>
                <w:sz w:val="20"/>
                <w:szCs w:val="20"/>
                <w14:ligatures w14:val="standardContextual"/>
              </w:rPr>
              <w:t>Patient must be ambulant</w:t>
            </w:r>
            <w:r w:rsidRPr="005B79C0">
              <w:rPr>
                <w:rFonts w:ascii="Arial Narrow" w:hAnsi="Arial Narrow" w:cs="Arial Narrow"/>
                <w:sz w:val="20"/>
                <w:szCs w:val="20"/>
                <w14:ligatures w14:val="standardContextual"/>
              </w:rPr>
              <w:t xml:space="preserve">. </w:t>
            </w:r>
          </w:p>
        </w:tc>
      </w:tr>
      <w:tr w:rsidR="00170071" w:rsidRPr="000E6BCB" w14:paraId="3BE1F47E"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FF2422F" w14:textId="77777777" w:rsidR="00170071" w:rsidRPr="000E6BCB" w:rsidRDefault="00170071" w:rsidP="0049200A">
            <w:pPr>
              <w:autoSpaceDE w:val="0"/>
              <w:autoSpaceDN w:val="0"/>
              <w:adjustRightInd w:val="0"/>
              <w:spacing w:after="0"/>
              <w:rPr>
                <w:rFonts w:ascii="Arial Narrow" w:hAnsi="Arial Narrow" w:cs="Arial Narrow"/>
                <w:iCs/>
                <w:color w:val="FF0000"/>
                <w:sz w:val="20"/>
                <w:szCs w:val="20"/>
                <w14:ligatures w14:val="standardContextual"/>
              </w:rPr>
            </w:pPr>
            <w:r w:rsidRPr="000E6BCB">
              <w:rPr>
                <w:rFonts w:ascii="Arial Narrow" w:hAnsi="Arial Narrow"/>
                <w:b/>
                <w:bCs/>
                <w:color w:val="333333"/>
                <w:sz w:val="20"/>
                <w:szCs w:val="20"/>
                <w14:ligatures w14:val="standardContextual"/>
              </w:rPr>
              <w:t>Treatment criteria:</w:t>
            </w:r>
          </w:p>
        </w:tc>
      </w:tr>
      <w:tr w:rsidR="00170071" w:rsidRPr="000E6BCB" w14:paraId="4EBC0A75"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D8F54FC" w14:textId="77777777" w:rsidR="00170071" w:rsidRPr="000E6BCB" w:rsidRDefault="00170071" w:rsidP="0049200A">
            <w:pPr>
              <w:spacing w:after="0"/>
              <w:rPr>
                <w:rFonts w:ascii="Arial Narrow" w:hAnsi="Arial Narrow"/>
                <w:sz w:val="20"/>
                <w14:ligatures w14:val="standardContextual"/>
              </w:rPr>
            </w:pPr>
            <w:r w:rsidRPr="000E6BCB">
              <w:rPr>
                <w:rFonts w:ascii="Arial Narrow" w:hAnsi="Arial Narrow"/>
                <w:sz w:val="20"/>
                <w14:ligatures w14:val="standardContextual"/>
              </w:rPr>
              <w:t>Must be treated by a neurologist; OR</w:t>
            </w:r>
          </w:p>
        </w:tc>
      </w:tr>
      <w:tr w:rsidR="00170071" w:rsidRPr="000E6BCB" w14:paraId="11505C7E"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3E34810" w14:textId="77777777" w:rsidR="00170071" w:rsidRPr="000E6BCB" w:rsidRDefault="00170071" w:rsidP="0049200A">
            <w:pPr>
              <w:spacing w:after="0"/>
              <w:rPr>
                <w:rFonts w:ascii="Arial Narrow" w:hAnsi="Arial Narrow"/>
                <w:sz w:val="20"/>
                <w14:ligatures w14:val="standardContextual"/>
              </w:rPr>
            </w:pPr>
            <w:r w:rsidRPr="000E6BCB">
              <w:rPr>
                <w:rFonts w:ascii="Arial Narrow" w:hAnsi="Arial Narrow"/>
                <w:sz w:val="20"/>
                <w14:ligatures w14:val="standardContextual"/>
              </w:rPr>
              <w:t>Must be treated by an orthopaedic surgeon; OR</w:t>
            </w:r>
          </w:p>
        </w:tc>
      </w:tr>
      <w:tr w:rsidR="00170071" w:rsidRPr="000E6BCB" w14:paraId="54F40BA6"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419984A" w14:textId="77777777" w:rsidR="00170071" w:rsidRPr="000E6BCB" w:rsidRDefault="00170071" w:rsidP="0049200A">
            <w:pPr>
              <w:spacing w:after="0"/>
              <w:rPr>
                <w:rFonts w:ascii="Arial Narrow" w:hAnsi="Arial Narrow"/>
                <w:sz w:val="20"/>
                <w14:ligatures w14:val="standardContextual"/>
              </w:rPr>
            </w:pPr>
            <w:r w:rsidRPr="000E6BCB">
              <w:rPr>
                <w:rFonts w:ascii="Arial Narrow" w:hAnsi="Arial Narrow"/>
                <w:sz w:val="20"/>
                <w14:ligatures w14:val="standardContextual"/>
              </w:rPr>
              <w:t>Must be treated by a paediatrician; OR</w:t>
            </w:r>
          </w:p>
        </w:tc>
      </w:tr>
      <w:tr w:rsidR="00170071" w:rsidRPr="000E6BCB" w14:paraId="7B940089"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7E79D8D" w14:textId="77777777" w:rsidR="00170071" w:rsidRPr="000E6BCB" w:rsidRDefault="00170071" w:rsidP="0049200A">
            <w:pPr>
              <w:spacing w:after="0"/>
              <w:rPr>
                <w:rFonts w:ascii="Arial Narrow" w:hAnsi="Arial Narrow"/>
                <w:sz w:val="20"/>
                <w14:ligatures w14:val="standardContextual"/>
              </w:rPr>
            </w:pPr>
            <w:r w:rsidRPr="000E6BCB">
              <w:rPr>
                <w:rFonts w:ascii="Arial Narrow" w:hAnsi="Arial Narrow"/>
                <w:sz w:val="20"/>
                <w14:ligatures w14:val="standardContextual"/>
              </w:rPr>
              <w:t>Must be treated by a rehabilitation specialist</w:t>
            </w:r>
            <w:r w:rsidRPr="005B79C0">
              <w:rPr>
                <w:rFonts w:ascii="Arial Narrow" w:hAnsi="Arial Narrow"/>
                <w:sz w:val="20"/>
                <w14:ligatures w14:val="standardContextual"/>
              </w:rPr>
              <w:t>.</w:t>
            </w:r>
          </w:p>
        </w:tc>
      </w:tr>
      <w:tr w:rsidR="00170071" w:rsidRPr="000E6BCB" w14:paraId="616DF654"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3D0E1CA7" w14:textId="77777777" w:rsidR="00170071" w:rsidRPr="000E6BCB" w:rsidRDefault="00170071" w:rsidP="0049200A">
            <w:pPr>
              <w:spacing w:after="0"/>
              <w:rPr>
                <w:rFonts w:ascii="Arial Narrow" w:hAnsi="Arial Narrow"/>
                <w:color w:val="333333"/>
                <w:sz w:val="20"/>
                <w:szCs w:val="20"/>
                <w14:ligatures w14:val="standardContextual"/>
              </w:rPr>
            </w:pPr>
            <w:r w:rsidRPr="000E6BCB">
              <w:rPr>
                <w:rFonts w:ascii="Arial Narrow" w:hAnsi="Arial Narrow"/>
                <w:b/>
                <w:bCs/>
                <w:color w:val="333333"/>
                <w:sz w:val="20"/>
                <w:szCs w:val="20"/>
                <w14:ligatures w14:val="standardContextual"/>
              </w:rPr>
              <w:t>Population criteria:</w:t>
            </w:r>
          </w:p>
        </w:tc>
      </w:tr>
      <w:tr w:rsidR="00170071" w:rsidRPr="000E6BCB" w14:paraId="4E024E1F"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720BE94E" w14:textId="0967599B" w:rsidR="00170071" w:rsidRPr="000E6BCB" w:rsidRDefault="00170071" w:rsidP="0049200A">
            <w:pPr>
              <w:spacing w:after="0"/>
              <w:rPr>
                <w:rFonts w:ascii="Arial Narrow" w:hAnsi="Arial Narrow"/>
                <w:color w:val="333333"/>
                <w:sz w:val="20"/>
                <w:szCs w:val="20"/>
                <w14:ligatures w14:val="standardContextual"/>
              </w:rPr>
            </w:pPr>
            <w:r w:rsidRPr="000E6BCB">
              <w:rPr>
                <w:rFonts w:ascii="Arial Narrow" w:hAnsi="Arial Narrow"/>
                <w:sz w:val="20"/>
                <w14:ligatures w14:val="standardContextual"/>
              </w:rPr>
              <w:t xml:space="preserve">Patient must be aged from 2 to 17 years </w:t>
            </w:r>
            <w:r w:rsidRPr="00BD2372">
              <w:rPr>
                <w:rFonts w:ascii="Arial Narrow" w:hAnsi="Arial Narrow"/>
                <w:sz w:val="20"/>
                <w14:ligatures w14:val="standardContextual"/>
              </w:rPr>
              <w:t>inclusive</w:t>
            </w:r>
            <w:r>
              <w:rPr>
                <w:rFonts w:ascii="Arial Narrow" w:hAnsi="Arial Narrow"/>
                <w:sz w:val="20"/>
                <w14:ligatures w14:val="standardContextual"/>
              </w:rPr>
              <w:t>.</w:t>
            </w:r>
          </w:p>
        </w:tc>
      </w:tr>
      <w:tr w:rsidR="00170071" w:rsidRPr="000E6BCB" w14:paraId="7F39336D"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shd w:val="clear" w:color="auto" w:fill="BFBFBF"/>
            <w:vAlign w:val="center"/>
          </w:tcPr>
          <w:p w14:paraId="7A969E06" w14:textId="77777777" w:rsidR="00170071" w:rsidRPr="000E6BCB" w:rsidRDefault="00170071" w:rsidP="0049200A">
            <w:pPr>
              <w:keepNext/>
              <w:keepLines/>
              <w:spacing w:after="0"/>
              <w:rPr>
                <w:rFonts w:ascii="Arial Narrow" w:hAnsi="Arial Narrow"/>
                <w:b/>
                <w:bCs/>
                <w:color w:val="FF0000"/>
                <w:sz w:val="20"/>
                <w:szCs w:val="20"/>
                <w14:ligatures w14:val="standardContextual"/>
              </w:rPr>
            </w:pPr>
            <w:r w:rsidRPr="000E6BCB">
              <w:rPr>
                <w:rFonts w:ascii="Arial Narrow" w:hAnsi="Arial Narrow"/>
                <w:b/>
                <w:bCs/>
                <w:color w:val="333333"/>
                <w:sz w:val="20"/>
                <w:szCs w:val="20"/>
                <w14:ligatures w14:val="standardContextual"/>
              </w:rPr>
              <w:t>Restriction Summary 8930 / Treatment of Concept: 8822</w:t>
            </w:r>
          </w:p>
        </w:tc>
      </w:tr>
      <w:tr w:rsidR="00170071" w:rsidRPr="000E6BCB" w14:paraId="47615B58"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9AA5A91" w14:textId="77777777" w:rsidR="00170071" w:rsidRPr="00BD2372" w:rsidRDefault="00170071" w:rsidP="0049200A">
            <w:pPr>
              <w:spacing w:after="0"/>
              <w:rPr>
                <w:rFonts w:ascii="Arial Narrow" w:hAnsi="Arial Narrow"/>
                <w:sz w:val="20"/>
                <w:szCs w:val="20"/>
                <w14:ligatures w14:val="standardContextual"/>
              </w:rPr>
            </w:pPr>
            <w:r w:rsidRPr="00BD2372">
              <w:rPr>
                <w:rFonts w:ascii="Arial Narrow" w:hAnsi="Arial Narrow"/>
                <w:b/>
                <w:bCs/>
                <w:sz w:val="20"/>
                <w:szCs w:val="20"/>
                <w14:ligatures w14:val="standardContextual"/>
              </w:rPr>
              <w:t>Indication:</w:t>
            </w:r>
            <w:r w:rsidRPr="00BD2372">
              <w:rPr>
                <w:rFonts w:ascii="Arial Narrow" w:hAnsi="Arial Narrow"/>
                <w:sz w:val="20"/>
                <w:szCs w:val="20"/>
                <w14:ligatures w14:val="standardContextual"/>
              </w:rPr>
              <w:t xml:space="preserve"> Dynamic equinus foot deformity</w:t>
            </w:r>
          </w:p>
        </w:tc>
      </w:tr>
      <w:tr w:rsidR="00170071" w:rsidRPr="000E6BCB" w14:paraId="2C072648"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13E3F16" w14:textId="77777777" w:rsidR="00170071" w:rsidRPr="000E6BCB" w:rsidRDefault="00170071" w:rsidP="0049200A">
            <w:pPr>
              <w:spacing w:after="0"/>
              <w:rPr>
                <w:rFonts w:ascii="Arial Narrow" w:hAnsi="Arial Narrow"/>
                <w:color w:val="333333"/>
                <w:sz w:val="20"/>
                <w:szCs w:val="20"/>
                <w14:ligatures w14:val="standardContextual"/>
              </w:rPr>
            </w:pPr>
            <w:r w:rsidRPr="000E6BCB">
              <w:rPr>
                <w:rFonts w:ascii="Arial Narrow" w:hAnsi="Arial Narrow"/>
                <w:b/>
                <w:bCs/>
                <w:color w:val="333333"/>
                <w:sz w:val="20"/>
                <w:szCs w:val="20"/>
                <w14:ligatures w14:val="standardContextual"/>
              </w:rPr>
              <w:t xml:space="preserve">Clinical criteria: </w:t>
            </w:r>
          </w:p>
        </w:tc>
      </w:tr>
      <w:tr w:rsidR="00170071" w:rsidRPr="000E6BCB" w14:paraId="04ECEF74"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2E34C25" w14:textId="77777777" w:rsidR="00170071" w:rsidRPr="000E6BCB" w:rsidRDefault="00170071" w:rsidP="0049200A">
            <w:pPr>
              <w:spacing w:after="0"/>
              <w:rPr>
                <w:rFonts w:ascii="Arial Narrow" w:hAnsi="Arial Narrow"/>
                <w:b/>
                <w:bCs/>
                <w:color w:val="333333"/>
                <w:sz w:val="20"/>
                <w:szCs w:val="20"/>
                <w14:ligatures w14:val="standardContextual"/>
              </w:rPr>
            </w:pPr>
            <w:r w:rsidRPr="000E6BCB">
              <w:rPr>
                <w:rFonts w:ascii="Arial Narrow" w:hAnsi="Arial Narrow"/>
                <w:color w:val="333333"/>
                <w:sz w:val="20"/>
                <w:szCs w:val="20"/>
                <w14:ligatures w14:val="standardContextual"/>
              </w:rPr>
              <w:t>The condition must be due to spasticity</w:t>
            </w:r>
            <w:r w:rsidRPr="005B79C0">
              <w:rPr>
                <w:rFonts w:ascii="Arial Narrow" w:hAnsi="Arial Narrow"/>
                <w:color w:val="333333"/>
                <w:sz w:val="20"/>
                <w:szCs w:val="20"/>
                <w14:ligatures w14:val="standardContextual"/>
              </w:rPr>
              <w:t xml:space="preserve">, </w:t>
            </w:r>
          </w:p>
        </w:tc>
      </w:tr>
      <w:tr w:rsidR="00170071" w:rsidRPr="000E6BCB" w14:paraId="7533F1BF"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51E446E" w14:textId="77777777" w:rsidR="00170071" w:rsidRPr="000E6BCB" w:rsidRDefault="00170071" w:rsidP="0049200A">
            <w:pPr>
              <w:spacing w:after="0"/>
              <w:rPr>
                <w:rFonts w:ascii="Arial Narrow" w:hAnsi="Arial Narrow"/>
                <w:b/>
                <w:bCs/>
                <w:color w:val="333333"/>
                <w:sz w:val="20"/>
                <w:szCs w:val="20"/>
                <w14:ligatures w14:val="standardContextual"/>
              </w:rPr>
            </w:pPr>
            <w:r w:rsidRPr="000E6BCB">
              <w:rPr>
                <w:rFonts w:ascii="Arial Narrow" w:hAnsi="Arial Narrow"/>
                <w:b/>
                <w:bCs/>
                <w:color w:val="333333"/>
                <w:sz w:val="20"/>
                <w:szCs w:val="20"/>
                <w14:ligatures w14:val="standardContextual"/>
              </w:rPr>
              <w:t>AND</w:t>
            </w:r>
          </w:p>
        </w:tc>
      </w:tr>
      <w:tr w:rsidR="00170071" w:rsidRPr="000E6BCB" w14:paraId="5522E363"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194D101" w14:textId="77777777" w:rsidR="00170071" w:rsidRPr="000E6BCB" w:rsidRDefault="00170071" w:rsidP="0049200A">
            <w:pPr>
              <w:spacing w:after="0"/>
              <w:rPr>
                <w:rFonts w:ascii="Arial Narrow" w:hAnsi="Arial Narrow"/>
                <w:b/>
                <w:bCs/>
                <w:color w:val="333333"/>
                <w:sz w:val="20"/>
                <w:szCs w:val="20"/>
                <w14:ligatures w14:val="standardContextual"/>
              </w:rPr>
            </w:pPr>
            <w:r w:rsidRPr="000E6BCB">
              <w:rPr>
                <w:rFonts w:ascii="Arial Narrow" w:hAnsi="Arial Narrow"/>
                <w:b/>
                <w:bCs/>
                <w:color w:val="333333"/>
                <w:sz w:val="20"/>
                <w:szCs w:val="20"/>
                <w14:ligatures w14:val="standardContextual"/>
              </w:rPr>
              <w:t>Clinical criteria:</w:t>
            </w:r>
          </w:p>
        </w:tc>
      </w:tr>
      <w:tr w:rsidR="00170071" w:rsidRPr="000E6BCB" w14:paraId="0AFB730F"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723FF07" w14:textId="77777777" w:rsidR="00170071" w:rsidRPr="000E6BCB" w:rsidRDefault="00170071" w:rsidP="0049200A">
            <w:pPr>
              <w:spacing w:after="0"/>
              <w:rPr>
                <w:rFonts w:ascii="Arial Narrow" w:hAnsi="Arial Narrow"/>
                <w:b/>
                <w:bCs/>
                <w:color w:val="333333"/>
                <w:sz w:val="20"/>
                <w:szCs w:val="20"/>
                <w14:ligatures w14:val="standardContextual"/>
              </w:rPr>
            </w:pPr>
            <w:r w:rsidRPr="000E6BCB">
              <w:rPr>
                <w:rFonts w:ascii="Arial Narrow" w:hAnsi="Arial Narrow"/>
                <w:sz w:val="20"/>
                <w:szCs w:val="20"/>
                <w14:ligatures w14:val="standardContextual"/>
              </w:rPr>
              <w:t>Patient must have cerebral palsy</w:t>
            </w:r>
            <w:r w:rsidRPr="005B79C0">
              <w:rPr>
                <w:rFonts w:ascii="Arial Narrow" w:hAnsi="Arial Narrow"/>
                <w:sz w:val="20"/>
                <w:szCs w:val="20"/>
                <w14:ligatures w14:val="standardContextual"/>
              </w:rPr>
              <w:t xml:space="preserve">, </w:t>
            </w:r>
          </w:p>
        </w:tc>
      </w:tr>
      <w:tr w:rsidR="00170071" w:rsidRPr="000E6BCB" w14:paraId="0D5C1E2B"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5E78167" w14:textId="77777777" w:rsidR="00170071" w:rsidRPr="000E6BCB" w:rsidRDefault="00170071" w:rsidP="0049200A">
            <w:pPr>
              <w:spacing w:after="0"/>
              <w:rPr>
                <w:rFonts w:ascii="Arial Narrow" w:hAnsi="Arial Narrow"/>
                <w:b/>
                <w:bCs/>
                <w:color w:val="333333"/>
                <w:sz w:val="20"/>
                <w:szCs w:val="20"/>
                <w14:ligatures w14:val="standardContextual"/>
              </w:rPr>
            </w:pPr>
            <w:r w:rsidRPr="000E6BCB">
              <w:rPr>
                <w:rFonts w:ascii="Arial Narrow" w:hAnsi="Arial Narrow" w:cs="Arial Narrow"/>
                <w:b/>
                <w:bCs/>
                <w:iCs/>
                <w:sz w:val="20"/>
                <w:szCs w:val="20"/>
                <w14:ligatures w14:val="standardContextual"/>
              </w:rPr>
              <w:t>AND</w:t>
            </w:r>
          </w:p>
        </w:tc>
      </w:tr>
      <w:tr w:rsidR="00170071" w:rsidRPr="000E6BCB" w14:paraId="5311B4FD"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AF6A481" w14:textId="77777777" w:rsidR="00170071" w:rsidRPr="000E6BCB" w:rsidRDefault="00170071" w:rsidP="0049200A">
            <w:pPr>
              <w:spacing w:after="0"/>
              <w:rPr>
                <w:rFonts w:ascii="Arial Narrow" w:hAnsi="Arial Narrow"/>
                <w:b/>
                <w:bCs/>
                <w:color w:val="333333"/>
                <w:sz w:val="20"/>
                <w:szCs w:val="20"/>
                <w14:ligatures w14:val="standardContextual"/>
              </w:rPr>
            </w:pPr>
            <w:r w:rsidRPr="000E6BCB">
              <w:rPr>
                <w:rFonts w:ascii="Arial Narrow" w:hAnsi="Arial Narrow"/>
                <w:b/>
                <w:bCs/>
                <w:color w:val="333333"/>
                <w:sz w:val="20"/>
                <w:szCs w:val="20"/>
                <w14:ligatures w14:val="standardContextual"/>
              </w:rPr>
              <w:t>Clinical criteria:</w:t>
            </w:r>
          </w:p>
        </w:tc>
      </w:tr>
      <w:tr w:rsidR="00170071" w:rsidRPr="000E6BCB" w14:paraId="64715402"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F7B9E37" w14:textId="77777777" w:rsidR="00170071" w:rsidRPr="000E6BCB" w:rsidRDefault="00170071" w:rsidP="0049200A">
            <w:pPr>
              <w:spacing w:after="0"/>
              <w:rPr>
                <w:rFonts w:ascii="Arial Narrow" w:hAnsi="Arial Narrow"/>
                <w:color w:val="333333"/>
                <w:sz w:val="20"/>
                <w:szCs w:val="20"/>
                <w14:ligatures w14:val="standardContextual"/>
              </w:rPr>
            </w:pPr>
            <w:r w:rsidRPr="000E6BCB">
              <w:rPr>
                <w:rFonts w:ascii="Arial Narrow" w:hAnsi="Arial Narrow" w:cs="Arial Narrow"/>
                <w:sz w:val="20"/>
                <w:szCs w:val="20"/>
                <w14:ligatures w14:val="standardContextual"/>
              </w:rPr>
              <w:lastRenderedPageBreak/>
              <w:t>Patient must be ambulant</w:t>
            </w:r>
            <w:r w:rsidRPr="000E6BCB">
              <w:rPr>
                <w:rFonts w:ascii="Arial Narrow" w:hAnsi="Arial Narrow" w:cs="Arial Narrow"/>
                <w:strike/>
                <w:sz w:val="20"/>
                <w:szCs w:val="20"/>
                <w14:ligatures w14:val="standardContextual"/>
              </w:rPr>
              <w:t xml:space="preserve">. </w:t>
            </w:r>
          </w:p>
        </w:tc>
      </w:tr>
      <w:tr w:rsidR="00170071" w:rsidRPr="000E6BCB" w14:paraId="526FEF8F"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90791C5" w14:textId="77777777" w:rsidR="00170071" w:rsidRPr="000E6BCB" w:rsidRDefault="00170071" w:rsidP="0049200A">
            <w:pPr>
              <w:spacing w:after="0"/>
              <w:rPr>
                <w:rFonts w:ascii="Arial Narrow" w:hAnsi="Arial Narrow"/>
                <w:color w:val="333333"/>
                <w:sz w:val="20"/>
                <w:szCs w:val="20"/>
                <w14:ligatures w14:val="standardContextual"/>
              </w:rPr>
            </w:pPr>
            <w:r w:rsidRPr="000E6BCB">
              <w:rPr>
                <w:rFonts w:ascii="Arial Narrow" w:hAnsi="Arial Narrow"/>
                <w:b/>
                <w:bCs/>
                <w:color w:val="333333"/>
                <w:sz w:val="20"/>
                <w:szCs w:val="20"/>
                <w14:ligatures w14:val="standardContextual"/>
              </w:rPr>
              <w:t>Treatment criteria:</w:t>
            </w:r>
          </w:p>
        </w:tc>
      </w:tr>
      <w:tr w:rsidR="00170071" w:rsidRPr="000E6BCB" w14:paraId="20021B92"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AA9D2A0" w14:textId="77777777" w:rsidR="00170071" w:rsidRPr="000E6BCB" w:rsidRDefault="00170071" w:rsidP="0049200A">
            <w:pPr>
              <w:spacing w:after="0"/>
              <w:rPr>
                <w:rFonts w:ascii="Arial Narrow" w:hAnsi="Arial Narrow"/>
                <w:color w:val="333333"/>
                <w:sz w:val="20"/>
                <w:szCs w:val="20"/>
                <w14:ligatures w14:val="standardContextual"/>
              </w:rPr>
            </w:pPr>
            <w:r w:rsidRPr="000E6BCB">
              <w:rPr>
                <w:rFonts w:ascii="Arial Narrow" w:hAnsi="Arial Narrow"/>
                <w:sz w:val="20"/>
                <w14:ligatures w14:val="standardContextual"/>
              </w:rPr>
              <w:t>Must be treated by a neurologist; OR</w:t>
            </w:r>
          </w:p>
        </w:tc>
      </w:tr>
      <w:tr w:rsidR="00170071" w:rsidRPr="000E6BCB" w14:paraId="7AABC2EF"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D19324E" w14:textId="77777777" w:rsidR="00170071" w:rsidRPr="000E6BCB" w:rsidRDefault="00170071" w:rsidP="0049200A">
            <w:pPr>
              <w:spacing w:after="0"/>
              <w:rPr>
                <w:rFonts w:ascii="Arial Narrow" w:hAnsi="Arial Narrow"/>
                <w:b/>
                <w:bCs/>
                <w:color w:val="333333"/>
                <w:sz w:val="20"/>
                <w:szCs w:val="20"/>
                <w14:ligatures w14:val="standardContextual"/>
              </w:rPr>
            </w:pPr>
            <w:r w:rsidRPr="000E6BCB">
              <w:rPr>
                <w:rFonts w:ascii="Arial Narrow" w:hAnsi="Arial Narrow"/>
                <w:sz w:val="20"/>
                <w14:ligatures w14:val="standardContextual"/>
              </w:rPr>
              <w:t>Must be treated by an orthopaedic surgeon; OR</w:t>
            </w:r>
          </w:p>
        </w:tc>
      </w:tr>
      <w:tr w:rsidR="00170071" w:rsidRPr="000E6BCB" w14:paraId="071E804C"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56CB9BF" w14:textId="77777777" w:rsidR="00170071" w:rsidRPr="000E6BCB" w:rsidRDefault="00170071" w:rsidP="0049200A">
            <w:pPr>
              <w:spacing w:after="0"/>
              <w:jc w:val="left"/>
              <w:rPr>
                <w:rFonts w:ascii="Arial Narrow" w:hAnsi="Arial Narrow"/>
                <w:b/>
                <w:bCs/>
                <w:sz w:val="20"/>
                <w:szCs w:val="20"/>
                <w14:ligatures w14:val="standardContextual"/>
              </w:rPr>
            </w:pPr>
            <w:r w:rsidRPr="000E6BCB">
              <w:rPr>
                <w:rFonts w:ascii="Arial Narrow" w:hAnsi="Arial Narrow"/>
                <w:sz w:val="20"/>
                <w14:ligatures w14:val="standardContextual"/>
              </w:rPr>
              <w:t>Must be treated by a paediatrician; OR</w:t>
            </w:r>
          </w:p>
        </w:tc>
      </w:tr>
      <w:tr w:rsidR="00170071" w:rsidRPr="000E6BCB" w14:paraId="5DF5E670"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4369B70" w14:textId="77777777" w:rsidR="00170071" w:rsidRPr="000E6BCB" w:rsidRDefault="00170071" w:rsidP="0049200A">
            <w:pPr>
              <w:spacing w:after="0"/>
              <w:jc w:val="left"/>
              <w:rPr>
                <w:rFonts w:ascii="Arial Narrow" w:hAnsi="Arial Narrow"/>
                <w:sz w:val="20"/>
                <w14:ligatures w14:val="standardContextual"/>
              </w:rPr>
            </w:pPr>
            <w:r w:rsidRPr="000E6BCB">
              <w:rPr>
                <w:rFonts w:ascii="Arial Narrow" w:hAnsi="Arial Narrow"/>
                <w:sz w:val="20"/>
                <w14:ligatures w14:val="standardContextual"/>
              </w:rPr>
              <w:t>Must be treated by a rehabilitation specialist</w:t>
            </w:r>
            <w:r w:rsidRPr="005B79C0">
              <w:rPr>
                <w:rFonts w:ascii="Arial Narrow" w:hAnsi="Arial Narrow"/>
                <w:sz w:val="20"/>
                <w14:ligatures w14:val="standardContextual"/>
              </w:rPr>
              <w:t>.</w:t>
            </w:r>
          </w:p>
        </w:tc>
      </w:tr>
      <w:tr w:rsidR="00170071" w:rsidRPr="000E6BCB" w14:paraId="4ED30D3A"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543A30D" w14:textId="77777777" w:rsidR="00170071" w:rsidRPr="000E6BCB" w:rsidRDefault="00170071" w:rsidP="0049200A">
            <w:pPr>
              <w:spacing w:after="0"/>
              <w:jc w:val="left"/>
              <w:rPr>
                <w:rFonts w:ascii="Arial Narrow" w:hAnsi="Arial Narrow"/>
                <w:sz w:val="20"/>
                <w14:ligatures w14:val="standardContextual"/>
              </w:rPr>
            </w:pPr>
            <w:r w:rsidRPr="000E6BCB">
              <w:rPr>
                <w:rFonts w:ascii="Arial Narrow" w:hAnsi="Arial Narrow"/>
                <w:b/>
                <w:bCs/>
                <w:color w:val="333333"/>
                <w:sz w:val="20"/>
                <w:szCs w:val="20"/>
                <w14:ligatures w14:val="standardContextual"/>
              </w:rPr>
              <w:t>Population criteria:</w:t>
            </w:r>
          </w:p>
        </w:tc>
      </w:tr>
      <w:tr w:rsidR="00170071" w:rsidRPr="000E6BCB" w14:paraId="7215ADDC" w14:textId="77777777" w:rsidTr="0017007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4393793" w14:textId="77777777" w:rsidR="00170071" w:rsidRPr="0036727D" w:rsidRDefault="00170071" w:rsidP="0049200A">
            <w:pPr>
              <w:spacing w:after="0"/>
              <w:jc w:val="left"/>
              <w:rPr>
                <w:rFonts w:ascii="Arial Narrow" w:hAnsi="Arial Narrow"/>
                <w:sz w:val="20"/>
                <w14:ligatures w14:val="standardContextual"/>
              </w:rPr>
            </w:pPr>
            <w:r w:rsidRPr="0036727D">
              <w:rPr>
                <w:rFonts w:ascii="Arial Narrow" w:hAnsi="Arial Narrow"/>
                <w:sz w:val="20"/>
                <w14:ligatures w14:val="standardContextual"/>
              </w:rPr>
              <w:t>Patient must be at least 18 years of age.</w:t>
            </w:r>
          </w:p>
        </w:tc>
      </w:tr>
    </w:tbl>
    <w:p w14:paraId="44BBB83F" w14:textId="77777777" w:rsidR="007C0829" w:rsidRDefault="007C0829" w:rsidP="0049200A">
      <w:pPr>
        <w:spacing w:after="0"/>
        <w:rPr>
          <w:rFonts w:cs="Calibri"/>
          <w14:ligatures w14:val="standardContextual"/>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Moderate to severe spasticity of the upper limb"/>
      </w:tblPr>
      <w:tblGrid>
        <w:gridCol w:w="3940"/>
        <w:gridCol w:w="811"/>
        <w:gridCol w:w="812"/>
        <w:gridCol w:w="811"/>
        <w:gridCol w:w="812"/>
        <w:gridCol w:w="1881"/>
      </w:tblGrid>
      <w:tr w:rsidR="0036727D" w:rsidRPr="000E6BCB" w14:paraId="08CEB938" w14:textId="77777777" w:rsidTr="009A6A62">
        <w:trPr>
          <w:cantSplit/>
          <w:trHeight w:val="20"/>
        </w:trPr>
        <w:tc>
          <w:tcPr>
            <w:tcW w:w="3940" w:type="dxa"/>
            <w:vAlign w:val="center"/>
          </w:tcPr>
          <w:p w14:paraId="57BE5B57" w14:textId="77777777" w:rsidR="0036727D" w:rsidRPr="000E6BCB" w:rsidRDefault="0036727D" w:rsidP="0049200A">
            <w:pPr>
              <w:keepLines/>
              <w:spacing w:after="0"/>
              <w:rPr>
                <w:rFonts w:ascii="Arial Narrow" w:hAnsi="Arial Narrow"/>
                <w:b/>
                <w:bCs/>
                <w:sz w:val="20"/>
                <w:szCs w:val="20"/>
                <w14:ligatures w14:val="standardContextual"/>
              </w:rPr>
            </w:pPr>
            <w:r w:rsidRPr="000E6BCB">
              <w:rPr>
                <w:rFonts w:ascii="Arial Narrow" w:hAnsi="Arial Narrow"/>
                <w:b/>
                <w:bCs/>
                <w:sz w:val="20"/>
                <w:szCs w:val="20"/>
                <w14:ligatures w14:val="standardContextual"/>
              </w:rPr>
              <w:t>MEDICINAL PRODUCT</w:t>
            </w:r>
          </w:p>
          <w:p w14:paraId="3CC2EB2D" w14:textId="77777777" w:rsidR="0036727D" w:rsidRPr="000E6BCB" w:rsidRDefault="0036727D" w:rsidP="0049200A">
            <w:pPr>
              <w:keepLines/>
              <w:spacing w:after="0"/>
              <w:rPr>
                <w:rFonts w:ascii="Arial Narrow" w:hAnsi="Arial Narrow"/>
                <w:b/>
                <w:sz w:val="20"/>
                <w:szCs w:val="20"/>
                <w14:ligatures w14:val="standardContextual"/>
              </w:rPr>
            </w:pPr>
            <w:r w:rsidRPr="000E6BCB">
              <w:rPr>
                <w:rFonts w:ascii="Arial Narrow" w:hAnsi="Arial Narrow"/>
                <w:b/>
                <w:bCs/>
                <w:sz w:val="20"/>
                <w:szCs w:val="20"/>
                <w14:ligatures w14:val="standardContextual"/>
              </w:rPr>
              <w:t>medicinal product pack</w:t>
            </w:r>
          </w:p>
        </w:tc>
        <w:tc>
          <w:tcPr>
            <w:tcW w:w="811" w:type="dxa"/>
            <w:vAlign w:val="center"/>
          </w:tcPr>
          <w:p w14:paraId="1CC4FDA2" w14:textId="77777777" w:rsidR="0036727D" w:rsidRPr="000E6BCB" w:rsidRDefault="0036727D" w:rsidP="0049200A">
            <w:pPr>
              <w:keepLines/>
              <w:spacing w:after="0"/>
              <w:jc w:val="center"/>
              <w:rPr>
                <w:rFonts w:ascii="Arial Narrow" w:hAnsi="Arial Narrow"/>
                <w:b/>
                <w:sz w:val="20"/>
                <w:szCs w:val="20"/>
                <w14:ligatures w14:val="standardContextual"/>
              </w:rPr>
            </w:pPr>
            <w:r w:rsidRPr="000E6BCB">
              <w:rPr>
                <w:rFonts w:ascii="Arial Narrow" w:hAnsi="Arial Narrow"/>
                <w:b/>
                <w:sz w:val="20"/>
                <w:szCs w:val="20"/>
                <w14:ligatures w14:val="standardContextual"/>
              </w:rPr>
              <w:t>PBS item code</w:t>
            </w:r>
          </w:p>
        </w:tc>
        <w:tc>
          <w:tcPr>
            <w:tcW w:w="812" w:type="dxa"/>
            <w:vAlign w:val="center"/>
          </w:tcPr>
          <w:p w14:paraId="4C42F2FD" w14:textId="77777777" w:rsidR="0036727D" w:rsidRPr="000E6BCB" w:rsidRDefault="0036727D" w:rsidP="0049200A">
            <w:pPr>
              <w:keepLines/>
              <w:spacing w:after="0"/>
              <w:jc w:val="center"/>
              <w:rPr>
                <w:rFonts w:ascii="Arial Narrow" w:hAnsi="Arial Narrow"/>
                <w:b/>
                <w:sz w:val="20"/>
                <w:szCs w:val="20"/>
                <w14:ligatures w14:val="standardContextual"/>
              </w:rPr>
            </w:pPr>
            <w:r w:rsidRPr="000E6BCB">
              <w:rPr>
                <w:rFonts w:ascii="Arial Narrow" w:hAnsi="Arial Narrow"/>
                <w:b/>
                <w:sz w:val="20"/>
                <w:szCs w:val="20"/>
                <w14:ligatures w14:val="standardContextual"/>
              </w:rPr>
              <w:t>Max. qty packs</w:t>
            </w:r>
          </w:p>
        </w:tc>
        <w:tc>
          <w:tcPr>
            <w:tcW w:w="811" w:type="dxa"/>
            <w:vAlign w:val="center"/>
          </w:tcPr>
          <w:p w14:paraId="3F70A429" w14:textId="77777777" w:rsidR="0036727D" w:rsidRPr="000E6BCB" w:rsidRDefault="0036727D" w:rsidP="0049200A">
            <w:pPr>
              <w:keepLines/>
              <w:spacing w:after="0"/>
              <w:jc w:val="center"/>
              <w:rPr>
                <w:rFonts w:ascii="Arial Narrow" w:hAnsi="Arial Narrow"/>
                <w:b/>
                <w:sz w:val="20"/>
                <w:szCs w:val="20"/>
                <w14:ligatures w14:val="standardContextual"/>
              </w:rPr>
            </w:pPr>
            <w:r w:rsidRPr="000E6BCB">
              <w:rPr>
                <w:rFonts w:ascii="Arial Narrow" w:hAnsi="Arial Narrow"/>
                <w:b/>
                <w:sz w:val="20"/>
                <w:szCs w:val="20"/>
                <w14:ligatures w14:val="standardContextual"/>
              </w:rPr>
              <w:t>Max. qty units</w:t>
            </w:r>
          </w:p>
        </w:tc>
        <w:tc>
          <w:tcPr>
            <w:tcW w:w="812" w:type="dxa"/>
            <w:vAlign w:val="center"/>
          </w:tcPr>
          <w:p w14:paraId="5F5680F9" w14:textId="77777777" w:rsidR="0036727D" w:rsidRPr="000E6BCB" w:rsidRDefault="0036727D" w:rsidP="0049200A">
            <w:pPr>
              <w:keepLines/>
              <w:spacing w:after="0"/>
              <w:jc w:val="center"/>
              <w:rPr>
                <w:rFonts w:ascii="Arial Narrow" w:hAnsi="Arial Narrow"/>
                <w:b/>
                <w:sz w:val="20"/>
                <w:szCs w:val="20"/>
                <w14:ligatures w14:val="standardContextual"/>
              </w:rPr>
            </w:pPr>
            <w:r w:rsidRPr="000E6BCB">
              <w:rPr>
                <w:rFonts w:ascii="Arial Narrow" w:hAnsi="Arial Narrow"/>
                <w:b/>
                <w:sz w:val="20"/>
                <w:szCs w:val="20"/>
                <w14:ligatures w14:val="standardContextual"/>
              </w:rPr>
              <w:t>№.of</w:t>
            </w:r>
          </w:p>
          <w:p w14:paraId="149EC69F" w14:textId="77777777" w:rsidR="0036727D" w:rsidRPr="000E6BCB" w:rsidRDefault="0036727D" w:rsidP="0049200A">
            <w:pPr>
              <w:keepLines/>
              <w:spacing w:after="0"/>
              <w:jc w:val="center"/>
              <w:rPr>
                <w:rFonts w:ascii="Arial Narrow" w:hAnsi="Arial Narrow"/>
                <w:b/>
                <w:sz w:val="20"/>
                <w:szCs w:val="20"/>
                <w14:ligatures w14:val="standardContextual"/>
              </w:rPr>
            </w:pPr>
            <w:r w:rsidRPr="000E6BCB">
              <w:rPr>
                <w:rFonts w:ascii="Arial Narrow" w:hAnsi="Arial Narrow"/>
                <w:b/>
                <w:sz w:val="20"/>
                <w:szCs w:val="20"/>
                <w14:ligatures w14:val="standardContextual"/>
              </w:rPr>
              <w:t>Rpts</w:t>
            </w:r>
          </w:p>
        </w:tc>
        <w:tc>
          <w:tcPr>
            <w:tcW w:w="1881" w:type="dxa"/>
            <w:vAlign w:val="center"/>
          </w:tcPr>
          <w:p w14:paraId="2A368666" w14:textId="77777777" w:rsidR="0036727D" w:rsidRPr="000E6BCB" w:rsidRDefault="0036727D" w:rsidP="0049200A">
            <w:pPr>
              <w:keepLines/>
              <w:spacing w:after="0"/>
              <w:rPr>
                <w:rFonts w:ascii="Arial Narrow" w:hAnsi="Arial Narrow"/>
                <w:b/>
                <w:sz w:val="20"/>
                <w:szCs w:val="20"/>
                <w:lang w:val="fr-FR"/>
                <w14:ligatures w14:val="standardContextual"/>
              </w:rPr>
            </w:pPr>
            <w:r w:rsidRPr="000E6BCB">
              <w:rPr>
                <w:rFonts w:ascii="Arial Narrow" w:hAnsi="Arial Narrow"/>
                <w:b/>
                <w:sz w:val="20"/>
                <w:szCs w:val="20"/>
                <w14:ligatures w14:val="standardContextual"/>
              </w:rPr>
              <w:t>Available brands</w:t>
            </w:r>
          </w:p>
        </w:tc>
      </w:tr>
      <w:tr w:rsidR="0036727D" w:rsidRPr="000E6BCB" w14:paraId="255FEC3A" w14:textId="77777777" w:rsidTr="009A6A62">
        <w:trPr>
          <w:cantSplit/>
          <w:trHeight w:val="20"/>
        </w:trPr>
        <w:tc>
          <w:tcPr>
            <w:tcW w:w="9067" w:type="dxa"/>
            <w:gridSpan w:val="6"/>
            <w:vAlign w:val="center"/>
          </w:tcPr>
          <w:p w14:paraId="7DA45BBA" w14:textId="77777777" w:rsidR="0036727D" w:rsidRPr="00A934F0" w:rsidRDefault="0036727D" w:rsidP="0049200A">
            <w:pPr>
              <w:keepLines/>
              <w:spacing w:after="0"/>
              <w:rPr>
                <w:rFonts w:ascii="Arial Narrow" w:hAnsi="Arial Narrow"/>
                <w:sz w:val="20"/>
                <w:szCs w:val="20"/>
                <w14:ligatures w14:val="standardContextual"/>
              </w:rPr>
            </w:pPr>
            <w:r w:rsidRPr="00A934F0">
              <w:rPr>
                <w:rFonts w:ascii="Arial Narrow" w:hAnsi="Arial Narrow"/>
                <w:sz w:val="20"/>
                <w:szCs w:val="20"/>
                <w14:ligatures w14:val="standardContextual"/>
              </w:rPr>
              <w:t>INCOBOTULINUMTOXINA</w:t>
            </w:r>
          </w:p>
        </w:tc>
      </w:tr>
      <w:tr w:rsidR="0036727D" w:rsidRPr="000E6BCB" w14:paraId="7F3C2663" w14:textId="77777777" w:rsidTr="009A6A62">
        <w:trPr>
          <w:cantSplit/>
          <w:trHeight w:val="20"/>
        </w:trPr>
        <w:tc>
          <w:tcPr>
            <w:tcW w:w="3940" w:type="dxa"/>
            <w:vAlign w:val="center"/>
          </w:tcPr>
          <w:p w14:paraId="5FD203EC" w14:textId="77777777" w:rsidR="0036727D" w:rsidRPr="00A934F0" w:rsidRDefault="0036727D" w:rsidP="0049200A">
            <w:pPr>
              <w:keepLines/>
              <w:spacing w:after="0"/>
              <w:rPr>
                <w:rFonts w:ascii="Arial Narrow" w:hAnsi="Arial Narrow"/>
                <w:sz w:val="20"/>
                <w:szCs w:val="20"/>
                <w14:ligatures w14:val="standardContextual"/>
              </w:rPr>
            </w:pPr>
            <w:r w:rsidRPr="00A934F0">
              <w:rPr>
                <w:rFonts w:ascii="Arial Narrow" w:hAnsi="Arial Narrow"/>
                <w:sz w:val="20"/>
                <w:szCs w:val="20"/>
                <w14:ligatures w14:val="standardContextual"/>
              </w:rPr>
              <w:t>incobotulinumtoxinA 100 units injection, 1 vial</w:t>
            </w:r>
          </w:p>
        </w:tc>
        <w:tc>
          <w:tcPr>
            <w:tcW w:w="811" w:type="dxa"/>
            <w:vAlign w:val="center"/>
          </w:tcPr>
          <w:p w14:paraId="16ED5877" w14:textId="77777777" w:rsidR="0036727D" w:rsidRPr="00A934F0" w:rsidRDefault="0036727D" w:rsidP="0049200A">
            <w:pPr>
              <w:keepLines/>
              <w:spacing w:after="0"/>
              <w:jc w:val="center"/>
              <w:rPr>
                <w:rFonts w:ascii="Arial Narrow" w:hAnsi="Arial Narrow"/>
                <w:sz w:val="20"/>
                <w:szCs w:val="20"/>
                <w14:ligatures w14:val="standardContextual"/>
              </w:rPr>
            </w:pPr>
            <w:r w:rsidRPr="00A934F0">
              <w:rPr>
                <w:rFonts w:ascii="Arial Narrow" w:hAnsi="Arial Narrow"/>
                <w:sz w:val="20"/>
                <w:szCs w:val="20"/>
                <w14:ligatures w14:val="standardContextual"/>
              </w:rPr>
              <w:t>NEW</w:t>
            </w:r>
          </w:p>
        </w:tc>
        <w:tc>
          <w:tcPr>
            <w:tcW w:w="812" w:type="dxa"/>
            <w:vAlign w:val="center"/>
          </w:tcPr>
          <w:p w14:paraId="2A679E01" w14:textId="77777777" w:rsidR="0036727D" w:rsidRPr="00A934F0" w:rsidRDefault="0036727D" w:rsidP="0049200A">
            <w:pPr>
              <w:keepLines/>
              <w:spacing w:after="0"/>
              <w:jc w:val="center"/>
              <w:rPr>
                <w:rFonts w:ascii="Arial Narrow" w:hAnsi="Arial Narrow"/>
                <w:sz w:val="20"/>
                <w:szCs w:val="20"/>
                <w14:ligatures w14:val="standardContextual"/>
              </w:rPr>
            </w:pPr>
            <w:r w:rsidRPr="00A934F0">
              <w:rPr>
                <w:rFonts w:ascii="Arial Narrow" w:hAnsi="Arial Narrow"/>
                <w:sz w:val="20"/>
                <w:szCs w:val="20"/>
                <w14:ligatures w14:val="standardContextual"/>
              </w:rPr>
              <w:t>4</w:t>
            </w:r>
          </w:p>
        </w:tc>
        <w:tc>
          <w:tcPr>
            <w:tcW w:w="811" w:type="dxa"/>
            <w:vAlign w:val="center"/>
          </w:tcPr>
          <w:p w14:paraId="64255EDC" w14:textId="77777777" w:rsidR="0036727D" w:rsidRPr="00A934F0" w:rsidRDefault="0036727D" w:rsidP="0049200A">
            <w:pPr>
              <w:keepLines/>
              <w:spacing w:after="0"/>
              <w:jc w:val="center"/>
              <w:rPr>
                <w:rFonts w:ascii="Arial Narrow" w:hAnsi="Arial Narrow"/>
                <w:sz w:val="20"/>
                <w:szCs w:val="20"/>
                <w14:ligatures w14:val="standardContextual"/>
              </w:rPr>
            </w:pPr>
            <w:r w:rsidRPr="00A934F0">
              <w:rPr>
                <w:rFonts w:ascii="Arial Narrow" w:hAnsi="Arial Narrow"/>
                <w:sz w:val="20"/>
                <w:szCs w:val="20"/>
                <w14:ligatures w14:val="standardContextual"/>
              </w:rPr>
              <w:t>4</w:t>
            </w:r>
          </w:p>
        </w:tc>
        <w:tc>
          <w:tcPr>
            <w:tcW w:w="812" w:type="dxa"/>
            <w:vAlign w:val="center"/>
          </w:tcPr>
          <w:p w14:paraId="08B4F73D" w14:textId="77777777" w:rsidR="0036727D" w:rsidRPr="00A934F0" w:rsidRDefault="0036727D" w:rsidP="0049200A">
            <w:pPr>
              <w:keepLines/>
              <w:spacing w:after="0"/>
              <w:jc w:val="center"/>
              <w:rPr>
                <w:rFonts w:ascii="Arial Narrow" w:hAnsi="Arial Narrow"/>
                <w:sz w:val="20"/>
                <w:szCs w:val="20"/>
                <w14:ligatures w14:val="standardContextual"/>
              </w:rPr>
            </w:pPr>
            <w:r w:rsidRPr="00A934F0">
              <w:rPr>
                <w:rFonts w:ascii="Arial Narrow" w:hAnsi="Arial Narrow"/>
                <w:sz w:val="20"/>
                <w:szCs w:val="20"/>
                <w14:ligatures w14:val="standardContextual"/>
              </w:rPr>
              <w:t>0</w:t>
            </w:r>
          </w:p>
        </w:tc>
        <w:tc>
          <w:tcPr>
            <w:tcW w:w="1881" w:type="dxa"/>
            <w:vAlign w:val="center"/>
          </w:tcPr>
          <w:p w14:paraId="25E938FE" w14:textId="77777777" w:rsidR="0036727D" w:rsidRPr="00A934F0" w:rsidRDefault="0036727D" w:rsidP="0049200A">
            <w:pPr>
              <w:keepLines/>
              <w:spacing w:after="0"/>
              <w:jc w:val="center"/>
              <w:rPr>
                <w:rFonts w:ascii="Arial Narrow" w:hAnsi="Arial Narrow"/>
                <w:sz w:val="20"/>
                <w:szCs w:val="20"/>
                <w14:ligatures w14:val="standardContextual"/>
              </w:rPr>
            </w:pPr>
            <w:r w:rsidRPr="00A934F0">
              <w:rPr>
                <w:rFonts w:ascii="Arial Narrow" w:hAnsi="Arial Narrow"/>
                <w:sz w:val="20"/>
                <w:szCs w:val="20"/>
                <w14:ligatures w14:val="standardContextual"/>
              </w:rPr>
              <w:t>Xeomin</w:t>
            </w:r>
          </w:p>
        </w:tc>
      </w:tr>
      <w:tr w:rsidR="0036727D" w:rsidRPr="000E6BCB" w14:paraId="3BD1D319" w14:textId="77777777" w:rsidTr="009A6A62">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4199940F" w14:textId="77777777" w:rsidR="0036727D" w:rsidRPr="000E6BCB" w:rsidRDefault="0036727D" w:rsidP="0049200A">
            <w:pPr>
              <w:spacing w:after="0"/>
              <w:rPr>
                <w:rFonts w:ascii="Arial Narrow" w:hAnsi="Arial Narrow"/>
                <w:sz w:val="20"/>
                <w:szCs w:val="20"/>
                <w14:ligatures w14:val="standardContextual"/>
              </w:rPr>
            </w:pPr>
          </w:p>
        </w:tc>
      </w:tr>
      <w:tr w:rsidR="009A6A62" w:rsidRPr="000E6BCB" w14:paraId="1F8333CD" w14:textId="77777777" w:rsidTr="009A6A62">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119BC28C" w14:textId="77777777" w:rsidR="009A6A62" w:rsidRPr="000E6BCB" w:rsidRDefault="009A6A62" w:rsidP="0049200A">
            <w:pPr>
              <w:keepLines/>
              <w:spacing w:after="0"/>
              <w:jc w:val="left"/>
              <w:rPr>
                <w:rFonts w:ascii="Arial Narrow" w:hAnsi="Arial Narrow"/>
                <w:sz w:val="20"/>
                <w:szCs w:val="20"/>
                <w14:ligatures w14:val="standardContextual"/>
              </w:rPr>
            </w:pPr>
            <w:r w:rsidRPr="000E6BCB">
              <w:rPr>
                <w:rFonts w:ascii="Arial Narrow" w:hAnsi="Arial Narrow"/>
                <w:b/>
                <w:sz w:val="20"/>
                <w:szCs w:val="20"/>
                <w14:ligatures w14:val="standardContextual"/>
              </w:rPr>
              <w:t>Category / Program:</w:t>
            </w:r>
            <w:r w:rsidRPr="000E6BCB">
              <w:rPr>
                <w:rFonts w:ascii="Arial Narrow" w:hAnsi="Arial Narrow"/>
                <w:sz w:val="20"/>
                <w:szCs w:val="20"/>
                <w14:ligatures w14:val="standardContextual"/>
              </w:rPr>
              <w:t xml:space="preserve"> </w:t>
            </w:r>
            <w:r w:rsidRPr="000E6BCB">
              <w:rPr>
                <w:rFonts w:ascii="Arial Narrow" w:hAnsi="Arial Narrow"/>
                <w:sz w:val="20"/>
                <w:szCs w:val="20"/>
                <w14:ligatures w14:val="standardContextual"/>
              </w:rPr>
              <w:fldChar w:fldCharType="begin">
                <w:ffData>
                  <w:name w:val=""/>
                  <w:enabled/>
                  <w:calcOnExit w:val="0"/>
                  <w:checkBox>
                    <w:sizeAuto/>
                    <w:default w:val="1"/>
                  </w:checkBox>
                </w:ffData>
              </w:fldChar>
            </w:r>
            <w:r w:rsidRPr="000E6BCB">
              <w:rPr>
                <w:rFonts w:ascii="Arial Narrow" w:hAnsi="Arial Narrow"/>
                <w:sz w:val="20"/>
                <w:szCs w:val="20"/>
                <w14:ligatures w14:val="standardContextual"/>
              </w:rPr>
              <w:instrText xml:space="preserve"> FORMCHECKBOX </w:instrText>
            </w:r>
            <w:r w:rsidRPr="000E6BCB">
              <w:rPr>
                <w:rFonts w:ascii="Arial Narrow" w:hAnsi="Arial Narrow"/>
                <w:sz w:val="20"/>
                <w:szCs w:val="20"/>
                <w14:ligatures w14:val="standardContextual"/>
              </w:rPr>
            </w:r>
            <w:r w:rsidRPr="000E6BCB">
              <w:rPr>
                <w:rFonts w:ascii="Arial Narrow" w:hAnsi="Arial Narrow"/>
                <w:sz w:val="20"/>
                <w:szCs w:val="20"/>
                <w14:ligatures w14:val="standardContextual"/>
              </w:rPr>
              <w:fldChar w:fldCharType="separate"/>
            </w:r>
            <w:r w:rsidRPr="000E6BCB">
              <w:rPr>
                <w:rFonts w:ascii="Arial Narrow" w:hAnsi="Arial Narrow"/>
                <w:sz w:val="20"/>
                <w:szCs w:val="20"/>
                <w14:ligatures w14:val="standardContextual"/>
              </w:rPr>
              <w:fldChar w:fldCharType="end"/>
            </w:r>
            <w:r w:rsidRPr="000E6BCB">
              <w:rPr>
                <w:rFonts w:ascii="Arial Narrow" w:hAnsi="Arial Narrow"/>
                <w:sz w:val="20"/>
                <w:szCs w:val="20"/>
                <w14:ligatures w14:val="standardContextual"/>
              </w:rPr>
              <w:t xml:space="preserve"> Section 100 – Botulinum Toxin Program (Code MF)</w:t>
            </w:r>
          </w:p>
        </w:tc>
      </w:tr>
      <w:tr w:rsidR="009A6A62" w:rsidRPr="000E6BCB" w14:paraId="2ABE244E" w14:textId="77777777" w:rsidTr="009A6A62">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16D5FFAC" w14:textId="77777777" w:rsidR="009A6A62" w:rsidRPr="000E6BCB" w:rsidRDefault="009A6A62" w:rsidP="0049200A">
            <w:pPr>
              <w:keepLines/>
              <w:spacing w:after="0"/>
              <w:jc w:val="left"/>
              <w:rPr>
                <w:rFonts w:ascii="Arial Narrow" w:hAnsi="Arial Narrow"/>
                <w:b/>
                <w:sz w:val="20"/>
                <w:szCs w:val="20"/>
                <w14:ligatures w14:val="standardContextual"/>
              </w:rPr>
            </w:pPr>
            <w:r w:rsidRPr="000E6BCB">
              <w:rPr>
                <w:rFonts w:ascii="Arial Narrow" w:hAnsi="Arial Narrow"/>
                <w:b/>
                <w:sz w:val="20"/>
                <w:szCs w:val="20"/>
                <w14:ligatures w14:val="standardContextual"/>
              </w:rPr>
              <w:t xml:space="preserve">Prescriber type: </w:t>
            </w:r>
            <w:r w:rsidRPr="000E6BCB">
              <w:rPr>
                <w:rFonts w:ascii="Arial Narrow" w:hAnsi="Arial Narrow"/>
                <w:sz w:val="20"/>
                <w:szCs w:val="20"/>
                <w14:ligatures w14:val="standardContextual"/>
              </w:rPr>
              <w:fldChar w:fldCharType="begin">
                <w:ffData>
                  <w:name w:val=""/>
                  <w:enabled/>
                  <w:calcOnExit w:val="0"/>
                  <w:checkBox>
                    <w:sizeAuto/>
                    <w:default w:val="1"/>
                  </w:checkBox>
                </w:ffData>
              </w:fldChar>
            </w:r>
            <w:r w:rsidRPr="000E6BCB">
              <w:rPr>
                <w:rFonts w:ascii="Arial Narrow" w:hAnsi="Arial Narrow"/>
                <w:sz w:val="20"/>
                <w:szCs w:val="20"/>
                <w14:ligatures w14:val="standardContextual"/>
              </w:rPr>
              <w:instrText xml:space="preserve"> FORMCHECKBOX </w:instrText>
            </w:r>
            <w:r w:rsidRPr="000E6BCB">
              <w:rPr>
                <w:rFonts w:ascii="Arial Narrow" w:hAnsi="Arial Narrow"/>
                <w:sz w:val="20"/>
                <w:szCs w:val="20"/>
                <w14:ligatures w14:val="standardContextual"/>
              </w:rPr>
            </w:r>
            <w:r w:rsidRPr="000E6BCB">
              <w:rPr>
                <w:rFonts w:ascii="Arial Narrow" w:hAnsi="Arial Narrow"/>
                <w:sz w:val="20"/>
                <w:szCs w:val="20"/>
                <w14:ligatures w14:val="standardContextual"/>
              </w:rPr>
              <w:fldChar w:fldCharType="separate"/>
            </w:r>
            <w:r w:rsidRPr="000E6BCB">
              <w:rPr>
                <w:rFonts w:ascii="Arial Narrow" w:hAnsi="Arial Narrow"/>
                <w:sz w:val="20"/>
                <w:szCs w:val="20"/>
                <w14:ligatures w14:val="standardContextual"/>
              </w:rPr>
              <w:fldChar w:fldCharType="end"/>
            </w:r>
            <w:r w:rsidRPr="000E6BCB">
              <w:rPr>
                <w:rFonts w:ascii="Arial Narrow" w:hAnsi="Arial Narrow"/>
                <w:sz w:val="20"/>
                <w:szCs w:val="20"/>
                <w14:ligatures w14:val="standardContextual"/>
              </w:rPr>
              <w:t xml:space="preserve"> Medical Practitioners </w:t>
            </w:r>
          </w:p>
        </w:tc>
      </w:tr>
      <w:tr w:rsidR="009A6A62" w:rsidRPr="000E6BCB" w14:paraId="5C7CB046" w14:textId="77777777" w:rsidTr="009A6A62">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60F9714E" w14:textId="77777777" w:rsidR="009A6A62" w:rsidRPr="000E6BCB" w:rsidRDefault="009A6A62" w:rsidP="0049200A">
            <w:pPr>
              <w:keepLines/>
              <w:spacing w:after="0"/>
              <w:jc w:val="left"/>
              <w:rPr>
                <w:rFonts w:ascii="Arial Narrow" w:eastAsia="Calibri" w:hAnsi="Arial Narrow"/>
                <w:sz w:val="20"/>
                <w:szCs w:val="20"/>
                <w14:ligatures w14:val="standardContextual"/>
              </w:rPr>
            </w:pPr>
            <w:r w:rsidRPr="000E6BCB">
              <w:rPr>
                <w:rFonts w:ascii="Arial Narrow" w:hAnsi="Arial Narrow"/>
                <w:b/>
                <w:sz w:val="20"/>
                <w:szCs w:val="20"/>
                <w14:ligatures w14:val="standardContextual"/>
              </w:rPr>
              <w:t>Benefit type:</w:t>
            </w:r>
            <w:r w:rsidRPr="000E6BCB">
              <w:rPr>
                <w:rFonts w:ascii="Arial Narrow" w:hAnsi="Arial Narrow"/>
                <w:sz w:val="20"/>
                <w:szCs w:val="20"/>
                <w14:ligatures w14:val="standardContextual"/>
              </w:rPr>
              <w:fldChar w:fldCharType="begin">
                <w:ffData>
                  <w:name w:val=""/>
                  <w:enabled/>
                  <w:calcOnExit w:val="0"/>
                  <w:checkBox>
                    <w:sizeAuto/>
                    <w:default w:val="1"/>
                  </w:checkBox>
                </w:ffData>
              </w:fldChar>
            </w:r>
            <w:r w:rsidRPr="000E6BCB">
              <w:rPr>
                <w:rFonts w:ascii="Arial Narrow" w:hAnsi="Arial Narrow"/>
                <w:sz w:val="20"/>
                <w:szCs w:val="20"/>
                <w14:ligatures w14:val="standardContextual"/>
              </w:rPr>
              <w:instrText xml:space="preserve"> FORMCHECKBOX </w:instrText>
            </w:r>
            <w:r w:rsidRPr="000E6BCB">
              <w:rPr>
                <w:rFonts w:ascii="Arial Narrow" w:hAnsi="Arial Narrow"/>
                <w:sz w:val="20"/>
                <w:szCs w:val="20"/>
                <w14:ligatures w14:val="standardContextual"/>
              </w:rPr>
            </w:r>
            <w:r w:rsidRPr="000E6BCB">
              <w:rPr>
                <w:rFonts w:ascii="Arial Narrow" w:hAnsi="Arial Narrow"/>
                <w:sz w:val="20"/>
                <w:szCs w:val="20"/>
                <w14:ligatures w14:val="standardContextual"/>
              </w:rPr>
              <w:fldChar w:fldCharType="separate"/>
            </w:r>
            <w:r w:rsidRPr="000E6BCB">
              <w:rPr>
                <w:rFonts w:ascii="Arial Narrow" w:hAnsi="Arial Narrow"/>
                <w:sz w:val="20"/>
                <w:szCs w:val="20"/>
                <w14:ligatures w14:val="standardContextual"/>
              </w:rPr>
              <w:fldChar w:fldCharType="end"/>
            </w:r>
            <w:r w:rsidRPr="000E6BCB">
              <w:rPr>
                <w:rFonts w:ascii="Arial Narrow" w:hAnsi="Arial Narrow"/>
                <w:sz w:val="20"/>
                <w:szCs w:val="20"/>
                <w14:ligatures w14:val="standardContextual"/>
              </w:rPr>
              <w:t xml:space="preserve"> </w:t>
            </w:r>
            <w:r w:rsidRPr="000E6BCB">
              <w:rPr>
                <w:rFonts w:ascii="Arial Narrow" w:eastAsia="Calibri" w:hAnsi="Arial Narrow"/>
                <w:sz w:val="20"/>
                <w:szCs w:val="20"/>
                <w14:ligatures w14:val="standardContextual"/>
              </w:rPr>
              <w:t xml:space="preserve">Authority Required (STREAMLINED) [5178/ 8929] </w:t>
            </w:r>
          </w:p>
        </w:tc>
      </w:tr>
      <w:tr w:rsidR="009A6A62" w:rsidRPr="000E6BCB" w14:paraId="01AB4B69" w14:textId="77777777" w:rsidTr="009A6A62">
        <w:tblPrEx>
          <w:tblCellMar>
            <w:top w:w="15" w:type="dxa"/>
            <w:bottom w:w="15" w:type="dxa"/>
          </w:tblCellMar>
          <w:tblLook w:val="04A0" w:firstRow="1" w:lastRow="0" w:firstColumn="1" w:lastColumn="0" w:noHBand="0" w:noVBand="1"/>
        </w:tblPrEx>
        <w:trPr>
          <w:trHeight w:val="186"/>
        </w:trPr>
        <w:tc>
          <w:tcPr>
            <w:tcW w:w="9067" w:type="dxa"/>
            <w:gridSpan w:val="6"/>
            <w:tcBorders>
              <w:top w:val="single" w:sz="4" w:space="0" w:color="auto"/>
              <w:left w:val="single" w:sz="4" w:space="0" w:color="auto"/>
              <w:bottom w:val="single" w:sz="4" w:space="0" w:color="auto"/>
              <w:right w:val="single" w:sz="4" w:space="0" w:color="auto"/>
            </w:tcBorders>
            <w:vAlign w:val="center"/>
          </w:tcPr>
          <w:p w14:paraId="68FB0993" w14:textId="77777777" w:rsidR="009A6A62" w:rsidRPr="000E6BCB" w:rsidRDefault="009A6A62" w:rsidP="0049200A">
            <w:pPr>
              <w:spacing w:after="0"/>
              <w:jc w:val="left"/>
              <w:rPr>
                <w:rFonts w:ascii="Arial Narrow" w:hAnsi="Arial Narrow"/>
                <w:b/>
                <w:sz w:val="20"/>
                <w:szCs w:val="20"/>
              </w:rPr>
            </w:pPr>
            <w:r w:rsidRPr="000E6BCB">
              <w:rPr>
                <w:rFonts w:ascii="Arial Narrow" w:hAnsi="Arial Narrow"/>
                <w:b/>
                <w:sz w:val="20"/>
                <w:szCs w:val="20"/>
              </w:rPr>
              <w:t xml:space="preserve">Prescribing rule level: </w:t>
            </w:r>
          </w:p>
        </w:tc>
      </w:tr>
      <w:tr w:rsidR="009A6A62" w:rsidRPr="000E6BCB" w14:paraId="6B4538A2" w14:textId="77777777" w:rsidTr="009A6A62">
        <w:tblPrEx>
          <w:tblCellMar>
            <w:top w:w="15" w:type="dxa"/>
            <w:bottom w:w="15" w:type="dxa"/>
          </w:tblCellMar>
          <w:tblLook w:val="04A0" w:firstRow="1" w:lastRow="0" w:firstColumn="1" w:lastColumn="0" w:noHBand="0" w:noVBand="1"/>
        </w:tblPrEx>
        <w:trPr>
          <w:trHeight w:val="186"/>
        </w:trPr>
        <w:tc>
          <w:tcPr>
            <w:tcW w:w="9067" w:type="dxa"/>
            <w:gridSpan w:val="6"/>
            <w:tcBorders>
              <w:top w:val="single" w:sz="4" w:space="0" w:color="auto"/>
              <w:left w:val="single" w:sz="4" w:space="0" w:color="auto"/>
              <w:bottom w:val="single" w:sz="4" w:space="0" w:color="auto"/>
              <w:right w:val="single" w:sz="4" w:space="0" w:color="auto"/>
            </w:tcBorders>
            <w:vAlign w:val="center"/>
          </w:tcPr>
          <w:p w14:paraId="67208353" w14:textId="77777777" w:rsidR="009A6A62" w:rsidRPr="0036727D" w:rsidRDefault="009A6A62" w:rsidP="0049200A">
            <w:pPr>
              <w:spacing w:after="0"/>
              <w:jc w:val="left"/>
              <w:rPr>
                <w:rFonts w:ascii="Arial Narrow" w:hAnsi="Arial Narrow"/>
                <w:b/>
                <w:sz w:val="20"/>
                <w:szCs w:val="20"/>
              </w:rPr>
            </w:pPr>
            <w:r w:rsidRPr="0036727D">
              <w:rPr>
                <w:rFonts w:ascii="Arial Narrow" w:hAnsi="Arial Narrow"/>
                <w:b/>
                <w:sz w:val="20"/>
                <w:szCs w:val="20"/>
              </w:rPr>
              <w:t>Caution:</w:t>
            </w:r>
          </w:p>
          <w:p w14:paraId="655AE662" w14:textId="77777777" w:rsidR="009A6A62" w:rsidRPr="0036727D" w:rsidRDefault="009A6A62" w:rsidP="0049200A">
            <w:pPr>
              <w:spacing w:after="0"/>
              <w:jc w:val="left"/>
              <w:rPr>
                <w:rFonts w:ascii="Arial Narrow" w:hAnsi="Arial Narrow"/>
                <w:b/>
                <w:sz w:val="20"/>
                <w:szCs w:val="20"/>
              </w:rPr>
            </w:pPr>
            <w:r w:rsidRPr="0036727D">
              <w:rPr>
                <w:rFonts w:ascii="Arial Narrow" w:hAnsi="Arial Narrow"/>
                <w:bCs/>
                <w:sz w:val="20"/>
                <w:szCs w:val="20"/>
              </w:rPr>
              <w:t>Contraindications to treatment include known sensitivity to botulinum toxin.</w:t>
            </w:r>
          </w:p>
        </w:tc>
      </w:tr>
      <w:tr w:rsidR="009A6A62" w:rsidRPr="000E6BCB" w14:paraId="2566034F" w14:textId="77777777" w:rsidTr="009A6A62">
        <w:tblPrEx>
          <w:tblCellMar>
            <w:top w:w="15" w:type="dxa"/>
            <w:bottom w:w="15" w:type="dxa"/>
          </w:tblCellMar>
          <w:tblLook w:val="04A0" w:firstRow="1" w:lastRow="0" w:firstColumn="1" w:lastColumn="0" w:noHBand="0" w:noVBand="1"/>
        </w:tblPrEx>
        <w:trPr>
          <w:trHeight w:val="186"/>
        </w:trPr>
        <w:tc>
          <w:tcPr>
            <w:tcW w:w="9067" w:type="dxa"/>
            <w:gridSpan w:val="6"/>
            <w:tcBorders>
              <w:top w:val="single" w:sz="4" w:space="0" w:color="auto"/>
              <w:left w:val="single" w:sz="4" w:space="0" w:color="auto"/>
              <w:bottom w:val="single" w:sz="4" w:space="0" w:color="auto"/>
              <w:right w:val="single" w:sz="4" w:space="0" w:color="auto"/>
            </w:tcBorders>
            <w:vAlign w:val="center"/>
          </w:tcPr>
          <w:p w14:paraId="178A9F3D" w14:textId="77777777" w:rsidR="009A6A62" w:rsidRPr="0036727D" w:rsidRDefault="009A6A62" w:rsidP="0049200A">
            <w:pPr>
              <w:spacing w:after="0"/>
              <w:jc w:val="left"/>
              <w:rPr>
                <w:rFonts w:ascii="Arial Narrow" w:hAnsi="Arial Narrow"/>
                <w:b/>
                <w:color w:val="000000"/>
                <w:sz w:val="20"/>
                <w:szCs w:val="20"/>
              </w:rPr>
            </w:pPr>
            <w:r w:rsidRPr="0036727D">
              <w:rPr>
                <w:rFonts w:ascii="Arial Narrow" w:hAnsi="Arial Narrow"/>
                <w:b/>
                <w:color w:val="000000"/>
                <w:sz w:val="20"/>
                <w:szCs w:val="20"/>
              </w:rPr>
              <w:t>Administrative Advice:</w:t>
            </w:r>
          </w:p>
          <w:p w14:paraId="3C0BA281" w14:textId="77777777" w:rsidR="009A6A62" w:rsidRPr="0036727D" w:rsidRDefault="009A6A62" w:rsidP="0049200A">
            <w:pPr>
              <w:spacing w:after="0"/>
              <w:jc w:val="left"/>
              <w:rPr>
                <w:rFonts w:ascii="Arial Narrow" w:hAnsi="Arial Narrow"/>
                <w:b/>
                <w:sz w:val="20"/>
                <w:szCs w:val="20"/>
              </w:rPr>
            </w:pPr>
            <w:r w:rsidRPr="0036727D">
              <w:rPr>
                <w:rFonts w:ascii="Arial Narrow" w:hAnsi="Arial Narrow"/>
                <w:bCs/>
                <w:color w:val="000000"/>
                <w:sz w:val="20"/>
                <w:szCs w:val="20"/>
              </w:rPr>
              <w:t>The units used to express the potency of botulinum toxin preparations currently available for PBS subsidy are not equivalent.</w:t>
            </w:r>
          </w:p>
        </w:tc>
      </w:tr>
      <w:tr w:rsidR="009A6A62" w:rsidRPr="000E6BCB" w14:paraId="76DD7883" w14:textId="77777777" w:rsidTr="009A6A62">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05DC7E14" w14:textId="77777777" w:rsidR="009A6A62" w:rsidRPr="000E6BCB" w:rsidRDefault="009A6A62" w:rsidP="0049200A">
            <w:pPr>
              <w:keepLines/>
              <w:spacing w:after="0"/>
              <w:rPr>
                <w:rFonts w:ascii="Arial Narrow" w:hAnsi="Arial Narrow"/>
                <w:b/>
                <w:bCs/>
                <w:color w:val="333333"/>
                <w:sz w:val="20"/>
                <w:szCs w:val="20"/>
                <w14:ligatures w14:val="standardContextual"/>
              </w:rPr>
            </w:pPr>
            <w:r w:rsidRPr="000E6BCB">
              <w:rPr>
                <w:rFonts w:ascii="Arial Narrow" w:hAnsi="Arial Narrow"/>
                <w:b/>
                <w:sz w:val="20"/>
                <w:szCs w:val="20"/>
                <w14:ligatures w14:val="standardContextual"/>
              </w:rPr>
              <w:t>Restriction Summary 8821 / Treatment of Concept: 5178</w:t>
            </w:r>
          </w:p>
        </w:tc>
      </w:tr>
      <w:tr w:rsidR="009A6A62" w:rsidRPr="000E6BCB" w14:paraId="71A6C9B4"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064DCC64" w14:textId="77777777" w:rsidR="009A6A62" w:rsidRPr="00E26BD1" w:rsidRDefault="009A6A62" w:rsidP="0049200A">
            <w:pPr>
              <w:keepLines/>
              <w:spacing w:after="0"/>
              <w:rPr>
                <w:rFonts w:ascii="Arial Narrow" w:hAnsi="Arial Narrow"/>
                <w:sz w:val="20"/>
                <w:szCs w:val="20"/>
                <w14:ligatures w14:val="standardContextual"/>
              </w:rPr>
            </w:pPr>
            <w:r w:rsidRPr="00E26BD1">
              <w:rPr>
                <w:rFonts w:ascii="Arial Narrow" w:hAnsi="Arial Narrow"/>
                <w:b/>
                <w:bCs/>
                <w:sz w:val="20"/>
                <w:szCs w:val="20"/>
                <w14:ligatures w14:val="standardContextual"/>
              </w:rPr>
              <w:t>Indication:</w:t>
            </w:r>
            <w:r w:rsidRPr="00E26BD1">
              <w:rPr>
                <w:rFonts w:ascii="Arial Narrow" w:hAnsi="Arial Narrow"/>
                <w:sz w:val="20"/>
                <w:szCs w:val="20"/>
                <w14:ligatures w14:val="standardContextual"/>
              </w:rPr>
              <w:t xml:space="preserve"> Moderate to severe spasticity of the upper limb</w:t>
            </w:r>
          </w:p>
        </w:tc>
      </w:tr>
      <w:tr w:rsidR="009A6A62" w:rsidRPr="000E6BCB" w14:paraId="6BB6F9C6"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01DF39BF" w14:textId="77777777" w:rsidR="009A6A62" w:rsidRPr="000E6BCB" w:rsidRDefault="009A6A62" w:rsidP="0049200A">
            <w:pPr>
              <w:spacing w:after="0"/>
              <w:rPr>
                <w:rFonts w:ascii="Arial Narrow" w:hAnsi="Arial Narrow"/>
                <w:sz w:val="20"/>
                <w:szCs w:val="20"/>
                <w14:ligatures w14:val="standardContextual"/>
              </w:rPr>
            </w:pPr>
            <w:r w:rsidRPr="000E6BCB">
              <w:rPr>
                <w:rFonts w:ascii="Arial Narrow" w:hAnsi="Arial Narrow"/>
                <w:b/>
                <w:bCs/>
                <w:color w:val="333333"/>
                <w:sz w:val="20"/>
                <w:szCs w:val="20"/>
                <w14:ligatures w14:val="standardContextual"/>
              </w:rPr>
              <w:t xml:space="preserve">Clinical criteria: </w:t>
            </w:r>
          </w:p>
        </w:tc>
      </w:tr>
      <w:tr w:rsidR="009A6A62" w:rsidRPr="000E6BCB" w14:paraId="5D767CF6"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3C853607" w14:textId="272F7DBA" w:rsidR="009A6A62" w:rsidRPr="000E6BCB" w:rsidRDefault="009A6A62" w:rsidP="0049200A">
            <w:pPr>
              <w:spacing w:after="0"/>
              <w:rPr>
                <w:rFonts w:ascii="Arial Narrow" w:hAnsi="Arial Narrow"/>
                <w:i/>
                <w:iCs/>
                <w:color w:val="333333"/>
                <w:sz w:val="20"/>
                <w:szCs w:val="20"/>
                <w14:ligatures w14:val="standardContextual"/>
              </w:rPr>
            </w:pPr>
            <w:r w:rsidRPr="000E6BCB">
              <w:rPr>
                <w:rFonts w:ascii="Arial Narrow" w:hAnsi="Arial Narrow"/>
                <w:color w:val="333333"/>
                <w:sz w:val="20"/>
                <w:szCs w:val="20"/>
                <w14:ligatures w14:val="standardContextual"/>
              </w:rPr>
              <w:t>Patient must have cerebral pals</w:t>
            </w:r>
            <w:r w:rsidRPr="00E26BD1">
              <w:rPr>
                <w:rFonts w:ascii="Arial Narrow" w:hAnsi="Arial Narrow"/>
                <w:color w:val="333333"/>
                <w:sz w:val="20"/>
                <w:szCs w:val="20"/>
                <w14:ligatures w14:val="standardContextual"/>
              </w:rPr>
              <w:t>y.</w:t>
            </w:r>
          </w:p>
        </w:tc>
      </w:tr>
      <w:tr w:rsidR="009A6A62" w:rsidRPr="000E6BCB" w14:paraId="2F2D5D71"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181E4A5" w14:textId="77777777" w:rsidR="009A6A62" w:rsidRPr="000E6BCB" w:rsidRDefault="009A6A62" w:rsidP="0049200A">
            <w:pPr>
              <w:autoSpaceDE w:val="0"/>
              <w:autoSpaceDN w:val="0"/>
              <w:adjustRightInd w:val="0"/>
              <w:spacing w:after="0"/>
              <w:rPr>
                <w:rFonts w:ascii="Arial Narrow" w:hAnsi="Arial Narrow" w:cs="Arial Narrow"/>
                <w:iCs/>
                <w:color w:val="FF0000"/>
                <w:sz w:val="20"/>
                <w:szCs w:val="20"/>
                <w14:ligatures w14:val="standardContextual"/>
              </w:rPr>
            </w:pPr>
            <w:r w:rsidRPr="000E6BCB">
              <w:rPr>
                <w:rFonts w:ascii="Arial Narrow" w:hAnsi="Arial Narrow"/>
                <w:b/>
                <w:bCs/>
                <w:color w:val="333333"/>
                <w:sz w:val="20"/>
                <w:szCs w:val="20"/>
                <w14:ligatures w14:val="standardContextual"/>
              </w:rPr>
              <w:t>Treatment criteria:</w:t>
            </w:r>
          </w:p>
        </w:tc>
      </w:tr>
      <w:tr w:rsidR="009A6A62" w:rsidRPr="000E6BCB" w14:paraId="5DD94699"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A5C9BFE" w14:textId="77777777" w:rsidR="009A6A62" w:rsidRPr="000E6BCB" w:rsidRDefault="009A6A62" w:rsidP="0049200A">
            <w:pPr>
              <w:spacing w:after="0"/>
              <w:rPr>
                <w:rFonts w:ascii="Arial Narrow" w:hAnsi="Arial Narrow"/>
                <w:sz w:val="20"/>
                <w14:ligatures w14:val="standardContextual"/>
              </w:rPr>
            </w:pPr>
            <w:r w:rsidRPr="000E6BCB">
              <w:rPr>
                <w:rFonts w:ascii="Arial Narrow" w:hAnsi="Arial Narrow"/>
                <w:sz w:val="20"/>
                <w14:ligatures w14:val="standardContextual"/>
              </w:rPr>
              <w:t>Must be treated by a neurologist; OR</w:t>
            </w:r>
          </w:p>
        </w:tc>
      </w:tr>
      <w:tr w:rsidR="009A6A62" w:rsidRPr="000E6BCB" w14:paraId="209965BE"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BB241F7" w14:textId="77777777" w:rsidR="009A6A62" w:rsidRPr="000E6BCB" w:rsidRDefault="009A6A62" w:rsidP="0049200A">
            <w:pPr>
              <w:spacing w:after="0"/>
              <w:rPr>
                <w:rFonts w:ascii="Arial Narrow" w:hAnsi="Arial Narrow"/>
                <w:sz w:val="20"/>
                <w14:ligatures w14:val="standardContextual"/>
              </w:rPr>
            </w:pPr>
            <w:r w:rsidRPr="000E6BCB">
              <w:rPr>
                <w:rFonts w:ascii="Arial Narrow" w:hAnsi="Arial Narrow"/>
                <w:sz w:val="20"/>
                <w14:ligatures w14:val="standardContextual"/>
              </w:rPr>
              <w:t>Must be treated by an orthopaedic surgeon; OR</w:t>
            </w:r>
          </w:p>
        </w:tc>
      </w:tr>
      <w:tr w:rsidR="009A6A62" w:rsidRPr="000E6BCB" w14:paraId="2A659816"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A4A95E7" w14:textId="77777777" w:rsidR="009A6A62" w:rsidRPr="000E6BCB" w:rsidRDefault="009A6A62" w:rsidP="0049200A">
            <w:pPr>
              <w:spacing w:after="0"/>
              <w:rPr>
                <w:rFonts w:ascii="Arial Narrow" w:hAnsi="Arial Narrow"/>
                <w:sz w:val="20"/>
                <w14:ligatures w14:val="standardContextual"/>
              </w:rPr>
            </w:pPr>
            <w:r w:rsidRPr="000E6BCB">
              <w:rPr>
                <w:rFonts w:ascii="Arial Narrow" w:hAnsi="Arial Narrow"/>
                <w:sz w:val="20"/>
                <w14:ligatures w14:val="standardContextual"/>
              </w:rPr>
              <w:t>Must be treated by a paediatrician; OR</w:t>
            </w:r>
          </w:p>
        </w:tc>
      </w:tr>
      <w:tr w:rsidR="009A6A62" w:rsidRPr="000E6BCB" w14:paraId="6BB7F590"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3A4FE2F" w14:textId="77777777" w:rsidR="009A6A62" w:rsidRPr="000E6BCB" w:rsidRDefault="009A6A62" w:rsidP="0049200A">
            <w:pPr>
              <w:spacing w:after="0"/>
              <w:rPr>
                <w:rFonts w:ascii="Arial Narrow" w:hAnsi="Arial Narrow"/>
                <w:sz w:val="20"/>
                <w14:ligatures w14:val="standardContextual"/>
              </w:rPr>
            </w:pPr>
            <w:r w:rsidRPr="000E6BCB">
              <w:rPr>
                <w:rFonts w:ascii="Arial Narrow" w:hAnsi="Arial Narrow"/>
                <w:sz w:val="20"/>
                <w14:ligatures w14:val="standardContextual"/>
              </w:rPr>
              <w:t>Must be treated by a rehabilitation specialist, OR</w:t>
            </w:r>
          </w:p>
        </w:tc>
      </w:tr>
      <w:tr w:rsidR="009A6A62" w:rsidRPr="000E6BCB" w14:paraId="7CF1918A"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3DC7E99" w14:textId="77777777" w:rsidR="009A6A62" w:rsidRPr="000E6BCB" w:rsidRDefault="009A6A62" w:rsidP="0049200A">
            <w:pPr>
              <w:spacing w:after="0"/>
              <w:rPr>
                <w:rFonts w:ascii="Arial Narrow" w:hAnsi="Arial Narrow"/>
                <w:sz w:val="20"/>
                <w14:ligatures w14:val="standardContextual"/>
              </w:rPr>
            </w:pPr>
            <w:r w:rsidRPr="000E6BCB">
              <w:rPr>
                <w:rFonts w:ascii="Arial Narrow" w:hAnsi="Arial Narrow"/>
                <w:sz w:val="20"/>
                <w14:ligatures w14:val="standardContextual"/>
              </w:rPr>
              <w:t>Must be treated by a plastic surgeo</w:t>
            </w:r>
            <w:r w:rsidRPr="00E26BD1">
              <w:rPr>
                <w:rFonts w:ascii="Arial Narrow" w:hAnsi="Arial Narrow"/>
                <w:sz w:val="20"/>
                <w14:ligatures w14:val="standardContextual"/>
              </w:rPr>
              <w:t>n.</w:t>
            </w:r>
            <w:r w:rsidRPr="000E6BCB">
              <w:rPr>
                <w:rFonts w:ascii="Arial Narrow" w:hAnsi="Arial Narrow"/>
                <w:sz w:val="20"/>
                <w14:ligatures w14:val="standardContextual"/>
              </w:rPr>
              <w:t xml:space="preserve"> </w:t>
            </w:r>
          </w:p>
        </w:tc>
      </w:tr>
      <w:tr w:rsidR="009A6A62" w:rsidRPr="000E6BCB" w14:paraId="52CD79BB"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159A12BC" w14:textId="77777777" w:rsidR="009A6A62" w:rsidRPr="000E6BCB" w:rsidRDefault="009A6A62" w:rsidP="0049200A">
            <w:pPr>
              <w:spacing w:after="0"/>
              <w:rPr>
                <w:rFonts w:ascii="Arial Narrow" w:hAnsi="Arial Narrow"/>
                <w:color w:val="333333"/>
                <w:sz w:val="20"/>
                <w:szCs w:val="20"/>
                <w14:ligatures w14:val="standardContextual"/>
              </w:rPr>
            </w:pPr>
            <w:r w:rsidRPr="000E6BCB">
              <w:rPr>
                <w:rFonts w:ascii="Arial Narrow" w:hAnsi="Arial Narrow"/>
                <w:b/>
                <w:bCs/>
                <w:color w:val="333333"/>
                <w:sz w:val="20"/>
                <w:szCs w:val="20"/>
                <w14:ligatures w14:val="standardContextual"/>
              </w:rPr>
              <w:t>Population criteria:</w:t>
            </w:r>
          </w:p>
        </w:tc>
      </w:tr>
      <w:tr w:rsidR="009A6A62" w:rsidRPr="000E6BCB" w14:paraId="2383B7A9"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0983E20D" w14:textId="2E70875C" w:rsidR="009A6A62" w:rsidRPr="000E6BCB" w:rsidRDefault="009A6A62" w:rsidP="0049200A">
            <w:pPr>
              <w:spacing w:after="0"/>
              <w:rPr>
                <w:rFonts w:ascii="Arial Narrow" w:hAnsi="Arial Narrow"/>
                <w:color w:val="333333"/>
                <w:sz w:val="20"/>
                <w:szCs w:val="20"/>
                <w14:ligatures w14:val="standardContextual"/>
              </w:rPr>
            </w:pPr>
            <w:r w:rsidRPr="000E6BCB">
              <w:rPr>
                <w:rFonts w:ascii="Arial Narrow" w:hAnsi="Arial Narrow"/>
                <w:sz w:val="20"/>
                <w14:ligatures w14:val="standardContextual"/>
              </w:rPr>
              <w:t xml:space="preserve">Patient must be aged from 2 to 17 </w:t>
            </w:r>
            <w:r w:rsidRPr="00E26BD1">
              <w:rPr>
                <w:rFonts w:ascii="Arial Narrow" w:hAnsi="Arial Narrow"/>
                <w:sz w:val="20"/>
                <w14:ligatures w14:val="standardContextual"/>
              </w:rPr>
              <w:t>years inclusive.</w:t>
            </w:r>
          </w:p>
        </w:tc>
      </w:tr>
      <w:tr w:rsidR="009A6A62" w:rsidRPr="000E6BCB" w14:paraId="5F1BAB9E"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shd w:val="clear" w:color="auto" w:fill="BFBFBF"/>
            <w:vAlign w:val="center"/>
          </w:tcPr>
          <w:p w14:paraId="579A8CE2" w14:textId="4C0B40EF" w:rsidR="009A6A62" w:rsidRPr="000E6BCB" w:rsidRDefault="009A6A62" w:rsidP="0049200A">
            <w:pPr>
              <w:keepNext/>
              <w:keepLines/>
              <w:spacing w:after="0"/>
              <w:rPr>
                <w:rFonts w:ascii="Arial Narrow" w:hAnsi="Arial Narrow"/>
                <w:b/>
                <w:bCs/>
                <w:color w:val="FF0000"/>
                <w:sz w:val="20"/>
                <w:szCs w:val="20"/>
                <w14:ligatures w14:val="standardContextual"/>
              </w:rPr>
            </w:pPr>
            <w:r w:rsidRPr="000E6BCB">
              <w:rPr>
                <w:rFonts w:ascii="Arial Narrow" w:hAnsi="Arial Narrow"/>
                <w:b/>
                <w:bCs/>
                <w:color w:val="333333"/>
                <w:sz w:val="20"/>
                <w:szCs w:val="20"/>
                <w14:ligatures w14:val="standardContextual"/>
              </w:rPr>
              <w:t>Restriction Summary 8928 / Treatment of Concept: 8929</w:t>
            </w:r>
          </w:p>
        </w:tc>
      </w:tr>
      <w:tr w:rsidR="009A6A62" w:rsidRPr="000E6BCB" w14:paraId="338A7B97"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47917D8E" w14:textId="77777777" w:rsidR="009A6A62" w:rsidRPr="00E26BD1" w:rsidRDefault="009A6A62" w:rsidP="0049200A">
            <w:pPr>
              <w:spacing w:after="0"/>
              <w:rPr>
                <w:rFonts w:ascii="Arial Narrow" w:hAnsi="Arial Narrow"/>
                <w:sz w:val="20"/>
                <w:szCs w:val="20"/>
                <w14:ligatures w14:val="standardContextual"/>
              </w:rPr>
            </w:pPr>
            <w:r w:rsidRPr="00E26BD1">
              <w:rPr>
                <w:rFonts w:ascii="Arial Narrow" w:hAnsi="Arial Narrow"/>
                <w:b/>
                <w:bCs/>
                <w:sz w:val="20"/>
                <w:szCs w:val="20"/>
                <w14:ligatures w14:val="standardContextual"/>
              </w:rPr>
              <w:t>Indication:</w:t>
            </w:r>
            <w:r w:rsidRPr="00E26BD1">
              <w:rPr>
                <w:rFonts w:ascii="Arial Narrow" w:hAnsi="Arial Narrow"/>
                <w:sz w:val="20"/>
                <w:szCs w:val="20"/>
                <w14:ligatures w14:val="standardContextual"/>
              </w:rPr>
              <w:t xml:space="preserve"> Moderate to severe spasticity of the upper limb</w:t>
            </w:r>
          </w:p>
        </w:tc>
      </w:tr>
      <w:tr w:rsidR="009A6A62" w:rsidRPr="000E6BCB" w14:paraId="59677E4E"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6446871" w14:textId="77777777" w:rsidR="009A6A62" w:rsidRPr="00E26BD1" w:rsidRDefault="009A6A62" w:rsidP="0049200A">
            <w:pPr>
              <w:spacing w:after="0"/>
              <w:rPr>
                <w:rFonts w:ascii="Arial Narrow" w:hAnsi="Arial Narrow"/>
                <w:color w:val="333333"/>
                <w:sz w:val="20"/>
                <w:szCs w:val="20"/>
                <w14:ligatures w14:val="standardContextual"/>
              </w:rPr>
            </w:pPr>
            <w:r w:rsidRPr="00E26BD1">
              <w:rPr>
                <w:rFonts w:ascii="Arial Narrow" w:hAnsi="Arial Narrow"/>
                <w:b/>
                <w:bCs/>
                <w:color w:val="333333"/>
                <w:sz w:val="20"/>
                <w:szCs w:val="20"/>
                <w14:ligatures w14:val="standardContextual"/>
              </w:rPr>
              <w:t xml:space="preserve">Clinical criteria: </w:t>
            </w:r>
          </w:p>
        </w:tc>
      </w:tr>
      <w:tr w:rsidR="009A6A62" w:rsidRPr="000E6BCB" w14:paraId="68637DD7"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8030F01" w14:textId="26D6F834" w:rsidR="009A6A62" w:rsidRPr="000E6BCB" w:rsidRDefault="009A6A62" w:rsidP="0049200A">
            <w:pPr>
              <w:spacing w:after="0"/>
              <w:rPr>
                <w:rFonts w:ascii="Arial Narrow" w:hAnsi="Arial Narrow"/>
                <w:b/>
                <w:bCs/>
                <w:color w:val="333333"/>
                <w:sz w:val="20"/>
                <w:szCs w:val="20"/>
                <w14:ligatures w14:val="standardContextual"/>
              </w:rPr>
            </w:pPr>
            <w:r w:rsidRPr="000E6BCB">
              <w:rPr>
                <w:rFonts w:ascii="Arial Narrow" w:hAnsi="Arial Narrow"/>
                <w:color w:val="333333"/>
                <w:sz w:val="20"/>
                <w:szCs w:val="20"/>
                <w14:ligatures w14:val="standardContextual"/>
              </w:rPr>
              <w:t>Patient must have cerebral palsy.</w:t>
            </w:r>
          </w:p>
        </w:tc>
      </w:tr>
      <w:tr w:rsidR="009A6A62" w:rsidRPr="000E6BCB" w14:paraId="4A4F9869"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AD2212D" w14:textId="77777777" w:rsidR="009A6A62" w:rsidRPr="000E6BCB" w:rsidRDefault="009A6A62" w:rsidP="0049200A">
            <w:pPr>
              <w:spacing w:after="0"/>
              <w:rPr>
                <w:rFonts w:ascii="Arial Narrow" w:hAnsi="Arial Narrow"/>
                <w:b/>
                <w:bCs/>
                <w:color w:val="333333"/>
                <w:sz w:val="20"/>
                <w:szCs w:val="20"/>
                <w14:ligatures w14:val="standardContextual"/>
              </w:rPr>
            </w:pPr>
            <w:r w:rsidRPr="000E6BCB">
              <w:rPr>
                <w:rFonts w:ascii="Arial Narrow" w:hAnsi="Arial Narrow"/>
                <w:b/>
                <w:bCs/>
                <w:color w:val="333333"/>
                <w:sz w:val="20"/>
                <w:szCs w:val="20"/>
                <w14:ligatures w14:val="standardContextual"/>
              </w:rPr>
              <w:t>Treatment criteria:</w:t>
            </w:r>
          </w:p>
        </w:tc>
      </w:tr>
      <w:tr w:rsidR="009A6A62" w:rsidRPr="000E6BCB" w14:paraId="3AAA1E42"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418E8DC" w14:textId="77777777" w:rsidR="009A6A62" w:rsidRPr="000E6BCB" w:rsidRDefault="009A6A62" w:rsidP="0049200A">
            <w:pPr>
              <w:spacing w:after="0"/>
              <w:rPr>
                <w:rFonts w:ascii="Arial Narrow" w:hAnsi="Arial Narrow"/>
                <w:b/>
                <w:bCs/>
                <w:color w:val="333333"/>
                <w:sz w:val="20"/>
                <w:szCs w:val="20"/>
                <w14:ligatures w14:val="standardContextual"/>
              </w:rPr>
            </w:pPr>
            <w:r w:rsidRPr="000E6BCB">
              <w:rPr>
                <w:rFonts w:ascii="Arial Narrow" w:hAnsi="Arial Narrow"/>
                <w:sz w:val="20"/>
                <w14:ligatures w14:val="standardContextual"/>
              </w:rPr>
              <w:t>Must be treated by a neurologist; OR</w:t>
            </w:r>
          </w:p>
        </w:tc>
      </w:tr>
      <w:tr w:rsidR="009A6A62" w:rsidRPr="000E6BCB" w14:paraId="053BE094"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A658F6B" w14:textId="77777777" w:rsidR="009A6A62" w:rsidRPr="000E6BCB" w:rsidRDefault="009A6A62" w:rsidP="0049200A">
            <w:pPr>
              <w:spacing w:after="0"/>
              <w:rPr>
                <w:rFonts w:ascii="Arial Narrow" w:hAnsi="Arial Narrow"/>
                <w:b/>
                <w:bCs/>
                <w:color w:val="333333"/>
                <w:sz w:val="20"/>
                <w:szCs w:val="20"/>
                <w14:ligatures w14:val="standardContextual"/>
              </w:rPr>
            </w:pPr>
            <w:r w:rsidRPr="000E6BCB">
              <w:rPr>
                <w:rFonts w:ascii="Arial Narrow" w:hAnsi="Arial Narrow"/>
                <w:sz w:val="20"/>
                <w14:ligatures w14:val="standardContextual"/>
              </w:rPr>
              <w:t>Must be treated by an orthopaedic surgeon; OR</w:t>
            </w:r>
          </w:p>
        </w:tc>
      </w:tr>
      <w:tr w:rsidR="009A6A62" w:rsidRPr="000E6BCB" w14:paraId="3A8A058E"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542B0EC" w14:textId="77777777" w:rsidR="009A6A62" w:rsidRPr="000E6BCB" w:rsidRDefault="009A6A62" w:rsidP="0049200A">
            <w:pPr>
              <w:spacing w:after="0"/>
              <w:rPr>
                <w:rFonts w:ascii="Arial Narrow" w:hAnsi="Arial Narrow"/>
                <w:b/>
                <w:bCs/>
                <w:color w:val="333333"/>
                <w:sz w:val="20"/>
                <w:szCs w:val="20"/>
                <w14:ligatures w14:val="standardContextual"/>
              </w:rPr>
            </w:pPr>
            <w:r w:rsidRPr="000E6BCB">
              <w:rPr>
                <w:rFonts w:ascii="Arial Narrow" w:hAnsi="Arial Narrow"/>
                <w:sz w:val="20"/>
                <w14:ligatures w14:val="standardContextual"/>
              </w:rPr>
              <w:t>Must be treated by a paediatrician; OR</w:t>
            </w:r>
          </w:p>
        </w:tc>
      </w:tr>
      <w:tr w:rsidR="009A6A62" w:rsidRPr="000E6BCB" w14:paraId="129D9D6B"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0525BEF" w14:textId="77777777" w:rsidR="009A6A62" w:rsidRPr="000E6BCB" w:rsidRDefault="009A6A62" w:rsidP="0049200A">
            <w:pPr>
              <w:spacing w:after="0"/>
              <w:rPr>
                <w:rFonts w:ascii="Arial Narrow" w:hAnsi="Arial Narrow"/>
                <w:b/>
                <w:bCs/>
                <w:color w:val="333333"/>
                <w:sz w:val="20"/>
                <w:szCs w:val="20"/>
                <w14:ligatures w14:val="standardContextual"/>
              </w:rPr>
            </w:pPr>
            <w:r w:rsidRPr="000E6BCB">
              <w:rPr>
                <w:rFonts w:ascii="Arial Narrow" w:hAnsi="Arial Narrow"/>
                <w:sz w:val="20"/>
                <w14:ligatures w14:val="standardContextual"/>
              </w:rPr>
              <w:t>Must be treated by a rehabilitation specialist, OR</w:t>
            </w:r>
          </w:p>
        </w:tc>
      </w:tr>
      <w:tr w:rsidR="009A6A62" w:rsidRPr="000E6BCB" w14:paraId="100A8F7B"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7E1E492" w14:textId="77777777" w:rsidR="009A6A62" w:rsidRPr="000E6BCB" w:rsidRDefault="009A6A62" w:rsidP="0049200A">
            <w:pPr>
              <w:spacing w:after="0"/>
              <w:rPr>
                <w:rFonts w:ascii="Arial Narrow" w:hAnsi="Arial Narrow"/>
                <w:color w:val="333333"/>
                <w:sz w:val="20"/>
                <w:szCs w:val="20"/>
                <w14:ligatures w14:val="standardContextual"/>
              </w:rPr>
            </w:pPr>
            <w:r w:rsidRPr="000E6BCB">
              <w:rPr>
                <w:rFonts w:ascii="Arial Narrow" w:hAnsi="Arial Narrow"/>
                <w:sz w:val="20"/>
                <w14:ligatures w14:val="standardContextual"/>
              </w:rPr>
              <w:lastRenderedPageBreak/>
              <w:t xml:space="preserve">Must be treated by a plastic surgeon. </w:t>
            </w:r>
          </w:p>
        </w:tc>
      </w:tr>
      <w:tr w:rsidR="009A6A62" w:rsidRPr="000E6BCB" w14:paraId="4FD74F9E" w14:textId="77777777" w:rsidTr="009A6A6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AAD27A9" w14:textId="77777777" w:rsidR="009A6A62" w:rsidRPr="000E6BCB" w:rsidRDefault="009A6A62" w:rsidP="0049200A">
            <w:pPr>
              <w:spacing w:after="0"/>
              <w:rPr>
                <w:rFonts w:ascii="Arial Narrow" w:hAnsi="Arial Narrow"/>
                <w:color w:val="333333"/>
                <w:sz w:val="20"/>
                <w:szCs w:val="20"/>
                <w14:ligatures w14:val="standardContextual"/>
              </w:rPr>
            </w:pPr>
            <w:r w:rsidRPr="000E6BCB">
              <w:rPr>
                <w:rFonts w:ascii="Arial Narrow" w:hAnsi="Arial Narrow"/>
                <w:b/>
                <w:bCs/>
                <w:color w:val="333333"/>
                <w:sz w:val="20"/>
                <w:szCs w:val="20"/>
                <w14:ligatures w14:val="standardContextual"/>
              </w:rPr>
              <w:t>Population criteria:</w:t>
            </w:r>
          </w:p>
        </w:tc>
      </w:tr>
      <w:tr w:rsidR="009A6A62" w:rsidRPr="000E6BCB" w14:paraId="381EE341" w14:textId="77777777" w:rsidTr="009A6A62">
        <w:tblPrEx>
          <w:tblCellMar>
            <w:top w:w="15" w:type="dxa"/>
            <w:bottom w:w="15" w:type="dxa"/>
          </w:tblCellMar>
          <w:tblLook w:val="04A0" w:firstRow="1" w:lastRow="0" w:firstColumn="1" w:lastColumn="0" w:noHBand="0" w:noVBand="1"/>
        </w:tblPrEx>
        <w:trPr>
          <w:cantSplit/>
          <w:trHeight w:val="35"/>
        </w:trPr>
        <w:tc>
          <w:tcPr>
            <w:tcW w:w="9067" w:type="dxa"/>
            <w:gridSpan w:val="6"/>
            <w:vAlign w:val="center"/>
          </w:tcPr>
          <w:p w14:paraId="654C3876" w14:textId="77777777" w:rsidR="009A6A62" w:rsidRPr="00E26BD1" w:rsidRDefault="009A6A62" w:rsidP="0049200A">
            <w:pPr>
              <w:spacing w:after="0"/>
              <w:rPr>
                <w:rFonts w:ascii="Arial Narrow" w:hAnsi="Arial Narrow"/>
                <w:color w:val="333333"/>
                <w:sz w:val="20"/>
                <w:szCs w:val="20"/>
                <w14:ligatures w14:val="standardContextual"/>
              </w:rPr>
            </w:pPr>
            <w:r w:rsidRPr="00E26BD1">
              <w:rPr>
                <w:rFonts w:ascii="Arial Narrow" w:hAnsi="Arial Narrow"/>
                <w:sz w:val="20"/>
                <w14:ligatures w14:val="standardContextual"/>
              </w:rPr>
              <w:t>Patient must be at least 18 years of age.</w:t>
            </w:r>
          </w:p>
        </w:tc>
      </w:tr>
    </w:tbl>
    <w:p w14:paraId="1BC48D0C" w14:textId="77777777" w:rsidR="0036727D" w:rsidRDefault="0036727D" w:rsidP="0049200A">
      <w:pPr>
        <w:spacing w:after="0"/>
        <w:rPr>
          <w:rFonts w:cs="Calibri"/>
          <w14:ligatures w14:val="standardContextual"/>
        </w:rPr>
      </w:pPr>
    </w:p>
    <w:p w14:paraId="2743293C" w14:textId="6F9ABDF8" w:rsidR="0050675A" w:rsidRDefault="001D04C8" w:rsidP="0049200A">
      <w:pPr>
        <w:spacing w:after="0"/>
        <w:rPr>
          <w:b/>
          <w:bCs/>
          <w:i/>
          <w:iCs/>
        </w:rPr>
      </w:pPr>
      <w:r w:rsidRPr="001D04C8">
        <w:rPr>
          <w:b/>
          <w:bCs/>
          <w:i/>
          <w:iCs/>
        </w:rPr>
        <w:t>These restrictions may be subject to further review. Should there be any changes made to the restriction the sponsor will be informed.</w:t>
      </w:r>
    </w:p>
    <w:p w14:paraId="734FD2CC" w14:textId="77777777" w:rsidR="0064254D" w:rsidRDefault="0064254D" w:rsidP="0049200A">
      <w:pPr>
        <w:spacing w:after="0"/>
        <w:rPr>
          <w:b/>
          <w:bCs/>
          <w:i/>
          <w:iCs/>
        </w:rPr>
      </w:pPr>
    </w:p>
    <w:p w14:paraId="141CE1CD" w14:textId="4A5ABEDE" w:rsidR="0064254D" w:rsidRDefault="0064254D" w:rsidP="0049200A">
      <w:pPr>
        <w:pStyle w:val="PBACHeading1"/>
        <w:rPr>
          <w:bCs/>
          <w:lang w:val="en-GB"/>
        </w:rPr>
      </w:pPr>
      <w:r>
        <w:t>9</w:t>
      </w:r>
      <w:r>
        <w:tab/>
      </w:r>
      <w:r w:rsidRPr="0064254D">
        <w:t>Context</w:t>
      </w:r>
      <w:r w:rsidRPr="00C07617">
        <w:t xml:space="preserve"> for Decision</w:t>
      </w:r>
    </w:p>
    <w:p w14:paraId="330F25F4" w14:textId="77777777" w:rsidR="0064254D" w:rsidRPr="00311EEF" w:rsidRDefault="0064254D" w:rsidP="0049200A">
      <w:pPr>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72FC91F" w14:textId="77777777" w:rsidR="0064254D" w:rsidRPr="00311EEF" w:rsidRDefault="0064254D" w:rsidP="0049200A">
      <w:pPr>
        <w:pStyle w:val="COMH1numbered"/>
        <w:numPr>
          <w:ilvl w:val="0"/>
          <w:numId w:val="0"/>
        </w:numPr>
        <w:ind w:left="720" w:hanging="720"/>
      </w:pPr>
      <w:r w:rsidRPr="00311EEF">
        <w:t>10</w:t>
      </w:r>
      <w:r>
        <w:tab/>
      </w:r>
      <w:r w:rsidRPr="00311EEF">
        <w:t>Sponsor’s Comment</w:t>
      </w:r>
    </w:p>
    <w:p w14:paraId="4DD3583C" w14:textId="77777777" w:rsidR="0064254D" w:rsidRDefault="0064254D" w:rsidP="0049200A">
      <w:pPr>
        <w:ind w:left="720"/>
        <w:rPr>
          <w:rFonts w:asciiTheme="minorHAnsi" w:hAnsiTheme="minorHAnsi"/>
          <w:bCs/>
        </w:rPr>
      </w:pPr>
      <w:r w:rsidRPr="00C07617">
        <w:rPr>
          <w:rFonts w:asciiTheme="minorHAnsi" w:hAnsiTheme="minorHAnsi"/>
          <w:bCs/>
        </w:rPr>
        <w:t>The sponsor had no comment.</w:t>
      </w:r>
    </w:p>
    <w:p w14:paraId="1AD90EE3" w14:textId="77777777" w:rsidR="0064254D" w:rsidRPr="006E651A" w:rsidRDefault="0064254D" w:rsidP="0049200A">
      <w:pPr>
        <w:spacing w:after="0"/>
        <w:rPr>
          <w:b/>
          <w:bCs/>
          <w:i/>
          <w:iCs/>
        </w:rPr>
      </w:pPr>
    </w:p>
    <w:sectPr w:rsidR="0064254D" w:rsidRPr="006E651A" w:rsidSect="00D95C85">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F507" w14:textId="77777777" w:rsidR="000550F0" w:rsidRDefault="000550F0" w:rsidP="00124A51">
      <w:r>
        <w:separator/>
      </w:r>
    </w:p>
    <w:p w14:paraId="5D27DD31" w14:textId="77777777" w:rsidR="000550F0" w:rsidRDefault="000550F0"/>
  </w:endnote>
  <w:endnote w:type="continuationSeparator" w:id="0">
    <w:p w14:paraId="66B251B0" w14:textId="77777777" w:rsidR="000550F0" w:rsidRDefault="000550F0" w:rsidP="00124A51">
      <w:r>
        <w:continuationSeparator/>
      </w:r>
    </w:p>
    <w:p w14:paraId="61F4B4F0" w14:textId="77777777" w:rsidR="000550F0" w:rsidRDefault="000550F0"/>
  </w:endnote>
  <w:endnote w:type="continuationNotice" w:id="1">
    <w:p w14:paraId="19819775" w14:textId="77777777" w:rsidR="000550F0" w:rsidRDefault="000550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16FD" w14:textId="24DCD40F" w:rsidR="000C2A4B" w:rsidRDefault="009E2FC7">
    <w:pPr>
      <w:pStyle w:val="Footer"/>
    </w:pPr>
    <w:r>
      <w:rPr>
        <w:noProof/>
      </w:rPr>
      <mc:AlternateContent>
        <mc:Choice Requires="wps">
          <w:drawing>
            <wp:anchor distT="0" distB="0" distL="0" distR="0" simplePos="0" relativeHeight="251662336" behindDoc="0" locked="0" layoutInCell="1" allowOverlap="1" wp14:anchorId="46C00982" wp14:editId="0BCB7CAA">
              <wp:simplePos x="635" y="635"/>
              <wp:positionH relativeFrom="page">
                <wp:align>center</wp:align>
              </wp:positionH>
              <wp:positionV relativeFrom="page">
                <wp:align>bottom</wp:align>
              </wp:positionV>
              <wp:extent cx="551815" cy="376555"/>
              <wp:effectExtent l="0" t="0" r="635" b="0"/>
              <wp:wrapNone/>
              <wp:docPr id="14625530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1AE885" w14:textId="1756E4B3" w:rsidR="009E2FC7" w:rsidRPr="009E2FC7" w:rsidRDefault="009E2FC7" w:rsidP="009E2FC7">
                          <w:pPr>
                            <w:spacing w:after="0"/>
                            <w:rPr>
                              <w:rFonts w:eastAsia="Calibri" w:cs="Calibri"/>
                              <w:noProof/>
                              <w:color w:val="FF0000"/>
                            </w:rPr>
                          </w:pPr>
                          <w:r w:rsidRPr="009E2FC7">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C00982"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41AE885" w14:textId="1756E4B3" w:rsidR="009E2FC7" w:rsidRPr="009E2FC7" w:rsidRDefault="009E2FC7" w:rsidP="009E2FC7">
                    <w:pPr>
                      <w:spacing w:after="0"/>
                      <w:rPr>
                        <w:rFonts w:eastAsia="Calibri" w:cs="Calibri"/>
                        <w:noProof/>
                        <w:color w:val="FF0000"/>
                      </w:rPr>
                    </w:pPr>
                    <w:r w:rsidRPr="009E2FC7">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EF0C" w14:textId="23E704FD" w:rsidR="000E46B7" w:rsidRDefault="009E2FC7" w:rsidP="000E46B7">
    <w:pPr>
      <w:pStyle w:val="Footer"/>
      <w:jc w:val="center"/>
      <w:rPr>
        <w:b/>
        <w:bCs/>
      </w:rPr>
    </w:pPr>
    <w:r>
      <w:rPr>
        <w:b/>
        <w:bCs/>
        <w:noProof/>
      </w:rPr>
      <mc:AlternateContent>
        <mc:Choice Requires="wps">
          <w:drawing>
            <wp:anchor distT="0" distB="0" distL="0" distR="0" simplePos="0" relativeHeight="251663360" behindDoc="0" locked="0" layoutInCell="1" allowOverlap="1" wp14:anchorId="70B7216B" wp14:editId="39EECCC2">
              <wp:simplePos x="635" y="635"/>
              <wp:positionH relativeFrom="page">
                <wp:align>center</wp:align>
              </wp:positionH>
              <wp:positionV relativeFrom="page">
                <wp:align>bottom</wp:align>
              </wp:positionV>
              <wp:extent cx="551815" cy="376555"/>
              <wp:effectExtent l="0" t="0" r="635" b="0"/>
              <wp:wrapNone/>
              <wp:docPr id="618193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9B9F5ED" w14:textId="7E1C5E7C" w:rsidR="009E2FC7" w:rsidRPr="009E2FC7" w:rsidRDefault="009E2FC7" w:rsidP="009E2FC7">
                          <w:pPr>
                            <w:spacing w:after="0"/>
                            <w:rPr>
                              <w:rFonts w:eastAsia="Calibri" w:cs="Calibri"/>
                              <w:noProof/>
                              <w:color w:val="FF0000"/>
                            </w:rPr>
                          </w:pPr>
                          <w:r w:rsidRPr="009E2FC7">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216B"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9B9F5ED" w14:textId="7E1C5E7C" w:rsidR="009E2FC7" w:rsidRPr="009E2FC7" w:rsidRDefault="009E2FC7" w:rsidP="009E2FC7">
                    <w:pPr>
                      <w:spacing w:after="0"/>
                      <w:rPr>
                        <w:rFonts w:eastAsia="Calibri" w:cs="Calibri"/>
                        <w:noProof/>
                        <w:color w:val="FF0000"/>
                      </w:rPr>
                    </w:pPr>
                    <w:r w:rsidRPr="009E2FC7">
                      <w:rPr>
                        <w:rFonts w:eastAsia="Calibri" w:cs="Calibri"/>
                        <w:noProof/>
                        <w:color w:val="FF0000"/>
                      </w:rPr>
                      <w:t>OFFICIAL</w:t>
                    </w:r>
                  </w:p>
                </w:txbxContent>
              </v:textbox>
              <w10:wrap anchorx="page" anchory="page"/>
            </v:shape>
          </w:pict>
        </mc:Fallback>
      </mc:AlternateContent>
    </w:r>
  </w:p>
  <w:bookmarkStart w:id="85" w:name="_Hlk76375156"/>
  <w:p w14:paraId="44E6FA3B" w14:textId="77777777" w:rsidR="00897F58" w:rsidRPr="00897F58" w:rsidRDefault="00897F58" w:rsidP="00897F58">
    <w:pPr>
      <w:keepNext/>
      <w:tabs>
        <w:tab w:val="center" w:pos="4153"/>
        <w:tab w:val="right" w:pos="8306"/>
      </w:tabs>
      <w:ind w:left="360"/>
      <w:jc w:val="center"/>
      <w:rPr>
        <w:rFonts w:asciiTheme="minorHAnsi" w:hAnsiTheme="minorHAnsi"/>
        <w:lang w:eastAsia="en-US"/>
      </w:rPr>
    </w:pPr>
    <w:r w:rsidRPr="00897F58">
      <w:rPr>
        <w:b/>
        <w:lang w:eastAsia="en-US"/>
      </w:rPr>
      <w:fldChar w:fldCharType="begin"/>
    </w:r>
    <w:r w:rsidRPr="00897F58">
      <w:rPr>
        <w:b/>
        <w:lang w:eastAsia="en-US"/>
      </w:rPr>
      <w:instrText xml:space="preserve"> PAGE   \* MERGEFORMAT </w:instrText>
    </w:r>
    <w:r w:rsidRPr="00897F58">
      <w:rPr>
        <w:b/>
        <w:lang w:eastAsia="en-US"/>
      </w:rPr>
      <w:fldChar w:fldCharType="separate"/>
    </w:r>
    <w:r w:rsidRPr="00897F58">
      <w:rPr>
        <w:b/>
        <w:noProof/>
        <w:lang w:eastAsia="en-US"/>
      </w:rPr>
      <w:t>1</w:t>
    </w:r>
    <w:r w:rsidRPr="00897F58">
      <w:rPr>
        <w:b/>
        <w:noProof/>
        <w:lang w:eastAsia="en-US"/>
      </w:rPr>
      <w:fldChar w:fldCharType="end"/>
    </w:r>
    <w:r w:rsidRPr="00897F58">
      <w:rPr>
        <w:b/>
        <w:noProof/>
        <w:lang w:eastAsia="en-US"/>
      </w:rPr>
      <w:t xml:space="preserve"> </w:t>
    </w:r>
    <w:bookmarkEnd w:id="85"/>
  </w:p>
  <w:p w14:paraId="2598E30A" w14:textId="7AD1278B" w:rsidR="000E46B7" w:rsidRPr="00FE67C6" w:rsidRDefault="000E46B7" w:rsidP="00897F58">
    <w:pPr>
      <w:pStyle w:val="Footer"/>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28B9" w14:textId="29AD5979" w:rsidR="000C2A4B" w:rsidRDefault="009E2FC7">
    <w:pPr>
      <w:pStyle w:val="Footer"/>
    </w:pPr>
    <w:r>
      <w:rPr>
        <w:noProof/>
      </w:rPr>
      <mc:AlternateContent>
        <mc:Choice Requires="wps">
          <w:drawing>
            <wp:anchor distT="0" distB="0" distL="0" distR="0" simplePos="0" relativeHeight="251661312" behindDoc="0" locked="0" layoutInCell="1" allowOverlap="1" wp14:anchorId="7A4E3598" wp14:editId="2D24A2F3">
              <wp:simplePos x="635" y="635"/>
              <wp:positionH relativeFrom="page">
                <wp:align>center</wp:align>
              </wp:positionH>
              <wp:positionV relativeFrom="page">
                <wp:align>bottom</wp:align>
              </wp:positionV>
              <wp:extent cx="551815" cy="376555"/>
              <wp:effectExtent l="0" t="0" r="635" b="0"/>
              <wp:wrapNone/>
              <wp:docPr id="8196989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C555D9" w14:textId="247B6031" w:rsidR="009E2FC7" w:rsidRPr="009E2FC7" w:rsidRDefault="009E2FC7" w:rsidP="009E2FC7">
                          <w:pPr>
                            <w:spacing w:after="0"/>
                            <w:rPr>
                              <w:rFonts w:eastAsia="Calibri" w:cs="Calibri"/>
                              <w:noProof/>
                              <w:color w:val="FF0000"/>
                            </w:rPr>
                          </w:pPr>
                          <w:r w:rsidRPr="009E2FC7">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4E3598"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3C555D9" w14:textId="247B6031" w:rsidR="009E2FC7" w:rsidRPr="009E2FC7" w:rsidRDefault="009E2FC7" w:rsidP="009E2FC7">
                    <w:pPr>
                      <w:spacing w:after="0"/>
                      <w:rPr>
                        <w:rFonts w:eastAsia="Calibri" w:cs="Calibri"/>
                        <w:noProof/>
                        <w:color w:val="FF0000"/>
                      </w:rPr>
                    </w:pPr>
                    <w:r w:rsidRPr="009E2FC7">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16D64" w14:textId="77777777" w:rsidR="000550F0" w:rsidRDefault="000550F0" w:rsidP="00124A51">
      <w:r>
        <w:separator/>
      </w:r>
    </w:p>
    <w:p w14:paraId="5CAE61D4" w14:textId="77777777" w:rsidR="000550F0" w:rsidRDefault="000550F0"/>
  </w:footnote>
  <w:footnote w:type="continuationSeparator" w:id="0">
    <w:p w14:paraId="7DFBF418" w14:textId="77777777" w:rsidR="000550F0" w:rsidRDefault="000550F0" w:rsidP="00124A51">
      <w:r>
        <w:continuationSeparator/>
      </w:r>
    </w:p>
    <w:p w14:paraId="45D03B59" w14:textId="77777777" w:rsidR="000550F0" w:rsidRDefault="000550F0"/>
  </w:footnote>
  <w:footnote w:type="continuationNotice" w:id="1">
    <w:p w14:paraId="67A1AE35" w14:textId="77777777" w:rsidR="000550F0" w:rsidRDefault="000550F0">
      <w:pPr>
        <w:spacing w:after="0"/>
      </w:pPr>
    </w:p>
  </w:footnote>
  <w:footnote w:id="2">
    <w:p w14:paraId="62A13464" w14:textId="77777777" w:rsidR="00524C89" w:rsidRPr="00372667" w:rsidRDefault="00524C89" w:rsidP="00524C89">
      <w:pPr>
        <w:pStyle w:val="FootnoteText"/>
        <w:rPr>
          <w:lang w:val="en-US"/>
        </w:rPr>
      </w:pPr>
      <w:r>
        <w:rPr>
          <w:rStyle w:val="FootnoteReference"/>
        </w:rPr>
        <w:footnoteRef/>
      </w:r>
      <w:r>
        <w:t xml:space="preserve"> </w:t>
      </w:r>
      <w:r w:rsidRPr="008A4562">
        <w:t>Hallman-Cooper JL, Rocha Cabrero F. Cerebral Palsy. [Updated 2024 Feb 24]. In: StatPearls [Internet]. Treasure Island (FL): StatPearls Publishing; 2025 Jan-. Available from: https://www.ncbi.nlm.nih.gov/books/NBK538147/</w:t>
      </w:r>
      <w:r w:rsidRPr="00372667">
        <w:t>.</w:t>
      </w:r>
    </w:p>
  </w:footnote>
  <w:footnote w:id="3">
    <w:p w14:paraId="4B230A48" w14:textId="1C08C5E9" w:rsidR="00900184" w:rsidRPr="00900184" w:rsidRDefault="00900184">
      <w:pPr>
        <w:pStyle w:val="FootnoteText"/>
        <w:rPr>
          <w:lang w:val="en-US"/>
        </w:rPr>
      </w:pPr>
      <w:r>
        <w:rPr>
          <w:rStyle w:val="FootnoteReference"/>
        </w:rPr>
        <w:footnoteRef/>
      </w:r>
      <w:r>
        <w:t xml:space="preserve"> </w:t>
      </w:r>
      <w:r w:rsidRPr="00900184">
        <w:t>Tiwari A, Nagalli S. Clostridium botulinum Infection(Archived). 2024 Jul 2. In: StatPearls [Internet]. Treasure Island (FL): StatPearls Publishing; 2025 Jan–. PMID: 31971722.</w:t>
      </w:r>
    </w:p>
  </w:footnote>
  <w:footnote w:id="4">
    <w:p w14:paraId="4C46AAA9" w14:textId="77777777" w:rsidR="00D05C25" w:rsidRDefault="00D05C25" w:rsidP="00D05C25">
      <w:pPr>
        <w:pStyle w:val="FootnoteText"/>
      </w:pPr>
      <w:r>
        <w:rPr>
          <w:rStyle w:val="FootnoteReference"/>
        </w:rPr>
        <w:footnoteRef/>
      </w:r>
      <w:r>
        <w:t xml:space="preserve"> </w:t>
      </w:r>
      <w:r w:rsidRPr="005B1B19">
        <w:t>Carr WW, Jain N</w:t>
      </w:r>
      <w:r>
        <w:t xml:space="preserve"> &amp;</w:t>
      </w:r>
      <w:r w:rsidRPr="005B1B19">
        <w:t xml:space="preserve"> Sublett JW. Immunogenicity of </w:t>
      </w:r>
      <w:r>
        <w:t>B</w:t>
      </w:r>
      <w:r w:rsidRPr="005B1B19">
        <w:t xml:space="preserve">otulinum </w:t>
      </w:r>
      <w:r>
        <w:t>T</w:t>
      </w:r>
      <w:r w:rsidRPr="005B1B19">
        <w:t xml:space="preserve">oxin </w:t>
      </w:r>
      <w:r>
        <w:t>F</w:t>
      </w:r>
      <w:r w:rsidRPr="005B1B19">
        <w:t xml:space="preserve">ormulations: </w:t>
      </w:r>
      <w:r>
        <w:t>P</w:t>
      </w:r>
      <w:r w:rsidRPr="005B1B19">
        <w:t xml:space="preserve">otential </w:t>
      </w:r>
      <w:r>
        <w:t>T</w:t>
      </w:r>
      <w:r w:rsidRPr="005B1B19">
        <w:t xml:space="preserve">herapeutic </w:t>
      </w:r>
      <w:r>
        <w:t>I</w:t>
      </w:r>
      <w:r w:rsidRPr="005B1B19">
        <w:t xml:space="preserve">mplications. Advances in </w:t>
      </w:r>
      <w:r>
        <w:t>T</w:t>
      </w:r>
      <w:r w:rsidRPr="005B1B19">
        <w:t>herapy</w:t>
      </w:r>
      <w:r>
        <w:t xml:space="preserve"> </w:t>
      </w:r>
      <w:r w:rsidRPr="005B1B19">
        <w:t>2021</w:t>
      </w:r>
      <w:r>
        <w:t xml:space="preserve">; </w:t>
      </w:r>
      <w:r w:rsidRPr="005B1B19">
        <w:t>38(10):5046-</w:t>
      </w:r>
      <w:r>
        <w:t>50</w:t>
      </w:r>
      <w:r w:rsidRPr="005B1B19">
        <w:t>64</w:t>
      </w:r>
      <w:r>
        <w:t>:</w:t>
      </w:r>
      <w:r w:rsidRPr="0082086C">
        <w:t xml:space="preserve"> 0.1007/s12325-021-01882-9</w:t>
      </w:r>
    </w:p>
  </w:footnote>
  <w:footnote w:id="5">
    <w:p w14:paraId="52F29481" w14:textId="7D3F8FD1" w:rsidR="007A2139" w:rsidRPr="007A2139" w:rsidRDefault="007A2139">
      <w:pPr>
        <w:pStyle w:val="FootnoteText"/>
        <w:rPr>
          <w:lang w:val="en-US"/>
        </w:rPr>
      </w:pPr>
      <w:r>
        <w:rPr>
          <w:rStyle w:val="FootnoteReference"/>
        </w:rPr>
        <w:footnoteRef/>
      </w:r>
      <w:r>
        <w:t xml:space="preserve"> Source: </w:t>
      </w:r>
      <w:r w:rsidR="004728F8">
        <w:t>Calculated</w:t>
      </w:r>
      <w:r w:rsidR="007F7BB7">
        <w:t xml:space="preserve"> during the evaluation based on data </w:t>
      </w:r>
      <w:r w:rsidR="004728F8">
        <w:t xml:space="preserve">presented in the submission in </w:t>
      </w:r>
      <w:r w:rsidRPr="007A2139">
        <w:t>Section 4</w:t>
      </w:r>
      <w:r w:rsidR="004728F8">
        <w:t>,</w:t>
      </w:r>
      <w:r w:rsidRPr="007A2139">
        <w:t xml:space="preserve"> Workbook 3, </w:t>
      </w:r>
      <w:r w:rsidR="00801DCB">
        <w:t>“</w:t>
      </w:r>
      <w:r w:rsidRPr="007A2139">
        <w:t>Botulinum Toxin PBS Services</w:t>
      </w:r>
      <w:r w:rsidR="00801DCB">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9C16" w14:textId="143ECCD6" w:rsidR="000C2A4B" w:rsidRDefault="009E2FC7">
    <w:pPr>
      <w:pStyle w:val="Header"/>
    </w:pPr>
    <w:r>
      <w:rPr>
        <w:noProof/>
      </w:rPr>
      <mc:AlternateContent>
        <mc:Choice Requires="wps">
          <w:drawing>
            <wp:anchor distT="0" distB="0" distL="0" distR="0" simplePos="0" relativeHeight="251659264" behindDoc="0" locked="0" layoutInCell="1" allowOverlap="1" wp14:anchorId="4844E770" wp14:editId="52D39510">
              <wp:simplePos x="635" y="635"/>
              <wp:positionH relativeFrom="page">
                <wp:align>center</wp:align>
              </wp:positionH>
              <wp:positionV relativeFrom="page">
                <wp:align>top</wp:align>
              </wp:positionV>
              <wp:extent cx="551815" cy="376555"/>
              <wp:effectExtent l="0" t="0" r="635" b="4445"/>
              <wp:wrapNone/>
              <wp:docPr id="11056338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5F6286" w14:textId="0053890C" w:rsidR="009E2FC7" w:rsidRPr="009E2FC7" w:rsidRDefault="009E2FC7" w:rsidP="009E2FC7">
                          <w:pPr>
                            <w:spacing w:after="0"/>
                            <w:rPr>
                              <w:rFonts w:eastAsia="Calibri" w:cs="Calibri"/>
                              <w:noProof/>
                              <w:color w:val="FF0000"/>
                            </w:rPr>
                          </w:pPr>
                          <w:r w:rsidRPr="009E2FC7">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4E77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625F6286" w14:textId="0053890C" w:rsidR="009E2FC7" w:rsidRPr="009E2FC7" w:rsidRDefault="009E2FC7" w:rsidP="009E2FC7">
                    <w:pPr>
                      <w:spacing w:after="0"/>
                      <w:rPr>
                        <w:rFonts w:eastAsia="Calibri" w:cs="Calibri"/>
                        <w:noProof/>
                        <w:color w:val="FF0000"/>
                      </w:rPr>
                    </w:pPr>
                    <w:r w:rsidRPr="009E2FC7">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3BA5" w14:textId="1B1C58FD" w:rsidR="00AC623A" w:rsidRPr="00AC623A" w:rsidRDefault="009E2FC7" w:rsidP="00AC623A">
    <w:pPr>
      <w:keepNext/>
      <w:tabs>
        <w:tab w:val="center" w:pos="4153"/>
        <w:tab w:val="right" w:pos="8306"/>
      </w:tabs>
      <w:spacing w:after="0"/>
      <w:ind w:left="360"/>
      <w:jc w:val="center"/>
      <w:rPr>
        <w:rFonts w:asciiTheme="minorHAnsi" w:hAnsiTheme="minorHAnsi"/>
        <w:i/>
        <w:color w:val="808080"/>
        <w:lang w:eastAsia="en-US"/>
      </w:rPr>
    </w:pPr>
    <w:bookmarkStart w:id="84" w:name="_Hlk76375146"/>
    <w:r>
      <w:rPr>
        <w:rFonts w:asciiTheme="minorHAnsi" w:hAnsiTheme="minorHAnsi"/>
        <w:i/>
        <w:noProof/>
        <w:color w:val="808080"/>
        <w:lang w:eastAsia="en-US"/>
      </w:rPr>
      <mc:AlternateContent>
        <mc:Choice Requires="wps">
          <w:drawing>
            <wp:anchor distT="0" distB="0" distL="0" distR="0" simplePos="0" relativeHeight="251660288" behindDoc="0" locked="0" layoutInCell="1" allowOverlap="1" wp14:anchorId="298EA98B" wp14:editId="63BCD03F">
              <wp:simplePos x="635" y="635"/>
              <wp:positionH relativeFrom="page">
                <wp:align>center</wp:align>
              </wp:positionH>
              <wp:positionV relativeFrom="page">
                <wp:align>top</wp:align>
              </wp:positionV>
              <wp:extent cx="551815" cy="376555"/>
              <wp:effectExtent l="0" t="0" r="635" b="4445"/>
              <wp:wrapNone/>
              <wp:docPr id="14993545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74C514" w14:textId="08B967DC" w:rsidR="009E2FC7" w:rsidRPr="009E2FC7" w:rsidRDefault="009E2FC7" w:rsidP="009E2FC7">
                          <w:pPr>
                            <w:spacing w:after="0"/>
                            <w:rPr>
                              <w:rFonts w:eastAsia="Calibri" w:cs="Calibri"/>
                              <w:noProof/>
                              <w:color w:val="FF0000"/>
                            </w:rPr>
                          </w:pPr>
                          <w:r w:rsidRPr="009E2FC7">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8EA98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4674C514" w14:textId="08B967DC" w:rsidR="009E2FC7" w:rsidRPr="009E2FC7" w:rsidRDefault="009E2FC7" w:rsidP="009E2FC7">
                    <w:pPr>
                      <w:spacing w:after="0"/>
                      <w:rPr>
                        <w:rFonts w:eastAsia="Calibri" w:cs="Calibri"/>
                        <w:noProof/>
                        <w:color w:val="FF0000"/>
                      </w:rPr>
                    </w:pPr>
                    <w:r w:rsidRPr="009E2FC7">
                      <w:rPr>
                        <w:rFonts w:eastAsia="Calibri" w:cs="Calibri"/>
                        <w:noProof/>
                        <w:color w:val="FF0000"/>
                      </w:rPr>
                      <w:t>OFFICIAL</w:t>
                    </w:r>
                  </w:p>
                </w:txbxContent>
              </v:textbox>
              <w10:wrap anchorx="page" anchory="page"/>
            </v:shape>
          </w:pict>
        </mc:Fallback>
      </mc:AlternateContent>
    </w:r>
    <w:r w:rsidR="005779B4">
      <w:rPr>
        <w:rFonts w:asciiTheme="minorHAnsi" w:hAnsiTheme="minorHAnsi"/>
        <w:i/>
        <w:color w:val="808080"/>
        <w:lang w:eastAsia="en-US"/>
      </w:rPr>
      <w:t>Public Summary Document</w:t>
    </w:r>
    <w:r w:rsidR="00AC623A" w:rsidRPr="00AC623A">
      <w:rPr>
        <w:rFonts w:asciiTheme="minorHAnsi" w:hAnsiTheme="minorHAnsi"/>
        <w:i/>
        <w:color w:val="808080"/>
        <w:lang w:eastAsia="en-US"/>
      </w:rPr>
      <w:t xml:space="preserve"> – </w:t>
    </w:r>
    <w:r w:rsidR="00AC623A">
      <w:rPr>
        <w:rFonts w:asciiTheme="minorHAnsi" w:hAnsiTheme="minorHAnsi"/>
        <w:i/>
        <w:color w:val="808080"/>
        <w:lang w:eastAsia="en-US"/>
      </w:rPr>
      <w:t>July 2025</w:t>
    </w:r>
    <w:r w:rsidR="00AC623A" w:rsidRPr="00AC623A">
      <w:rPr>
        <w:rFonts w:asciiTheme="minorHAnsi" w:hAnsiTheme="minorHAnsi"/>
        <w:i/>
        <w:color w:val="808080"/>
        <w:lang w:eastAsia="en-US"/>
      </w:rPr>
      <w:t xml:space="preserve"> PBAC Meeting</w:t>
    </w:r>
  </w:p>
  <w:bookmarkEnd w:id="84"/>
  <w:p w14:paraId="530FE63C" w14:textId="0F833713" w:rsidR="008D07E5" w:rsidRPr="00A520F0" w:rsidRDefault="008D07E5" w:rsidP="00A52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84A9" w14:textId="69631AD4" w:rsidR="000C2A4B" w:rsidRDefault="009E2FC7">
    <w:pPr>
      <w:pStyle w:val="Header"/>
    </w:pPr>
    <w:r>
      <w:rPr>
        <w:noProof/>
      </w:rPr>
      <mc:AlternateContent>
        <mc:Choice Requires="wps">
          <w:drawing>
            <wp:anchor distT="0" distB="0" distL="0" distR="0" simplePos="0" relativeHeight="251658240" behindDoc="0" locked="0" layoutInCell="1" allowOverlap="1" wp14:anchorId="1A092F6E" wp14:editId="119D9ABA">
              <wp:simplePos x="635" y="635"/>
              <wp:positionH relativeFrom="page">
                <wp:align>center</wp:align>
              </wp:positionH>
              <wp:positionV relativeFrom="page">
                <wp:align>top</wp:align>
              </wp:positionV>
              <wp:extent cx="551815" cy="376555"/>
              <wp:effectExtent l="0" t="0" r="635" b="4445"/>
              <wp:wrapNone/>
              <wp:docPr id="7836045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A67AAE" w14:textId="28BD4CEA" w:rsidR="009E2FC7" w:rsidRPr="009E2FC7" w:rsidRDefault="009E2FC7" w:rsidP="009E2FC7">
                          <w:pPr>
                            <w:spacing w:after="0"/>
                            <w:rPr>
                              <w:rFonts w:eastAsia="Calibri" w:cs="Calibri"/>
                              <w:noProof/>
                              <w:color w:val="FF0000"/>
                            </w:rPr>
                          </w:pPr>
                          <w:r w:rsidRPr="009E2FC7">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92F6E"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57A67AAE" w14:textId="28BD4CEA" w:rsidR="009E2FC7" w:rsidRPr="009E2FC7" w:rsidRDefault="009E2FC7" w:rsidP="009E2FC7">
                    <w:pPr>
                      <w:spacing w:after="0"/>
                      <w:rPr>
                        <w:rFonts w:eastAsia="Calibri" w:cs="Calibri"/>
                        <w:noProof/>
                        <w:color w:val="FF0000"/>
                      </w:rPr>
                    </w:pPr>
                    <w:r w:rsidRPr="009E2FC7">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92902"/>
    <w:multiLevelType w:val="hybridMultilevel"/>
    <w:tmpl w:val="C762A900"/>
    <w:lvl w:ilvl="0" w:tplc="D2302E06">
      <w:start w:val="1"/>
      <w:numFmt w:val="bullet"/>
      <w:lvlText w:val=""/>
      <w:lvlJc w:val="left"/>
      <w:pPr>
        <w:ind w:left="720" w:hanging="360"/>
      </w:pPr>
      <w:rPr>
        <w:rFonts w:ascii="Symbol" w:hAnsi="Symbol"/>
      </w:rPr>
    </w:lvl>
    <w:lvl w:ilvl="1" w:tplc="2454112A">
      <w:start w:val="1"/>
      <w:numFmt w:val="bullet"/>
      <w:lvlText w:val=""/>
      <w:lvlJc w:val="left"/>
      <w:pPr>
        <w:ind w:left="720" w:hanging="360"/>
      </w:pPr>
      <w:rPr>
        <w:rFonts w:ascii="Symbol" w:hAnsi="Symbol"/>
      </w:rPr>
    </w:lvl>
    <w:lvl w:ilvl="2" w:tplc="B7667C88">
      <w:start w:val="1"/>
      <w:numFmt w:val="bullet"/>
      <w:lvlText w:val=""/>
      <w:lvlJc w:val="left"/>
      <w:pPr>
        <w:ind w:left="720" w:hanging="360"/>
      </w:pPr>
      <w:rPr>
        <w:rFonts w:ascii="Symbol" w:hAnsi="Symbol"/>
      </w:rPr>
    </w:lvl>
    <w:lvl w:ilvl="3" w:tplc="13006F2E">
      <w:start w:val="1"/>
      <w:numFmt w:val="bullet"/>
      <w:lvlText w:val=""/>
      <w:lvlJc w:val="left"/>
      <w:pPr>
        <w:ind w:left="720" w:hanging="360"/>
      </w:pPr>
      <w:rPr>
        <w:rFonts w:ascii="Symbol" w:hAnsi="Symbol"/>
      </w:rPr>
    </w:lvl>
    <w:lvl w:ilvl="4" w:tplc="9ADC8CC6">
      <w:start w:val="1"/>
      <w:numFmt w:val="bullet"/>
      <w:lvlText w:val=""/>
      <w:lvlJc w:val="left"/>
      <w:pPr>
        <w:ind w:left="720" w:hanging="360"/>
      </w:pPr>
      <w:rPr>
        <w:rFonts w:ascii="Symbol" w:hAnsi="Symbol"/>
      </w:rPr>
    </w:lvl>
    <w:lvl w:ilvl="5" w:tplc="23DE4C00">
      <w:start w:val="1"/>
      <w:numFmt w:val="bullet"/>
      <w:lvlText w:val=""/>
      <w:lvlJc w:val="left"/>
      <w:pPr>
        <w:ind w:left="720" w:hanging="360"/>
      </w:pPr>
      <w:rPr>
        <w:rFonts w:ascii="Symbol" w:hAnsi="Symbol"/>
      </w:rPr>
    </w:lvl>
    <w:lvl w:ilvl="6" w:tplc="05C251B2">
      <w:start w:val="1"/>
      <w:numFmt w:val="bullet"/>
      <w:lvlText w:val=""/>
      <w:lvlJc w:val="left"/>
      <w:pPr>
        <w:ind w:left="720" w:hanging="360"/>
      </w:pPr>
      <w:rPr>
        <w:rFonts w:ascii="Symbol" w:hAnsi="Symbol"/>
      </w:rPr>
    </w:lvl>
    <w:lvl w:ilvl="7" w:tplc="8EA0FFB6">
      <w:start w:val="1"/>
      <w:numFmt w:val="bullet"/>
      <w:lvlText w:val=""/>
      <w:lvlJc w:val="left"/>
      <w:pPr>
        <w:ind w:left="720" w:hanging="360"/>
      </w:pPr>
      <w:rPr>
        <w:rFonts w:ascii="Symbol" w:hAnsi="Symbol"/>
      </w:rPr>
    </w:lvl>
    <w:lvl w:ilvl="8" w:tplc="963856C2">
      <w:start w:val="1"/>
      <w:numFmt w:val="bullet"/>
      <w:lvlText w:val=""/>
      <w:lvlJc w:val="left"/>
      <w:pPr>
        <w:ind w:left="720" w:hanging="360"/>
      </w:pPr>
      <w:rPr>
        <w:rFonts w:ascii="Symbol" w:hAnsi="Symbol"/>
      </w:rPr>
    </w:lvl>
  </w:abstractNum>
  <w:abstractNum w:abstractNumId="2" w15:restartNumberingAfterBreak="0">
    <w:nsid w:val="09733CEF"/>
    <w:multiLevelType w:val="hybridMultilevel"/>
    <w:tmpl w:val="AAC02570"/>
    <w:lvl w:ilvl="0" w:tplc="9B34B2E6">
      <w:start w:val="1"/>
      <w:numFmt w:val="bullet"/>
      <w:lvlText w:val=""/>
      <w:lvlJc w:val="left"/>
      <w:pPr>
        <w:ind w:left="720" w:hanging="360"/>
      </w:pPr>
      <w:rPr>
        <w:rFonts w:ascii="Symbol" w:hAnsi="Symbol"/>
      </w:rPr>
    </w:lvl>
    <w:lvl w:ilvl="1" w:tplc="93A259EE">
      <w:start w:val="1"/>
      <w:numFmt w:val="bullet"/>
      <w:lvlText w:val=""/>
      <w:lvlJc w:val="left"/>
      <w:pPr>
        <w:ind w:left="720" w:hanging="360"/>
      </w:pPr>
      <w:rPr>
        <w:rFonts w:ascii="Symbol" w:hAnsi="Symbol"/>
      </w:rPr>
    </w:lvl>
    <w:lvl w:ilvl="2" w:tplc="81BA2DAE">
      <w:start w:val="1"/>
      <w:numFmt w:val="bullet"/>
      <w:lvlText w:val=""/>
      <w:lvlJc w:val="left"/>
      <w:pPr>
        <w:ind w:left="720" w:hanging="360"/>
      </w:pPr>
      <w:rPr>
        <w:rFonts w:ascii="Symbol" w:hAnsi="Symbol"/>
      </w:rPr>
    </w:lvl>
    <w:lvl w:ilvl="3" w:tplc="E0387938">
      <w:start w:val="1"/>
      <w:numFmt w:val="bullet"/>
      <w:lvlText w:val=""/>
      <w:lvlJc w:val="left"/>
      <w:pPr>
        <w:ind w:left="720" w:hanging="360"/>
      </w:pPr>
      <w:rPr>
        <w:rFonts w:ascii="Symbol" w:hAnsi="Symbol"/>
      </w:rPr>
    </w:lvl>
    <w:lvl w:ilvl="4" w:tplc="DA2A3FDE">
      <w:start w:val="1"/>
      <w:numFmt w:val="bullet"/>
      <w:lvlText w:val=""/>
      <w:lvlJc w:val="left"/>
      <w:pPr>
        <w:ind w:left="720" w:hanging="360"/>
      </w:pPr>
      <w:rPr>
        <w:rFonts w:ascii="Symbol" w:hAnsi="Symbol"/>
      </w:rPr>
    </w:lvl>
    <w:lvl w:ilvl="5" w:tplc="86A01B12">
      <w:start w:val="1"/>
      <w:numFmt w:val="bullet"/>
      <w:lvlText w:val=""/>
      <w:lvlJc w:val="left"/>
      <w:pPr>
        <w:ind w:left="720" w:hanging="360"/>
      </w:pPr>
      <w:rPr>
        <w:rFonts w:ascii="Symbol" w:hAnsi="Symbol"/>
      </w:rPr>
    </w:lvl>
    <w:lvl w:ilvl="6" w:tplc="F7D0A25A">
      <w:start w:val="1"/>
      <w:numFmt w:val="bullet"/>
      <w:lvlText w:val=""/>
      <w:lvlJc w:val="left"/>
      <w:pPr>
        <w:ind w:left="720" w:hanging="360"/>
      </w:pPr>
      <w:rPr>
        <w:rFonts w:ascii="Symbol" w:hAnsi="Symbol"/>
      </w:rPr>
    </w:lvl>
    <w:lvl w:ilvl="7" w:tplc="DBCEEF02">
      <w:start w:val="1"/>
      <w:numFmt w:val="bullet"/>
      <w:lvlText w:val=""/>
      <w:lvlJc w:val="left"/>
      <w:pPr>
        <w:ind w:left="720" w:hanging="360"/>
      </w:pPr>
      <w:rPr>
        <w:rFonts w:ascii="Symbol" w:hAnsi="Symbol"/>
      </w:rPr>
    </w:lvl>
    <w:lvl w:ilvl="8" w:tplc="C3CAACAE">
      <w:start w:val="1"/>
      <w:numFmt w:val="bullet"/>
      <w:lvlText w:val=""/>
      <w:lvlJc w:val="left"/>
      <w:pPr>
        <w:ind w:left="720" w:hanging="360"/>
      </w:pPr>
      <w:rPr>
        <w:rFonts w:ascii="Symbol" w:hAnsi="Symbol"/>
      </w:rPr>
    </w:lvl>
  </w:abstractNum>
  <w:abstractNum w:abstractNumId="3"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CC1479A"/>
    <w:multiLevelType w:val="hybridMultilevel"/>
    <w:tmpl w:val="1B088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14284C"/>
    <w:multiLevelType w:val="hybridMultilevel"/>
    <w:tmpl w:val="8B4A1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B219F8"/>
    <w:multiLevelType w:val="hybridMultilevel"/>
    <w:tmpl w:val="455A11DC"/>
    <w:lvl w:ilvl="0" w:tplc="7568732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6D2667"/>
    <w:multiLevelType w:val="hybridMultilevel"/>
    <w:tmpl w:val="DF4ADA2E"/>
    <w:lvl w:ilvl="0" w:tplc="C6A2DD5E">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E33461"/>
    <w:multiLevelType w:val="hybridMultilevel"/>
    <w:tmpl w:val="FCC487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B6274A"/>
    <w:multiLevelType w:val="hybridMultilevel"/>
    <w:tmpl w:val="290E80E8"/>
    <w:lvl w:ilvl="0" w:tplc="E38CF29A">
      <w:start w:val="1"/>
      <w:numFmt w:val="decimal"/>
      <w:lvlText w:val="%1."/>
      <w:lvlJc w:val="left"/>
      <w:pPr>
        <w:ind w:left="360" w:hanging="360"/>
      </w:pPr>
      <w:rPr>
        <w:rFonts w:hint="default"/>
        <w:i/>
        <w:i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3115CC"/>
    <w:multiLevelType w:val="hybridMultilevel"/>
    <w:tmpl w:val="D1E24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744AF5"/>
    <w:multiLevelType w:val="multilevel"/>
    <w:tmpl w:val="DD36F66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346AD7"/>
    <w:multiLevelType w:val="hybridMultilevel"/>
    <w:tmpl w:val="4EB62358"/>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D42B4A"/>
    <w:multiLevelType w:val="multilevel"/>
    <w:tmpl w:val="CFFA601E"/>
    <w:lvl w:ilvl="0">
      <w:start w:val="1"/>
      <w:numFmt w:val="decimal"/>
      <w:lvlText w:val="%1"/>
      <w:lvlJc w:val="left"/>
      <w:pPr>
        <w:ind w:left="720" w:hanging="720"/>
      </w:pPr>
      <w:rPr>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8E7303D"/>
    <w:multiLevelType w:val="hybridMultilevel"/>
    <w:tmpl w:val="81B6C0E4"/>
    <w:lvl w:ilvl="0" w:tplc="0C090001">
      <w:start w:val="1"/>
      <w:numFmt w:val="bullet"/>
      <w:lvlText w:val=""/>
      <w:lvlJc w:val="left"/>
      <w:pPr>
        <w:ind w:left="935" w:hanging="360"/>
      </w:pPr>
      <w:rPr>
        <w:rFonts w:ascii="Symbol" w:hAnsi="Symbol" w:hint="default"/>
      </w:rPr>
    </w:lvl>
    <w:lvl w:ilvl="1" w:tplc="0C090003" w:tentative="1">
      <w:start w:val="1"/>
      <w:numFmt w:val="bullet"/>
      <w:lvlText w:val="o"/>
      <w:lvlJc w:val="left"/>
      <w:pPr>
        <w:ind w:left="1655" w:hanging="360"/>
      </w:pPr>
      <w:rPr>
        <w:rFonts w:ascii="Courier New" w:hAnsi="Courier New" w:cs="Courier New" w:hint="default"/>
      </w:rPr>
    </w:lvl>
    <w:lvl w:ilvl="2" w:tplc="0C090005" w:tentative="1">
      <w:start w:val="1"/>
      <w:numFmt w:val="bullet"/>
      <w:lvlText w:val=""/>
      <w:lvlJc w:val="left"/>
      <w:pPr>
        <w:ind w:left="2375" w:hanging="360"/>
      </w:pPr>
      <w:rPr>
        <w:rFonts w:ascii="Wingdings" w:hAnsi="Wingdings" w:hint="default"/>
      </w:rPr>
    </w:lvl>
    <w:lvl w:ilvl="3" w:tplc="0C090001" w:tentative="1">
      <w:start w:val="1"/>
      <w:numFmt w:val="bullet"/>
      <w:lvlText w:val=""/>
      <w:lvlJc w:val="left"/>
      <w:pPr>
        <w:ind w:left="3095" w:hanging="360"/>
      </w:pPr>
      <w:rPr>
        <w:rFonts w:ascii="Symbol" w:hAnsi="Symbol" w:hint="default"/>
      </w:rPr>
    </w:lvl>
    <w:lvl w:ilvl="4" w:tplc="0C090003" w:tentative="1">
      <w:start w:val="1"/>
      <w:numFmt w:val="bullet"/>
      <w:lvlText w:val="o"/>
      <w:lvlJc w:val="left"/>
      <w:pPr>
        <w:ind w:left="3815" w:hanging="360"/>
      </w:pPr>
      <w:rPr>
        <w:rFonts w:ascii="Courier New" w:hAnsi="Courier New" w:cs="Courier New" w:hint="default"/>
      </w:rPr>
    </w:lvl>
    <w:lvl w:ilvl="5" w:tplc="0C090005" w:tentative="1">
      <w:start w:val="1"/>
      <w:numFmt w:val="bullet"/>
      <w:lvlText w:val=""/>
      <w:lvlJc w:val="left"/>
      <w:pPr>
        <w:ind w:left="4535" w:hanging="360"/>
      </w:pPr>
      <w:rPr>
        <w:rFonts w:ascii="Wingdings" w:hAnsi="Wingdings" w:hint="default"/>
      </w:rPr>
    </w:lvl>
    <w:lvl w:ilvl="6" w:tplc="0C090001" w:tentative="1">
      <w:start w:val="1"/>
      <w:numFmt w:val="bullet"/>
      <w:lvlText w:val=""/>
      <w:lvlJc w:val="left"/>
      <w:pPr>
        <w:ind w:left="5255" w:hanging="360"/>
      </w:pPr>
      <w:rPr>
        <w:rFonts w:ascii="Symbol" w:hAnsi="Symbol" w:hint="default"/>
      </w:rPr>
    </w:lvl>
    <w:lvl w:ilvl="7" w:tplc="0C090003" w:tentative="1">
      <w:start w:val="1"/>
      <w:numFmt w:val="bullet"/>
      <w:lvlText w:val="o"/>
      <w:lvlJc w:val="left"/>
      <w:pPr>
        <w:ind w:left="5975" w:hanging="360"/>
      </w:pPr>
      <w:rPr>
        <w:rFonts w:ascii="Courier New" w:hAnsi="Courier New" w:cs="Courier New" w:hint="default"/>
      </w:rPr>
    </w:lvl>
    <w:lvl w:ilvl="8" w:tplc="0C090005" w:tentative="1">
      <w:start w:val="1"/>
      <w:numFmt w:val="bullet"/>
      <w:lvlText w:val=""/>
      <w:lvlJc w:val="left"/>
      <w:pPr>
        <w:ind w:left="6695" w:hanging="360"/>
      </w:pPr>
      <w:rPr>
        <w:rFonts w:ascii="Wingdings" w:hAnsi="Wingdings" w:hint="default"/>
      </w:rPr>
    </w:lvl>
  </w:abstractNum>
  <w:abstractNum w:abstractNumId="15" w15:restartNumberingAfterBreak="0">
    <w:nsid w:val="3B8C33EA"/>
    <w:multiLevelType w:val="hybridMultilevel"/>
    <w:tmpl w:val="BE7AF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13015C2"/>
    <w:multiLevelType w:val="hybridMultilevel"/>
    <w:tmpl w:val="E49CF4B8"/>
    <w:lvl w:ilvl="0" w:tplc="CC58C0CE">
      <w:start w:val="1"/>
      <w:numFmt w:val="bullet"/>
      <w:lvlText w:val=""/>
      <w:lvlJc w:val="left"/>
      <w:pPr>
        <w:ind w:left="720" w:hanging="360"/>
      </w:pPr>
      <w:rPr>
        <w:rFonts w:ascii="Symbol" w:hAnsi="Symbol"/>
      </w:rPr>
    </w:lvl>
    <w:lvl w:ilvl="1" w:tplc="1414AF12">
      <w:start w:val="1"/>
      <w:numFmt w:val="bullet"/>
      <w:lvlText w:val=""/>
      <w:lvlJc w:val="left"/>
      <w:pPr>
        <w:ind w:left="720" w:hanging="360"/>
      </w:pPr>
      <w:rPr>
        <w:rFonts w:ascii="Symbol" w:hAnsi="Symbol"/>
      </w:rPr>
    </w:lvl>
    <w:lvl w:ilvl="2" w:tplc="B7E8B016">
      <w:start w:val="1"/>
      <w:numFmt w:val="bullet"/>
      <w:lvlText w:val=""/>
      <w:lvlJc w:val="left"/>
      <w:pPr>
        <w:ind w:left="720" w:hanging="360"/>
      </w:pPr>
      <w:rPr>
        <w:rFonts w:ascii="Symbol" w:hAnsi="Symbol"/>
      </w:rPr>
    </w:lvl>
    <w:lvl w:ilvl="3" w:tplc="EC04FDF4">
      <w:start w:val="1"/>
      <w:numFmt w:val="bullet"/>
      <w:lvlText w:val=""/>
      <w:lvlJc w:val="left"/>
      <w:pPr>
        <w:ind w:left="720" w:hanging="360"/>
      </w:pPr>
      <w:rPr>
        <w:rFonts w:ascii="Symbol" w:hAnsi="Symbol"/>
      </w:rPr>
    </w:lvl>
    <w:lvl w:ilvl="4" w:tplc="253A8F78">
      <w:start w:val="1"/>
      <w:numFmt w:val="bullet"/>
      <w:lvlText w:val=""/>
      <w:lvlJc w:val="left"/>
      <w:pPr>
        <w:ind w:left="720" w:hanging="360"/>
      </w:pPr>
      <w:rPr>
        <w:rFonts w:ascii="Symbol" w:hAnsi="Symbol"/>
      </w:rPr>
    </w:lvl>
    <w:lvl w:ilvl="5" w:tplc="66067AB4">
      <w:start w:val="1"/>
      <w:numFmt w:val="bullet"/>
      <w:lvlText w:val=""/>
      <w:lvlJc w:val="left"/>
      <w:pPr>
        <w:ind w:left="720" w:hanging="360"/>
      </w:pPr>
      <w:rPr>
        <w:rFonts w:ascii="Symbol" w:hAnsi="Symbol"/>
      </w:rPr>
    </w:lvl>
    <w:lvl w:ilvl="6" w:tplc="DA28D796">
      <w:start w:val="1"/>
      <w:numFmt w:val="bullet"/>
      <w:lvlText w:val=""/>
      <w:lvlJc w:val="left"/>
      <w:pPr>
        <w:ind w:left="720" w:hanging="360"/>
      </w:pPr>
      <w:rPr>
        <w:rFonts w:ascii="Symbol" w:hAnsi="Symbol"/>
      </w:rPr>
    </w:lvl>
    <w:lvl w:ilvl="7" w:tplc="48565D7A">
      <w:start w:val="1"/>
      <w:numFmt w:val="bullet"/>
      <w:lvlText w:val=""/>
      <w:lvlJc w:val="left"/>
      <w:pPr>
        <w:ind w:left="720" w:hanging="360"/>
      </w:pPr>
      <w:rPr>
        <w:rFonts w:ascii="Symbol" w:hAnsi="Symbol"/>
      </w:rPr>
    </w:lvl>
    <w:lvl w:ilvl="8" w:tplc="6EC644D8">
      <w:start w:val="1"/>
      <w:numFmt w:val="bullet"/>
      <w:lvlText w:val=""/>
      <w:lvlJc w:val="left"/>
      <w:pPr>
        <w:ind w:left="720" w:hanging="360"/>
      </w:pPr>
      <w:rPr>
        <w:rFonts w:ascii="Symbol" w:hAnsi="Symbol"/>
      </w:rPr>
    </w:lvl>
  </w:abstractNum>
  <w:abstractNum w:abstractNumId="17"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968C9"/>
    <w:multiLevelType w:val="hybridMultilevel"/>
    <w:tmpl w:val="4C888548"/>
    <w:lvl w:ilvl="0" w:tplc="C08A16A8">
      <w:start w:val="1"/>
      <w:numFmt w:val="bullet"/>
      <w:lvlText w:val=""/>
      <w:lvlJc w:val="left"/>
      <w:pPr>
        <w:ind w:left="720" w:hanging="360"/>
      </w:pPr>
      <w:rPr>
        <w:rFonts w:ascii="Symbol" w:hAnsi="Symbol"/>
      </w:rPr>
    </w:lvl>
    <w:lvl w:ilvl="1" w:tplc="848A2604">
      <w:start w:val="1"/>
      <w:numFmt w:val="bullet"/>
      <w:lvlText w:val=""/>
      <w:lvlJc w:val="left"/>
      <w:pPr>
        <w:ind w:left="720" w:hanging="360"/>
      </w:pPr>
      <w:rPr>
        <w:rFonts w:ascii="Symbol" w:hAnsi="Symbol"/>
      </w:rPr>
    </w:lvl>
    <w:lvl w:ilvl="2" w:tplc="E2C642B6">
      <w:start w:val="1"/>
      <w:numFmt w:val="bullet"/>
      <w:lvlText w:val=""/>
      <w:lvlJc w:val="left"/>
      <w:pPr>
        <w:ind w:left="720" w:hanging="360"/>
      </w:pPr>
      <w:rPr>
        <w:rFonts w:ascii="Symbol" w:hAnsi="Symbol"/>
      </w:rPr>
    </w:lvl>
    <w:lvl w:ilvl="3" w:tplc="AC4091B6">
      <w:start w:val="1"/>
      <w:numFmt w:val="bullet"/>
      <w:lvlText w:val=""/>
      <w:lvlJc w:val="left"/>
      <w:pPr>
        <w:ind w:left="720" w:hanging="360"/>
      </w:pPr>
      <w:rPr>
        <w:rFonts w:ascii="Symbol" w:hAnsi="Symbol"/>
      </w:rPr>
    </w:lvl>
    <w:lvl w:ilvl="4" w:tplc="9C667632">
      <w:start w:val="1"/>
      <w:numFmt w:val="bullet"/>
      <w:lvlText w:val=""/>
      <w:lvlJc w:val="left"/>
      <w:pPr>
        <w:ind w:left="720" w:hanging="360"/>
      </w:pPr>
      <w:rPr>
        <w:rFonts w:ascii="Symbol" w:hAnsi="Symbol"/>
      </w:rPr>
    </w:lvl>
    <w:lvl w:ilvl="5" w:tplc="D19E13D4">
      <w:start w:val="1"/>
      <w:numFmt w:val="bullet"/>
      <w:lvlText w:val=""/>
      <w:lvlJc w:val="left"/>
      <w:pPr>
        <w:ind w:left="720" w:hanging="360"/>
      </w:pPr>
      <w:rPr>
        <w:rFonts w:ascii="Symbol" w:hAnsi="Symbol"/>
      </w:rPr>
    </w:lvl>
    <w:lvl w:ilvl="6" w:tplc="2F008CA8">
      <w:start w:val="1"/>
      <w:numFmt w:val="bullet"/>
      <w:lvlText w:val=""/>
      <w:lvlJc w:val="left"/>
      <w:pPr>
        <w:ind w:left="720" w:hanging="360"/>
      </w:pPr>
      <w:rPr>
        <w:rFonts w:ascii="Symbol" w:hAnsi="Symbol"/>
      </w:rPr>
    </w:lvl>
    <w:lvl w:ilvl="7" w:tplc="A4A4AC24">
      <w:start w:val="1"/>
      <w:numFmt w:val="bullet"/>
      <w:lvlText w:val=""/>
      <w:lvlJc w:val="left"/>
      <w:pPr>
        <w:ind w:left="720" w:hanging="360"/>
      </w:pPr>
      <w:rPr>
        <w:rFonts w:ascii="Symbol" w:hAnsi="Symbol"/>
      </w:rPr>
    </w:lvl>
    <w:lvl w:ilvl="8" w:tplc="8988A8CC">
      <w:start w:val="1"/>
      <w:numFmt w:val="bullet"/>
      <w:lvlText w:val=""/>
      <w:lvlJc w:val="left"/>
      <w:pPr>
        <w:ind w:left="720" w:hanging="360"/>
      </w:pPr>
      <w:rPr>
        <w:rFonts w:ascii="Symbol" w:hAnsi="Symbol"/>
      </w:rPr>
    </w:lvl>
  </w:abstractNum>
  <w:abstractNum w:abstractNumId="20" w15:restartNumberingAfterBreak="0">
    <w:nsid w:val="46A736CC"/>
    <w:multiLevelType w:val="hybridMultilevel"/>
    <w:tmpl w:val="F1F85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92F57D0"/>
    <w:multiLevelType w:val="hybridMultilevel"/>
    <w:tmpl w:val="1198311C"/>
    <w:lvl w:ilvl="0" w:tplc="6EE4946E">
      <w:start w:val="1"/>
      <w:numFmt w:val="bullet"/>
      <w:lvlText w:val=""/>
      <w:lvlJc w:val="left"/>
      <w:pPr>
        <w:ind w:left="720" w:hanging="360"/>
      </w:pPr>
      <w:rPr>
        <w:rFonts w:ascii="Symbol" w:hAnsi="Symbol"/>
      </w:rPr>
    </w:lvl>
    <w:lvl w:ilvl="1" w:tplc="EA3209E8">
      <w:start w:val="1"/>
      <w:numFmt w:val="bullet"/>
      <w:lvlText w:val=""/>
      <w:lvlJc w:val="left"/>
      <w:pPr>
        <w:ind w:left="720" w:hanging="360"/>
      </w:pPr>
      <w:rPr>
        <w:rFonts w:ascii="Symbol" w:hAnsi="Symbol"/>
      </w:rPr>
    </w:lvl>
    <w:lvl w:ilvl="2" w:tplc="440E4674">
      <w:start w:val="1"/>
      <w:numFmt w:val="bullet"/>
      <w:lvlText w:val=""/>
      <w:lvlJc w:val="left"/>
      <w:pPr>
        <w:ind w:left="720" w:hanging="360"/>
      </w:pPr>
      <w:rPr>
        <w:rFonts w:ascii="Symbol" w:hAnsi="Symbol"/>
      </w:rPr>
    </w:lvl>
    <w:lvl w:ilvl="3" w:tplc="4F76D31E">
      <w:start w:val="1"/>
      <w:numFmt w:val="bullet"/>
      <w:lvlText w:val=""/>
      <w:lvlJc w:val="left"/>
      <w:pPr>
        <w:ind w:left="720" w:hanging="360"/>
      </w:pPr>
      <w:rPr>
        <w:rFonts w:ascii="Symbol" w:hAnsi="Symbol"/>
      </w:rPr>
    </w:lvl>
    <w:lvl w:ilvl="4" w:tplc="A908071E">
      <w:start w:val="1"/>
      <w:numFmt w:val="bullet"/>
      <w:lvlText w:val=""/>
      <w:lvlJc w:val="left"/>
      <w:pPr>
        <w:ind w:left="720" w:hanging="360"/>
      </w:pPr>
      <w:rPr>
        <w:rFonts w:ascii="Symbol" w:hAnsi="Symbol"/>
      </w:rPr>
    </w:lvl>
    <w:lvl w:ilvl="5" w:tplc="6774427E">
      <w:start w:val="1"/>
      <w:numFmt w:val="bullet"/>
      <w:lvlText w:val=""/>
      <w:lvlJc w:val="left"/>
      <w:pPr>
        <w:ind w:left="720" w:hanging="360"/>
      </w:pPr>
      <w:rPr>
        <w:rFonts w:ascii="Symbol" w:hAnsi="Symbol"/>
      </w:rPr>
    </w:lvl>
    <w:lvl w:ilvl="6" w:tplc="6B24B936">
      <w:start w:val="1"/>
      <w:numFmt w:val="bullet"/>
      <w:lvlText w:val=""/>
      <w:lvlJc w:val="left"/>
      <w:pPr>
        <w:ind w:left="720" w:hanging="360"/>
      </w:pPr>
      <w:rPr>
        <w:rFonts w:ascii="Symbol" w:hAnsi="Symbol"/>
      </w:rPr>
    </w:lvl>
    <w:lvl w:ilvl="7" w:tplc="CD500A7E">
      <w:start w:val="1"/>
      <w:numFmt w:val="bullet"/>
      <w:lvlText w:val=""/>
      <w:lvlJc w:val="left"/>
      <w:pPr>
        <w:ind w:left="720" w:hanging="360"/>
      </w:pPr>
      <w:rPr>
        <w:rFonts w:ascii="Symbol" w:hAnsi="Symbol"/>
      </w:rPr>
    </w:lvl>
    <w:lvl w:ilvl="8" w:tplc="DB7005E0">
      <w:start w:val="1"/>
      <w:numFmt w:val="bullet"/>
      <w:lvlText w:val=""/>
      <w:lvlJc w:val="left"/>
      <w:pPr>
        <w:ind w:left="720" w:hanging="360"/>
      </w:pPr>
      <w:rPr>
        <w:rFonts w:ascii="Symbol" w:hAnsi="Symbol"/>
      </w:rPr>
    </w:lvl>
  </w:abstractNum>
  <w:abstractNum w:abstractNumId="22" w15:restartNumberingAfterBreak="0">
    <w:nsid w:val="49F1594A"/>
    <w:multiLevelType w:val="hybridMultilevel"/>
    <w:tmpl w:val="8990B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1DA561C"/>
    <w:multiLevelType w:val="hybridMultilevel"/>
    <w:tmpl w:val="55B6AE42"/>
    <w:lvl w:ilvl="0" w:tplc="AA946EF0">
      <w:start w:val="1"/>
      <w:numFmt w:val="bullet"/>
      <w:lvlText w:val=""/>
      <w:lvlJc w:val="left"/>
      <w:pPr>
        <w:ind w:left="720" w:hanging="360"/>
      </w:pPr>
      <w:rPr>
        <w:rFonts w:ascii="Symbol" w:hAnsi="Symbol"/>
      </w:rPr>
    </w:lvl>
    <w:lvl w:ilvl="1" w:tplc="8632B12E">
      <w:start w:val="1"/>
      <w:numFmt w:val="bullet"/>
      <w:lvlText w:val=""/>
      <w:lvlJc w:val="left"/>
      <w:pPr>
        <w:ind w:left="720" w:hanging="360"/>
      </w:pPr>
      <w:rPr>
        <w:rFonts w:ascii="Symbol" w:hAnsi="Symbol"/>
      </w:rPr>
    </w:lvl>
    <w:lvl w:ilvl="2" w:tplc="A058BACE">
      <w:start w:val="1"/>
      <w:numFmt w:val="bullet"/>
      <w:lvlText w:val=""/>
      <w:lvlJc w:val="left"/>
      <w:pPr>
        <w:ind w:left="720" w:hanging="360"/>
      </w:pPr>
      <w:rPr>
        <w:rFonts w:ascii="Symbol" w:hAnsi="Symbol"/>
      </w:rPr>
    </w:lvl>
    <w:lvl w:ilvl="3" w:tplc="EA041F12">
      <w:start w:val="1"/>
      <w:numFmt w:val="bullet"/>
      <w:lvlText w:val=""/>
      <w:lvlJc w:val="left"/>
      <w:pPr>
        <w:ind w:left="720" w:hanging="360"/>
      </w:pPr>
      <w:rPr>
        <w:rFonts w:ascii="Symbol" w:hAnsi="Symbol"/>
      </w:rPr>
    </w:lvl>
    <w:lvl w:ilvl="4" w:tplc="764EFCB0">
      <w:start w:val="1"/>
      <w:numFmt w:val="bullet"/>
      <w:lvlText w:val=""/>
      <w:lvlJc w:val="left"/>
      <w:pPr>
        <w:ind w:left="720" w:hanging="360"/>
      </w:pPr>
      <w:rPr>
        <w:rFonts w:ascii="Symbol" w:hAnsi="Symbol"/>
      </w:rPr>
    </w:lvl>
    <w:lvl w:ilvl="5" w:tplc="6F885068">
      <w:start w:val="1"/>
      <w:numFmt w:val="bullet"/>
      <w:lvlText w:val=""/>
      <w:lvlJc w:val="left"/>
      <w:pPr>
        <w:ind w:left="720" w:hanging="360"/>
      </w:pPr>
      <w:rPr>
        <w:rFonts w:ascii="Symbol" w:hAnsi="Symbol"/>
      </w:rPr>
    </w:lvl>
    <w:lvl w:ilvl="6" w:tplc="22B62B92">
      <w:start w:val="1"/>
      <w:numFmt w:val="bullet"/>
      <w:lvlText w:val=""/>
      <w:lvlJc w:val="left"/>
      <w:pPr>
        <w:ind w:left="720" w:hanging="360"/>
      </w:pPr>
      <w:rPr>
        <w:rFonts w:ascii="Symbol" w:hAnsi="Symbol"/>
      </w:rPr>
    </w:lvl>
    <w:lvl w:ilvl="7" w:tplc="EB64246C">
      <w:start w:val="1"/>
      <w:numFmt w:val="bullet"/>
      <w:lvlText w:val=""/>
      <w:lvlJc w:val="left"/>
      <w:pPr>
        <w:ind w:left="720" w:hanging="360"/>
      </w:pPr>
      <w:rPr>
        <w:rFonts w:ascii="Symbol" w:hAnsi="Symbol"/>
      </w:rPr>
    </w:lvl>
    <w:lvl w:ilvl="8" w:tplc="A34E5C20">
      <w:start w:val="1"/>
      <w:numFmt w:val="bullet"/>
      <w:lvlText w:val=""/>
      <w:lvlJc w:val="left"/>
      <w:pPr>
        <w:ind w:left="720" w:hanging="360"/>
      </w:pPr>
      <w:rPr>
        <w:rFonts w:ascii="Symbol" w:hAnsi="Symbol"/>
      </w:rPr>
    </w:lvl>
  </w:abstractNum>
  <w:abstractNum w:abstractNumId="24" w15:restartNumberingAfterBreak="0">
    <w:nsid w:val="51E4669A"/>
    <w:multiLevelType w:val="hybridMultilevel"/>
    <w:tmpl w:val="D7BAA1D6"/>
    <w:lvl w:ilvl="0" w:tplc="3DB23068">
      <w:start w:val="1"/>
      <w:numFmt w:val="bullet"/>
      <w:lvlText w:val=""/>
      <w:lvlJc w:val="left"/>
      <w:pPr>
        <w:ind w:left="720" w:hanging="360"/>
      </w:pPr>
      <w:rPr>
        <w:rFonts w:ascii="Symbol" w:hAnsi="Symbol"/>
      </w:rPr>
    </w:lvl>
    <w:lvl w:ilvl="1" w:tplc="7E645DF8">
      <w:start w:val="1"/>
      <w:numFmt w:val="bullet"/>
      <w:lvlText w:val=""/>
      <w:lvlJc w:val="left"/>
      <w:pPr>
        <w:ind w:left="720" w:hanging="360"/>
      </w:pPr>
      <w:rPr>
        <w:rFonts w:ascii="Symbol" w:hAnsi="Symbol"/>
      </w:rPr>
    </w:lvl>
    <w:lvl w:ilvl="2" w:tplc="83C21478">
      <w:start w:val="1"/>
      <w:numFmt w:val="bullet"/>
      <w:lvlText w:val=""/>
      <w:lvlJc w:val="left"/>
      <w:pPr>
        <w:ind w:left="720" w:hanging="360"/>
      </w:pPr>
      <w:rPr>
        <w:rFonts w:ascii="Symbol" w:hAnsi="Symbol"/>
      </w:rPr>
    </w:lvl>
    <w:lvl w:ilvl="3" w:tplc="AA447AA6">
      <w:start w:val="1"/>
      <w:numFmt w:val="bullet"/>
      <w:lvlText w:val=""/>
      <w:lvlJc w:val="left"/>
      <w:pPr>
        <w:ind w:left="720" w:hanging="360"/>
      </w:pPr>
      <w:rPr>
        <w:rFonts w:ascii="Symbol" w:hAnsi="Symbol"/>
      </w:rPr>
    </w:lvl>
    <w:lvl w:ilvl="4" w:tplc="CC126226">
      <w:start w:val="1"/>
      <w:numFmt w:val="bullet"/>
      <w:lvlText w:val=""/>
      <w:lvlJc w:val="left"/>
      <w:pPr>
        <w:ind w:left="720" w:hanging="360"/>
      </w:pPr>
      <w:rPr>
        <w:rFonts w:ascii="Symbol" w:hAnsi="Symbol"/>
      </w:rPr>
    </w:lvl>
    <w:lvl w:ilvl="5" w:tplc="A74481C4">
      <w:start w:val="1"/>
      <w:numFmt w:val="bullet"/>
      <w:lvlText w:val=""/>
      <w:lvlJc w:val="left"/>
      <w:pPr>
        <w:ind w:left="720" w:hanging="360"/>
      </w:pPr>
      <w:rPr>
        <w:rFonts w:ascii="Symbol" w:hAnsi="Symbol"/>
      </w:rPr>
    </w:lvl>
    <w:lvl w:ilvl="6" w:tplc="A2FC2C2A">
      <w:start w:val="1"/>
      <w:numFmt w:val="bullet"/>
      <w:lvlText w:val=""/>
      <w:lvlJc w:val="left"/>
      <w:pPr>
        <w:ind w:left="720" w:hanging="360"/>
      </w:pPr>
      <w:rPr>
        <w:rFonts w:ascii="Symbol" w:hAnsi="Symbol"/>
      </w:rPr>
    </w:lvl>
    <w:lvl w:ilvl="7" w:tplc="C5D62BBC">
      <w:start w:val="1"/>
      <w:numFmt w:val="bullet"/>
      <w:lvlText w:val=""/>
      <w:lvlJc w:val="left"/>
      <w:pPr>
        <w:ind w:left="720" w:hanging="360"/>
      </w:pPr>
      <w:rPr>
        <w:rFonts w:ascii="Symbol" w:hAnsi="Symbol"/>
      </w:rPr>
    </w:lvl>
    <w:lvl w:ilvl="8" w:tplc="2320D8DA">
      <w:start w:val="1"/>
      <w:numFmt w:val="bullet"/>
      <w:lvlText w:val=""/>
      <w:lvlJc w:val="left"/>
      <w:pPr>
        <w:ind w:left="720" w:hanging="360"/>
      </w:pPr>
      <w:rPr>
        <w:rFonts w:ascii="Symbol" w:hAnsi="Symbol"/>
      </w:rPr>
    </w:lvl>
  </w:abstractNum>
  <w:abstractNum w:abstractNumId="25" w15:restartNumberingAfterBreak="0">
    <w:nsid w:val="5BF1793F"/>
    <w:multiLevelType w:val="hybridMultilevel"/>
    <w:tmpl w:val="1F927906"/>
    <w:lvl w:ilvl="0" w:tplc="89CAAFFE">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6"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EE05FEB"/>
    <w:multiLevelType w:val="hybridMultilevel"/>
    <w:tmpl w:val="0C5436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2EE5769"/>
    <w:multiLevelType w:val="hybridMultilevel"/>
    <w:tmpl w:val="429CBB20"/>
    <w:lvl w:ilvl="0" w:tplc="6FCEC87A">
      <w:start w:val="1"/>
      <w:numFmt w:val="bullet"/>
      <w:lvlText w:val=""/>
      <w:lvlJc w:val="left"/>
      <w:pPr>
        <w:ind w:left="720" w:hanging="360"/>
      </w:pPr>
      <w:rPr>
        <w:rFonts w:ascii="Symbol" w:hAnsi="Symbol"/>
      </w:rPr>
    </w:lvl>
    <w:lvl w:ilvl="1" w:tplc="A51833FA">
      <w:start w:val="1"/>
      <w:numFmt w:val="bullet"/>
      <w:lvlText w:val=""/>
      <w:lvlJc w:val="left"/>
      <w:pPr>
        <w:ind w:left="720" w:hanging="360"/>
      </w:pPr>
      <w:rPr>
        <w:rFonts w:ascii="Symbol" w:hAnsi="Symbol"/>
      </w:rPr>
    </w:lvl>
    <w:lvl w:ilvl="2" w:tplc="6A8612AE">
      <w:start w:val="1"/>
      <w:numFmt w:val="bullet"/>
      <w:lvlText w:val=""/>
      <w:lvlJc w:val="left"/>
      <w:pPr>
        <w:ind w:left="720" w:hanging="360"/>
      </w:pPr>
      <w:rPr>
        <w:rFonts w:ascii="Symbol" w:hAnsi="Symbol"/>
      </w:rPr>
    </w:lvl>
    <w:lvl w:ilvl="3" w:tplc="116467F6">
      <w:start w:val="1"/>
      <w:numFmt w:val="bullet"/>
      <w:lvlText w:val=""/>
      <w:lvlJc w:val="left"/>
      <w:pPr>
        <w:ind w:left="720" w:hanging="360"/>
      </w:pPr>
      <w:rPr>
        <w:rFonts w:ascii="Symbol" w:hAnsi="Symbol"/>
      </w:rPr>
    </w:lvl>
    <w:lvl w:ilvl="4" w:tplc="D79E4708">
      <w:start w:val="1"/>
      <w:numFmt w:val="bullet"/>
      <w:lvlText w:val=""/>
      <w:lvlJc w:val="left"/>
      <w:pPr>
        <w:ind w:left="720" w:hanging="360"/>
      </w:pPr>
      <w:rPr>
        <w:rFonts w:ascii="Symbol" w:hAnsi="Symbol"/>
      </w:rPr>
    </w:lvl>
    <w:lvl w:ilvl="5" w:tplc="78F24F1E">
      <w:start w:val="1"/>
      <w:numFmt w:val="bullet"/>
      <w:lvlText w:val=""/>
      <w:lvlJc w:val="left"/>
      <w:pPr>
        <w:ind w:left="720" w:hanging="360"/>
      </w:pPr>
      <w:rPr>
        <w:rFonts w:ascii="Symbol" w:hAnsi="Symbol"/>
      </w:rPr>
    </w:lvl>
    <w:lvl w:ilvl="6" w:tplc="B8FAF0D8">
      <w:start w:val="1"/>
      <w:numFmt w:val="bullet"/>
      <w:lvlText w:val=""/>
      <w:lvlJc w:val="left"/>
      <w:pPr>
        <w:ind w:left="720" w:hanging="360"/>
      </w:pPr>
      <w:rPr>
        <w:rFonts w:ascii="Symbol" w:hAnsi="Symbol"/>
      </w:rPr>
    </w:lvl>
    <w:lvl w:ilvl="7" w:tplc="10CCB4E2">
      <w:start w:val="1"/>
      <w:numFmt w:val="bullet"/>
      <w:lvlText w:val=""/>
      <w:lvlJc w:val="left"/>
      <w:pPr>
        <w:ind w:left="720" w:hanging="360"/>
      </w:pPr>
      <w:rPr>
        <w:rFonts w:ascii="Symbol" w:hAnsi="Symbol"/>
      </w:rPr>
    </w:lvl>
    <w:lvl w:ilvl="8" w:tplc="BFAE2738">
      <w:start w:val="1"/>
      <w:numFmt w:val="bullet"/>
      <w:lvlText w:val=""/>
      <w:lvlJc w:val="left"/>
      <w:pPr>
        <w:ind w:left="720" w:hanging="360"/>
      </w:pPr>
      <w:rPr>
        <w:rFonts w:ascii="Symbol" w:hAnsi="Symbol"/>
      </w:rPr>
    </w:lvl>
  </w:abstractNum>
  <w:abstractNum w:abstractNumId="30" w15:restartNumberingAfterBreak="0">
    <w:nsid w:val="784D033C"/>
    <w:multiLevelType w:val="multilevel"/>
    <w:tmpl w:val="03A2CAE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9238F5"/>
    <w:multiLevelType w:val="hybridMultilevel"/>
    <w:tmpl w:val="7CD45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A8365B"/>
    <w:multiLevelType w:val="hybridMultilevel"/>
    <w:tmpl w:val="06EE11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16186631">
    <w:abstractNumId w:val="30"/>
  </w:num>
  <w:num w:numId="2" w16cid:durableId="917793048">
    <w:abstractNumId w:val="18"/>
  </w:num>
  <w:num w:numId="3" w16cid:durableId="263461728">
    <w:abstractNumId w:val="0"/>
  </w:num>
  <w:num w:numId="4" w16cid:durableId="9892165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3592879">
    <w:abstractNumId w:val="6"/>
  </w:num>
  <w:num w:numId="6" w16cid:durableId="139346788">
    <w:abstractNumId w:val="32"/>
  </w:num>
  <w:num w:numId="7" w16cid:durableId="813834356">
    <w:abstractNumId w:val="26"/>
  </w:num>
  <w:num w:numId="8" w16cid:durableId="1533883230">
    <w:abstractNumId w:val="17"/>
  </w:num>
  <w:num w:numId="9" w16cid:durableId="220360847">
    <w:abstractNumId w:val="27"/>
  </w:num>
  <w:num w:numId="10" w16cid:durableId="268196418">
    <w:abstractNumId w:val="12"/>
  </w:num>
  <w:num w:numId="11" w16cid:durableId="1048839230">
    <w:abstractNumId w:val="30"/>
  </w:num>
  <w:num w:numId="12" w16cid:durableId="1694109783">
    <w:abstractNumId w:val="7"/>
  </w:num>
  <w:num w:numId="13" w16cid:durableId="1181553765">
    <w:abstractNumId w:val="23"/>
  </w:num>
  <w:num w:numId="14" w16cid:durableId="1565292505">
    <w:abstractNumId w:val="24"/>
  </w:num>
  <w:num w:numId="15" w16cid:durableId="1917473771">
    <w:abstractNumId w:val="1"/>
  </w:num>
  <w:num w:numId="16" w16cid:durableId="1221135014">
    <w:abstractNumId w:val="16"/>
  </w:num>
  <w:num w:numId="17" w16cid:durableId="83846668">
    <w:abstractNumId w:val="19"/>
  </w:num>
  <w:num w:numId="18" w16cid:durableId="1623656557">
    <w:abstractNumId w:val="21"/>
  </w:num>
  <w:num w:numId="19" w16cid:durableId="1876234161">
    <w:abstractNumId w:val="29"/>
  </w:num>
  <w:num w:numId="20" w16cid:durableId="1426030381">
    <w:abstractNumId w:val="15"/>
  </w:num>
  <w:num w:numId="21" w16cid:durableId="789779827">
    <w:abstractNumId w:val="4"/>
  </w:num>
  <w:num w:numId="22" w16cid:durableId="2128042498">
    <w:abstractNumId w:val="22"/>
  </w:num>
  <w:num w:numId="23" w16cid:durableId="1043940937">
    <w:abstractNumId w:val="5"/>
  </w:num>
  <w:num w:numId="24" w16cid:durableId="183094567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410487">
    <w:abstractNumId w:val="6"/>
  </w:num>
  <w:num w:numId="26" w16cid:durableId="804280678">
    <w:abstractNumId w:val="28"/>
  </w:num>
  <w:num w:numId="27" w16cid:durableId="1859853750">
    <w:abstractNumId w:val="33"/>
  </w:num>
  <w:num w:numId="28" w16cid:durableId="367074266">
    <w:abstractNumId w:val="10"/>
  </w:num>
  <w:num w:numId="29" w16cid:durableId="2129422227">
    <w:abstractNumId w:val="14"/>
  </w:num>
  <w:num w:numId="30" w16cid:durableId="1478570369">
    <w:abstractNumId w:val="11"/>
  </w:num>
  <w:num w:numId="31" w16cid:durableId="362827982">
    <w:abstractNumId w:val="20"/>
  </w:num>
  <w:num w:numId="32" w16cid:durableId="455682901">
    <w:abstractNumId w:val="8"/>
  </w:num>
  <w:num w:numId="33" w16cid:durableId="1801607510">
    <w:abstractNumId w:val="31"/>
  </w:num>
  <w:num w:numId="34" w16cid:durableId="1804497137">
    <w:abstractNumId w:val="30"/>
  </w:num>
  <w:num w:numId="35" w16cid:durableId="26873774">
    <w:abstractNumId w:val="30"/>
  </w:num>
  <w:num w:numId="36" w16cid:durableId="102385500">
    <w:abstractNumId w:val="30"/>
  </w:num>
  <w:num w:numId="37" w16cid:durableId="934555830">
    <w:abstractNumId w:val="30"/>
  </w:num>
  <w:num w:numId="38" w16cid:durableId="1198085805">
    <w:abstractNumId w:val="12"/>
  </w:num>
  <w:num w:numId="39" w16cid:durableId="1300577305">
    <w:abstractNumId w:val="30"/>
  </w:num>
  <w:num w:numId="40" w16cid:durableId="1408258786">
    <w:abstractNumId w:val="12"/>
  </w:num>
  <w:num w:numId="41" w16cid:durableId="279993171">
    <w:abstractNumId w:val="2"/>
  </w:num>
  <w:num w:numId="42" w16cid:durableId="654380436">
    <w:abstractNumId w:val="9"/>
  </w:num>
  <w:num w:numId="43" w16cid:durableId="1855682155">
    <w:abstractNumId w:val="25"/>
  </w:num>
  <w:num w:numId="44" w16cid:durableId="1384938948">
    <w:abstractNumId w:val="30"/>
  </w:num>
  <w:num w:numId="45" w16cid:durableId="30225720">
    <w:abstractNumId w:val="30"/>
  </w:num>
  <w:num w:numId="46" w16cid:durableId="515387125">
    <w:abstractNumId w:val="30"/>
  </w:num>
  <w:num w:numId="47" w16cid:durableId="1701664600">
    <w:abstractNumId w:val="30"/>
  </w:num>
  <w:num w:numId="48" w16cid:durableId="698703895">
    <w:abstractNumId w:val="30"/>
  </w:num>
  <w:num w:numId="49" w16cid:durableId="341587399">
    <w:abstractNumId w:val="3"/>
  </w:num>
  <w:num w:numId="50" w16cid:durableId="716589082">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wMzCwMDEwMrG0NDdT0lEKTi0uzszPAykwNaoFALx3ikAtAAAA"/>
  </w:docVars>
  <w:rsids>
    <w:rsidRoot w:val="00E65E79"/>
    <w:rsid w:val="00000139"/>
    <w:rsid w:val="00000325"/>
    <w:rsid w:val="00000790"/>
    <w:rsid w:val="00000B5F"/>
    <w:rsid w:val="0000110B"/>
    <w:rsid w:val="00001B2A"/>
    <w:rsid w:val="00001C16"/>
    <w:rsid w:val="00002151"/>
    <w:rsid w:val="00002206"/>
    <w:rsid w:val="0000256C"/>
    <w:rsid w:val="00002AD7"/>
    <w:rsid w:val="000032AB"/>
    <w:rsid w:val="00003499"/>
    <w:rsid w:val="000039B7"/>
    <w:rsid w:val="00003F09"/>
    <w:rsid w:val="00004427"/>
    <w:rsid w:val="00004472"/>
    <w:rsid w:val="00004826"/>
    <w:rsid w:val="000049C7"/>
    <w:rsid w:val="00004A60"/>
    <w:rsid w:val="000056B9"/>
    <w:rsid w:val="000059AB"/>
    <w:rsid w:val="00005CDA"/>
    <w:rsid w:val="0000639A"/>
    <w:rsid w:val="000063E1"/>
    <w:rsid w:val="00006B47"/>
    <w:rsid w:val="000119BA"/>
    <w:rsid w:val="000123F0"/>
    <w:rsid w:val="00012786"/>
    <w:rsid w:val="00013116"/>
    <w:rsid w:val="00013247"/>
    <w:rsid w:val="00013612"/>
    <w:rsid w:val="00013AB1"/>
    <w:rsid w:val="00013DD1"/>
    <w:rsid w:val="000149EA"/>
    <w:rsid w:val="00014DEE"/>
    <w:rsid w:val="0001542E"/>
    <w:rsid w:val="00015886"/>
    <w:rsid w:val="0001620D"/>
    <w:rsid w:val="000162EF"/>
    <w:rsid w:val="00016E56"/>
    <w:rsid w:val="00017E06"/>
    <w:rsid w:val="000207C9"/>
    <w:rsid w:val="000207E9"/>
    <w:rsid w:val="00020D74"/>
    <w:rsid w:val="00021CEF"/>
    <w:rsid w:val="00021DC0"/>
    <w:rsid w:val="0002225F"/>
    <w:rsid w:val="00022471"/>
    <w:rsid w:val="0002280B"/>
    <w:rsid w:val="00023763"/>
    <w:rsid w:val="00024EB5"/>
    <w:rsid w:val="000251BD"/>
    <w:rsid w:val="0002524E"/>
    <w:rsid w:val="00025FA0"/>
    <w:rsid w:val="00026B57"/>
    <w:rsid w:val="00026D00"/>
    <w:rsid w:val="00026DB3"/>
    <w:rsid w:val="00026DBD"/>
    <w:rsid w:val="000270B8"/>
    <w:rsid w:val="0002740F"/>
    <w:rsid w:val="000274B8"/>
    <w:rsid w:val="00030740"/>
    <w:rsid w:val="00030B1C"/>
    <w:rsid w:val="00031434"/>
    <w:rsid w:val="00032109"/>
    <w:rsid w:val="000327B9"/>
    <w:rsid w:val="00032B44"/>
    <w:rsid w:val="00033192"/>
    <w:rsid w:val="00033392"/>
    <w:rsid w:val="00033863"/>
    <w:rsid w:val="000339F6"/>
    <w:rsid w:val="00033D96"/>
    <w:rsid w:val="00034117"/>
    <w:rsid w:val="00035842"/>
    <w:rsid w:val="00035DC0"/>
    <w:rsid w:val="000365D0"/>
    <w:rsid w:val="00036829"/>
    <w:rsid w:val="00036B8C"/>
    <w:rsid w:val="00037E42"/>
    <w:rsid w:val="000406C3"/>
    <w:rsid w:val="000406C9"/>
    <w:rsid w:val="000407C5"/>
    <w:rsid w:val="00040895"/>
    <w:rsid w:val="000410A0"/>
    <w:rsid w:val="00041502"/>
    <w:rsid w:val="00041604"/>
    <w:rsid w:val="00041643"/>
    <w:rsid w:val="0004165E"/>
    <w:rsid w:val="000424EE"/>
    <w:rsid w:val="000427BD"/>
    <w:rsid w:val="00042AB6"/>
    <w:rsid w:val="00042C3A"/>
    <w:rsid w:val="00042E1C"/>
    <w:rsid w:val="000435C6"/>
    <w:rsid w:val="000435EE"/>
    <w:rsid w:val="00043735"/>
    <w:rsid w:val="0004387F"/>
    <w:rsid w:val="00043C37"/>
    <w:rsid w:val="0004402D"/>
    <w:rsid w:val="00044443"/>
    <w:rsid w:val="0004447A"/>
    <w:rsid w:val="0004488C"/>
    <w:rsid w:val="00044B5D"/>
    <w:rsid w:val="00044B97"/>
    <w:rsid w:val="00044E9E"/>
    <w:rsid w:val="00045017"/>
    <w:rsid w:val="00045A2B"/>
    <w:rsid w:val="00045FEA"/>
    <w:rsid w:val="0004643A"/>
    <w:rsid w:val="0004698F"/>
    <w:rsid w:val="000469A9"/>
    <w:rsid w:val="00046BAB"/>
    <w:rsid w:val="00046D64"/>
    <w:rsid w:val="00047350"/>
    <w:rsid w:val="000473E6"/>
    <w:rsid w:val="000473E8"/>
    <w:rsid w:val="000505AB"/>
    <w:rsid w:val="000506AE"/>
    <w:rsid w:val="000508C2"/>
    <w:rsid w:val="00051005"/>
    <w:rsid w:val="00051D25"/>
    <w:rsid w:val="000520E7"/>
    <w:rsid w:val="00052887"/>
    <w:rsid w:val="00053429"/>
    <w:rsid w:val="000539D0"/>
    <w:rsid w:val="00053AA2"/>
    <w:rsid w:val="00053B15"/>
    <w:rsid w:val="00053DCD"/>
    <w:rsid w:val="00053F41"/>
    <w:rsid w:val="000543BB"/>
    <w:rsid w:val="00054621"/>
    <w:rsid w:val="000546D7"/>
    <w:rsid w:val="00054A70"/>
    <w:rsid w:val="00054A8D"/>
    <w:rsid w:val="000550F0"/>
    <w:rsid w:val="00055113"/>
    <w:rsid w:val="0005525F"/>
    <w:rsid w:val="000552A2"/>
    <w:rsid w:val="0005537D"/>
    <w:rsid w:val="0005555F"/>
    <w:rsid w:val="00055B76"/>
    <w:rsid w:val="00055C19"/>
    <w:rsid w:val="000560E3"/>
    <w:rsid w:val="000565CF"/>
    <w:rsid w:val="000567C9"/>
    <w:rsid w:val="00056B08"/>
    <w:rsid w:val="00056ECF"/>
    <w:rsid w:val="00057672"/>
    <w:rsid w:val="000577FE"/>
    <w:rsid w:val="000578B8"/>
    <w:rsid w:val="0006026F"/>
    <w:rsid w:val="000603FD"/>
    <w:rsid w:val="000604DF"/>
    <w:rsid w:val="00060577"/>
    <w:rsid w:val="00061A34"/>
    <w:rsid w:val="00061D04"/>
    <w:rsid w:val="00062324"/>
    <w:rsid w:val="000627E8"/>
    <w:rsid w:val="00062A6E"/>
    <w:rsid w:val="00063096"/>
    <w:rsid w:val="00063148"/>
    <w:rsid w:val="0006360C"/>
    <w:rsid w:val="00063EF0"/>
    <w:rsid w:val="000641E8"/>
    <w:rsid w:val="000647B4"/>
    <w:rsid w:val="00064A0A"/>
    <w:rsid w:val="00065106"/>
    <w:rsid w:val="000653B5"/>
    <w:rsid w:val="00065AFF"/>
    <w:rsid w:val="00066360"/>
    <w:rsid w:val="00066AF8"/>
    <w:rsid w:val="000677C0"/>
    <w:rsid w:val="0006786B"/>
    <w:rsid w:val="000679B6"/>
    <w:rsid w:val="0007021A"/>
    <w:rsid w:val="00070614"/>
    <w:rsid w:val="00070619"/>
    <w:rsid w:val="00070C74"/>
    <w:rsid w:val="00070DBA"/>
    <w:rsid w:val="00071248"/>
    <w:rsid w:val="000714B7"/>
    <w:rsid w:val="00071776"/>
    <w:rsid w:val="000720B9"/>
    <w:rsid w:val="00072A17"/>
    <w:rsid w:val="00073369"/>
    <w:rsid w:val="000737F7"/>
    <w:rsid w:val="00073954"/>
    <w:rsid w:val="00073A58"/>
    <w:rsid w:val="00073C21"/>
    <w:rsid w:val="00073E71"/>
    <w:rsid w:val="000747FA"/>
    <w:rsid w:val="00074820"/>
    <w:rsid w:val="0007489B"/>
    <w:rsid w:val="00075250"/>
    <w:rsid w:val="00075308"/>
    <w:rsid w:val="000759B8"/>
    <w:rsid w:val="00075C11"/>
    <w:rsid w:val="00075DCE"/>
    <w:rsid w:val="00075F8F"/>
    <w:rsid w:val="000762F8"/>
    <w:rsid w:val="000766ED"/>
    <w:rsid w:val="0007672F"/>
    <w:rsid w:val="00076A15"/>
    <w:rsid w:val="00076B54"/>
    <w:rsid w:val="00076CCC"/>
    <w:rsid w:val="000774F0"/>
    <w:rsid w:val="0007757B"/>
    <w:rsid w:val="0007784D"/>
    <w:rsid w:val="00077C39"/>
    <w:rsid w:val="000803FA"/>
    <w:rsid w:val="000805B0"/>
    <w:rsid w:val="00080909"/>
    <w:rsid w:val="00080A60"/>
    <w:rsid w:val="00080BA2"/>
    <w:rsid w:val="00081166"/>
    <w:rsid w:val="000812CA"/>
    <w:rsid w:val="00081430"/>
    <w:rsid w:val="000817E7"/>
    <w:rsid w:val="0008190B"/>
    <w:rsid w:val="00081E63"/>
    <w:rsid w:val="00081EA3"/>
    <w:rsid w:val="0008258D"/>
    <w:rsid w:val="000826EE"/>
    <w:rsid w:val="000827AB"/>
    <w:rsid w:val="00083007"/>
    <w:rsid w:val="00083E99"/>
    <w:rsid w:val="00084A23"/>
    <w:rsid w:val="00084DFC"/>
    <w:rsid w:val="00084FA8"/>
    <w:rsid w:val="000854C4"/>
    <w:rsid w:val="000856C5"/>
    <w:rsid w:val="00085C31"/>
    <w:rsid w:val="00085D06"/>
    <w:rsid w:val="000862D5"/>
    <w:rsid w:val="000862E9"/>
    <w:rsid w:val="00086336"/>
    <w:rsid w:val="00086E7D"/>
    <w:rsid w:val="00087611"/>
    <w:rsid w:val="00087698"/>
    <w:rsid w:val="000879ED"/>
    <w:rsid w:val="00087D21"/>
    <w:rsid w:val="0009015B"/>
    <w:rsid w:val="000902D9"/>
    <w:rsid w:val="00090AE4"/>
    <w:rsid w:val="00090C7E"/>
    <w:rsid w:val="00091061"/>
    <w:rsid w:val="000911AC"/>
    <w:rsid w:val="000916E9"/>
    <w:rsid w:val="000918DF"/>
    <w:rsid w:val="00091C7B"/>
    <w:rsid w:val="00092207"/>
    <w:rsid w:val="00092339"/>
    <w:rsid w:val="00092600"/>
    <w:rsid w:val="0009262B"/>
    <w:rsid w:val="00093310"/>
    <w:rsid w:val="00093355"/>
    <w:rsid w:val="000942FA"/>
    <w:rsid w:val="0009445C"/>
    <w:rsid w:val="000945C1"/>
    <w:rsid w:val="000945E9"/>
    <w:rsid w:val="00094BDF"/>
    <w:rsid w:val="00094E8D"/>
    <w:rsid w:val="00095200"/>
    <w:rsid w:val="00095FE5"/>
    <w:rsid w:val="00096284"/>
    <w:rsid w:val="0009695C"/>
    <w:rsid w:val="00096C18"/>
    <w:rsid w:val="000975BB"/>
    <w:rsid w:val="00097DB9"/>
    <w:rsid w:val="000A0367"/>
    <w:rsid w:val="000A054C"/>
    <w:rsid w:val="000A0D0D"/>
    <w:rsid w:val="000A0EA5"/>
    <w:rsid w:val="000A1736"/>
    <w:rsid w:val="000A1BC0"/>
    <w:rsid w:val="000A2AE3"/>
    <w:rsid w:val="000A2F9E"/>
    <w:rsid w:val="000A37FE"/>
    <w:rsid w:val="000A3843"/>
    <w:rsid w:val="000A3C1C"/>
    <w:rsid w:val="000A3E47"/>
    <w:rsid w:val="000A3F95"/>
    <w:rsid w:val="000A48A5"/>
    <w:rsid w:val="000A4B29"/>
    <w:rsid w:val="000A4DBD"/>
    <w:rsid w:val="000A51E6"/>
    <w:rsid w:val="000A522B"/>
    <w:rsid w:val="000A5A16"/>
    <w:rsid w:val="000A5E1C"/>
    <w:rsid w:val="000A6037"/>
    <w:rsid w:val="000A6039"/>
    <w:rsid w:val="000A666A"/>
    <w:rsid w:val="000A72E4"/>
    <w:rsid w:val="000A7345"/>
    <w:rsid w:val="000A7453"/>
    <w:rsid w:val="000A75F7"/>
    <w:rsid w:val="000A7D08"/>
    <w:rsid w:val="000B0121"/>
    <w:rsid w:val="000B0670"/>
    <w:rsid w:val="000B0E63"/>
    <w:rsid w:val="000B0E75"/>
    <w:rsid w:val="000B1201"/>
    <w:rsid w:val="000B1C35"/>
    <w:rsid w:val="000B1DE1"/>
    <w:rsid w:val="000B2003"/>
    <w:rsid w:val="000B2829"/>
    <w:rsid w:val="000B2DCB"/>
    <w:rsid w:val="000B3BE4"/>
    <w:rsid w:val="000B3CAC"/>
    <w:rsid w:val="000B53BA"/>
    <w:rsid w:val="000B59EC"/>
    <w:rsid w:val="000B5A9D"/>
    <w:rsid w:val="000B5CE0"/>
    <w:rsid w:val="000B60FC"/>
    <w:rsid w:val="000B619A"/>
    <w:rsid w:val="000B68AB"/>
    <w:rsid w:val="000B6B51"/>
    <w:rsid w:val="000B6CAC"/>
    <w:rsid w:val="000B6D6F"/>
    <w:rsid w:val="000B7171"/>
    <w:rsid w:val="000B7612"/>
    <w:rsid w:val="000B78AE"/>
    <w:rsid w:val="000C0208"/>
    <w:rsid w:val="000C0336"/>
    <w:rsid w:val="000C08DF"/>
    <w:rsid w:val="000C0B40"/>
    <w:rsid w:val="000C0EFD"/>
    <w:rsid w:val="000C101D"/>
    <w:rsid w:val="000C10A3"/>
    <w:rsid w:val="000C1891"/>
    <w:rsid w:val="000C2A4B"/>
    <w:rsid w:val="000C2AF2"/>
    <w:rsid w:val="000C2B2E"/>
    <w:rsid w:val="000C36EA"/>
    <w:rsid w:val="000C3955"/>
    <w:rsid w:val="000C3DF9"/>
    <w:rsid w:val="000C4AFC"/>
    <w:rsid w:val="000C4CF2"/>
    <w:rsid w:val="000C57D3"/>
    <w:rsid w:val="000C5BB3"/>
    <w:rsid w:val="000C6713"/>
    <w:rsid w:val="000C6850"/>
    <w:rsid w:val="000C6EF7"/>
    <w:rsid w:val="000C7B3C"/>
    <w:rsid w:val="000D023D"/>
    <w:rsid w:val="000D033E"/>
    <w:rsid w:val="000D0F96"/>
    <w:rsid w:val="000D1BFC"/>
    <w:rsid w:val="000D1D3E"/>
    <w:rsid w:val="000D1D5D"/>
    <w:rsid w:val="000D1DAA"/>
    <w:rsid w:val="000D1F1C"/>
    <w:rsid w:val="000D281A"/>
    <w:rsid w:val="000D2848"/>
    <w:rsid w:val="000D2AD9"/>
    <w:rsid w:val="000D326A"/>
    <w:rsid w:val="000D358B"/>
    <w:rsid w:val="000D36E7"/>
    <w:rsid w:val="000D390E"/>
    <w:rsid w:val="000D39C6"/>
    <w:rsid w:val="000D3CE2"/>
    <w:rsid w:val="000D3E95"/>
    <w:rsid w:val="000D3F6A"/>
    <w:rsid w:val="000D4187"/>
    <w:rsid w:val="000D45FE"/>
    <w:rsid w:val="000D4D4D"/>
    <w:rsid w:val="000D51FB"/>
    <w:rsid w:val="000D639B"/>
    <w:rsid w:val="000D64AD"/>
    <w:rsid w:val="000D6F60"/>
    <w:rsid w:val="000D7758"/>
    <w:rsid w:val="000D77D4"/>
    <w:rsid w:val="000D78FF"/>
    <w:rsid w:val="000D7C14"/>
    <w:rsid w:val="000E0640"/>
    <w:rsid w:val="000E0D79"/>
    <w:rsid w:val="000E12F5"/>
    <w:rsid w:val="000E135D"/>
    <w:rsid w:val="000E1422"/>
    <w:rsid w:val="000E1425"/>
    <w:rsid w:val="000E1A88"/>
    <w:rsid w:val="000E1F65"/>
    <w:rsid w:val="000E2164"/>
    <w:rsid w:val="000E3441"/>
    <w:rsid w:val="000E46B7"/>
    <w:rsid w:val="000E495E"/>
    <w:rsid w:val="000E4A8E"/>
    <w:rsid w:val="000E4DB2"/>
    <w:rsid w:val="000E500D"/>
    <w:rsid w:val="000E6095"/>
    <w:rsid w:val="000E6148"/>
    <w:rsid w:val="000E6BCB"/>
    <w:rsid w:val="000E6C03"/>
    <w:rsid w:val="000E7384"/>
    <w:rsid w:val="000E79A0"/>
    <w:rsid w:val="000F0088"/>
    <w:rsid w:val="000F00BA"/>
    <w:rsid w:val="000F2036"/>
    <w:rsid w:val="000F3156"/>
    <w:rsid w:val="000F316A"/>
    <w:rsid w:val="000F376C"/>
    <w:rsid w:val="000F37F5"/>
    <w:rsid w:val="000F3C74"/>
    <w:rsid w:val="000F3F52"/>
    <w:rsid w:val="000F46AC"/>
    <w:rsid w:val="000F4BB8"/>
    <w:rsid w:val="000F4FA9"/>
    <w:rsid w:val="000F53FB"/>
    <w:rsid w:val="000F5E91"/>
    <w:rsid w:val="000F7095"/>
    <w:rsid w:val="000F7127"/>
    <w:rsid w:val="000F752F"/>
    <w:rsid w:val="000F7B54"/>
    <w:rsid w:val="000F7D8B"/>
    <w:rsid w:val="001000B3"/>
    <w:rsid w:val="00100F8A"/>
    <w:rsid w:val="001016DE"/>
    <w:rsid w:val="00101976"/>
    <w:rsid w:val="00101CB5"/>
    <w:rsid w:val="00101F8F"/>
    <w:rsid w:val="0010225D"/>
    <w:rsid w:val="0010225F"/>
    <w:rsid w:val="0010242D"/>
    <w:rsid w:val="00102A13"/>
    <w:rsid w:val="00103C83"/>
    <w:rsid w:val="001043AE"/>
    <w:rsid w:val="001044ED"/>
    <w:rsid w:val="0010452E"/>
    <w:rsid w:val="0010585A"/>
    <w:rsid w:val="001059E5"/>
    <w:rsid w:val="00105AE2"/>
    <w:rsid w:val="00106021"/>
    <w:rsid w:val="001060C6"/>
    <w:rsid w:val="0010612B"/>
    <w:rsid w:val="00106B80"/>
    <w:rsid w:val="00106CC7"/>
    <w:rsid w:val="00107781"/>
    <w:rsid w:val="001102CE"/>
    <w:rsid w:val="0011032E"/>
    <w:rsid w:val="00110914"/>
    <w:rsid w:val="00110970"/>
    <w:rsid w:val="00110B80"/>
    <w:rsid w:val="0011118D"/>
    <w:rsid w:val="001116BF"/>
    <w:rsid w:val="00111CAB"/>
    <w:rsid w:val="00111EEB"/>
    <w:rsid w:val="001123CD"/>
    <w:rsid w:val="00112681"/>
    <w:rsid w:val="00112AC1"/>
    <w:rsid w:val="001132F9"/>
    <w:rsid w:val="0011348B"/>
    <w:rsid w:val="0011355F"/>
    <w:rsid w:val="00114063"/>
    <w:rsid w:val="001150EB"/>
    <w:rsid w:val="00115982"/>
    <w:rsid w:val="00115EA0"/>
    <w:rsid w:val="001160F6"/>
    <w:rsid w:val="00116C53"/>
    <w:rsid w:val="00116E55"/>
    <w:rsid w:val="0011787B"/>
    <w:rsid w:val="00117D38"/>
    <w:rsid w:val="00117EE2"/>
    <w:rsid w:val="00120090"/>
    <w:rsid w:val="00120C6D"/>
    <w:rsid w:val="00121799"/>
    <w:rsid w:val="00122098"/>
    <w:rsid w:val="001222FC"/>
    <w:rsid w:val="00122F7E"/>
    <w:rsid w:val="001230FD"/>
    <w:rsid w:val="001231C8"/>
    <w:rsid w:val="00123902"/>
    <w:rsid w:val="00123903"/>
    <w:rsid w:val="00123DCF"/>
    <w:rsid w:val="00123DE5"/>
    <w:rsid w:val="00124A51"/>
    <w:rsid w:val="00124AF1"/>
    <w:rsid w:val="0012523A"/>
    <w:rsid w:val="0012542A"/>
    <w:rsid w:val="00125AB1"/>
    <w:rsid w:val="00125D2B"/>
    <w:rsid w:val="00125EA1"/>
    <w:rsid w:val="00126621"/>
    <w:rsid w:val="0012668F"/>
    <w:rsid w:val="00126B1D"/>
    <w:rsid w:val="00126BA6"/>
    <w:rsid w:val="001271CA"/>
    <w:rsid w:val="001274E6"/>
    <w:rsid w:val="00127CD3"/>
    <w:rsid w:val="001301E9"/>
    <w:rsid w:val="001302B4"/>
    <w:rsid w:val="001304B7"/>
    <w:rsid w:val="00130F86"/>
    <w:rsid w:val="001315B7"/>
    <w:rsid w:val="00131A76"/>
    <w:rsid w:val="00131D4D"/>
    <w:rsid w:val="00131D82"/>
    <w:rsid w:val="00132B22"/>
    <w:rsid w:val="00133D36"/>
    <w:rsid w:val="001340C4"/>
    <w:rsid w:val="00134F7F"/>
    <w:rsid w:val="0013532B"/>
    <w:rsid w:val="00135B2D"/>
    <w:rsid w:val="001363AA"/>
    <w:rsid w:val="001369A1"/>
    <w:rsid w:val="0013706F"/>
    <w:rsid w:val="001375B2"/>
    <w:rsid w:val="00137645"/>
    <w:rsid w:val="00137BCB"/>
    <w:rsid w:val="00137C94"/>
    <w:rsid w:val="0014015A"/>
    <w:rsid w:val="001401D5"/>
    <w:rsid w:val="0014030F"/>
    <w:rsid w:val="00140A53"/>
    <w:rsid w:val="00140E32"/>
    <w:rsid w:val="00140E99"/>
    <w:rsid w:val="00141004"/>
    <w:rsid w:val="00141992"/>
    <w:rsid w:val="001419CF"/>
    <w:rsid w:val="00141E76"/>
    <w:rsid w:val="0014238F"/>
    <w:rsid w:val="00142638"/>
    <w:rsid w:val="0014268C"/>
    <w:rsid w:val="00142CDC"/>
    <w:rsid w:val="00143C7E"/>
    <w:rsid w:val="00143F67"/>
    <w:rsid w:val="00143FB1"/>
    <w:rsid w:val="00145234"/>
    <w:rsid w:val="00145540"/>
    <w:rsid w:val="001455FA"/>
    <w:rsid w:val="0014563A"/>
    <w:rsid w:val="001456B0"/>
    <w:rsid w:val="001458AE"/>
    <w:rsid w:val="00145E2D"/>
    <w:rsid w:val="00145F30"/>
    <w:rsid w:val="0014612B"/>
    <w:rsid w:val="00146288"/>
    <w:rsid w:val="0014645C"/>
    <w:rsid w:val="001469F8"/>
    <w:rsid w:val="00146B6A"/>
    <w:rsid w:val="00147843"/>
    <w:rsid w:val="00150AD1"/>
    <w:rsid w:val="001512E2"/>
    <w:rsid w:val="00151D71"/>
    <w:rsid w:val="00152DCE"/>
    <w:rsid w:val="0015389F"/>
    <w:rsid w:val="00154418"/>
    <w:rsid w:val="001547AB"/>
    <w:rsid w:val="00154D59"/>
    <w:rsid w:val="00154E25"/>
    <w:rsid w:val="001557CF"/>
    <w:rsid w:val="00155AEE"/>
    <w:rsid w:val="00155E6D"/>
    <w:rsid w:val="00156409"/>
    <w:rsid w:val="001565CD"/>
    <w:rsid w:val="001567DF"/>
    <w:rsid w:val="00156846"/>
    <w:rsid w:val="001568E3"/>
    <w:rsid w:val="00156F8F"/>
    <w:rsid w:val="00157130"/>
    <w:rsid w:val="00157502"/>
    <w:rsid w:val="001576B1"/>
    <w:rsid w:val="0016002D"/>
    <w:rsid w:val="0016047B"/>
    <w:rsid w:val="00160A4C"/>
    <w:rsid w:val="0016221D"/>
    <w:rsid w:val="00162913"/>
    <w:rsid w:val="00162AA7"/>
    <w:rsid w:val="0016387A"/>
    <w:rsid w:val="00163EF0"/>
    <w:rsid w:val="00163EFF"/>
    <w:rsid w:val="00163F66"/>
    <w:rsid w:val="0016478E"/>
    <w:rsid w:val="0016508B"/>
    <w:rsid w:val="0016512C"/>
    <w:rsid w:val="00165A68"/>
    <w:rsid w:val="00165EC4"/>
    <w:rsid w:val="00166046"/>
    <w:rsid w:val="001661FB"/>
    <w:rsid w:val="001663A9"/>
    <w:rsid w:val="001668B7"/>
    <w:rsid w:val="00166E90"/>
    <w:rsid w:val="001671A0"/>
    <w:rsid w:val="0016767F"/>
    <w:rsid w:val="00167731"/>
    <w:rsid w:val="00170071"/>
    <w:rsid w:val="00170EC8"/>
    <w:rsid w:val="00170FFA"/>
    <w:rsid w:val="00171CBF"/>
    <w:rsid w:val="00171D8B"/>
    <w:rsid w:val="00171FF5"/>
    <w:rsid w:val="00172376"/>
    <w:rsid w:val="00172443"/>
    <w:rsid w:val="001734DF"/>
    <w:rsid w:val="00173565"/>
    <w:rsid w:val="00173900"/>
    <w:rsid w:val="00173AD0"/>
    <w:rsid w:val="00173B07"/>
    <w:rsid w:val="00174357"/>
    <w:rsid w:val="0017437F"/>
    <w:rsid w:val="001746F8"/>
    <w:rsid w:val="001747E5"/>
    <w:rsid w:val="00174A5B"/>
    <w:rsid w:val="00174B92"/>
    <w:rsid w:val="001751FA"/>
    <w:rsid w:val="0017564A"/>
    <w:rsid w:val="00176F87"/>
    <w:rsid w:val="00176FC5"/>
    <w:rsid w:val="00177C06"/>
    <w:rsid w:val="00177DB2"/>
    <w:rsid w:val="001800A9"/>
    <w:rsid w:val="00180191"/>
    <w:rsid w:val="0018034A"/>
    <w:rsid w:val="00181C10"/>
    <w:rsid w:val="00181D9C"/>
    <w:rsid w:val="00181EA5"/>
    <w:rsid w:val="00181FC9"/>
    <w:rsid w:val="00182060"/>
    <w:rsid w:val="0018230F"/>
    <w:rsid w:val="001824DA"/>
    <w:rsid w:val="00182566"/>
    <w:rsid w:val="001837FF"/>
    <w:rsid w:val="001842E1"/>
    <w:rsid w:val="00184B0E"/>
    <w:rsid w:val="0018515F"/>
    <w:rsid w:val="001853D2"/>
    <w:rsid w:val="00185983"/>
    <w:rsid w:val="001859E1"/>
    <w:rsid w:val="00186271"/>
    <w:rsid w:val="001863CD"/>
    <w:rsid w:val="00187519"/>
    <w:rsid w:val="0018752F"/>
    <w:rsid w:val="0019072C"/>
    <w:rsid w:val="00190FA9"/>
    <w:rsid w:val="001911D0"/>
    <w:rsid w:val="001919F8"/>
    <w:rsid w:val="00191DD8"/>
    <w:rsid w:val="00192137"/>
    <w:rsid w:val="00193595"/>
    <w:rsid w:val="00193667"/>
    <w:rsid w:val="00193721"/>
    <w:rsid w:val="00193750"/>
    <w:rsid w:val="00193838"/>
    <w:rsid w:val="00193D33"/>
    <w:rsid w:val="001940B0"/>
    <w:rsid w:val="001943FB"/>
    <w:rsid w:val="00194AD8"/>
    <w:rsid w:val="001950FF"/>
    <w:rsid w:val="00195222"/>
    <w:rsid w:val="00195452"/>
    <w:rsid w:val="00195754"/>
    <w:rsid w:val="00195891"/>
    <w:rsid w:val="00195BA5"/>
    <w:rsid w:val="0019615E"/>
    <w:rsid w:val="001963AC"/>
    <w:rsid w:val="00196570"/>
    <w:rsid w:val="00196587"/>
    <w:rsid w:val="001969ED"/>
    <w:rsid w:val="00196C9C"/>
    <w:rsid w:val="0019749C"/>
    <w:rsid w:val="001975D8"/>
    <w:rsid w:val="00197A99"/>
    <w:rsid w:val="00197E06"/>
    <w:rsid w:val="001A01AD"/>
    <w:rsid w:val="001A042A"/>
    <w:rsid w:val="001A0C3B"/>
    <w:rsid w:val="001A0D10"/>
    <w:rsid w:val="001A178E"/>
    <w:rsid w:val="001A247D"/>
    <w:rsid w:val="001A2C43"/>
    <w:rsid w:val="001A2DD1"/>
    <w:rsid w:val="001A2F45"/>
    <w:rsid w:val="001A3752"/>
    <w:rsid w:val="001A3923"/>
    <w:rsid w:val="001A3E87"/>
    <w:rsid w:val="001A43FA"/>
    <w:rsid w:val="001A4780"/>
    <w:rsid w:val="001A47C5"/>
    <w:rsid w:val="001A4A96"/>
    <w:rsid w:val="001A56D6"/>
    <w:rsid w:val="001A59FB"/>
    <w:rsid w:val="001A5E9E"/>
    <w:rsid w:val="001A60BF"/>
    <w:rsid w:val="001A6110"/>
    <w:rsid w:val="001A6354"/>
    <w:rsid w:val="001A6366"/>
    <w:rsid w:val="001A66BE"/>
    <w:rsid w:val="001A6DCA"/>
    <w:rsid w:val="001A75C8"/>
    <w:rsid w:val="001A766A"/>
    <w:rsid w:val="001A7867"/>
    <w:rsid w:val="001A7AE8"/>
    <w:rsid w:val="001B107E"/>
    <w:rsid w:val="001B109E"/>
    <w:rsid w:val="001B204E"/>
    <w:rsid w:val="001B2372"/>
    <w:rsid w:val="001B30EC"/>
    <w:rsid w:val="001B3443"/>
    <w:rsid w:val="001B3CEC"/>
    <w:rsid w:val="001B4071"/>
    <w:rsid w:val="001B430A"/>
    <w:rsid w:val="001B447F"/>
    <w:rsid w:val="001B4D20"/>
    <w:rsid w:val="001B56AC"/>
    <w:rsid w:val="001B653E"/>
    <w:rsid w:val="001B69A9"/>
    <w:rsid w:val="001B72F6"/>
    <w:rsid w:val="001B7F84"/>
    <w:rsid w:val="001C0074"/>
    <w:rsid w:val="001C063D"/>
    <w:rsid w:val="001C178E"/>
    <w:rsid w:val="001C2A9B"/>
    <w:rsid w:val="001C2AA8"/>
    <w:rsid w:val="001C343B"/>
    <w:rsid w:val="001C3A7A"/>
    <w:rsid w:val="001C3DD6"/>
    <w:rsid w:val="001C3E3A"/>
    <w:rsid w:val="001C4299"/>
    <w:rsid w:val="001C42FE"/>
    <w:rsid w:val="001C4548"/>
    <w:rsid w:val="001C4874"/>
    <w:rsid w:val="001C51D6"/>
    <w:rsid w:val="001C5B4F"/>
    <w:rsid w:val="001C5F94"/>
    <w:rsid w:val="001C683E"/>
    <w:rsid w:val="001C69B5"/>
    <w:rsid w:val="001C6E66"/>
    <w:rsid w:val="001C7C63"/>
    <w:rsid w:val="001D04C8"/>
    <w:rsid w:val="001D0935"/>
    <w:rsid w:val="001D1100"/>
    <w:rsid w:val="001D1391"/>
    <w:rsid w:val="001D1D32"/>
    <w:rsid w:val="001D1F8F"/>
    <w:rsid w:val="001D25C3"/>
    <w:rsid w:val="001D25D7"/>
    <w:rsid w:val="001D332E"/>
    <w:rsid w:val="001D3537"/>
    <w:rsid w:val="001D40DD"/>
    <w:rsid w:val="001D4B32"/>
    <w:rsid w:val="001D4BBD"/>
    <w:rsid w:val="001D50B2"/>
    <w:rsid w:val="001D68E1"/>
    <w:rsid w:val="001D6B85"/>
    <w:rsid w:val="001D6CEE"/>
    <w:rsid w:val="001D6F22"/>
    <w:rsid w:val="001D71BC"/>
    <w:rsid w:val="001D71F4"/>
    <w:rsid w:val="001D75C9"/>
    <w:rsid w:val="001D7645"/>
    <w:rsid w:val="001D7B9B"/>
    <w:rsid w:val="001E0205"/>
    <w:rsid w:val="001E0E39"/>
    <w:rsid w:val="001E1496"/>
    <w:rsid w:val="001E14D9"/>
    <w:rsid w:val="001E1BCB"/>
    <w:rsid w:val="001E1E86"/>
    <w:rsid w:val="001E238E"/>
    <w:rsid w:val="001E2483"/>
    <w:rsid w:val="001E2608"/>
    <w:rsid w:val="001E2B1E"/>
    <w:rsid w:val="001E2CFF"/>
    <w:rsid w:val="001E2DB8"/>
    <w:rsid w:val="001E2F24"/>
    <w:rsid w:val="001E30D4"/>
    <w:rsid w:val="001E31D9"/>
    <w:rsid w:val="001E34AB"/>
    <w:rsid w:val="001E34DF"/>
    <w:rsid w:val="001E3A71"/>
    <w:rsid w:val="001E4026"/>
    <w:rsid w:val="001E415A"/>
    <w:rsid w:val="001E42C1"/>
    <w:rsid w:val="001E43E2"/>
    <w:rsid w:val="001E456E"/>
    <w:rsid w:val="001E4BF5"/>
    <w:rsid w:val="001E4E36"/>
    <w:rsid w:val="001E50DE"/>
    <w:rsid w:val="001E522B"/>
    <w:rsid w:val="001E52EB"/>
    <w:rsid w:val="001E53A8"/>
    <w:rsid w:val="001E5F1F"/>
    <w:rsid w:val="001E5F92"/>
    <w:rsid w:val="001E61D2"/>
    <w:rsid w:val="001E6777"/>
    <w:rsid w:val="001E683B"/>
    <w:rsid w:val="001E6C84"/>
    <w:rsid w:val="001E716D"/>
    <w:rsid w:val="001E7406"/>
    <w:rsid w:val="001E740C"/>
    <w:rsid w:val="001E765D"/>
    <w:rsid w:val="001F08DB"/>
    <w:rsid w:val="001F0C8B"/>
    <w:rsid w:val="001F0D5B"/>
    <w:rsid w:val="001F0F35"/>
    <w:rsid w:val="001F1235"/>
    <w:rsid w:val="001F1378"/>
    <w:rsid w:val="001F1396"/>
    <w:rsid w:val="001F1CB3"/>
    <w:rsid w:val="001F22E4"/>
    <w:rsid w:val="001F2371"/>
    <w:rsid w:val="001F32EF"/>
    <w:rsid w:val="001F389D"/>
    <w:rsid w:val="001F38B5"/>
    <w:rsid w:val="001F4081"/>
    <w:rsid w:val="001F4BAE"/>
    <w:rsid w:val="001F4D35"/>
    <w:rsid w:val="001F5010"/>
    <w:rsid w:val="001F537C"/>
    <w:rsid w:val="001F56CC"/>
    <w:rsid w:val="001F578C"/>
    <w:rsid w:val="001F5B4D"/>
    <w:rsid w:val="001F63E5"/>
    <w:rsid w:val="001F65B3"/>
    <w:rsid w:val="001F7134"/>
    <w:rsid w:val="001F7361"/>
    <w:rsid w:val="001F7ADD"/>
    <w:rsid w:val="00200A61"/>
    <w:rsid w:val="002011B0"/>
    <w:rsid w:val="00201822"/>
    <w:rsid w:val="00201FAE"/>
    <w:rsid w:val="00202727"/>
    <w:rsid w:val="00202D55"/>
    <w:rsid w:val="00203181"/>
    <w:rsid w:val="00203783"/>
    <w:rsid w:val="0020385F"/>
    <w:rsid w:val="00203B66"/>
    <w:rsid w:val="00203F9D"/>
    <w:rsid w:val="00204EAE"/>
    <w:rsid w:val="00204F46"/>
    <w:rsid w:val="00205258"/>
    <w:rsid w:val="00205433"/>
    <w:rsid w:val="002057A3"/>
    <w:rsid w:val="00205E00"/>
    <w:rsid w:val="00206763"/>
    <w:rsid w:val="002068A0"/>
    <w:rsid w:val="00207020"/>
    <w:rsid w:val="00207021"/>
    <w:rsid w:val="0020732F"/>
    <w:rsid w:val="002073DE"/>
    <w:rsid w:val="00207532"/>
    <w:rsid w:val="00207D00"/>
    <w:rsid w:val="00207D39"/>
    <w:rsid w:val="00207FCA"/>
    <w:rsid w:val="002101F4"/>
    <w:rsid w:val="002105C1"/>
    <w:rsid w:val="002107A9"/>
    <w:rsid w:val="00210F10"/>
    <w:rsid w:val="00211160"/>
    <w:rsid w:val="002116FD"/>
    <w:rsid w:val="002118ED"/>
    <w:rsid w:val="00211931"/>
    <w:rsid w:val="00211CD5"/>
    <w:rsid w:val="00213BF6"/>
    <w:rsid w:val="00213EF5"/>
    <w:rsid w:val="002141DE"/>
    <w:rsid w:val="00214B40"/>
    <w:rsid w:val="002154BA"/>
    <w:rsid w:val="002156F2"/>
    <w:rsid w:val="00215C31"/>
    <w:rsid w:val="0021637E"/>
    <w:rsid w:val="00216A54"/>
    <w:rsid w:val="00216BF5"/>
    <w:rsid w:val="00216FF6"/>
    <w:rsid w:val="00217083"/>
    <w:rsid w:val="002171DD"/>
    <w:rsid w:val="002200C1"/>
    <w:rsid w:val="00220335"/>
    <w:rsid w:val="00220899"/>
    <w:rsid w:val="00220B6A"/>
    <w:rsid w:val="002214B8"/>
    <w:rsid w:val="00221BED"/>
    <w:rsid w:val="00221FF2"/>
    <w:rsid w:val="00222D66"/>
    <w:rsid w:val="002238CA"/>
    <w:rsid w:val="00223B49"/>
    <w:rsid w:val="00223D5A"/>
    <w:rsid w:val="00224DD4"/>
    <w:rsid w:val="0022543D"/>
    <w:rsid w:val="002263A8"/>
    <w:rsid w:val="002264D9"/>
    <w:rsid w:val="002265AD"/>
    <w:rsid w:val="002266E3"/>
    <w:rsid w:val="0022685B"/>
    <w:rsid w:val="00227227"/>
    <w:rsid w:val="00227502"/>
    <w:rsid w:val="002275AA"/>
    <w:rsid w:val="00227655"/>
    <w:rsid w:val="002278A0"/>
    <w:rsid w:val="00230128"/>
    <w:rsid w:val="002309CC"/>
    <w:rsid w:val="00230F5B"/>
    <w:rsid w:val="00231502"/>
    <w:rsid w:val="00231BA9"/>
    <w:rsid w:val="00231E88"/>
    <w:rsid w:val="0023209F"/>
    <w:rsid w:val="00233590"/>
    <w:rsid w:val="00233858"/>
    <w:rsid w:val="00233C01"/>
    <w:rsid w:val="0023413C"/>
    <w:rsid w:val="002346F0"/>
    <w:rsid w:val="00234C7F"/>
    <w:rsid w:val="00235212"/>
    <w:rsid w:val="00235B9A"/>
    <w:rsid w:val="0023629D"/>
    <w:rsid w:val="002362C5"/>
    <w:rsid w:val="00236DB7"/>
    <w:rsid w:val="00236EF5"/>
    <w:rsid w:val="00237255"/>
    <w:rsid w:val="002372D7"/>
    <w:rsid w:val="00237B90"/>
    <w:rsid w:val="002409D2"/>
    <w:rsid w:val="00240C3A"/>
    <w:rsid w:val="0024141A"/>
    <w:rsid w:val="0024143E"/>
    <w:rsid w:val="00241751"/>
    <w:rsid w:val="002417F7"/>
    <w:rsid w:val="0024199B"/>
    <w:rsid w:val="002419CD"/>
    <w:rsid w:val="00241A2D"/>
    <w:rsid w:val="00241FD9"/>
    <w:rsid w:val="00242390"/>
    <w:rsid w:val="00242404"/>
    <w:rsid w:val="002424AF"/>
    <w:rsid w:val="00242AEB"/>
    <w:rsid w:val="00242AFC"/>
    <w:rsid w:val="00242C60"/>
    <w:rsid w:val="00243885"/>
    <w:rsid w:val="002439DC"/>
    <w:rsid w:val="00243A6A"/>
    <w:rsid w:val="002441D2"/>
    <w:rsid w:val="00244904"/>
    <w:rsid w:val="00244DC8"/>
    <w:rsid w:val="002458BA"/>
    <w:rsid w:val="00245CE9"/>
    <w:rsid w:val="0024636C"/>
    <w:rsid w:val="00246727"/>
    <w:rsid w:val="00246C0C"/>
    <w:rsid w:val="00246CF5"/>
    <w:rsid w:val="002474A9"/>
    <w:rsid w:val="00247925"/>
    <w:rsid w:val="002479FB"/>
    <w:rsid w:val="00250369"/>
    <w:rsid w:val="00251006"/>
    <w:rsid w:val="0025106C"/>
    <w:rsid w:val="00251B91"/>
    <w:rsid w:val="002524D5"/>
    <w:rsid w:val="002529D9"/>
    <w:rsid w:val="00252C80"/>
    <w:rsid w:val="00253B1D"/>
    <w:rsid w:val="00254B84"/>
    <w:rsid w:val="00254DCF"/>
    <w:rsid w:val="0025534B"/>
    <w:rsid w:val="002559D0"/>
    <w:rsid w:val="00255BB7"/>
    <w:rsid w:val="002567FD"/>
    <w:rsid w:val="00256A19"/>
    <w:rsid w:val="00256D91"/>
    <w:rsid w:val="00257541"/>
    <w:rsid w:val="00257A39"/>
    <w:rsid w:val="00257AC4"/>
    <w:rsid w:val="00257BBE"/>
    <w:rsid w:val="00260162"/>
    <w:rsid w:val="0026078A"/>
    <w:rsid w:val="00260799"/>
    <w:rsid w:val="002608A1"/>
    <w:rsid w:val="002608B0"/>
    <w:rsid w:val="0026185C"/>
    <w:rsid w:val="00261ED9"/>
    <w:rsid w:val="00261EEF"/>
    <w:rsid w:val="00262574"/>
    <w:rsid w:val="00262855"/>
    <w:rsid w:val="0026291A"/>
    <w:rsid w:val="00262A1A"/>
    <w:rsid w:val="00262A87"/>
    <w:rsid w:val="00262FC6"/>
    <w:rsid w:val="002632F1"/>
    <w:rsid w:val="00263A55"/>
    <w:rsid w:val="00263C72"/>
    <w:rsid w:val="0026427C"/>
    <w:rsid w:val="00264D26"/>
    <w:rsid w:val="002658E8"/>
    <w:rsid w:val="00265A64"/>
    <w:rsid w:val="00265E7B"/>
    <w:rsid w:val="00265ED4"/>
    <w:rsid w:val="0026631E"/>
    <w:rsid w:val="00266BEE"/>
    <w:rsid w:val="00266C40"/>
    <w:rsid w:val="00266E7A"/>
    <w:rsid w:val="00266EEE"/>
    <w:rsid w:val="00267001"/>
    <w:rsid w:val="0026750E"/>
    <w:rsid w:val="00267642"/>
    <w:rsid w:val="0026781C"/>
    <w:rsid w:val="002679EF"/>
    <w:rsid w:val="00267A16"/>
    <w:rsid w:val="00267AEA"/>
    <w:rsid w:val="00267D64"/>
    <w:rsid w:val="002700E6"/>
    <w:rsid w:val="00271827"/>
    <w:rsid w:val="00271979"/>
    <w:rsid w:val="00271AC7"/>
    <w:rsid w:val="00271F08"/>
    <w:rsid w:val="0027294B"/>
    <w:rsid w:val="002729C5"/>
    <w:rsid w:val="00272BF6"/>
    <w:rsid w:val="00273B0F"/>
    <w:rsid w:val="00273EB4"/>
    <w:rsid w:val="00274682"/>
    <w:rsid w:val="0027474C"/>
    <w:rsid w:val="00274D9A"/>
    <w:rsid w:val="00274E9F"/>
    <w:rsid w:val="00275158"/>
    <w:rsid w:val="0027525A"/>
    <w:rsid w:val="00275B7B"/>
    <w:rsid w:val="00275C5A"/>
    <w:rsid w:val="00276209"/>
    <w:rsid w:val="00276775"/>
    <w:rsid w:val="00277189"/>
    <w:rsid w:val="00277444"/>
    <w:rsid w:val="0027746E"/>
    <w:rsid w:val="00277674"/>
    <w:rsid w:val="00277694"/>
    <w:rsid w:val="00277E2E"/>
    <w:rsid w:val="00280444"/>
    <w:rsid w:val="002808B0"/>
    <w:rsid w:val="00280F10"/>
    <w:rsid w:val="00281014"/>
    <w:rsid w:val="002814DE"/>
    <w:rsid w:val="00282D96"/>
    <w:rsid w:val="0028338F"/>
    <w:rsid w:val="00283AD1"/>
    <w:rsid w:val="002841B1"/>
    <w:rsid w:val="00284577"/>
    <w:rsid w:val="0028539C"/>
    <w:rsid w:val="00285BCE"/>
    <w:rsid w:val="00285CED"/>
    <w:rsid w:val="00285E66"/>
    <w:rsid w:val="002865E9"/>
    <w:rsid w:val="0028665D"/>
    <w:rsid w:val="002870FC"/>
    <w:rsid w:val="00287219"/>
    <w:rsid w:val="002879EF"/>
    <w:rsid w:val="00290A05"/>
    <w:rsid w:val="002913BA"/>
    <w:rsid w:val="002927D6"/>
    <w:rsid w:val="00292A88"/>
    <w:rsid w:val="00292EBA"/>
    <w:rsid w:val="00293BE7"/>
    <w:rsid w:val="00294223"/>
    <w:rsid w:val="0029534C"/>
    <w:rsid w:val="00295929"/>
    <w:rsid w:val="00295A54"/>
    <w:rsid w:val="00296E35"/>
    <w:rsid w:val="0029759F"/>
    <w:rsid w:val="00297A22"/>
    <w:rsid w:val="002A035E"/>
    <w:rsid w:val="002A0E3C"/>
    <w:rsid w:val="002A0F96"/>
    <w:rsid w:val="002A0FA1"/>
    <w:rsid w:val="002A1162"/>
    <w:rsid w:val="002A14AB"/>
    <w:rsid w:val="002A17C1"/>
    <w:rsid w:val="002A1B17"/>
    <w:rsid w:val="002A1EF8"/>
    <w:rsid w:val="002A1F7D"/>
    <w:rsid w:val="002A2ADE"/>
    <w:rsid w:val="002A2DC5"/>
    <w:rsid w:val="002A2F50"/>
    <w:rsid w:val="002A33E5"/>
    <w:rsid w:val="002A3A9E"/>
    <w:rsid w:val="002A40D8"/>
    <w:rsid w:val="002A46D2"/>
    <w:rsid w:val="002A4DD8"/>
    <w:rsid w:val="002A5645"/>
    <w:rsid w:val="002A617C"/>
    <w:rsid w:val="002A61F4"/>
    <w:rsid w:val="002A6869"/>
    <w:rsid w:val="002A6B85"/>
    <w:rsid w:val="002A735D"/>
    <w:rsid w:val="002A7521"/>
    <w:rsid w:val="002A76A7"/>
    <w:rsid w:val="002A781E"/>
    <w:rsid w:val="002A7943"/>
    <w:rsid w:val="002A7A83"/>
    <w:rsid w:val="002B05A1"/>
    <w:rsid w:val="002B0747"/>
    <w:rsid w:val="002B09A4"/>
    <w:rsid w:val="002B1366"/>
    <w:rsid w:val="002B1376"/>
    <w:rsid w:val="002B1C1F"/>
    <w:rsid w:val="002B1F64"/>
    <w:rsid w:val="002B2091"/>
    <w:rsid w:val="002B3397"/>
    <w:rsid w:val="002B432F"/>
    <w:rsid w:val="002B45D8"/>
    <w:rsid w:val="002B4E3B"/>
    <w:rsid w:val="002B5686"/>
    <w:rsid w:val="002B56B5"/>
    <w:rsid w:val="002B5C23"/>
    <w:rsid w:val="002B5F24"/>
    <w:rsid w:val="002B6006"/>
    <w:rsid w:val="002B62B3"/>
    <w:rsid w:val="002B6345"/>
    <w:rsid w:val="002B64E6"/>
    <w:rsid w:val="002B6754"/>
    <w:rsid w:val="002B6BCB"/>
    <w:rsid w:val="002B6CCE"/>
    <w:rsid w:val="002B6D7A"/>
    <w:rsid w:val="002B7924"/>
    <w:rsid w:val="002C03DF"/>
    <w:rsid w:val="002C08A3"/>
    <w:rsid w:val="002C09DE"/>
    <w:rsid w:val="002C0AE1"/>
    <w:rsid w:val="002C0C86"/>
    <w:rsid w:val="002C1B52"/>
    <w:rsid w:val="002C1FB8"/>
    <w:rsid w:val="002C2128"/>
    <w:rsid w:val="002C250F"/>
    <w:rsid w:val="002C2510"/>
    <w:rsid w:val="002C2775"/>
    <w:rsid w:val="002C27C1"/>
    <w:rsid w:val="002C29D5"/>
    <w:rsid w:val="002C2DB9"/>
    <w:rsid w:val="002C36E3"/>
    <w:rsid w:val="002C3A3A"/>
    <w:rsid w:val="002C4481"/>
    <w:rsid w:val="002C4B72"/>
    <w:rsid w:val="002C5099"/>
    <w:rsid w:val="002C50F9"/>
    <w:rsid w:val="002C5889"/>
    <w:rsid w:val="002C5C91"/>
    <w:rsid w:val="002C6133"/>
    <w:rsid w:val="002C62AE"/>
    <w:rsid w:val="002C63BD"/>
    <w:rsid w:val="002C6782"/>
    <w:rsid w:val="002C6A0B"/>
    <w:rsid w:val="002C6DD5"/>
    <w:rsid w:val="002C6E49"/>
    <w:rsid w:val="002C71CE"/>
    <w:rsid w:val="002C79CF"/>
    <w:rsid w:val="002C7E2A"/>
    <w:rsid w:val="002D04B6"/>
    <w:rsid w:val="002D08F8"/>
    <w:rsid w:val="002D0E31"/>
    <w:rsid w:val="002D0F63"/>
    <w:rsid w:val="002D14E8"/>
    <w:rsid w:val="002D1AB9"/>
    <w:rsid w:val="002D274E"/>
    <w:rsid w:val="002D2CAE"/>
    <w:rsid w:val="002D30F3"/>
    <w:rsid w:val="002D3256"/>
    <w:rsid w:val="002D345F"/>
    <w:rsid w:val="002D3F4A"/>
    <w:rsid w:val="002D4006"/>
    <w:rsid w:val="002D4C66"/>
    <w:rsid w:val="002D5748"/>
    <w:rsid w:val="002D577C"/>
    <w:rsid w:val="002D57D4"/>
    <w:rsid w:val="002D5E34"/>
    <w:rsid w:val="002D6BCD"/>
    <w:rsid w:val="002D6D58"/>
    <w:rsid w:val="002D7832"/>
    <w:rsid w:val="002D7941"/>
    <w:rsid w:val="002D7C1E"/>
    <w:rsid w:val="002D7F9A"/>
    <w:rsid w:val="002E043A"/>
    <w:rsid w:val="002E09FA"/>
    <w:rsid w:val="002E0C75"/>
    <w:rsid w:val="002E1071"/>
    <w:rsid w:val="002E1293"/>
    <w:rsid w:val="002E15B9"/>
    <w:rsid w:val="002E1A46"/>
    <w:rsid w:val="002E2094"/>
    <w:rsid w:val="002E2158"/>
    <w:rsid w:val="002E24C8"/>
    <w:rsid w:val="002E2BC5"/>
    <w:rsid w:val="002E3030"/>
    <w:rsid w:val="002E3AB7"/>
    <w:rsid w:val="002E4F02"/>
    <w:rsid w:val="002E529D"/>
    <w:rsid w:val="002E53B9"/>
    <w:rsid w:val="002E5590"/>
    <w:rsid w:val="002E5C46"/>
    <w:rsid w:val="002E6818"/>
    <w:rsid w:val="002E69E5"/>
    <w:rsid w:val="002E6E7C"/>
    <w:rsid w:val="002E6FF5"/>
    <w:rsid w:val="002E7722"/>
    <w:rsid w:val="002E7CF7"/>
    <w:rsid w:val="002F00CC"/>
    <w:rsid w:val="002F069E"/>
    <w:rsid w:val="002F0733"/>
    <w:rsid w:val="002F0792"/>
    <w:rsid w:val="002F07BA"/>
    <w:rsid w:val="002F0DA9"/>
    <w:rsid w:val="002F1014"/>
    <w:rsid w:val="002F136A"/>
    <w:rsid w:val="002F17EC"/>
    <w:rsid w:val="002F1955"/>
    <w:rsid w:val="002F1D00"/>
    <w:rsid w:val="002F1E3B"/>
    <w:rsid w:val="002F24B2"/>
    <w:rsid w:val="002F253A"/>
    <w:rsid w:val="002F27B0"/>
    <w:rsid w:val="002F2D6E"/>
    <w:rsid w:val="002F3619"/>
    <w:rsid w:val="002F4AB4"/>
    <w:rsid w:val="002F546D"/>
    <w:rsid w:val="002F5933"/>
    <w:rsid w:val="002F6367"/>
    <w:rsid w:val="002F643C"/>
    <w:rsid w:val="002F6B1E"/>
    <w:rsid w:val="002F6C24"/>
    <w:rsid w:val="002F6E82"/>
    <w:rsid w:val="002F707A"/>
    <w:rsid w:val="002F7170"/>
    <w:rsid w:val="002F71C0"/>
    <w:rsid w:val="002F74F1"/>
    <w:rsid w:val="002F7D75"/>
    <w:rsid w:val="00300668"/>
    <w:rsid w:val="00300795"/>
    <w:rsid w:val="00300C9D"/>
    <w:rsid w:val="00301017"/>
    <w:rsid w:val="0030155F"/>
    <w:rsid w:val="00301616"/>
    <w:rsid w:val="00302FE3"/>
    <w:rsid w:val="003032B6"/>
    <w:rsid w:val="00303B9A"/>
    <w:rsid w:val="00304BA6"/>
    <w:rsid w:val="00304F01"/>
    <w:rsid w:val="00305488"/>
    <w:rsid w:val="0030587B"/>
    <w:rsid w:val="00305902"/>
    <w:rsid w:val="00305975"/>
    <w:rsid w:val="00306704"/>
    <w:rsid w:val="00306D24"/>
    <w:rsid w:val="00306D98"/>
    <w:rsid w:val="003072D0"/>
    <w:rsid w:val="0030786C"/>
    <w:rsid w:val="00307988"/>
    <w:rsid w:val="00307C2E"/>
    <w:rsid w:val="00307D4F"/>
    <w:rsid w:val="0031031A"/>
    <w:rsid w:val="003107E5"/>
    <w:rsid w:val="0031090C"/>
    <w:rsid w:val="00310981"/>
    <w:rsid w:val="00310D81"/>
    <w:rsid w:val="00310DA6"/>
    <w:rsid w:val="00310DE2"/>
    <w:rsid w:val="003111E6"/>
    <w:rsid w:val="00311305"/>
    <w:rsid w:val="003113E2"/>
    <w:rsid w:val="00311418"/>
    <w:rsid w:val="003115CF"/>
    <w:rsid w:val="00311686"/>
    <w:rsid w:val="003118BA"/>
    <w:rsid w:val="00311D9B"/>
    <w:rsid w:val="003124D9"/>
    <w:rsid w:val="00312594"/>
    <w:rsid w:val="00312B9D"/>
    <w:rsid w:val="00312C60"/>
    <w:rsid w:val="003134EF"/>
    <w:rsid w:val="00313579"/>
    <w:rsid w:val="003138F9"/>
    <w:rsid w:val="00313EFE"/>
    <w:rsid w:val="00314748"/>
    <w:rsid w:val="0031482F"/>
    <w:rsid w:val="00314AF7"/>
    <w:rsid w:val="00315230"/>
    <w:rsid w:val="0031548A"/>
    <w:rsid w:val="00315498"/>
    <w:rsid w:val="00316474"/>
    <w:rsid w:val="003164EA"/>
    <w:rsid w:val="00316673"/>
    <w:rsid w:val="00316AE5"/>
    <w:rsid w:val="00316E68"/>
    <w:rsid w:val="003207BD"/>
    <w:rsid w:val="00320E31"/>
    <w:rsid w:val="00322107"/>
    <w:rsid w:val="00322355"/>
    <w:rsid w:val="00322812"/>
    <w:rsid w:val="00322846"/>
    <w:rsid w:val="00322CCC"/>
    <w:rsid w:val="00322D71"/>
    <w:rsid w:val="00322E5E"/>
    <w:rsid w:val="0032308D"/>
    <w:rsid w:val="00323792"/>
    <w:rsid w:val="00323938"/>
    <w:rsid w:val="00323C06"/>
    <w:rsid w:val="00323C46"/>
    <w:rsid w:val="003246A6"/>
    <w:rsid w:val="00324742"/>
    <w:rsid w:val="00324FCE"/>
    <w:rsid w:val="0032612F"/>
    <w:rsid w:val="00326205"/>
    <w:rsid w:val="003265F8"/>
    <w:rsid w:val="003268F6"/>
    <w:rsid w:val="00326C4F"/>
    <w:rsid w:val="00326DA7"/>
    <w:rsid w:val="00326E6E"/>
    <w:rsid w:val="00326F03"/>
    <w:rsid w:val="003270E4"/>
    <w:rsid w:val="003273FF"/>
    <w:rsid w:val="0032763F"/>
    <w:rsid w:val="0032768C"/>
    <w:rsid w:val="00327A55"/>
    <w:rsid w:val="00327D1F"/>
    <w:rsid w:val="0033052D"/>
    <w:rsid w:val="003308F8"/>
    <w:rsid w:val="00330DAA"/>
    <w:rsid w:val="00330F5C"/>
    <w:rsid w:val="003311B6"/>
    <w:rsid w:val="00331624"/>
    <w:rsid w:val="00331824"/>
    <w:rsid w:val="00332262"/>
    <w:rsid w:val="00332EEF"/>
    <w:rsid w:val="00333074"/>
    <w:rsid w:val="003342A9"/>
    <w:rsid w:val="00334301"/>
    <w:rsid w:val="003348F9"/>
    <w:rsid w:val="00334EA0"/>
    <w:rsid w:val="00335858"/>
    <w:rsid w:val="00335C5E"/>
    <w:rsid w:val="003366C9"/>
    <w:rsid w:val="003371B0"/>
    <w:rsid w:val="003379DA"/>
    <w:rsid w:val="00337B80"/>
    <w:rsid w:val="00340045"/>
    <w:rsid w:val="003404D8"/>
    <w:rsid w:val="003405A6"/>
    <w:rsid w:val="00340B64"/>
    <w:rsid w:val="00340CE3"/>
    <w:rsid w:val="00340CEC"/>
    <w:rsid w:val="00340DF1"/>
    <w:rsid w:val="0034126F"/>
    <w:rsid w:val="00341815"/>
    <w:rsid w:val="0034380A"/>
    <w:rsid w:val="00344149"/>
    <w:rsid w:val="00344198"/>
    <w:rsid w:val="00344365"/>
    <w:rsid w:val="00344DD9"/>
    <w:rsid w:val="00345A89"/>
    <w:rsid w:val="00345CD9"/>
    <w:rsid w:val="00345FF4"/>
    <w:rsid w:val="00346BCE"/>
    <w:rsid w:val="00346CCC"/>
    <w:rsid w:val="003476C6"/>
    <w:rsid w:val="00347788"/>
    <w:rsid w:val="00347B01"/>
    <w:rsid w:val="00350060"/>
    <w:rsid w:val="0035035D"/>
    <w:rsid w:val="0035069D"/>
    <w:rsid w:val="003506E5"/>
    <w:rsid w:val="00351135"/>
    <w:rsid w:val="003511BD"/>
    <w:rsid w:val="00351662"/>
    <w:rsid w:val="003517F9"/>
    <w:rsid w:val="00351BA9"/>
    <w:rsid w:val="00351F2F"/>
    <w:rsid w:val="003529BF"/>
    <w:rsid w:val="00352A81"/>
    <w:rsid w:val="00352AC7"/>
    <w:rsid w:val="00352FB8"/>
    <w:rsid w:val="0035312E"/>
    <w:rsid w:val="00353278"/>
    <w:rsid w:val="00353A88"/>
    <w:rsid w:val="003548B9"/>
    <w:rsid w:val="00354902"/>
    <w:rsid w:val="00354BF8"/>
    <w:rsid w:val="00354F64"/>
    <w:rsid w:val="00355781"/>
    <w:rsid w:val="00355EFC"/>
    <w:rsid w:val="0035620E"/>
    <w:rsid w:val="00356246"/>
    <w:rsid w:val="00356BC8"/>
    <w:rsid w:val="003575BE"/>
    <w:rsid w:val="00357BF1"/>
    <w:rsid w:val="00360345"/>
    <w:rsid w:val="00360541"/>
    <w:rsid w:val="003607D1"/>
    <w:rsid w:val="00360808"/>
    <w:rsid w:val="00360CEB"/>
    <w:rsid w:val="00360FAA"/>
    <w:rsid w:val="00361563"/>
    <w:rsid w:val="00361A05"/>
    <w:rsid w:val="00361D00"/>
    <w:rsid w:val="003624C4"/>
    <w:rsid w:val="00362E28"/>
    <w:rsid w:val="00363B00"/>
    <w:rsid w:val="0036476B"/>
    <w:rsid w:val="00364A51"/>
    <w:rsid w:val="00365239"/>
    <w:rsid w:val="003654AC"/>
    <w:rsid w:val="00366086"/>
    <w:rsid w:val="00366588"/>
    <w:rsid w:val="0036678B"/>
    <w:rsid w:val="00366D3F"/>
    <w:rsid w:val="003671C6"/>
    <w:rsid w:val="0036727D"/>
    <w:rsid w:val="003673BD"/>
    <w:rsid w:val="00367626"/>
    <w:rsid w:val="00367D2F"/>
    <w:rsid w:val="003705C9"/>
    <w:rsid w:val="00371094"/>
    <w:rsid w:val="003710CF"/>
    <w:rsid w:val="0037120C"/>
    <w:rsid w:val="00372667"/>
    <w:rsid w:val="003726B2"/>
    <w:rsid w:val="0037358A"/>
    <w:rsid w:val="0037491F"/>
    <w:rsid w:val="00374D10"/>
    <w:rsid w:val="003750F6"/>
    <w:rsid w:val="0037585A"/>
    <w:rsid w:val="00375F94"/>
    <w:rsid w:val="003760FC"/>
    <w:rsid w:val="00376D3C"/>
    <w:rsid w:val="00376DEB"/>
    <w:rsid w:val="003770E7"/>
    <w:rsid w:val="00380F49"/>
    <w:rsid w:val="0038169C"/>
    <w:rsid w:val="003816CD"/>
    <w:rsid w:val="00381E84"/>
    <w:rsid w:val="0038286D"/>
    <w:rsid w:val="0038365C"/>
    <w:rsid w:val="0038369B"/>
    <w:rsid w:val="00383790"/>
    <w:rsid w:val="00383A8E"/>
    <w:rsid w:val="00383B78"/>
    <w:rsid w:val="003849C2"/>
    <w:rsid w:val="0038505E"/>
    <w:rsid w:val="00385A9D"/>
    <w:rsid w:val="00385D70"/>
    <w:rsid w:val="00386065"/>
    <w:rsid w:val="00386140"/>
    <w:rsid w:val="00387054"/>
    <w:rsid w:val="00387121"/>
    <w:rsid w:val="00387186"/>
    <w:rsid w:val="00387AA3"/>
    <w:rsid w:val="00387D71"/>
    <w:rsid w:val="003902B1"/>
    <w:rsid w:val="00390732"/>
    <w:rsid w:val="00390EB5"/>
    <w:rsid w:val="00391141"/>
    <w:rsid w:val="003911BE"/>
    <w:rsid w:val="0039179C"/>
    <w:rsid w:val="00392609"/>
    <w:rsid w:val="00392763"/>
    <w:rsid w:val="00392F87"/>
    <w:rsid w:val="00393056"/>
    <w:rsid w:val="003934AA"/>
    <w:rsid w:val="0039351C"/>
    <w:rsid w:val="003937BF"/>
    <w:rsid w:val="00393E9D"/>
    <w:rsid w:val="00394C01"/>
    <w:rsid w:val="00394EF8"/>
    <w:rsid w:val="00395049"/>
    <w:rsid w:val="00395327"/>
    <w:rsid w:val="00395A37"/>
    <w:rsid w:val="00395EA2"/>
    <w:rsid w:val="00396896"/>
    <w:rsid w:val="00396F08"/>
    <w:rsid w:val="00396F24"/>
    <w:rsid w:val="00396FD0"/>
    <w:rsid w:val="00397946"/>
    <w:rsid w:val="00397FF7"/>
    <w:rsid w:val="003A04BB"/>
    <w:rsid w:val="003A0A0A"/>
    <w:rsid w:val="003A14A1"/>
    <w:rsid w:val="003A1A7A"/>
    <w:rsid w:val="003A1B80"/>
    <w:rsid w:val="003A219B"/>
    <w:rsid w:val="003A2392"/>
    <w:rsid w:val="003A2831"/>
    <w:rsid w:val="003A2E2F"/>
    <w:rsid w:val="003A309E"/>
    <w:rsid w:val="003A384A"/>
    <w:rsid w:val="003A38E6"/>
    <w:rsid w:val="003A3CA5"/>
    <w:rsid w:val="003A3CB6"/>
    <w:rsid w:val="003A3ED1"/>
    <w:rsid w:val="003A44DB"/>
    <w:rsid w:val="003A4C14"/>
    <w:rsid w:val="003A4F5F"/>
    <w:rsid w:val="003A54E3"/>
    <w:rsid w:val="003A5BE3"/>
    <w:rsid w:val="003A5F4D"/>
    <w:rsid w:val="003A6147"/>
    <w:rsid w:val="003A68A2"/>
    <w:rsid w:val="003A6DC7"/>
    <w:rsid w:val="003A7319"/>
    <w:rsid w:val="003A7A58"/>
    <w:rsid w:val="003B0799"/>
    <w:rsid w:val="003B0980"/>
    <w:rsid w:val="003B10E0"/>
    <w:rsid w:val="003B1171"/>
    <w:rsid w:val="003B1D09"/>
    <w:rsid w:val="003B286A"/>
    <w:rsid w:val="003B3971"/>
    <w:rsid w:val="003B4DC8"/>
    <w:rsid w:val="003B55D1"/>
    <w:rsid w:val="003B5B61"/>
    <w:rsid w:val="003B643A"/>
    <w:rsid w:val="003B6BDD"/>
    <w:rsid w:val="003B71B8"/>
    <w:rsid w:val="003B7288"/>
    <w:rsid w:val="003B72D4"/>
    <w:rsid w:val="003B7412"/>
    <w:rsid w:val="003B751F"/>
    <w:rsid w:val="003B77D7"/>
    <w:rsid w:val="003B7CE6"/>
    <w:rsid w:val="003C02AA"/>
    <w:rsid w:val="003C0557"/>
    <w:rsid w:val="003C0A43"/>
    <w:rsid w:val="003C1289"/>
    <w:rsid w:val="003C1654"/>
    <w:rsid w:val="003C1794"/>
    <w:rsid w:val="003C188F"/>
    <w:rsid w:val="003C1B33"/>
    <w:rsid w:val="003C1CAB"/>
    <w:rsid w:val="003C1E53"/>
    <w:rsid w:val="003C2670"/>
    <w:rsid w:val="003C2ED6"/>
    <w:rsid w:val="003C3611"/>
    <w:rsid w:val="003C3775"/>
    <w:rsid w:val="003C3FE9"/>
    <w:rsid w:val="003C4201"/>
    <w:rsid w:val="003C439C"/>
    <w:rsid w:val="003C46CA"/>
    <w:rsid w:val="003C488B"/>
    <w:rsid w:val="003C5542"/>
    <w:rsid w:val="003C602F"/>
    <w:rsid w:val="003C6505"/>
    <w:rsid w:val="003C6DB9"/>
    <w:rsid w:val="003C6E48"/>
    <w:rsid w:val="003C73F1"/>
    <w:rsid w:val="003C7C15"/>
    <w:rsid w:val="003C7CC3"/>
    <w:rsid w:val="003C7D19"/>
    <w:rsid w:val="003C7D2F"/>
    <w:rsid w:val="003C7D3B"/>
    <w:rsid w:val="003D0C5A"/>
    <w:rsid w:val="003D1828"/>
    <w:rsid w:val="003D1DE4"/>
    <w:rsid w:val="003D1E9A"/>
    <w:rsid w:val="003D2422"/>
    <w:rsid w:val="003D254C"/>
    <w:rsid w:val="003D2655"/>
    <w:rsid w:val="003D2864"/>
    <w:rsid w:val="003D2A4D"/>
    <w:rsid w:val="003D3614"/>
    <w:rsid w:val="003D3777"/>
    <w:rsid w:val="003D3943"/>
    <w:rsid w:val="003D39A1"/>
    <w:rsid w:val="003D3FBF"/>
    <w:rsid w:val="003D4A30"/>
    <w:rsid w:val="003D4A80"/>
    <w:rsid w:val="003D610D"/>
    <w:rsid w:val="003D62ED"/>
    <w:rsid w:val="003D6830"/>
    <w:rsid w:val="003D6834"/>
    <w:rsid w:val="003D68F7"/>
    <w:rsid w:val="003D6AB3"/>
    <w:rsid w:val="003D6C82"/>
    <w:rsid w:val="003D6E53"/>
    <w:rsid w:val="003D7064"/>
    <w:rsid w:val="003D7452"/>
    <w:rsid w:val="003D7689"/>
    <w:rsid w:val="003D77C4"/>
    <w:rsid w:val="003D79BB"/>
    <w:rsid w:val="003D7AE2"/>
    <w:rsid w:val="003D7B11"/>
    <w:rsid w:val="003D7C98"/>
    <w:rsid w:val="003D7D9D"/>
    <w:rsid w:val="003D7DA3"/>
    <w:rsid w:val="003E0543"/>
    <w:rsid w:val="003E1126"/>
    <w:rsid w:val="003E300D"/>
    <w:rsid w:val="003E3084"/>
    <w:rsid w:val="003E31E9"/>
    <w:rsid w:val="003E3804"/>
    <w:rsid w:val="003E4D31"/>
    <w:rsid w:val="003E4E5E"/>
    <w:rsid w:val="003E5603"/>
    <w:rsid w:val="003E599B"/>
    <w:rsid w:val="003E6097"/>
    <w:rsid w:val="003E637D"/>
    <w:rsid w:val="003E671B"/>
    <w:rsid w:val="003E68AD"/>
    <w:rsid w:val="003E7008"/>
    <w:rsid w:val="003E749E"/>
    <w:rsid w:val="003E7A91"/>
    <w:rsid w:val="003E7FFC"/>
    <w:rsid w:val="003F0289"/>
    <w:rsid w:val="003F0B32"/>
    <w:rsid w:val="003F106A"/>
    <w:rsid w:val="003F19EA"/>
    <w:rsid w:val="003F1BE8"/>
    <w:rsid w:val="003F274E"/>
    <w:rsid w:val="003F29E2"/>
    <w:rsid w:val="003F2AB9"/>
    <w:rsid w:val="003F379F"/>
    <w:rsid w:val="003F3C68"/>
    <w:rsid w:val="003F3E83"/>
    <w:rsid w:val="003F3ED7"/>
    <w:rsid w:val="003F3F9F"/>
    <w:rsid w:val="003F4156"/>
    <w:rsid w:val="003F47A3"/>
    <w:rsid w:val="003F5014"/>
    <w:rsid w:val="003F5ADF"/>
    <w:rsid w:val="003F5EB8"/>
    <w:rsid w:val="003F64F5"/>
    <w:rsid w:val="003F678A"/>
    <w:rsid w:val="003F680D"/>
    <w:rsid w:val="003F7BF3"/>
    <w:rsid w:val="0040034B"/>
    <w:rsid w:val="00400B29"/>
    <w:rsid w:val="0040119A"/>
    <w:rsid w:val="0040149F"/>
    <w:rsid w:val="00401A7B"/>
    <w:rsid w:val="00401C2E"/>
    <w:rsid w:val="00401FBF"/>
    <w:rsid w:val="00402313"/>
    <w:rsid w:val="004025A6"/>
    <w:rsid w:val="00402812"/>
    <w:rsid w:val="00402B56"/>
    <w:rsid w:val="00403EAE"/>
    <w:rsid w:val="0040463D"/>
    <w:rsid w:val="00404CBA"/>
    <w:rsid w:val="0040504B"/>
    <w:rsid w:val="00405075"/>
    <w:rsid w:val="0040509F"/>
    <w:rsid w:val="004059F4"/>
    <w:rsid w:val="00405F61"/>
    <w:rsid w:val="00406064"/>
    <w:rsid w:val="00406183"/>
    <w:rsid w:val="00406C08"/>
    <w:rsid w:val="00407D0A"/>
    <w:rsid w:val="00407FE5"/>
    <w:rsid w:val="004101B0"/>
    <w:rsid w:val="00410326"/>
    <w:rsid w:val="00410708"/>
    <w:rsid w:val="00410EC7"/>
    <w:rsid w:val="00411279"/>
    <w:rsid w:val="004119C5"/>
    <w:rsid w:val="00411B39"/>
    <w:rsid w:val="00411B91"/>
    <w:rsid w:val="004127A7"/>
    <w:rsid w:val="00412804"/>
    <w:rsid w:val="00412FC0"/>
    <w:rsid w:val="00413064"/>
    <w:rsid w:val="00413368"/>
    <w:rsid w:val="004137CC"/>
    <w:rsid w:val="00413A1E"/>
    <w:rsid w:val="00414476"/>
    <w:rsid w:val="00414C2E"/>
    <w:rsid w:val="004151CF"/>
    <w:rsid w:val="00415EBF"/>
    <w:rsid w:val="00416364"/>
    <w:rsid w:val="00416947"/>
    <w:rsid w:val="00416D06"/>
    <w:rsid w:val="004179E6"/>
    <w:rsid w:val="00420278"/>
    <w:rsid w:val="0042047F"/>
    <w:rsid w:val="00420AA6"/>
    <w:rsid w:val="00420B9F"/>
    <w:rsid w:val="00420FC7"/>
    <w:rsid w:val="004214E5"/>
    <w:rsid w:val="0042192C"/>
    <w:rsid w:val="00421E15"/>
    <w:rsid w:val="00422240"/>
    <w:rsid w:val="00422260"/>
    <w:rsid w:val="0042289C"/>
    <w:rsid w:val="00422B60"/>
    <w:rsid w:val="00422D90"/>
    <w:rsid w:val="00423206"/>
    <w:rsid w:val="0042322D"/>
    <w:rsid w:val="00423EA5"/>
    <w:rsid w:val="0042413F"/>
    <w:rsid w:val="0042419B"/>
    <w:rsid w:val="00424705"/>
    <w:rsid w:val="00424F52"/>
    <w:rsid w:val="004250FC"/>
    <w:rsid w:val="004253C1"/>
    <w:rsid w:val="0042562C"/>
    <w:rsid w:val="00425710"/>
    <w:rsid w:val="00425B9A"/>
    <w:rsid w:val="00426812"/>
    <w:rsid w:val="004268EB"/>
    <w:rsid w:val="00426CA8"/>
    <w:rsid w:val="00426ECB"/>
    <w:rsid w:val="00427083"/>
    <w:rsid w:val="00427645"/>
    <w:rsid w:val="00427B4D"/>
    <w:rsid w:val="00430897"/>
    <w:rsid w:val="0043111A"/>
    <w:rsid w:val="00431969"/>
    <w:rsid w:val="004319F8"/>
    <w:rsid w:val="00431AD9"/>
    <w:rsid w:val="00431E55"/>
    <w:rsid w:val="004321F6"/>
    <w:rsid w:val="00432B4A"/>
    <w:rsid w:val="00433044"/>
    <w:rsid w:val="00433764"/>
    <w:rsid w:val="00433D0C"/>
    <w:rsid w:val="00434088"/>
    <w:rsid w:val="0043473D"/>
    <w:rsid w:val="004347F8"/>
    <w:rsid w:val="00435F43"/>
    <w:rsid w:val="00435FC9"/>
    <w:rsid w:val="0043606F"/>
    <w:rsid w:val="00436150"/>
    <w:rsid w:val="00436389"/>
    <w:rsid w:val="004368FE"/>
    <w:rsid w:val="00436A69"/>
    <w:rsid w:val="00436CFB"/>
    <w:rsid w:val="0043727A"/>
    <w:rsid w:val="004375B9"/>
    <w:rsid w:val="004377B5"/>
    <w:rsid w:val="004409FF"/>
    <w:rsid w:val="00440ECD"/>
    <w:rsid w:val="00441743"/>
    <w:rsid w:val="004418F1"/>
    <w:rsid w:val="0044197B"/>
    <w:rsid w:val="00442221"/>
    <w:rsid w:val="0044244A"/>
    <w:rsid w:val="004428D0"/>
    <w:rsid w:val="00443673"/>
    <w:rsid w:val="004437DE"/>
    <w:rsid w:val="00443AE0"/>
    <w:rsid w:val="00443C79"/>
    <w:rsid w:val="00444185"/>
    <w:rsid w:val="004443A7"/>
    <w:rsid w:val="0044442C"/>
    <w:rsid w:val="00444BC8"/>
    <w:rsid w:val="00445385"/>
    <w:rsid w:val="004458DF"/>
    <w:rsid w:val="00445941"/>
    <w:rsid w:val="004464EB"/>
    <w:rsid w:val="00446719"/>
    <w:rsid w:val="00446D7C"/>
    <w:rsid w:val="00446DF5"/>
    <w:rsid w:val="00446F09"/>
    <w:rsid w:val="00447202"/>
    <w:rsid w:val="00447345"/>
    <w:rsid w:val="0044741A"/>
    <w:rsid w:val="0044792A"/>
    <w:rsid w:val="00447C89"/>
    <w:rsid w:val="00447D26"/>
    <w:rsid w:val="00447DFC"/>
    <w:rsid w:val="00447FA1"/>
    <w:rsid w:val="00447FB3"/>
    <w:rsid w:val="0045034C"/>
    <w:rsid w:val="004503E0"/>
    <w:rsid w:val="0045052C"/>
    <w:rsid w:val="00451527"/>
    <w:rsid w:val="00451E51"/>
    <w:rsid w:val="004525E1"/>
    <w:rsid w:val="004528A2"/>
    <w:rsid w:val="004528F1"/>
    <w:rsid w:val="0045394F"/>
    <w:rsid w:val="004540BC"/>
    <w:rsid w:val="00455418"/>
    <w:rsid w:val="00455D45"/>
    <w:rsid w:val="00455D74"/>
    <w:rsid w:val="00455EDB"/>
    <w:rsid w:val="00456D23"/>
    <w:rsid w:val="00456E4D"/>
    <w:rsid w:val="00457573"/>
    <w:rsid w:val="004606DC"/>
    <w:rsid w:val="0046109B"/>
    <w:rsid w:val="0046199E"/>
    <w:rsid w:val="00461B34"/>
    <w:rsid w:val="004625B1"/>
    <w:rsid w:val="00462769"/>
    <w:rsid w:val="00462A02"/>
    <w:rsid w:val="004631D9"/>
    <w:rsid w:val="0046336E"/>
    <w:rsid w:val="00463816"/>
    <w:rsid w:val="004639D1"/>
    <w:rsid w:val="00464153"/>
    <w:rsid w:val="00464595"/>
    <w:rsid w:val="00464776"/>
    <w:rsid w:val="004649A0"/>
    <w:rsid w:val="004658B5"/>
    <w:rsid w:val="00465D37"/>
    <w:rsid w:val="00466492"/>
    <w:rsid w:val="0046728A"/>
    <w:rsid w:val="004678F9"/>
    <w:rsid w:val="00467BA9"/>
    <w:rsid w:val="00467D27"/>
    <w:rsid w:val="00470518"/>
    <w:rsid w:val="00470D3B"/>
    <w:rsid w:val="00471EA5"/>
    <w:rsid w:val="004721A3"/>
    <w:rsid w:val="004724A9"/>
    <w:rsid w:val="0047268F"/>
    <w:rsid w:val="004728F8"/>
    <w:rsid w:val="00472A79"/>
    <w:rsid w:val="00472B1C"/>
    <w:rsid w:val="00472F49"/>
    <w:rsid w:val="004731E3"/>
    <w:rsid w:val="00473F19"/>
    <w:rsid w:val="00473F5D"/>
    <w:rsid w:val="00474234"/>
    <w:rsid w:val="004743C6"/>
    <w:rsid w:val="0047514E"/>
    <w:rsid w:val="00475E22"/>
    <w:rsid w:val="00476627"/>
    <w:rsid w:val="00476909"/>
    <w:rsid w:val="0048009A"/>
    <w:rsid w:val="00480133"/>
    <w:rsid w:val="0048088E"/>
    <w:rsid w:val="004808C2"/>
    <w:rsid w:val="00480907"/>
    <w:rsid w:val="00480F2B"/>
    <w:rsid w:val="00481129"/>
    <w:rsid w:val="004825C6"/>
    <w:rsid w:val="00482720"/>
    <w:rsid w:val="00482E4F"/>
    <w:rsid w:val="004830EF"/>
    <w:rsid w:val="004835E7"/>
    <w:rsid w:val="00483E3F"/>
    <w:rsid w:val="0048425A"/>
    <w:rsid w:val="00484602"/>
    <w:rsid w:val="00484793"/>
    <w:rsid w:val="00485877"/>
    <w:rsid w:val="004859E1"/>
    <w:rsid w:val="00485F56"/>
    <w:rsid w:val="00486034"/>
    <w:rsid w:val="00486371"/>
    <w:rsid w:val="00486584"/>
    <w:rsid w:val="00486592"/>
    <w:rsid w:val="004867E2"/>
    <w:rsid w:val="00486DFB"/>
    <w:rsid w:val="00487E47"/>
    <w:rsid w:val="004903A8"/>
    <w:rsid w:val="00490B17"/>
    <w:rsid w:val="00491B3A"/>
    <w:rsid w:val="0049200A"/>
    <w:rsid w:val="0049273D"/>
    <w:rsid w:val="00492CFD"/>
    <w:rsid w:val="00492D2E"/>
    <w:rsid w:val="00493255"/>
    <w:rsid w:val="004933B0"/>
    <w:rsid w:val="004935A9"/>
    <w:rsid w:val="00493C33"/>
    <w:rsid w:val="00494207"/>
    <w:rsid w:val="00494AD0"/>
    <w:rsid w:val="00494DD5"/>
    <w:rsid w:val="004957C2"/>
    <w:rsid w:val="00495EFF"/>
    <w:rsid w:val="004962D2"/>
    <w:rsid w:val="004968E8"/>
    <w:rsid w:val="00496E60"/>
    <w:rsid w:val="004978F5"/>
    <w:rsid w:val="00497FBB"/>
    <w:rsid w:val="004A0807"/>
    <w:rsid w:val="004A0A1D"/>
    <w:rsid w:val="004A0D36"/>
    <w:rsid w:val="004A0DA1"/>
    <w:rsid w:val="004A10FB"/>
    <w:rsid w:val="004A13D6"/>
    <w:rsid w:val="004A1C00"/>
    <w:rsid w:val="004A1E34"/>
    <w:rsid w:val="004A2557"/>
    <w:rsid w:val="004A29D1"/>
    <w:rsid w:val="004A30FE"/>
    <w:rsid w:val="004A367B"/>
    <w:rsid w:val="004A3826"/>
    <w:rsid w:val="004A3F92"/>
    <w:rsid w:val="004A448D"/>
    <w:rsid w:val="004A4787"/>
    <w:rsid w:val="004A48AE"/>
    <w:rsid w:val="004A4AC7"/>
    <w:rsid w:val="004A4F4D"/>
    <w:rsid w:val="004A52E9"/>
    <w:rsid w:val="004A579F"/>
    <w:rsid w:val="004A5FB9"/>
    <w:rsid w:val="004A6040"/>
    <w:rsid w:val="004A6597"/>
    <w:rsid w:val="004A6A1F"/>
    <w:rsid w:val="004A6E70"/>
    <w:rsid w:val="004A7202"/>
    <w:rsid w:val="004A74F5"/>
    <w:rsid w:val="004A7592"/>
    <w:rsid w:val="004A7848"/>
    <w:rsid w:val="004A78B3"/>
    <w:rsid w:val="004A793B"/>
    <w:rsid w:val="004A7BD6"/>
    <w:rsid w:val="004B002B"/>
    <w:rsid w:val="004B0113"/>
    <w:rsid w:val="004B02AD"/>
    <w:rsid w:val="004B08FD"/>
    <w:rsid w:val="004B0FFC"/>
    <w:rsid w:val="004B1025"/>
    <w:rsid w:val="004B1A45"/>
    <w:rsid w:val="004B1CB4"/>
    <w:rsid w:val="004B28DA"/>
    <w:rsid w:val="004B2F18"/>
    <w:rsid w:val="004B361A"/>
    <w:rsid w:val="004B3DDB"/>
    <w:rsid w:val="004B3FB7"/>
    <w:rsid w:val="004B4008"/>
    <w:rsid w:val="004B4034"/>
    <w:rsid w:val="004B44FD"/>
    <w:rsid w:val="004B4C97"/>
    <w:rsid w:val="004B5080"/>
    <w:rsid w:val="004B5CFC"/>
    <w:rsid w:val="004B5FE7"/>
    <w:rsid w:val="004B63A6"/>
    <w:rsid w:val="004B653A"/>
    <w:rsid w:val="004B6A2F"/>
    <w:rsid w:val="004B6BFB"/>
    <w:rsid w:val="004B6F79"/>
    <w:rsid w:val="004B774D"/>
    <w:rsid w:val="004C01CE"/>
    <w:rsid w:val="004C04B9"/>
    <w:rsid w:val="004C0AA3"/>
    <w:rsid w:val="004C1876"/>
    <w:rsid w:val="004C1DD4"/>
    <w:rsid w:val="004C23A2"/>
    <w:rsid w:val="004C24E0"/>
    <w:rsid w:val="004C2AC2"/>
    <w:rsid w:val="004C2CA4"/>
    <w:rsid w:val="004C3B02"/>
    <w:rsid w:val="004C3C70"/>
    <w:rsid w:val="004C3EAD"/>
    <w:rsid w:val="004C4581"/>
    <w:rsid w:val="004C4AED"/>
    <w:rsid w:val="004C4DD4"/>
    <w:rsid w:val="004C500D"/>
    <w:rsid w:val="004C52DE"/>
    <w:rsid w:val="004C56DF"/>
    <w:rsid w:val="004C6192"/>
    <w:rsid w:val="004C6F0B"/>
    <w:rsid w:val="004C7B4F"/>
    <w:rsid w:val="004C7CBD"/>
    <w:rsid w:val="004D0B69"/>
    <w:rsid w:val="004D0E65"/>
    <w:rsid w:val="004D159B"/>
    <w:rsid w:val="004D1E33"/>
    <w:rsid w:val="004D23A0"/>
    <w:rsid w:val="004D25D4"/>
    <w:rsid w:val="004D2A1F"/>
    <w:rsid w:val="004D2C2D"/>
    <w:rsid w:val="004D2F01"/>
    <w:rsid w:val="004D3195"/>
    <w:rsid w:val="004D5D1E"/>
    <w:rsid w:val="004D5DA8"/>
    <w:rsid w:val="004D63CD"/>
    <w:rsid w:val="004D6571"/>
    <w:rsid w:val="004D6683"/>
    <w:rsid w:val="004D6985"/>
    <w:rsid w:val="004D69B5"/>
    <w:rsid w:val="004D6E6C"/>
    <w:rsid w:val="004D71DD"/>
    <w:rsid w:val="004D7227"/>
    <w:rsid w:val="004D7833"/>
    <w:rsid w:val="004D7B5E"/>
    <w:rsid w:val="004E07E5"/>
    <w:rsid w:val="004E0DEC"/>
    <w:rsid w:val="004E0E7F"/>
    <w:rsid w:val="004E0EB8"/>
    <w:rsid w:val="004E1151"/>
    <w:rsid w:val="004E14BB"/>
    <w:rsid w:val="004E18E9"/>
    <w:rsid w:val="004E2267"/>
    <w:rsid w:val="004E2ADC"/>
    <w:rsid w:val="004E2D51"/>
    <w:rsid w:val="004E2DD3"/>
    <w:rsid w:val="004E2EEE"/>
    <w:rsid w:val="004E3192"/>
    <w:rsid w:val="004E3704"/>
    <w:rsid w:val="004E3781"/>
    <w:rsid w:val="004E41B6"/>
    <w:rsid w:val="004E43B2"/>
    <w:rsid w:val="004E4ACA"/>
    <w:rsid w:val="004E4F15"/>
    <w:rsid w:val="004E5EC5"/>
    <w:rsid w:val="004E6867"/>
    <w:rsid w:val="004E6D48"/>
    <w:rsid w:val="004E6D9B"/>
    <w:rsid w:val="004E6E6B"/>
    <w:rsid w:val="004E6FCD"/>
    <w:rsid w:val="004E7414"/>
    <w:rsid w:val="004E7F0D"/>
    <w:rsid w:val="004F00E0"/>
    <w:rsid w:val="004F06AB"/>
    <w:rsid w:val="004F0B20"/>
    <w:rsid w:val="004F0B21"/>
    <w:rsid w:val="004F0F4E"/>
    <w:rsid w:val="004F18CD"/>
    <w:rsid w:val="004F19F5"/>
    <w:rsid w:val="004F1D02"/>
    <w:rsid w:val="004F1EDD"/>
    <w:rsid w:val="004F25E1"/>
    <w:rsid w:val="004F2679"/>
    <w:rsid w:val="004F2774"/>
    <w:rsid w:val="004F2F21"/>
    <w:rsid w:val="004F328F"/>
    <w:rsid w:val="004F3521"/>
    <w:rsid w:val="004F3562"/>
    <w:rsid w:val="004F3763"/>
    <w:rsid w:val="004F3C93"/>
    <w:rsid w:val="004F3DE5"/>
    <w:rsid w:val="004F3E2F"/>
    <w:rsid w:val="004F4B66"/>
    <w:rsid w:val="004F5294"/>
    <w:rsid w:val="004F5734"/>
    <w:rsid w:val="004F5AF7"/>
    <w:rsid w:val="004F5C07"/>
    <w:rsid w:val="004F640A"/>
    <w:rsid w:val="004F6484"/>
    <w:rsid w:val="004F6913"/>
    <w:rsid w:val="004F6C41"/>
    <w:rsid w:val="004F7865"/>
    <w:rsid w:val="004F7A16"/>
    <w:rsid w:val="00500816"/>
    <w:rsid w:val="00500C27"/>
    <w:rsid w:val="005010CC"/>
    <w:rsid w:val="0050174E"/>
    <w:rsid w:val="00501854"/>
    <w:rsid w:val="0050219B"/>
    <w:rsid w:val="005029DD"/>
    <w:rsid w:val="00502A8B"/>
    <w:rsid w:val="00502F7B"/>
    <w:rsid w:val="00503049"/>
    <w:rsid w:val="005035A8"/>
    <w:rsid w:val="00503AEB"/>
    <w:rsid w:val="00503F17"/>
    <w:rsid w:val="00503F3A"/>
    <w:rsid w:val="00503FF2"/>
    <w:rsid w:val="00504A60"/>
    <w:rsid w:val="00504BDA"/>
    <w:rsid w:val="00504EC8"/>
    <w:rsid w:val="00505A18"/>
    <w:rsid w:val="0050675A"/>
    <w:rsid w:val="00506928"/>
    <w:rsid w:val="00506C09"/>
    <w:rsid w:val="00506E4F"/>
    <w:rsid w:val="00507156"/>
    <w:rsid w:val="005077EF"/>
    <w:rsid w:val="00507AB5"/>
    <w:rsid w:val="00511301"/>
    <w:rsid w:val="005113DD"/>
    <w:rsid w:val="005113E7"/>
    <w:rsid w:val="00511AD5"/>
    <w:rsid w:val="00511BB9"/>
    <w:rsid w:val="00511DC7"/>
    <w:rsid w:val="0051295E"/>
    <w:rsid w:val="00512D73"/>
    <w:rsid w:val="005130A9"/>
    <w:rsid w:val="0051315B"/>
    <w:rsid w:val="00513602"/>
    <w:rsid w:val="0051387E"/>
    <w:rsid w:val="00513F7B"/>
    <w:rsid w:val="00514261"/>
    <w:rsid w:val="005142C5"/>
    <w:rsid w:val="00514607"/>
    <w:rsid w:val="00514730"/>
    <w:rsid w:val="0051501B"/>
    <w:rsid w:val="0051515E"/>
    <w:rsid w:val="005152B5"/>
    <w:rsid w:val="00515682"/>
    <w:rsid w:val="00515886"/>
    <w:rsid w:val="00515BEC"/>
    <w:rsid w:val="00515DF2"/>
    <w:rsid w:val="00516519"/>
    <w:rsid w:val="00516732"/>
    <w:rsid w:val="00517498"/>
    <w:rsid w:val="00517F0F"/>
    <w:rsid w:val="00520164"/>
    <w:rsid w:val="0052064D"/>
    <w:rsid w:val="0052123C"/>
    <w:rsid w:val="00521319"/>
    <w:rsid w:val="00521B11"/>
    <w:rsid w:val="005223E6"/>
    <w:rsid w:val="0052247A"/>
    <w:rsid w:val="0052277C"/>
    <w:rsid w:val="00522BC8"/>
    <w:rsid w:val="00522E4C"/>
    <w:rsid w:val="005232BB"/>
    <w:rsid w:val="00523872"/>
    <w:rsid w:val="005238A3"/>
    <w:rsid w:val="005238D0"/>
    <w:rsid w:val="00523A0A"/>
    <w:rsid w:val="00523C28"/>
    <w:rsid w:val="0052461A"/>
    <w:rsid w:val="00524C89"/>
    <w:rsid w:val="0052545B"/>
    <w:rsid w:val="005256F6"/>
    <w:rsid w:val="00525D66"/>
    <w:rsid w:val="00526662"/>
    <w:rsid w:val="0052691C"/>
    <w:rsid w:val="00526A5D"/>
    <w:rsid w:val="00526BA7"/>
    <w:rsid w:val="00526FBA"/>
    <w:rsid w:val="00527443"/>
    <w:rsid w:val="0052788A"/>
    <w:rsid w:val="00530E05"/>
    <w:rsid w:val="00530E2D"/>
    <w:rsid w:val="00530E9E"/>
    <w:rsid w:val="00530F90"/>
    <w:rsid w:val="005312D4"/>
    <w:rsid w:val="0053176B"/>
    <w:rsid w:val="00532246"/>
    <w:rsid w:val="0053246D"/>
    <w:rsid w:val="0053288E"/>
    <w:rsid w:val="005330E6"/>
    <w:rsid w:val="005334AB"/>
    <w:rsid w:val="0053371E"/>
    <w:rsid w:val="00533B3B"/>
    <w:rsid w:val="005341B3"/>
    <w:rsid w:val="00534394"/>
    <w:rsid w:val="00534D37"/>
    <w:rsid w:val="00534E65"/>
    <w:rsid w:val="00535057"/>
    <w:rsid w:val="005355B9"/>
    <w:rsid w:val="005355FB"/>
    <w:rsid w:val="005358EE"/>
    <w:rsid w:val="00536664"/>
    <w:rsid w:val="00536D7E"/>
    <w:rsid w:val="00536EC9"/>
    <w:rsid w:val="00536F42"/>
    <w:rsid w:val="00537182"/>
    <w:rsid w:val="0053772A"/>
    <w:rsid w:val="00537F7F"/>
    <w:rsid w:val="00540CAA"/>
    <w:rsid w:val="0054129D"/>
    <w:rsid w:val="00541CCF"/>
    <w:rsid w:val="00541EDD"/>
    <w:rsid w:val="0054204C"/>
    <w:rsid w:val="005422A9"/>
    <w:rsid w:val="0054242B"/>
    <w:rsid w:val="00542743"/>
    <w:rsid w:val="00542764"/>
    <w:rsid w:val="00542C2D"/>
    <w:rsid w:val="00543544"/>
    <w:rsid w:val="00543F1F"/>
    <w:rsid w:val="00544AD3"/>
    <w:rsid w:val="0054587B"/>
    <w:rsid w:val="00545B24"/>
    <w:rsid w:val="00545EBF"/>
    <w:rsid w:val="00546E26"/>
    <w:rsid w:val="00546F8B"/>
    <w:rsid w:val="005478BD"/>
    <w:rsid w:val="00547948"/>
    <w:rsid w:val="005479E3"/>
    <w:rsid w:val="00550632"/>
    <w:rsid w:val="00550E06"/>
    <w:rsid w:val="0055149D"/>
    <w:rsid w:val="00551985"/>
    <w:rsid w:val="00552A3F"/>
    <w:rsid w:val="00552BD3"/>
    <w:rsid w:val="00552DEF"/>
    <w:rsid w:val="005532A0"/>
    <w:rsid w:val="00553B21"/>
    <w:rsid w:val="00553B7A"/>
    <w:rsid w:val="005544CA"/>
    <w:rsid w:val="00554A62"/>
    <w:rsid w:val="00555109"/>
    <w:rsid w:val="00555584"/>
    <w:rsid w:val="00555995"/>
    <w:rsid w:val="00555FB7"/>
    <w:rsid w:val="00556B35"/>
    <w:rsid w:val="00557343"/>
    <w:rsid w:val="0055741A"/>
    <w:rsid w:val="0056010F"/>
    <w:rsid w:val="005611B7"/>
    <w:rsid w:val="00561213"/>
    <w:rsid w:val="00561287"/>
    <w:rsid w:val="0056134C"/>
    <w:rsid w:val="00561411"/>
    <w:rsid w:val="005618D4"/>
    <w:rsid w:val="00561BFF"/>
    <w:rsid w:val="00561FD5"/>
    <w:rsid w:val="00562A5D"/>
    <w:rsid w:val="00563664"/>
    <w:rsid w:val="00564867"/>
    <w:rsid w:val="0056519E"/>
    <w:rsid w:val="00565292"/>
    <w:rsid w:val="00565592"/>
    <w:rsid w:val="00565A74"/>
    <w:rsid w:val="00565C79"/>
    <w:rsid w:val="00565DF0"/>
    <w:rsid w:val="00566175"/>
    <w:rsid w:val="0056696F"/>
    <w:rsid w:val="00566B72"/>
    <w:rsid w:val="005670AC"/>
    <w:rsid w:val="005671A0"/>
    <w:rsid w:val="00567228"/>
    <w:rsid w:val="00567B75"/>
    <w:rsid w:val="00567BCE"/>
    <w:rsid w:val="0057030D"/>
    <w:rsid w:val="0057096E"/>
    <w:rsid w:val="00570E04"/>
    <w:rsid w:val="0057102E"/>
    <w:rsid w:val="00571039"/>
    <w:rsid w:val="00571330"/>
    <w:rsid w:val="00571939"/>
    <w:rsid w:val="00571DDC"/>
    <w:rsid w:val="00571DEC"/>
    <w:rsid w:val="00572269"/>
    <w:rsid w:val="0057244A"/>
    <w:rsid w:val="005725AE"/>
    <w:rsid w:val="005729EC"/>
    <w:rsid w:val="00572C47"/>
    <w:rsid w:val="00572F26"/>
    <w:rsid w:val="00573595"/>
    <w:rsid w:val="00574453"/>
    <w:rsid w:val="00574D73"/>
    <w:rsid w:val="005750C5"/>
    <w:rsid w:val="005752DE"/>
    <w:rsid w:val="00575731"/>
    <w:rsid w:val="0057573B"/>
    <w:rsid w:val="00575D60"/>
    <w:rsid w:val="00575D8D"/>
    <w:rsid w:val="00575F81"/>
    <w:rsid w:val="005760A5"/>
    <w:rsid w:val="0057628D"/>
    <w:rsid w:val="00576472"/>
    <w:rsid w:val="00576861"/>
    <w:rsid w:val="00576972"/>
    <w:rsid w:val="00576C99"/>
    <w:rsid w:val="00576E3E"/>
    <w:rsid w:val="00577248"/>
    <w:rsid w:val="00577920"/>
    <w:rsid w:val="00577962"/>
    <w:rsid w:val="005779B4"/>
    <w:rsid w:val="005804C2"/>
    <w:rsid w:val="0058085C"/>
    <w:rsid w:val="00581153"/>
    <w:rsid w:val="00581228"/>
    <w:rsid w:val="0058148F"/>
    <w:rsid w:val="00582108"/>
    <w:rsid w:val="00583606"/>
    <w:rsid w:val="00583689"/>
    <w:rsid w:val="00583699"/>
    <w:rsid w:val="00583B62"/>
    <w:rsid w:val="005844AF"/>
    <w:rsid w:val="005855E8"/>
    <w:rsid w:val="00585B02"/>
    <w:rsid w:val="00585CDD"/>
    <w:rsid w:val="00586755"/>
    <w:rsid w:val="00586814"/>
    <w:rsid w:val="00587058"/>
    <w:rsid w:val="0058721E"/>
    <w:rsid w:val="00587D29"/>
    <w:rsid w:val="00590758"/>
    <w:rsid w:val="00590B2B"/>
    <w:rsid w:val="00590CB5"/>
    <w:rsid w:val="00590F45"/>
    <w:rsid w:val="005911F9"/>
    <w:rsid w:val="005915AC"/>
    <w:rsid w:val="00591957"/>
    <w:rsid w:val="005919C2"/>
    <w:rsid w:val="00591C29"/>
    <w:rsid w:val="005923F6"/>
    <w:rsid w:val="005928A6"/>
    <w:rsid w:val="00592E3B"/>
    <w:rsid w:val="00593018"/>
    <w:rsid w:val="005931D5"/>
    <w:rsid w:val="005937BD"/>
    <w:rsid w:val="005938C8"/>
    <w:rsid w:val="00593A0D"/>
    <w:rsid w:val="00593A40"/>
    <w:rsid w:val="00593E24"/>
    <w:rsid w:val="00595211"/>
    <w:rsid w:val="00595C6C"/>
    <w:rsid w:val="00595F42"/>
    <w:rsid w:val="0059679A"/>
    <w:rsid w:val="00596B44"/>
    <w:rsid w:val="00596D39"/>
    <w:rsid w:val="00597106"/>
    <w:rsid w:val="0059710A"/>
    <w:rsid w:val="005972E9"/>
    <w:rsid w:val="005975B2"/>
    <w:rsid w:val="00597BF9"/>
    <w:rsid w:val="005A09DB"/>
    <w:rsid w:val="005A0C11"/>
    <w:rsid w:val="005A0F2E"/>
    <w:rsid w:val="005A1698"/>
    <w:rsid w:val="005A25ED"/>
    <w:rsid w:val="005A264C"/>
    <w:rsid w:val="005A2BCD"/>
    <w:rsid w:val="005A2E9F"/>
    <w:rsid w:val="005A309A"/>
    <w:rsid w:val="005A3363"/>
    <w:rsid w:val="005A338C"/>
    <w:rsid w:val="005A373D"/>
    <w:rsid w:val="005A3890"/>
    <w:rsid w:val="005A3A8F"/>
    <w:rsid w:val="005A3F22"/>
    <w:rsid w:val="005A450B"/>
    <w:rsid w:val="005A4593"/>
    <w:rsid w:val="005A4774"/>
    <w:rsid w:val="005A4E4B"/>
    <w:rsid w:val="005A5522"/>
    <w:rsid w:val="005A6327"/>
    <w:rsid w:val="005A6909"/>
    <w:rsid w:val="005A6D41"/>
    <w:rsid w:val="005A6F41"/>
    <w:rsid w:val="005A7478"/>
    <w:rsid w:val="005A79B5"/>
    <w:rsid w:val="005A79C7"/>
    <w:rsid w:val="005B01B1"/>
    <w:rsid w:val="005B02C9"/>
    <w:rsid w:val="005B06F7"/>
    <w:rsid w:val="005B0B58"/>
    <w:rsid w:val="005B0FC7"/>
    <w:rsid w:val="005B118A"/>
    <w:rsid w:val="005B1B19"/>
    <w:rsid w:val="005B1CB1"/>
    <w:rsid w:val="005B2888"/>
    <w:rsid w:val="005B37FE"/>
    <w:rsid w:val="005B3882"/>
    <w:rsid w:val="005B4637"/>
    <w:rsid w:val="005B46DA"/>
    <w:rsid w:val="005B4C7D"/>
    <w:rsid w:val="005B4DF6"/>
    <w:rsid w:val="005B4E53"/>
    <w:rsid w:val="005B5857"/>
    <w:rsid w:val="005B5B32"/>
    <w:rsid w:val="005B5D57"/>
    <w:rsid w:val="005B5E92"/>
    <w:rsid w:val="005B693F"/>
    <w:rsid w:val="005B6B70"/>
    <w:rsid w:val="005B6E8E"/>
    <w:rsid w:val="005B73C8"/>
    <w:rsid w:val="005B79C0"/>
    <w:rsid w:val="005B7BC5"/>
    <w:rsid w:val="005B7C7A"/>
    <w:rsid w:val="005C18B3"/>
    <w:rsid w:val="005C19C4"/>
    <w:rsid w:val="005C1AA9"/>
    <w:rsid w:val="005C1B83"/>
    <w:rsid w:val="005C21AD"/>
    <w:rsid w:val="005C224F"/>
    <w:rsid w:val="005C2370"/>
    <w:rsid w:val="005C25FF"/>
    <w:rsid w:val="005C2D55"/>
    <w:rsid w:val="005C346B"/>
    <w:rsid w:val="005C4590"/>
    <w:rsid w:val="005C461A"/>
    <w:rsid w:val="005C5247"/>
    <w:rsid w:val="005C5ABC"/>
    <w:rsid w:val="005C610A"/>
    <w:rsid w:val="005C67E9"/>
    <w:rsid w:val="005C6CD8"/>
    <w:rsid w:val="005C6CE7"/>
    <w:rsid w:val="005C7A77"/>
    <w:rsid w:val="005C7CAF"/>
    <w:rsid w:val="005C7ECA"/>
    <w:rsid w:val="005D044D"/>
    <w:rsid w:val="005D0ABD"/>
    <w:rsid w:val="005D0B19"/>
    <w:rsid w:val="005D0D69"/>
    <w:rsid w:val="005D0FD6"/>
    <w:rsid w:val="005D1173"/>
    <w:rsid w:val="005D14CD"/>
    <w:rsid w:val="005D17A4"/>
    <w:rsid w:val="005D1840"/>
    <w:rsid w:val="005D18AD"/>
    <w:rsid w:val="005D1A93"/>
    <w:rsid w:val="005D26B4"/>
    <w:rsid w:val="005D38A6"/>
    <w:rsid w:val="005D3A7F"/>
    <w:rsid w:val="005D3C84"/>
    <w:rsid w:val="005D47B0"/>
    <w:rsid w:val="005D47F3"/>
    <w:rsid w:val="005D4AB1"/>
    <w:rsid w:val="005D5379"/>
    <w:rsid w:val="005D629D"/>
    <w:rsid w:val="005D6C70"/>
    <w:rsid w:val="005E057C"/>
    <w:rsid w:val="005E0E65"/>
    <w:rsid w:val="005E1012"/>
    <w:rsid w:val="005E159A"/>
    <w:rsid w:val="005E1995"/>
    <w:rsid w:val="005E1F22"/>
    <w:rsid w:val="005E206D"/>
    <w:rsid w:val="005E22C2"/>
    <w:rsid w:val="005E2423"/>
    <w:rsid w:val="005E2E3B"/>
    <w:rsid w:val="005E2EC4"/>
    <w:rsid w:val="005E2FFE"/>
    <w:rsid w:val="005E303B"/>
    <w:rsid w:val="005E3CBF"/>
    <w:rsid w:val="005E3E98"/>
    <w:rsid w:val="005E449E"/>
    <w:rsid w:val="005E4CF8"/>
    <w:rsid w:val="005E4F56"/>
    <w:rsid w:val="005E63C6"/>
    <w:rsid w:val="005E6923"/>
    <w:rsid w:val="005E6AEB"/>
    <w:rsid w:val="005E6CBC"/>
    <w:rsid w:val="005E72FF"/>
    <w:rsid w:val="005E73C0"/>
    <w:rsid w:val="005F009B"/>
    <w:rsid w:val="005F030A"/>
    <w:rsid w:val="005F07ED"/>
    <w:rsid w:val="005F0B06"/>
    <w:rsid w:val="005F0B0F"/>
    <w:rsid w:val="005F0B84"/>
    <w:rsid w:val="005F1491"/>
    <w:rsid w:val="005F16BA"/>
    <w:rsid w:val="005F1E38"/>
    <w:rsid w:val="005F2706"/>
    <w:rsid w:val="005F2CAB"/>
    <w:rsid w:val="005F304D"/>
    <w:rsid w:val="005F384E"/>
    <w:rsid w:val="005F40C2"/>
    <w:rsid w:val="005F42BE"/>
    <w:rsid w:val="005F46AB"/>
    <w:rsid w:val="005F4873"/>
    <w:rsid w:val="005F48CC"/>
    <w:rsid w:val="005F4E3F"/>
    <w:rsid w:val="005F5C05"/>
    <w:rsid w:val="005F5C47"/>
    <w:rsid w:val="005F6656"/>
    <w:rsid w:val="005F6710"/>
    <w:rsid w:val="005F67D5"/>
    <w:rsid w:val="005F6A8F"/>
    <w:rsid w:val="005F6B2D"/>
    <w:rsid w:val="005F6BB7"/>
    <w:rsid w:val="005F6F1E"/>
    <w:rsid w:val="005F6F65"/>
    <w:rsid w:val="005F724F"/>
    <w:rsid w:val="005F7588"/>
    <w:rsid w:val="005F7746"/>
    <w:rsid w:val="00600062"/>
    <w:rsid w:val="00600282"/>
    <w:rsid w:val="00600415"/>
    <w:rsid w:val="0060160B"/>
    <w:rsid w:val="0060178C"/>
    <w:rsid w:val="006025A1"/>
    <w:rsid w:val="00602787"/>
    <w:rsid w:val="006028D3"/>
    <w:rsid w:val="00602A88"/>
    <w:rsid w:val="00602B63"/>
    <w:rsid w:val="00603177"/>
    <w:rsid w:val="006034CA"/>
    <w:rsid w:val="00603670"/>
    <w:rsid w:val="006039DC"/>
    <w:rsid w:val="00603C84"/>
    <w:rsid w:val="00603DB9"/>
    <w:rsid w:val="00603E80"/>
    <w:rsid w:val="0060442E"/>
    <w:rsid w:val="0060494A"/>
    <w:rsid w:val="00604BBA"/>
    <w:rsid w:val="00606637"/>
    <w:rsid w:val="00606699"/>
    <w:rsid w:val="006067D4"/>
    <w:rsid w:val="00606FBA"/>
    <w:rsid w:val="00607175"/>
    <w:rsid w:val="00607669"/>
    <w:rsid w:val="006076F4"/>
    <w:rsid w:val="00607AFD"/>
    <w:rsid w:val="00610084"/>
    <w:rsid w:val="00610363"/>
    <w:rsid w:val="00610F13"/>
    <w:rsid w:val="00611B12"/>
    <w:rsid w:val="00611F98"/>
    <w:rsid w:val="00612F97"/>
    <w:rsid w:val="00613133"/>
    <w:rsid w:val="0061345D"/>
    <w:rsid w:val="006144C3"/>
    <w:rsid w:val="00614C48"/>
    <w:rsid w:val="0061549B"/>
    <w:rsid w:val="00615CED"/>
    <w:rsid w:val="0061661F"/>
    <w:rsid w:val="00616627"/>
    <w:rsid w:val="00616802"/>
    <w:rsid w:val="00616896"/>
    <w:rsid w:val="006169FB"/>
    <w:rsid w:val="00616BBD"/>
    <w:rsid w:val="006177F9"/>
    <w:rsid w:val="00617E12"/>
    <w:rsid w:val="00620160"/>
    <w:rsid w:val="00620302"/>
    <w:rsid w:val="00620C25"/>
    <w:rsid w:val="006210AE"/>
    <w:rsid w:val="00621477"/>
    <w:rsid w:val="006217E5"/>
    <w:rsid w:val="00621ADA"/>
    <w:rsid w:val="00621AFC"/>
    <w:rsid w:val="00622512"/>
    <w:rsid w:val="00622A5E"/>
    <w:rsid w:val="0062321B"/>
    <w:rsid w:val="00623F7B"/>
    <w:rsid w:val="00624A67"/>
    <w:rsid w:val="00624BD4"/>
    <w:rsid w:val="0062576E"/>
    <w:rsid w:val="00625C57"/>
    <w:rsid w:val="00625F20"/>
    <w:rsid w:val="0062620D"/>
    <w:rsid w:val="006266EB"/>
    <w:rsid w:val="00626BCD"/>
    <w:rsid w:val="00626ED6"/>
    <w:rsid w:val="00627D44"/>
    <w:rsid w:val="00630646"/>
    <w:rsid w:val="0063158F"/>
    <w:rsid w:val="00631CC1"/>
    <w:rsid w:val="00631CE6"/>
    <w:rsid w:val="00631D6B"/>
    <w:rsid w:val="0063213F"/>
    <w:rsid w:val="00632183"/>
    <w:rsid w:val="00632834"/>
    <w:rsid w:val="00632B28"/>
    <w:rsid w:val="006330A1"/>
    <w:rsid w:val="006339E2"/>
    <w:rsid w:val="00634488"/>
    <w:rsid w:val="0063479F"/>
    <w:rsid w:val="00634EB7"/>
    <w:rsid w:val="006353F0"/>
    <w:rsid w:val="006356F8"/>
    <w:rsid w:val="006357B5"/>
    <w:rsid w:val="00635F72"/>
    <w:rsid w:val="006364A1"/>
    <w:rsid w:val="0063678E"/>
    <w:rsid w:val="006367A4"/>
    <w:rsid w:val="006379BA"/>
    <w:rsid w:val="006379ED"/>
    <w:rsid w:val="00637A5D"/>
    <w:rsid w:val="00637B14"/>
    <w:rsid w:val="00637B80"/>
    <w:rsid w:val="00637BFD"/>
    <w:rsid w:val="00637C5C"/>
    <w:rsid w:val="00640631"/>
    <w:rsid w:val="00640727"/>
    <w:rsid w:val="00640B70"/>
    <w:rsid w:val="00640F0C"/>
    <w:rsid w:val="006417FA"/>
    <w:rsid w:val="00641C4E"/>
    <w:rsid w:val="00641C6A"/>
    <w:rsid w:val="00641FB3"/>
    <w:rsid w:val="006424C1"/>
    <w:rsid w:val="0064254D"/>
    <w:rsid w:val="00642C5B"/>
    <w:rsid w:val="00643645"/>
    <w:rsid w:val="006437E0"/>
    <w:rsid w:val="00643EB0"/>
    <w:rsid w:val="0064434C"/>
    <w:rsid w:val="00644E52"/>
    <w:rsid w:val="00644F59"/>
    <w:rsid w:val="006457BE"/>
    <w:rsid w:val="00645839"/>
    <w:rsid w:val="00645A08"/>
    <w:rsid w:val="00645F45"/>
    <w:rsid w:val="00646F57"/>
    <w:rsid w:val="006471CC"/>
    <w:rsid w:val="006472FE"/>
    <w:rsid w:val="00647908"/>
    <w:rsid w:val="00647973"/>
    <w:rsid w:val="00647A29"/>
    <w:rsid w:val="00647BD8"/>
    <w:rsid w:val="00647C46"/>
    <w:rsid w:val="0065079F"/>
    <w:rsid w:val="00650D35"/>
    <w:rsid w:val="006510C4"/>
    <w:rsid w:val="0065157D"/>
    <w:rsid w:val="00651734"/>
    <w:rsid w:val="006517E7"/>
    <w:rsid w:val="006526DC"/>
    <w:rsid w:val="00652A28"/>
    <w:rsid w:val="00652DF4"/>
    <w:rsid w:val="00653107"/>
    <w:rsid w:val="0065337D"/>
    <w:rsid w:val="0065379F"/>
    <w:rsid w:val="00653A8D"/>
    <w:rsid w:val="00653E7E"/>
    <w:rsid w:val="00653EEC"/>
    <w:rsid w:val="00654829"/>
    <w:rsid w:val="0065507D"/>
    <w:rsid w:val="00655090"/>
    <w:rsid w:val="00655E77"/>
    <w:rsid w:val="00655E80"/>
    <w:rsid w:val="00656188"/>
    <w:rsid w:val="0065677C"/>
    <w:rsid w:val="0065715A"/>
    <w:rsid w:val="0065749A"/>
    <w:rsid w:val="00657912"/>
    <w:rsid w:val="00657955"/>
    <w:rsid w:val="006579D5"/>
    <w:rsid w:val="00657B23"/>
    <w:rsid w:val="00657FDC"/>
    <w:rsid w:val="00660AAE"/>
    <w:rsid w:val="00660C1A"/>
    <w:rsid w:val="00660D1A"/>
    <w:rsid w:val="006610F1"/>
    <w:rsid w:val="00661C6B"/>
    <w:rsid w:val="00662733"/>
    <w:rsid w:val="00662B15"/>
    <w:rsid w:val="00662D3E"/>
    <w:rsid w:val="00663491"/>
    <w:rsid w:val="00664621"/>
    <w:rsid w:val="006648AA"/>
    <w:rsid w:val="00664B0D"/>
    <w:rsid w:val="0066501A"/>
    <w:rsid w:val="00665A4B"/>
    <w:rsid w:val="00665E87"/>
    <w:rsid w:val="006666FA"/>
    <w:rsid w:val="0066700B"/>
    <w:rsid w:val="00667644"/>
    <w:rsid w:val="00667B73"/>
    <w:rsid w:val="00667BE3"/>
    <w:rsid w:val="006701FA"/>
    <w:rsid w:val="00671004"/>
    <w:rsid w:val="00671070"/>
    <w:rsid w:val="0067160E"/>
    <w:rsid w:val="00671BE1"/>
    <w:rsid w:val="00672646"/>
    <w:rsid w:val="00673BA8"/>
    <w:rsid w:val="00673DEF"/>
    <w:rsid w:val="00674033"/>
    <w:rsid w:val="00674710"/>
    <w:rsid w:val="00674E42"/>
    <w:rsid w:val="006754E4"/>
    <w:rsid w:val="00675BD2"/>
    <w:rsid w:val="00675C20"/>
    <w:rsid w:val="006763D8"/>
    <w:rsid w:val="00676563"/>
    <w:rsid w:val="00676714"/>
    <w:rsid w:val="00676830"/>
    <w:rsid w:val="00676B61"/>
    <w:rsid w:val="00677D08"/>
    <w:rsid w:val="0068038F"/>
    <w:rsid w:val="006812A1"/>
    <w:rsid w:val="006813F8"/>
    <w:rsid w:val="00681A87"/>
    <w:rsid w:val="00682112"/>
    <w:rsid w:val="006822BB"/>
    <w:rsid w:val="00682A3D"/>
    <w:rsid w:val="00682BA6"/>
    <w:rsid w:val="00682C60"/>
    <w:rsid w:val="00682C71"/>
    <w:rsid w:val="00682FBD"/>
    <w:rsid w:val="006830ED"/>
    <w:rsid w:val="00684C25"/>
    <w:rsid w:val="00684FE2"/>
    <w:rsid w:val="006853C5"/>
    <w:rsid w:val="006854CF"/>
    <w:rsid w:val="00686957"/>
    <w:rsid w:val="00686BFF"/>
    <w:rsid w:val="00686CA9"/>
    <w:rsid w:val="006872BA"/>
    <w:rsid w:val="006879FA"/>
    <w:rsid w:val="00687C08"/>
    <w:rsid w:val="006901D3"/>
    <w:rsid w:val="00690795"/>
    <w:rsid w:val="00690879"/>
    <w:rsid w:val="00691648"/>
    <w:rsid w:val="006917D7"/>
    <w:rsid w:val="00691809"/>
    <w:rsid w:val="0069188E"/>
    <w:rsid w:val="00691F91"/>
    <w:rsid w:val="006928C1"/>
    <w:rsid w:val="00692E2E"/>
    <w:rsid w:val="006932BF"/>
    <w:rsid w:val="0069386F"/>
    <w:rsid w:val="00693EE2"/>
    <w:rsid w:val="0069403D"/>
    <w:rsid w:val="0069434C"/>
    <w:rsid w:val="0069451D"/>
    <w:rsid w:val="00694F44"/>
    <w:rsid w:val="00696368"/>
    <w:rsid w:val="00696D9A"/>
    <w:rsid w:val="00696EF9"/>
    <w:rsid w:val="00696F51"/>
    <w:rsid w:val="00697245"/>
    <w:rsid w:val="0069754B"/>
    <w:rsid w:val="006979A5"/>
    <w:rsid w:val="006A016F"/>
    <w:rsid w:val="006A01AF"/>
    <w:rsid w:val="006A0287"/>
    <w:rsid w:val="006A0641"/>
    <w:rsid w:val="006A08D1"/>
    <w:rsid w:val="006A0D30"/>
    <w:rsid w:val="006A0DF7"/>
    <w:rsid w:val="006A14D7"/>
    <w:rsid w:val="006A16CA"/>
    <w:rsid w:val="006A18B0"/>
    <w:rsid w:val="006A1AB1"/>
    <w:rsid w:val="006A228B"/>
    <w:rsid w:val="006A2BB6"/>
    <w:rsid w:val="006A2EAF"/>
    <w:rsid w:val="006A2F63"/>
    <w:rsid w:val="006A3ABC"/>
    <w:rsid w:val="006A41C2"/>
    <w:rsid w:val="006A4321"/>
    <w:rsid w:val="006A4336"/>
    <w:rsid w:val="006A43D9"/>
    <w:rsid w:val="006A43F5"/>
    <w:rsid w:val="006A509A"/>
    <w:rsid w:val="006A5BA8"/>
    <w:rsid w:val="006A5C06"/>
    <w:rsid w:val="006A60F4"/>
    <w:rsid w:val="006A67C3"/>
    <w:rsid w:val="006A6918"/>
    <w:rsid w:val="006A6B99"/>
    <w:rsid w:val="006A7079"/>
    <w:rsid w:val="006A74D1"/>
    <w:rsid w:val="006A7B9F"/>
    <w:rsid w:val="006A7D13"/>
    <w:rsid w:val="006A7E34"/>
    <w:rsid w:val="006A7E5F"/>
    <w:rsid w:val="006B0035"/>
    <w:rsid w:val="006B01FD"/>
    <w:rsid w:val="006B15B6"/>
    <w:rsid w:val="006B161B"/>
    <w:rsid w:val="006B1922"/>
    <w:rsid w:val="006B1F32"/>
    <w:rsid w:val="006B1F8E"/>
    <w:rsid w:val="006B2402"/>
    <w:rsid w:val="006B261B"/>
    <w:rsid w:val="006B2BB9"/>
    <w:rsid w:val="006B2C90"/>
    <w:rsid w:val="006B35E6"/>
    <w:rsid w:val="006B465A"/>
    <w:rsid w:val="006B472D"/>
    <w:rsid w:val="006B4772"/>
    <w:rsid w:val="006B5124"/>
    <w:rsid w:val="006B59F9"/>
    <w:rsid w:val="006B5BE7"/>
    <w:rsid w:val="006B5F6B"/>
    <w:rsid w:val="006B5FF0"/>
    <w:rsid w:val="006B6AE9"/>
    <w:rsid w:val="006B6DD0"/>
    <w:rsid w:val="006B70C2"/>
    <w:rsid w:val="006B70ED"/>
    <w:rsid w:val="006B7536"/>
    <w:rsid w:val="006B7844"/>
    <w:rsid w:val="006C0399"/>
    <w:rsid w:val="006C0453"/>
    <w:rsid w:val="006C05BC"/>
    <w:rsid w:val="006C10C0"/>
    <w:rsid w:val="006C1EA3"/>
    <w:rsid w:val="006C2A8E"/>
    <w:rsid w:val="006C2BA6"/>
    <w:rsid w:val="006C3255"/>
    <w:rsid w:val="006C3F08"/>
    <w:rsid w:val="006C3F0D"/>
    <w:rsid w:val="006C3F26"/>
    <w:rsid w:val="006C4E7A"/>
    <w:rsid w:val="006C5A48"/>
    <w:rsid w:val="006C5FA1"/>
    <w:rsid w:val="006C7746"/>
    <w:rsid w:val="006C7F7B"/>
    <w:rsid w:val="006D040E"/>
    <w:rsid w:val="006D079E"/>
    <w:rsid w:val="006D0D17"/>
    <w:rsid w:val="006D0DF5"/>
    <w:rsid w:val="006D0E63"/>
    <w:rsid w:val="006D0EB5"/>
    <w:rsid w:val="006D190C"/>
    <w:rsid w:val="006D2198"/>
    <w:rsid w:val="006D273A"/>
    <w:rsid w:val="006D2C3B"/>
    <w:rsid w:val="006D2D7A"/>
    <w:rsid w:val="006D35D4"/>
    <w:rsid w:val="006D3625"/>
    <w:rsid w:val="006D38CE"/>
    <w:rsid w:val="006D3C7D"/>
    <w:rsid w:val="006D422E"/>
    <w:rsid w:val="006D4499"/>
    <w:rsid w:val="006D4659"/>
    <w:rsid w:val="006D4D15"/>
    <w:rsid w:val="006D4F74"/>
    <w:rsid w:val="006D54D1"/>
    <w:rsid w:val="006D5D5F"/>
    <w:rsid w:val="006D668E"/>
    <w:rsid w:val="006D688E"/>
    <w:rsid w:val="006D68FB"/>
    <w:rsid w:val="006D6913"/>
    <w:rsid w:val="006D6C55"/>
    <w:rsid w:val="006D6D39"/>
    <w:rsid w:val="006D7379"/>
    <w:rsid w:val="006D74C7"/>
    <w:rsid w:val="006D7506"/>
    <w:rsid w:val="006D7ACF"/>
    <w:rsid w:val="006D7DE1"/>
    <w:rsid w:val="006E0815"/>
    <w:rsid w:val="006E186B"/>
    <w:rsid w:val="006E1D09"/>
    <w:rsid w:val="006E23F2"/>
    <w:rsid w:val="006E25CA"/>
    <w:rsid w:val="006E2868"/>
    <w:rsid w:val="006E28DA"/>
    <w:rsid w:val="006E3F24"/>
    <w:rsid w:val="006E44B1"/>
    <w:rsid w:val="006E5269"/>
    <w:rsid w:val="006E5C6D"/>
    <w:rsid w:val="006E651A"/>
    <w:rsid w:val="006E692C"/>
    <w:rsid w:val="006E72E9"/>
    <w:rsid w:val="006E74F0"/>
    <w:rsid w:val="006E7A14"/>
    <w:rsid w:val="006E7C56"/>
    <w:rsid w:val="006E7D07"/>
    <w:rsid w:val="006F0735"/>
    <w:rsid w:val="006F083B"/>
    <w:rsid w:val="006F306C"/>
    <w:rsid w:val="006F30F9"/>
    <w:rsid w:val="006F417F"/>
    <w:rsid w:val="006F422D"/>
    <w:rsid w:val="006F44DC"/>
    <w:rsid w:val="006F4A76"/>
    <w:rsid w:val="006F52BA"/>
    <w:rsid w:val="006F63A5"/>
    <w:rsid w:val="006F6459"/>
    <w:rsid w:val="006F739E"/>
    <w:rsid w:val="006F7EC6"/>
    <w:rsid w:val="00700D02"/>
    <w:rsid w:val="007012E6"/>
    <w:rsid w:val="0070142B"/>
    <w:rsid w:val="00701A59"/>
    <w:rsid w:val="00701AE6"/>
    <w:rsid w:val="00702607"/>
    <w:rsid w:val="0070276E"/>
    <w:rsid w:val="0070289A"/>
    <w:rsid w:val="00702F8F"/>
    <w:rsid w:val="0070341F"/>
    <w:rsid w:val="00704177"/>
    <w:rsid w:val="007052AF"/>
    <w:rsid w:val="00705AEA"/>
    <w:rsid w:val="00705C9E"/>
    <w:rsid w:val="0070620D"/>
    <w:rsid w:val="00706981"/>
    <w:rsid w:val="0070701A"/>
    <w:rsid w:val="007070A0"/>
    <w:rsid w:val="00707578"/>
    <w:rsid w:val="00707768"/>
    <w:rsid w:val="007079FC"/>
    <w:rsid w:val="00707A91"/>
    <w:rsid w:val="00707D3E"/>
    <w:rsid w:val="00707E14"/>
    <w:rsid w:val="00710360"/>
    <w:rsid w:val="00710A20"/>
    <w:rsid w:val="00710AAB"/>
    <w:rsid w:val="00710DF2"/>
    <w:rsid w:val="00711435"/>
    <w:rsid w:val="00711A36"/>
    <w:rsid w:val="00711B87"/>
    <w:rsid w:val="00712162"/>
    <w:rsid w:val="00712370"/>
    <w:rsid w:val="007124DF"/>
    <w:rsid w:val="007125D3"/>
    <w:rsid w:val="00712CC1"/>
    <w:rsid w:val="007133F6"/>
    <w:rsid w:val="007135F5"/>
    <w:rsid w:val="007138DC"/>
    <w:rsid w:val="00713959"/>
    <w:rsid w:val="00713AD5"/>
    <w:rsid w:val="00714C26"/>
    <w:rsid w:val="00714F2D"/>
    <w:rsid w:val="0071529C"/>
    <w:rsid w:val="007155F2"/>
    <w:rsid w:val="00716A70"/>
    <w:rsid w:val="007170DA"/>
    <w:rsid w:val="007172AD"/>
    <w:rsid w:val="00717461"/>
    <w:rsid w:val="00717546"/>
    <w:rsid w:val="00717CC5"/>
    <w:rsid w:val="0072024E"/>
    <w:rsid w:val="00720801"/>
    <w:rsid w:val="00720C6C"/>
    <w:rsid w:val="00720E7D"/>
    <w:rsid w:val="007212E2"/>
    <w:rsid w:val="007217C2"/>
    <w:rsid w:val="00721883"/>
    <w:rsid w:val="00721F5B"/>
    <w:rsid w:val="00722B1B"/>
    <w:rsid w:val="007232B8"/>
    <w:rsid w:val="0072336A"/>
    <w:rsid w:val="00723FC1"/>
    <w:rsid w:val="0072416F"/>
    <w:rsid w:val="00724671"/>
    <w:rsid w:val="00724CDA"/>
    <w:rsid w:val="00724EAC"/>
    <w:rsid w:val="0072538F"/>
    <w:rsid w:val="00725487"/>
    <w:rsid w:val="00725512"/>
    <w:rsid w:val="00725FBD"/>
    <w:rsid w:val="0072602B"/>
    <w:rsid w:val="00726925"/>
    <w:rsid w:val="00727922"/>
    <w:rsid w:val="00727A43"/>
    <w:rsid w:val="00727C94"/>
    <w:rsid w:val="00727D96"/>
    <w:rsid w:val="007300C1"/>
    <w:rsid w:val="007302E0"/>
    <w:rsid w:val="00730BB7"/>
    <w:rsid w:val="00731B0A"/>
    <w:rsid w:val="00731BA1"/>
    <w:rsid w:val="00731D04"/>
    <w:rsid w:val="00731EAE"/>
    <w:rsid w:val="00732B71"/>
    <w:rsid w:val="00733073"/>
    <w:rsid w:val="00733581"/>
    <w:rsid w:val="00733C03"/>
    <w:rsid w:val="0073407D"/>
    <w:rsid w:val="0073418F"/>
    <w:rsid w:val="00734198"/>
    <w:rsid w:val="00734322"/>
    <w:rsid w:val="0073492F"/>
    <w:rsid w:val="00735033"/>
    <w:rsid w:val="00735328"/>
    <w:rsid w:val="00735F68"/>
    <w:rsid w:val="007367C5"/>
    <w:rsid w:val="0073685B"/>
    <w:rsid w:val="00736D5D"/>
    <w:rsid w:val="0073766A"/>
    <w:rsid w:val="007377CB"/>
    <w:rsid w:val="00737A29"/>
    <w:rsid w:val="00737ED8"/>
    <w:rsid w:val="0074195D"/>
    <w:rsid w:val="0074210A"/>
    <w:rsid w:val="00742333"/>
    <w:rsid w:val="00742B7D"/>
    <w:rsid w:val="00742D71"/>
    <w:rsid w:val="00742FF8"/>
    <w:rsid w:val="00743460"/>
    <w:rsid w:val="007448AD"/>
    <w:rsid w:val="007449BF"/>
    <w:rsid w:val="0074519D"/>
    <w:rsid w:val="00745FCF"/>
    <w:rsid w:val="007460DD"/>
    <w:rsid w:val="007463FE"/>
    <w:rsid w:val="00746BC0"/>
    <w:rsid w:val="00746EEF"/>
    <w:rsid w:val="007479AA"/>
    <w:rsid w:val="00747D6D"/>
    <w:rsid w:val="00747FF6"/>
    <w:rsid w:val="00750393"/>
    <w:rsid w:val="0075061C"/>
    <w:rsid w:val="00750DD0"/>
    <w:rsid w:val="00750FDF"/>
    <w:rsid w:val="0075106A"/>
    <w:rsid w:val="007510B4"/>
    <w:rsid w:val="00751257"/>
    <w:rsid w:val="00752142"/>
    <w:rsid w:val="007522CF"/>
    <w:rsid w:val="007523F9"/>
    <w:rsid w:val="007527D8"/>
    <w:rsid w:val="00752CF2"/>
    <w:rsid w:val="0075324B"/>
    <w:rsid w:val="0075357E"/>
    <w:rsid w:val="00753B29"/>
    <w:rsid w:val="00753F91"/>
    <w:rsid w:val="00754255"/>
    <w:rsid w:val="00754EF2"/>
    <w:rsid w:val="0075616B"/>
    <w:rsid w:val="00756A0A"/>
    <w:rsid w:val="00757175"/>
    <w:rsid w:val="007573E8"/>
    <w:rsid w:val="00757591"/>
    <w:rsid w:val="007601D8"/>
    <w:rsid w:val="00760B52"/>
    <w:rsid w:val="00760C4E"/>
    <w:rsid w:val="00760F9E"/>
    <w:rsid w:val="00761004"/>
    <w:rsid w:val="007616E6"/>
    <w:rsid w:val="00761CF8"/>
    <w:rsid w:val="007627BE"/>
    <w:rsid w:val="00763562"/>
    <w:rsid w:val="00763AD8"/>
    <w:rsid w:val="007640E6"/>
    <w:rsid w:val="00764AC5"/>
    <w:rsid w:val="00764AD1"/>
    <w:rsid w:val="00764CCA"/>
    <w:rsid w:val="00764F03"/>
    <w:rsid w:val="00765034"/>
    <w:rsid w:val="00765641"/>
    <w:rsid w:val="00765B1A"/>
    <w:rsid w:val="00765DC1"/>
    <w:rsid w:val="00766090"/>
    <w:rsid w:val="00766F22"/>
    <w:rsid w:val="0076761A"/>
    <w:rsid w:val="00767CDF"/>
    <w:rsid w:val="007704A1"/>
    <w:rsid w:val="007704F9"/>
    <w:rsid w:val="00770BB0"/>
    <w:rsid w:val="007712A7"/>
    <w:rsid w:val="007712C5"/>
    <w:rsid w:val="007726DD"/>
    <w:rsid w:val="007727AB"/>
    <w:rsid w:val="007743F8"/>
    <w:rsid w:val="007754ED"/>
    <w:rsid w:val="00775831"/>
    <w:rsid w:val="007762C8"/>
    <w:rsid w:val="00776720"/>
    <w:rsid w:val="00776A29"/>
    <w:rsid w:val="00776CB7"/>
    <w:rsid w:val="00776DDD"/>
    <w:rsid w:val="00776F04"/>
    <w:rsid w:val="00777220"/>
    <w:rsid w:val="00777335"/>
    <w:rsid w:val="00780156"/>
    <w:rsid w:val="007805C3"/>
    <w:rsid w:val="007808D5"/>
    <w:rsid w:val="00780CF8"/>
    <w:rsid w:val="00780E28"/>
    <w:rsid w:val="0078186E"/>
    <w:rsid w:val="00781C08"/>
    <w:rsid w:val="007821EB"/>
    <w:rsid w:val="00782D41"/>
    <w:rsid w:val="00782F2D"/>
    <w:rsid w:val="00782F51"/>
    <w:rsid w:val="00782FF9"/>
    <w:rsid w:val="00783F63"/>
    <w:rsid w:val="007843F2"/>
    <w:rsid w:val="00784419"/>
    <w:rsid w:val="007846FA"/>
    <w:rsid w:val="00784E5B"/>
    <w:rsid w:val="00784FF1"/>
    <w:rsid w:val="00785588"/>
    <w:rsid w:val="00785A9F"/>
    <w:rsid w:val="0078603A"/>
    <w:rsid w:val="007865CE"/>
    <w:rsid w:val="00786BAE"/>
    <w:rsid w:val="00786C5E"/>
    <w:rsid w:val="00786DE5"/>
    <w:rsid w:val="0078757D"/>
    <w:rsid w:val="00787D38"/>
    <w:rsid w:val="0079023C"/>
    <w:rsid w:val="00790A85"/>
    <w:rsid w:val="0079116C"/>
    <w:rsid w:val="007916FD"/>
    <w:rsid w:val="00791D1A"/>
    <w:rsid w:val="00791FF7"/>
    <w:rsid w:val="007925DF"/>
    <w:rsid w:val="00792999"/>
    <w:rsid w:val="007930D7"/>
    <w:rsid w:val="00793243"/>
    <w:rsid w:val="0079328E"/>
    <w:rsid w:val="007933A8"/>
    <w:rsid w:val="0079342B"/>
    <w:rsid w:val="007935A8"/>
    <w:rsid w:val="00793B80"/>
    <w:rsid w:val="00793C64"/>
    <w:rsid w:val="00793D6A"/>
    <w:rsid w:val="00793D80"/>
    <w:rsid w:val="00794160"/>
    <w:rsid w:val="007942E9"/>
    <w:rsid w:val="007944EE"/>
    <w:rsid w:val="007947F2"/>
    <w:rsid w:val="00794C62"/>
    <w:rsid w:val="0079546E"/>
    <w:rsid w:val="007954D6"/>
    <w:rsid w:val="0079573C"/>
    <w:rsid w:val="00795ACA"/>
    <w:rsid w:val="00796553"/>
    <w:rsid w:val="00796E72"/>
    <w:rsid w:val="00797574"/>
    <w:rsid w:val="00797693"/>
    <w:rsid w:val="00797CD9"/>
    <w:rsid w:val="007A0033"/>
    <w:rsid w:val="007A08AA"/>
    <w:rsid w:val="007A0A12"/>
    <w:rsid w:val="007A132D"/>
    <w:rsid w:val="007A1345"/>
    <w:rsid w:val="007A1D0E"/>
    <w:rsid w:val="007A2139"/>
    <w:rsid w:val="007A227C"/>
    <w:rsid w:val="007A2DDB"/>
    <w:rsid w:val="007A357E"/>
    <w:rsid w:val="007A7088"/>
    <w:rsid w:val="007A70AE"/>
    <w:rsid w:val="007A70BA"/>
    <w:rsid w:val="007A7A8E"/>
    <w:rsid w:val="007A7C31"/>
    <w:rsid w:val="007B0350"/>
    <w:rsid w:val="007B0D68"/>
    <w:rsid w:val="007B140A"/>
    <w:rsid w:val="007B1F40"/>
    <w:rsid w:val="007B251D"/>
    <w:rsid w:val="007B262E"/>
    <w:rsid w:val="007B2A27"/>
    <w:rsid w:val="007B2B87"/>
    <w:rsid w:val="007B2FD8"/>
    <w:rsid w:val="007B33AC"/>
    <w:rsid w:val="007B3533"/>
    <w:rsid w:val="007B4F4A"/>
    <w:rsid w:val="007B4F58"/>
    <w:rsid w:val="007B528D"/>
    <w:rsid w:val="007B5BD9"/>
    <w:rsid w:val="007B5D36"/>
    <w:rsid w:val="007B5F6C"/>
    <w:rsid w:val="007B5FBA"/>
    <w:rsid w:val="007B63CA"/>
    <w:rsid w:val="007B66F9"/>
    <w:rsid w:val="007B70D1"/>
    <w:rsid w:val="007B77D1"/>
    <w:rsid w:val="007B799B"/>
    <w:rsid w:val="007B7AB0"/>
    <w:rsid w:val="007C07C7"/>
    <w:rsid w:val="007C0829"/>
    <w:rsid w:val="007C0D4C"/>
    <w:rsid w:val="007C0E56"/>
    <w:rsid w:val="007C0FB4"/>
    <w:rsid w:val="007C186A"/>
    <w:rsid w:val="007C196B"/>
    <w:rsid w:val="007C1CD9"/>
    <w:rsid w:val="007C1D43"/>
    <w:rsid w:val="007C1F2B"/>
    <w:rsid w:val="007C21A1"/>
    <w:rsid w:val="007C2FAB"/>
    <w:rsid w:val="007C32EF"/>
    <w:rsid w:val="007C361D"/>
    <w:rsid w:val="007C402E"/>
    <w:rsid w:val="007C4859"/>
    <w:rsid w:val="007C48E0"/>
    <w:rsid w:val="007C4B84"/>
    <w:rsid w:val="007C4BA8"/>
    <w:rsid w:val="007C52BC"/>
    <w:rsid w:val="007C62D4"/>
    <w:rsid w:val="007C64BD"/>
    <w:rsid w:val="007C679C"/>
    <w:rsid w:val="007C6F8F"/>
    <w:rsid w:val="007C70FF"/>
    <w:rsid w:val="007C73A5"/>
    <w:rsid w:val="007C7762"/>
    <w:rsid w:val="007C7C25"/>
    <w:rsid w:val="007D004F"/>
    <w:rsid w:val="007D0057"/>
    <w:rsid w:val="007D0272"/>
    <w:rsid w:val="007D035F"/>
    <w:rsid w:val="007D06B2"/>
    <w:rsid w:val="007D0B38"/>
    <w:rsid w:val="007D1D0B"/>
    <w:rsid w:val="007D2A67"/>
    <w:rsid w:val="007D2BF4"/>
    <w:rsid w:val="007D3090"/>
    <w:rsid w:val="007D3E1C"/>
    <w:rsid w:val="007D41C9"/>
    <w:rsid w:val="007D45DF"/>
    <w:rsid w:val="007D461D"/>
    <w:rsid w:val="007D4B9C"/>
    <w:rsid w:val="007D4E60"/>
    <w:rsid w:val="007D5201"/>
    <w:rsid w:val="007D5422"/>
    <w:rsid w:val="007D5440"/>
    <w:rsid w:val="007D649B"/>
    <w:rsid w:val="007D69EB"/>
    <w:rsid w:val="007D7E89"/>
    <w:rsid w:val="007D7FFB"/>
    <w:rsid w:val="007E03D5"/>
    <w:rsid w:val="007E043E"/>
    <w:rsid w:val="007E0A88"/>
    <w:rsid w:val="007E0E80"/>
    <w:rsid w:val="007E0F75"/>
    <w:rsid w:val="007E1224"/>
    <w:rsid w:val="007E128F"/>
    <w:rsid w:val="007E1359"/>
    <w:rsid w:val="007E13A7"/>
    <w:rsid w:val="007E1661"/>
    <w:rsid w:val="007E18A6"/>
    <w:rsid w:val="007E19CA"/>
    <w:rsid w:val="007E3043"/>
    <w:rsid w:val="007E307D"/>
    <w:rsid w:val="007E3EB3"/>
    <w:rsid w:val="007E4DC1"/>
    <w:rsid w:val="007E5514"/>
    <w:rsid w:val="007E58CE"/>
    <w:rsid w:val="007E5DA4"/>
    <w:rsid w:val="007E67AC"/>
    <w:rsid w:val="007E6B07"/>
    <w:rsid w:val="007E6B94"/>
    <w:rsid w:val="007E6F64"/>
    <w:rsid w:val="007E6F87"/>
    <w:rsid w:val="007E74A2"/>
    <w:rsid w:val="007E7879"/>
    <w:rsid w:val="007F0A45"/>
    <w:rsid w:val="007F0C24"/>
    <w:rsid w:val="007F0CF5"/>
    <w:rsid w:val="007F1017"/>
    <w:rsid w:val="007F15A4"/>
    <w:rsid w:val="007F15D7"/>
    <w:rsid w:val="007F1EF7"/>
    <w:rsid w:val="007F20B0"/>
    <w:rsid w:val="007F2A0A"/>
    <w:rsid w:val="007F2A99"/>
    <w:rsid w:val="007F2C14"/>
    <w:rsid w:val="007F2E38"/>
    <w:rsid w:val="007F401C"/>
    <w:rsid w:val="007F4A3F"/>
    <w:rsid w:val="007F4A61"/>
    <w:rsid w:val="007F5255"/>
    <w:rsid w:val="007F56CC"/>
    <w:rsid w:val="007F5765"/>
    <w:rsid w:val="007F58EB"/>
    <w:rsid w:val="007F61C2"/>
    <w:rsid w:val="007F7175"/>
    <w:rsid w:val="007F756C"/>
    <w:rsid w:val="007F7BB7"/>
    <w:rsid w:val="00800043"/>
    <w:rsid w:val="008007EA"/>
    <w:rsid w:val="00801354"/>
    <w:rsid w:val="008013CF"/>
    <w:rsid w:val="00801DCB"/>
    <w:rsid w:val="00802949"/>
    <w:rsid w:val="00803519"/>
    <w:rsid w:val="00803A71"/>
    <w:rsid w:val="00803A94"/>
    <w:rsid w:val="00803B9B"/>
    <w:rsid w:val="00803D75"/>
    <w:rsid w:val="008042E9"/>
    <w:rsid w:val="00804DA3"/>
    <w:rsid w:val="008050C4"/>
    <w:rsid w:val="00805142"/>
    <w:rsid w:val="0080524D"/>
    <w:rsid w:val="0080566B"/>
    <w:rsid w:val="0080571F"/>
    <w:rsid w:val="00805FCE"/>
    <w:rsid w:val="00806240"/>
    <w:rsid w:val="00806556"/>
    <w:rsid w:val="00807A8B"/>
    <w:rsid w:val="00810650"/>
    <w:rsid w:val="008111FB"/>
    <w:rsid w:val="00811383"/>
    <w:rsid w:val="00811DFF"/>
    <w:rsid w:val="00812149"/>
    <w:rsid w:val="008122A4"/>
    <w:rsid w:val="00812757"/>
    <w:rsid w:val="00812CAC"/>
    <w:rsid w:val="00812DC4"/>
    <w:rsid w:val="00812DFB"/>
    <w:rsid w:val="008135B5"/>
    <w:rsid w:val="008138E1"/>
    <w:rsid w:val="00814394"/>
    <w:rsid w:val="008148B3"/>
    <w:rsid w:val="0081519A"/>
    <w:rsid w:val="00816361"/>
    <w:rsid w:val="008165A8"/>
    <w:rsid w:val="008166EF"/>
    <w:rsid w:val="00816B04"/>
    <w:rsid w:val="00816FEF"/>
    <w:rsid w:val="00817242"/>
    <w:rsid w:val="00817369"/>
    <w:rsid w:val="008178D3"/>
    <w:rsid w:val="00817D88"/>
    <w:rsid w:val="00817DCE"/>
    <w:rsid w:val="00820673"/>
    <w:rsid w:val="0082086C"/>
    <w:rsid w:val="00820A8C"/>
    <w:rsid w:val="0082109F"/>
    <w:rsid w:val="008215FB"/>
    <w:rsid w:val="00821BA9"/>
    <w:rsid w:val="00821CED"/>
    <w:rsid w:val="008220CC"/>
    <w:rsid w:val="0082235E"/>
    <w:rsid w:val="008228E0"/>
    <w:rsid w:val="00823174"/>
    <w:rsid w:val="00823433"/>
    <w:rsid w:val="00823630"/>
    <w:rsid w:val="008237DB"/>
    <w:rsid w:val="00823A51"/>
    <w:rsid w:val="0082520E"/>
    <w:rsid w:val="008252A2"/>
    <w:rsid w:val="00825587"/>
    <w:rsid w:val="00825593"/>
    <w:rsid w:val="00825751"/>
    <w:rsid w:val="00825CCF"/>
    <w:rsid w:val="008264EB"/>
    <w:rsid w:val="008268CE"/>
    <w:rsid w:val="008270AE"/>
    <w:rsid w:val="00827169"/>
    <w:rsid w:val="00827C23"/>
    <w:rsid w:val="00827CBA"/>
    <w:rsid w:val="00827CC0"/>
    <w:rsid w:val="00827EDA"/>
    <w:rsid w:val="008300BF"/>
    <w:rsid w:val="00830468"/>
    <w:rsid w:val="008314BB"/>
    <w:rsid w:val="00831CA5"/>
    <w:rsid w:val="00832363"/>
    <w:rsid w:val="008324B0"/>
    <w:rsid w:val="008328A5"/>
    <w:rsid w:val="00833539"/>
    <w:rsid w:val="008335BF"/>
    <w:rsid w:val="0083376F"/>
    <w:rsid w:val="00833A8C"/>
    <w:rsid w:val="00833B05"/>
    <w:rsid w:val="008347BD"/>
    <w:rsid w:val="008348C9"/>
    <w:rsid w:val="00834D2A"/>
    <w:rsid w:val="00835364"/>
    <w:rsid w:val="0083552D"/>
    <w:rsid w:val="0083589B"/>
    <w:rsid w:val="00835DB0"/>
    <w:rsid w:val="00835FA8"/>
    <w:rsid w:val="00835FAF"/>
    <w:rsid w:val="008362B4"/>
    <w:rsid w:val="008362D3"/>
    <w:rsid w:val="00836AA4"/>
    <w:rsid w:val="00836AFD"/>
    <w:rsid w:val="00836DDA"/>
    <w:rsid w:val="00837197"/>
    <w:rsid w:val="0083746E"/>
    <w:rsid w:val="00837914"/>
    <w:rsid w:val="00840307"/>
    <w:rsid w:val="00840CA2"/>
    <w:rsid w:val="00840D24"/>
    <w:rsid w:val="00840D38"/>
    <w:rsid w:val="00842434"/>
    <w:rsid w:val="00842FBC"/>
    <w:rsid w:val="008431CD"/>
    <w:rsid w:val="008433EB"/>
    <w:rsid w:val="0084373B"/>
    <w:rsid w:val="0084374F"/>
    <w:rsid w:val="008447A2"/>
    <w:rsid w:val="00844A22"/>
    <w:rsid w:val="008467C7"/>
    <w:rsid w:val="008475C9"/>
    <w:rsid w:val="008475EB"/>
    <w:rsid w:val="00847703"/>
    <w:rsid w:val="00847892"/>
    <w:rsid w:val="00847DF5"/>
    <w:rsid w:val="00847E04"/>
    <w:rsid w:val="0085105B"/>
    <w:rsid w:val="008510D5"/>
    <w:rsid w:val="00851316"/>
    <w:rsid w:val="00851F7A"/>
    <w:rsid w:val="008524F8"/>
    <w:rsid w:val="0085269A"/>
    <w:rsid w:val="00853035"/>
    <w:rsid w:val="0085309D"/>
    <w:rsid w:val="008532C7"/>
    <w:rsid w:val="008534AC"/>
    <w:rsid w:val="00853D5A"/>
    <w:rsid w:val="00853FAB"/>
    <w:rsid w:val="008540E6"/>
    <w:rsid w:val="00854712"/>
    <w:rsid w:val="00854B5A"/>
    <w:rsid w:val="00854C0D"/>
    <w:rsid w:val="00856897"/>
    <w:rsid w:val="00856E9A"/>
    <w:rsid w:val="008573C0"/>
    <w:rsid w:val="008600E5"/>
    <w:rsid w:val="008603EF"/>
    <w:rsid w:val="0086075D"/>
    <w:rsid w:val="00860EDB"/>
    <w:rsid w:val="00861199"/>
    <w:rsid w:val="008614A0"/>
    <w:rsid w:val="00861B99"/>
    <w:rsid w:val="00861EEF"/>
    <w:rsid w:val="008620CB"/>
    <w:rsid w:val="0086222F"/>
    <w:rsid w:val="00862502"/>
    <w:rsid w:val="00862C93"/>
    <w:rsid w:val="00862CC1"/>
    <w:rsid w:val="00862E17"/>
    <w:rsid w:val="00863002"/>
    <w:rsid w:val="00863090"/>
    <w:rsid w:val="008642A7"/>
    <w:rsid w:val="008642CA"/>
    <w:rsid w:val="00864B46"/>
    <w:rsid w:val="0086535F"/>
    <w:rsid w:val="00865377"/>
    <w:rsid w:val="008660D4"/>
    <w:rsid w:val="00866306"/>
    <w:rsid w:val="0086653A"/>
    <w:rsid w:val="00866C39"/>
    <w:rsid w:val="008674D9"/>
    <w:rsid w:val="0086773B"/>
    <w:rsid w:val="0087006E"/>
    <w:rsid w:val="008709EC"/>
    <w:rsid w:val="00870E99"/>
    <w:rsid w:val="008712F5"/>
    <w:rsid w:val="00871FA9"/>
    <w:rsid w:val="00872653"/>
    <w:rsid w:val="008728E9"/>
    <w:rsid w:val="00872D7A"/>
    <w:rsid w:val="00872E32"/>
    <w:rsid w:val="008734D2"/>
    <w:rsid w:val="00874070"/>
    <w:rsid w:val="0087454A"/>
    <w:rsid w:val="008747FD"/>
    <w:rsid w:val="00874969"/>
    <w:rsid w:val="008749F5"/>
    <w:rsid w:val="00875269"/>
    <w:rsid w:val="00875596"/>
    <w:rsid w:val="008756B0"/>
    <w:rsid w:val="0087605E"/>
    <w:rsid w:val="00876307"/>
    <w:rsid w:val="00876399"/>
    <w:rsid w:val="00876B77"/>
    <w:rsid w:val="0087742F"/>
    <w:rsid w:val="00877D28"/>
    <w:rsid w:val="00877D72"/>
    <w:rsid w:val="00880438"/>
    <w:rsid w:val="008810D3"/>
    <w:rsid w:val="008811E3"/>
    <w:rsid w:val="00881BB7"/>
    <w:rsid w:val="00881DEE"/>
    <w:rsid w:val="00882075"/>
    <w:rsid w:val="0088221E"/>
    <w:rsid w:val="008827F7"/>
    <w:rsid w:val="00882874"/>
    <w:rsid w:val="00882E3C"/>
    <w:rsid w:val="0088308A"/>
    <w:rsid w:val="00883787"/>
    <w:rsid w:val="00883C9F"/>
    <w:rsid w:val="008855E4"/>
    <w:rsid w:val="0088571C"/>
    <w:rsid w:val="00885F27"/>
    <w:rsid w:val="00886600"/>
    <w:rsid w:val="00886629"/>
    <w:rsid w:val="00886986"/>
    <w:rsid w:val="00886CD2"/>
    <w:rsid w:val="00886FD4"/>
    <w:rsid w:val="00887830"/>
    <w:rsid w:val="00887977"/>
    <w:rsid w:val="008879F1"/>
    <w:rsid w:val="00890632"/>
    <w:rsid w:val="00890B5B"/>
    <w:rsid w:val="00891E6F"/>
    <w:rsid w:val="008925ED"/>
    <w:rsid w:val="0089275D"/>
    <w:rsid w:val="00892A36"/>
    <w:rsid w:val="00892BF3"/>
    <w:rsid w:val="008931F7"/>
    <w:rsid w:val="00893239"/>
    <w:rsid w:val="0089366A"/>
    <w:rsid w:val="0089420E"/>
    <w:rsid w:val="00894279"/>
    <w:rsid w:val="008942B0"/>
    <w:rsid w:val="00894489"/>
    <w:rsid w:val="00894889"/>
    <w:rsid w:val="00894CD6"/>
    <w:rsid w:val="00894EBD"/>
    <w:rsid w:val="00895693"/>
    <w:rsid w:val="00895B45"/>
    <w:rsid w:val="00895CF5"/>
    <w:rsid w:val="00896245"/>
    <w:rsid w:val="008963A5"/>
    <w:rsid w:val="00896AEC"/>
    <w:rsid w:val="00896D5D"/>
    <w:rsid w:val="00897940"/>
    <w:rsid w:val="00897F58"/>
    <w:rsid w:val="008A0215"/>
    <w:rsid w:val="008A02ED"/>
    <w:rsid w:val="008A0ABE"/>
    <w:rsid w:val="008A0BC4"/>
    <w:rsid w:val="008A11D5"/>
    <w:rsid w:val="008A1228"/>
    <w:rsid w:val="008A1F47"/>
    <w:rsid w:val="008A230F"/>
    <w:rsid w:val="008A2ADA"/>
    <w:rsid w:val="008A3158"/>
    <w:rsid w:val="008A3363"/>
    <w:rsid w:val="008A3371"/>
    <w:rsid w:val="008A33D0"/>
    <w:rsid w:val="008A34A4"/>
    <w:rsid w:val="008A34CA"/>
    <w:rsid w:val="008A3686"/>
    <w:rsid w:val="008A39A9"/>
    <w:rsid w:val="008A3C3E"/>
    <w:rsid w:val="008A4096"/>
    <w:rsid w:val="008A4219"/>
    <w:rsid w:val="008A4562"/>
    <w:rsid w:val="008A4862"/>
    <w:rsid w:val="008A4B8B"/>
    <w:rsid w:val="008A501F"/>
    <w:rsid w:val="008A5146"/>
    <w:rsid w:val="008A58BA"/>
    <w:rsid w:val="008A5CC9"/>
    <w:rsid w:val="008A5CF9"/>
    <w:rsid w:val="008A5F10"/>
    <w:rsid w:val="008A6602"/>
    <w:rsid w:val="008A6880"/>
    <w:rsid w:val="008A6B2D"/>
    <w:rsid w:val="008A6B81"/>
    <w:rsid w:val="008A6D54"/>
    <w:rsid w:val="008A79DE"/>
    <w:rsid w:val="008B0E12"/>
    <w:rsid w:val="008B0FAD"/>
    <w:rsid w:val="008B1525"/>
    <w:rsid w:val="008B1757"/>
    <w:rsid w:val="008B1AA4"/>
    <w:rsid w:val="008B1AD8"/>
    <w:rsid w:val="008B1C33"/>
    <w:rsid w:val="008B1C94"/>
    <w:rsid w:val="008B1CFC"/>
    <w:rsid w:val="008B1F7F"/>
    <w:rsid w:val="008B2183"/>
    <w:rsid w:val="008B2B65"/>
    <w:rsid w:val="008B3D46"/>
    <w:rsid w:val="008B4217"/>
    <w:rsid w:val="008B4AE9"/>
    <w:rsid w:val="008B4B6F"/>
    <w:rsid w:val="008B5593"/>
    <w:rsid w:val="008B5B81"/>
    <w:rsid w:val="008B65C2"/>
    <w:rsid w:val="008B69D4"/>
    <w:rsid w:val="008B6A1F"/>
    <w:rsid w:val="008B6C28"/>
    <w:rsid w:val="008B7075"/>
    <w:rsid w:val="008B7144"/>
    <w:rsid w:val="008B74AA"/>
    <w:rsid w:val="008B7992"/>
    <w:rsid w:val="008B7D7E"/>
    <w:rsid w:val="008C024A"/>
    <w:rsid w:val="008C025E"/>
    <w:rsid w:val="008C0A5C"/>
    <w:rsid w:val="008C1625"/>
    <w:rsid w:val="008C1775"/>
    <w:rsid w:val="008C183E"/>
    <w:rsid w:val="008C1B79"/>
    <w:rsid w:val="008C1E52"/>
    <w:rsid w:val="008C2054"/>
    <w:rsid w:val="008C2E1A"/>
    <w:rsid w:val="008C3452"/>
    <w:rsid w:val="008C3E96"/>
    <w:rsid w:val="008C3F89"/>
    <w:rsid w:val="008C4717"/>
    <w:rsid w:val="008C53B4"/>
    <w:rsid w:val="008C5610"/>
    <w:rsid w:val="008C5739"/>
    <w:rsid w:val="008C58F2"/>
    <w:rsid w:val="008C58FF"/>
    <w:rsid w:val="008C5AF6"/>
    <w:rsid w:val="008C5B5D"/>
    <w:rsid w:val="008C603F"/>
    <w:rsid w:val="008C6BFB"/>
    <w:rsid w:val="008C7282"/>
    <w:rsid w:val="008C76AF"/>
    <w:rsid w:val="008C77D3"/>
    <w:rsid w:val="008C7C3B"/>
    <w:rsid w:val="008C7ECB"/>
    <w:rsid w:val="008D0249"/>
    <w:rsid w:val="008D07E0"/>
    <w:rsid w:val="008D07E5"/>
    <w:rsid w:val="008D0859"/>
    <w:rsid w:val="008D0A44"/>
    <w:rsid w:val="008D1098"/>
    <w:rsid w:val="008D1196"/>
    <w:rsid w:val="008D19B0"/>
    <w:rsid w:val="008D24AB"/>
    <w:rsid w:val="008D2F9D"/>
    <w:rsid w:val="008D33F5"/>
    <w:rsid w:val="008D3B86"/>
    <w:rsid w:val="008D4393"/>
    <w:rsid w:val="008D43FD"/>
    <w:rsid w:val="008D4460"/>
    <w:rsid w:val="008D4755"/>
    <w:rsid w:val="008D4906"/>
    <w:rsid w:val="008D4C3D"/>
    <w:rsid w:val="008D4F02"/>
    <w:rsid w:val="008D50EF"/>
    <w:rsid w:val="008D57DA"/>
    <w:rsid w:val="008D5F0D"/>
    <w:rsid w:val="008D6CC7"/>
    <w:rsid w:val="008D6D75"/>
    <w:rsid w:val="008D6FF0"/>
    <w:rsid w:val="008D743C"/>
    <w:rsid w:val="008D75C3"/>
    <w:rsid w:val="008D7D08"/>
    <w:rsid w:val="008D7EC2"/>
    <w:rsid w:val="008E0D3C"/>
    <w:rsid w:val="008E0FF2"/>
    <w:rsid w:val="008E1541"/>
    <w:rsid w:val="008E194A"/>
    <w:rsid w:val="008E1B9E"/>
    <w:rsid w:val="008E1F25"/>
    <w:rsid w:val="008E2528"/>
    <w:rsid w:val="008E298C"/>
    <w:rsid w:val="008E3B8F"/>
    <w:rsid w:val="008E4A5F"/>
    <w:rsid w:val="008E55AB"/>
    <w:rsid w:val="008E55BA"/>
    <w:rsid w:val="008E6140"/>
    <w:rsid w:val="008E6369"/>
    <w:rsid w:val="008E695F"/>
    <w:rsid w:val="008E6E59"/>
    <w:rsid w:val="008E72C4"/>
    <w:rsid w:val="008F019D"/>
    <w:rsid w:val="008F120A"/>
    <w:rsid w:val="008F1504"/>
    <w:rsid w:val="008F212B"/>
    <w:rsid w:val="008F260E"/>
    <w:rsid w:val="008F2734"/>
    <w:rsid w:val="008F27E0"/>
    <w:rsid w:val="008F2D82"/>
    <w:rsid w:val="008F3730"/>
    <w:rsid w:val="008F3982"/>
    <w:rsid w:val="008F448D"/>
    <w:rsid w:val="008F45A9"/>
    <w:rsid w:val="008F48EB"/>
    <w:rsid w:val="008F4F0B"/>
    <w:rsid w:val="008F529B"/>
    <w:rsid w:val="008F5369"/>
    <w:rsid w:val="008F616A"/>
    <w:rsid w:val="008F6CCF"/>
    <w:rsid w:val="008F6DFC"/>
    <w:rsid w:val="008F7162"/>
    <w:rsid w:val="008F71A0"/>
    <w:rsid w:val="008F72A7"/>
    <w:rsid w:val="008F75F3"/>
    <w:rsid w:val="008F78A8"/>
    <w:rsid w:val="008F7AD8"/>
    <w:rsid w:val="008F7C51"/>
    <w:rsid w:val="00900184"/>
    <w:rsid w:val="00900589"/>
    <w:rsid w:val="00900ABC"/>
    <w:rsid w:val="00901ED6"/>
    <w:rsid w:val="00902FF3"/>
    <w:rsid w:val="009032BC"/>
    <w:rsid w:val="00903415"/>
    <w:rsid w:val="00903680"/>
    <w:rsid w:val="00903B4D"/>
    <w:rsid w:val="00904004"/>
    <w:rsid w:val="009046C4"/>
    <w:rsid w:val="00904EE8"/>
    <w:rsid w:val="00904FB0"/>
    <w:rsid w:val="0090513F"/>
    <w:rsid w:val="00905643"/>
    <w:rsid w:val="0090592F"/>
    <w:rsid w:val="009062A5"/>
    <w:rsid w:val="009067B6"/>
    <w:rsid w:val="00906BC2"/>
    <w:rsid w:val="00906CC7"/>
    <w:rsid w:val="0090739F"/>
    <w:rsid w:val="00907699"/>
    <w:rsid w:val="009077A7"/>
    <w:rsid w:val="00907F13"/>
    <w:rsid w:val="0091046A"/>
    <w:rsid w:val="00910FA7"/>
    <w:rsid w:val="00911084"/>
    <w:rsid w:val="00911272"/>
    <w:rsid w:val="00911339"/>
    <w:rsid w:val="009135D6"/>
    <w:rsid w:val="0091436A"/>
    <w:rsid w:val="009143D2"/>
    <w:rsid w:val="00914841"/>
    <w:rsid w:val="00914C58"/>
    <w:rsid w:val="00914C72"/>
    <w:rsid w:val="00914C77"/>
    <w:rsid w:val="00914DA4"/>
    <w:rsid w:val="00914E77"/>
    <w:rsid w:val="00915020"/>
    <w:rsid w:val="00915669"/>
    <w:rsid w:val="00915DF9"/>
    <w:rsid w:val="0091619F"/>
    <w:rsid w:val="00916331"/>
    <w:rsid w:val="009166DB"/>
    <w:rsid w:val="00916858"/>
    <w:rsid w:val="00917890"/>
    <w:rsid w:val="009178E9"/>
    <w:rsid w:val="0092122F"/>
    <w:rsid w:val="00921791"/>
    <w:rsid w:val="00921ACB"/>
    <w:rsid w:val="00921E1C"/>
    <w:rsid w:val="009220DA"/>
    <w:rsid w:val="00922259"/>
    <w:rsid w:val="00922743"/>
    <w:rsid w:val="00922BBD"/>
    <w:rsid w:val="00922C9C"/>
    <w:rsid w:val="0092309F"/>
    <w:rsid w:val="00923425"/>
    <w:rsid w:val="009234BC"/>
    <w:rsid w:val="0092369B"/>
    <w:rsid w:val="0092391D"/>
    <w:rsid w:val="00923B8A"/>
    <w:rsid w:val="009246DD"/>
    <w:rsid w:val="00925553"/>
    <w:rsid w:val="00925A61"/>
    <w:rsid w:val="009266BD"/>
    <w:rsid w:val="00926D35"/>
    <w:rsid w:val="00927355"/>
    <w:rsid w:val="00927B0C"/>
    <w:rsid w:val="009300DC"/>
    <w:rsid w:val="009307EF"/>
    <w:rsid w:val="009309A9"/>
    <w:rsid w:val="0093199D"/>
    <w:rsid w:val="00931AFE"/>
    <w:rsid w:val="00931C87"/>
    <w:rsid w:val="009331EE"/>
    <w:rsid w:val="0093392C"/>
    <w:rsid w:val="00933AC5"/>
    <w:rsid w:val="00934252"/>
    <w:rsid w:val="0093441E"/>
    <w:rsid w:val="0093451F"/>
    <w:rsid w:val="009345FF"/>
    <w:rsid w:val="00934812"/>
    <w:rsid w:val="00934988"/>
    <w:rsid w:val="00934C4E"/>
    <w:rsid w:val="00934F41"/>
    <w:rsid w:val="00935545"/>
    <w:rsid w:val="00935666"/>
    <w:rsid w:val="009357F7"/>
    <w:rsid w:val="00935D30"/>
    <w:rsid w:val="00936D41"/>
    <w:rsid w:val="00936EE7"/>
    <w:rsid w:val="00937089"/>
    <w:rsid w:val="0093714B"/>
    <w:rsid w:val="009371EE"/>
    <w:rsid w:val="00937317"/>
    <w:rsid w:val="009377EB"/>
    <w:rsid w:val="00937DB6"/>
    <w:rsid w:val="009413FF"/>
    <w:rsid w:val="009417FC"/>
    <w:rsid w:val="0094186C"/>
    <w:rsid w:val="00941B9F"/>
    <w:rsid w:val="00942727"/>
    <w:rsid w:val="00942999"/>
    <w:rsid w:val="00942E3A"/>
    <w:rsid w:val="00942E5B"/>
    <w:rsid w:val="0094349D"/>
    <w:rsid w:val="00943E26"/>
    <w:rsid w:val="00944344"/>
    <w:rsid w:val="0094498A"/>
    <w:rsid w:val="00944AA4"/>
    <w:rsid w:val="00944AEF"/>
    <w:rsid w:val="00944C5F"/>
    <w:rsid w:val="00944DDC"/>
    <w:rsid w:val="00944F8A"/>
    <w:rsid w:val="00946072"/>
    <w:rsid w:val="009467DF"/>
    <w:rsid w:val="009473C4"/>
    <w:rsid w:val="00947A2E"/>
    <w:rsid w:val="009501BE"/>
    <w:rsid w:val="009501E6"/>
    <w:rsid w:val="009503AC"/>
    <w:rsid w:val="009503B7"/>
    <w:rsid w:val="00950CB8"/>
    <w:rsid w:val="009510A2"/>
    <w:rsid w:val="00952267"/>
    <w:rsid w:val="00952EC3"/>
    <w:rsid w:val="00952EF6"/>
    <w:rsid w:val="00953257"/>
    <w:rsid w:val="009533B8"/>
    <w:rsid w:val="00953A79"/>
    <w:rsid w:val="0095474C"/>
    <w:rsid w:val="00954FF0"/>
    <w:rsid w:val="00955016"/>
    <w:rsid w:val="00955814"/>
    <w:rsid w:val="00955969"/>
    <w:rsid w:val="009559C4"/>
    <w:rsid w:val="00956747"/>
    <w:rsid w:val="009569D7"/>
    <w:rsid w:val="00956B54"/>
    <w:rsid w:val="00956E93"/>
    <w:rsid w:val="0095701C"/>
    <w:rsid w:val="009578F3"/>
    <w:rsid w:val="00957930"/>
    <w:rsid w:val="00957D92"/>
    <w:rsid w:val="00960023"/>
    <w:rsid w:val="00960046"/>
    <w:rsid w:val="00960A47"/>
    <w:rsid w:val="0096135F"/>
    <w:rsid w:val="00962732"/>
    <w:rsid w:val="00962CB9"/>
    <w:rsid w:val="009630AE"/>
    <w:rsid w:val="0096378F"/>
    <w:rsid w:val="00963E86"/>
    <w:rsid w:val="00964312"/>
    <w:rsid w:val="0096432B"/>
    <w:rsid w:val="00964454"/>
    <w:rsid w:val="00964E95"/>
    <w:rsid w:val="009650D9"/>
    <w:rsid w:val="00965B8A"/>
    <w:rsid w:val="00965DAE"/>
    <w:rsid w:val="00966DB0"/>
    <w:rsid w:val="0096725A"/>
    <w:rsid w:val="009673D3"/>
    <w:rsid w:val="00967C2E"/>
    <w:rsid w:val="00967DEC"/>
    <w:rsid w:val="0097071F"/>
    <w:rsid w:val="009710A8"/>
    <w:rsid w:val="009712B2"/>
    <w:rsid w:val="009717AC"/>
    <w:rsid w:val="009718A6"/>
    <w:rsid w:val="00972532"/>
    <w:rsid w:val="00972BF0"/>
    <w:rsid w:val="00972C4C"/>
    <w:rsid w:val="009737D7"/>
    <w:rsid w:val="00973AFF"/>
    <w:rsid w:val="00974561"/>
    <w:rsid w:val="00974EA2"/>
    <w:rsid w:val="009751C1"/>
    <w:rsid w:val="0097528A"/>
    <w:rsid w:val="00975476"/>
    <w:rsid w:val="009754FC"/>
    <w:rsid w:val="009755AE"/>
    <w:rsid w:val="00975BA5"/>
    <w:rsid w:val="00975D8A"/>
    <w:rsid w:val="00975EAA"/>
    <w:rsid w:val="009761A8"/>
    <w:rsid w:val="00976A77"/>
    <w:rsid w:val="00977E48"/>
    <w:rsid w:val="00977F89"/>
    <w:rsid w:val="009800B2"/>
    <w:rsid w:val="0098044A"/>
    <w:rsid w:val="009811F1"/>
    <w:rsid w:val="00981B20"/>
    <w:rsid w:val="009824A5"/>
    <w:rsid w:val="0098262F"/>
    <w:rsid w:val="0098264D"/>
    <w:rsid w:val="009826A6"/>
    <w:rsid w:val="009832D8"/>
    <w:rsid w:val="00983AA3"/>
    <w:rsid w:val="00983BC7"/>
    <w:rsid w:val="00983E57"/>
    <w:rsid w:val="00983F42"/>
    <w:rsid w:val="00983FE4"/>
    <w:rsid w:val="0098438B"/>
    <w:rsid w:val="00984598"/>
    <w:rsid w:val="0098459E"/>
    <w:rsid w:val="00984C6C"/>
    <w:rsid w:val="00984D83"/>
    <w:rsid w:val="009851C8"/>
    <w:rsid w:val="00985DA3"/>
    <w:rsid w:val="00985DE2"/>
    <w:rsid w:val="0098620E"/>
    <w:rsid w:val="0098675D"/>
    <w:rsid w:val="009868FC"/>
    <w:rsid w:val="00986EB6"/>
    <w:rsid w:val="00987BA4"/>
    <w:rsid w:val="00987CFA"/>
    <w:rsid w:val="009918FE"/>
    <w:rsid w:val="00991A01"/>
    <w:rsid w:val="0099236E"/>
    <w:rsid w:val="0099263B"/>
    <w:rsid w:val="009926E0"/>
    <w:rsid w:val="00992786"/>
    <w:rsid w:val="00992A42"/>
    <w:rsid w:val="009937E3"/>
    <w:rsid w:val="00993C5C"/>
    <w:rsid w:val="0099451E"/>
    <w:rsid w:val="0099466C"/>
    <w:rsid w:val="009951F1"/>
    <w:rsid w:val="00995467"/>
    <w:rsid w:val="009955E8"/>
    <w:rsid w:val="00996058"/>
    <w:rsid w:val="00996B1A"/>
    <w:rsid w:val="00996ED3"/>
    <w:rsid w:val="00997B97"/>
    <w:rsid w:val="00997D8E"/>
    <w:rsid w:val="009A062F"/>
    <w:rsid w:val="009A0D0B"/>
    <w:rsid w:val="009A18F6"/>
    <w:rsid w:val="009A2DCC"/>
    <w:rsid w:val="009A2DCF"/>
    <w:rsid w:val="009A3C3F"/>
    <w:rsid w:val="009A41C4"/>
    <w:rsid w:val="009A4A14"/>
    <w:rsid w:val="009A53F9"/>
    <w:rsid w:val="009A551A"/>
    <w:rsid w:val="009A5554"/>
    <w:rsid w:val="009A59CE"/>
    <w:rsid w:val="009A5ABC"/>
    <w:rsid w:val="009A655D"/>
    <w:rsid w:val="009A6586"/>
    <w:rsid w:val="009A68D8"/>
    <w:rsid w:val="009A6A62"/>
    <w:rsid w:val="009A718E"/>
    <w:rsid w:val="009A7F10"/>
    <w:rsid w:val="009A7FFC"/>
    <w:rsid w:val="009B03E1"/>
    <w:rsid w:val="009B0525"/>
    <w:rsid w:val="009B0E7E"/>
    <w:rsid w:val="009B1431"/>
    <w:rsid w:val="009B18F6"/>
    <w:rsid w:val="009B28A7"/>
    <w:rsid w:val="009B2A0C"/>
    <w:rsid w:val="009B2B01"/>
    <w:rsid w:val="009B2EBE"/>
    <w:rsid w:val="009B3E26"/>
    <w:rsid w:val="009B3ED3"/>
    <w:rsid w:val="009B3FFA"/>
    <w:rsid w:val="009B41E9"/>
    <w:rsid w:val="009B492B"/>
    <w:rsid w:val="009B594F"/>
    <w:rsid w:val="009B661E"/>
    <w:rsid w:val="009B69CD"/>
    <w:rsid w:val="009B7330"/>
    <w:rsid w:val="009B7CDF"/>
    <w:rsid w:val="009B7E30"/>
    <w:rsid w:val="009C04CE"/>
    <w:rsid w:val="009C1271"/>
    <w:rsid w:val="009C18C5"/>
    <w:rsid w:val="009C1C24"/>
    <w:rsid w:val="009C27C8"/>
    <w:rsid w:val="009C3706"/>
    <w:rsid w:val="009C3751"/>
    <w:rsid w:val="009C3A3A"/>
    <w:rsid w:val="009C3D91"/>
    <w:rsid w:val="009C426B"/>
    <w:rsid w:val="009C4508"/>
    <w:rsid w:val="009C486A"/>
    <w:rsid w:val="009C5665"/>
    <w:rsid w:val="009C5E9E"/>
    <w:rsid w:val="009C622C"/>
    <w:rsid w:val="009C6C9C"/>
    <w:rsid w:val="009C6CEA"/>
    <w:rsid w:val="009C70DC"/>
    <w:rsid w:val="009C77A7"/>
    <w:rsid w:val="009C7B85"/>
    <w:rsid w:val="009D0254"/>
    <w:rsid w:val="009D09E0"/>
    <w:rsid w:val="009D0DE1"/>
    <w:rsid w:val="009D118F"/>
    <w:rsid w:val="009D1A64"/>
    <w:rsid w:val="009D1A9D"/>
    <w:rsid w:val="009D1C26"/>
    <w:rsid w:val="009D23F4"/>
    <w:rsid w:val="009D282D"/>
    <w:rsid w:val="009D2CCE"/>
    <w:rsid w:val="009D3097"/>
    <w:rsid w:val="009D3A9D"/>
    <w:rsid w:val="009D3E46"/>
    <w:rsid w:val="009D3ED4"/>
    <w:rsid w:val="009D3ED5"/>
    <w:rsid w:val="009D425D"/>
    <w:rsid w:val="009D50F0"/>
    <w:rsid w:val="009D52D1"/>
    <w:rsid w:val="009D5699"/>
    <w:rsid w:val="009D5B91"/>
    <w:rsid w:val="009D62D8"/>
    <w:rsid w:val="009D6608"/>
    <w:rsid w:val="009D745C"/>
    <w:rsid w:val="009D7525"/>
    <w:rsid w:val="009D792E"/>
    <w:rsid w:val="009D7AE1"/>
    <w:rsid w:val="009D7CD1"/>
    <w:rsid w:val="009E0A24"/>
    <w:rsid w:val="009E0CFB"/>
    <w:rsid w:val="009E0DFE"/>
    <w:rsid w:val="009E13AE"/>
    <w:rsid w:val="009E1BF8"/>
    <w:rsid w:val="009E1DC6"/>
    <w:rsid w:val="009E25C3"/>
    <w:rsid w:val="009E291E"/>
    <w:rsid w:val="009E2FC7"/>
    <w:rsid w:val="009E3144"/>
    <w:rsid w:val="009E31F6"/>
    <w:rsid w:val="009E358C"/>
    <w:rsid w:val="009E3A42"/>
    <w:rsid w:val="009E3B0A"/>
    <w:rsid w:val="009E4651"/>
    <w:rsid w:val="009E478D"/>
    <w:rsid w:val="009E485C"/>
    <w:rsid w:val="009E4C07"/>
    <w:rsid w:val="009E59DE"/>
    <w:rsid w:val="009E5AE9"/>
    <w:rsid w:val="009E5B22"/>
    <w:rsid w:val="009E608D"/>
    <w:rsid w:val="009E6331"/>
    <w:rsid w:val="009E69DB"/>
    <w:rsid w:val="009E777F"/>
    <w:rsid w:val="009F06CD"/>
    <w:rsid w:val="009F16AF"/>
    <w:rsid w:val="009F190E"/>
    <w:rsid w:val="009F2100"/>
    <w:rsid w:val="009F2452"/>
    <w:rsid w:val="009F2C86"/>
    <w:rsid w:val="009F2D48"/>
    <w:rsid w:val="009F2EDB"/>
    <w:rsid w:val="009F3D69"/>
    <w:rsid w:val="009F42C7"/>
    <w:rsid w:val="009F452B"/>
    <w:rsid w:val="009F4A9C"/>
    <w:rsid w:val="009F4D33"/>
    <w:rsid w:val="009F503D"/>
    <w:rsid w:val="009F5512"/>
    <w:rsid w:val="009F557E"/>
    <w:rsid w:val="009F6120"/>
    <w:rsid w:val="009F630B"/>
    <w:rsid w:val="009F78B6"/>
    <w:rsid w:val="009F7914"/>
    <w:rsid w:val="009F793B"/>
    <w:rsid w:val="009F7DBC"/>
    <w:rsid w:val="00A00016"/>
    <w:rsid w:val="00A00069"/>
    <w:rsid w:val="00A0030F"/>
    <w:rsid w:val="00A004C9"/>
    <w:rsid w:val="00A0073E"/>
    <w:rsid w:val="00A00B61"/>
    <w:rsid w:val="00A00B7D"/>
    <w:rsid w:val="00A00D76"/>
    <w:rsid w:val="00A01184"/>
    <w:rsid w:val="00A01449"/>
    <w:rsid w:val="00A014B9"/>
    <w:rsid w:val="00A018EE"/>
    <w:rsid w:val="00A0198A"/>
    <w:rsid w:val="00A01D8E"/>
    <w:rsid w:val="00A0205B"/>
    <w:rsid w:val="00A020B1"/>
    <w:rsid w:val="00A025C6"/>
    <w:rsid w:val="00A02E39"/>
    <w:rsid w:val="00A02FF6"/>
    <w:rsid w:val="00A03103"/>
    <w:rsid w:val="00A03117"/>
    <w:rsid w:val="00A03383"/>
    <w:rsid w:val="00A037C2"/>
    <w:rsid w:val="00A03D43"/>
    <w:rsid w:val="00A03F0E"/>
    <w:rsid w:val="00A04380"/>
    <w:rsid w:val="00A046F7"/>
    <w:rsid w:val="00A04786"/>
    <w:rsid w:val="00A04AEC"/>
    <w:rsid w:val="00A05472"/>
    <w:rsid w:val="00A05771"/>
    <w:rsid w:val="00A05C32"/>
    <w:rsid w:val="00A05C77"/>
    <w:rsid w:val="00A05EC4"/>
    <w:rsid w:val="00A062CB"/>
    <w:rsid w:val="00A0653F"/>
    <w:rsid w:val="00A06B1D"/>
    <w:rsid w:val="00A07026"/>
    <w:rsid w:val="00A07934"/>
    <w:rsid w:val="00A105B3"/>
    <w:rsid w:val="00A1072A"/>
    <w:rsid w:val="00A10770"/>
    <w:rsid w:val="00A107B9"/>
    <w:rsid w:val="00A11A4C"/>
    <w:rsid w:val="00A11B60"/>
    <w:rsid w:val="00A11CD0"/>
    <w:rsid w:val="00A11D19"/>
    <w:rsid w:val="00A126CA"/>
    <w:rsid w:val="00A13309"/>
    <w:rsid w:val="00A137D0"/>
    <w:rsid w:val="00A13832"/>
    <w:rsid w:val="00A13948"/>
    <w:rsid w:val="00A13983"/>
    <w:rsid w:val="00A13B3E"/>
    <w:rsid w:val="00A13BE7"/>
    <w:rsid w:val="00A13E7A"/>
    <w:rsid w:val="00A13FEF"/>
    <w:rsid w:val="00A151E4"/>
    <w:rsid w:val="00A1555B"/>
    <w:rsid w:val="00A155C5"/>
    <w:rsid w:val="00A1589E"/>
    <w:rsid w:val="00A15969"/>
    <w:rsid w:val="00A16AD8"/>
    <w:rsid w:val="00A16B1D"/>
    <w:rsid w:val="00A16E79"/>
    <w:rsid w:val="00A17016"/>
    <w:rsid w:val="00A17171"/>
    <w:rsid w:val="00A174BD"/>
    <w:rsid w:val="00A176BE"/>
    <w:rsid w:val="00A178B1"/>
    <w:rsid w:val="00A2021E"/>
    <w:rsid w:val="00A20DB7"/>
    <w:rsid w:val="00A21C95"/>
    <w:rsid w:val="00A21CF3"/>
    <w:rsid w:val="00A22C19"/>
    <w:rsid w:val="00A231F5"/>
    <w:rsid w:val="00A23884"/>
    <w:rsid w:val="00A23FE3"/>
    <w:rsid w:val="00A24813"/>
    <w:rsid w:val="00A24A19"/>
    <w:rsid w:val="00A24BCE"/>
    <w:rsid w:val="00A2517B"/>
    <w:rsid w:val="00A26FB2"/>
    <w:rsid w:val="00A27067"/>
    <w:rsid w:val="00A27953"/>
    <w:rsid w:val="00A27A86"/>
    <w:rsid w:val="00A27AEC"/>
    <w:rsid w:val="00A27BDE"/>
    <w:rsid w:val="00A304AF"/>
    <w:rsid w:val="00A30935"/>
    <w:rsid w:val="00A30CB4"/>
    <w:rsid w:val="00A30E7C"/>
    <w:rsid w:val="00A31C5A"/>
    <w:rsid w:val="00A320DB"/>
    <w:rsid w:val="00A32E0B"/>
    <w:rsid w:val="00A33106"/>
    <w:rsid w:val="00A33142"/>
    <w:rsid w:val="00A33768"/>
    <w:rsid w:val="00A346AA"/>
    <w:rsid w:val="00A35441"/>
    <w:rsid w:val="00A35D16"/>
    <w:rsid w:val="00A36C80"/>
    <w:rsid w:val="00A36F0B"/>
    <w:rsid w:val="00A37280"/>
    <w:rsid w:val="00A37BCD"/>
    <w:rsid w:val="00A406BA"/>
    <w:rsid w:val="00A41689"/>
    <w:rsid w:val="00A41F58"/>
    <w:rsid w:val="00A42592"/>
    <w:rsid w:val="00A426A2"/>
    <w:rsid w:val="00A427BB"/>
    <w:rsid w:val="00A427DC"/>
    <w:rsid w:val="00A430EA"/>
    <w:rsid w:val="00A43574"/>
    <w:rsid w:val="00A43C59"/>
    <w:rsid w:val="00A448A4"/>
    <w:rsid w:val="00A44917"/>
    <w:rsid w:val="00A4630D"/>
    <w:rsid w:val="00A46D46"/>
    <w:rsid w:val="00A47F5B"/>
    <w:rsid w:val="00A502DA"/>
    <w:rsid w:val="00A50303"/>
    <w:rsid w:val="00A503B1"/>
    <w:rsid w:val="00A5042F"/>
    <w:rsid w:val="00A50603"/>
    <w:rsid w:val="00A50950"/>
    <w:rsid w:val="00A50D48"/>
    <w:rsid w:val="00A50ECD"/>
    <w:rsid w:val="00A51186"/>
    <w:rsid w:val="00A51666"/>
    <w:rsid w:val="00A51894"/>
    <w:rsid w:val="00A518F3"/>
    <w:rsid w:val="00A519E6"/>
    <w:rsid w:val="00A520F0"/>
    <w:rsid w:val="00A52729"/>
    <w:rsid w:val="00A528B1"/>
    <w:rsid w:val="00A5362D"/>
    <w:rsid w:val="00A53675"/>
    <w:rsid w:val="00A5420D"/>
    <w:rsid w:val="00A548F2"/>
    <w:rsid w:val="00A557A4"/>
    <w:rsid w:val="00A557B8"/>
    <w:rsid w:val="00A55AF1"/>
    <w:rsid w:val="00A564D7"/>
    <w:rsid w:val="00A567DA"/>
    <w:rsid w:val="00A56B6A"/>
    <w:rsid w:val="00A573B6"/>
    <w:rsid w:val="00A578DC"/>
    <w:rsid w:val="00A57AB8"/>
    <w:rsid w:val="00A57C3A"/>
    <w:rsid w:val="00A6033B"/>
    <w:rsid w:val="00A606FE"/>
    <w:rsid w:val="00A612E7"/>
    <w:rsid w:val="00A614D5"/>
    <w:rsid w:val="00A62413"/>
    <w:rsid w:val="00A62F9E"/>
    <w:rsid w:val="00A63BF6"/>
    <w:rsid w:val="00A63C7A"/>
    <w:rsid w:val="00A63DB0"/>
    <w:rsid w:val="00A640E2"/>
    <w:rsid w:val="00A64D65"/>
    <w:rsid w:val="00A653A6"/>
    <w:rsid w:val="00A65693"/>
    <w:rsid w:val="00A6592B"/>
    <w:rsid w:val="00A668F2"/>
    <w:rsid w:val="00A6721E"/>
    <w:rsid w:val="00A6725B"/>
    <w:rsid w:val="00A67387"/>
    <w:rsid w:val="00A6766C"/>
    <w:rsid w:val="00A678CA"/>
    <w:rsid w:val="00A67931"/>
    <w:rsid w:val="00A67B6C"/>
    <w:rsid w:val="00A700AF"/>
    <w:rsid w:val="00A70203"/>
    <w:rsid w:val="00A70605"/>
    <w:rsid w:val="00A70D64"/>
    <w:rsid w:val="00A71023"/>
    <w:rsid w:val="00A7105C"/>
    <w:rsid w:val="00A7168D"/>
    <w:rsid w:val="00A718C1"/>
    <w:rsid w:val="00A71A25"/>
    <w:rsid w:val="00A71B26"/>
    <w:rsid w:val="00A71B2F"/>
    <w:rsid w:val="00A71E8F"/>
    <w:rsid w:val="00A71ED4"/>
    <w:rsid w:val="00A7269F"/>
    <w:rsid w:val="00A72B1A"/>
    <w:rsid w:val="00A72BD4"/>
    <w:rsid w:val="00A72E11"/>
    <w:rsid w:val="00A730B8"/>
    <w:rsid w:val="00A73134"/>
    <w:rsid w:val="00A73248"/>
    <w:rsid w:val="00A733ED"/>
    <w:rsid w:val="00A7365A"/>
    <w:rsid w:val="00A73CFE"/>
    <w:rsid w:val="00A74D69"/>
    <w:rsid w:val="00A74F1D"/>
    <w:rsid w:val="00A7584A"/>
    <w:rsid w:val="00A76001"/>
    <w:rsid w:val="00A764AC"/>
    <w:rsid w:val="00A777B2"/>
    <w:rsid w:val="00A778F8"/>
    <w:rsid w:val="00A77B2A"/>
    <w:rsid w:val="00A77FEE"/>
    <w:rsid w:val="00A8007E"/>
    <w:rsid w:val="00A8031A"/>
    <w:rsid w:val="00A80336"/>
    <w:rsid w:val="00A811D1"/>
    <w:rsid w:val="00A813E0"/>
    <w:rsid w:val="00A81F1D"/>
    <w:rsid w:val="00A824E1"/>
    <w:rsid w:val="00A825D4"/>
    <w:rsid w:val="00A82643"/>
    <w:rsid w:val="00A828F6"/>
    <w:rsid w:val="00A82B73"/>
    <w:rsid w:val="00A82D81"/>
    <w:rsid w:val="00A82F8A"/>
    <w:rsid w:val="00A83157"/>
    <w:rsid w:val="00A8360B"/>
    <w:rsid w:val="00A83F0B"/>
    <w:rsid w:val="00A84730"/>
    <w:rsid w:val="00A84758"/>
    <w:rsid w:val="00A85EE5"/>
    <w:rsid w:val="00A86B75"/>
    <w:rsid w:val="00A86E8B"/>
    <w:rsid w:val="00A86EE2"/>
    <w:rsid w:val="00A87164"/>
    <w:rsid w:val="00A871A9"/>
    <w:rsid w:val="00A874EF"/>
    <w:rsid w:val="00A87592"/>
    <w:rsid w:val="00A875C7"/>
    <w:rsid w:val="00A876C4"/>
    <w:rsid w:val="00A8774D"/>
    <w:rsid w:val="00A87CA8"/>
    <w:rsid w:val="00A87DF6"/>
    <w:rsid w:val="00A91107"/>
    <w:rsid w:val="00A91F24"/>
    <w:rsid w:val="00A9219C"/>
    <w:rsid w:val="00A923D7"/>
    <w:rsid w:val="00A92518"/>
    <w:rsid w:val="00A9288C"/>
    <w:rsid w:val="00A93072"/>
    <w:rsid w:val="00A934F0"/>
    <w:rsid w:val="00A9378F"/>
    <w:rsid w:val="00A938BD"/>
    <w:rsid w:val="00A93953"/>
    <w:rsid w:val="00A93A39"/>
    <w:rsid w:val="00A9430E"/>
    <w:rsid w:val="00A959D8"/>
    <w:rsid w:val="00A95B85"/>
    <w:rsid w:val="00A96036"/>
    <w:rsid w:val="00A96B2C"/>
    <w:rsid w:val="00AA007C"/>
    <w:rsid w:val="00AA0170"/>
    <w:rsid w:val="00AA0628"/>
    <w:rsid w:val="00AA0827"/>
    <w:rsid w:val="00AA0901"/>
    <w:rsid w:val="00AA113D"/>
    <w:rsid w:val="00AA11D3"/>
    <w:rsid w:val="00AA1545"/>
    <w:rsid w:val="00AA3323"/>
    <w:rsid w:val="00AA4879"/>
    <w:rsid w:val="00AA4F70"/>
    <w:rsid w:val="00AA4FD0"/>
    <w:rsid w:val="00AA562D"/>
    <w:rsid w:val="00AA5EA3"/>
    <w:rsid w:val="00AA6343"/>
    <w:rsid w:val="00AA63DB"/>
    <w:rsid w:val="00AA6B30"/>
    <w:rsid w:val="00AA6BD5"/>
    <w:rsid w:val="00AA6BD8"/>
    <w:rsid w:val="00AA6C6E"/>
    <w:rsid w:val="00AA6C7D"/>
    <w:rsid w:val="00AA6E96"/>
    <w:rsid w:val="00AA70F5"/>
    <w:rsid w:val="00AA7FD6"/>
    <w:rsid w:val="00AB033B"/>
    <w:rsid w:val="00AB042A"/>
    <w:rsid w:val="00AB077A"/>
    <w:rsid w:val="00AB0A13"/>
    <w:rsid w:val="00AB0E93"/>
    <w:rsid w:val="00AB11AD"/>
    <w:rsid w:val="00AB19EF"/>
    <w:rsid w:val="00AB1A36"/>
    <w:rsid w:val="00AB1B12"/>
    <w:rsid w:val="00AB1B89"/>
    <w:rsid w:val="00AB2495"/>
    <w:rsid w:val="00AB24C4"/>
    <w:rsid w:val="00AB2BBB"/>
    <w:rsid w:val="00AB2D34"/>
    <w:rsid w:val="00AB3430"/>
    <w:rsid w:val="00AB37B9"/>
    <w:rsid w:val="00AB4047"/>
    <w:rsid w:val="00AB461F"/>
    <w:rsid w:val="00AB48E5"/>
    <w:rsid w:val="00AB4AD1"/>
    <w:rsid w:val="00AB4CD4"/>
    <w:rsid w:val="00AB556D"/>
    <w:rsid w:val="00AB567C"/>
    <w:rsid w:val="00AB5B93"/>
    <w:rsid w:val="00AB5E07"/>
    <w:rsid w:val="00AB5F18"/>
    <w:rsid w:val="00AB6038"/>
    <w:rsid w:val="00AB6482"/>
    <w:rsid w:val="00AB6C7C"/>
    <w:rsid w:val="00AB77E4"/>
    <w:rsid w:val="00AB7B52"/>
    <w:rsid w:val="00AB7CFA"/>
    <w:rsid w:val="00AC0FE4"/>
    <w:rsid w:val="00AC13D2"/>
    <w:rsid w:val="00AC147C"/>
    <w:rsid w:val="00AC16D5"/>
    <w:rsid w:val="00AC1B08"/>
    <w:rsid w:val="00AC1C9F"/>
    <w:rsid w:val="00AC26D5"/>
    <w:rsid w:val="00AC28AE"/>
    <w:rsid w:val="00AC2E4B"/>
    <w:rsid w:val="00AC32CD"/>
    <w:rsid w:val="00AC4A72"/>
    <w:rsid w:val="00AC5308"/>
    <w:rsid w:val="00AC544E"/>
    <w:rsid w:val="00AC56A0"/>
    <w:rsid w:val="00AC5B42"/>
    <w:rsid w:val="00AC5B48"/>
    <w:rsid w:val="00AC5EE9"/>
    <w:rsid w:val="00AC5FD7"/>
    <w:rsid w:val="00AC623A"/>
    <w:rsid w:val="00AC652E"/>
    <w:rsid w:val="00AC6D99"/>
    <w:rsid w:val="00AC6EED"/>
    <w:rsid w:val="00AC7388"/>
    <w:rsid w:val="00AD014D"/>
    <w:rsid w:val="00AD0775"/>
    <w:rsid w:val="00AD0861"/>
    <w:rsid w:val="00AD112F"/>
    <w:rsid w:val="00AD1450"/>
    <w:rsid w:val="00AD15E8"/>
    <w:rsid w:val="00AD1BC3"/>
    <w:rsid w:val="00AD1C56"/>
    <w:rsid w:val="00AD2239"/>
    <w:rsid w:val="00AD240E"/>
    <w:rsid w:val="00AD281D"/>
    <w:rsid w:val="00AD2873"/>
    <w:rsid w:val="00AD2935"/>
    <w:rsid w:val="00AD356D"/>
    <w:rsid w:val="00AD38A9"/>
    <w:rsid w:val="00AD4281"/>
    <w:rsid w:val="00AD4819"/>
    <w:rsid w:val="00AD559F"/>
    <w:rsid w:val="00AD57D3"/>
    <w:rsid w:val="00AD5E26"/>
    <w:rsid w:val="00AD6502"/>
    <w:rsid w:val="00AD6ABE"/>
    <w:rsid w:val="00AD6DA0"/>
    <w:rsid w:val="00AD6DE9"/>
    <w:rsid w:val="00AD6EF7"/>
    <w:rsid w:val="00AD740C"/>
    <w:rsid w:val="00AD747E"/>
    <w:rsid w:val="00AD7860"/>
    <w:rsid w:val="00AD791F"/>
    <w:rsid w:val="00AD7C89"/>
    <w:rsid w:val="00AE053F"/>
    <w:rsid w:val="00AE0555"/>
    <w:rsid w:val="00AE0695"/>
    <w:rsid w:val="00AE08A4"/>
    <w:rsid w:val="00AE1464"/>
    <w:rsid w:val="00AE1ABE"/>
    <w:rsid w:val="00AE22D9"/>
    <w:rsid w:val="00AE24C5"/>
    <w:rsid w:val="00AE2704"/>
    <w:rsid w:val="00AE28A4"/>
    <w:rsid w:val="00AE320E"/>
    <w:rsid w:val="00AE33DD"/>
    <w:rsid w:val="00AE362B"/>
    <w:rsid w:val="00AE3D61"/>
    <w:rsid w:val="00AE3E7E"/>
    <w:rsid w:val="00AE3E9A"/>
    <w:rsid w:val="00AE3EB5"/>
    <w:rsid w:val="00AE401B"/>
    <w:rsid w:val="00AE5644"/>
    <w:rsid w:val="00AE575E"/>
    <w:rsid w:val="00AE58B3"/>
    <w:rsid w:val="00AE5F95"/>
    <w:rsid w:val="00AE607F"/>
    <w:rsid w:val="00AE66EE"/>
    <w:rsid w:val="00AE6B4A"/>
    <w:rsid w:val="00AE6F55"/>
    <w:rsid w:val="00AE7CA4"/>
    <w:rsid w:val="00AE7E53"/>
    <w:rsid w:val="00AF0535"/>
    <w:rsid w:val="00AF08AC"/>
    <w:rsid w:val="00AF10BE"/>
    <w:rsid w:val="00AF1215"/>
    <w:rsid w:val="00AF1315"/>
    <w:rsid w:val="00AF19BF"/>
    <w:rsid w:val="00AF1A28"/>
    <w:rsid w:val="00AF1DD0"/>
    <w:rsid w:val="00AF1F9F"/>
    <w:rsid w:val="00AF2C0A"/>
    <w:rsid w:val="00AF2DC3"/>
    <w:rsid w:val="00AF34B0"/>
    <w:rsid w:val="00AF3503"/>
    <w:rsid w:val="00AF38D6"/>
    <w:rsid w:val="00AF3A42"/>
    <w:rsid w:val="00AF3C87"/>
    <w:rsid w:val="00AF3F0F"/>
    <w:rsid w:val="00AF5077"/>
    <w:rsid w:val="00AF50C8"/>
    <w:rsid w:val="00AF537A"/>
    <w:rsid w:val="00AF62B4"/>
    <w:rsid w:val="00AF6D8D"/>
    <w:rsid w:val="00B0054A"/>
    <w:rsid w:val="00B00550"/>
    <w:rsid w:val="00B01C74"/>
    <w:rsid w:val="00B033E5"/>
    <w:rsid w:val="00B03533"/>
    <w:rsid w:val="00B03A17"/>
    <w:rsid w:val="00B03A63"/>
    <w:rsid w:val="00B04683"/>
    <w:rsid w:val="00B0472C"/>
    <w:rsid w:val="00B04C72"/>
    <w:rsid w:val="00B054B0"/>
    <w:rsid w:val="00B0591C"/>
    <w:rsid w:val="00B06236"/>
    <w:rsid w:val="00B06CCF"/>
    <w:rsid w:val="00B06F30"/>
    <w:rsid w:val="00B06F82"/>
    <w:rsid w:val="00B07087"/>
    <w:rsid w:val="00B07A37"/>
    <w:rsid w:val="00B07B53"/>
    <w:rsid w:val="00B07E78"/>
    <w:rsid w:val="00B07F62"/>
    <w:rsid w:val="00B113D0"/>
    <w:rsid w:val="00B122CD"/>
    <w:rsid w:val="00B1298A"/>
    <w:rsid w:val="00B129A4"/>
    <w:rsid w:val="00B12D84"/>
    <w:rsid w:val="00B12EB0"/>
    <w:rsid w:val="00B12F8A"/>
    <w:rsid w:val="00B13238"/>
    <w:rsid w:val="00B1338F"/>
    <w:rsid w:val="00B137CB"/>
    <w:rsid w:val="00B13BEA"/>
    <w:rsid w:val="00B13C3A"/>
    <w:rsid w:val="00B14673"/>
    <w:rsid w:val="00B14719"/>
    <w:rsid w:val="00B14FE9"/>
    <w:rsid w:val="00B153C0"/>
    <w:rsid w:val="00B15C59"/>
    <w:rsid w:val="00B15F27"/>
    <w:rsid w:val="00B16217"/>
    <w:rsid w:val="00B164AC"/>
    <w:rsid w:val="00B17216"/>
    <w:rsid w:val="00B201A4"/>
    <w:rsid w:val="00B201D1"/>
    <w:rsid w:val="00B20504"/>
    <w:rsid w:val="00B208E9"/>
    <w:rsid w:val="00B209C5"/>
    <w:rsid w:val="00B20E2E"/>
    <w:rsid w:val="00B20E65"/>
    <w:rsid w:val="00B2123B"/>
    <w:rsid w:val="00B212A2"/>
    <w:rsid w:val="00B213A6"/>
    <w:rsid w:val="00B2144D"/>
    <w:rsid w:val="00B21B44"/>
    <w:rsid w:val="00B21C64"/>
    <w:rsid w:val="00B21E0C"/>
    <w:rsid w:val="00B221C6"/>
    <w:rsid w:val="00B22680"/>
    <w:rsid w:val="00B229AF"/>
    <w:rsid w:val="00B22DF2"/>
    <w:rsid w:val="00B231BC"/>
    <w:rsid w:val="00B234D0"/>
    <w:rsid w:val="00B235B0"/>
    <w:rsid w:val="00B235E1"/>
    <w:rsid w:val="00B23BB1"/>
    <w:rsid w:val="00B23BCC"/>
    <w:rsid w:val="00B24DF6"/>
    <w:rsid w:val="00B257A2"/>
    <w:rsid w:val="00B258D2"/>
    <w:rsid w:val="00B25BDA"/>
    <w:rsid w:val="00B25D19"/>
    <w:rsid w:val="00B26E10"/>
    <w:rsid w:val="00B26ED6"/>
    <w:rsid w:val="00B270E8"/>
    <w:rsid w:val="00B27A46"/>
    <w:rsid w:val="00B27A61"/>
    <w:rsid w:val="00B27DA7"/>
    <w:rsid w:val="00B304DD"/>
    <w:rsid w:val="00B30F03"/>
    <w:rsid w:val="00B31823"/>
    <w:rsid w:val="00B32112"/>
    <w:rsid w:val="00B327F0"/>
    <w:rsid w:val="00B32BB0"/>
    <w:rsid w:val="00B330CA"/>
    <w:rsid w:val="00B33294"/>
    <w:rsid w:val="00B33A36"/>
    <w:rsid w:val="00B33B44"/>
    <w:rsid w:val="00B3445E"/>
    <w:rsid w:val="00B34C14"/>
    <w:rsid w:val="00B34EF3"/>
    <w:rsid w:val="00B34FE2"/>
    <w:rsid w:val="00B35166"/>
    <w:rsid w:val="00B35619"/>
    <w:rsid w:val="00B357D8"/>
    <w:rsid w:val="00B35F29"/>
    <w:rsid w:val="00B35F2C"/>
    <w:rsid w:val="00B360F4"/>
    <w:rsid w:val="00B36120"/>
    <w:rsid w:val="00B36A00"/>
    <w:rsid w:val="00B36DDA"/>
    <w:rsid w:val="00B3772B"/>
    <w:rsid w:val="00B3792B"/>
    <w:rsid w:val="00B37BFC"/>
    <w:rsid w:val="00B401BF"/>
    <w:rsid w:val="00B40358"/>
    <w:rsid w:val="00B403E2"/>
    <w:rsid w:val="00B404B5"/>
    <w:rsid w:val="00B40C2A"/>
    <w:rsid w:val="00B41614"/>
    <w:rsid w:val="00B42596"/>
    <w:rsid w:val="00B42851"/>
    <w:rsid w:val="00B42D88"/>
    <w:rsid w:val="00B42ED0"/>
    <w:rsid w:val="00B42F80"/>
    <w:rsid w:val="00B435CB"/>
    <w:rsid w:val="00B436EC"/>
    <w:rsid w:val="00B43733"/>
    <w:rsid w:val="00B43986"/>
    <w:rsid w:val="00B43CEA"/>
    <w:rsid w:val="00B4416A"/>
    <w:rsid w:val="00B44837"/>
    <w:rsid w:val="00B45865"/>
    <w:rsid w:val="00B45E5E"/>
    <w:rsid w:val="00B45FBC"/>
    <w:rsid w:val="00B4635D"/>
    <w:rsid w:val="00B465EC"/>
    <w:rsid w:val="00B47503"/>
    <w:rsid w:val="00B4798F"/>
    <w:rsid w:val="00B47C55"/>
    <w:rsid w:val="00B47DE6"/>
    <w:rsid w:val="00B47F13"/>
    <w:rsid w:val="00B502DA"/>
    <w:rsid w:val="00B50567"/>
    <w:rsid w:val="00B505C8"/>
    <w:rsid w:val="00B506E1"/>
    <w:rsid w:val="00B50AEF"/>
    <w:rsid w:val="00B50D3E"/>
    <w:rsid w:val="00B50DB8"/>
    <w:rsid w:val="00B519E4"/>
    <w:rsid w:val="00B51DA5"/>
    <w:rsid w:val="00B52232"/>
    <w:rsid w:val="00B52902"/>
    <w:rsid w:val="00B52917"/>
    <w:rsid w:val="00B53221"/>
    <w:rsid w:val="00B53450"/>
    <w:rsid w:val="00B53654"/>
    <w:rsid w:val="00B53905"/>
    <w:rsid w:val="00B5427F"/>
    <w:rsid w:val="00B546DB"/>
    <w:rsid w:val="00B54B5B"/>
    <w:rsid w:val="00B5562E"/>
    <w:rsid w:val="00B55862"/>
    <w:rsid w:val="00B55D65"/>
    <w:rsid w:val="00B56305"/>
    <w:rsid w:val="00B564B4"/>
    <w:rsid w:val="00B57000"/>
    <w:rsid w:val="00B5742F"/>
    <w:rsid w:val="00B57A7A"/>
    <w:rsid w:val="00B57D69"/>
    <w:rsid w:val="00B57F63"/>
    <w:rsid w:val="00B60939"/>
    <w:rsid w:val="00B60AFD"/>
    <w:rsid w:val="00B62715"/>
    <w:rsid w:val="00B62CEE"/>
    <w:rsid w:val="00B62EDD"/>
    <w:rsid w:val="00B62FFF"/>
    <w:rsid w:val="00B63447"/>
    <w:rsid w:val="00B6366E"/>
    <w:rsid w:val="00B63894"/>
    <w:rsid w:val="00B63F1F"/>
    <w:rsid w:val="00B64033"/>
    <w:rsid w:val="00B64281"/>
    <w:rsid w:val="00B64561"/>
    <w:rsid w:val="00B64912"/>
    <w:rsid w:val="00B64A65"/>
    <w:rsid w:val="00B64BDC"/>
    <w:rsid w:val="00B65611"/>
    <w:rsid w:val="00B65823"/>
    <w:rsid w:val="00B65962"/>
    <w:rsid w:val="00B65EB7"/>
    <w:rsid w:val="00B65F4D"/>
    <w:rsid w:val="00B6602D"/>
    <w:rsid w:val="00B66EF7"/>
    <w:rsid w:val="00B66F31"/>
    <w:rsid w:val="00B6746D"/>
    <w:rsid w:val="00B67609"/>
    <w:rsid w:val="00B6760E"/>
    <w:rsid w:val="00B701A0"/>
    <w:rsid w:val="00B70538"/>
    <w:rsid w:val="00B705A6"/>
    <w:rsid w:val="00B70AE2"/>
    <w:rsid w:val="00B70E8E"/>
    <w:rsid w:val="00B71A5F"/>
    <w:rsid w:val="00B71ACF"/>
    <w:rsid w:val="00B7270D"/>
    <w:rsid w:val="00B7296D"/>
    <w:rsid w:val="00B729C5"/>
    <w:rsid w:val="00B72BD0"/>
    <w:rsid w:val="00B72D5E"/>
    <w:rsid w:val="00B73032"/>
    <w:rsid w:val="00B73504"/>
    <w:rsid w:val="00B74F31"/>
    <w:rsid w:val="00B7680D"/>
    <w:rsid w:val="00B76C92"/>
    <w:rsid w:val="00B76EB9"/>
    <w:rsid w:val="00B7767F"/>
    <w:rsid w:val="00B77B7F"/>
    <w:rsid w:val="00B77C87"/>
    <w:rsid w:val="00B77DF2"/>
    <w:rsid w:val="00B803E4"/>
    <w:rsid w:val="00B8085A"/>
    <w:rsid w:val="00B80EFD"/>
    <w:rsid w:val="00B811D4"/>
    <w:rsid w:val="00B818A4"/>
    <w:rsid w:val="00B81935"/>
    <w:rsid w:val="00B81D4E"/>
    <w:rsid w:val="00B82527"/>
    <w:rsid w:val="00B83000"/>
    <w:rsid w:val="00B83513"/>
    <w:rsid w:val="00B83739"/>
    <w:rsid w:val="00B84117"/>
    <w:rsid w:val="00B84BE5"/>
    <w:rsid w:val="00B84EDB"/>
    <w:rsid w:val="00B857C9"/>
    <w:rsid w:val="00B858F0"/>
    <w:rsid w:val="00B85AA2"/>
    <w:rsid w:val="00B8649C"/>
    <w:rsid w:val="00B86656"/>
    <w:rsid w:val="00B8695D"/>
    <w:rsid w:val="00B86C49"/>
    <w:rsid w:val="00B87F0A"/>
    <w:rsid w:val="00B902E9"/>
    <w:rsid w:val="00B905B8"/>
    <w:rsid w:val="00B909A0"/>
    <w:rsid w:val="00B90BF3"/>
    <w:rsid w:val="00B91845"/>
    <w:rsid w:val="00B91E40"/>
    <w:rsid w:val="00B91FB7"/>
    <w:rsid w:val="00B923FF"/>
    <w:rsid w:val="00B92D0B"/>
    <w:rsid w:val="00B92DD5"/>
    <w:rsid w:val="00B9339B"/>
    <w:rsid w:val="00B938B6"/>
    <w:rsid w:val="00B94945"/>
    <w:rsid w:val="00B94DD6"/>
    <w:rsid w:val="00B950A4"/>
    <w:rsid w:val="00B95594"/>
    <w:rsid w:val="00B97779"/>
    <w:rsid w:val="00B97A47"/>
    <w:rsid w:val="00BA0DC8"/>
    <w:rsid w:val="00BA1AD2"/>
    <w:rsid w:val="00BA1CE3"/>
    <w:rsid w:val="00BA2366"/>
    <w:rsid w:val="00BA2611"/>
    <w:rsid w:val="00BA2B1F"/>
    <w:rsid w:val="00BA3184"/>
    <w:rsid w:val="00BA322D"/>
    <w:rsid w:val="00BA4B1A"/>
    <w:rsid w:val="00BA54A6"/>
    <w:rsid w:val="00BA58EF"/>
    <w:rsid w:val="00BA63FA"/>
    <w:rsid w:val="00BA6EF0"/>
    <w:rsid w:val="00BA7369"/>
    <w:rsid w:val="00BA7583"/>
    <w:rsid w:val="00BA760F"/>
    <w:rsid w:val="00BA7921"/>
    <w:rsid w:val="00BB0060"/>
    <w:rsid w:val="00BB00B3"/>
    <w:rsid w:val="00BB0A67"/>
    <w:rsid w:val="00BB0BDD"/>
    <w:rsid w:val="00BB176C"/>
    <w:rsid w:val="00BB1860"/>
    <w:rsid w:val="00BB1F1B"/>
    <w:rsid w:val="00BB25DA"/>
    <w:rsid w:val="00BB2A73"/>
    <w:rsid w:val="00BB3223"/>
    <w:rsid w:val="00BB340D"/>
    <w:rsid w:val="00BB37BF"/>
    <w:rsid w:val="00BB3A45"/>
    <w:rsid w:val="00BB3B25"/>
    <w:rsid w:val="00BB3C43"/>
    <w:rsid w:val="00BB3E88"/>
    <w:rsid w:val="00BB4097"/>
    <w:rsid w:val="00BB4A82"/>
    <w:rsid w:val="00BB4ACC"/>
    <w:rsid w:val="00BB4FB5"/>
    <w:rsid w:val="00BB5621"/>
    <w:rsid w:val="00BB5F45"/>
    <w:rsid w:val="00BB644A"/>
    <w:rsid w:val="00BB6DC0"/>
    <w:rsid w:val="00BB6F12"/>
    <w:rsid w:val="00BB703E"/>
    <w:rsid w:val="00BB732D"/>
    <w:rsid w:val="00BB7405"/>
    <w:rsid w:val="00BC0115"/>
    <w:rsid w:val="00BC0503"/>
    <w:rsid w:val="00BC079D"/>
    <w:rsid w:val="00BC2603"/>
    <w:rsid w:val="00BC2D1F"/>
    <w:rsid w:val="00BC3631"/>
    <w:rsid w:val="00BC3CB8"/>
    <w:rsid w:val="00BC4833"/>
    <w:rsid w:val="00BC4F46"/>
    <w:rsid w:val="00BC52E7"/>
    <w:rsid w:val="00BC5551"/>
    <w:rsid w:val="00BC591F"/>
    <w:rsid w:val="00BC675C"/>
    <w:rsid w:val="00BC6E99"/>
    <w:rsid w:val="00BC72AB"/>
    <w:rsid w:val="00BC7D6D"/>
    <w:rsid w:val="00BC7EEF"/>
    <w:rsid w:val="00BC7F97"/>
    <w:rsid w:val="00BD0C0C"/>
    <w:rsid w:val="00BD176B"/>
    <w:rsid w:val="00BD1C87"/>
    <w:rsid w:val="00BD2108"/>
    <w:rsid w:val="00BD2372"/>
    <w:rsid w:val="00BD254E"/>
    <w:rsid w:val="00BD3240"/>
    <w:rsid w:val="00BD3FDE"/>
    <w:rsid w:val="00BD406F"/>
    <w:rsid w:val="00BD4176"/>
    <w:rsid w:val="00BD41A9"/>
    <w:rsid w:val="00BD4AD7"/>
    <w:rsid w:val="00BD4C41"/>
    <w:rsid w:val="00BD51EA"/>
    <w:rsid w:val="00BD5994"/>
    <w:rsid w:val="00BD63D5"/>
    <w:rsid w:val="00BD68A3"/>
    <w:rsid w:val="00BD6938"/>
    <w:rsid w:val="00BD6CF3"/>
    <w:rsid w:val="00BD76FF"/>
    <w:rsid w:val="00BD7DBB"/>
    <w:rsid w:val="00BD7E63"/>
    <w:rsid w:val="00BD7F72"/>
    <w:rsid w:val="00BE0252"/>
    <w:rsid w:val="00BE090E"/>
    <w:rsid w:val="00BE0ECA"/>
    <w:rsid w:val="00BE2050"/>
    <w:rsid w:val="00BE2180"/>
    <w:rsid w:val="00BE21F2"/>
    <w:rsid w:val="00BE223C"/>
    <w:rsid w:val="00BE2B05"/>
    <w:rsid w:val="00BE318A"/>
    <w:rsid w:val="00BE35A3"/>
    <w:rsid w:val="00BE3C8C"/>
    <w:rsid w:val="00BE3E47"/>
    <w:rsid w:val="00BE4035"/>
    <w:rsid w:val="00BE4275"/>
    <w:rsid w:val="00BE4595"/>
    <w:rsid w:val="00BE4A96"/>
    <w:rsid w:val="00BE4F59"/>
    <w:rsid w:val="00BE51B0"/>
    <w:rsid w:val="00BE5782"/>
    <w:rsid w:val="00BE6DF5"/>
    <w:rsid w:val="00BF0156"/>
    <w:rsid w:val="00BF0484"/>
    <w:rsid w:val="00BF0543"/>
    <w:rsid w:val="00BF06AE"/>
    <w:rsid w:val="00BF0B9E"/>
    <w:rsid w:val="00BF0D44"/>
    <w:rsid w:val="00BF0F95"/>
    <w:rsid w:val="00BF1085"/>
    <w:rsid w:val="00BF109A"/>
    <w:rsid w:val="00BF14C2"/>
    <w:rsid w:val="00BF1547"/>
    <w:rsid w:val="00BF1ACC"/>
    <w:rsid w:val="00BF1B4A"/>
    <w:rsid w:val="00BF224A"/>
    <w:rsid w:val="00BF22CE"/>
    <w:rsid w:val="00BF2397"/>
    <w:rsid w:val="00BF2433"/>
    <w:rsid w:val="00BF2963"/>
    <w:rsid w:val="00BF2BB1"/>
    <w:rsid w:val="00BF2D13"/>
    <w:rsid w:val="00BF2E6E"/>
    <w:rsid w:val="00BF2EA3"/>
    <w:rsid w:val="00BF30F7"/>
    <w:rsid w:val="00BF3228"/>
    <w:rsid w:val="00BF3249"/>
    <w:rsid w:val="00BF4752"/>
    <w:rsid w:val="00BF490A"/>
    <w:rsid w:val="00BF4E79"/>
    <w:rsid w:val="00BF4F29"/>
    <w:rsid w:val="00BF5A71"/>
    <w:rsid w:val="00BF61C9"/>
    <w:rsid w:val="00BF63A8"/>
    <w:rsid w:val="00BF6C94"/>
    <w:rsid w:val="00BF7938"/>
    <w:rsid w:val="00BF7D9A"/>
    <w:rsid w:val="00C00424"/>
    <w:rsid w:val="00C00BB0"/>
    <w:rsid w:val="00C00DC1"/>
    <w:rsid w:val="00C011F8"/>
    <w:rsid w:val="00C027A1"/>
    <w:rsid w:val="00C02ECC"/>
    <w:rsid w:val="00C02EFA"/>
    <w:rsid w:val="00C03DF4"/>
    <w:rsid w:val="00C049F7"/>
    <w:rsid w:val="00C04A1B"/>
    <w:rsid w:val="00C05009"/>
    <w:rsid w:val="00C050B3"/>
    <w:rsid w:val="00C05609"/>
    <w:rsid w:val="00C05C59"/>
    <w:rsid w:val="00C06457"/>
    <w:rsid w:val="00C07069"/>
    <w:rsid w:val="00C077D8"/>
    <w:rsid w:val="00C10577"/>
    <w:rsid w:val="00C10D0D"/>
    <w:rsid w:val="00C10E1A"/>
    <w:rsid w:val="00C11068"/>
    <w:rsid w:val="00C11477"/>
    <w:rsid w:val="00C1179F"/>
    <w:rsid w:val="00C119E1"/>
    <w:rsid w:val="00C12010"/>
    <w:rsid w:val="00C12696"/>
    <w:rsid w:val="00C127B9"/>
    <w:rsid w:val="00C128FA"/>
    <w:rsid w:val="00C12C14"/>
    <w:rsid w:val="00C1347B"/>
    <w:rsid w:val="00C13844"/>
    <w:rsid w:val="00C1411C"/>
    <w:rsid w:val="00C14F2A"/>
    <w:rsid w:val="00C14FD4"/>
    <w:rsid w:val="00C157F9"/>
    <w:rsid w:val="00C1581C"/>
    <w:rsid w:val="00C15F04"/>
    <w:rsid w:val="00C1786E"/>
    <w:rsid w:val="00C178C4"/>
    <w:rsid w:val="00C179B3"/>
    <w:rsid w:val="00C17E3F"/>
    <w:rsid w:val="00C20032"/>
    <w:rsid w:val="00C200AA"/>
    <w:rsid w:val="00C20364"/>
    <w:rsid w:val="00C2092B"/>
    <w:rsid w:val="00C20E40"/>
    <w:rsid w:val="00C2139A"/>
    <w:rsid w:val="00C21518"/>
    <w:rsid w:val="00C21562"/>
    <w:rsid w:val="00C21EC9"/>
    <w:rsid w:val="00C22121"/>
    <w:rsid w:val="00C22491"/>
    <w:rsid w:val="00C22E70"/>
    <w:rsid w:val="00C237ED"/>
    <w:rsid w:val="00C238B1"/>
    <w:rsid w:val="00C239ED"/>
    <w:rsid w:val="00C242FC"/>
    <w:rsid w:val="00C24632"/>
    <w:rsid w:val="00C24A50"/>
    <w:rsid w:val="00C24B59"/>
    <w:rsid w:val="00C25418"/>
    <w:rsid w:val="00C25C13"/>
    <w:rsid w:val="00C25D9C"/>
    <w:rsid w:val="00C25EF2"/>
    <w:rsid w:val="00C2756C"/>
    <w:rsid w:val="00C2756E"/>
    <w:rsid w:val="00C2778B"/>
    <w:rsid w:val="00C27887"/>
    <w:rsid w:val="00C278E8"/>
    <w:rsid w:val="00C30D88"/>
    <w:rsid w:val="00C3125E"/>
    <w:rsid w:val="00C31649"/>
    <w:rsid w:val="00C31E33"/>
    <w:rsid w:val="00C33589"/>
    <w:rsid w:val="00C3383A"/>
    <w:rsid w:val="00C33879"/>
    <w:rsid w:val="00C33C3F"/>
    <w:rsid w:val="00C33DF4"/>
    <w:rsid w:val="00C3434C"/>
    <w:rsid w:val="00C34E00"/>
    <w:rsid w:val="00C34EED"/>
    <w:rsid w:val="00C352F2"/>
    <w:rsid w:val="00C356A1"/>
    <w:rsid w:val="00C36AFE"/>
    <w:rsid w:val="00C37600"/>
    <w:rsid w:val="00C37D72"/>
    <w:rsid w:val="00C37E58"/>
    <w:rsid w:val="00C40385"/>
    <w:rsid w:val="00C4062A"/>
    <w:rsid w:val="00C40CA1"/>
    <w:rsid w:val="00C411E9"/>
    <w:rsid w:val="00C4153B"/>
    <w:rsid w:val="00C416E8"/>
    <w:rsid w:val="00C41768"/>
    <w:rsid w:val="00C418AD"/>
    <w:rsid w:val="00C41A07"/>
    <w:rsid w:val="00C41EFE"/>
    <w:rsid w:val="00C42314"/>
    <w:rsid w:val="00C42B4A"/>
    <w:rsid w:val="00C432A4"/>
    <w:rsid w:val="00C43AFD"/>
    <w:rsid w:val="00C43E5A"/>
    <w:rsid w:val="00C45B1F"/>
    <w:rsid w:val="00C460CF"/>
    <w:rsid w:val="00C46F13"/>
    <w:rsid w:val="00C47230"/>
    <w:rsid w:val="00C47322"/>
    <w:rsid w:val="00C475AA"/>
    <w:rsid w:val="00C47818"/>
    <w:rsid w:val="00C50694"/>
    <w:rsid w:val="00C51002"/>
    <w:rsid w:val="00C5119C"/>
    <w:rsid w:val="00C5156E"/>
    <w:rsid w:val="00C516BD"/>
    <w:rsid w:val="00C51B76"/>
    <w:rsid w:val="00C52215"/>
    <w:rsid w:val="00C527C7"/>
    <w:rsid w:val="00C53162"/>
    <w:rsid w:val="00C53C98"/>
    <w:rsid w:val="00C53CBC"/>
    <w:rsid w:val="00C540BC"/>
    <w:rsid w:val="00C5447B"/>
    <w:rsid w:val="00C55458"/>
    <w:rsid w:val="00C554A0"/>
    <w:rsid w:val="00C56287"/>
    <w:rsid w:val="00C56FCF"/>
    <w:rsid w:val="00C572F6"/>
    <w:rsid w:val="00C57B6C"/>
    <w:rsid w:val="00C57CDA"/>
    <w:rsid w:val="00C57F4F"/>
    <w:rsid w:val="00C6036E"/>
    <w:rsid w:val="00C60C33"/>
    <w:rsid w:val="00C613A7"/>
    <w:rsid w:val="00C61A59"/>
    <w:rsid w:val="00C62678"/>
    <w:rsid w:val="00C62869"/>
    <w:rsid w:val="00C628A6"/>
    <w:rsid w:val="00C629CF"/>
    <w:rsid w:val="00C6378A"/>
    <w:rsid w:val="00C63E30"/>
    <w:rsid w:val="00C64128"/>
    <w:rsid w:val="00C642F1"/>
    <w:rsid w:val="00C64344"/>
    <w:rsid w:val="00C646E0"/>
    <w:rsid w:val="00C65108"/>
    <w:rsid w:val="00C65535"/>
    <w:rsid w:val="00C65560"/>
    <w:rsid w:val="00C65576"/>
    <w:rsid w:val="00C656B2"/>
    <w:rsid w:val="00C66165"/>
    <w:rsid w:val="00C66259"/>
    <w:rsid w:val="00C66FD6"/>
    <w:rsid w:val="00C6725E"/>
    <w:rsid w:val="00C6767B"/>
    <w:rsid w:val="00C67A22"/>
    <w:rsid w:val="00C67C99"/>
    <w:rsid w:val="00C7060A"/>
    <w:rsid w:val="00C70B1B"/>
    <w:rsid w:val="00C70DA7"/>
    <w:rsid w:val="00C713A0"/>
    <w:rsid w:val="00C7151A"/>
    <w:rsid w:val="00C717E3"/>
    <w:rsid w:val="00C71F60"/>
    <w:rsid w:val="00C72241"/>
    <w:rsid w:val="00C72E2D"/>
    <w:rsid w:val="00C7327C"/>
    <w:rsid w:val="00C73433"/>
    <w:rsid w:val="00C73A7F"/>
    <w:rsid w:val="00C73D34"/>
    <w:rsid w:val="00C743E9"/>
    <w:rsid w:val="00C748A8"/>
    <w:rsid w:val="00C74A37"/>
    <w:rsid w:val="00C750C8"/>
    <w:rsid w:val="00C7560F"/>
    <w:rsid w:val="00C75EDC"/>
    <w:rsid w:val="00C76CFA"/>
    <w:rsid w:val="00C771EB"/>
    <w:rsid w:val="00C775C4"/>
    <w:rsid w:val="00C778A1"/>
    <w:rsid w:val="00C80A0E"/>
    <w:rsid w:val="00C81118"/>
    <w:rsid w:val="00C81651"/>
    <w:rsid w:val="00C819FC"/>
    <w:rsid w:val="00C820F5"/>
    <w:rsid w:val="00C8213F"/>
    <w:rsid w:val="00C825FB"/>
    <w:rsid w:val="00C82767"/>
    <w:rsid w:val="00C82A65"/>
    <w:rsid w:val="00C82C0F"/>
    <w:rsid w:val="00C8303F"/>
    <w:rsid w:val="00C83C03"/>
    <w:rsid w:val="00C84AC4"/>
    <w:rsid w:val="00C85154"/>
    <w:rsid w:val="00C853DF"/>
    <w:rsid w:val="00C85456"/>
    <w:rsid w:val="00C85A70"/>
    <w:rsid w:val="00C85F03"/>
    <w:rsid w:val="00C862DA"/>
    <w:rsid w:val="00C8750B"/>
    <w:rsid w:val="00C8785A"/>
    <w:rsid w:val="00C8797A"/>
    <w:rsid w:val="00C87CB1"/>
    <w:rsid w:val="00C87CE7"/>
    <w:rsid w:val="00C900B8"/>
    <w:rsid w:val="00C90197"/>
    <w:rsid w:val="00C9022E"/>
    <w:rsid w:val="00C907EE"/>
    <w:rsid w:val="00C90C71"/>
    <w:rsid w:val="00C91FD1"/>
    <w:rsid w:val="00C92068"/>
    <w:rsid w:val="00C92E7A"/>
    <w:rsid w:val="00C931CF"/>
    <w:rsid w:val="00C938CF"/>
    <w:rsid w:val="00C938E1"/>
    <w:rsid w:val="00C93A99"/>
    <w:rsid w:val="00C94053"/>
    <w:rsid w:val="00C943DA"/>
    <w:rsid w:val="00C947C9"/>
    <w:rsid w:val="00C94C9E"/>
    <w:rsid w:val="00C953B2"/>
    <w:rsid w:val="00C9579D"/>
    <w:rsid w:val="00C9624D"/>
    <w:rsid w:val="00C963BE"/>
    <w:rsid w:val="00C9672A"/>
    <w:rsid w:val="00C969DA"/>
    <w:rsid w:val="00C97002"/>
    <w:rsid w:val="00C973C1"/>
    <w:rsid w:val="00CA0AC5"/>
    <w:rsid w:val="00CA165C"/>
    <w:rsid w:val="00CA1974"/>
    <w:rsid w:val="00CA1B08"/>
    <w:rsid w:val="00CA1F0D"/>
    <w:rsid w:val="00CA270D"/>
    <w:rsid w:val="00CA29C8"/>
    <w:rsid w:val="00CA2C77"/>
    <w:rsid w:val="00CA2C82"/>
    <w:rsid w:val="00CA2D6A"/>
    <w:rsid w:val="00CA33F4"/>
    <w:rsid w:val="00CA3A42"/>
    <w:rsid w:val="00CA444F"/>
    <w:rsid w:val="00CA4FED"/>
    <w:rsid w:val="00CA5245"/>
    <w:rsid w:val="00CA5896"/>
    <w:rsid w:val="00CA5D15"/>
    <w:rsid w:val="00CA66F8"/>
    <w:rsid w:val="00CA6A93"/>
    <w:rsid w:val="00CA7015"/>
    <w:rsid w:val="00CA7092"/>
    <w:rsid w:val="00CA71F4"/>
    <w:rsid w:val="00CA72E6"/>
    <w:rsid w:val="00CA7586"/>
    <w:rsid w:val="00CA7A85"/>
    <w:rsid w:val="00CA7B09"/>
    <w:rsid w:val="00CA7CE3"/>
    <w:rsid w:val="00CB0507"/>
    <w:rsid w:val="00CB0BDC"/>
    <w:rsid w:val="00CB126B"/>
    <w:rsid w:val="00CB12A5"/>
    <w:rsid w:val="00CB166F"/>
    <w:rsid w:val="00CB1CAC"/>
    <w:rsid w:val="00CB2478"/>
    <w:rsid w:val="00CB2F2A"/>
    <w:rsid w:val="00CB35BD"/>
    <w:rsid w:val="00CB3D66"/>
    <w:rsid w:val="00CB3EB4"/>
    <w:rsid w:val="00CB45DF"/>
    <w:rsid w:val="00CB4738"/>
    <w:rsid w:val="00CB5B1A"/>
    <w:rsid w:val="00CB5C5D"/>
    <w:rsid w:val="00CB5D13"/>
    <w:rsid w:val="00CB5F17"/>
    <w:rsid w:val="00CB5F2D"/>
    <w:rsid w:val="00CB6B22"/>
    <w:rsid w:val="00CB6C21"/>
    <w:rsid w:val="00CB7259"/>
    <w:rsid w:val="00CB74A3"/>
    <w:rsid w:val="00CB74AF"/>
    <w:rsid w:val="00CB768F"/>
    <w:rsid w:val="00CB7E38"/>
    <w:rsid w:val="00CB7F5F"/>
    <w:rsid w:val="00CC0B30"/>
    <w:rsid w:val="00CC0C32"/>
    <w:rsid w:val="00CC1089"/>
    <w:rsid w:val="00CC1869"/>
    <w:rsid w:val="00CC1B39"/>
    <w:rsid w:val="00CC1B86"/>
    <w:rsid w:val="00CC1BFA"/>
    <w:rsid w:val="00CC2E9F"/>
    <w:rsid w:val="00CC35EA"/>
    <w:rsid w:val="00CC3848"/>
    <w:rsid w:val="00CC3D8E"/>
    <w:rsid w:val="00CC43FF"/>
    <w:rsid w:val="00CC4851"/>
    <w:rsid w:val="00CC4C5D"/>
    <w:rsid w:val="00CC4DC0"/>
    <w:rsid w:val="00CC613E"/>
    <w:rsid w:val="00CC643E"/>
    <w:rsid w:val="00CC64C4"/>
    <w:rsid w:val="00CC6BB4"/>
    <w:rsid w:val="00CC6D4B"/>
    <w:rsid w:val="00CC6D5E"/>
    <w:rsid w:val="00CC706A"/>
    <w:rsid w:val="00CC7D2C"/>
    <w:rsid w:val="00CC7EA4"/>
    <w:rsid w:val="00CD0200"/>
    <w:rsid w:val="00CD0245"/>
    <w:rsid w:val="00CD0606"/>
    <w:rsid w:val="00CD0DD9"/>
    <w:rsid w:val="00CD1055"/>
    <w:rsid w:val="00CD36C0"/>
    <w:rsid w:val="00CD3E82"/>
    <w:rsid w:val="00CD3F77"/>
    <w:rsid w:val="00CD3FA6"/>
    <w:rsid w:val="00CD3FC0"/>
    <w:rsid w:val="00CD45F3"/>
    <w:rsid w:val="00CD4954"/>
    <w:rsid w:val="00CD4E06"/>
    <w:rsid w:val="00CD51B7"/>
    <w:rsid w:val="00CD53A5"/>
    <w:rsid w:val="00CD54CF"/>
    <w:rsid w:val="00CD56A1"/>
    <w:rsid w:val="00CD570B"/>
    <w:rsid w:val="00CD58C8"/>
    <w:rsid w:val="00CD6446"/>
    <w:rsid w:val="00CD680A"/>
    <w:rsid w:val="00CD691C"/>
    <w:rsid w:val="00CD69D2"/>
    <w:rsid w:val="00CD6ADC"/>
    <w:rsid w:val="00CD6BF5"/>
    <w:rsid w:val="00CD7115"/>
    <w:rsid w:val="00CD7193"/>
    <w:rsid w:val="00CE00CA"/>
    <w:rsid w:val="00CE0BE6"/>
    <w:rsid w:val="00CE11E8"/>
    <w:rsid w:val="00CE1EFE"/>
    <w:rsid w:val="00CE1F3A"/>
    <w:rsid w:val="00CE2599"/>
    <w:rsid w:val="00CE2EA6"/>
    <w:rsid w:val="00CE3022"/>
    <w:rsid w:val="00CE35F7"/>
    <w:rsid w:val="00CE38C8"/>
    <w:rsid w:val="00CE3E9B"/>
    <w:rsid w:val="00CE4A7E"/>
    <w:rsid w:val="00CE4B28"/>
    <w:rsid w:val="00CE524F"/>
    <w:rsid w:val="00CE5801"/>
    <w:rsid w:val="00CE58CC"/>
    <w:rsid w:val="00CE6274"/>
    <w:rsid w:val="00CE627F"/>
    <w:rsid w:val="00CE77B6"/>
    <w:rsid w:val="00CE77E4"/>
    <w:rsid w:val="00CE7919"/>
    <w:rsid w:val="00CE7973"/>
    <w:rsid w:val="00CF0180"/>
    <w:rsid w:val="00CF14C3"/>
    <w:rsid w:val="00CF15BD"/>
    <w:rsid w:val="00CF1B99"/>
    <w:rsid w:val="00CF2514"/>
    <w:rsid w:val="00CF2B8D"/>
    <w:rsid w:val="00CF2C2C"/>
    <w:rsid w:val="00CF3264"/>
    <w:rsid w:val="00CF3887"/>
    <w:rsid w:val="00CF38C8"/>
    <w:rsid w:val="00CF3A1B"/>
    <w:rsid w:val="00CF4517"/>
    <w:rsid w:val="00CF456B"/>
    <w:rsid w:val="00CF4C7A"/>
    <w:rsid w:val="00CF50B8"/>
    <w:rsid w:val="00CF5A22"/>
    <w:rsid w:val="00CF7976"/>
    <w:rsid w:val="00D000CD"/>
    <w:rsid w:val="00D000F6"/>
    <w:rsid w:val="00D00271"/>
    <w:rsid w:val="00D00747"/>
    <w:rsid w:val="00D0085A"/>
    <w:rsid w:val="00D00969"/>
    <w:rsid w:val="00D01521"/>
    <w:rsid w:val="00D01AD1"/>
    <w:rsid w:val="00D0262E"/>
    <w:rsid w:val="00D029D0"/>
    <w:rsid w:val="00D02C2F"/>
    <w:rsid w:val="00D035BF"/>
    <w:rsid w:val="00D03679"/>
    <w:rsid w:val="00D03C3E"/>
    <w:rsid w:val="00D045C4"/>
    <w:rsid w:val="00D04A51"/>
    <w:rsid w:val="00D04F8C"/>
    <w:rsid w:val="00D05BA9"/>
    <w:rsid w:val="00D05C25"/>
    <w:rsid w:val="00D05E3D"/>
    <w:rsid w:val="00D05FFD"/>
    <w:rsid w:val="00D06139"/>
    <w:rsid w:val="00D067E6"/>
    <w:rsid w:val="00D06D1D"/>
    <w:rsid w:val="00D075CF"/>
    <w:rsid w:val="00D110BD"/>
    <w:rsid w:val="00D11BBC"/>
    <w:rsid w:val="00D13526"/>
    <w:rsid w:val="00D13675"/>
    <w:rsid w:val="00D139AB"/>
    <w:rsid w:val="00D139BA"/>
    <w:rsid w:val="00D13A2E"/>
    <w:rsid w:val="00D13EB3"/>
    <w:rsid w:val="00D141E1"/>
    <w:rsid w:val="00D14546"/>
    <w:rsid w:val="00D14A74"/>
    <w:rsid w:val="00D14B5D"/>
    <w:rsid w:val="00D15314"/>
    <w:rsid w:val="00D1545F"/>
    <w:rsid w:val="00D15B48"/>
    <w:rsid w:val="00D15BB6"/>
    <w:rsid w:val="00D15DE1"/>
    <w:rsid w:val="00D166DC"/>
    <w:rsid w:val="00D17419"/>
    <w:rsid w:val="00D174DF"/>
    <w:rsid w:val="00D17568"/>
    <w:rsid w:val="00D17D6C"/>
    <w:rsid w:val="00D2000E"/>
    <w:rsid w:val="00D200A1"/>
    <w:rsid w:val="00D2155B"/>
    <w:rsid w:val="00D219B8"/>
    <w:rsid w:val="00D224D2"/>
    <w:rsid w:val="00D22826"/>
    <w:rsid w:val="00D22B1F"/>
    <w:rsid w:val="00D22BDD"/>
    <w:rsid w:val="00D22D05"/>
    <w:rsid w:val="00D22D38"/>
    <w:rsid w:val="00D23B90"/>
    <w:rsid w:val="00D23D11"/>
    <w:rsid w:val="00D23E50"/>
    <w:rsid w:val="00D240F1"/>
    <w:rsid w:val="00D244B6"/>
    <w:rsid w:val="00D24509"/>
    <w:rsid w:val="00D249D6"/>
    <w:rsid w:val="00D2539C"/>
    <w:rsid w:val="00D25869"/>
    <w:rsid w:val="00D25B51"/>
    <w:rsid w:val="00D25C57"/>
    <w:rsid w:val="00D25E18"/>
    <w:rsid w:val="00D26197"/>
    <w:rsid w:val="00D2651D"/>
    <w:rsid w:val="00D2754D"/>
    <w:rsid w:val="00D27631"/>
    <w:rsid w:val="00D27B27"/>
    <w:rsid w:val="00D303EB"/>
    <w:rsid w:val="00D30D5B"/>
    <w:rsid w:val="00D3168F"/>
    <w:rsid w:val="00D317AF"/>
    <w:rsid w:val="00D32258"/>
    <w:rsid w:val="00D3248E"/>
    <w:rsid w:val="00D32C94"/>
    <w:rsid w:val="00D3363E"/>
    <w:rsid w:val="00D33683"/>
    <w:rsid w:val="00D3368C"/>
    <w:rsid w:val="00D33BE9"/>
    <w:rsid w:val="00D33F93"/>
    <w:rsid w:val="00D344B7"/>
    <w:rsid w:val="00D345E2"/>
    <w:rsid w:val="00D34931"/>
    <w:rsid w:val="00D34A27"/>
    <w:rsid w:val="00D34AD6"/>
    <w:rsid w:val="00D357FF"/>
    <w:rsid w:val="00D36B0D"/>
    <w:rsid w:val="00D36B3D"/>
    <w:rsid w:val="00D37B3E"/>
    <w:rsid w:val="00D37E50"/>
    <w:rsid w:val="00D4099A"/>
    <w:rsid w:val="00D40B25"/>
    <w:rsid w:val="00D422C9"/>
    <w:rsid w:val="00D424C7"/>
    <w:rsid w:val="00D432BE"/>
    <w:rsid w:val="00D43944"/>
    <w:rsid w:val="00D43B2A"/>
    <w:rsid w:val="00D43CF1"/>
    <w:rsid w:val="00D43D83"/>
    <w:rsid w:val="00D43DE8"/>
    <w:rsid w:val="00D43EE5"/>
    <w:rsid w:val="00D44593"/>
    <w:rsid w:val="00D4556D"/>
    <w:rsid w:val="00D466D0"/>
    <w:rsid w:val="00D46F08"/>
    <w:rsid w:val="00D470A8"/>
    <w:rsid w:val="00D47453"/>
    <w:rsid w:val="00D47575"/>
    <w:rsid w:val="00D475D8"/>
    <w:rsid w:val="00D50181"/>
    <w:rsid w:val="00D502A8"/>
    <w:rsid w:val="00D506FE"/>
    <w:rsid w:val="00D513BF"/>
    <w:rsid w:val="00D514EC"/>
    <w:rsid w:val="00D5243B"/>
    <w:rsid w:val="00D52501"/>
    <w:rsid w:val="00D526B1"/>
    <w:rsid w:val="00D52D97"/>
    <w:rsid w:val="00D530C4"/>
    <w:rsid w:val="00D533EC"/>
    <w:rsid w:val="00D53860"/>
    <w:rsid w:val="00D538D4"/>
    <w:rsid w:val="00D54375"/>
    <w:rsid w:val="00D5462C"/>
    <w:rsid w:val="00D54B6C"/>
    <w:rsid w:val="00D55392"/>
    <w:rsid w:val="00D55950"/>
    <w:rsid w:val="00D561F5"/>
    <w:rsid w:val="00D564B1"/>
    <w:rsid w:val="00D56A95"/>
    <w:rsid w:val="00D57593"/>
    <w:rsid w:val="00D57D65"/>
    <w:rsid w:val="00D57FB2"/>
    <w:rsid w:val="00D600C9"/>
    <w:rsid w:val="00D6076E"/>
    <w:rsid w:val="00D610E5"/>
    <w:rsid w:val="00D61154"/>
    <w:rsid w:val="00D613EE"/>
    <w:rsid w:val="00D61458"/>
    <w:rsid w:val="00D61941"/>
    <w:rsid w:val="00D61F8B"/>
    <w:rsid w:val="00D61FE7"/>
    <w:rsid w:val="00D62684"/>
    <w:rsid w:val="00D635BE"/>
    <w:rsid w:val="00D636BF"/>
    <w:rsid w:val="00D63715"/>
    <w:rsid w:val="00D63D59"/>
    <w:rsid w:val="00D647F0"/>
    <w:rsid w:val="00D6535F"/>
    <w:rsid w:val="00D65D0F"/>
    <w:rsid w:val="00D6748C"/>
    <w:rsid w:val="00D67577"/>
    <w:rsid w:val="00D6770A"/>
    <w:rsid w:val="00D700A9"/>
    <w:rsid w:val="00D70F16"/>
    <w:rsid w:val="00D72617"/>
    <w:rsid w:val="00D72F57"/>
    <w:rsid w:val="00D74385"/>
    <w:rsid w:val="00D74F4D"/>
    <w:rsid w:val="00D758AE"/>
    <w:rsid w:val="00D75FF9"/>
    <w:rsid w:val="00D76598"/>
    <w:rsid w:val="00D76A44"/>
    <w:rsid w:val="00D76EF3"/>
    <w:rsid w:val="00D77EBE"/>
    <w:rsid w:val="00D77FA5"/>
    <w:rsid w:val="00D77FB8"/>
    <w:rsid w:val="00D808B4"/>
    <w:rsid w:val="00D80936"/>
    <w:rsid w:val="00D80984"/>
    <w:rsid w:val="00D81362"/>
    <w:rsid w:val="00D815EF"/>
    <w:rsid w:val="00D81949"/>
    <w:rsid w:val="00D81F26"/>
    <w:rsid w:val="00D822E2"/>
    <w:rsid w:val="00D8251E"/>
    <w:rsid w:val="00D835CF"/>
    <w:rsid w:val="00D83E7E"/>
    <w:rsid w:val="00D84264"/>
    <w:rsid w:val="00D843F2"/>
    <w:rsid w:val="00D84B3C"/>
    <w:rsid w:val="00D84E79"/>
    <w:rsid w:val="00D85464"/>
    <w:rsid w:val="00D85C33"/>
    <w:rsid w:val="00D860BC"/>
    <w:rsid w:val="00D86231"/>
    <w:rsid w:val="00D8676C"/>
    <w:rsid w:val="00D86BC1"/>
    <w:rsid w:val="00D87505"/>
    <w:rsid w:val="00D901F8"/>
    <w:rsid w:val="00D907EC"/>
    <w:rsid w:val="00D912AB"/>
    <w:rsid w:val="00D91923"/>
    <w:rsid w:val="00D9270F"/>
    <w:rsid w:val="00D9274B"/>
    <w:rsid w:val="00D929B7"/>
    <w:rsid w:val="00D92B22"/>
    <w:rsid w:val="00D92D9D"/>
    <w:rsid w:val="00D93327"/>
    <w:rsid w:val="00D93753"/>
    <w:rsid w:val="00D9395E"/>
    <w:rsid w:val="00D94E9C"/>
    <w:rsid w:val="00D95297"/>
    <w:rsid w:val="00D9529E"/>
    <w:rsid w:val="00D952A2"/>
    <w:rsid w:val="00D95C85"/>
    <w:rsid w:val="00D96731"/>
    <w:rsid w:val="00D969C5"/>
    <w:rsid w:val="00D96A1D"/>
    <w:rsid w:val="00D96B6D"/>
    <w:rsid w:val="00D97193"/>
    <w:rsid w:val="00D97737"/>
    <w:rsid w:val="00D97755"/>
    <w:rsid w:val="00DA053C"/>
    <w:rsid w:val="00DA1521"/>
    <w:rsid w:val="00DA1787"/>
    <w:rsid w:val="00DA1C87"/>
    <w:rsid w:val="00DA1F96"/>
    <w:rsid w:val="00DA1F9D"/>
    <w:rsid w:val="00DA2269"/>
    <w:rsid w:val="00DA2614"/>
    <w:rsid w:val="00DA2BCB"/>
    <w:rsid w:val="00DA2D8A"/>
    <w:rsid w:val="00DA2E02"/>
    <w:rsid w:val="00DA3167"/>
    <w:rsid w:val="00DA493E"/>
    <w:rsid w:val="00DA4DC3"/>
    <w:rsid w:val="00DA4E0A"/>
    <w:rsid w:val="00DA5246"/>
    <w:rsid w:val="00DA5998"/>
    <w:rsid w:val="00DA60FE"/>
    <w:rsid w:val="00DA6431"/>
    <w:rsid w:val="00DA6C6D"/>
    <w:rsid w:val="00DA6EEC"/>
    <w:rsid w:val="00DA77A5"/>
    <w:rsid w:val="00DA783E"/>
    <w:rsid w:val="00DA78BA"/>
    <w:rsid w:val="00DA7D4E"/>
    <w:rsid w:val="00DA7D92"/>
    <w:rsid w:val="00DB0E36"/>
    <w:rsid w:val="00DB1209"/>
    <w:rsid w:val="00DB123C"/>
    <w:rsid w:val="00DB127F"/>
    <w:rsid w:val="00DB1707"/>
    <w:rsid w:val="00DB1836"/>
    <w:rsid w:val="00DB200F"/>
    <w:rsid w:val="00DB2723"/>
    <w:rsid w:val="00DB38A4"/>
    <w:rsid w:val="00DB3C16"/>
    <w:rsid w:val="00DB3C4E"/>
    <w:rsid w:val="00DB3C84"/>
    <w:rsid w:val="00DB3DBF"/>
    <w:rsid w:val="00DB40C1"/>
    <w:rsid w:val="00DB43FD"/>
    <w:rsid w:val="00DB484F"/>
    <w:rsid w:val="00DB4BEC"/>
    <w:rsid w:val="00DB54EB"/>
    <w:rsid w:val="00DB54EC"/>
    <w:rsid w:val="00DB5B63"/>
    <w:rsid w:val="00DB673B"/>
    <w:rsid w:val="00DB6C11"/>
    <w:rsid w:val="00DB6E00"/>
    <w:rsid w:val="00DB7863"/>
    <w:rsid w:val="00DC004B"/>
    <w:rsid w:val="00DC01BD"/>
    <w:rsid w:val="00DC01D8"/>
    <w:rsid w:val="00DC04F6"/>
    <w:rsid w:val="00DC0690"/>
    <w:rsid w:val="00DC1335"/>
    <w:rsid w:val="00DC1991"/>
    <w:rsid w:val="00DC1D65"/>
    <w:rsid w:val="00DC3110"/>
    <w:rsid w:val="00DC3C57"/>
    <w:rsid w:val="00DC4841"/>
    <w:rsid w:val="00DC51D7"/>
    <w:rsid w:val="00DC5501"/>
    <w:rsid w:val="00DC5DE4"/>
    <w:rsid w:val="00DC625B"/>
    <w:rsid w:val="00DC648F"/>
    <w:rsid w:val="00DC64B8"/>
    <w:rsid w:val="00DC6E2B"/>
    <w:rsid w:val="00DC7097"/>
    <w:rsid w:val="00DC7154"/>
    <w:rsid w:val="00DC71CD"/>
    <w:rsid w:val="00DC7307"/>
    <w:rsid w:val="00DC733F"/>
    <w:rsid w:val="00DC7D7A"/>
    <w:rsid w:val="00DC7E8A"/>
    <w:rsid w:val="00DC7F3C"/>
    <w:rsid w:val="00DD01D7"/>
    <w:rsid w:val="00DD0B0A"/>
    <w:rsid w:val="00DD0F78"/>
    <w:rsid w:val="00DD1193"/>
    <w:rsid w:val="00DD1328"/>
    <w:rsid w:val="00DD159B"/>
    <w:rsid w:val="00DD1790"/>
    <w:rsid w:val="00DD19B3"/>
    <w:rsid w:val="00DD1AE9"/>
    <w:rsid w:val="00DD1C41"/>
    <w:rsid w:val="00DD21C4"/>
    <w:rsid w:val="00DD2610"/>
    <w:rsid w:val="00DD2678"/>
    <w:rsid w:val="00DD273C"/>
    <w:rsid w:val="00DD2AB1"/>
    <w:rsid w:val="00DD2EEC"/>
    <w:rsid w:val="00DD36AB"/>
    <w:rsid w:val="00DD3F28"/>
    <w:rsid w:val="00DD3FC9"/>
    <w:rsid w:val="00DD4446"/>
    <w:rsid w:val="00DD4511"/>
    <w:rsid w:val="00DD4537"/>
    <w:rsid w:val="00DD49C2"/>
    <w:rsid w:val="00DD4E11"/>
    <w:rsid w:val="00DD4E15"/>
    <w:rsid w:val="00DD4E83"/>
    <w:rsid w:val="00DD4FE0"/>
    <w:rsid w:val="00DD528E"/>
    <w:rsid w:val="00DD5D35"/>
    <w:rsid w:val="00DD5D6C"/>
    <w:rsid w:val="00DD5DC9"/>
    <w:rsid w:val="00DD625D"/>
    <w:rsid w:val="00DD653C"/>
    <w:rsid w:val="00DD7561"/>
    <w:rsid w:val="00DD782C"/>
    <w:rsid w:val="00DD7E55"/>
    <w:rsid w:val="00DE00D7"/>
    <w:rsid w:val="00DE0890"/>
    <w:rsid w:val="00DE102E"/>
    <w:rsid w:val="00DE11F3"/>
    <w:rsid w:val="00DE1B17"/>
    <w:rsid w:val="00DE2304"/>
    <w:rsid w:val="00DE2588"/>
    <w:rsid w:val="00DE2877"/>
    <w:rsid w:val="00DE3045"/>
    <w:rsid w:val="00DE3138"/>
    <w:rsid w:val="00DE329B"/>
    <w:rsid w:val="00DE333F"/>
    <w:rsid w:val="00DE3522"/>
    <w:rsid w:val="00DE37F8"/>
    <w:rsid w:val="00DE4273"/>
    <w:rsid w:val="00DE43F0"/>
    <w:rsid w:val="00DE4736"/>
    <w:rsid w:val="00DE4804"/>
    <w:rsid w:val="00DE4FCB"/>
    <w:rsid w:val="00DE4FDE"/>
    <w:rsid w:val="00DE5BFF"/>
    <w:rsid w:val="00DE5CD4"/>
    <w:rsid w:val="00DE5D07"/>
    <w:rsid w:val="00DE6AB6"/>
    <w:rsid w:val="00DE6E08"/>
    <w:rsid w:val="00DE6FED"/>
    <w:rsid w:val="00DE72A7"/>
    <w:rsid w:val="00DE74F6"/>
    <w:rsid w:val="00DE7832"/>
    <w:rsid w:val="00DF052F"/>
    <w:rsid w:val="00DF16A0"/>
    <w:rsid w:val="00DF18FC"/>
    <w:rsid w:val="00DF247F"/>
    <w:rsid w:val="00DF3D35"/>
    <w:rsid w:val="00DF4068"/>
    <w:rsid w:val="00DF45ED"/>
    <w:rsid w:val="00DF48C0"/>
    <w:rsid w:val="00DF4C1F"/>
    <w:rsid w:val="00DF4DB4"/>
    <w:rsid w:val="00DF5851"/>
    <w:rsid w:val="00DF5D2B"/>
    <w:rsid w:val="00DF5DF3"/>
    <w:rsid w:val="00DF6341"/>
    <w:rsid w:val="00DF637A"/>
    <w:rsid w:val="00DF6EEA"/>
    <w:rsid w:val="00DF72FC"/>
    <w:rsid w:val="00E00536"/>
    <w:rsid w:val="00E00E1A"/>
    <w:rsid w:val="00E00E8E"/>
    <w:rsid w:val="00E010F0"/>
    <w:rsid w:val="00E016AF"/>
    <w:rsid w:val="00E01979"/>
    <w:rsid w:val="00E02416"/>
    <w:rsid w:val="00E025A9"/>
    <w:rsid w:val="00E0270B"/>
    <w:rsid w:val="00E02DBF"/>
    <w:rsid w:val="00E02F5E"/>
    <w:rsid w:val="00E038C5"/>
    <w:rsid w:val="00E0470E"/>
    <w:rsid w:val="00E05630"/>
    <w:rsid w:val="00E0675B"/>
    <w:rsid w:val="00E06761"/>
    <w:rsid w:val="00E06799"/>
    <w:rsid w:val="00E06DBB"/>
    <w:rsid w:val="00E07213"/>
    <w:rsid w:val="00E07EE9"/>
    <w:rsid w:val="00E10149"/>
    <w:rsid w:val="00E10D45"/>
    <w:rsid w:val="00E10E9C"/>
    <w:rsid w:val="00E10F18"/>
    <w:rsid w:val="00E110BC"/>
    <w:rsid w:val="00E11340"/>
    <w:rsid w:val="00E11976"/>
    <w:rsid w:val="00E11A1D"/>
    <w:rsid w:val="00E122A1"/>
    <w:rsid w:val="00E127A9"/>
    <w:rsid w:val="00E12D2E"/>
    <w:rsid w:val="00E12FA8"/>
    <w:rsid w:val="00E132FD"/>
    <w:rsid w:val="00E13937"/>
    <w:rsid w:val="00E13BE2"/>
    <w:rsid w:val="00E13C5A"/>
    <w:rsid w:val="00E140C4"/>
    <w:rsid w:val="00E147B1"/>
    <w:rsid w:val="00E147F4"/>
    <w:rsid w:val="00E15348"/>
    <w:rsid w:val="00E1576C"/>
    <w:rsid w:val="00E15967"/>
    <w:rsid w:val="00E16372"/>
    <w:rsid w:val="00E1646C"/>
    <w:rsid w:val="00E16AD8"/>
    <w:rsid w:val="00E16F0A"/>
    <w:rsid w:val="00E17B02"/>
    <w:rsid w:val="00E17EEC"/>
    <w:rsid w:val="00E17FFA"/>
    <w:rsid w:val="00E2002B"/>
    <w:rsid w:val="00E20276"/>
    <w:rsid w:val="00E205CE"/>
    <w:rsid w:val="00E20637"/>
    <w:rsid w:val="00E2083C"/>
    <w:rsid w:val="00E20E4D"/>
    <w:rsid w:val="00E20ED6"/>
    <w:rsid w:val="00E21046"/>
    <w:rsid w:val="00E21139"/>
    <w:rsid w:val="00E21358"/>
    <w:rsid w:val="00E215EB"/>
    <w:rsid w:val="00E21A17"/>
    <w:rsid w:val="00E21F8C"/>
    <w:rsid w:val="00E22151"/>
    <w:rsid w:val="00E2249B"/>
    <w:rsid w:val="00E22526"/>
    <w:rsid w:val="00E22A0D"/>
    <w:rsid w:val="00E23629"/>
    <w:rsid w:val="00E23A7C"/>
    <w:rsid w:val="00E23EB3"/>
    <w:rsid w:val="00E24005"/>
    <w:rsid w:val="00E244F6"/>
    <w:rsid w:val="00E258DB"/>
    <w:rsid w:val="00E25C4D"/>
    <w:rsid w:val="00E25E06"/>
    <w:rsid w:val="00E26309"/>
    <w:rsid w:val="00E2655E"/>
    <w:rsid w:val="00E26BD1"/>
    <w:rsid w:val="00E2771E"/>
    <w:rsid w:val="00E27C6F"/>
    <w:rsid w:val="00E3039F"/>
    <w:rsid w:val="00E310AC"/>
    <w:rsid w:val="00E311D6"/>
    <w:rsid w:val="00E311E2"/>
    <w:rsid w:val="00E311EF"/>
    <w:rsid w:val="00E31964"/>
    <w:rsid w:val="00E31CA4"/>
    <w:rsid w:val="00E31DA3"/>
    <w:rsid w:val="00E32180"/>
    <w:rsid w:val="00E3255A"/>
    <w:rsid w:val="00E32706"/>
    <w:rsid w:val="00E33223"/>
    <w:rsid w:val="00E33ABD"/>
    <w:rsid w:val="00E343C5"/>
    <w:rsid w:val="00E345C9"/>
    <w:rsid w:val="00E34948"/>
    <w:rsid w:val="00E34D2E"/>
    <w:rsid w:val="00E34EB9"/>
    <w:rsid w:val="00E350B2"/>
    <w:rsid w:val="00E3559B"/>
    <w:rsid w:val="00E356AC"/>
    <w:rsid w:val="00E35BAC"/>
    <w:rsid w:val="00E361E5"/>
    <w:rsid w:val="00E36A48"/>
    <w:rsid w:val="00E36D0A"/>
    <w:rsid w:val="00E3733F"/>
    <w:rsid w:val="00E37569"/>
    <w:rsid w:val="00E37901"/>
    <w:rsid w:val="00E401B2"/>
    <w:rsid w:val="00E4045C"/>
    <w:rsid w:val="00E4157D"/>
    <w:rsid w:val="00E41E30"/>
    <w:rsid w:val="00E420AB"/>
    <w:rsid w:val="00E42209"/>
    <w:rsid w:val="00E42F73"/>
    <w:rsid w:val="00E42FAF"/>
    <w:rsid w:val="00E43093"/>
    <w:rsid w:val="00E43460"/>
    <w:rsid w:val="00E43A98"/>
    <w:rsid w:val="00E43D70"/>
    <w:rsid w:val="00E448BC"/>
    <w:rsid w:val="00E44CC6"/>
    <w:rsid w:val="00E450A0"/>
    <w:rsid w:val="00E45420"/>
    <w:rsid w:val="00E45BCC"/>
    <w:rsid w:val="00E466F3"/>
    <w:rsid w:val="00E47B2C"/>
    <w:rsid w:val="00E50051"/>
    <w:rsid w:val="00E50054"/>
    <w:rsid w:val="00E5072D"/>
    <w:rsid w:val="00E51560"/>
    <w:rsid w:val="00E51821"/>
    <w:rsid w:val="00E51CC6"/>
    <w:rsid w:val="00E523F4"/>
    <w:rsid w:val="00E525FD"/>
    <w:rsid w:val="00E52A1B"/>
    <w:rsid w:val="00E52E8C"/>
    <w:rsid w:val="00E52ED7"/>
    <w:rsid w:val="00E52F5F"/>
    <w:rsid w:val="00E53AD1"/>
    <w:rsid w:val="00E53C1F"/>
    <w:rsid w:val="00E53FC8"/>
    <w:rsid w:val="00E54147"/>
    <w:rsid w:val="00E54347"/>
    <w:rsid w:val="00E544B9"/>
    <w:rsid w:val="00E55424"/>
    <w:rsid w:val="00E55532"/>
    <w:rsid w:val="00E55915"/>
    <w:rsid w:val="00E5595D"/>
    <w:rsid w:val="00E55B30"/>
    <w:rsid w:val="00E55BB5"/>
    <w:rsid w:val="00E5658B"/>
    <w:rsid w:val="00E56B10"/>
    <w:rsid w:val="00E56BB3"/>
    <w:rsid w:val="00E57660"/>
    <w:rsid w:val="00E609A7"/>
    <w:rsid w:val="00E6106A"/>
    <w:rsid w:val="00E61179"/>
    <w:rsid w:val="00E611DF"/>
    <w:rsid w:val="00E6124F"/>
    <w:rsid w:val="00E6185C"/>
    <w:rsid w:val="00E62815"/>
    <w:rsid w:val="00E62CF5"/>
    <w:rsid w:val="00E62E73"/>
    <w:rsid w:val="00E636A0"/>
    <w:rsid w:val="00E63F4F"/>
    <w:rsid w:val="00E6423D"/>
    <w:rsid w:val="00E64581"/>
    <w:rsid w:val="00E6464C"/>
    <w:rsid w:val="00E64996"/>
    <w:rsid w:val="00E64EB4"/>
    <w:rsid w:val="00E656CA"/>
    <w:rsid w:val="00E656D1"/>
    <w:rsid w:val="00E65E79"/>
    <w:rsid w:val="00E666F5"/>
    <w:rsid w:val="00E667C6"/>
    <w:rsid w:val="00E66946"/>
    <w:rsid w:val="00E66A28"/>
    <w:rsid w:val="00E66A50"/>
    <w:rsid w:val="00E66BA2"/>
    <w:rsid w:val="00E673B1"/>
    <w:rsid w:val="00E67416"/>
    <w:rsid w:val="00E6794B"/>
    <w:rsid w:val="00E704B2"/>
    <w:rsid w:val="00E70784"/>
    <w:rsid w:val="00E7095C"/>
    <w:rsid w:val="00E70F27"/>
    <w:rsid w:val="00E70FF0"/>
    <w:rsid w:val="00E7104E"/>
    <w:rsid w:val="00E7178A"/>
    <w:rsid w:val="00E718B6"/>
    <w:rsid w:val="00E71C4E"/>
    <w:rsid w:val="00E71EA6"/>
    <w:rsid w:val="00E72266"/>
    <w:rsid w:val="00E723BA"/>
    <w:rsid w:val="00E724C9"/>
    <w:rsid w:val="00E729EF"/>
    <w:rsid w:val="00E73214"/>
    <w:rsid w:val="00E73581"/>
    <w:rsid w:val="00E73D16"/>
    <w:rsid w:val="00E7493B"/>
    <w:rsid w:val="00E749FB"/>
    <w:rsid w:val="00E74B8D"/>
    <w:rsid w:val="00E74D36"/>
    <w:rsid w:val="00E74DEC"/>
    <w:rsid w:val="00E7540A"/>
    <w:rsid w:val="00E7544D"/>
    <w:rsid w:val="00E75D78"/>
    <w:rsid w:val="00E770F5"/>
    <w:rsid w:val="00E8023B"/>
    <w:rsid w:val="00E80298"/>
    <w:rsid w:val="00E806C7"/>
    <w:rsid w:val="00E81639"/>
    <w:rsid w:val="00E818C0"/>
    <w:rsid w:val="00E81DBB"/>
    <w:rsid w:val="00E822C8"/>
    <w:rsid w:val="00E823F6"/>
    <w:rsid w:val="00E8317B"/>
    <w:rsid w:val="00E833F7"/>
    <w:rsid w:val="00E837B6"/>
    <w:rsid w:val="00E83ACD"/>
    <w:rsid w:val="00E83B47"/>
    <w:rsid w:val="00E83BDF"/>
    <w:rsid w:val="00E840DC"/>
    <w:rsid w:val="00E8442F"/>
    <w:rsid w:val="00E84927"/>
    <w:rsid w:val="00E84965"/>
    <w:rsid w:val="00E85347"/>
    <w:rsid w:val="00E86784"/>
    <w:rsid w:val="00E86FCC"/>
    <w:rsid w:val="00E87015"/>
    <w:rsid w:val="00E87296"/>
    <w:rsid w:val="00E873AD"/>
    <w:rsid w:val="00E87A1D"/>
    <w:rsid w:val="00E87E33"/>
    <w:rsid w:val="00E90366"/>
    <w:rsid w:val="00E905E8"/>
    <w:rsid w:val="00E9094A"/>
    <w:rsid w:val="00E90D01"/>
    <w:rsid w:val="00E91162"/>
    <w:rsid w:val="00E91699"/>
    <w:rsid w:val="00E9171C"/>
    <w:rsid w:val="00E91902"/>
    <w:rsid w:val="00E91991"/>
    <w:rsid w:val="00E91D35"/>
    <w:rsid w:val="00E926A5"/>
    <w:rsid w:val="00E93811"/>
    <w:rsid w:val="00E93ADF"/>
    <w:rsid w:val="00E944C6"/>
    <w:rsid w:val="00E953A4"/>
    <w:rsid w:val="00E95700"/>
    <w:rsid w:val="00E958EB"/>
    <w:rsid w:val="00E962CC"/>
    <w:rsid w:val="00E9698E"/>
    <w:rsid w:val="00E96D63"/>
    <w:rsid w:val="00E9723B"/>
    <w:rsid w:val="00E97A8C"/>
    <w:rsid w:val="00EA0C50"/>
    <w:rsid w:val="00EA0F11"/>
    <w:rsid w:val="00EA1747"/>
    <w:rsid w:val="00EA17C3"/>
    <w:rsid w:val="00EA1E34"/>
    <w:rsid w:val="00EA1F1B"/>
    <w:rsid w:val="00EA23DC"/>
    <w:rsid w:val="00EA2CAA"/>
    <w:rsid w:val="00EA2DE5"/>
    <w:rsid w:val="00EA3191"/>
    <w:rsid w:val="00EA3518"/>
    <w:rsid w:val="00EA3864"/>
    <w:rsid w:val="00EA3D87"/>
    <w:rsid w:val="00EA4925"/>
    <w:rsid w:val="00EA4BAB"/>
    <w:rsid w:val="00EA4C18"/>
    <w:rsid w:val="00EA50C1"/>
    <w:rsid w:val="00EA513F"/>
    <w:rsid w:val="00EA5425"/>
    <w:rsid w:val="00EA568C"/>
    <w:rsid w:val="00EA5B97"/>
    <w:rsid w:val="00EA6813"/>
    <w:rsid w:val="00EA7139"/>
    <w:rsid w:val="00EA756E"/>
    <w:rsid w:val="00EA7D64"/>
    <w:rsid w:val="00EA7F1C"/>
    <w:rsid w:val="00EB0339"/>
    <w:rsid w:val="00EB0805"/>
    <w:rsid w:val="00EB15B6"/>
    <w:rsid w:val="00EB1C88"/>
    <w:rsid w:val="00EB290C"/>
    <w:rsid w:val="00EB29BC"/>
    <w:rsid w:val="00EB29F2"/>
    <w:rsid w:val="00EB2C49"/>
    <w:rsid w:val="00EB3D06"/>
    <w:rsid w:val="00EB4916"/>
    <w:rsid w:val="00EB4EF1"/>
    <w:rsid w:val="00EB5F47"/>
    <w:rsid w:val="00EB5FEA"/>
    <w:rsid w:val="00EB6C33"/>
    <w:rsid w:val="00EB79EE"/>
    <w:rsid w:val="00EB7BA8"/>
    <w:rsid w:val="00EC00C9"/>
    <w:rsid w:val="00EC05D5"/>
    <w:rsid w:val="00EC0DD9"/>
    <w:rsid w:val="00EC11E1"/>
    <w:rsid w:val="00EC190C"/>
    <w:rsid w:val="00EC1937"/>
    <w:rsid w:val="00EC24A7"/>
    <w:rsid w:val="00EC2649"/>
    <w:rsid w:val="00EC26A8"/>
    <w:rsid w:val="00EC26E3"/>
    <w:rsid w:val="00EC31ED"/>
    <w:rsid w:val="00EC332C"/>
    <w:rsid w:val="00EC35B2"/>
    <w:rsid w:val="00EC3648"/>
    <w:rsid w:val="00EC3DE4"/>
    <w:rsid w:val="00EC40F6"/>
    <w:rsid w:val="00EC45E1"/>
    <w:rsid w:val="00EC5836"/>
    <w:rsid w:val="00EC688C"/>
    <w:rsid w:val="00EC792C"/>
    <w:rsid w:val="00EC7AFA"/>
    <w:rsid w:val="00EC7F3A"/>
    <w:rsid w:val="00ED0CBB"/>
    <w:rsid w:val="00ED0E10"/>
    <w:rsid w:val="00ED12E3"/>
    <w:rsid w:val="00ED1702"/>
    <w:rsid w:val="00ED355E"/>
    <w:rsid w:val="00ED37FD"/>
    <w:rsid w:val="00ED3A4A"/>
    <w:rsid w:val="00ED4632"/>
    <w:rsid w:val="00ED4B04"/>
    <w:rsid w:val="00ED4E49"/>
    <w:rsid w:val="00ED57EA"/>
    <w:rsid w:val="00ED5BD4"/>
    <w:rsid w:val="00ED60CC"/>
    <w:rsid w:val="00ED63DA"/>
    <w:rsid w:val="00ED666B"/>
    <w:rsid w:val="00ED76C4"/>
    <w:rsid w:val="00ED78F2"/>
    <w:rsid w:val="00EE00EB"/>
    <w:rsid w:val="00EE07D3"/>
    <w:rsid w:val="00EE0817"/>
    <w:rsid w:val="00EE0905"/>
    <w:rsid w:val="00EE0FFF"/>
    <w:rsid w:val="00EE184C"/>
    <w:rsid w:val="00EE1996"/>
    <w:rsid w:val="00EE1AA0"/>
    <w:rsid w:val="00EE1C01"/>
    <w:rsid w:val="00EE22AF"/>
    <w:rsid w:val="00EE2B45"/>
    <w:rsid w:val="00EE2DB4"/>
    <w:rsid w:val="00EE3264"/>
    <w:rsid w:val="00EE33A3"/>
    <w:rsid w:val="00EE351A"/>
    <w:rsid w:val="00EE35CA"/>
    <w:rsid w:val="00EE39EC"/>
    <w:rsid w:val="00EE4EB6"/>
    <w:rsid w:val="00EE4EC3"/>
    <w:rsid w:val="00EE4FDA"/>
    <w:rsid w:val="00EE5866"/>
    <w:rsid w:val="00EE5D49"/>
    <w:rsid w:val="00EE60E3"/>
    <w:rsid w:val="00EE62C1"/>
    <w:rsid w:val="00EE67AB"/>
    <w:rsid w:val="00EE6C33"/>
    <w:rsid w:val="00EE7008"/>
    <w:rsid w:val="00EE765A"/>
    <w:rsid w:val="00EF0171"/>
    <w:rsid w:val="00EF09B6"/>
    <w:rsid w:val="00EF0BE9"/>
    <w:rsid w:val="00EF1B25"/>
    <w:rsid w:val="00EF1CBB"/>
    <w:rsid w:val="00EF1DA0"/>
    <w:rsid w:val="00EF342D"/>
    <w:rsid w:val="00EF45BF"/>
    <w:rsid w:val="00EF4747"/>
    <w:rsid w:val="00EF4A0C"/>
    <w:rsid w:val="00EF4BAD"/>
    <w:rsid w:val="00EF4BF8"/>
    <w:rsid w:val="00EF4C67"/>
    <w:rsid w:val="00EF50AC"/>
    <w:rsid w:val="00EF58DC"/>
    <w:rsid w:val="00EF5A21"/>
    <w:rsid w:val="00EF6823"/>
    <w:rsid w:val="00EF6B25"/>
    <w:rsid w:val="00EF6D1A"/>
    <w:rsid w:val="00EF71F9"/>
    <w:rsid w:val="00EF7B56"/>
    <w:rsid w:val="00EF7CA0"/>
    <w:rsid w:val="00EF7CA4"/>
    <w:rsid w:val="00EF7F50"/>
    <w:rsid w:val="00F004C5"/>
    <w:rsid w:val="00F0085F"/>
    <w:rsid w:val="00F00C53"/>
    <w:rsid w:val="00F00CC4"/>
    <w:rsid w:val="00F00D6C"/>
    <w:rsid w:val="00F0152A"/>
    <w:rsid w:val="00F0212D"/>
    <w:rsid w:val="00F02253"/>
    <w:rsid w:val="00F02A9E"/>
    <w:rsid w:val="00F0368F"/>
    <w:rsid w:val="00F03C2E"/>
    <w:rsid w:val="00F03DC2"/>
    <w:rsid w:val="00F042B6"/>
    <w:rsid w:val="00F045FE"/>
    <w:rsid w:val="00F04A66"/>
    <w:rsid w:val="00F04B4B"/>
    <w:rsid w:val="00F0516C"/>
    <w:rsid w:val="00F05382"/>
    <w:rsid w:val="00F0583E"/>
    <w:rsid w:val="00F05BB6"/>
    <w:rsid w:val="00F05F8E"/>
    <w:rsid w:val="00F063D2"/>
    <w:rsid w:val="00F06415"/>
    <w:rsid w:val="00F0651B"/>
    <w:rsid w:val="00F067A2"/>
    <w:rsid w:val="00F06FF6"/>
    <w:rsid w:val="00F07302"/>
    <w:rsid w:val="00F0732F"/>
    <w:rsid w:val="00F07B9E"/>
    <w:rsid w:val="00F07C2C"/>
    <w:rsid w:val="00F07FC0"/>
    <w:rsid w:val="00F10734"/>
    <w:rsid w:val="00F10785"/>
    <w:rsid w:val="00F1116F"/>
    <w:rsid w:val="00F11359"/>
    <w:rsid w:val="00F1148B"/>
    <w:rsid w:val="00F12205"/>
    <w:rsid w:val="00F1263A"/>
    <w:rsid w:val="00F12697"/>
    <w:rsid w:val="00F1288E"/>
    <w:rsid w:val="00F130FC"/>
    <w:rsid w:val="00F135D4"/>
    <w:rsid w:val="00F139C5"/>
    <w:rsid w:val="00F13CAD"/>
    <w:rsid w:val="00F14740"/>
    <w:rsid w:val="00F150E6"/>
    <w:rsid w:val="00F1585B"/>
    <w:rsid w:val="00F15B63"/>
    <w:rsid w:val="00F15B77"/>
    <w:rsid w:val="00F15FD5"/>
    <w:rsid w:val="00F167E8"/>
    <w:rsid w:val="00F20893"/>
    <w:rsid w:val="00F2093A"/>
    <w:rsid w:val="00F20B13"/>
    <w:rsid w:val="00F21236"/>
    <w:rsid w:val="00F218E3"/>
    <w:rsid w:val="00F21E61"/>
    <w:rsid w:val="00F22182"/>
    <w:rsid w:val="00F22255"/>
    <w:rsid w:val="00F222B4"/>
    <w:rsid w:val="00F227D0"/>
    <w:rsid w:val="00F2319D"/>
    <w:rsid w:val="00F23414"/>
    <w:rsid w:val="00F237D2"/>
    <w:rsid w:val="00F239DF"/>
    <w:rsid w:val="00F24837"/>
    <w:rsid w:val="00F24A51"/>
    <w:rsid w:val="00F2513B"/>
    <w:rsid w:val="00F2575F"/>
    <w:rsid w:val="00F2666C"/>
    <w:rsid w:val="00F26964"/>
    <w:rsid w:val="00F271B0"/>
    <w:rsid w:val="00F2739B"/>
    <w:rsid w:val="00F27565"/>
    <w:rsid w:val="00F30447"/>
    <w:rsid w:val="00F30C70"/>
    <w:rsid w:val="00F310D4"/>
    <w:rsid w:val="00F311C7"/>
    <w:rsid w:val="00F3155B"/>
    <w:rsid w:val="00F31D5A"/>
    <w:rsid w:val="00F3221D"/>
    <w:rsid w:val="00F32B2C"/>
    <w:rsid w:val="00F335A6"/>
    <w:rsid w:val="00F33897"/>
    <w:rsid w:val="00F33975"/>
    <w:rsid w:val="00F33DE9"/>
    <w:rsid w:val="00F349BB"/>
    <w:rsid w:val="00F35B82"/>
    <w:rsid w:val="00F35DC2"/>
    <w:rsid w:val="00F35E6D"/>
    <w:rsid w:val="00F3619A"/>
    <w:rsid w:val="00F36454"/>
    <w:rsid w:val="00F367DF"/>
    <w:rsid w:val="00F3705B"/>
    <w:rsid w:val="00F37675"/>
    <w:rsid w:val="00F37734"/>
    <w:rsid w:val="00F40305"/>
    <w:rsid w:val="00F40A71"/>
    <w:rsid w:val="00F40AAA"/>
    <w:rsid w:val="00F40B2A"/>
    <w:rsid w:val="00F40BA7"/>
    <w:rsid w:val="00F40F9D"/>
    <w:rsid w:val="00F41ACD"/>
    <w:rsid w:val="00F41CB9"/>
    <w:rsid w:val="00F41D6B"/>
    <w:rsid w:val="00F42060"/>
    <w:rsid w:val="00F42249"/>
    <w:rsid w:val="00F42BEA"/>
    <w:rsid w:val="00F45C5E"/>
    <w:rsid w:val="00F46198"/>
    <w:rsid w:val="00F46688"/>
    <w:rsid w:val="00F46810"/>
    <w:rsid w:val="00F46C34"/>
    <w:rsid w:val="00F46CB6"/>
    <w:rsid w:val="00F471B7"/>
    <w:rsid w:val="00F47418"/>
    <w:rsid w:val="00F4756D"/>
    <w:rsid w:val="00F4782F"/>
    <w:rsid w:val="00F47DE8"/>
    <w:rsid w:val="00F47E46"/>
    <w:rsid w:val="00F47EEA"/>
    <w:rsid w:val="00F50E78"/>
    <w:rsid w:val="00F50FF4"/>
    <w:rsid w:val="00F51871"/>
    <w:rsid w:val="00F527D8"/>
    <w:rsid w:val="00F527EF"/>
    <w:rsid w:val="00F528D8"/>
    <w:rsid w:val="00F52CED"/>
    <w:rsid w:val="00F52E1B"/>
    <w:rsid w:val="00F53377"/>
    <w:rsid w:val="00F535E5"/>
    <w:rsid w:val="00F537BE"/>
    <w:rsid w:val="00F53B17"/>
    <w:rsid w:val="00F53DDB"/>
    <w:rsid w:val="00F53F4E"/>
    <w:rsid w:val="00F541F5"/>
    <w:rsid w:val="00F542C1"/>
    <w:rsid w:val="00F54350"/>
    <w:rsid w:val="00F54588"/>
    <w:rsid w:val="00F550E3"/>
    <w:rsid w:val="00F55524"/>
    <w:rsid w:val="00F55E73"/>
    <w:rsid w:val="00F55EDA"/>
    <w:rsid w:val="00F56159"/>
    <w:rsid w:val="00F565B4"/>
    <w:rsid w:val="00F569AB"/>
    <w:rsid w:val="00F56C80"/>
    <w:rsid w:val="00F57800"/>
    <w:rsid w:val="00F60092"/>
    <w:rsid w:val="00F61176"/>
    <w:rsid w:val="00F61825"/>
    <w:rsid w:val="00F61C18"/>
    <w:rsid w:val="00F61E8B"/>
    <w:rsid w:val="00F622BE"/>
    <w:rsid w:val="00F62435"/>
    <w:rsid w:val="00F625F2"/>
    <w:rsid w:val="00F62DFA"/>
    <w:rsid w:val="00F6339D"/>
    <w:rsid w:val="00F63514"/>
    <w:rsid w:val="00F637E4"/>
    <w:rsid w:val="00F6496F"/>
    <w:rsid w:val="00F64B9E"/>
    <w:rsid w:val="00F654ED"/>
    <w:rsid w:val="00F656C8"/>
    <w:rsid w:val="00F6573F"/>
    <w:rsid w:val="00F658D7"/>
    <w:rsid w:val="00F65F4B"/>
    <w:rsid w:val="00F66565"/>
    <w:rsid w:val="00F66F31"/>
    <w:rsid w:val="00F676E0"/>
    <w:rsid w:val="00F6780E"/>
    <w:rsid w:val="00F67A69"/>
    <w:rsid w:val="00F67AA6"/>
    <w:rsid w:val="00F67D66"/>
    <w:rsid w:val="00F70BFF"/>
    <w:rsid w:val="00F70C9D"/>
    <w:rsid w:val="00F71048"/>
    <w:rsid w:val="00F71457"/>
    <w:rsid w:val="00F71BE0"/>
    <w:rsid w:val="00F72200"/>
    <w:rsid w:val="00F722A3"/>
    <w:rsid w:val="00F72560"/>
    <w:rsid w:val="00F72A6B"/>
    <w:rsid w:val="00F72D61"/>
    <w:rsid w:val="00F730B4"/>
    <w:rsid w:val="00F73193"/>
    <w:rsid w:val="00F739AD"/>
    <w:rsid w:val="00F73E08"/>
    <w:rsid w:val="00F748B8"/>
    <w:rsid w:val="00F74CD9"/>
    <w:rsid w:val="00F74D8D"/>
    <w:rsid w:val="00F74DFF"/>
    <w:rsid w:val="00F74E0E"/>
    <w:rsid w:val="00F7522F"/>
    <w:rsid w:val="00F758FA"/>
    <w:rsid w:val="00F75C77"/>
    <w:rsid w:val="00F763D1"/>
    <w:rsid w:val="00F77E31"/>
    <w:rsid w:val="00F8071D"/>
    <w:rsid w:val="00F80A7B"/>
    <w:rsid w:val="00F80E30"/>
    <w:rsid w:val="00F80E5D"/>
    <w:rsid w:val="00F81767"/>
    <w:rsid w:val="00F817C2"/>
    <w:rsid w:val="00F81B23"/>
    <w:rsid w:val="00F81E78"/>
    <w:rsid w:val="00F8248E"/>
    <w:rsid w:val="00F82559"/>
    <w:rsid w:val="00F835FC"/>
    <w:rsid w:val="00F83916"/>
    <w:rsid w:val="00F83D14"/>
    <w:rsid w:val="00F84223"/>
    <w:rsid w:val="00F84807"/>
    <w:rsid w:val="00F849EF"/>
    <w:rsid w:val="00F84CE6"/>
    <w:rsid w:val="00F851CE"/>
    <w:rsid w:val="00F85489"/>
    <w:rsid w:val="00F85EB6"/>
    <w:rsid w:val="00F86250"/>
    <w:rsid w:val="00F867C0"/>
    <w:rsid w:val="00F87650"/>
    <w:rsid w:val="00F877DB"/>
    <w:rsid w:val="00F91219"/>
    <w:rsid w:val="00F914F5"/>
    <w:rsid w:val="00F91BC4"/>
    <w:rsid w:val="00F91BD0"/>
    <w:rsid w:val="00F91BD2"/>
    <w:rsid w:val="00F91C4C"/>
    <w:rsid w:val="00F92444"/>
    <w:rsid w:val="00F92AA3"/>
    <w:rsid w:val="00F92D75"/>
    <w:rsid w:val="00F92E10"/>
    <w:rsid w:val="00F93121"/>
    <w:rsid w:val="00F9393E"/>
    <w:rsid w:val="00F940EF"/>
    <w:rsid w:val="00F943F9"/>
    <w:rsid w:val="00F947FB"/>
    <w:rsid w:val="00F95449"/>
    <w:rsid w:val="00F96313"/>
    <w:rsid w:val="00F96400"/>
    <w:rsid w:val="00F96925"/>
    <w:rsid w:val="00F96FD0"/>
    <w:rsid w:val="00F97A78"/>
    <w:rsid w:val="00F97D24"/>
    <w:rsid w:val="00FA0B20"/>
    <w:rsid w:val="00FA0CAD"/>
    <w:rsid w:val="00FA0DD1"/>
    <w:rsid w:val="00FA1434"/>
    <w:rsid w:val="00FA2441"/>
    <w:rsid w:val="00FA24E7"/>
    <w:rsid w:val="00FA2C17"/>
    <w:rsid w:val="00FA2FC0"/>
    <w:rsid w:val="00FA2FE1"/>
    <w:rsid w:val="00FA3093"/>
    <w:rsid w:val="00FA32A4"/>
    <w:rsid w:val="00FA3ED1"/>
    <w:rsid w:val="00FA43FB"/>
    <w:rsid w:val="00FA4A5D"/>
    <w:rsid w:val="00FA4EC7"/>
    <w:rsid w:val="00FA5EE6"/>
    <w:rsid w:val="00FA6952"/>
    <w:rsid w:val="00FA725C"/>
    <w:rsid w:val="00FA7277"/>
    <w:rsid w:val="00FA78A2"/>
    <w:rsid w:val="00FA7956"/>
    <w:rsid w:val="00FB050D"/>
    <w:rsid w:val="00FB05C6"/>
    <w:rsid w:val="00FB0783"/>
    <w:rsid w:val="00FB0824"/>
    <w:rsid w:val="00FB0C1B"/>
    <w:rsid w:val="00FB2B28"/>
    <w:rsid w:val="00FB2FCB"/>
    <w:rsid w:val="00FB40FC"/>
    <w:rsid w:val="00FB42DF"/>
    <w:rsid w:val="00FB4C9C"/>
    <w:rsid w:val="00FB5720"/>
    <w:rsid w:val="00FB599A"/>
    <w:rsid w:val="00FB59BA"/>
    <w:rsid w:val="00FB60FD"/>
    <w:rsid w:val="00FB61B8"/>
    <w:rsid w:val="00FB635E"/>
    <w:rsid w:val="00FB675B"/>
    <w:rsid w:val="00FB71FD"/>
    <w:rsid w:val="00FB7C55"/>
    <w:rsid w:val="00FC013D"/>
    <w:rsid w:val="00FC040C"/>
    <w:rsid w:val="00FC0F4F"/>
    <w:rsid w:val="00FC1012"/>
    <w:rsid w:val="00FC1074"/>
    <w:rsid w:val="00FC1884"/>
    <w:rsid w:val="00FC1FC9"/>
    <w:rsid w:val="00FC2125"/>
    <w:rsid w:val="00FC236F"/>
    <w:rsid w:val="00FC2438"/>
    <w:rsid w:val="00FC287B"/>
    <w:rsid w:val="00FC2AC8"/>
    <w:rsid w:val="00FC371D"/>
    <w:rsid w:val="00FC391E"/>
    <w:rsid w:val="00FC3F61"/>
    <w:rsid w:val="00FC4681"/>
    <w:rsid w:val="00FC4C0F"/>
    <w:rsid w:val="00FC5BA9"/>
    <w:rsid w:val="00FC5F0B"/>
    <w:rsid w:val="00FC7F18"/>
    <w:rsid w:val="00FD019C"/>
    <w:rsid w:val="00FD07BD"/>
    <w:rsid w:val="00FD0E7A"/>
    <w:rsid w:val="00FD1971"/>
    <w:rsid w:val="00FD1A6A"/>
    <w:rsid w:val="00FD1F72"/>
    <w:rsid w:val="00FD2100"/>
    <w:rsid w:val="00FD288E"/>
    <w:rsid w:val="00FD3225"/>
    <w:rsid w:val="00FD3484"/>
    <w:rsid w:val="00FD3F33"/>
    <w:rsid w:val="00FD42CC"/>
    <w:rsid w:val="00FD436C"/>
    <w:rsid w:val="00FD446D"/>
    <w:rsid w:val="00FD4A9E"/>
    <w:rsid w:val="00FD4F2C"/>
    <w:rsid w:val="00FD5210"/>
    <w:rsid w:val="00FD52A7"/>
    <w:rsid w:val="00FD59FA"/>
    <w:rsid w:val="00FD5ABB"/>
    <w:rsid w:val="00FD5AC5"/>
    <w:rsid w:val="00FD5B3A"/>
    <w:rsid w:val="00FD5C96"/>
    <w:rsid w:val="00FD6394"/>
    <w:rsid w:val="00FD7023"/>
    <w:rsid w:val="00FD703B"/>
    <w:rsid w:val="00FD772F"/>
    <w:rsid w:val="00FD797E"/>
    <w:rsid w:val="00FE0271"/>
    <w:rsid w:val="00FE0BDC"/>
    <w:rsid w:val="00FE0CFB"/>
    <w:rsid w:val="00FE0E6C"/>
    <w:rsid w:val="00FE11F2"/>
    <w:rsid w:val="00FE17D8"/>
    <w:rsid w:val="00FE1CDC"/>
    <w:rsid w:val="00FE1D62"/>
    <w:rsid w:val="00FE2090"/>
    <w:rsid w:val="00FE20BB"/>
    <w:rsid w:val="00FE23E7"/>
    <w:rsid w:val="00FE3376"/>
    <w:rsid w:val="00FE3D5D"/>
    <w:rsid w:val="00FE4037"/>
    <w:rsid w:val="00FE52BD"/>
    <w:rsid w:val="00FE53AE"/>
    <w:rsid w:val="00FE5F0C"/>
    <w:rsid w:val="00FE643C"/>
    <w:rsid w:val="00FE6873"/>
    <w:rsid w:val="00FE70C3"/>
    <w:rsid w:val="00FE7388"/>
    <w:rsid w:val="00FE792A"/>
    <w:rsid w:val="00FE7FE9"/>
    <w:rsid w:val="00FF0073"/>
    <w:rsid w:val="00FF00B5"/>
    <w:rsid w:val="00FF07D8"/>
    <w:rsid w:val="00FF0A18"/>
    <w:rsid w:val="00FF0E45"/>
    <w:rsid w:val="00FF18DA"/>
    <w:rsid w:val="00FF1A80"/>
    <w:rsid w:val="00FF1A8B"/>
    <w:rsid w:val="00FF228C"/>
    <w:rsid w:val="00FF2592"/>
    <w:rsid w:val="00FF2902"/>
    <w:rsid w:val="00FF29FD"/>
    <w:rsid w:val="00FF2AD9"/>
    <w:rsid w:val="00FF2F78"/>
    <w:rsid w:val="00FF326A"/>
    <w:rsid w:val="00FF3358"/>
    <w:rsid w:val="00FF359F"/>
    <w:rsid w:val="00FF3DCF"/>
    <w:rsid w:val="00FF408F"/>
    <w:rsid w:val="00FF465B"/>
    <w:rsid w:val="00FF492C"/>
    <w:rsid w:val="00FF4A21"/>
    <w:rsid w:val="00FF4A9F"/>
    <w:rsid w:val="00FF4C9A"/>
    <w:rsid w:val="00FF5AA3"/>
    <w:rsid w:val="00FF5AD8"/>
    <w:rsid w:val="00FF5C8F"/>
    <w:rsid w:val="00FF68AE"/>
    <w:rsid w:val="00FF7139"/>
    <w:rsid w:val="00FF7699"/>
    <w:rsid w:val="00FF779F"/>
    <w:rsid w:val="00FF783E"/>
    <w:rsid w:val="00FF7CCF"/>
    <w:rsid w:val="05AFD975"/>
    <w:rsid w:val="07A86A37"/>
    <w:rsid w:val="07C56A3B"/>
    <w:rsid w:val="37506869"/>
    <w:rsid w:val="4884F5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27D"/>
    <w:pPr>
      <w:spacing w:after="120"/>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Section 5,Bullet 1,Bullet List,Figure_name,Numbered Indented Text,Bullet- First level,lp1"/>
    <w:link w:val="ListParagraphChar"/>
    <w:uiPriority w:val="34"/>
    <w:qFormat/>
    <w:rsid w:val="00AA63DB"/>
    <w:pPr>
      <w:numPr>
        <w:numId w:val="40"/>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Section 5 Char,Bullet 1 Char,lp1 Char"/>
    <w:basedOn w:val="DefaultParagraphFont"/>
    <w:link w:val="ListParagraph"/>
    <w:uiPriority w:val="34"/>
    <w:qFormat/>
    <w:locked/>
    <w:rsid w:val="00AA63DB"/>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RTI AMCP Table,HealthConsult,PBAC tab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48"/>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48"/>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9"/>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C572F6"/>
    <w:pPr>
      <w:keepLines/>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785588"/>
    <w:rPr>
      <w:color w:val="605E5C"/>
      <w:shd w:val="clear" w:color="auto" w:fill="E1DFDD"/>
    </w:rPr>
  </w:style>
  <w:style w:type="paragraph" w:customStyle="1" w:styleId="Bodytextitalics">
    <w:name w:val="Body text italics"/>
    <w:basedOn w:val="BodyText"/>
    <w:qFormat/>
    <w:rsid w:val="00A55AF1"/>
    <w:pPr>
      <w:ind w:left="720" w:hanging="720"/>
    </w:pPr>
    <w:rPr>
      <w:rFonts w:asciiTheme="minorHAnsi" w:eastAsiaTheme="minorHAnsi" w:hAnsiTheme="minorHAnsi" w:cstheme="minorBidi"/>
      <w:i/>
      <w:szCs w:val="22"/>
    </w:rPr>
  </w:style>
  <w:style w:type="paragraph" w:styleId="FootnoteText">
    <w:name w:val="footnote text"/>
    <w:basedOn w:val="Normal"/>
    <w:link w:val="FootnoteTextChar"/>
    <w:semiHidden/>
    <w:unhideWhenUsed/>
    <w:rsid w:val="00624A67"/>
    <w:rPr>
      <w:sz w:val="20"/>
      <w:szCs w:val="20"/>
    </w:rPr>
  </w:style>
  <w:style w:type="character" w:customStyle="1" w:styleId="FootnoteTextChar">
    <w:name w:val="Footnote Text Char"/>
    <w:basedOn w:val="DefaultParagraphFont"/>
    <w:link w:val="FootnoteText"/>
    <w:semiHidden/>
    <w:rsid w:val="00624A67"/>
    <w:rPr>
      <w:rFonts w:ascii="Calibri" w:hAnsi="Calibri" w:cs="Arial"/>
    </w:rPr>
  </w:style>
  <w:style w:type="character" w:styleId="FootnoteReference">
    <w:name w:val="footnote reference"/>
    <w:basedOn w:val="DefaultParagraphFont"/>
    <w:unhideWhenUsed/>
    <w:rsid w:val="00624A67"/>
    <w:rPr>
      <w:vertAlign w:val="superscript"/>
    </w:rPr>
  </w:style>
  <w:style w:type="paragraph" w:customStyle="1" w:styleId="V50Instructions">
    <w:name w:val="V5.0 Instructions"/>
    <w:basedOn w:val="Normal"/>
    <w:link w:val="V50InstructionsChar"/>
    <w:qFormat/>
    <w:rsid w:val="00F527EF"/>
    <w:pPr>
      <w:spacing w:before="120" w:after="160"/>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F527EF"/>
    <w:rPr>
      <w:rFonts w:asciiTheme="minorHAnsi" w:eastAsiaTheme="minorHAnsi" w:hAnsiTheme="minorHAnsi" w:cstheme="minorBidi"/>
      <w:color w:val="4BACC6" w:themeColor="accent5"/>
      <w:sz w:val="24"/>
      <w:szCs w:val="22"/>
      <w:lang w:eastAsia="en-US"/>
    </w:rPr>
  </w:style>
  <w:style w:type="character" w:styleId="Mention">
    <w:name w:val="Mention"/>
    <w:basedOn w:val="DefaultParagraphFont"/>
    <w:uiPriority w:val="99"/>
    <w:unhideWhenUsed/>
    <w:rsid w:val="00EA1747"/>
    <w:rPr>
      <w:color w:val="2B579A"/>
      <w:shd w:val="clear" w:color="auto" w:fill="E1DFDD"/>
    </w:rPr>
  </w:style>
  <w:style w:type="paragraph" w:customStyle="1" w:styleId="3-SubsectionHeading">
    <w:name w:val="3-Subsection Heading"/>
    <w:basedOn w:val="Heading2"/>
    <w:next w:val="Normal"/>
    <w:link w:val="3-SubsectionHeadingChar"/>
    <w:qFormat/>
    <w:rsid w:val="000505AB"/>
    <w:pPr>
      <w:keepNext/>
      <w:spacing w:before="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0505AB"/>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Numberbullet2">
    <w:name w:val="Number bullet 2"/>
    <w:basedOn w:val="ListBullet2"/>
    <w:qFormat/>
    <w:rsid w:val="0064254D"/>
    <w:pPr>
      <w:numPr>
        <w:ilvl w:val="1"/>
        <w:numId w:val="49"/>
      </w:numPr>
      <w:spacing w:before="120" w:after="180" w:line="240" w:lineRule="atLeast"/>
      <w:ind w:left="0" w:firstLine="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64254D"/>
    <w:pPr>
      <w:numPr>
        <w:ilvl w:val="2"/>
        <w:numId w:val="49"/>
      </w:numPr>
      <w:spacing w:before="120" w:after="180" w:line="240" w:lineRule="atLeast"/>
      <w:ind w:left="0" w:firstLine="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64254D"/>
    <w:pPr>
      <w:numPr>
        <w:numId w:val="49"/>
      </w:numPr>
    </w:pPr>
  </w:style>
  <w:style w:type="paragraph" w:customStyle="1" w:styleId="COMH1numbered">
    <w:name w:val="COM H1 numbered"/>
    <w:next w:val="Normal"/>
    <w:link w:val="COMH1numberedChar"/>
    <w:qFormat/>
    <w:rsid w:val="0064254D"/>
    <w:pPr>
      <w:keepNext/>
      <w:numPr>
        <w:numId w:val="49"/>
      </w:numPr>
      <w:spacing w:before="240" w:after="120"/>
      <w:ind w:left="0" w:firstLine="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64254D"/>
    <w:rPr>
      <w:rFonts w:asciiTheme="minorHAnsi" w:hAnsiTheme="minorHAnsi" w:cs="Arial"/>
      <w:b/>
      <w:snapToGrid w:val="0"/>
      <w:sz w:val="32"/>
      <w:szCs w:val="32"/>
    </w:rPr>
  </w:style>
  <w:style w:type="paragraph" w:styleId="ListBullet2">
    <w:name w:val="List Bullet 2"/>
    <w:basedOn w:val="Normal"/>
    <w:semiHidden/>
    <w:unhideWhenUsed/>
    <w:rsid w:val="0064254D"/>
    <w:pPr>
      <w:contextualSpacing/>
    </w:pPr>
  </w:style>
  <w:style w:type="paragraph" w:styleId="ListBullet3">
    <w:name w:val="List Bullet 3"/>
    <w:basedOn w:val="Normal"/>
    <w:semiHidden/>
    <w:unhideWhenUsed/>
    <w:rsid w:val="0064254D"/>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4527751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32342426">
      <w:bodyDiv w:val="1"/>
      <w:marLeft w:val="0"/>
      <w:marRight w:val="0"/>
      <w:marTop w:val="0"/>
      <w:marBottom w:val="0"/>
      <w:divBdr>
        <w:top w:val="none" w:sz="0" w:space="0" w:color="auto"/>
        <w:left w:val="none" w:sz="0" w:space="0" w:color="auto"/>
        <w:bottom w:val="none" w:sz="0" w:space="0" w:color="auto"/>
        <w:right w:val="none" w:sz="0" w:space="0" w:color="auto"/>
      </w:divBdr>
    </w:div>
    <w:div w:id="113937512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6064539">
      <w:bodyDiv w:val="1"/>
      <w:marLeft w:val="0"/>
      <w:marRight w:val="0"/>
      <w:marTop w:val="0"/>
      <w:marBottom w:val="0"/>
      <w:divBdr>
        <w:top w:val="none" w:sz="0" w:space="0" w:color="auto"/>
        <w:left w:val="none" w:sz="0" w:space="0" w:color="auto"/>
        <w:bottom w:val="none" w:sz="0" w:space="0" w:color="auto"/>
        <w:right w:val="none" w:sz="0" w:space="0" w:color="auto"/>
      </w:divBdr>
    </w:div>
    <w:div w:id="1282686973">
      <w:bodyDiv w:val="1"/>
      <w:marLeft w:val="0"/>
      <w:marRight w:val="0"/>
      <w:marTop w:val="0"/>
      <w:marBottom w:val="0"/>
      <w:divBdr>
        <w:top w:val="none" w:sz="0" w:space="0" w:color="auto"/>
        <w:left w:val="none" w:sz="0" w:space="0" w:color="auto"/>
        <w:bottom w:val="none" w:sz="0" w:space="0" w:color="auto"/>
        <w:right w:val="none" w:sz="0" w:space="0" w:color="auto"/>
      </w:divBdr>
    </w:div>
    <w:div w:id="1540242313">
      <w:bodyDiv w:val="1"/>
      <w:marLeft w:val="0"/>
      <w:marRight w:val="0"/>
      <w:marTop w:val="0"/>
      <w:marBottom w:val="0"/>
      <w:divBdr>
        <w:top w:val="none" w:sz="0" w:space="0" w:color="auto"/>
        <w:left w:val="none" w:sz="0" w:space="0" w:color="auto"/>
        <w:bottom w:val="none" w:sz="0" w:space="0" w:color="auto"/>
        <w:right w:val="none" w:sz="0" w:space="0" w:color="auto"/>
      </w:divBdr>
    </w:div>
    <w:div w:id="1590234844">
      <w:bodyDiv w:val="1"/>
      <w:marLeft w:val="0"/>
      <w:marRight w:val="0"/>
      <w:marTop w:val="0"/>
      <w:marBottom w:val="0"/>
      <w:divBdr>
        <w:top w:val="none" w:sz="0" w:space="0" w:color="auto"/>
        <w:left w:val="none" w:sz="0" w:space="0" w:color="auto"/>
        <w:bottom w:val="none" w:sz="0" w:space="0" w:color="auto"/>
        <w:right w:val="none" w:sz="0" w:space="0" w:color="auto"/>
      </w:divBdr>
    </w:div>
    <w:div w:id="186004914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0F04AF98-6B6D-48DB-8DB6-0DA056CE5224}"/>
</file>

<file path=customXml/itemProps3.xml><?xml version="1.0" encoding="utf-8"?>
<ds:datastoreItem xmlns:ds="http://schemas.openxmlformats.org/officeDocument/2006/customXml" ds:itemID="{36F38039-6A62-4A9F-A641-01EC8BE66762}"/>
</file>

<file path=customXml/itemProps4.xml><?xml version="1.0" encoding="utf-8"?>
<ds:datastoreItem xmlns:ds="http://schemas.openxmlformats.org/officeDocument/2006/customXml" ds:itemID="{A118ED2F-E2C1-42F2-ABEC-39A5A57C60DC}"/>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12982</Words>
  <Characters>69066</Characters>
  <Application>Microsoft Office Word</Application>
  <DocSecurity>0</DocSecurity>
  <Lines>2031</Lines>
  <Paragraphs>1243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2025-10-22T03:39:00Z</dcterms:created>
  <dcterms:modified xsi:type="dcterms:W3CDTF">2025-10-22T03:39:00Z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2eb4db66,41e6a262,595e55ca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30db9d10,572cca07,3af4a04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2025-10-22T03:33:00Z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0299a9fe-784a-4f12-97e2-de20cc8c07d2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0x0101007FED174C5281F747A8037A05221D6DBD</vt:lpwstr>
  </property>
</Properties>
</file>