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4D51" w14:textId="0C98FE79" w:rsidR="00732542" w:rsidRDefault="00732542" w:rsidP="00732542">
      <w:bookmarkStart w:id="0" w:name="_Toc198632846"/>
    </w:p>
    <w:p w14:paraId="006D0958" w14:textId="13A45E88" w:rsidR="00022D07" w:rsidRDefault="00AF4BDE" w:rsidP="00022D07">
      <w:pPr>
        <w:pStyle w:val="1-MainHeading"/>
        <w:spacing w:after="0"/>
        <w:ind w:left="0" w:firstLine="0"/>
      </w:pPr>
      <w:r>
        <w:t>5</w:t>
      </w:r>
      <w:r w:rsidR="00433044">
        <w:t>.</w:t>
      </w:r>
      <w:r>
        <w:t>02</w:t>
      </w:r>
      <w:r w:rsidR="00433044">
        <w:tab/>
      </w:r>
      <w:r w:rsidR="00BC3F32">
        <w:t>CALCIPOTRIOL WITH BETAMETHASONE</w:t>
      </w:r>
      <w:r w:rsidR="00163F66">
        <w:t>,</w:t>
      </w:r>
    </w:p>
    <w:p w14:paraId="51C6701A" w14:textId="1826D9FB" w:rsidR="00B60939" w:rsidRPr="004A6040" w:rsidRDefault="00BC3F32" w:rsidP="00E815A9">
      <w:pPr>
        <w:pStyle w:val="1-MainHeading"/>
        <w:spacing w:before="0" w:after="0"/>
        <w:ind w:firstLine="0"/>
      </w:pPr>
      <w:r>
        <w:t xml:space="preserve">Cream containing calcipotriol 50 micrograms with betamethasone 500 micrograms (as dipropionate) </w:t>
      </w:r>
      <w:r w:rsidR="00022D07">
        <w:br/>
      </w:r>
      <w:r>
        <w:t>per g</w:t>
      </w:r>
      <w:r w:rsidR="00163F66">
        <w:t>,</w:t>
      </w:r>
      <w:r>
        <w:t xml:space="preserve"> 60g</w:t>
      </w:r>
      <w:r w:rsidR="00043A61">
        <w:t>,</w:t>
      </w:r>
      <w:r w:rsidR="00433044">
        <w:br/>
      </w:r>
      <w:proofErr w:type="spellStart"/>
      <w:r>
        <w:t>Wynzora</w:t>
      </w:r>
      <w:proofErr w:type="spellEnd"/>
      <w:r w:rsidR="00B60939" w:rsidRPr="6731B205">
        <w:rPr>
          <w:vertAlign w:val="superscript"/>
        </w:rPr>
        <w:t>®</w:t>
      </w:r>
      <w:r w:rsidR="004A6040">
        <w:t>,</w:t>
      </w:r>
      <w:r w:rsidR="00433044">
        <w:br/>
      </w:r>
      <w:r w:rsidR="003D2C67">
        <w:t xml:space="preserve">Actor Pharmaceuticals </w:t>
      </w:r>
      <w:r>
        <w:t>P</w:t>
      </w:r>
      <w:r w:rsidR="003D2C67">
        <w:t>ty</w:t>
      </w:r>
      <w:r>
        <w:t xml:space="preserve"> L</w:t>
      </w:r>
      <w:r w:rsidR="003D2C67">
        <w:t>td</w:t>
      </w:r>
      <w:r w:rsidR="00B60939">
        <w:t>.</w:t>
      </w:r>
      <w:bookmarkEnd w:id="0"/>
    </w:p>
    <w:p w14:paraId="11C00795" w14:textId="3DFB6D23" w:rsidR="00B50DB8" w:rsidRPr="003229C7" w:rsidRDefault="00B50DB8" w:rsidP="004A6040">
      <w:pPr>
        <w:pStyle w:val="2-SectionHeading"/>
      </w:pPr>
      <w:bookmarkStart w:id="1" w:name="_Toc198632848"/>
      <w:r w:rsidRPr="003229C7">
        <w:t xml:space="preserve">Purpose of </w:t>
      </w:r>
      <w:r w:rsidR="00CD7193" w:rsidRPr="003229C7">
        <w:t>s</w:t>
      </w:r>
      <w:r w:rsidR="00BB3A45" w:rsidRPr="003229C7">
        <w:t>ubmission</w:t>
      </w:r>
      <w:bookmarkEnd w:id="1"/>
    </w:p>
    <w:p w14:paraId="4000ACD6" w14:textId="3EBC4E24" w:rsidR="00CA7670" w:rsidRPr="008B1757" w:rsidRDefault="00CA7670" w:rsidP="00B7760B">
      <w:pPr>
        <w:pStyle w:val="3-BodyText"/>
        <w:spacing w:line="259" w:lineRule="auto"/>
        <w:ind w:left="709"/>
      </w:pPr>
      <w:bookmarkStart w:id="2" w:name="_Hlk195262332"/>
      <w:r w:rsidRPr="00683D49">
        <w:t xml:space="preserve">The Category 2 submission requested a General Schedule </w:t>
      </w:r>
      <w:r w:rsidR="4714371C">
        <w:t>(</w:t>
      </w:r>
      <w:r w:rsidR="006E01DA">
        <w:t>Restr</w:t>
      </w:r>
      <w:r w:rsidR="00FC4AA6">
        <w:t>icted Benefit</w:t>
      </w:r>
      <w:r w:rsidR="612461C6">
        <w:t>)</w:t>
      </w:r>
      <w:r w:rsidRPr="00683D49">
        <w:t xml:space="preserve"> listing for </w:t>
      </w:r>
      <w:bookmarkStart w:id="3" w:name="_Hlk194497668"/>
      <w:r>
        <w:t>c</w:t>
      </w:r>
      <w:r w:rsidRPr="006063A4">
        <w:t xml:space="preserve">alcipotriol 0.005% </w:t>
      </w:r>
      <w:r w:rsidR="00A87B72">
        <w:t>with</w:t>
      </w:r>
      <w:r w:rsidR="00A87B72" w:rsidRPr="006063A4">
        <w:t xml:space="preserve"> </w:t>
      </w:r>
      <w:r w:rsidRPr="006063A4">
        <w:t xml:space="preserve">betamethasone (as dipropionate) 0.05% </w:t>
      </w:r>
      <w:r>
        <w:t xml:space="preserve">(hereafter </w:t>
      </w:r>
      <w:r w:rsidRPr="00683D49">
        <w:t>CAL/BDP</w:t>
      </w:r>
      <w:r>
        <w:t xml:space="preserve">) </w:t>
      </w:r>
      <w:bookmarkEnd w:id="3"/>
      <w:r w:rsidRPr="006063A4">
        <w:t>cream</w:t>
      </w:r>
      <w:r w:rsidR="00D612E7">
        <w:t>, 60 g</w:t>
      </w:r>
      <w:r w:rsidR="003E6A9B">
        <w:t>,</w:t>
      </w:r>
      <w:r w:rsidRPr="004E18E9">
        <w:t xml:space="preserve"> for the treatment of </w:t>
      </w:r>
      <w:r w:rsidR="00392B60">
        <w:t xml:space="preserve">chronic </w:t>
      </w:r>
      <w:r w:rsidR="1F255B4E" w:rsidRPr="5B1A1F58">
        <w:t xml:space="preserve">stable </w:t>
      </w:r>
      <w:r w:rsidR="00392B60">
        <w:t xml:space="preserve">plaque type psoriasis vulgaris in </w:t>
      </w:r>
      <w:r w:rsidR="2ABA5CDE" w:rsidRPr="5B1A1F58">
        <w:t xml:space="preserve">adult </w:t>
      </w:r>
      <w:r w:rsidR="00392B60">
        <w:t>patients who have not adequately responded to potent topical corticosteroid</w:t>
      </w:r>
      <w:r w:rsidR="00EB072E">
        <w:t xml:space="preserve"> (TCS)</w:t>
      </w:r>
      <w:r w:rsidR="00392B60">
        <w:t xml:space="preserve"> monotherapy.</w:t>
      </w:r>
    </w:p>
    <w:bookmarkEnd w:id="2"/>
    <w:p w14:paraId="74F35BF7" w14:textId="5BADE88C" w:rsidR="00CA7670" w:rsidRDefault="00CA7670" w:rsidP="00B7760B">
      <w:pPr>
        <w:pStyle w:val="3-BodyText"/>
        <w:ind w:left="709"/>
      </w:pPr>
      <w:r w:rsidRPr="005750C5">
        <w:t>Listing was requested on the basis of a cost-minimisation</w:t>
      </w:r>
      <w:r>
        <w:t xml:space="preserve"> approach</w:t>
      </w:r>
      <w:r w:rsidRPr="005750C5">
        <w:t xml:space="preserve"> versus</w:t>
      </w:r>
      <w:r>
        <w:t xml:space="preserve"> </w:t>
      </w:r>
      <w:r w:rsidRPr="00683D49">
        <w:t xml:space="preserve">CAL/BDP </w:t>
      </w:r>
      <w:r>
        <w:t xml:space="preserve">foam and ointment. </w:t>
      </w:r>
    </w:p>
    <w:p w14:paraId="3718DE61" w14:textId="5DBC832E" w:rsidR="008B1757" w:rsidRPr="004A6040" w:rsidRDefault="00696EF9" w:rsidP="004A6040">
      <w:pPr>
        <w:pStyle w:val="TableFigureHeading"/>
        <w:rPr>
          <w:rStyle w:val="CommentReference"/>
          <w:b/>
          <w:szCs w:val="24"/>
        </w:rPr>
      </w:pPr>
      <w:bookmarkStart w:id="4" w:name="_Ref195274145"/>
      <w:r>
        <w:t xml:space="preserve">Table </w:t>
      </w:r>
      <w:r w:rsidR="001B5200">
        <w:fldChar w:fldCharType="begin" w:fldLock="1"/>
      </w:r>
      <w:r w:rsidR="001B5200">
        <w:instrText xml:space="preserve"> SEQ Table \* ARABIC </w:instrText>
      </w:r>
      <w:r w:rsidR="001B5200">
        <w:fldChar w:fldCharType="separate"/>
      </w:r>
      <w:r w:rsidR="001B5200">
        <w:rPr>
          <w:noProof/>
        </w:rPr>
        <w:t>1</w:t>
      </w:r>
      <w:r w:rsidR="001B5200">
        <w:rPr>
          <w:noProof/>
        </w:rPr>
        <w:fldChar w:fldCharType="end"/>
      </w:r>
      <w:bookmarkEnd w:id="4"/>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271"/>
        <w:gridCol w:w="7746"/>
      </w:tblGrid>
      <w:tr w:rsidR="008B1757" w:rsidRPr="00691913" w14:paraId="569F5103" w14:textId="77777777" w:rsidTr="00BB087B">
        <w:trPr>
          <w:cantSplit/>
          <w:tblHeader/>
        </w:trPr>
        <w:tc>
          <w:tcPr>
            <w:tcW w:w="705" w:type="pct"/>
          </w:tcPr>
          <w:p w14:paraId="501803FB" w14:textId="77777777" w:rsidR="008B1757" w:rsidRPr="008B1757" w:rsidRDefault="008B1757" w:rsidP="004A6040">
            <w:pPr>
              <w:pStyle w:val="In-tableHeading"/>
              <w:rPr>
                <w:szCs w:val="20"/>
              </w:rPr>
            </w:pPr>
            <w:r w:rsidRPr="008B1757">
              <w:t>Component</w:t>
            </w:r>
          </w:p>
        </w:tc>
        <w:tc>
          <w:tcPr>
            <w:tcW w:w="4295" w:type="pct"/>
          </w:tcPr>
          <w:p w14:paraId="445D9EBB" w14:textId="77777777" w:rsidR="008B1757" w:rsidRPr="008B1757" w:rsidRDefault="008B1757" w:rsidP="004A6040">
            <w:pPr>
              <w:pStyle w:val="In-tableHeading"/>
            </w:pPr>
            <w:r w:rsidRPr="008B1757">
              <w:t>Description</w:t>
            </w:r>
          </w:p>
        </w:tc>
      </w:tr>
      <w:tr w:rsidR="008B1757" w:rsidRPr="00691913" w14:paraId="2EB546E2" w14:textId="77777777" w:rsidTr="00BB087B">
        <w:trPr>
          <w:cantSplit/>
        </w:trPr>
        <w:tc>
          <w:tcPr>
            <w:tcW w:w="705" w:type="pct"/>
          </w:tcPr>
          <w:p w14:paraId="38F3BB34" w14:textId="77777777" w:rsidR="008B1757" w:rsidRPr="00691913" w:rsidRDefault="008B1757" w:rsidP="004A6040">
            <w:pPr>
              <w:pStyle w:val="TableText0"/>
            </w:pPr>
            <w:r w:rsidRPr="00691913">
              <w:t>Population</w:t>
            </w:r>
          </w:p>
        </w:tc>
        <w:tc>
          <w:tcPr>
            <w:tcW w:w="4295" w:type="pct"/>
          </w:tcPr>
          <w:p w14:paraId="79618EEE" w14:textId="6524ECB5" w:rsidR="00233C01" w:rsidRPr="001E1E86" w:rsidRDefault="00BB087B" w:rsidP="00233C01">
            <w:pPr>
              <w:pStyle w:val="TableText0"/>
              <w:rPr>
                <w:szCs w:val="20"/>
              </w:rPr>
            </w:pPr>
            <w:r w:rsidRPr="00BB087B">
              <w:t>Topical treatment of chronic stable plaque type psoriasis of the scalp and body in adults.</w:t>
            </w:r>
          </w:p>
        </w:tc>
      </w:tr>
      <w:tr w:rsidR="008B1757" w:rsidRPr="00691913" w14:paraId="0CA523AF" w14:textId="77777777" w:rsidTr="00BB087B">
        <w:trPr>
          <w:cantSplit/>
        </w:trPr>
        <w:tc>
          <w:tcPr>
            <w:tcW w:w="705" w:type="pct"/>
          </w:tcPr>
          <w:p w14:paraId="7B6D20D8" w14:textId="77777777" w:rsidR="008B1757" w:rsidRPr="00691913" w:rsidRDefault="008B1757" w:rsidP="004A6040">
            <w:pPr>
              <w:pStyle w:val="TableText0"/>
            </w:pPr>
            <w:r w:rsidRPr="00691913">
              <w:t>Intervention</w:t>
            </w:r>
          </w:p>
        </w:tc>
        <w:tc>
          <w:tcPr>
            <w:tcW w:w="4295" w:type="pct"/>
          </w:tcPr>
          <w:p w14:paraId="2491E905" w14:textId="01A94EFA" w:rsidR="00233C01" w:rsidRPr="00691913" w:rsidRDefault="00BB087B" w:rsidP="00D43D83">
            <w:pPr>
              <w:pStyle w:val="TableText0"/>
            </w:pPr>
            <w:r w:rsidRPr="00BB087B">
              <w:t>Calcipotriol 50 microgram/g and betamethasone (as dipropionate) 500 microgram/g cream, 60 g</w:t>
            </w:r>
            <w:r w:rsidR="00D15121">
              <w:t>.</w:t>
            </w:r>
          </w:p>
        </w:tc>
      </w:tr>
      <w:tr w:rsidR="008B1757" w:rsidRPr="00691913" w14:paraId="0F81EBE4" w14:textId="77777777" w:rsidTr="00BB087B">
        <w:trPr>
          <w:cantSplit/>
        </w:trPr>
        <w:tc>
          <w:tcPr>
            <w:tcW w:w="705" w:type="pct"/>
          </w:tcPr>
          <w:p w14:paraId="3656B343" w14:textId="77777777" w:rsidR="008B1757" w:rsidRPr="00691913" w:rsidRDefault="008B1757" w:rsidP="004A6040">
            <w:pPr>
              <w:pStyle w:val="TableText0"/>
            </w:pPr>
            <w:r w:rsidRPr="00691913">
              <w:t>Comparator</w:t>
            </w:r>
          </w:p>
        </w:tc>
        <w:tc>
          <w:tcPr>
            <w:tcW w:w="4295" w:type="pct"/>
          </w:tcPr>
          <w:p w14:paraId="44F0A2F8" w14:textId="054AE8D9" w:rsidR="00BB087B" w:rsidRPr="00BB087B" w:rsidRDefault="00BB087B" w:rsidP="00BB087B">
            <w:pPr>
              <w:pStyle w:val="TableText0"/>
            </w:pPr>
            <w:r w:rsidRPr="00BB087B">
              <w:t>Primary: calcipotriol 50 microgram/g and betamethasone (as dipropionate) 500 microgram/g foam, 60</w:t>
            </w:r>
            <w:r w:rsidR="00167A95">
              <w:t> </w:t>
            </w:r>
            <w:r w:rsidRPr="00BB087B">
              <w:t>g</w:t>
            </w:r>
          </w:p>
          <w:p w14:paraId="3727DE24" w14:textId="28BFEF26" w:rsidR="00233C01" w:rsidRPr="00691913" w:rsidRDefault="00BB087B" w:rsidP="001E1E86">
            <w:pPr>
              <w:pStyle w:val="TableText0"/>
            </w:pPr>
            <w:r w:rsidRPr="00BB087B">
              <w:t>Secondary: calcipotriol 50 microgram/g and betamethasone (as dipropionate) 500 microgram/g ointment, 30</w:t>
            </w:r>
            <w:r w:rsidR="00167A95">
              <w:t> </w:t>
            </w:r>
            <w:r w:rsidRPr="00BB087B">
              <w:t>g</w:t>
            </w:r>
            <w:r w:rsidR="00D15121">
              <w:t>.</w:t>
            </w:r>
          </w:p>
        </w:tc>
      </w:tr>
      <w:tr w:rsidR="008B1757" w:rsidRPr="00691913" w14:paraId="02F86F0D" w14:textId="77777777" w:rsidTr="00BB087B">
        <w:trPr>
          <w:cantSplit/>
        </w:trPr>
        <w:tc>
          <w:tcPr>
            <w:tcW w:w="705" w:type="pct"/>
          </w:tcPr>
          <w:p w14:paraId="06433105" w14:textId="77777777" w:rsidR="008B1757" w:rsidRPr="00691913" w:rsidRDefault="008B1757" w:rsidP="004A6040">
            <w:pPr>
              <w:pStyle w:val="TableText0"/>
            </w:pPr>
            <w:r w:rsidRPr="00691913">
              <w:t>Outcomes</w:t>
            </w:r>
          </w:p>
        </w:tc>
        <w:tc>
          <w:tcPr>
            <w:tcW w:w="4295" w:type="pct"/>
          </w:tcPr>
          <w:p w14:paraId="67040E74" w14:textId="77777777" w:rsidR="00BB087B" w:rsidRPr="00BB087B" w:rsidRDefault="00BB087B" w:rsidP="00BB087B">
            <w:pPr>
              <w:pStyle w:val="TableText0"/>
            </w:pPr>
            <w:r w:rsidRPr="00BB087B">
              <w:t xml:space="preserve">Efficacy outcomes include PGA and </w:t>
            </w:r>
            <w:proofErr w:type="spellStart"/>
            <w:r w:rsidRPr="00BB087B">
              <w:t>mPASI</w:t>
            </w:r>
            <w:proofErr w:type="spellEnd"/>
          </w:p>
          <w:p w14:paraId="5ABC4037" w14:textId="7C0818A8" w:rsidR="00233C01" w:rsidRPr="00BB087B" w:rsidRDefault="00BB087B" w:rsidP="004A6040">
            <w:pPr>
              <w:pStyle w:val="TableText0"/>
            </w:pPr>
            <w:r w:rsidRPr="00BB087B">
              <w:t>Quality of life outcomes include PTCS, SGA, DLQI, EQ-5D and EQ-VAS, itch by NRS</w:t>
            </w:r>
            <w:r w:rsidR="00D15121">
              <w:t>.</w:t>
            </w:r>
          </w:p>
        </w:tc>
      </w:tr>
      <w:tr w:rsidR="008B1757" w:rsidRPr="00691913" w14:paraId="22223890" w14:textId="77777777" w:rsidTr="00BB087B">
        <w:trPr>
          <w:cantSplit/>
        </w:trPr>
        <w:tc>
          <w:tcPr>
            <w:tcW w:w="705" w:type="pct"/>
          </w:tcPr>
          <w:p w14:paraId="0FC8FCE0" w14:textId="77777777" w:rsidR="008B1757" w:rsidRPr="00691913" w:rsidRDefault="008B1757" w:rsidP="004A6040">
            <w:pPr>
              <w:pStyle w:val="TableText0"/>
            </w:pPr>
            <w:r w:rsidRPr="00691913">
              <w:t>Clinical claim</w:t>
            </w:r>
          </w:p>
        </w:tc>
        <w:tc>
          <w:tcPr>
            <w:tcW w:w="4295" w:type="pct"/>
          </w:tcPr>
          <w:p w14:paraId="2C99C4DE" w14:textId="1CD75A84" w:rsidR="00233C01" w:rsidRPr="00BB087B" w:rsidRDefault="00BB087B" w:rsidP="00D43D83">
            <w:pPr>
              <w:pStyle w:val="TableText0"/>
            </w:pPr>
            <w:r w:rsidRPr="00BB087B">
              <w:t>In patients with chronic stable plaque-type psoriasis, CAL/BDP cream is superior in terms of efficacy and non-inferior in terms of safety when compared with CAL/BDP ointment and non-inferior in terms of safety and efficacy when compared with CAL/BDP foam.</w:t>
            </w:r>
          </w:p>
        </w:tc>
      </w:tr>
    </w:tbl>
    <w:p w14:paraId="122F9AE4" w14:textId="039625FC" w:rsidR="00504295" w:rsidRDefault="008B1757" w:rsidP="00504295">
      <w:pPr>
        <w:pStyle w:val="FooterTableFigure"/>
      </w:pPr>
      <w:r>
        <w:t>Source: Table</w:t>
      </w:r>
      <w:r w:rsidR="00504295">
        <w:t xml:space="preserve"> 1-2, p16</w:t>
      </w:r>
      <w:r>
        <w:t xml:space="preserve"> </w:t>
      </w:r>
      <w:r w:rsidRPr="00D13A3E">
        <w:t xml:space="preserve">of the </w:t>
      </w:r>
      <w:r>
        <w:t>submission</w:t>
      </w:r>
      <w:r w:rsidR="00504295">
        <w:t>.</w:t>
      </w:r>
    </w:p>
    <w:p w14:paraId="527CA7F0" w14:textId="58C7B068" w:rsidR="004E43B2" w:rsidRPr="004A6040" w:rsidRDefault="00504295" w:rsidP="004A6040">
      <w:pPr>
        <w:pStyle w:val="FooterTableFigure"/>
        <w:rPr>
          <w:sz w:val="20"/>
        </w:rPr>
      </w:pPr>
      <w:r>
        <w:t>CAL/BDP = calcipotriol 50 microgram/g and betamethasone 500 microgram</w:t>
      </w:r>
      <w:r w:rsidR="00F841B2">
        <w:t>/g</w:t>
      </w:r>
      <w:r>
        <w:t>; DLQI = Dermatology Life Quality Index; EQ-5D = European Quality-</w:t>
      </w:r>
      <w:r w:rsidR="00D65AEF">
        <w:t>o</w:t>
      </w:r>
      <w:r>
        <w:t xml:space="preserve">f-life Five Dimensions questionnaire; EQ-VAS = EQ-5D Visual Analogue Scale; </w:t>
      </w:r>
      <w:proofErr w:type="spellStart"/>
      <w:r>
        <w:t>mPASI</w:t>
      </w:r>
      <w:proofErr w:type="spellEnd"/>
      <w:r>
        <w:t xml:space="preserve"> = Modified Psoriasis Area and Severity Index; NRS = numerical rating scale; PGA = Physician</w:t>
      </w:r>
      <w:r w:rsidR="005B022D">
        <w:t>’</w:t>
      </w:r>
      <w:r>
        <w:t>s Global Assessment</w:t>
      </w:r>
      <w:r w:rsidR="0079463B">
        <w:t>;</w:t>
      </w:r>
      <w:r>
        <w:t xml:space="preserve"> PTCS = Psoriasis Treatment Convenience Scale; SGA</w:t>
      </w:r>
      <w:r w:rsidR="00C14E99">
        <w:t> </w:t>
      </w:r>
      <w:r>
        <w:t>=</w:t>
      </w:r>
      <w:r w:rsidR="00C14E99">
        <w:t> </w:t>
      </w:r>
      <w:r>
        <w:t>Subjects’ Global Assessment of disease severity.</w:t>
      </w:r>
    </w:p>
    <w:p w14:paraId="6B4AB6C2" w14:textId="7F01D731" w:rsidR="005C25FF" w:rsidRPr="00407F2D" w:rsidRDefault="005C25FF" w:rsidP="004A6040">
      <w:pPr>
        <w:pStyle w:val="2-SectionHeading"/>
      </w:pPr>
      <w:bookmarkStart w:id="5" w:name="_Toc198632849"/>
      <w:r w:rsidRPr="00407F2D">
        <w:t>Background</w:t>
      </w:r>
      <w:bookmarkEnd w:id="5"/>
    </w:p>
    <w:p w14:paraId="2C521D6D" w14:textId="78CF03EE" w:rsidR="005C25FF" w:rsidRPr="004151CF" w:rsidRDefault="005C25FF" w:rsidP="004A6040">
      <w:pPr>
        <w:pStyle w:val="4-SubsectionHeading"/>
      </w:pPr>
      <w:bookmarkStart w:id="6" w:name="_Toc22897638"/>
      <w:bookmarkStart w:id="7" w:name="_Toc198632850"/>
      <w:r w:rsidRPr="004151CF">
        <w:t>Registration status</w:t>
      </w:r>
      <w:bookmarkEnd w:id="6"/>
      <w:bookmarkEnd w:id="7"/>
    </w:p>
    <w:p w14:paraId="2296EB29" w14:textId="16C11B0D" w:rsidR="00232321" w:rsidRDefault="004373DF" w:rsidP="00B7760B">
      <w:pPr>
        <w:pStyle w:val="3-BodyText"/>
        <w:ind w:left="709"/>
      </w:pPr>
      <w:r w:rsidRPr="00DE6833">
        <w:t>CAL/BDP</w:t>
      </w:r>
      <w:r w:rsidRPr="004373DF">
        <w:t xml:space="preserve"> cream was </w:t>
      </w:r>
      <w:r w:rsidR="00DE6833">
        <w:t>Therapeutic Goods Administration (</w:t>
      </w:r>
      <w:r w:rsidRPr="004373DF">
        <w:t>TGA</w:t>
      </w:r>
      <w:r w:rsidR="00DE6833">
        <w:t>)</w:t>
      </w:r>
      <w:r w:rsidRPr="004373DF">
        <w:t xml:space="preserve"> registered on 25</w:t>
      </w:r>
      <w:r w:rsidR="00DE6833">
        <w:t> </w:t>
      </w:r>
      <w:r w:rsidRPr="004373DF">
        <w:t>November 2024 for</w:t>
      </w:r>
      <w:r w:rsidR="00232321">
        <w:t>:</w:t>
      </w:r>
      <w:r w:rsidRPr="004373DF">
        <w:t xml:space="preserve"> </w:t>
      </w:r>
    </w:p>
    <w:p w14:paraId="215B8F13" w14:textId="366740F5" w:rsidR="00232321" w:rsidRDefault="004373DF" w:rsidP="001B23ED">
      <w:pPr>
        <w:pStyle w:val="ListParagraph"/>
        <w:ind w:left="1080"/>
      </w:pPr>
      <w:r w:rsidRPr="004373DF">
        <w:t xml:space="preserve">topical treatment of scalp psoriasis </w:t>
      </w:r>
    </w:p>
    <w:p w14:paraId="73885476" w14:textId="35B3CDC4" w:rsidR="00232321" w:rsidRDefault="004373DF" w:rsidP="001B23ED">
      <w:pPr>
        <w:pStyle w:val="ListParagraph"/>
        <w:ind w:left="1080"/>
      </w:pPr>
      <w:r>
        <w:lastRenderedPageBreak/>
        <w:t>topical treatment of mild to moderate plaque psoriasis on the body in adults.</w:t>
      </w:r>
      <w:r w:rsidR="000B104D">
        <w:t xml:space="preserve"> </w:t>
      </w:r>
    </w:p>
    <w:p w14:paraId="269914DE" w14:textId="32C7F733" w:rsidR="00416AD7" w:rsidRDefault="00CE397B" w:rsidP="005D2264">
      <w:pPr>
        <w:spacing w:after="240"/>
        <w:ind w:left="720"/>
      </w:pPr>
      <w:r>
        <w:t>Based on the Product Information (PI)</w:t>
      </w:r>
      <w:r w:rsidR="00A771FB">
        <w:t>, t</w:t>
      </w:r>
      <w:r w:rsidR="00D1247A">
        <w:t>he cream should be applied to affected area</w:t>
      </w:r>
      <w:r w:rsidR="00036D0F">
        <w:t>s</w:t>
      </w:r>
      <w:r w:rsidR="007D33FE">
        <w:t xml:space="preserve"> once daily for </w:t>
      </w:r>
      <w:r w:rsidR="00B80AFE">
        <w:t>up to 8 weeks</w:t>
      </w:r>
      <w:r w:rsidR="001731E7">
        <w:t>, and treatment should be discontinued</w:t>
      </w:r>
      <w:r w:rsidR="004C5369">
        <w:t xml:space="preserve"> when control is achieved</w:t>
      </w:r>
      <w:r w:rsidR="00361F86">
        <w:t xml:space="preserve">. </w:t>
      </w:r>
      <w:r>
        <w:t xml:space="preserve">Due to the content of calcipotriol, the maximum daily dose should not exceed 15 </w:t>
      </w:r>
      <w:r w:rsidR="003E437E">
        <w:t>g,</w:t>
      </w:r>
      <w:r>
        <w:t xml:space="preserve"> the maximum weekly dose should not exceed 100 g</w:t>
      </w:r>
      <w:r w:rsidR="00121DDF">
        <w:t>,</w:t>
      </w:r>
      <w:r w:rsidR="00A771FB">
        <w:t xml:space="preserve"> and the</w:t>
      </w:r>
      <w:r>
        <w:t xml:space="preserve"> </w:t>
      </w:r>
      <w:r w:rsidR="00A637F5">
        <w:t xml:space="preserve">treated </w:t>
      </w:r>
      <w:r w:rsidR="00A771FB">
        <w:t xml:space="preserve">body surface area </w:t>
      </w:r>
      <w:r w:rsidR="00A637F5">
        <w:t xml:space="preserve">(BSA) </w:t>
      </w:r>
      <w:r>
        <w:t>should not exceed 30</w:t>
      </w:r>
      <w:r w:rsidR="00A771FB">
        <w:t>%</w:t>
      </w:r>
      <w:r w:rsidR="00656B72">
        <w:t xml:space="preserve"> (</w:t>
      </w:r>
      <w:proofErr w:type="spellStart"/>
      <w:r w:rsidR="00656B72">
        <w:t>Wynzora</w:t>
      </w:r>
      <w:proofErr w:type="spellEnd"/>
      <w:r w:rsidR="009B5092">
        <w:rPr>
          <w:rFonts w:cs="Calibri"/>
        </w:rPr>
        <w:t>®</w:t>
      </w:r>
      <w:r w:rsidR="00656B72">
        <w:t xml:space="preserve"> PI)</w:t>
      </w:r>
      <w:r w:rsidR="00A771FB">
        <w:t>.</w:t>
      </w:r>
    </w:p>
    <w:p w14:paraId="2829C5F7" w14:textId="123D42DA" w:rsidR="00837DFD" w:rsidRDefault="00837DFD" w:rsidP="00B7760B">
      <w:pPr>
        <w:pStyle w:val="3-BodyText"/>
        <w:spacing w:line="259" w:lineRule="auto"/>
        <w:ind w:left="709"/>
      </w:pPr>
      <w:r>
        <w:t>T</w:t>
      </w:r>
      <w:r w:rsidRPr="6731B205">
        <w:t xml:space="preserve">he approved TGA indication for CAL/BDP cream </w:t>
      </w:r>
      <w:r w:rsidR="0001502B">
        <w:t>i</w:t>
      </w:r>
      <w:r w:rsidRPr="6731B205">
        <w:t xml:space="preserve">s consistent with those of the ointment and foam, the relevant comparators in the submission, except that the indications for the CAL/BDP foam and ointment do not specify use on the scalp or body. Specifically, the approved indication for </w:t>
      </w:r>
      <w:r w:rsidR="0001502B">
        <w:t>the</w:t>
      </w:r>
      <w:r w:rsidRPr="6731B205">
        <w:t xml:space="preserve"> foam </w:t>
      </w:r>
      <w:r w:rsidR="00634DAF">
        <w:t>is</w:t>
      </w:r>
      <w:r w:rsidRPr="6731B205">
        <w:t xml:space="preserve"> “topical treatment of psoriasis vulgaris in adults”</w:t>
      </w:r>
      <w:r w:rsidR="00634DAF">
        <w:t xml:space="preserve"> and for ointment </w:t>
      </w:r>
      <w:r w:rsidR="00634DAF" w:rsidRPr="007F3B2E">
        <w:t>“</w:t>
      </w:r>
      <w:r w:rsidR="00B840F5" w:rsidRPr="007F3B2E">
        <w:t>indicated for the once daily topical treatment of plaque-type psoriasis vulgaris amenable to topical therapy”</w:t>
      </w:r>
      <w:r w:rsidRPr="007F3B2E">
        <w:t>.</w:t>
      </w:r>
      <w:r w:rsidRPr="6731B205">
        <w:t xml:space="preserve"> Furthermore, disease severity is not specified in the approved indications for CAL/BDP foam and ointment.</w:t>
      </w:r>
    </w:p>
    <w:p w14:paraId="5F490816" w14:textId="08E29B2D" w:rsidR="00416AD7" w:rsidRPr="004373DF" w:rsidRDefault="00416AD7" w:rsidP="00416AD7">
      <w:pPr>
        <w:pStyle w:val="4-SubsectionHeading"/>
      </w:pPr>
      <w:bookmarkStart w:id="8" w:name="_Toc198632851"/>
      <w:r>
        <w:t>Previous PBAC consideration</w:t>
      </w:r>
      <w:bookmarkEnd w:id="8"/>
    </w:p>
    <w:p w14:paraId="330AAE8C" w14:textId="77777777" w:rsidR="00733FA6" w:rsidRDefault="00BF53AE" w:rsidP="00B7760B">
      <w:pPr>
        <w:pStyle w:val="3-BodyText"/>
        <w:spacing w:line="259" w:lineRule="auto"/>
        <w:ind w:left="709"/>
      </w:pPr>
      <w:bookmarkStart w:id="9" w:name="_Ref195792522"/>
      <w:r>
        <w:t>This is the first consideration of</w:t>
      </w:r>
      <w:r w:rsidR="002021D8">
        <w:t xml:space="preserve"> CAL/BDP cream</w:t>
      </w:r>
      <w:r w:rsidR="00DB264B">
        <w:t xml:space="preserve"> by the </w:t>
      </w:r>
      <w:r w:rsidR="00D3633B">
        <w:t>Pharmaceutical Benefits Advisory Committee (</w:t>
      </w:r>
      <w:r w:rsidR="00DB264B">
        <w:t>PBAC</w:t>
      </w:r>
      <w:r w:rsidR="00D3633B">
        <w:t>)</w:t>
      </w:r>
      <w:r w:rsidR="002021D8">
        <w:t xml:space="preserve">. </w:t>
      </w:r>
    </w:p>
    <w:p w14:paraId="59BE4D47" w14:textId="7FC77D23" w:rsidR="00733FA6" w:rsidRDefault="00BA5B4D" w:rsidP="001B23ED">
      <w:pPr>
        <w:pStyle w:val="ListParagraph"/>
        <w:ind w:left="1080"/>
      </w:pPr>
      <w:r>
        <w:t>T</w:t>
      </w:r>
      <w:r w:rsidR="00191AB6">
        <w:t xml:space="preserve">he </w:t>
      </w:r>
      <w:r w:rsidR="00F30EF0">
        <w:t xml:space="preserve">PBAC recommended </w:t>
      </w:r>
      <w:r w:rsidR="006D1F6D">
        <w:t xml:space="preserve">listing </w:t>
      </w:r>
      <w:r w:rsidR="00F30EF0">
        <w:t xml:space="preserve">a 30 g </w:t>
      </w:r>
      <w:r w:rsidR="005374ED">
        <w:t>CAL/BDP</w:t>
      </w:r>
      <w:r w:rsidR="00F30EF0">
        <w:t xml:space="preserve"> ointment</w:t>
      </w:r>
      <w:r>
        <w:t xml:space="preserve"> in July 2009</w:t>
      </w:r>
      <w:r w:rsidR="006A3BC9">
        <w:t>,</w:t>
      </w:r>
      <w:r w:rsidR="00995DC1">
        <w:t xml:space="preserve"> as a Restricted Benefit on a </w:t>
      </w:r>
      <w:r w:rsidR="006E2C70">
        <w:t xml:space="preserve">cost-minimisation basis compared with the individual components for use </w:t>
      </w:r>
      <w:r w:rsidR="00AD459B">
        <w:t>in the treatment of chronic stable plaque psoriasis in a patient not adequate</w:t>
      </w:r>
      <w:r w:rsidR="00552050">
        <w:t>ly</w:t>
      </w:r>
      <w:r w:rsidR="00AD459B">
        <w:t xml:space="preserve"> controlled with either calcipotriol </w:t>
      </w:r>
      <w:r w:rsidR="00320EA4">
        <w:t xml:space="preserve">or potent </w:t>
      </w:r>
      <w:r w:rsidR="00EB072E">
        <w:t>TCS</w:t>
      </w:r>
      <w:r w:rsidR="00320EA4">
        <w:t xml:space="preserve"> monotherapy (Section 12, calcipotriol with betamethasone dipropionate</w:t>
      </w:r>
      <w:r w:rsidR="00E04AF7">
        <w:t>,</w:t>
      </w:r>
      <w:r w:rsidR="00320EA4">
        <w:t xml:space="preserve"> Public Summary Document (PSD), July 2009 PBAC meeting).</w:t>
      </w:r>
      <w:r w:rsidR="006A3BC9">
        <w:t xml:space="preserve"> </w:t>
      </w:r>
    </w:p>
    <w:p w14:paraId="1EF8BC9A" w14:textId="0466D7CC" w:rsidR="00733FA6" w:rsidRDefault="00320EA4" w:rsidP="001B23ED">
      <w:pPr>
        <w:pStyle w:val="ListParagraph"/>
        <w:ind w:left="1080"/>
      </w:pPr>
      <w:r>
        <w:t>The PBAC recommended listing</w:t>
      </w:r>
      <w:r w:rsidR="006A3BC9">
        <w:t xml:space="preserve"> a</w:t>
      </w:r>
      <w:r w:rsidR="00A53921">
        <w:t xml:space="preserve"> </w:t>
      </w:r>
      <w:r w:rsidR="005E2A3E">
        <w:t xml:space="preserve">30 g and </w:t>
      </w:r>
      <w:r w:rsidR="290C71C4">
        <w:t>60</w:t>
      </w:r>
      <w:r w:rsidR="7C244A8E">
        <w:t xml:space="preserve"> </w:t>
      </w:r>
      <w:r w:rsidR="290C71C4">
        <w:t>g</w:t>
      </w:r>
      <w:r w:rsidR="005E2A3E">
        <w:t xml:space="preserve"> CAL/BDP gel </w:t>
      </w:r>
      <w:r w:rsidR="00A534FA">
        <w:t>in November 2015,</w:t>
      </w:r>
      <w:r w:rsidR="005E2A3E">
        <w:t xml:space="preserve"> </w:t>
      </w:r>
      <w:r w:rsidR="00286DDF">
        <w:t xml:space="preserve"> </w:t>
      </w:r>
      <w:r w:rsidR="005E2A3E">
        <w:t>on a cost-minimisation basis to the ointment</w:t>
      </w:r>
      <w:r w:rsidR="6FA0254B">
        <w:t xml:space="preserve"> formulation</w:t>
      </w:r>
      <w:r w:rsidR="00E202D9">
        <w:t xml:space="preserve"> (paragraph 6.27, calcipotri</w:t>
      </w:r>
      <w:r w:rsidR="00DE003D">
        <w:t>o</w:t>
      </w:r>
      <w:r w:rsidR="00E202D9">
        <w:t>l with betamethasone dipropionate</w:t>
      </w:r>
      <w:r w:rsidR="00E04AF7">
        <w:t>,</w:t>
      </w:r>
      <w:r w:rsidR="00E202D9">
        <w:t xml:space="preserve"> PSD, Nov 2015 PBAC meeting)</w:t>
      </w:r>
      <w:r w:rsidR="28365534">
        <w:t>.</w:t>
      </w:r>
      <w:r w:rsidR="005E2A3E">
        <w:t xml:space="preserve"> </w:t>
      </w:r>
    </w:p>
    <w:p w14:paraId="1CA5BBF1" w14:textId="1E3283BC" w:rsidR="004C534A" w:rsidRDefault="005E2A3E" w:rsidP="001B23ED">
      <w:pPr>
        <w:pStyle w:val="ListParagraph"/>
        <w:ind w:left="1080"/>
      </w:pPr>
      <w:r>
        <w:t xml:space="preserve">In November 2016, the PBAC recommended listing a </w:t>
      </w:r>
      <w:r w:rsidR="00A53921">
        <w:t xml:space="preserve">60 g </w:t>
      </w:r>
      <w:r w:rsidR="005374ED">
        <w:t>CAL/BDP foam formulation</w:t>
      </w:r>
      <w:r w:rsidR="00107348">
        <w:t>, on a cost-utility bas</w:t>
      </w:r>
      <w:r w:rsidR="00D3407E">
        <w:t xml:space="preserve">is </w:t>
      </w:r>
      <w:r w:rsidR="004C4644">
        <w:t>against the ointment</w:t>
      </w:r>
      <w:r w:rsidR="006659D3">
        <w:t xml:space="preserve"> (paragraph 7.1, calcipotriol with betamethasone dipropionate</w:t>
      </w:r>
      <w:r w:rsidR="00E04AF7">
        <w:t>,</w:t>
      </w:r>
      <w:r w:rsidR="006659D3">
        <w:t xml:space="preserve"> PSD, Nov 2016)</w:t>
      </w:r>
      <w:r w:rsidR="00D3407E">
        <w:t>.</w:t>
      </w:r>
      <w:r w:rsidR="00A534FA">
        <w:t xml:space="preserve"> </w:t>
      </w:r>
    </w:p>
    <w:p w14:paraId="3FA14A13" w14:textId="16B3A40C" w:rsidR="005F3767" w:rsidRPr="00433FE0" w:rsidRDefault="00D3407E" w:rsidP="00B7760B">
      <w:pPr>
        <w:pStyle w:val="3-BodyText"/>
        <w:spacing w:line="259" w:lineRule="auto"/>
        <w:ind w:left="709"/>
      </w:pPr>
      <w:r>
        <w:t xml:space="preserve">Currently, only </w:t>
      </w:r>
      <w:r w:rsidR="0080201E">
        <w:t xml:space="preserve">the CAL/BDP </w:t>
      </w:r>
      <w:r w:rsidR="007E5F70">
        <w:t xml:space="preserve">30 g </w:t>
      </w:r>
      <w:r>
        <w:t xml:space="preserve">ointment and </w:t>
      </w:r>
      <w:r w:rsidR="00373A12">
        <w:t xml:space="preserve">60 g </w:t>
      </w:r>
      <w:r>
        <w:t xml:space="preserve">foam are listed on the </w:t>
      </w:r>
      <w:r w:rsidR="00373A12" w:rsidRPr="00433FE0">
        <w:t>Pharmaceutical Benefits Scheme (</w:t>
      </w:r>
      <w:r w:rsidRPr="00433FE0">
        <w:t>PBS</w:t>
      </w:r>
      <w:r w:rsidR="00373A12" w:rsidRPr="00433FE0">
        <w:t>)</w:t>
      </w:r>
      <w:r w:rsidRPr="00433FE0">
        <w:t xml:space="preserve"> for the treatment of chronic stable plaque type psoriasis</w:t>
      </w:r>
      <w:r w:rsidR="001E5184" w:rsidRPr="00433FE0">
        <w:t xml:space="preserve"> that is inadequately controlled by potent </w:t>
      </w:r>
      <w:r w:rsidR="00EB072E" w:rsidRPr="00433FE0">
        <w:t>TCS</w:t>
      </w:r>
      <w:r w:rsidR="001E5184" w:rsidRPr="00433FE0">
        <w:t xml:space="preserve"> monotherapy</w:t>
      </w:r>
      <w:r w:rsidR="00EF7439" w:rsidRPr="00433FE0">
        <w:t>.</w:t>
      </w:r>
      <w:r w:rsidR="008B7064" w:rsidRPr="00433FE0">
        <w:t xml:space="preserve"> </w:t>
      </w:r>
      <w:r w:rsidR="00EF7439" w:rsidRPr="00433FE0">
        <w:t>T</w:t>
      </w:r>
      <w:r w:rsidR="008B7064" w:rsidRPr="00433FE0">
        <w:t xml:space="preserve">he gel </w:t>
      </w:r>
      <w:r w:rsidR="00652AE5" w:rsidRPr="00433FE0">
        <w:t xml:space="preserve">(60 g) </w:t>
      </w:r>
      <w:r w:rsidR="008B7064" w:rsidRPr="00433FE0">
        <w:t>was</w:t>
      </w:r>
      <w:r w:rsidR="0021200E" w:rsidRPr="00433FE0">
        <w:t xml:space="preserve"> </w:t>
      </w:r>
      <w:r w:rsidR="008D15E2" w:rsidRPr="00433FE0">
        <w:t xml:space="preserve">delisted from the PBS </w:t>
      </w:r>
      <w:r w:rsidR="0078193E" w:rsidRPr="00433FE0">
        <w:t>in</w:t>
      </w:r>
      <w:r w:rsidR="00352C4D" w:rsidRPr="00433FE0">
        <w:t xml:space="preserve"> November 2022 after </w:t>
      </w:r>
      <w:r w:rsidR="00241F4B" w:rsidRPr="00433FE0">
        <w:t>becoming Supply Only in November </w:t>
      </w:r>
      <w:r w:rsidR="0021200E" w:rsidRPr="00433FE0">
        <w:t>2021</w:t>
      </w:r>
      <w:r w:rsidR="006D3616" w:rsidRPr="00433FE0">
        <w:t xml:space="preserve">, and the 30 g gel was delisted from the PBS </w:t>
      </w:r>
      <w:r w:rsidR="0078193E" w:rsidRPr="00433FE0">
        <w:t>in August 2018</w:t>
      </w:r>
      <w:r w:rsidR="0021200E" w:rsidRPr="00433FE0">
        <w:t>.</w:t>
      </w:r>
      <w:bookmarkEnd w:id="9"/>
    </w:p>
    <w:p w14:paraId="143AE09F" w14:textId="5A226E39" w:rsidR="00790A22" w:rsidRPr="00433FE0" w:rsidRDefault="005F3767" w:rsidP="005F3767">
      <w:pPr>
        <w:pStyle w:val="3-BodyText"/>
        <w:numPr>
          <w:ilvl w:val="0"/>
          <w:numId w:val="0"/>
        </w:numPr>
        <w:ind w:left="720"/>
        <w:rPr>
          <w:i/>
          <w:iCs/>
        </w:rPr>
      </w:pPr>
      <w:r w:rsidRPr="00433FE0">
        <w:rPr>
          <w:i/>
          <w:iCs/>
        </w:rPr>
        <w:t>For more detail on PBAC’s view, see section 7 PBAC outcome.</w:t>
      </w:r>
      <w:r w:rsidR="0021200E" w:rsidRPr="00433FE0">
        <w:rPr>
          <w:i/>
          <w:iCs/>
        </w:rPr>
        <w:t xml:space="preserve"> </w:t>
      </w:r>
    </w:p>
    <w:p w14:paraId="2C543F8B" w14:textId="45BD11FB" w:rsidR="009C6626" w:rsidRPr="00433FE0" w:rsidRDefault="00B50DB8" w:rsidP="00433FE0">
      <w:pPr>
        <w:pStyle w:val="2-SectionHeading"/>
      </w:pPr>
      <w:bookmarkStart w:id="10" w:name="_Toc107902078"/>
      <w:bookmarkStart w:id="11" w:name="_Toc198632852"/>
      <w:bookmarkEnd w:id="10"/>
      <w:r w:rsidRPr="00433FE0">
        <w:lastRenderedPageBreak/>
        <w:t>Requested listing</w:t>
      </w:r>
      <w:bookmarkEnd w:id="11"/>
    </w:p>
    <w:p w14:paraId="1A77E9AC" w14:textId="1ED27FA4" w:rsidR="00DA45A4" w:rsidRDefault="00DA45A4" w:rsidP="00B7760B">
      <w:pPr>
        <w:pStyle w:val="3-BodyText"/>
        <w:spacing w:line="259" w:lineRule="auto"/>
        <w:ind w:left="709"/>
      </w:pPr>
      <w:r w:rsidRPr="00433FE0">
        <w:t>The submission requested a Section 85 (General Schedule) Restricted Benefit listing for CAL/BDP cream</w:t>
      </w:r>
      <w:r w:rsidRPr="00B67C4C">
        <w:t xml:space="preserve"> consistent with the indication in the TGA-approved PI, and with the current PBS listings for CAL/BDP ointment (30 g) and foam (60 g) formulations.</w:t>
      </w:r>
    </w:p>
    <w:p w14:paraId="2E357DE0" w14:textId="464D9929" w:rsidR="0082789E" w:rsidRPr="009F5E8F" w:rsidRDefault="0082789E" w:rsidP="00B7760B">
      <w:pPr>
        <w:pStyle w:val="3-BodyText"/>
        <w:spacing w:line="259" w:lineRule="auto"/>
        <w:ind w:left="709"/>
        <w:rPr>
          <w:rFonts w:cstheme="minorHAnsi"/>
        </w:rPr>
      </w:pPr>
      <w:r w:rsidRPr="003D47CA">
        <w:t>Suggest</w:t>
      </w:r>
      <w:r w:rsidR="00415B64" w:rsidRPr="003D47CA">
        <w:t>ions and</w:t>
      </w:r>
      <w:r w:rsidRPr="003D47CA">
        <w:t xml:space="preserve"> additions</w:t>
      </w:r>
      <w:r w:rsidR="00415B64" w:rsidRPr="003D47CA">
        <w:t xml:space="preserve"> proposed by the Secretariat</w:t>
      </w:r>
      <w:r w:rsidRPr="003D47CA">
        <w:t xml:space="preserve"> are </w:t>
      </w:r>
      <w:r w:rsidR="00415B64" w:rsidRPr="003D47CA">
        <w:t xml:space="preserve">added </w:t>
      </w:r>
      <w:r w:rsidRPr="003D47CA">
        <w:t xml:space="preserve">in italics and </w:t>
      </w:r>
      <w:r w:rsidR="003D47CA" w:rsidRPr="003D47CA">
        <w:t xml:space="preserve">suggested </w:t>
      </w:r>
      <w:r w:rsidRPr="003D47CA">
        <w:t>deletions are</w:t>
      </w:r>
      <w:r w:rsidR="003D47CA" w:rsidRPr="003D47CA">
        <w:t xml:space="preserve"> crossed out</w:t>
      </w:r>
      <w:r w:rsidRPr="003D47CA">
        <w:t xml:space="preserve"> </w:t>
      </w:r>
      <w:r w:rsidR="003D47CA" w:rsidRPr="003D47CA">
        <w:t>with</w:t>
      </w:r>
      <w:r w:rsidRPr="003D47CA">
        <w:t xml:space="preserve"> strikethrough.</w:t>
      </w:r>
    </w:p>
    <w:tbl>
      <w:tblPr>
        <w:tblW w:w="506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2847"/>
        <w:gridCol w:w="1107"/>
        <w:gridCol w:w="846"/>
        <w:gridCol w:w="705"/>
        <w:gridCol w:w="705"/>
        <w:gridCol w:w="1837"/>
      </w:tblGrid>
      <w:tr w:rsidR="009F5E8F" w:rsidRPr="003D47CA" w14:paraId="00961DCE" w14:textId="77777777" w:rsidTr="001513A9">
        <w:trPr>
          <w:cantSplit/>
          <w:trHeight w:val="471"/>
        </w:trPr>
        <w:tc>
          <w:tcPr>
            <w:tcW w:w="2153" w:type="pct"/>
            <w:gridSpan w:val="2"/>
          </w:tcPr>
          <w:p w14:paraId="443B1038" w14:textId="77777777" w:rsidR="009F5E8F" w:rsidRPr="003D47CA" w:rsidRDefault="009F5E8F" w:rsidP="007C3C42">
            <w:pPr>
              <w:keepNext/>
              <w:ind w:left="-57"/>
              <w:rPr>
                <w:rFonts w:ascii="Arial Narrow" w:hAnsi="Arial Narrow"/>
                <w:b/>
                <w:bCs/>
                <w:sz w:val="20"/>
                <w:szCs w:val="20"/>
              </w:rPr>
            </w:pPr>
            <w:r w:rsidRPr="003D47CA">
              <w:rPr>
                <w:rFonts w:ascii="Arial Narrow" w:hAnsi="Arial Narrow"/>
                <w:b/>
                <w:bCs/>
                <w:sz w:val="20"/>
                <w:szCs w:val="20"/>
              </w:rPr>
              <w:t>MEDICINAL PRODUCT</w:t>
            </w:r>
          </w:p>
          <w:p w14:paraId="28EA0DA9" w14:textId="77777777" w:rsidR="009F5E8F" w:rsidRPr="003D47CA" w:rsidRDefault="009F5E8F" w:rsidP="007C3C42">
            <w:pPr>
              <w:keepNext/>
              <w:ind w:left="-57"/>
              <w:rPr>
                <w:rFonts w:ascii="Arial Narrow" w:hAnsi="Arial Narrow"/>
                <w:b/>
                <w:sz w:val="20"/>
                <w:szCs w:val="20"/>
              </w:rPr>
            </w:pPr>
            <w:r w:rsidRPr="003D47CA">
              <w:rPr>
                <w:rFonts w:ascii="Arial Narrow" w:hAnsi="Arial Narrow"/>
                <w:b/>
                <w:bCs/>
                <w:sz w:val="20"/>
                <w:szCs w:val="20"/>
              </w:rPr>
              <w:t>medicinal product pack</w:t>
            </w:r>
          </w:p>
        </w:tc>
        <w:tc>
          <w:tcPr>
            <w:tcW w:w="606" w:type="pct"/>
          </w:tcPr>
          <w:p w14:paraId="361AD3A7"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PBS item code</w:t>
            </w:r>
          </w:p>
        </w:tc>
        <w:tc>
          <w:tcPr>
            <w:tcW w:w="463" w:type="pct"/>
          </w:tcPr>
          <w:p w14:paraId="3E367D8B"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Max. qty packs</w:t>
            </w:r>
          </w:p>
        </w:tc>
        <w:tc>
          <w:tcPr>
            <w:tcW w:w="386" w:type="pct"/>
          </w:tcPr>
          <w:p w14:paraId="4B7B0919"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Max. qty units</w:t>
            </w:r>
          </w:p>
        </w:tc>
        <w:tc>
          <w:tcPr>
            <w:tcW w:w="386" w:type="pct"/>
          </w:tcPr>
          <w:p w14:paraId="4A18E87C"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№.of</w:t>
            </w:r>
          </w:p>
          <w:p w14:paraId="389BC62C"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Rpts</w:t>
            </w:r>
          </w:p>
        </w:tc>
        <w:tc>
          <w:tcPr>
            <w:tcW w:w="1006" w:type="pct"/>
          </w:tcPr>
          <w:p w14:paraId="4B0E59C1" w14:textId="77777777" w:rsidR="009F5E8F" w:rsidRPr="003D47CA" w:rsidRDefault="009F5E8F" w:rsidP="007C3C42">
            <w:pPr>
              <w:keepNext/>
              <w:rPr>
                <w:rFonts w:ascii="Arial Narrow" w:hAnsi="Arial Narrow"/>
                <w:b/>
                <w:sz w:val="20"/>
                <w:szCs w:val="20"/>
                <w:lang w:val="fr-FR"/>
              </w:rPr>
            </w:pPr>
            <w:r w:rsidRPr="003D47CA">
              <w:rPr>
                <w:rFonts w:ascii="Arial Narrow" w:hAnsi="Arial Narrow"/>
                <w:b/>
                <w:sz w:val="20"/>
                <w:szCs w:val="20"/>
              </w:rPr>
              <w:t>Available brands</w:t>
            </w:r>
          </w:p>
        </w:tc>
      </w:tr>
      <w:tr w:rsidR="009F5E8F" w:rsidRPr="003D47CA" w14:paraId="5C15924C" w14:textId="77777777" w:rsidTr="009F5E8F">
        <w:trPr>
          <w:cantSplit/>
          <w:trHeight w:val="224"/>
        </w:trPr>
        <w:tc>
          <w:tcPr>
            <w:tcW w:w="5000" w:type="pct"/>
            <w:gridSpan w:val="7"/>
          </w:tcPr>
          <w:p w14:paraId="1A020F67" w14:textId="77777777" w:rsidR="009F5E8F" w:rsidRPr="003D47CA" w:rsidRDefault="009F5E8F" w:rsidP="007C3C42">
            <w:pPr>
              <w:keepNext/>
              <w:ind w:left="-57"/>
              <w:rPr>
                <w:rFonts w:ascii="Arial Narrow" w:hAnsi="Arial Narrow"/>
                <w:sz w:val="20"/>
                <w:szCs w:val="20"/>
              </w:rPr>
            </w:pPr>
            <w:r w:rsidRPr="003D47CA">
              <w:rPr>
                <w:rFonts w:ascii="Arial Narrow" w:hAnsi="Arial Narrow"/>
                <w:sz w:val="20"/>
                <w:szCs w:val="20"/>
              </w:rPr>
              <w:t>CALCIPOTRIOL + BETAMETHASONE</w:t>
            </w:r>
          </w:p>
        </w:tc>
      </w:tr>
      <w:tr w:rsidR="009F5E8F" w:rsidRPr="003D47CA" w14:paraId="4644CE23" w14:textId="77777777" w:rsidTr="001513A9">
        <w:trPr>
          <w:cantSplit/>
          <w:trHeight w:val="347"/>
        </w:trPr>
        <w:tc>
          <w:tcPr>
            <w:tcW w:w="2153" w:type="pct"/>
            <w:gridSpan w:val="2"/>
          </w:tcPr>
          <w:p w14:paraId="429A5593" w14:textId="77777777" w:rsidR="009F5E8F" w:rsidRPr="003D47CA" w:rsidRDefault="009F5E8F" w:rsidP="007C3C42">
            <w:pPr>
              <w:keepNext/>
              <w:rPr>
                <w:rFonts w:ascii="Arial Narrow" w:hAnsi="Arial Narrow"/>
                <w:sz w:val="20"/>
                <w:szCs w:val="20"/>
              </w:rPr>
            </w:pPr>
            <w:r w:rsidRPr="003D47CA">
              <w:rPr>
                <w:rFonts w:ascii="Arial Narrow" w:hAnsi="Arial Narrow"/>
                <w:sz w:val="20"/>
                <w:szCs w:val="20"/>
              </w:rPr>
              <w:t>calcipotriol 0.005% + betamethasone (as dipropionate) 0.05% cream, 60 g</w:t>
            </w:r>
          </w:p>
        </w:tc>
        <w:tc>
          <w:tcPr>
            <w:tcW w:w="606" w:type="pct"/>
          </w:tcPr>
          <w:p w14:paraId="35D1B009"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NEW (GE)</w:t>
            </w:r>
          </w:p>
        </w:tc>
        <w:tc>
          <w:tcPr>
            <w:tcW w:w="463" w:type="pct"/>
          </w:tcPr>
          <w:p w14:paraId="485B159F"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1</w:t>
            </w:r>
          </w:p>
        </w:tc>
        <w:tc>
          <w:tcPr>
            <w:tcW w:w="386" w:type="pct"/>
          </w:tcPr>
          <w:p w14:paraId="6959521F"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1</w:t>
            </w:r>
          </w:p>
        </w:tc>
        <w:tc>
          <w:tcPr>
            <w:tcW w:w="386" w:type="pct"/>
          </w:tcPr>
          <w:p w14:paraId="22B0558A"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1</w:t>
            </w:r>
          </w:p>
        </w:tc>
        <w:tc>
          <w:tcPr>
            <w:tcW w:w="1006" w:type="pct"/>
            <w:vAlign w:val="center"/>
          </w:tcPr>
          <w:p w14:paraId="61CE66A6" w14:textId="77777777" w:rsidR="009F5E8F" w:rsidRPr="003D47CA" w:rsidRDefault="009F5E8F" w:rsidP="007C3C42">
            <w:pPr>
              <w:keepNext/>
              <w:rPr>
                <w:rFonts w:ascii="Arial Narrow" w:hAnsi="Arial Narrow"/>
                <w:sz w:val="20"/>
                <w:szCs w:val="20"/>
              </w:rPr>
            </w:pPr>
            <w:proofErr w:type="spellStart"/>
            <w:r w:rsidRPr="003D47CA">
              <w:rPr>
                <w:rFonts w:ascii="Arial Narrow" w:hAnsi="Arial Narrow"/>
                <w:sz w:val="20"/>
                <w:szCs w:val="20"/>
              </w:rPr>
              <w:t>Wynzora</w:t>
            </w:r>
            <w:proofErr w:type="spellEnd"/>
          </w:p>
        </w:tc>
      </w:tr>
      <w:tr w:rsidR="009F5E8F" w:rsidRPr="003D47CA" w14:paraId="4C351A2D" w14:textId="77777777" w:rsidTr="009F5E8F">
        <w:trPr>
          <w:cantSplit/>
          <w:trHeight w:val="347"/>
        </w:trPr>
        <w:tc>
          <w:tcPr>
            <w:tcW w:w="5000" w:type="pct"/>
            <w:gridSpan w:val="7"/>
          </w:tcPr>
          <w:p w14:paraId="58A4FAC4" w14:textId="77777777" w:rsidR="009F5E8F" w:rsidRPr="003D47CA" w:rsidRDefault="009F5E8F" w:rsidP="007C3C42">
            <w:pPr>
              <w:keepNext/>
              <w:rPr>
                <w:rFonts w:ascii="Arial Narrow" w:hAnsi="Arial Narrow"/>
                <w:sz w:val="20"/>
                <w:szCs w:val="20"/>
              </w:rPr>
            </w:pPr>
          </w:p>
        </w:tc>
      </w:tr>
      <w:tr w:rsidR="009F5E8F" w:rsidRPr="003D47CA" w14:paraId="4C65E56D" w14:textId="77777777" w:rsidTr="009F5E8F">
        <w:trPr>
          <w:cantSplit/>
          <w:trHeight w:val="213"/>
        </w:trPr>
        <w:tc>
          <w:tcPr>
            <w:tcW w:w="5000" w:type="pct"/>
            <w:gridSpan w:val="7"/>
            <w:tcBorders>
              <w:top w:val="single" w:sz="4" w:space="0" w:color="auto"/>
              <w:left w:val="single" w:sz="4" w:space="0" w:color="auto"/>
              <w:bottom w:val="single" w:sz="4" w:space="0" w:color="auto"/>
              <w:right w:val="single" w:sz="4" w:space="0" w:color="auto"/>
            </w:tcBorders>
          </w:tcPr>
          <w:p w14:paraId="2C3A1C8C" w14:textId="77777777" w:rsidR="009F5E8F" w:rsidRPr="003D47CA" w:rsidRDefault="009F5E8F" w:rsidP="007C3C42">
            <w:pPr>
              <w:keepNext/>
              <w:rPr>
                <w:rFonts w:ascii="Arial Narrow" w:hAnsi="Arial Narrow"/>
                <w:b/>
                <w:bCs/>
                <w:sz w:val="20"/>
                <w:szCs w:val="20"/>
              </w:rPr>
            </w:pPr>
            <w:r w:rsidRPr="003D47CA">
              <w:rPr>
                <w:rFonts w:ascii="Arial Narrow" w:hAnsi="Arial Narrow"/>
                <w:b/>
                <w:bCs/>
                <w:sz w:val="20"/>
                <w:szCs w:val="20"/>
              </w:rPr>
              <w:t>Restriction Summary [NEW] / Treatment of Concept: [NEW]</w:t>
            </w:r>
          </w:p>
        </w:tc>
      </w:tr>
      <w:tr w:rsidR="009F5E8F" w:rsidRPr="003D47CA" w14:paraId="55138B64" w14:textId="77777777" w:rsidTr="009F5E8F">
        <w:tblPrEx>
          <w:tblCellMar>
            <w:top w:w="15" w:type="dxa"/>
            <w:left w:w="15" w:type="dxa"/>
            <w:bottom w:w="15" w:type="dxa"/>
            <w:right w:w="15" w:type="dxa"/>
          </w:tblCellMar>
        </w:tblPrEx>
        <w:trPr>
          <w:trHeight w:val="260"/>
        </w:trPr>
        <w:tc>
          <w:tcPr>
            <w:tcW w:w="594" w:type="pct"/>
            <w:vMerge w:val="restart"/>
            <w:tcBorders>
              <w:top w:val="single" w:sz="4" w:space="0" w:color="auto"/>
              <w:left w:val="single" w:sz="4" w:space="0" w:color="auto"/>
              <w:right w:val="single" w:sz="4" w:space="0" w:color="auto"/>
            </w:tcBorders>
          </w:tcPr>
          <w:p w14:paraId="7C1F53C5" w14:textId="77777777" w:rsidR="009F5E8F" w:rsidRPr="003D47CA" w:rsidRDefault="009F5E8F" w:rsidP="007C3C42">
            <w:pPr>
              <w:jc w:val="center"/>
              <w:rPr>
                <w:rFonts w:ascii="Arial Narrow" w:hAnsi="Arial Narrow"/>
                <w:b/>
                <w:sz w:val="20"/>
                <w:szCs w:val="20"/>
              </w:rPr>
            </w:pPr>
            <w:r w:rsidRPr="003D47CA">
              <w:rPr>
                <w:rFonts w:ascii="Arial Narrow" w:hAnsi="Arial Narrow"/>
                <w:b/>
                <w:sz w:val="20"/>
                <w:szCs w:val="20"/>
              </w:rPr>
              <w:t>Concept ID</w:t>
            </w:r>
          </w:p>
          <w:p w14:paraId="58DDB037" w14:textId="77777777" w:rsidR="009F5E8F" w:rsidRPr="003D47CA" w:rsidRDefault="009F5E8F" w:rsidP="007C3C42">
            <w:pPr>
              <w:jc w:val="center"/>
              <w:rPr>
                <w:rFonts w:ascii="Arial Narrow" w:hAnsi="Arial Narrow"/>
                <w:sz w:val="20"/>
                <w:szCs w:val="20"/>
              </w:rPr>
            </w:pPr>
            <w:r w:rsidRPr="003D47CA">
              <w:rPr>
                <w:rFonts w:ascii="Arial Narrow" w:hAnsi="Arial Narrow"/>
                <w:sz w:val="20"/>
                <w:szCs w:val="20"/>
              </w:rPr>
              <w:t>(for internal Dept. use)</w:t>
            </w:r>
          </w:p>
        </w:tc>
        <w:tc>
          <w:tcPr>
            <w:tcW w:w="4406" w:type="pct"/>
            <w:gridSpan w:val="6"/>
            <w:tcBorders>
              <w:top w:val="single" w:sz="4" w:space="0" w:color="auto"/>
              <w:left w:val="single" w:sz="4" w:space="0" w:color="auto"/>
              <w:bottom w:val="single" w:sz="4" w:space="0" w:color="auto"/>
              <w:right w:val="single" w:sz="4" w:space="0" w:color="auto"/>
            </w:tcBorders>
          </w:tcPr>
          <w:p w14:paraId="4BBE0D5D" w14:textId="77777777" w:rsidR="009F5E8F" w:rsidRPr="003D47CA" w:rsidRDefault="009F5E8F" w:rsidP="007C3C42">
            <w:pPr>
              <w:jc w:val="left"/>
              <w:rPr>
                <w:rFonts w:ascii="Arial Narrow" w:hAnsi="Arial Narrow"/>
                <w:sz w:val="20"/>
                <w:szCs w:val="20"/>
              </w:rPr>
            </w:pPr>
            <w:r w:rsidRPr="003D47CA">
              <w:rPr>
                <w:rFonts w:ascii="Arial Narrow" w:hAnsi="Arial Narrow"/>
                <w:b/>
                <w:sz w:val="20"/>
                <w:szCs w:val="20"/>
              </w:rPr>
              <w:t xml:space="preserve">Category / Program: </w:t>
            </w:r>
            <w:r w:rsidRPr="003D47CA">
              <w:rPr>
                <w:rFonts w:ascii="Arial Narrow" w:eastAsia="Calibri" w:hAnsi="Arial Narrow"/>
                <w:sz w:val="20"/>
                <w:szCs w:val="20"/>
              </w:rPr>
              <w:fldChar w:fldCharType="begin" w:fldLock="1">
                <w:ffData>
                  <w:name w:val="Check1"/>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GENERAL - General Schedule (Code GE) </w:t>
            </w:r>
          </w:p>
        </w:tc>
      </w:tr>
      <w:tr w:rsidR="009F5E8F" w:rsidRPr="003D47CA" w14:paraId="695C7072" w14:textId="77777777" w:rsidTr="009F5E8F">
        <w:tblPrEx>
          <w:tblCellMar>
            <w:top w:w="15" w:type="dxa"/>
            <w:left w:w="15" w:type="dxa"/>
            <w:bottom w:w="15" w:type="dxa"/>
            <w:right w:w="15" w:type="dxa"/>
          </w:tblCellMar>
          <w:tblLook w:val="04A0" w:firstRow="1" w:lastRow="0" w:firstColumn="1" w:lastColumn="0" w:noHBand="0" w:noVBand="1"/>
        </w:tblPrEx>
        <w:trPr>
          <w:trHeight w:val="240"/>
        </w:trPr>
        <w:tc>
          <w:tcPr>
            <w:tcW w:w="594" w:type="pct"/>
            <w:vMerge/>
            <w:tcBorders>
              <w:left w:val="single" w:sz="4" w:space="0" w:color="auto"/>
              <w:right w:val="single" w:sz="4" w:space="0" w:color="auto"/>
            </w:tcBorders>
          </w:tcPr>
          <w:p w14:paraId="69D756AA" w14:textId="77777777" w:rsidR="009F5E8F" w:rsidRPr="003D47CA" w:rsidRDefault="009F5E8F" w:rsidP="007C3C42">
            <w:pP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0524A1B6" w14:textId="77777777" w:rsidR="009F5E8F" w:rsidRPr="003D47CA" w:rsidRDefault="009F5E8F" w:rsidP="007C3C42">
            <w:pPr>
              <w:rPr>
                <w:rFonts w:ascii="Arial Narrow" w:hAnsi="Arial Narrow"/>
                <w:b/>
                <w:sz w:val="20"/>
                <w:szCs w:val="20"/>
              </w:rPr>
            </w:pPr>
            <w:r w:rsidRPr="003D47CA">
              <w:rPr>
                <w:rFonts w:ascii="Arial Narrow" w:hAnsi="Arial Narrow"/>
                <w:b/>
                <w:sz w:val="20"/>
                <w:szCs w:val="20"/>
              </w:rPr>
              <w:t>Prescriber type:</w:t>
            </w:r>
            <w:r w:rsidRPr="003D47CA">
              <w:rPr>
                <w:rFonts w:ascii="Arial Narrow" w:hAnsi="Arial Narrow"/>
                <w:sz w:val="20"/>
                <w:szCs w:val="20"/>
              </w:rPr>
              <w:t xml:space="preserve">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 xml:space="preserve">Medical Practitioners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Nurse Practitioners</w:t>
            </w:r>
          </w:p>
        </w:tc>
      </w:tr>
      <w:tr w:rsidR="009F5E8F" w:rsidRPr="003D47CA" w14:paraId="72789BF0" w14:textId="77777777" w:rsidTr="009F5E8F">
        <w:tblPrEx>
          <w:tblCellMar>
            <w:top w:w="15" w:type="dxa"/>
            <w:left w:w="15" w:type="dxa"/>
            <w:bottom w:w="15" w:type="dxa"/>
            <w:right w:w="15" w:type="dxa"/>
          </w:tblCellMar>
        </w:tblPrEx>
        <w:trPr>
          <w:trHeight w:val="254"/>
        </w:trPr>
        <w:tc>
          <w:tcPr>
            <w:tcW w:w="594" w:type="pct"/>
            <w:vMerge/>
            <w:tcBorders>
              <w:left w:val="single" w:sz="4" w:space="0" w:color="auto"/>
              <w:right w:val="single" w:sz="4" w:space="0" w:color="auto"/>
            </w:tcBorders>
          </w:tcPr>
          <w:p w14:paraId="1A52C17F" w14:textId="77777777" w:rsidR="009F5E8F" w:rsidRPr="003D47CA" w:rsidRDefault="009F5E8F" w:rsidP="007C3C42">
            <w:pP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73D5F72E" w14:textId="77777777" w:rsidR="009F5E8F" w:rsidRPr="003D47CA" w:rsidRDefault="009F5E8F" w:rsidP="007C3C42">
            <w:pPr>
              <w:rPr>
                <w:rFonts w:ascii="Arial Narrow" w:eastAsia="Calibri" w:hAnsi="Arial Narrow"/>
                <w:color w:val="FF00FF"/>
                <w:sz w:val="20"/>
                <w:szCs w:val="20"/>
              </w:rPr>
            </w:pPr>
            <w:r w:rsidRPr="003D47CA">
              <w:rPr>
                <w:rFonts w:ascii="Arial Narrow" w:hAnsi="Arial Narrow"/>
                <w:b/>
                <w:sz w:val="20"/>
                <w:szCs w:val="20"/>
              </w:rPr>
              <w:t xml:space="preserve">Restriction type: </w:t>
            </w:r>
            <w:r w:rsidRPr="003D47CA">
              <w:rPr>
                <w:rFonts w:ascii="Arial Narrow" w:eastAsia="Calibri" w:hAnsi="Arial Narrow"/>
                <w:sz w:val="20"/>
                <w:szCs w:val="20"/>
              </w:rPr>
              <w:fldChar w:fldCharType="begin" w:fldLock="1">
                <w:ffData>
                  <w:name w:val=""/>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Restricted benefit</w:t>
            </w:r>
          </w:p>
        </w:tc>
      </w:tr>
      <w:tr w:rsidR="009F5E8F" w:rsidRPr="003D47CA" w14:paraId="1AE5FD8A"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18034CB0" w14:textId="16700195" w:rsidR="009F5E8F" w:rsidRPr="003D47CA" w:rsidRDefault="009F5E8F" w:rsidP="007C3C42">
            <w:pPr>
              <w:jc w:val="cente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51A1B136" w14:textId="77777777" w:rsidR="009F5E8F" w:rsidRPr="003D47CA" w:rsidRDefault="009F5E8F" w:rsidP="007C3C42">
            <w:pPr>
              <w:pStyle w:val="NormalWeb"/>
              <w:spacing w:before="0" w:after="0"/>
              <w:textAlignment w:val="baseline"/>
              <w:rPr>
                <w:rFonts w:ascii="Arial Narrow" w:hAnsi="Arial Narrow" w:cs="Open Sans"/>
                <w:color w:val="333333"/>
                <w:sz w:val="20"/>
                <w:szCs w:val="20"/>
              </w:rPr>
            </w:pPr>
            <w:r w:rsidRPr="003D47CA">
              <w:rPr>
                <w:rStyle w:val="Strong"/>
                <w:rFonts w:ascii="Arial Narrow" w:hAnsi="Arial Narrow" w:cs="Open Sans"/>
                <w:color w:val="333333"/>
                <w:sz w:val="20"/>
                <w:szCs w:val="20"/>
                <w:bdr w:val="none" w:sz="0" w:space="0" w:color="auto" w:frame="1"/>
              </w:rPr>
              <w:t>Administrative Advice:</w:t>
            </w:r>
          </w:p>
          <w:p w14:paraId="43184413" w14:textId="77777777" w:rsidR="009F5E8F" w:rsidRPr="003D47CA" w:rsidRDefault="009F5E8F" w:rsidP="007C3C42">
            <w:pPr>
              <w:pStyle w:val="NormalWeb"/>
              <w:spacing w:before="0" w:after="0"/>
              <w:textAlignment w:val="baseline"/>
              <w:rPr>
                <w:rFonts w:ascii="Arial Narrow" w:hAnsi="Arial Narrow" w:cs="Open Sans"/>
                <w:color w:val="333333"/>
                <w:sz w:val="20"/>
                <w:szCs w:val="20"/>
              </w:rPr>
            </w:pPr>
            <w:r w:rsidRPr="003D47CA">
              <w:rPr>
                <w:rFonts w:ascii="Arial Narrow" w:hAnsi="Arial Narrow" w:cs="Open Sans"/>
                <w:b/>
                <w:bCs/>
                <w:color w:val="333333"/>
                <w:sz w:val="20"/>
                <w:szCs w:val="20"/>
                <w:bdr w:val="none" w:sz="0" w:space="0" w:color="auto" w:frame="1"/>
              </w:rPr>
              <w:t>Continuing Therapy Only:</w:t>
            </w:r>
          </w:p>
          <w:p w14:paraId="14F8767B" w14:textId="77777777" w:rsidR="009F5E8F" w:rsidRPr="003D47CA" w:rsidRDefault="009F5E8F" w:rsidP="007C3C42">
            <w:pPr>
              <w:rPr>
                <w:rFonts w:ascii="Arial Narrow" w:hAnsi="Arial Narrow"/>
                <w:b/>
                <w:sz w:val="20"/>
                <w:szCs w:val="20"/>
              </w:rPr>
            </w:pPr>
            <w:r w:rsidRPr="003D47CA">
              <w:rPr>
                <w:rFonts w:ascii="Arial Narrow" w:hAnsi="Arial Narrow" w:cs="Open San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F5E8F" w:rsidRPr="003D47CA" w14:paraId="27274D4E" w14:textId="77777777" w:rsidTr="009F5E8F">
        <w:tblPrEx>
          <w:tblCellMar>
            <w:top w:w="15" w:type="dxa"/>
            <w:left w:w="15" w:type="dxa"/>
            <w:bottom w:w="15" w:type="dxa"/>
            <w:right w:w="15" w:type="dxa"/>
          </w:tblCellMar>
          <w:tblLook w:val="04A0" w:firstRow="1" w:lastRow="0" w:firstColumn="1" w:lastColumn="0" w:noHBand="0" w:noVBand="1"/>
        </w:tblPrEx>
        <w:trPr>
          <w:trHeight w:val="271"/>
        </w:trPr>
        <w:tc>
          <w:tcPr>
            <w:tcW w:w="594" w:type="pct"/>
            <w:tcBorders>
              <w:left w:val="single" w:sz="4" w:space="0" w:color="auto"/>
              <w:bottom w:val="single" w:sz="4" w:space="0" w:color="auto"/>
              <w:right w:val="single" w:sz="4" w:space="0" w:color="auto"/>
            </w:tcBorders>
            <w:vAlign w:val="center"/>
          </w:tcPr>
          <w:p w14:paraId="043C5B19" w14:textId="61F975C3" w:rsidR="009F5E8F" w:rsidRPr="003D47CA" w:rsidRDefault="009F5E8F" w:rsidP="007C3C42">
            <w:pPr>
              <w:jc w:val="cente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1A7F77E5" w14:textId="77777777" w:rsidR="009F5E8F" w:rsidRPr="003D47CA" w:rsidRDefault="009F5E8F" w:rsidP="007C3C42">
            <w:pPr>
              <w:pStyle w:val="NormalWeb"/>
              <w:textAlignment w:val="baseline"/>
              <w:rPr>
                <w:rFonts w:ascii="Arial Narrow" w:hAnsi="Arial Narrow" w:cs="Arial"/>
                <w:b/>
                <w:sz w:val="20"/>
                <w:szCs w:val="20"/>
              </w:rPr>
            </w:pPr>
            <w:r w:rsidRPr="003D47CA">
              <w:rPr>
                <w:rStyle w:val="Strong"/>
                <w:rFonts w:ascii="Arial Narrow" w:hAnsi="Arial Narrow" w:cs="Open Sans"/>
                <w:color w:val="333333"/>
                <w:sz w:val="20"/>
                <w:szCs w:val="20"/>
                <w:bdr w:val="none" w:sz="0" w:space="0" w:color="auto" w:frame="1"/>
              </w:rPr>
              <w:t xml:space="preserve">Indication: </w:t>
            </w:r>
            <w:r w:rsidRPr="003D47CA">
              <w:rPr>
                <w:rFonts w:ascii="Arial Narrow" w:hAnsi="Arial Narrow"/>
                <w:sz w:val="20"/>
                <w:szCs w:val="20"/>
              </w:rPr>
              <w:t>Chronic stable plaque type psoriasis vulgaris</w:t>
            </w:r>
          </w:p>
        </w:tc>
      </w:tr>
      <w:tr w:rsidR="009F5E8F" w:rsidRPr="003D47CA" w14:paraId="19E116D9"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29CD7D42" w14:textId="3A27A25E" w:rsidR="009F5E8F" w:rsidRPr="003D47CA" w:rsidRDefault="009F5E8F" w:rsidP="007C3C42">
            <w:pPr>
              <w:jc w:val="center"/>
              <w:rPr>
                <w:rFonts w:ascii="Arial Narrow" w:hAnsi="Arial Narrow" w:cs="Open Sans"/>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4B4B113C"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Style w:val="Strong"/>
                <w:rFonts w:ascii="Arial Narrow" w:hAnsi="Arial Narrow" w:cs="Open Sans"/>
                <w:color w:val="333333"/>
                <w:sz w:val="20"/>
                <w:szCs w:val="20"/>
                <w:bdr w:val="none" w:sz="0" w:space="0" w:color="auto" w:frame="1"/>
              </w:rPr>
              <w:t>Clinical criteria:</w:t>
            </w:r>
          </w:p>
        </w:tc>
      </w:tr>
      <w:tr w:rsidR="009F5E8F" w:rsidRPr="003D47CA" w14:paraId="3AFACC0E"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6B363375" w14:textId="1D8CB28A" w:rsidR="009F5E8F" w:rsidRPr="003D47CA" w:rsidRDefault="009F5E8F" w:rsidP="007C3C42">
            <w:pPr>
              <w:jc w:val="center"/>
              <w:rPr>
                <w:rFonts w:ascii="Arial Narrow" w:hAnsi="Arial Narrow" w:cs="Open Sans"/>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19610B4A"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Fonts w:ascii="Arial Narrow" w:hAnsi="Arial Narrow" w:cs="Open Sans"/>
                <w:color w:val="333333"/>
                <w:sz w:val="20"/>
                <w:szCs w:val="20"/>
              </w:rPr>
              <w:t>The condition must be inadequately controlled by potent topical corticosteroid monotherapy</w:t>
            </w:r>
            <w:r>
              <w:rPr>
                <w:rFonts w:ascii="Arial Narrow" w:hAnsi="Arial Narrow" w:cs="Open Sans"/>
                <w:color w:val="333333"/>
                <w:sz w:val="20"/>
                <w:szCs w:val="20"/>
              </w:rPr>
              <w:t>.</w:t>
            </w:r>
          </w:p>
        </w:tc>
      </w:tr>
      <w:tr w:rsidR="009F5E8F" w:rsidRPr="003D47CA" w14:paraId="27F251B3"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42731B70" w14:textId="77777777" w:rsidR="009F5E8F" w:rsidRPr="003D47CA" w:rsidRDefault="009F5E8F" w:rsidP="007C3C42">
            <w:pPr>
              <w:jc w:val="center"/>
              <w:rPr>
                <w:rFonts w:ascii="Arial Narrow" w:hAnsi="Arial Narrow" w:cs="Open Sans"/>
                <w:strike/>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54F0762C"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strike/>
                <w:color w:val="333333"/>
                <w:sz w:val="20"/>
                <w:szCs w:val="20"/>
                <w:bdr w:val="none" w:sz="0" w:space="0" w:color="auto" w:frame="1"/>
              </w:rPr>
            </w:pPr>
            <w:r w:rsidRPr="003D47CA">
              <w:rPr>
                <w:rStyle w:val="Strong"/>
                <w:rFonts w:ascii="Arial Narrow" w:eastAsiaTheme="majorEastAsia" w:hAnsi="Arial Narrow" w:cs="Open Sans"/>
                <w:strike/>
                <w:color w:val="333333"/>
                <w:sz w:val="20"/>
                <w:szCs w:val="20"/>
                <w:bdr w:val="none" w:sz="0" w:space="0" w:color="auto" w:frame="1"/>
              </w:rPr>
              <w:t>Population criteria:</w:t>
            </w:r>
          </w:p>
        </w:tc>
      </w:tr>
      <w:tr w:rsidR="009F5E8F" w:rsidRPr="003D47CA" w14:paraId="6DA277CA"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16350018" w14:textId="77777777" w:rsidR="009F5E8F" w:rsidRPr="003D47CA" w:rsidRDefault="009F5E8F" w:rsidP="007C3C42">
            <w:pPr>
              <w:jc w:val="center"/>
              <w:rPr>
                <w:rFonts w:ascii="Arial Narrow" w:hAnsi="Arial Narrow" w:cs="Open Sans"/>
                <w:strike/>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0A5157D0"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b w:val="0"/>
                <w:bCs w:val="0"/>
                <w:strike/>
                <w:color w:val="333333"/>
                <w:sz w:val="20"/>
                <w:szCs w:val="20"/>
                <w:bdr w:val="none" w:sz="0" w:space="0" w:color="auto" w:frame="1"/>
              </w:rPr>
            </w:pPr>
            <w:r w:rsidRPr="003D47CA">
              <w:rPr>
                <w:rStyle w:val="Strong"/>
                <w:rFonts w:ascii="Arial Narrow" w:eastAsiaTheme="majorEastAsia" w:hAnsi="Arial Narrow" w:cs="Open Sans"/>
                <w:b w:val="0"/>
                <w:bCs w:val="0"/>
                <w:strike/>
                <w:color w:val="333333"/>
                <w:sz w:val="20"/>
                <w:szCs w:val="20"/>
                <w:bdr w:val="none" w:sz="0" w:space="0" w:color="auto" w:frame="1"/>
              </w:rPr>
              <w:t>Patient must be 18 years or older</w:t>
            </w:r>
          </w:p>
        </w:tc>
      </w:tr>
      <w:tr w:rsidR="009F5E8F" w:rsidRPr="003D47CA" w14:paraId="1D789C59" w14:textId="77777777" w:rsidTr="001513A9">
        <w:trPr>
          <w:cantSplit/>
          <w:trHeight w:val="471"/>
        </w:trPr>
        <w:tc>
          <w:tcPr>
            <w:tcW w:w="2153" w:type="pct"/>
            <w:gridSpan w:val="2"/>
          </w:tcPr>
          <w:p w14:paraId="707AB9CA" w14:textId="77777777" w:rsidR="009F5E8F" w:rsidRPr="003D47CA" w:rsidRDefault="009F5E8F" w:rsidP="007C3C42">
            <w:pPr>
              <w:keepNext/>
              <w:ind w:left="-57"/>
              <w:rPr>
                <w:rFonts w:ascii="Arial Narrow" w:hAnsi="Arial Narrow"/>
                <w:b/>
                <w:bCs/>
                <w:sz w:val="20"/>
                <w:szCs w:val="20"/>
              </w:rPr>
            </w:pPr>
            <w:r w:rsidRPr="003D47CA">
              <w:rPr>
                <w:rFonts w:ascii="Arial Narrow" w:hAnsi="Arial Narrow"/>
                <w:b/>
                <w:bCs/>
                <w:sz w:val="20"/>
                <w:szCs w:val="20"/>
              </w:rPr>
              <w:t>MEDICINAL PRODUCT</w:t>
            </w:r>
          </w:p>
          <w:p w14:paraId="2F367112" w14:textId="77777777" w:rsidR="009F5E8F" w:rsidRPr="003D47CA" w:rsidRDefault="009F5E8F" w:rsidP="007C3C42">
            <w:pPr>
              <w:keepNext/>
              <w:ind w:left="-57"/>
              <w:rPr>
                <w:rFonts w:ascii="Arial Narrow" w:hAnsi="Arial Narrow"/>
                <w:b/>
                <w:sz w:val="20"/>
                <w:szCs w:val="20"/>
              </w:rPr>
            </w:pPr>
            <w:r w:rsidRPr="003D47CA">
              <w:rPr>
                <w:rFonts w:ascii="Arial Narrow" w:hAnsi="Arial Narrow"/>
                <w:b/>
                <w:bCs/>
                <w:sz w:val="20"/>
                <w:szCs w:val="20"/>
              </w:rPr>
              <w:t>medicinal product pack</w:t>
            </w:r>
          </w:p>
        </w:tc>
        <w:tc>
          <w:tcPr>
            <w:tcW w:w="606" w:type="pct"/>
          </w:tcPr>
          <w:p w14:paraId="569C8E96"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PBS item code</w:t>
            </w:r>
          </w:p>
        </w:tc>
        <w:tc>
          <w:tcPr>
            <w:tcW w:w="463" w:type="pct"/>
          </w:tcPr>
          <w:p w14:paraId="4F170288"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Max. qty packs</w:t>
            </w:r>
          </w:p>
        </w:tc>
        <w:tc>
          <w:tcPr>
            <w:tcW w:w="386" w:type="pct"/>
          </w:tcPr>
          <w:p w14:paraId="40C906C7"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Max. qty units</w:t>
            </w:r>
          </w:p>
        </w:tc>
        <w:tc>
          <w:tcPr>
            <w:tcW w:w="386" w:type="pct"/>
          </w:tcPr>
          <w:p w14:paraId="7B15E54B"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№.of</w:t>
            </w:r>
          </w:p>
          <w:p w14:paraId="120A68C2" w14:textId="77777777" w:rsidR="009F5E8F" w:rsidRPr="003D47CA" w:rsidRDefault="009F5E8F" w:rsidP="007C3C42">
            <w:pPr>
              <w:keepNext/>
              <w:ind w:left="-108"/>
              <w:jc w:val="center"/>
              <w:rPr>
                <w:rFonts w:ascii="Arial Narrow" w:hAnsi="Arial Narrow"/>
                <w:b/>
                <w:sz w:val="20"/>
                <w:szCs w:val="20"/>
              </w:rPr>
            </w:pPr>
            <w:r w:rsidRPr="003D47CA">
              <w:rPr>
                <w:rFonts w:ascii="Arial Narrow" w:hAnsi="Arial Narrow"/>
                <w:b/>
                <w:sz w:val="20"/>
                <w:szCs w:val="20"/>
              </w:rPr>
              <w:t>Rpts</w:t>
            </w:r>
          </w:p>
        </w:tc>
        <w:tc>
          <w:tcPr>
            <w:tcW w:w="1006" w:type="pct"/>
          </w:tcPr>
          <w:p w14:paraId="34618D5B" w14:textId="77777777" w:rsidR="009F5E8F" w:rsidRPr="003D47CA" w:rsidRDefault="009F5E8F" w:rsidP="007C3C42">
            <w:pPr>
              <w:keepNext/>
              <w:rPr>
                <w:rFonts w:ascii="Arial Narrow" w:hAnsi="Arial Narrow"/>
                <w:b/>
                <w:sz w:val="20"/>
                <w:szCs w:val="20"/>
                <w:lang w:val="fr-FR"/>
              </w:rPr>
            </w:pPr>
            <w:r w:rsidRPr="003D47CA">
              <w:rPr>
                <w:rFonts w:ascii="Arial Narrow" w:hAnsi="Arial Narrow"/>
                <w:b/>
                <w:sz w:val="20"/>
                <w:szCs w:val="20"/>
              </w:rPr>
              <w:t>Available brands</w:t>
            </w:r>
          </w:p>
        </w:tc>
      </w:tr>
      <w:tr w:rsidR="009F5E8F" w:rsidRPr="003D47CA" w14:paraId="68B51FBE" w14:textId="77777777" w:rsidTr="009F5E8F">
        <w:trPr>
          <w:cantSplit/>
          <w:trHeight w:val="224"/>
        </w:trPr>
        <w:tc>
          <w:tcPr>
            <w:tcW w:w="5000" w:type="pct"/>
            <w:gridSpan w:val="7"/>
          </w:tcPr>
          <w:p w14:paraId="3712D654" w14:textId="77777777" w:rsidR="009F5E8F" w:rsidRPr="003D47CA" w:rsidRDefault="009F5E8F" w:rsidP="007C3C42">
            <w:pPr>
              <w:keepNext/>
              <w:ind w:left="-57"/>
              <w:rPr>
                <w:rFonts w:ascii="Arial Narrow" w:hAnsi="Arial Narrow"/>
                <w:sz w:val="20"/>
                <w:szCs w:val="20"/>
              </w:rPr>
            </w:pPr>
            <w:r w:rsidRPr="003D47CA">
              <w:rPr>
                <w:rFonts w:ascii="Arial Narrow" w:hAnsi="Arial Narrow"/>
                <w:sz w:val="20"/>
                <w:szCs w:val="20"/>
              </w:rPr>
              <w:t>CALCIPOTRIOL + BETAMETHASONE</w:t>
            </w:r>
          </w:p>
        </w:tc>
      </w:tr>
      <w:tr w:rsidR="009F5E8F" w:rsidRPr="003D47CA" w14:paraId="6DAD37BC" w14:textId="77777777" w:rsidTr="001513A9">
        <w:trPr>
          <w:cantSplit/>
          <w:trHeight w:val="347"/>
        </w:trPr>
        <w:tc>
          <w:tcPr>
            <w:tcW w:w="2153" w:type="pct"/>
            <w:gridSpan w:val="2"/>
          </w:tcPr>
          <w:p w14:paraId="078FA3F4" w14:textId="77777777" w:rsidR="009F5E8F" w:rsidRPr="003D47CA" w:rsidRDefault="009F5E8F" w:rsidP="007C3C42">
            <w:pPr>
              <w:keepNext/>
              <w:rPr>
                <w:rFonts w:ascii="Arial Narrow" w:hAnsi="Arial Narrow"/>
                <w:sz w:val="20"/>
                <w:szCs w:val="20"/>
              </w:rPr>
            </w:pPr>
            <w:r w:rsidRPr="003D47CA">
              <w:rPr>
                <w:rFonts w:ascii="Arial Narrow" w:hAnsi="Arial Narrow"/>
                <w:sz w:val="20"/>
                <w:szCs w:val="20"/>
              </w:rPr>
              <w:t>calcipotriol 0.005% + betamethasone (as dipropionate) 0.05% cream, 60 g</w:t>
            </w:r>
          </w:p>
        </w:tc>
        <w:tc>
          <w:tcPr>
            <w:tcW w:w="606" w:type="pct"/>
          </w:tcPr>
          <w:p w14:paraId="2C9178A5"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NEW (GE)</w:t>
            </w:r>
          </w:p>
        </w:tc>
        <w:tc>
          <w:tcPr>
            <w:tcW w:w="463" w:type="pct"/>
          </w:tcPr>
          <w:p w14:paraId="63CE23D6"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2</w:t>
            </w:r>
          </w:p>
        </w:tc>
        <w:tc>
          <w:tcPr>
            <w:tcW w:w="386" w:type="pct"/>
          </w:tcPr>
          <w:p w14:paraId="7641B709"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2</w:t>
            </w:r>
          </w:p>
        </w:tc>
        <w:tc>
          <w:tcPr>
            <w:tcW w:w="386" w:type="pct"/>
          </w:tcPr>
          <w:p w14:paraId="5217BC7E" w14:textId="77777777" w:rsidR="009F5E8F" w:rsidRPr="003D47CA" w:rsidRDefault="009F5E8F" w:rsidP="007C3C42">
            <w:pPr>
              <w:keepNext/>
              <w:jc w:val="center"/>
              <w:rPr>
                <w:rFonts w:ascii="Arial Narrow" w:hAnsi="Arial Narrow"/>
                <w:sz w:val="20"/>
                <w:szCs w:val="20"/>
              </w:rPr>
            </w:pPr>
            <w:r w:rsidRPr="003D47CA">
              <w:rPr>
                <w:rFonts w:ascii="Arial Narrow" w:hAnsi="Arial Narrow"/>
                <w:sz w:val="20"/>
                <w:szCs w:val="20"/>
              </w:rPr>
              <w:t>1</w:t>
            </w:r>
          </w:p>
        </w:tc>
        <w:tc>
          <w:tcPr>
            <w:tcW w:w="1006" w:type="pct"/>
            <w:vAlign w:val="center"/>
          </w:tcPr>
          <w:p w14:paraId="73A72116" w14:textId="77777777" w:rsidR="009F5E8F" w:rsidRPr="003D47CA" w:rsidRDefault="009F5E8F" w:rsidP="007C3C42">
            <w:pPr>
              <w:keepNext/>
              <w:rPr>
                <w:rFonts w:ascii="Arial Narrow" w:hAnsi="Arial Narrow"/>
                <w:sz w:val="20"/>
                <w:szCs w:val="20"/>
              </w:rPr>
            </w:pPr>
            <w:proofErr w:type="spellStart"/>
            <w:r w:rsidRPr="003D47CA">
              <w:rPr>
                <w:rFonts w:ascii="Arial Narrow" w:hAnsi="Arial Narrow"/>
                <w:sz w:val="20"/>
                <w:szCs w:val="20"/>
              </w:rPr>
              <w:t>Wynzora</w:t>
            </w:r>
            <w:proofErr w:type="spellEnd"/>
          </w:p>
        </w:tc>
      </w:tr>
      <w:tr w:rsidR="009F5E8F" w:rsidRPr="003D47CA" w14:paraId="1A2A4E6D" w14:textId="77777777" w:rsidTr="009F5E8F">
        <w:trPr>
          <w:cantSplit/>
          <w:trHeight w:val="347"/>
        </w:trPr>
        <w:tc>
          <w:tcPr>
            <w:tcW w:w="5000" w:type="pct"/>
            <w:gridSpan w:val="7"/>
          </w:tcPr>
          <w:p w14:paraId="2940131F" w14:textId="77777777" w:rsidR="009F5E8F" w:rsidRPr="003D47CA" w:rsidRDefault="009F5E8F" w:rsidP="007C3C42">
            <w:pPr>
              <w:keepNext/>
              <w:rPr>
                <w:rFonts w:ascii="Arial Narrow" w:hAnsi="Arial Narrow"/>
                <w:sz w:val="20"/>
                <w:szCs w:val="20"/>
              </w:rPr>
            </w:pPr>
          </w:p>
        </w:tc>
      </w:tr>
      <w:tr w:rsidR="009F5E8F" w:rsidRPr="003D47CA" w14:paraId="3EFB33D7" w14:textId="77777777" w:rsidTr="009F5E8F">
        <w:trPr>
          <w:cantSplit/>
          <w:trHeight w:val="145"/>
        </w:trPr>
        <w:tc>
          <w:tcPr>
            <w:tcW w:w="5000" w:type="pct"/>
            <w:gridSpan w:val="7"/>
            <w:tcBorders>
              <w:top w:val="single" w:sz="4" w:space="0" w:color="auto"/>
              <w:left w:val="single" w:sz="4" w:space="0" w:color="auto"/>
              <w:bottom w:val="single" w:sz="4" w:space="0" w:color="auto"/>
              <w:right w:val="single" w:sz="4" w:space="0" w:color="auto"/>
            </w:tcBorders>
          </w:tcPr>
          <w:p w14:paraId="640F6DFB" w14:textId="77777777" w:rsidR="009F5E8F" w:rsidRPr="003D47CA" w:rsidRDefault="009F5E8F" w:rsidP="007C3C42">
            <w:pPr>
              <w:keepNext/>
              <w:rPr>
                <w:rFonts w:ascii="Arial Narrow" w:hAnsi="Arial Narrow"/>
                <w:b/>
                <w:bCs/>
                <w:sz w:val="20"/>
                <w:szCs w:val="20"/>
              </w:rPr>
            </w:pPr>
            <w:r w:rsidRPr="003D47CA">
              <w:rPr>
                <w:rFonts w:ascii="Arial Narrow" w:hAnsi="Arial Narrow"/>
                <w:b/>
                <w:bCs/>
                <w:sz w:val="20"/>
                <w:szCs w:val="20"/>
              </w:rPr>
              <w:t>Restriction Summary [NEW] / Treatment of Concept: [NEW]</w:t>
            </w:r>
          </w:p>
        </w:tc>
      </w:tr>
      <w:tr w:rsidR="009F5E8F" w:rsidRPr="003D47CA" w14:paraId="02D0EFFB" w14:textId="77777777" w:rsidTr="009F5E8F">
        <w:tblPrEx>
          <w:tblCellMar>
            <w:top w:w="15" w:type="dxa"/>
            <w:left w:w="15" w:type="dxa"/>
            <w:bottom w:w="15" w:type="dxa"/>
            <w:right w:w="15" w:type="dxa"/>
          </w:tblCellMar>
        </w:tblPrEx>
        <w:trPr>
          <w:trHeight w:val="206"/>
        </w:trPr>
        <w:tc>
          <w:tcPr>
            <w:tcW w:w="594" w:type="pct"/>
            <w:vMerge w:val="restart"/>
            <w:tcBorders>
              <w:top w:val="single" w:sz="4" w:space="0" w:color="auto"/>
              <w:left w:val="single" w:sz="4" w:space="0" w:color="auto"/>
              <w:right w:val="single" w:sz="4" w:space="0" w:color="auto"/>
            </w:tcBorders>
          </w:tcPr>
          <w:p w14:paraId="46008A09" w14:textId="77777777" w:rsidR="009F5E8F" w:rsidRPr="003D47CA" w:rsidRDefault="009F5E8F" w:rsidP="007C3C42">
            <w:pPr>
              <w:rPr>
                <w:rFonts w:ascii="Arial Narrow" w:hAnsi="Arial Narrow"/>
                <w:i/>
                <w:sz w:val="20"/>
                <w:szCs w:val="20"/>
              </w:rPr>
            </w:pPr>
            <w:r w:rsidRPr="003D47CA">
              <w:rPr>
                <w:rFonts w:ascii="Arial Narrow" w:hAnsi="Arial Narrow"/>
                <w:b/>
                <w:sz w:val="20"/>
                <w:szCs w:val="20"/>
              </w:rPr>
              <w:t>Concept ID</w:t>
            </w:r>
          </w:p>
          <w:p w14:paraId="1DBC4753" w14:textId="77777777" w:rsidR="009F5E8F" w:rsidRPr="003D47CA" w:rsidRDefault="009F5E8F" w:rsidP="007C3C42">
            <w:pPr>
              <w:jc w:val="center"/>
              <w:rPr>
                <w:rFonts w:ascii="Arial Narrow" w:hAnsi="Arial Narrow"/>
                <w:sz w:val="20"/>
                <w:szCs w:val="20"/>
              </w:rPr>
            </w:pPr>
            <w:r w:rsidRPr="003D47CA">
              <w:rPr>
                <w:rFonts w:ascii="Arial Narrow" w:hAnsi="Arial Narrow"/>
                <w:sz w:val="20"/>
                <w:szCs w:val="20"/>
              </w:rPr>
              <w:t>(for internal Dept. use)</w:t>
            </w:r>
          </w:p>
        </w:tc>
        <w:tc>
          <w:tcPr>
            <w:tcW w:w="4406" w:type="pct"/>
            <w:gridSpan w:val="6"/>
            <w:tcBorders>
              <w:top w:val="single" w:sz="4" w:space="0" w:color="auto"/>
              <w:left w:val="single" w:sz="4" w:space="0" w:color="auto"/>
              <w:bottom w:val="single" w:sz="4" w:space="0" w:color="auto"/>
              <w:right w:val="single" w:sz="4" w:space="0" w:color="auto"/>
            </w:tcBorders>
          </w:tcPr>
          <w:p w14:paraId="5B08FCA3" w14:textId="77777777" w:rsidR="009F5E8F" w:rsidRPr="003D47CA" w:rsidRDefault="009F5E8F" w:rsidP="007C3C42">
            <w:pPr>
              <w:rPr>
                <w:rFonts w:ascii="Arial Narrow" w:hAnsi="Arial Narrow"/>
                <w:sz w:val="20"/>
                <w:szCs w:val="20"/>
              </w:rPr>
            </w:pPr>
            <w:r w:rsidRPr="003D47CA">
              <w:rPr>
                <w:rFonts w:ascii="Arial Narrow" w:hAnsi="Arial Narrow"/>
                <w:b/>
                <w:sz w:val="20"/>
                <w:szCs w:val="20"/>
              </w:rPr>
              <w:t xml:space="preserve">Category / Program: </w:t>
            </w:r>
            <w:r w:rsidRPr="003D47CA">
              <w:rPr>
                <w:rFonts w:ascii="Arial Narrow" w:eastAsia="Calibri" w:hAnsi="Arial Narrow"/>
                <w:sz w:val="20"/>
                <w:szCs w:val="20"/>
              </w:rPr>
              <w:fldChar w:fldCharType="begin" w:fldLock="1">
                <w:ffData>
                  <w:name w:val="Check1"/>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GENERAL - General Schedule (Code GE)</w:t>
            </w:r>
          </w:p>
        </w:tc>
      </w:tr>
      <w:tr w:rsidR="009F5E8F" w:rsidRPr="003D47CA" w14:paraId="1EBF5026" w14:textId="77777777" w:rsidTr="009F5E8F">
        <w:tblPrEx>
          <w:tblCellMar>
            <w:top w:w="15" w:type="dxa"/>
            <w:left w:w="15" w:type="dxa"/>
            <w:bottom w:w="15" w:type="dxa"/>
            <w:right w:w="15" w:type="dxa"/>
          </w:tblCellMar>
          <w:tblLook w:val="04A0" w:firstRow="1" w:lastRow="0" w:firstColumn="1" w:lastColumn="0" w:noHBand="0" w:noVBand="1"/>
        </w:tblPrEx>
        <w:trPr>
          <w:trHeight w:val="240"/>
        </w:trPr>
        <w:tc>
          <w:tcPr>
            <w:tcW w:w="594" w:type="pct"/>
            <w:vMerge/>
            <w:tcBorders>
              <w:left w:val="single" w:sz="4" w:space="0" w:color="auto"/>
              <w:right w:val="single" w:sz="4" w:space="0" w:color="auto"/>
            </w:tcBorders>
          </w:tcPr>
          <w:p w14:paraId="24931FD7" w14:textId="77777777" w:rsidR="009F5E8F" w:rsidRPr="003D47CA" w:rsidRDefault="009F5E8F" w:rsidP="007C3C42">
            <w:pP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3B3942AA" w14:textId="77777777" w:rsidR="009F5E8F" w:rsidRPr="003D47CA" w:rsidRDefault="009F5E8F" w:rsidP="007C3C42">
            <w:pPr>
              <w:rPr>
                <w:rFonts w:ascii="Arial Narrow" w:hAnsi="Arial Narrow"/>
                <w:b/>
                <w:sz w:val="20"/>
                <w:szCs w:val="20"/>
              </w:rPr>
            </w:pPr>
            <w:r w:rsidRPr="003D47CA">
              <w:rPr>
                <w:rFonts w:ascii="Arial Narrow" w:hAnsi="Arial Narrow"/>
                <w:b/>
                <w:sz w:val="20"/>
                <w:szCs w:val="20"/>
              </w:rPr>
              <w:t>Prescriber type:</w:t>
            </w:r>
            <w:r w:rsidRPr="003D47CA">
              <w:rPr>
                <w:rFonts w:ascii="Arial Narrow" w:hAnsi="Arial Narrow"/>
                <w:sz w:val="20"/>
                <w:szCs w:val="20"/>
              </w:rPr>
              <w:t xml:space="preserve">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 xml:space="preserve">Medical Practitioners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Nurse Practitioners</w:t>
            </w:r>
          </w:p>
        </w:tc>
      </w:tr>
      <w:tr w:rsidR="009F5E8F" w:rsidRPr="003D47CA" w14:paraId="75C6EE7B" w14:textId="77777777" w:rsidTr="009F5E8F">
        <w:tblPrEx>
          <w:tblCellMar>
            <w:top w:w="15" w:type="dxa"/>
            <w:left w:w="15" w:type="dxa"/>
            <w:bottom w:w="15" w:type="dxa"/>
            <w:right w:w="15" w:type="dxa"/>
          </w:tblCellMar>
          <w:tblLook w:val="04A0" w:firstRow="1" w:lastRow="0" w:firstColumn="1" w:lastColumn="0" w:noHBand="0" w:noVBand="1"/>
        </w:tblPrEx>
        <w:tc>
          <w:tcPr>
            <w:tcW w:w="594" w:type="pct"/>
            <w:vMerge/>
            <w:tcBorders>
              <w:left w:val="single" w:sz="4" w:space="0" w:color="auto"/>
              <w:right w:val="single" w:sz="4" w:space="0" w:color="auto"/>
            </w:tcBorders>
          </w:tcPr>
          <w:p w14:paraId="2C7273DC" w14:textId="77777777" w:rsidR="009F5E8F" w:rsidRPr="003D47CA" w:rsidRDefault="009F5E8F" w:rsidP="007C3C42">
            <w:pP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3DD37F49" w14:textId="77777777" w:rsidR="009F5E8F" w:rsidRPr="003D47CA" w:rsidRDefault="009F5E8F" w:rsidP="007C3C42">
            <w:pPr>
              <w:rPr>
                <w:rFonts w:ascii="Arial Narrow" w:eastAsia="Calibri" w:hAnsi="Arial Narrow"/>
                <w:color w:val="FF00FF"/>
                <w:sz w:val="20"/>
                <w:szCs w:val="20"/>
              </w:rPr>
            </w:pPr>
            <w:r w:rsidRPr="003D47CA">
              <w:rPr>
                <w:rFonts w:ascii="Arial Narrow" w:hAnsi="Arial Narrow"/>
                <w:b/>
                <w:sz w:val="20"/>
                <w:szCs w:val="20"/>
              </w:rPr>
              <w:t xml:space="preserve">Restriction type: </w:t>
            </w:r>
            <w:r w:rsidRPr="003D47CA">
              <w:rPr>
                <w:rFonts w:ascii="Arial Narrow" w:eastAsia="Calibri" w:hAnsi="Arial Narrow"/>
                <w:sz w:val="20"/>
                <w:szCs w:val="20"/>
              </w:rPr>
              <w:fldChar w:fldCharType="begin" w:fldLock="1">
                <w:ffData>
                  <w:name w:val=""/>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Restricted benefit</w:t>
            </w:r>
          </w:p>
        </w:tc>
      </w:tr>
      <w:tr w:rsidR="009F5E8F" w:rsidRPr="003D47CA" w14:paraId="5CEDE8DD"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6BB7D227" w14:textId="39AA0910" w:rsidR="009F5E8F" w:rsidRPr="003D47CA" w:rsidRDefault="009F5E8F" w:rsidP="007C3C42">
            <w:pPr>
              <w:jc w:val="cente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06060A8C" w14:textId="77777777" w:rsidR="009F5E8F" w:rsidRPr="003D47CA" w:rsidRDefault="009F5E8F" w:rsidP="007C3C42">
            <w:pPr>
              <w:pStyle w:val="NormalWeb"/>
              <w:spacing w:before="0" w:after="0"/>
              <w:textAlignment w:val="baseline"/>
              <w:rPr>
                <w:rFonts w:ascii="Arial Narrow" w:hAnsi="Arial Narrow" w:cs="Open Sans"/>
                <w:color w:val="333333"/>
                <w:sz w:val="20"/>
                <w:szCs w:val="20"/>
              </w:rPr>
            </w:pPr>
            <w:r w:rsidRPr="003D47CA">
              <w:rPr>
                <w:rStyle w:val="Strong"/>
                <w:rFonts w:ascii="Arial Narrow" w:hAnsi="Arial Narrow" w:cs="Open Sans"/>
                <w:color w:val="333333"/>
                <w:sz w:val="20"/>
                <w:szCs w:val="20"/>
                <w:bdr w:val="none" w:sz="0" w:space="0" w:color="auto" w:frame="1"/>
              </w:rPr>
              <w:t>Administrative Advice:</w:t>
            </w:r>
          </w:p>
          <w:p w14:paraId="30CF5163" w14:textId="77777777" w:rsidR="009F5E8F" w:rsidRPr="003D47CA" w:rsidRDefault="009F5E8F" w:rsidP="007C3C42">
            <w:pPr>
              <w:pStyle w:val="NormalWeb"/>
              <w:spacing w:before="0" w:after="0"/>
              <w:textAlignment w:val="baseline"/>
              <w:rPr>
                <w:rFonts w:ascii="Arial Narrow" w:hAnsi="Arial Narrow" w:cs="Open Sans"/>
                <w:color w:val="333333"/>
                <w:sz w:val="20"/>
                <w:szCs w:val="20"/>
              </w:rPr>
            </w:pPr>
            <w:r w:rsidRPr="003D47CA">
              <w:rPr>
                <w:rFonts w:ascii="Arial Narrow" w:hAnsi="Arial Narrow" w:cs="Open Sans"/>
                <w:b/>
                <w:bCs/>
                <w:color w:val="333333"/>
                <w:sz w:val="20"/>
                <w:szCs w:val="20"/>
                <w:bdr w:val="none" w:sz="0" w:space="0" w:color="auto" w:frame="1"/>
              </w:rPr>
              <w:t>Continuing Therapy Only:</w:t>
            </w:r>
          </w:p>
          <w:p w14:paraId="1C72031B" w14:textId="77777777" w:rsidR="009F5E8F" w:rsidRPr="003D47CA" w:rsidRDefault="009F5E8F" w:rsidP="007C3C42">
            <w:pPr>
              <w:rPr>
                <w:rFonts w:ascii="Arial Narrow" w:hAnsi="Arial Narrow"/>
                <w:b/>
                <w:sz w:val="20"/>
                <w:szCs w:val="20"/>
              </w:rPr>
            </w:pPr>
            <w:r w:rsidRPr="003D47CA">
              <w:rPr>
                <w:rFonts w:ascii="Arial Narrow" w:hAnsi="Arial Narrow" w:cs="Open San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F5E8F" w:rsidRPr="003D47CA" w14:paraId="32542550"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bottom w:val="single" w:sz="4" w:space="0" w:color="auto"/>
              <w:right w:val="single" w:sz="4" w:space="0" w:color="auto"/>
            </w:tcBorders>
          </w:tcPr>
          <w:p w14:paraId="2E0B601F" w14:textId="4B2A75BE" w:rsidR="009F5E8F" w:rsidRPr="003D47CA" w:rsidRDefault="009F5E8F" w:rsidP="007C3C42">
            <w:pPr>
              <w:jc w:val="cente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05734614" w14:textId="77777777" w:rsidR="009F5E8F" w:rsidRPr="003D47CA" w:rsidRDefault="009F5E8F" w:rsidP="007C3C42">
            <w:pPr>
              <w:rPr>
                <w:rFonts w:ascii="Arial Narrow" w:hAnsi="Arial Narrow"/>
                <w:b/>
                <w:sz w:val="20"/>
                <w:szCs w:val="20"/>
              </w:rPr>
            </w:pPr>
            <w:r w:rsidRPr="003D47CA">
              <w:rPr>
                <w:rStyle w:val="Strong"/>
                <w:rFonts w:ascii="Arial Narrow" w:hAnsi="Arial Narrow" w:cs="Open Sans"/>
                <w:color w:val="333333"/>
                <w:sz w:val="20"/>
                <w:szCs w:val="20"/>
                <w:bdr w:val="none" w:sz="0" w:space="0" w:color="auto" w:frame="1"/>
              </w:rPr>
              <w:t xml:space="preserve">Indication: </w:t>
            </w:r>
            <w:r w:rsidRPr="003D47CA">
              <w:rPr>
                <w:rFonts w:ascii="Arial Narrow" w:hAnsi="Arial Narrow" w:cs="Open Sans"/>
                <w:color w:val="333333"/>
                <w:sz w:val="20"/>
                <w:szCs w:val="20"/>
              </w:rPr>
              <w:t>Chronic stable plaque type psoriasis vulgaris</w:t>
            </w:r>
          </w:p>
        </w:tc>
      </w:tr>
      <w:tr w:rsidR="009F5E8F" w:rsidRPr="003D47CA" w14:paraId="392F6BAE"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612842CE" w14:textId="36F3C614" w:rsidR="009F5E8F" w:rsidRPr="003D47CA" w:rsidRDefault="009F5E8F" w:rsidP="007C3C42">
            <w:pPr>
              <w:jc w:val="center"/>
              <w:rPr>
                <w:rFonts w:ascii="Arial Narrow" w:hAnsi="Arial Narrow"/>
                <w:i/>
                <w:iCs/>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6097C362" w14:textId="77777777" w:rsidR="009F5E8F" w:rsidRPr="003D47CA" w:rsidRDefault="009F5E8F" w:rsidP="007C3C42">
            <w:pPr>
              <w:rPr>
                <w:rFonts w:ascii="Arial Narrow" w:hAnsi="Arial Narrow"/>
                <w:b/>
                <w:i/>
                <w:iCs/>
                <w:sz w:val="20"/>
                <w:szCs w:val="20"/>
              </w:rPr>
            </w:pPr>
            <w:r w:rsidRPr="003D47CA">
              <w:rPr>
                <w:rStyle w:val="Strong"/>
                <w:rFonts w:ascii="Arial Narrow" w:hAnsi="Arial Narrow" w:cs="Open Sans"/>
                <w:i/>
                <w:iCs/>
                <w:color w:val="333333"/>
                <w:sz w:val="20"/>
                <w:szCs w:val="20"/>
                <w:bdr w:val="none" w:sz="0" w:space="0" w:color="auto" w:frame="1"/>
              </w:rPr>
              <w:t>Clinical criteria:</w:t>
            </w:r>
          </w:p>
        </w:tc>
      </w:tr>
      <w:tr w:rsidR="009F5E8F" w:rsidRPr="003D47CA" w14:paraId="2F4C644C"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6B42CD52" w14:textId="4102AEC1" w:rsidR="009F5E8F" w:rsidRPr="003D47CA" w:rsidRDefault="009F5E8F" w:rsidP="007C3C42">
            <w:pPr>
              <w:jc w:val="center"/>
              <w:rPr>
                <w:rFonts w:ascii="Arial Narrow" w:hAnsi="Arial Narrow"/>
                <w:i/>
                <w:iCs/>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7CCBBE31" w14:textId="77777777" w:rsidR="009F5E8F" w:rsidRPr="003D47CA" w:rsidRDefault="009F5E8F" w:rsidP="007C3C42">
            <w:pPr>
              <w:rPr>
                <w:rFonts w:ascii="Arial Narrow" w:hAnsi="Arial Narrow"/>
                <w:b/>
                <w:i/>
                <w:iCs/>
                <w:sz w:val="20"/>
                <w:szCs w:val="20"/>
              </w:rPr>
            </w:pPr>
            <w:r w:rsidRPr="003D47CA">
              <w:rPr>
                <w:rFonts w:ascii="Arial Narrow" w:hAnsi="Arial Narrow" w:cs="Open Sans"/>
                <w:i/>
                <w:iCs/>
                <w:color w:val="333333"/>
                <w:sz w:val="20"/>
                <w:szCs w:val="20"/>
              </w:rPr>
              <w:t>The condition must be stable for the prescriber to consider the listed maximum quantity of this medicine suitable for this patient</w:t>
            </w:r>
            <w:r>
              <w:rPr>
                <w:rFonts w:ascii="Arial Narrow" w:hAnsi="Arial Narrow" w:cs="Open Sans"/>
                <w:i/>
                <w:iCs/>
                <w:color w:val="333333"/>
                <w:sz w:val="20"/>
                <w:szCs w:val="20"/>
              </w:rPr>
              <w:t>,</w:t>
            </w:r>
          </w:p>
        </w:tc>
      </w:tr>
      <w:tr w:rsidR="009F5E8F" w:rsidRPr="003D47CA" w14:paraId="763F948A"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20B09340" w14:textId="77777777" w:rsidR="009F5E8F" w:rsidRPr="003D47CA" w:rsidRDefault="009F5E8F" w:rsidP="007C3C42">
            <w:pPr>
              <w:jc w:val="center"/>
              <w:rPr>
                <w:rFonts w:ascii="Arial Narrow" w:hAnsi="Arial Narrow"/>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310DB759" w14:textId="77777777" w:rsidR="009F5E8F" w:rsidRPr="003D47CA" w:rsidRDefault="009F5E8F" w:rsidP="007C3C42">
            <w:pPr>
              <w:rPr>
                <w:rFonts w:ascii="Arial Narrow" w:hAnsi="Arial Narrow"/>
                <w:b/>
                <w:sz w:val="20"/>
                <w:szCs w:val="20"/>
              </w:rPr>
            </w:pPr>
            <w:r w:rsidRPr="003D47CA">
              <w:rPr>
                <w:rStyle w:val="Strong"/>
                <w:rFonts w:ascii="Arial Narrow" w:hAnsi="Arial Narrow" w:cs="Open Sans"/>
                <w:color w:val="333333"/>
                <w:sz w:val="20"/>
                <w:szCs w:val="20"/>
                <w:bdr w:val="none" w:sz="0" w:space="0" w:color="auto" w:frame="1"/>
              </w:rPr>
              <w:t>AND</w:t>
            </w:r>
          </w:p>
        </w:tc>
      </w:tr>
      <w:tr w:rsidR="009F5E8F" w:rsidRPr="003D47CA" w14:paraId="2463563A"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00326FB8" w14:textId="1EF6F284" w:rsidR="009F5E8F" w:rsidRPr="003D47CA" w:rsidRDefault="009F5E8F" w:rsidP="007C3C42">
            <w:pPr>
              <w:jc w:val="center"/>
              <w:rPr>
                <w:rFonts w:ascii="Arial Narrow" w:hAnsi="Arial Narrow" w:cs="Open Sans"/>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29F48371"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Style w:val="Strong"/>
                <w:rFonts w:ascii="Arial Narrow" w:hAnsi="Arial Narrow" w:cs="Open Sans"/>
                <w:color w:val="333333"/>
                <w:sz w:val="20"/>
                <w:szCs w:val="20"/>
                <w:bdr w:val="none" w:sz="0" w:space="0" w:color="auto" w:frame="1"/>
              </w:rPr>
              <w:t>Clinical criteria:</w:t>
            </w:r>
          </w:p>
        </w:tc>
      </w:tr>
      <w:tr w:rsidR="009F5E8F" w:rsidRPr="003D47CA" w14:paraId="734F3BE7"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11EFBE93" w14:textId="02C2619D" w:rsidR="009F5E8F" w:rsidRPr="003D47CA" w:rsidRDefault="009F5E8F" w:rsidP="007C3C42">
            <w:pPr>
              <w:jc w:val="center"/>
              <w:rPr>
                <w:rFonts w:ascii="Arial Narrow" w:hAnsi="Arial Narrow" w:cs="Open Sans"/>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356EB62A"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Fonts w:ascii="Arial Narrow" w:hAnsi="Arial Narrow" w:cs="Open Sans"/>
                <w:color w:val="333333"/>
                <w:sz w:val="20"/>
                <w:szCs w:val="20"/>
              </w:rPr>
              <w:t>The condition must be inadequately controlled by potent topical corticosteroid monotherapy.</w:t>
            </w:r>
          </w:p>
        </w:tc>
      </w:tr>
      <w:tr w:rsidR="009F5E8F" w:rsidRPr="003D47CA" w14:paraId="4027BF5D"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41B9F42B" w14:textId="77777777" w:rsidR="009F5E8F" w:rsidRPr="003D47CA" w:rsidRDefault="009F5E8F" w:rsidP="007C3C42">
            <w:pPr>
              <w:jc w:val="center"/>
              <w:rPr>
                <w:rFonts w:ascii="Arial Narrow" w:hAnsi="Arial Narrow" w:cs="Open Sans"/>
                <w:strike/>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15D8FB27" w14:textId="77777777" w:rsidR="009F5E8F" w:rsidRPr="003D47CA" w:rsidRDefault="009F5E8F" w:rsidP="007C3C42">
            <w:pPr>
              <w:pStyle w:val="NormalWeb"/>
              <w:spacing w:before="0" w:after="0"/>
              <w:textAlignment w:val="baseline"/>
              <w:rPr>
                <w:rStyle w:val="Strong"/>
                <w:rFonts w:ascii="Arial Narrow" w:eastAsiaTheme="majorEastAsia" w:hAnsi="Arial Narrow" w:cs="Open Sans"/>
                <w:strike/>
                <w:color w:val="333333"/>
                <w:sz w:val="20"/>
                <w:szCs w:val="20"/>
                <w:bdr w:val="none" w:sz="0" w:space="0" w:color="auto" w:frame="1"/>
              </w:rPr>
            </w:pPr>
            <w:r w:rsidRPr="003D47CA">
              <w:rPr>
                <w:rStyle w:val="Strong"/>
                <w:rFonts w:ascii="Arial Narrow" w:eastAsiaTheme="majorEastAsia" w:hAnsi="Arial Narrow" w:cs="Open Sans"/>
                <w:strike/>
                <w:color w:val="333333"/>
                <w:sz w:val="20"/>
                <w:szCs w:val="20"/>
                <w:bdr w:val="none" w:sz="0" w:space="0" w:color="auto" w:frame="1"/>
              </w:rPr>
              <w:t>Population criteria:</w:t>
            </w:r>
          </w:p>
        </w:tc>
      </w:tr>
      <w:tr w:rsidR="009F5E8F" w:rsidRPr="0056699A" w14:paraId="028B859A" w14:textId="77777777" w:rsidTr="009F5E8F">
        <w:tblPrEx>
          <w:tblCellMar>
            <w:top w:w="15" w:type="dxa"/>
            <w:left w:w="15" w:type="dxa"/>
            <w:bottom w:w="15" w:type="dxa"/>
            <w:right w:w="15" w:type="dxa"/>
          </w:tblCellMar>
          <w:tblLook w:val="04A0" w:firstRow="1" w:lastRow="0" w:firstColumn="1" w:lastColumn="0" w:noHBand="0" w:noVBand="1"/>
        </w:tblPrEx>
        <w:tc>
          <w:tcPr>
            <w:tcW w:w="594" w:type="pct"/>
            <w:tcBorders>
              <w:left w:val="single" w:sz="4" w:space="0" w:color="auto"/>
              <w:right w:val="single" w:sz="4" w:space="0" w:color="auto"/>
            </w:tcBorders>
          </w:tcPr>
          <w:p w14:paraId="4FE53577" w14:textId="77777777" w:rsidR="009F5E8F" w:rsidRPr="003D47CA" w:rsidRDefault="009F5E8F" w:rsidP="007C3C42">
            <w:pPr>
              <w:jc w:val="center"/>
              <w:rPr>
                <w:rFonts w:ascii="Arial Narrow" w:hAnsi="Arial Narrow" w:cs="Open Sans"/>
                <w:strike/>
                <w:color w:val="333333"/>
                <w:sz w:val="20"/>
                <w:szCs w:val="20"/>
              </w:rPr>
            </w:pPr>
          </w:p>
        </w:tc>
        <w:tc>
          <w:tcPr>
            <w:tcW w:w="4406" w:type="pct"/>
            <w:gridSpan w:val="6"/>
            <w:tcBorders>
              <w:top w:val="single" w:sz="4" w:space="0" w:color="auto"/>
              <w:left w:val="single" w:sz="4" w:space="0" w:color="auto"/>
              <w:bottom w:val="single" w:sz="4" w:space="0" w:color="auto"/>
              <w:right w:val="single" w:sz="4" w:space="0" w:color="auto"/>
            </w:tcBorders>
          </w:tcPr>
          <w:p w14:paraId="2740F88A" w14:textId="77777777" w:rsidR="009F5E8F" w:rsidRPr="0056699A" w:rsidRDefault="009F5E8F" w:rsidP="007C3C42">
            <w:pPr>
              <w:pStyle w:val="NormalWeb"/>
              <w:spacing w:before="0" w:after="0"/>
              <w:textAlignment w:val="baseline"/>
              <w:rPr>
                <w:rStyle w:val="Strong"/>
                <w:rFonts w:ascii="Arial Narrow" w:eastAsiaTheme="majorEastAsia" w:hAnsi="Arial Narrow" w:cs="Open Sans"/>
                <w:b w:val="0"/>
                <w:bCs w:val="0"/>
                <w:strike/>
                <w:color w:val="333333"/>
                <w:sz w:val="20"/>
                <w:szCs w:val="20"/>
                <w:bdr w:val="none" w:sz="0" w:space="0" w:color="auto" w:frame="1"/>
              </w:rPr>
            </w:pPr>
            <w:r w:rsidRPr="003D47CA">
              <w:rPr>
                <w:rStyle w:val="Strong"/>
                <w:rFonts w:ascii="Arial Narrow" w:eastAsiaTheme="majorEastAsia" w:hAnsi="Arial Narrow" w:cs="Open Sans"/>
                <w:b w:val="0"/>
                <w:bCs w:val="0"/>
                <w:strike/>
                <w:color w:val="333333"/>
                <w:sz w:val="20"/>
                <w:szCs w:val="20"/>
                <w:bdr w:val="none" w:sz="0" w:space="0" w:color="auto" w:frame="1"/>
              </w:rPr>
              <w:t>Patient must be 18 years or older</w:t>
            </w:r>
          </w:p>
        </w:tc>
      </w:tr>
    </w:tbl>
    <w:p w14:paraId="22BAEBD6" w14:textId="77777777" w:rsidR="00046D64" w:rsidRPr="00882085" w:rsidRDefault="00046D64" w:rsidP="004B1CB4"/>
    <w:p w14:paraId="2E3B1B90" w14:textId="1AB016F4" w:rsidR="008A0ABE" w:rsidRPr="00B67C4C" w:rsidRDefault="008A0ABE" w:rsidP="00B7760B">
      <w:pPr>
        <w:pStyle w:val="3-BodyText"/>
        <w:spacing w:line="259" w:lineRule="auto"/>
        <w:ind w:left="709"/>
      </w:pPr>
      <w:r w:rsidRPr="00B7760B">
        <w:t>The submission requested listing with a maximum quantity of 1 pack (60 g) and maximum of 1 repeat, and a corresponding 60-day maximum dispensed quantity listing of 2 packs with 1 repeat, consistent with the current PBS listings for CAL/BDP foam and ointment.</w:t>
      </w:r>
    </w:p>
    <w:p w14:paraId="2C9D2600" w14:textId="77777777" w:rsidR="008A0ABE" w:rsidRPr="00B67C4C" w:rsidRDefault="008A0ABE" w:rsidP="00B7760B">
      <w:pPr>
        <w:pStyle w:val="3-BodyText"/>
        <w:spacing w:line="259" w:lineRule="auto"/>
        <w:ind w:left="709"/>
      </w:pPr>
      <w:r w:rsidRPr="00B7760B">
        <w:t xml:space="preserve">The submission requested that medical practitioners and nurse practitioners be included as eligible prescribers for the CAL/BDP cream listings, consistent with the current PBS listings for CAL/BDP foam and ointment. </w:t>
      </w:r>
    </w:p>
    <w:p w14:paraId="54B96274" w14:textId="72A61FD8" w:rsidR="008A0ABE" w:rsidRPr="00B67C4C" w:rsidRDefault="008A0ABE" w:rsidP="00B7760B">
      <w:pPr>
        <w:pStyle w:val="3-BodyText"/>
        <w:spacing w:line="259" w:lineRule="auto"/>
        <w:ind w:left="709"/>
      </w:pPr>
      <w:r w:rsidRPr="00B7760B">
        <w:t>The listing requested in the submission include</w:t>
      </w:r>
      <w:r w:rsidR="007955E3" w:rsidRPr="00B7760B">
        <w:t>d</w:t>
      </w:r>
      <w:r w:rsidRPr="00B7760B">
        <w:t xml:space="preserve"> the population criterion: ‘Patient must be 18 years or older’. This is consistent with the CAL/BDP cream PI. The PIs for CAL/BDP foam and ointment also state that treatment is not recommended for patients below the age of 18 years, however the current PBS listings for CAL/BDP foam and ointment do not include this population criterion. </w:t>
      </w:r>
    </w:p>
    <w:p w14:paraId="581F5AED" w14:textId="037BDE5B" w:rsidR="00B67C4C" w:rsidRPr="00B67C4C" w:rsidRDefault="00B67C4C" w:rsidP="00B7760B">
      <w:pPr>
        <w:pStyle w:val="3-BodyText"/>
        <w:spacing w:line="259" w:lineRule="auto"/>
        <w:ind w:left="709"/>
      </w:pPr>
      <w:r>
        <w:t>The requested restriction for CAL/BDP cream did not include a stopping criterion. This is consistent with the current PBS listings for CAL/BDP foam and ointment which do not include a stopping criterion. According to the PI, the recommended duration of treatment with CAL/BDP cream is up to 8 weeks, and treatment should be discontinued when disease control is achieved.</w:t>
      </w:r>
    </w:p>
    <w:p w14:paraId="07602002" w14:textId="5F9D49A3" w:rsidR="005F3767" w:rsidRPr="005F3767" w:rsidRDefault="005F3767" w:rsidP="005F3767">
      <w:pPr>
        <w:pStyle w:val="3-BodyText"/>
        <w:numPr>
          <w:ilvl w:val="0"/>
          <w:numId w:val="0"/>
        </w:numPr>
        <w:ind w:left="720"/>
        <w:rPr>
          <w:i/>
          <w:iCs/>
        </w:rPr>
      </w:pPr>
      <w:r w:rsidRPr="005F3767">
        <w:rPr>
          <w:i/>
          <w:iCs/>
        </w:rPr>
        <w:t>For more detail on PBAC’s view, see section 7 PBAC outcome.</w:t>
      </w:r>
    </w:p>
    <w:p w14:paraId="7075B85C" w14:textId="62A47B7B" w:rsidR="00B50DB8" w:rsidRPr="00407F2D" w:rsidDel="00195452" w:rsidRDefault="00203181" w:rsidP="004E18E9">
      <w:pPr>
        <w:pStyle w:val="2-SectionHeading"/>
      </w:pPr>
      <w:bookmarkStart w:id="12" w:name="_Toc198632853"/>
      <w:r w:rsidDel="00195452">
        <w:t xml:space="preserve">Population and </w:t>
      </w:r>
      <w:r w:rsidR="008E0D3C" w:rsidDel="00195452">
        <w:t>d</w:t>
      </w:r>
      <w:r w:rsidDel="00195452">
        <w:t>isease</w:t>
      </w:r>
      <w:bookmarkEnd w:id="12"/>
    </w:p>
    <w:p w14:paraId="32529AE5" w14:textId="38CB7453" w:rsidR="370A693A" w:rsidRDefault="3F8A4618" w:rsidP="00B7760B">
      <w:pPr>
        <w:pStyle w:val="3-BodyText"/>
        <w:spacing w:line="259" w:lineRule="auto"/>
        <w:ind w:left="709"/>
      </w:pPr>
      <w:r>
        <w:t>Psoriasis</w:t>
      </w:r>
      <w:r w:rsidR="370A693A">
        <w:t xml:space="preserve"> is a chronic inflammatory skin condition associated with several comorbidities and has a significant impact </w:t>
      </w:r>
      <w:r w:rsidR="1FA9B5B9">
        <w:t>on</w:t>
      </w:r>
      <w:r w:rsidR="370A693A">
        <w:t xml:space="preserve"> patients’ quality-of-life (QoL).</w:t>
      </w:r>
      <w:r w:rsidR="072236F7">
        <w:t xml:space="preserve"> </w:t>
      </w:r>
      <w:r w:rsidR="05A015E0">
        <w:t>S</w:t>
      </w:r>
      <w:r w:rsidR="05A015E0" w:rsidRPr="5B1A1F58">
        <w:t>ystemic manifestations of psoriasis may include arthritis, cardiovascular disease, depression, diabetes, anxiety</w:t>
      </w:r>
      <w:r w:rsidR="05A015E0">
        <w:t xml:space="preserve">, and obesity. </w:t>
      </w:r>
      <w:r w:rsidR="5B008E5B">
        <w:t>Australia has one of</w:t>
      </w:r>
      <w:r w:rsidR="5B008E5B" w:rsidRPr="5B1A1F58">
        <w:t xml:space="preserve"> </w:t>
      </w:r>
      <w:r w:rsidR="25D8FAE2" w:rsidRPr="5B1A1F58">
        <w:t xml:space="preserve">the </w:t>
      </w:r>
      <w:r w:rsidR="4207994D" w:rsidRPr="5B1A1F58">
        <w:t>highest prevalence rates</w:t>
      </w:r>
      <w:r w:rsidR="6D04D780" w:rsidRPr="5B1A1F58">
        <w:t xml:space="preserve"> for psoriasis,</w:t>
      </w:r>
      <w:r w:rsidR="3BA86A58" w:rsidRPr="5B1A1F58">
        <w:t xml:space="preserve"> at</w:t>
      </w:r>
      <w:r w:rsidR="6D04D780" w:rsidRPr="5B1A1F58">
        <w:t xml:space="preserve"> </w:t>
      </w:r>
      <w:r w:rsidR="4207994D" w:rsidRPr="5B1A1F58">
        <w:t>1.88% overall and 2.38% in adults</w:t>
      </w:r>
      <w:r w:rsidR="38F8302D" w:rsidRPr="5B1A1F58">
        <w:t>.</w:t>
      </w:r>
      <w:r w:rsidR="00602986">
        <w:rPr>
          <w:rStyle w:val="FootnoteReference"/>
        </w:rPr>
        <w:footnoteReference w:id="2"/>
      </w:r>
      <w:r w:rsidR="00B768B9" w:rsidRPr="00B768B9">
        <w:rPr>
          <w:vertAlign w:val="superscript"/>
        </w:rPr>
        <w:t>,</w:t>
      </w:r>
      <w:r w:rsidR="00B768B9">
        <w:rPr>
          <w:rStyle w:val="FootnoteReference"/>
        </w:rPr>
        <w:footnoteReference w:id="3"/>
      </w:r>
      <w:r w:rsidR="38F8302D" w:rsidRPr="5B1A1F58">
        <w:t xml:space="preserve"> </w:t>
      </w:r>
      <w:r w:rsidR="129AF589" w:rsidRPr="00DD05AF">
        <w:t xml:space="preserve">Plaque psoriasis (psoriasis vulgaris) </w:t>
      </w:r>
      <w:r w:rsidR="129AF589" w:rsidRPr="00DD05AF">
        <w:lastRenderedPageBreak/>
        <w:t>is the most common type of psoriasis accounting for approximately 90% of psoriasis cases.</w:t>
      </w:r>
      <w:r w:rsidR="00220F0F" w:rsidRPr="00A27F22">
        <w:rPr>
          <w:rStyle w:val="FootnoteReference"/>
        </w:rPr>
        <w:footnoteReference w:id="4"/>
      </w:r>
      <w:r w:rsidR="00A27F22" w:rsidRPr="00A27F22">
        <w:rPr>
          <w:vertAlign w:val="superscript"/>
        </w:rPr>
        <w:t>,</w:t>
      </w:r>
      <w:r w:rsidR="00C3737B" w:rsidRPr="00A27F22">
        <w:rPr>
          <w:rStyle w:val="FootnoteReference"/>
        </w:rPr>
        <w:footnoteReference w:id="5"/>
      </w:r>
      <w:r w:rsidR="71889F24" w:rsidRPr="00DD05AF">
        <w:t xml:space="preserve"> Plaque psoriasis is characterised by erythematous scaly patches or plaques that can occur on any region of the skin, with the</w:t>
      </w:r>
      <w:r w:rsidR="0244B73B" w:rsidRPr="5B1A1F58">
        <w:t xml:space="preserve"> scalp being the </w:t>
      </w:r>
      <w:r w:rsidR="71889F24" w:rsidRPr="00DD05AF">
        <w:t>most common initial location</w:t>
      </w:r>
      <w:r w:rsidR="53971533">
        <w:t>.</w:t>
      </w:r>
    </w:p>
    <w:p w14:paraId="41A2DB31" w14:textId="0C444361" w:rsidR="00B35DD0" w:rsidRDefault="00326CD6" w:rsidP="00B7760B">
      <w:pPr>
        <w:pStyle w:val="3-BodyText"/>
        <w:spacing w:line="259" w:lineRule="auto"/>
        <w:ind w:left="709"/>
      </w:pPr>
      <w:r w:rsidRPr="00326CD6">
        <w:t xml:space="preserve">Based on the Therapeutic </w:t>
      </w:r>
      <w:r w:rsidR="00D81B5A">
        <w:t>G</w:t>
      </w:r>
      <w:r w:rsidRPr="00326CD6">
        <w:t xml:space="preserve">uidelines </w:t>
      </w:r>
      <w:r w:rsidR="00AF148E">
        <w:t>(2025)</w:t>
      </w:r>
      <w:r w:rsidR="003F372B" w:rsidRPr="00B7760B">
        <w:footnoteReference w:id="6"/>
      </w:r>
      <w:r w:rsidR="00AF148E">
        <w:t xml:space="preserve">, </w:t>
      </w:r>
      <w:r w:rsidR="00007898">
        <w:t>t</w:t>
      </w:r>
      <w:r w:rsidR="00F23041" w:rsidRPr="00F23041">
        <w:t>opical therapies</w:t>
      </w:r>
      <w:r w:rsidR="00945F8F">
        <w:t xml:space="preserve">, such as </w:t>
      </w:r>
      <w:proofErr w:type="spellStart"/>
      <w:r w:rsidR="00F23041" w:rsidRPr="00F23041">
        <w:t>keratolytics</w:t>
      </w:r>
      <w:proofErr w:type="spellEnd"/>
      <w:r w:rsidR="00F23041" w:rsidRPr="00F23041">
        <w:t>,</w:t>
      </w:r>
      <w:r w:rsidR="00F23041">
        <w:t xml:space="preserve"> </w:t>
      </w:r>
      <w:r w:rsidR="00F23041" w:rsidRPr="00F23041">
        <w:t>TCS, vitamin D analogues, coal tar extracts</w:t>
      </w:r>
      <w:r w:rsidR="007F6CE4" w:rsidRPr="007F6CE4">
        <w:t>,</w:t>
      </w:r>
      <w:r w:rsidR="00F23041" w:rsidRPr="00F23041">
        <w:t xml:space="preserve"> and combinations of these </w:t>
      </w:r>
      <w:r w:rsidR="007F6CE4" w:rsidRPr="007F6CE4">
        <w:t>agents</w:t>
      </w:r>
      <w:r w:rsidR="007F6CE4">
        <w:t xml:space="preserve">, </w:t>
      </w:r>
      <w:r w:rsidR="007F6CE4" w:rsidRPr="007F6CE4">
        <w:t>are recommended for the treatment of mild to moderate plaque psoriasis.</w:t>
      </w:r>
      <w:r w:rsidRPr="00326CD6">
        <w:t xml:space="preserve"> </w:t>
      </w:r>
      <w:r w:rsidR="00F46888">
        <w:t>P</w:t>
      </w:r>
      <w:r w:rsidR="00F46888" w:rsidRPr="00F46888">
        <w:t>atients who have demonstrated</w:t>
      </w:r>
      <w:r w:rsidR="00FD61B0" w:rsidRPr="00FD61B0">
        <w:t xml:space="preserve"> an inadequate response to TCS monotherapy may </w:t>
      </w:r>
      <w:r w:rsidR="00F46888" w:rsidRPr="00F46888">
        <w:t>be considered for treatment with a combination of</w:t>
      </w:r>
      <w:r w:rsidR="00FD61B0" w:rsidRPr="00FD61B0">
        <w:t xml:space="preserve"> TCS and calcipotriol</w:t>
      </w:r>
      <w:r w:rsidR="00F46888" w:rsidRPr="00F46888">
        <w:t xml:space="preserve">. Currently, </w:t>
      </w:r>
      <w:r w:rsidR="00F46888">
        <w:t xml:space="preserve">as outlined in paragraph </w:t>
      </w:r>
      <w:r w:rsidR="00F46888">
        <w:fldChar w:fldCharType="begin" w:fldLock="1"/>
      </w:r>
      <w:r w:rsidR="00F46888">
        <w:instrText xml:space="preserve"> REF _Ref195792522 \r \h </w:instrText>
      </w:r>
      <w:r w:rsidR="00B7760B">
        <w:instrText xml:space="preserve"> \* MERGEFORMAT </w:instrText>
      </w:r>
      <w:r w:rsidR="00F46888">
        <w:fldChar w:fldCharType="separate"/>
      </w:r>
      <w:r w:rsidR="00036A4B">
        <w:t>2.3</w:t>
      </w:r>
      <w:r w:rsidR="00F46888">
        <w:fldChar w:fldCharType="end"/>
      </w:r>
      <w:r w:rsidR="00F46888">
        <w:t>,</w:t>
      </w:r>
      <w:r w:rsidR="00FD61B0" w:rsidRPr="00FD61B0">
        <w:t xml:space="preserve"> the only combination </w:t>
      </w:r>
      <w:r w:rsidR="00802103">
        <w:t>product</w:t>
      </w:r>
      <w:r w:rsidR="0056558B">
        <w:t>s</w:t>
      </w:r>
      <w:r w:rsidR="00EF1FB3">
        <w:t xml:space="preserve"> </w:t>
      </w:r>
      <w:r w:rsidR="00F46888" w:rsidRPr="00F46888">
        <w:t>containing</w:t>
      </w:r>
      <w:r w:rsidR="00FD61B0" w:rsidRPr="00FD61B0">
        <w:t xml:space="preserve"> calcipotriol </w:t>
      </w:r>
      <w:r w:rsidR="00351E5E">
        <w:t xml:space="preserve">available in Australia </w:t>
      </w:r>
      <w:r w:rsidR="00EF1FB3">
        <w:t xml:space="preserve">are those </w:t>
      </w:r>
      <w:r w:rsidR="00F46888" w:rsidRPr="00F46888">
        <w:t xml:space="preserve">with </w:t>
      </w:r>
      <w:r w:rsidR="00FD61B0" w:rsidRPr="00FD61B0">
        <w:t>betamethasone (as dipropionate</w:t>
      </w:r>
      <w:r w:rsidR="00F46888" w:rsidRPr="00F46888">
        <w:t>),</w:t>
      </w:r>
      <w:r w:rsidR="00FD61B0" w:rsidRPr="00FD61B0">
        <w:t xml:space="preserve"> which is </w:t>
      </w:r>
      <w:r w:rsidR="00F46888" w:rsidRPr="00F46888">
        <w:t xml:space="preserve">listed on the PBS in both </w:t>
      </w:r>
      <w:r w:rsidR="00FD61B0" w:rsidRPr="00FD61B0">
        <w:t xml:space="preserve">foam </w:t>
      </w:r>
      <w:r w:rsidR="00F46888" w:rsidRPr="00F46888">
        <w:t>and</w:t>
      </w:r>
      <w:r w:rsidR="00FD61B0" w:rsidRPr="00FD61B0">
        <w:t xml:space="preserve"> ointment </w:t>
      </w:r>
      <w:r w:rsidR="00F46888" w:rsidRPr="00F46888">
        <w:t>formulations</w:t>
      </w:r>
      <w:r w:rsidR="00FD61B0" w:rsidRPr="00FD61B0">
        <w:t>.</w:t>
      </w:r>
    </w:p>
    <w:p w14:paraId="2B250AF3" w14:textId="4F47C1B0" w:rsidR="00C41D73" w:rsidRPr="00C41D73" w:rsidRDefault="1CBF6968" w:rsidP="00B7760B">
      <w:pPr>
        <w:pStyle w:val="3-BodyText"/>
        <w:spacing w:line="259" w:lineRule="auto"/>
        <w:ind w:left="709"/>
      </w:pPr>
      <w:r>
        <w:t>Calcipotriol</w:t>
      </w:r>
      <w:r w:rsidR="008D4290" w:rsidRPr="008D4290">
        <w:t xml:space="preserve"> is a vitamin D analogue and betamethasone dipropionate is a synthetic fluorinated corticosteroid. In combination, CAL/BDP products promote greater anti-inflammatory and anti-proliferative effects than either component alone.</w:t>
      </w:r>
      <w:r w:rsidR="00EC7624" w:rsidRPr="00B7760B">
        <w:footnoteReference w:id="7"/>
      </w:r>
      <w:r w:rsidR="00A84A13">
        <w:t xml:space="preserve"> CAL/BDP cream is a topical a</w:t>
      </w:r>
      <w:r w:rsidR="009E5200">
        <w:t>queous formulation</w:t>
      </w:r>
      <w:r w:rsidR="004C37C8">
        <w:t>,</w:t>
      </w:r>
      <w:r w:rsidR="003304CE">
        <w:t xml:space="preserve"> which the</w:t>
      </w:r>
      <w:r w:rsidR="00545DC0">
        <w:t xml:space="preserve"> </w:t>
      </w:r>
      <w:r w:rsidR="00DF2FD6">
        <w:t>submission</w:t>
      </w:r>
      <w:r w:rsidR="00D77875">
        <w:t xml:space="preserve"> claimed</w:t>
      </w:r>
      <w:r w:rsidR="003304CE">
        <w:t xml:space="preserve"> </w:t>
      </w:r>
      <w:r w:rsidR="00545DC0">
        <w:t>provide</w:t>
      </w:r>
      <w:r w:rsidR="003304CE">
        <w:t>s</w:t>
      </w:r>
      <w:r w:rsidR="00545DC0">
        <w:t xml:space="preserve"> greater improvements in quality of life, along with </w:t>
      </w:r>
      <w:r w:rsidR="00C41D73" w:rsidRPr="00C41D73">
        <w:t xml:space="preserve">superior treatment satisfaction and adherence, </w:t>
      </w:r>
      <w:r w:rsidR="00430866">
        <w:t xml:space="preserve">when </w:t>
      </w:r>
      <w:r w:rsidR="00C41D73" w:rsidRPr="00C41D73">
        <w:t>compared to other available CAL/BDP products.</w:t>
      </w:r>
    </w:p>
    <w:p w14:paraId="20CD1792" w14:textId="4F0115A1" w:rsidR="005D0B6B" w:rsidRDefault="005D0B6B" w:rsidP="00B7760B">
      <w:pPr>
        <w:pStyle w:val="3-BodyText"/>
        <w:spacing w:line="259" w:lineRule="auto"/>
        <w:ind w:left="709"/>
      </w:pPr>
      <w:r w:rsidRPr="008D4290">
        <w:t xml:space="preserve">The submission proposed that CAL/BDP cream would be positioned in the same place in the treatment pathway as the currently listed CAL/BDP </w:t>
      </w:r>
      <w:r w:rsidR="00430866">
        <w:t>foam and ointment</w:t>
      </w:r>
      <w:r w:rsidR="00986E4D">
        <w:t xml:space="preserve"> products</w:t>
      </w:r>
      <w:r w:rsidRPr="008D4290">
        <w:t xml:space="preserve">. </w:t>
      </w:r>
      <w:r w:rsidRPr="007F3B2E">
        <w:t>This was reasonable, given the CAL/BDP foam and ointment contain the same active ingredients at the same strength as CAL/BDP cream, with differences only in formulation.</w:t>
      </w:r>
    </w:p>
    <w:p w14:paraId="08540ADC" w14:textId="42B682F7" w:rsidR="005F3767" w:rsidRPr="005F3767" w:rsidRDefault="005F3767" w:rsidP="005F3767">
      <w:pPr>
        <w:pStyle w:val="3-BodyText"/>
        <w:numPr>
          <w:ilvl w:val="0"/>
          <w:numId w:val="0"/>
        </w:numPr>
        <w:ind w:left="720"/>
        <w:rPr>
          <w:i/>
          <w:iCs/>
        </w:rPr>
      </w:pPr>
      <w:r w:rsidRPr="005F3767">
        <w:rPr>
          <w:i/>
          <w:iCs/>
        </w:rPr>
        <w:t>For more detail on PBAC’s view, see section 7 PBAC outcome.</w:t>
      </w:r>
    </w:p>
    <w:p w14:paraId="51E5AE96" w14:textId="136A63B1" w:rsidR="00B50DB8" w:rsidRPr="00407F2D" w:rsidRDefault="00B50DB8" w:rsidP="004E18E9">
      <w:pPr>
        <w:pStyle w:val="2-SectionHeading"/>
      </w:pPr>
      <w:bookmarkStart w:id="13" w:name="_Toc198632854"/>
      <w:r w:rsidRPr="00407F2D">
        <w:t>Comparator</w:t>
      </w:r>
      <w:bookmarkEnd w:id="13"/>
    </w:p>
    <w:p w14:paraId="5EDCBE11" w14:textId="71EEA860" w:rsidR="00E25CBD" w:rsidRPr="003A4C9C" w:rsidRDefault="00E25CBD" w:rsidP="00B7760B">
      <w:pPr>
        <w:pStyle w:val="3-BodyText"/>
        <w:spacing w:line="259" w:lineRule="auto"/>
        <w:ind w:left="709"/>
        <w:rPr>
          <w:snapToGrid/>
          <w:lang w:val="en-US"/>
        </w:rPr>
      </w:pPr>
      <w:r w:rsidRPr="003A4C9C">
        <w:rPr>
          <w:snapToGrid/>
          <w:lang w:val="en-US"/>
        </w:rPr>
        <w:t>The submission</w:t>
      </w:r>
      <w:r w:rsidR="00637467">
        <w:rPr>
          <w:snapToGrid/>
          <w:lang w:val="en-US"/>
        </w:rPr>
        <w:t xml:space="preserve"> </w:t>
      </w:r>
      <w:r w:rsidRPr="003A4C9C">
        <w:rPr>
          <w:snapToGrid/>
          <w:lang w:val="en-US"/>
        </w:rPr>
        <w:t xml:space="preserve">nominated CAL/BDP foam as the main comparator and CAL/BDP ointment as </w:t>
      </w:r>
      <w:r w:rsidR="00EE0166">
        <w:rPr>
          <w:snapToGrid/>
          <w:lang w:val="en-US"/>
        </w:rPr>
        <w:t>the</w:t>
      </w:r>
      <w:r w:rsidRPr="003A4C9C">
        <w:rPr>
          <w:snapToGrid/>
          <w:lang w:val="en-US"/>
        </w:rPr>
        <w:t xml:space="preserve"> secondary comparator.</w:t>
      </w:r>
      <w:r w:rsidR="00223A6A">
        <w:rPr>
          <w:snapToGrid/>
          <w:lang w:val="en-US"/>
        </w:rPr>
        <w:t xml:space="preserve"> </w:t>
      </w:r>
      <w:r w:rsidR="00223A6A" w:rsidRPr="00024C12">
        <w:rPr>
          <w:snapToGrid/>
          <w:lang w:val="en-US"/>
        </w:rPr>
        <w:t>This was appropriate.</w:t>
      </w:r>
      <w:r w:rsidRPr="00024C12">
        <w:rPr>
          <w:snapToGrid/>
          <w:lang w:val="en-US"/>
        </w:rPr>
        <w:t xml:space="preserve"> </w:t>
      </w:r>
      <w:r w:rsidRPr="003A4C9C">
        <w:rPr>
          <w:snapToGrid/>
          <w:lang w:val="en-US"/>
        </w:rPr>
        <w:t xml:space="preserve">CAL/BDP foam accounts </w:t>
      </w:r>
      <w:r w:rsidRPr="003A4C9C">
        <w:rPr>
          <w:snapToGrid/>
          <w:lang w:val="en-US"/>
        </w:rPr>
        <w:lastRenderedPageBreak/>
        <w:t xml:space="preserve">for </w:t>
      </w:r>
      <w:proofErr w:type="gramStart"/>
      <w:r w:rsidRPr="003A4C9C">
        <w:rPr>
          <w:snapToGrid/>
          <w:lang w:val="en-US"/>
        </w:rPr>
        <w:t>the majority</w:t>
      </w:r>
      <w:r w:rsidR="00BD60F4">
        <w:rPr>
          <w:snapToGrid/>
          <w:lang w:val="en-US"/>
        </w:rPr>
        <w:t xml:space="preserve"> of</w:t>
      </w:r>
      <w:proofErr w:type="gramEnd"/>
      <w:r w:rsidR="00BD60F4">
        <w:rPr>
          <w:snapToGrid/>
          <w:lang w:val="en-US"/>
        </w:rPr>
        <w:t xml:space="preserve"> the</w:t>
      </w:r>
      <w:r w:rsidRPr="003A4C9C">
        <w:rPr>
          <w:snapToGrid/>
          <w:lang w:val="en-US"/>
        </w:rPr>
        <w:t xml:space="preserve"> market share within the proposed PBS population, based on data from the PBS Item Statistics</w:t>
      </w:r>
      <w:r w:rsidR="003A4C9C">
        <w:rPr>
          <w:snapToGrid/>
          <w:lang w:val="en-US"/>
        </w:rPr>
        <w:t xml:space="preserve">, and was </w:t>
      </w:r>
      <w:r w:rsidR="00500363">
        <w:rPr>
          <w:snapToGrid/>
          <w:lang w:val="en-US"/>
        </w:rPr>
        <w:t xml:space="preserve">therefore </w:t>
      </w:r>
      <w:r w:rsidR="003A4C9C">
        <w:rPr>
          <w:snapToGrid/>
          <w:lang w:val="en-US"/>
        </w:rPr>
        <w:t>nominated as a primary comparator.</w:t>
      </w:r>
    </w:p>
    <w:p w14:paraId="0CBA15CE" w14:textId="5FBD119E" w:rsidR="00E25CBD" w:rsidRPr="005F3767" w:rsidRDefault="0086065E" w:rsidP="00B7760B">
      <w:pPr>
        <w:pStyle w:val="3-BodyText"/>
        <w:spacing w:line="259" w:lineRule="auto"/>
        <w:ind w:left="709"/>
        <w:rPr>
          <w:snapToGrid/>
          <w:lang w:val="en-US"/>
        </w:rPr>
      </w:pPr>
      <w:r>
        <w:rPr>
          <w:snapToGrid/>
          <w:lang w:val="en-US"/>
        </w:rPr>
        <w:t>While</w:t>
      </w:r>
      <w:r w:rsidR="00E25CBD" w:rsidRPr="00EB0379">
        <w:rPr>
          <w:snapToGrid/>
          <w:lang w:val="en-US"/>
        </w:rPr>
        <w:t xml:space="preserve"> several </w:t>
      </w:r>
      <w:r w:rsidR="008F6851">
        <w:rPr>
          <w:snapToGrid/>
          <w:lang w:val="en-US"/>
        </w:rPr>
        <w:t>topical TCS</w:t>
      </w:r>
      <w:r w:rsidR="00E25CBD" w:rsidRPr="00EB0379">
        <w:rPr>
          <w:snapToGrid/>
          <w:lang w:val="en-US"/>
        </w:rPr>
        <w:t xml:space="preserve"> monotherapies are available as first-</w:t>
      </w:r>
      <w:r w:rsidR="00D97524" w:rsidRPr="00EB0379">
        <w:rPr>
          <w:snapToGrid/>
          <w:lang w:val="en-US"/>
        </w:rPr>
        <w:t>line</w:t>
      </w:r>
      <w:r w:rsidR="00E25CBD" w:rsidRPr="00EB0379">
        <w:rPr>
          <w:snapToGrid/>
          <w:lang w:val="en-US"/>
        </w:rPr>
        <w:t xml:space="preserve"> treatments for plaque psoriasis</w:t>
      </w:r>
      <w:r w:rsidR="00D97524">
        <w:rPr>
          <w:snapToGrid/>
          <w:lang w:val="en-US"/>
        </w:rPr>
        <w:t xml:space="preserve"> </w:t>
      </w:r>
      <w:r w:rsidR="00D97524" w:rsidRPr="00EB0379">
        <w:rPr>
          <w:snapToGrid/>
          <w:lang w:val="en-US"/>
        </w:rPr>
        <w:t>on the PBS</w:t>
      </w:r>
      <w:r w:rsidR="00E25CBD" w:rsidRPr="00EB0379">
        <w:rPr>
          <w:snapToGrid/>
          <w:lang w:val="en-US"/>
        </w:rPr>
        <w:t>, they were not considered comparators, as the proposed restriction</w:t>
      </w:r>
      <w:r w:rsidR="00D97524">
        <w:rPr>
          <w:snapToGrid/>
          <w:lang w:val="en-US"/>
        </w:rPr>
        <w:t xml:space="preserve"> </w:t>
      </w:r>
      <w:r w:rsidR="00E25CBD" w:rsidRPr="00EB0379">
        <w:rPr>
          <w:snapToGrid/>
          <w:lang w:val="en-US"/>
        </w:rPr>
        <w:t xml:space="preserve">requires prior inadequate response to potent TCS monotherapy. </w:t>
      </w:r>
      <w:r w:rsidR="008F6851">
        <w:rPr>
          <w:snapToGrid/>
          <w:lang w:val="en-US"/>
        </w:rPr>
        <w:t>Furthermore, s</w:t>
      </w:r>
      <w:r w:rsidR="00E25CBD" w:rsidRPr="00EB0379">
        <w:rPr>
          <w:snapToGrid/>
          <w:lang w:val="en-US"/>
        </w:rPr>
        <w:t xml:space="preserve">ystemic and biologic treatments are indicated for </w:t>
      </w:r>
      <w:r w:rsidR="008F6851">
        <w:rPr>
          <w:snapToGrid/>
          <w:lang w:val="en-US"/>
        </w:rPr>
        <w:t xml:space="preserve">severe psoriasis and </w:t>
      </w:r>
      <w:r w:rsidR="00E25CBD" w:rsidRPr="00EB0379">
        <w:rPr>
          <w:snapToGrid/>
          <w:lang w:val="en-US"/>
        </w:rPr>
        <w:t xml:space="preserve">later line of </w:t>
      </w:r>
      <w:r w:rsidR="008F6851" w:rsidRPr="00EB0379">
        <w:rPr>
          <w:snapToGrid/>
          <w:lang w:val="en-US"/>
        </w:rPr>
        <w:t>therapy</w:t>
      </w:r>
      <w:r w:rsidR="008F6851">
        <w:rPr>
          <w:snapToGrid/>
          <w:lang w:val="en-US"/>
        </w:rPr>
        <w:t xml:space="preserve"> and thus were not consi</w:t>
      </w:r>
      <w:r w:rsidR="00E25CBD" w:rsidRPr="00EB0379">
        <w:rPr>
          <w:snapToGrid/>
          <w:lang w:val="en-US"/>
        </w:rPr>
        <w:t>dered comparator</w:t>
      </w:r>
      <w:r w:rsidR="008F6851">
        <w:rPr>
          <w:snapToGrid/>
          <w:lang w:val="en-US"/>
        </w:rPr>
        <w:t>s</w:t>
      </w:r>
      <w:r w:rsidR="00E25CBD" w:rsidRPr="00EB0379">
        <w:rPr>
          <w:snapToGrid/>
          <w:lang w:val="en-US"/>
        </w:rPr>
        <w:t xml:space="preserve"> in this submission. </w:t>
      </w:r>
      <w:r w:rsidR="005A4F7A" w:rsidRPr="00645D10">
        <w:rPr>
          <w:snapToGrid/>
          <w:lang w:val="en-US"/>
        </w:rPr>
        <w:t>This was reasonable.</w:t>
      </w:r>
      <w:r w:rsidR="005A4F7A">
        <w:rPr>
          <w:i/>
          <w:iCs/>
          <w:snapToGrid/>
          <w:lang w:val="en-US"/>
        </w:rPr>
        <w:t xml:space="preserve"> </w:t>
      </w:r>
    </w:p>
    <w:p w14:paraId="654D7C4C" w14:textId="2D7E3BCE" w:rsidR="005F3767" w:rsidRPr="005F3767" w:rsidRDefault="005F3767" w:rsidP="005F3767">
      <w:pPr>
        <w:pStyle w:val="3-BodyText"/>
        <w:numPr>
          <w:ilvl w:val="0"/>
          <w:numId w:val="0"/>
        </w:numPr>
        <w:ind w:left="720"/>
        <w:rPr>
          <w:i/>
          <w:iCs/>
          <w:snapToGrid/>
          <w:lang w:val="en-US"/>
        </w:rPr>
      </w:pPr>
      <w:r w:rsidRPr="005F3767">
        <w:rPr>
          <w:i/>
          <w:iCs/>
          <w:snapToGrid/>
          <w:lang w:val="en-US"/>
        </w:rPr>
        <w:t>For more detail on PBAC’s view, see section 7 PBAC outcome.</w:t>
      </w:r>
    </w:p>
    <w:p w14:paraId="7F9C27C8" w14:textId="2FDAE008" w:rsidR="00223D5A" w:rsidRPr="00407F2D" w:rsidRDefault="00223D5A" w:rsidP="00223D5A">
      <w:pPr>
        <w:pStyle w:val="2-SectionHeading"/>
        <w:numPr>
          <w:ilvl w:val="0"/>
          <w:numId w:val="1"/>
        </w:numPr>
      </w:pPr>
      <w:bookmarkStart w:id="14" w:name="_Toc198632855"/>
      <w:bookmarkStart w:id="15" w:name="_Toc22897640"/>
      <w:r>
        <w:t>C</w:t>
      </w:r>
      <w:r w:rsidRPr="00407F2D">
        <w:t>onsideration of the evidence</w:t>
      </w:r>
      <w:bookmarkEnd w:id="14"/>
    </w:p>
    <w:p w14:paraId="0701A0A0" w14:textId="77777777" w:rsidR="00DF5D79" w:rsidRPr="006E1229" w:rsidRDefault="00DF5D79" w:rsidP="00DF5D79">
      <w:pPr>
        <w:pStyle w:val="4-SubsectionHeading"/>
      </w:pPr>
      <w:bookmarkStart w:id="16" w:name="_Hlk76375935"/>
      <w:bookmarkStart w:id="17" w:name="_Toc198632856"/>
      <w:r w:rsidRPr="006E1229">
        <w:t>Sponsor hearing</w:t>
      </w:r>
    </w:p>
    <w:p w14:paraId="7D549590" w14:textId="4411C232" w:rsidR="00DF5D79" w:rsidRPr="00F91542" w:rsidRDefault="00DF5D79" w:rsidP="00DF5D79">
      <w:pPr>
        <w:widowControl w:val="0"/>
        <w:numPr>
          <w:ilvl w:val="1"/>
          <w:numId w:val="1"/>
        </w:numPr>
        <w:spacing w:after="120"/>
        <w:ind w:left="720"/>
        <w:rPr>
          <w:rFonts w:cs="Calibri"/>
          <w:bCs/>
          <w:snapToGrid w:val="0"/>
        </w:rPr>
      </w:pPr>
      <w:r w:rsidRPr="00F91542">
        <w:rPr>
          <w:rFonts w:cs="Calibri"/>
          <w:bCs/>
          <w:snapToGrid w:val="0"/>
        </w:rPr>
        <w:t>There was no hearing for this item.</w:t>
      </w:r>
    </w:p>
    <w:p w14:paraId="1A047DE1" w14:textId="77777777" w:rsidR="00DF5D79" w:rsidRPr="006E1229" w:rsidRDefault="00DF5D79" w:rsidP="00DF5D79">
      <w:pPr>
        <w:pStyle w:val="4-SubsectionHeading"/>
      </w:pPr>
      <w:r w:rsidRPr="006E1229">
        <w:t>Consumer comments</w:t>
      </w:r>
    </w:p>
    <w:p w14:paraId="2FCF9651" w14:textId="00662C88" w:rsidR="00DF5D79" w:rsidRPr="00DF5D79" w:rsidRDefault="00DF5D79" w:rsidP="002E4F02">
      <w:pPr>
        <w:widowControl w:val="0"/>
        <w:numPr>
          <w:ilvl w:val="1"/>
          <w:numId w:val="1"/>
        </w:numPr>
        <w:spacing w:after="120"/>
        <w:ind w:left="720"/>
        <w:rPr>
          <w:rFonts w:asciiTheme="minorHAnsi" w:hAnsiTheme="minorHAnsi"/>
          <w:bCs/>
          <w:snapToGrid w:val="0"/>
        </w:rPr>
      </w:pPr>
      <w:bookmarkStart w:id="18" w:name="_Hlk76382618"/>
      <w:r w:rsidRPr="00836F75">
        <w:rPr>
          <w:rFonts w:asciiTheme="minorHAnsi" w:hAnsiTheme="minorHAnsi"/>
          <w:bCs/>
          <w:snapToGrid w:val="0"/>
        </w:rPr>
        <w:t>The PBAC noted that no consumer comments were received for this item.</w:t>
      </w:r>
      <w:bookmarkEnd w:id="16"/>
      <w:bookmarkEnd w:id="18"/>
    </w:p>
    <w:p w14:paraId="609C0765" w14:textId="42BEE121" w:rsidR="00B60939" w:rsidRPr="00C9624D" w:rsidRDefault="00B60939" w:rsidP="002E4F02">
      <w:pPr>
        <w:pStyle w:val="4-SubsectionHeading"/>
      </w:pPr>
      <w:r w:rsidRPr="00C9624D">
        <w:t>Clinical trials</w:t>
      </w:r>
      <w:bookmarkEnd w:id="15"/>
      <w:bookmarkEnd w:id="17"/>
    </w:p>
    <w:p w14:paraId="01DC1C8B" w14:textId="77777777" w:rsidR="00C522C2" w:rsidRDefault="00A00EFB" w:rsidP="00B7760B">
      <w:pPr>
        <w:widowControl w:val="0"/>
        <w:numPr>
          <w:ilvl w:val="1"/>
          <w:numId w:val="1"/>
        </w:numPr>
        <w:spacing w:after="120"/>
        <w:ind w:left="720"/>
      </w:pPr>
      <w:r w:rsidRPr="00A00EFB">
        <w:t xml:space="preserve">The submission conducted a literature review to identify relevant randomised controlled trials (RCTs) comparing the safety and efficacy of CAL/BDP cream versus each of CAL/BDP foam and CAL/BDP ointment. </w:t>
      </w:r>
    </w:p>
    <w:p w14:paraId="6AABA20C" w14:textId="734E0C2C" w:rsidR="00C522C2" w:rsidRPr="00724B0E" w:rsidRDefault="00C522C2" w:rsidP="00C522C2">
      <w:pPr>
        <w:pStyle w:val="3-BodyText"/>
        <w:numPr>
          <w:ilvl w:val="0"/>
          <w:numId w:val="0"/>
        </w:numPr>
        <w:rPr>
          <w:b/>
          <w:bCs/>
        </w:rPr>
      </w:pPr>
      <w:r w:rsidRPr="00724B0E">
        <w:rPr>
          <w:b/>
          <w:bCs/>
        </w:rPr>
        <w:t>CAL/BDP cream versus ointment</w:t>
      </w:r>
    </w:p>
    <w:p w14:paraId="23EBFCA5" w14:textId="59A44800" w:rsidR="00E55638" w:rsidRDefault="00F8187E" w:rsidP="00B7760B">
      <w:pPr>
        <w:widowControl w:val="0"/>
        <w:numPr>
          <w:ilvl w:val="1"/>
          <w:numId w:val="1"/>
        </w:numPr>
        <w:spacing w:after="120"/>
        <w:ind w:left="720"/>
      </w:pPr>
      <w:r>
        <w:t xml:space="preserve">The submission was based on </w:t>
      </w:r>
      <w:r w:rsidR="004403DB">
        <w:t xml:space="preserve">three RCTs; </w:t>
      </w:r>
      <w:r>
        <w:t xml:space="preserve">one </w:t>
      </w:r>
      <w:r w:rsidR="004403DB">
        <w:t>p</w:t>
      </w:r>
      <w:r w:rsidR="00724B0E">
        <w:t>hase 2</w:t>
      </w:r>
      <w:r>
        <w:t xml:space="preserve"> trial comparing CAL/BDP cream to ointment (MC2-01-C3</w:t>
      </w:r>
      <w:r w:rsidR="004403DB">
        <w:t>) and</w:t>
      </w:r>
      <w:r w:rsidR="00E55638">
        <w:t xml:space="preserve"> two </w:t>
      </w:r>
      <w:r w:rsidR="004403DB">
        <w:t>phase 3 trials</w:t>
      </w:r>
      <w:r w:rsidR="00E55638">
        <w:t xml:space="preserve"> comparing CAL/BDP cream with gel (MC2-01-C2 and MC2-01-C7)</w:t>
      </w:r>
      <w:r w:rsidR="003E1A51">
        <w:t xml:space="preserve">. The </w:t>
      </w:r>
      <w:r w:rsidR="004403DB">
        <w:t xml:space="preserve">CAL/BDP </w:t>
      </w:r>
      <w:r w:rsidR="003E1A51">
        <w:t>gel was</w:t>
      </w:r>
      <w:r w:rsidR="00E55638">
        <w:t xml:space="preserve"> used as a proxy for </w:t>
      </w:r>
      <w:r w:rsidR="003E1A51">
        <w:t xml:space="preserve">the </w:t>
      </w:r>
      <w:r w:rsidR="00E55638">
        <w:t xml:space="preserve">ointment, based on the assumption of equivalent efficacy </w:t>
      </w:r>
      <w:r w:rsidR="003E1A51">
        <w:t xml:space="preserve">and safety </w:t>
      </w:r>
      <w:r w:rsidR="00E55638">
        <w:t>between the gel and ointment formulations.</w:t>
      </w:r>
      <w:r w:rsidR="00A16AF1">
        <w:t xml:space="preserve"> The </w:t>
      </w:r>
      <w:r w:rsidR="00DF68D7">
        <w:t xml:space="preserve">submission </w:t>
      </w:r>
      <w:r w:rsidR="00C477CC">
        <w:t xml:space="preserve">claimed the </w:t>
      </w:r>
      <w:r w:rsidR="00A16AF1">
        <w:t xml:space="preserve">PBAC </w:t>
      </w:r>
      <w:r w:rsidR="00C477CC">
        <w:t xml:space="preserve">had previously </w:t>
      </w:r>
      <w:r w:rsidR="00A16AF1">
        <w:t>consider</w:t>
      </w:r>
      <w:r w:rsidR="00C477CC">
        <w:t xml:space="preserve">ed </w:t>
      </w:r>
      <w:r w:rsidR="00A16AF1">
        <w:t xml:space="preserve">CAL/BDP gel and ointment </w:t>
      </w:r>
      <w:r w:rsidR="007C10A1">
        <w:t>to have equivalent</w:t>
      </w:r>
      <w:r w:rsidR="00A16AF1">
        <w:t xml:space="preserve"> efficacy and safety, with an equi-effective dose defined as 1 g of gel to 1 g of ointment</w:t>
      </w:r>
      <w:r w:rsidR="0091560C">
        <w:t xml:space="preserve">. </w:t>
      </w:r>
      <w:r w:rsidR="00F227DD" w:rsidRPr="007F3B2E">
        <w:t xml:space="preserve">In the November 2015 submission, </w:t>
      </w:r>
      <w:r w:rsidR="00602594" w:rsidRPr="007F3B2E">
        <w:t xml:space="preserve">the claim of equivalent efficacy and safety between CAL/BDP gel and ointment </w:t>
      </w:r>
      <w:r w:rsidR="0067390D" w:rsidRPr="007F3B2E">
        <w:t>was based on direct and indirect evidence pr</w:t>
      </w:r>
      <w:r w:rsidR="00391610" w:rsidRPr="007F3B2E">
        <w:t>ovided</w:t>
      </w:r>
      <w:r w:rsidR="0067390D" w:rsidRPr="007F3B2E">
        <w:t xml:space="preserve">. </w:t>
      </w:r>
      <w:r w:rsidR="007C453D" w:rsidRPr="007F3B2E">
        <w:t xml:space="preserve">The trial and study presented were not designed to show non-inferiority, </w:t>
      </w:r>
      <w:r w:rsidR="00C943FE" w:rsidRPr="007F3B2E">
        <w:t>the trial had a small sample size and short treatment duration</w:t>
      </w:r>
      <w:r w:rsidR="00B51F58" w:rsidRPr="007F3B2E">
        <w:t xml:space="preserve">, </w:t>
      </w:r>
      <w:r w:rsidR="002839BA" w:rsidRPr="007F3B2E">
        <w:t xml:space="preserve">and </w:t>
      </w:r>
      <w:r w:rsidR="00B51F58" w:rsidRPr="007F3B2E">
        <w:t>the study was not designed as a comparative effectiveness study</w:t>
      </w:r>
      <w:r w:rsidR="002839BA" w:rsidRPr="007F3B2E">
        <w:t>.</w:t>
      </w:r>
      <w:r w:rsidR="00B51F58" w:rsidRPr="007F3B2E">
        <w:t xml:space="preserve"> </w:t>
      </w:r>
      <w:r w:rsidR="002839BA" w:rsidRPr="007F3B2E">
        <w:t>L</w:t>
      </w:r>
      <w:r w:rsidR="00B51F58" w:rsidRPr="007F3B2E">
        <w:t xml:space="preserve">imited safety data was presented in the direct </w:t>
      </w:r>
      <w:r w:rsidR="00391610" w:rsidRPr="007F3B2E">
        <w:t>evidence provided.</w:t>
      </w:r>
      <w:r w:rsidR="00391610">
        <w:rPr>
          <w:i/>
          <w:iCs/>
        </w:rPr>
        <w:t xml:space="preserve"> </w:t>
      </w:r>
      <w:r w:rsidR="00391610" w:rsidRPr="007F3B2E">
        <w:t xml:space="preserve">The trials included in the indirect comparison </w:t>
      </w:r>
      <w:r w:rsidR="00134213" w:rsidRPr="007F3B2E">
        <w:t>had limited exchangeability and there were differences in the trial populations</w:t>
      </w:r>
      <w:r w:rsidR="002839BA" w:rsidRPr="007F3B2E">
        <w:t>’</w:t>
      </w:r>
      <w:r w:rsidR="00134213" w:rsidRPr="007F3B2E">
        <w:t xml:space="preserve"> </w:t>
      </w:r>
      <w:r w:rsidR="00AF1B0F" w:rsidRPr="007F3B2E">
        <w:t xml:space="preserve">baseline disease state (patients using gel may have had a milder disease state). Overall, the PBAC considered that CAL/BDP gel </w:t>
      </w:r>
      <w:r w:rsidR="0028687D" w:rsidRPr="007F3B2E">
        <w:t>was most likely to have similar efficacy and safety to CAL/BDP ointment</w:t>
      </w:r>
      <w:r w:rsidR="41F7AA75">
        <w:t xml:space="preserve"> </w:t>
      </w:r>
      <w:r w:rsidR="00312D0F">
        <w:lastRenderedPageBreak/>
        <w:t>(</w:t>
      </w:r>
      <w:r w:rsidR="009D150E">
        <w:t>paragraph</w:t>
      </w:r>
      <w:r w:rsidR="0028687D">
        <w:t>s</w:t>
      </w:r>
      <w:r w:rsidR="009D150E">
        <w:t xml:space="preserve"> 6.</w:t>
      </w:r>
      <w:r w:rsidR="00DA0BC0">
        <w:t>16-</w:t>
      </w:r>
      <w:r w:rsidR="004403DB">
        <w:t>6.18</w:t>
      </w:r>
      <w:r w:rsidR="009D150E">
        <w:t>, calcipotriol</w:t>
      </w:r>
      <w:r w:rsidR="00DA0BC0">
        <w:t xml:space="preserve"> and </w:t>
      </w:r>
      <w:r w:rsidR="009D150E">
        <w:t>betamethasone dipropionate gel, PSD, November 2015 PBAC Meeting</w:t>
      </w:r>
      <w:r w:rsidR="00312D0F">
        <w:t xml:space="preserve">). </w:t>
      </w:r>
    </w:p>
    <w:p w14:paraId="5CD4481B" w14:textId="583E1846" w:rsidR="00C522C2" w:rsidRPr="00FC4D67" w:rsidRDefault="00C522C2" w:rsidP="00C522C2">
      <w:pPr>
        <w:pStyle w:val="3-BodyText"/>
        <w:numPr>
          <w:ilvl w:val="0"/>
          <w:numId w:val="0"/>
        </w:numPr>
        <w:rPr>
          <w:b/>
          <w:bCs/>
        </w:rPr>
      </w:pPr>
      <w:r w:rsidRPr="00FC4D67">
        <w:rPr>
          <w:b/>
          <w:bCs/>
        </w:rPr>
        <w:t>CAL/BDP cream versus foam</w:t>
      </w:r>
    </w:p>
    <w:p w14:paraId="4E12A47A" w14:textId="0C885622" w:rsidR="00F8187E" w:rsidRPr="00F8187E" w:rsidRDefault="00F8187E" w:rsidP="00B7760B">
      <w:pPr>
        <w:widowControl w:val="0"/>
        <w:numPr>
          <w:ilvl w:val="1"/>
          <w:numId w:val="1"/>
        </w:numPr>
        <w:spacing w:after="120"/>
        <w:ind w:left="720"/>
      </w:pPr>
      <w:bookmarkStart w:id="19" w:name="_Ref195781299"/>
      <w:r w:rsidRPr="00F8187E">
        <w:t>In the absence of direct head-to</w:t>
      </w:r>
      <w:r>
        <w:t>-</w:t>
      </w:r>
      <w:r w:rsidRPr="00F8187E">
        <w:t>head trial</w:t>
      </w:r>
      <w:r w:rsidR="001B6691">
        <w:t>s</w:t>
      </w:r>
      <w:r>
        <w:t xml:space="preserve"> comparing CAL/BDP cream </w:t>
      </w:r>
      <w:r w:rsidR="0091587C">
        <w:t>with</w:t>
      </w:r>
      <w:r>
        <w:t xml:space="preserve"> foam</w:t>
      </w:r>
      <w:r w:rsidRPr="00F8187E">
        <w:t xml:space="preserve">, the submission </w:t>
      </w:r>
      <w:r w:rsidR="004C7D2B">
        <w:t>relied</w:t>
      </w:r>
      <w:r w:rsidRPr="00F8187E">
        <w:t xml:space="preserve"> on four published</w:t>
      </w:r>
      <w:r w:rsidR="00C328D5">
        <w:t xml:space="preserve"> indirect treatment comparison</w:t>
      </w:r>
      <w:r w:rsidRPr="00F8187E">
        <w:t xml:space="preserve"> </w:t>
      </w:r>
      <w:r w:rsidR="00C328D5">
        <w:t>(</w:t>
      </w:r>
      <w:r w:rsidRPr="00F8187E">
        <w:t>ITC</w:t>
      </w:r>
      <w:r w:rsidR="00C328D5">
        <w:t>)</w:t>
      </w:r>
      <w:r w:rsidRPr="00F8187E">
        <w:t xml:space="preserve"> studies (</w:t>
      </w:r>
      <w:proofErr w:type="spellStart"/>
      <w:r w:rsidRPr="00F8187E">
        <w:t>Bewly</w:t>
      </w:r>
      <w:proofErr w:type="spellEnd"/>
      <w:r w:rsidRPr="00F8187E">
        <w:t xml:space="preserve"> et al. 2022, Reich et al. 2022, Papp</w:t>
      </w:r>
      <w:r w:rsidR="00A475D5">
        <w:t xml:space="preserve"> et al.</w:t>
      </w:r>
      <w:r w:rsidRPr="00F8187E">
        <w:t xml:space="preserve"> 2022, and Jalili et al. 2024)</w:t>
      </w:r>
      <w:r w:rsidR="009359C6">
        <w:t>. These studies</w:t>
      </w:r>
      <w:r w:rsidRPr="00F8187E">
        <w:t xml:space="preserve"> conducted anchored and/or unanchored matching-adjusted indirect comparisons (MAICs) of CAL/BDP cream with CAL/BDP foam, using CAL/BDP gel as the common comparator</w:t>
      </w:r>
      <w:r>
        <w:t>.</w:t>
      </w:r>
      <w:bookmarkEnd w:id="19"/>
    </w:p>
    <w:p w14:paraId="48F23F8E" w14:textId="51CD3759" w:rsidR="00B01591" w:rsidRPr="00F8187E" w:rsidRDefault="00B01591" w:rsidP="00B7760B">
      <w:pPr>
        <w:widowControl w:val="0"/>
        <w:numPr>
          <w:ilvl w:val="1"/>
          <w:numId w:val="1"/>
        </w:numPr>
        <w:spacing w:after="120"/>
        <w:ind w:left="720"/>
      </w:pPr>
      <w:bookmarkStart w:id="20" w:name="_Ref196205402"/>
      <w:r>
        <w:t>The</w:t>
      </w:r>
      <w:r w:rsidR="008C3124">
        <w:t>se</w:t>
      </w:r>
      <w:r>
        <w:t xml:space="preserve"> </w:t>
      </w:r>
      <w:r w:rsidR="7497F7C7">
        <w:t xml:space="preserve">ITCs </w:t>
      </w:r>
      <w:r w:rsidR="008C3124">
        <w:t>included data from the two CAL/BDP cream (MC2-01-C2 and MC2-01-C7)</w:t>
      </w:r>
      <w:r w:rsidR="0012134B">
        <w:t xml:space="preserve"> </w:t>
      </w:r>
      <w:r w:rsidR="008C3124">
        <w:t xml:space="preserve">and up to five CAL/BDP foam </w:t>
      </w:r>
      <w:r w:rsidR="0012134B">
        <w:t xml:space="preserve">trials </w:t>
      </w:r>
      <w:r w:rsidR="008C3124">
        <w:t>(PSO-ABLE, PSO-INSIGHTFUL, PSO-LONG, PSO-FAST, LEO90100-07, and LEO90100-35).</w:t>
      </w:r>
      <w:r w:rsidR="00AE1014">
        <w:t xml:space="preserve"> </w:t>
      </w:r>
      <w:r w:rsidR="00AE1014" w:rsidRPr="000E4180">
        <w:t>Papp et al. 2022 included data from five of these trials. The remaining ITCs included data from four trials (Jalili et al. 2022) or two trials (Bewley et al. 2022 and Reich et al. 2022), depending on the comparison.</w:t>
      </w:r>
      <w:r w:rsidR="0063683D">
        <w:t xml:space="preserve"> </w:t>
      </w:r>
      <w:r w:rsidR="0063683D" w:rsidRPr="007F3B2E">
        <w:t xml:space="preserve">Of these, </w:t>
      </w:r>
      <w:r w:rsidR="004E3E85" w:rsidRPr="007F3B2E">
        <w:t xml:space="preserve">data from the LEO90100-35 </w:t>
      </w:r>
      <w:r w:rsidR="001C7450" w:rsidRPr="007F3B2E">
        <w:t>has been previously considered</w:t>
      </w:r>
      <w:r w:rsidR="00530478" w:rsidRPr="007F3B2E">
        <w:t xml:space="preserve"> in the submission for both</w:t>
      </w:r>
      <w:r w:rsidR="00620D6B" w:rsidRPr="007F3B2E">
        <w:t xml:space="preserve"> </w:t>
      </w:r>
      <w:r w:rsidR="00BD6BA3" w:rsidRPr="007F3B2E">
        <w:t>CAL/BDP gel</w:t>
      </w:r>
      <w:r w:rsidR="00530478" w:rsidRPr="007F3B2E">
        <w:t xml:space="preserve"> in November 2015</w:t>
      </w:r>
      <w:r w:rsidR="00BD6BA3" w:rsidRPr="007F3B2E">
        <w:t xml:space="preserve"> and CAL/BDP foam </w:t>
      </w:r>
      <w:r w:rsidR="00530478" w:rsidRPr="007F3B2E">
        <w:t>in November 2016.</w:t>
      </w:r>
      <w:bookmarkEnd w:id="20"/>
      <w:r w:rsidR="00530478">
        <w:t xml:space="preserve"> </w:t>
      </w:r>
    </w:p>
    <w:p w14:paraId="2B59ABAC" w14:textId="51BD7334" w:rsidR="00862502" w:rsidRPr="00E81553" w:rsidRDefault="00A73134" w:rsidP="00B7760B">
      <w:pPr>
        <w:widowControl w:val="0"/>
        <w:numPr>
          <w:ilvl w:val="1"/>
          <w:numId w:val="1"/>
        </w:numPr>
        <w:spacing w:after="120"/>
        <w:ind w:left="720"/>
      </w:pPr>
      <w:bookmarkStart w:id="21" w:name="_Ref195603394"/>
      <w:r w:rsidRPr="00B7760B">
        <w:t>Details of</w:t>
      </w:r>
      <w:r>
        <w:rPr>
          <w:lang w:val="en-US"/>
        </w:rPr>
        <w:t xml:space="preserve"> the trials presented in the submission are provided in</w:t>
      </w:r>
      <w:r w:rsidR="0090404B">
        <w:rPr>
          <w:lang w:val="en-US"/>
        </w:rPr>
        <w:t xml:space="preserve"> </w:t>
      </w:r>
      <w:r w:rsidR="0090404B">
        <w:rPr>
          <w:lang w:val="en-US"/>
        </w:rPr>
        <w:fldChar w:fldCharType="begin" w:fldLock="1"/>
      </w:r>
      <w:r w:rsidR="0090404B">
        <w:rPr>
          <w:lang w:val="en-US"/>
        </w:rPr>
        <w:instrText xml:space="preserve"> REF _Ref195193134 \h </w:instrText>
      </w:r>
      <w:r w:rsidR="0090404B">
        <w:rPr>
          <w:lang w:val="en-US"/>
        </w:rPr>
      </w:r>
      <w:r w:rsidR="0090404B">
        <w:rPr>
          <w:lang w:val="en-US"/>
        </w:rPr>
        <w:fldChar w:fldCharType="separate"/>
      </w:r>
      <w:r w:rsidR="00FD397F">
        <w:t xml:space="preserve">Table </w:t>
      </w:r>
      <w:r w:rsidR="00FD397F">
        <w:rPr>
          <w:noProof/>
        </w:rPr>
        <w:t>2</w:t>
      </w:r>
      <w:r w:rsidR="0090404B">
        <w:rPr>
          <w:lang w:val="en-US"/>
        </w:rPr>
        <w:fldChar w:fldCharType="end"/>
      </w:r>
      <w:r>
        <w:rPr>
          <w:lang w:val="en-US"/>
        </w:rPr>
        <w:t>.</w:t>
      </w:r>
      <w:bookmarkEnd w:id="21"/>
      <w:r w:rsidR="00BC591F">
        <w:rPr>
          <w:lang w:val="en-US"/>
        </w:rPr>
        <w:t xml:space="preserve"> </w:t>
      </w:r>
    </w:p>
    <w:p w14:paraId="2CBE2BC8" w14:textId="74B76B02" w:rsidR="0090404B" w:rsidRDefault="0090404B" w:rsidP="001B23ED">
      <w:pPr>
        <w:pStyle w:val="TableFigureHeading"/>
        <w:keepLines/>
      </w:pPr>
      <w:bookmarkStart w:id="22" w:name="_Ref195193134"/>
      <w:r>
        <w:lastRenderedPageBreak/>
        <w:t xml:space="preserve">Table </w:t>
      </w:r>
      <w:r w:rsidR="00AA3192">
        <w:fldChar w:fldCharType="begin" w:fldLock="1"/>
      </w:r>
      <w:r w:rsidR="00AA3192">
        <w:instrText xml:space="preserve"> SEQ Table \* ARABIC </w:instrText>
      </w:r>
      <w:r w:rsidR="00AA3192">
        <w:fldChar w:fldCharType="separate"/>
      </w:r>
      <w:r w:rsidR="00AA3192">
        <w:rPr>
          <w:noProof/>
        </w:rPr>
        <w:t>2</w:t>
      </w:r>
      <w:r w:rsidR="00AA3192">
        <w:rPr>
          <w:noProof/>
        </w:rPr>
        <w:fldChar w:fldCharType="end"/>
      </w:r>
      <w:bookmarkEnd w:id="22"/>
      <w:r>
        <w:t>:</w:t>
      </w:r>
      <w:r w:rsidRPr="0090404B">
        <w:rPr>
          <w:rStyle w:val="CommentReference"/>
          <w:b/>
          <w:szCs w:val="24"/>
        </w:rPr>
        <w:t xml:space="preserve"> </w:t>
      </w:r>
      <w:r w:rsidRPr="002E4F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90404B" w:rsidRPr="00B41614" w14:paraId="6B820698" w14:textId="77777777" w:rsidTr="001B23ED">
        <w:trPr>
          <w:cantSplit/>
          <w:tblHeader/>
        </w:trPr>
        <w:tc>
          <w:tcPr>
            <w:tcW w:w="796" w:type="pct"/>
            <w:vAlign w:val="center"/>
          </w:tcPr>
          <w:p w14:paraId="74798746" w14:textId="77777777" w:rsidR="0090404B" w:rsidRPr="00B41614" w:rsidRDefault="0090404B" w:rsidP="001B23ED">
            <w:pPr>
              <w:pStyle w:val="In-tableHeading"/>
              <w:keepLines/>
            </w:pPr>
            <w:r w:rsidRPr="00B41614">
              <w:t>Trial ID</w:t>
            </w:r>
          </w:p>
        </w:tc>
        <w:tc>
          <w:tcPr>
            <w:tcW w:w="3027" w:type="pct"/>
            <w:vAlign w:val="center"/>
          </w:tcPr>
          <w:p w14:paraId="75478435" w14:textId="77777777" w:rsidR="0090404B" w:rsidRPr="00B41614" w:rsidRDefault="0090404B" w:rsidP="001B23ED">
            <w:pPr>
              <w:pStyle w:val="In-tableHeading"/>
              <w:keepLines/>
            </w:pPr>
            <w:r w:rsidRPr="00B41614">
              <w:t>Protocol title/ Publication title</w:t>
            </w:r>
          </w:p>
        </w:tc>
        <w:tc>
          <w:tcPr>
            <w:tcW w:w="1177" w:type="pct"/>
            <w:vAlign w:val="center"/>
          </w:tcPr>
          <w:p w14:paraId="53A7E827" w14:textId="77777777" w:rsidR="0090404B" w:rsidRPr="00B41614" w:rsidRDefault="0090404B" w:rsidP="001B23ED">
            <w:pPr>
              <w:pStyle w:val="In-tableHeading"/>
              <w:keepLines/>
            </w:pPr>
            <w:r w:rsidRPr="00B41614">
              <w:t>Publication citation</w:t>
            </w:r>
          </w:p>
        </w:tc>
      </w:tr>
      <w:tr w:rsidR="0090404B" w:rsidRPr="00CB38A8" w14:paraId="2428D03A" w14:textId="77777777" w:rsidTr="001B23ED">
        <w:trPr>
          <w:cantSplit/>
          <w:trHeight w:val="204"/>
        </w:trPr>
        <w:tc>
          <w:tcPr>
            <w:tcW w:w="5000" w:type="pct"/>
            <w:gridSpan w:val="3"/>
            <w:vAlign w:val="center"/>
          </w:tcPr>
          <w:p w14:paraId="7643DAAB" w14:textId="77777777" w:rsidR="0090404B" w:rsidRPr="003604F9" w:rsidRDefault="0090404B" w:rsidP="001B23ED">
            <w:pPr>
              <w:pStyle w:val="TableText0"/>
              <w:keepLines/>
              <w:rPr>
                <w:b/>
                <w:bCs w:val="0"/>
                <w:i/>
                <w:iCs/>
              </w:rPr>
            </w:pPr>
            <w:r w:rsidRPr="003604F9">
              <w:rPr>
                <w:b/>
                <w:bCs w:val="0"/>
              </w:rPr>
              <w:t>CAL/BDP cream v</w:t>
            </w:r>
            <w:r>
              <w:rPr>
                <w:b/>
                <w:bCs w:val="0"/>
              </w:rPr>
              <w:t>ersu</w:t>
            </w:r>
            <w:r w:rsidRPr="003604F9">
              <w:rPr>
                <w:b/>
                <w:bCs w:val="0"/>
              </w:rPr>
              <w:t>s CAL/BDP ointment</w:t>
            </w:r>
          </w:p>
        </w:tc>
      </w:tr>
      <w:tr w:rsidR="0090404B" w:rsidRPr="00CB38A8" w14:paraId="747725D5" w14:textId="77777777" w:rsidTr="001B23ED">
        <w:trPr>
          <w:cantSplit/>
          <w:trHeight w:val="964"/>
        </w:trPr>
        <w:tc>
          <w:tcPr>
            <w:tcW w:w="796" w:type="pct"/>
            <w:vAlign w:val="center"/>
          </w:tcPr>
          <w:p w14:paraId="4CC90F85" w14:textId="77777777" w:rsidR="0090404B" w:rsidRDefault="0090404B" w:rsidP="001B23ED">
            <w:pPr>
              <w:pStyle w:val="TableText0"/>
              <w:keepLines/>
            </w:pPr>
            <w:r>
              <w:t>MC2-01-C3</w:t>
            </w:r>
          </w:p>
          <w:p w14:paraId="586541F9" w14:textId="77777777" w:rsidR="0090404B" w:rsidRPr="00CB38A8" w:rsidRDefault="0090404B" w:rsidP="001B23ED">
            <w:pPr>
              <w:pStyle w:val="TableText0"/>
              <w:keepLines/>
            </w:pPr>
            <w:r>
              <w:t>(NCT03462927)</w:t>
            </w:r>
          </w:p>
        </w:tc>
        <w:tc>
          <w:tcPr>
            <w:tcW w:w="3027" w:type="pct"/>
            <w:tcBorders>
              <w:bottom w:val="nil"/>
            </w:tcBorders>
            <w:vAlign w:val="center"/>
          </w:tcPr>
          <w:p w14:paraId="3FA0D36F" w14:textId="78079986" w:rsidR="0090404B" w:rsidRPr="00404542" w:rsidRDefault="0090404B" w:rsidP="001B23ED">
            <w:pPr>
              <w:pStyle w:val="TableText0"/>
              <w:keepLines/>
              <w:rPr>
                <w:szCs w:val="18"/>
              </w:rPr>
            </w:pPr>
            <w:r w:rsidRPr="00404542">
              <w:rPr>
                <w:szCs w:val="18"/>
              </w:rPr>
              <w:t>A Randomised, Multicentre, Open-label, Parallel-group Maximal Use Trial, Evaluating the Pharmacokinetic Profile of the Active Ingredients and their Metabolites after application of MC2-01 Cream compared with Active Comparator in Subjects with Extensive Psoriasis Vulgaris</w:t>
            </w:r>
            <w:r w:rsidR="00C01D80">
              <w:rPr>
                <w:szCs w:val="18"/>
              </w:rPr>
              <w:t>.</w:t>
            </w:r>
          </w:p>
        </w:tc>
        <w:tc>
          <w:tcPr>
            <w:tcW w:w="1177" w:type="pct"/>
            <w:tcBorders>
              <w:bottom w:val="nil"/>
            </w:tcBorders>
            <w:vAlign w:val="center"/>
          </w:tcPr>
          <w:p w14:paraId="17DC2B55" w14:textId="77777777" w:rsidR="0090404B" w:rsidRPr="001E6650" w:rsidRDefault="0090404B" w:rsidP="001B23ED">
            <w:pPr>
              <w:pStyle w:val="TableText0"/>
              <w:keepLines/>
            </w:pPr>
            <w:r w:rsidRPr="001E6650">
              <w:t>July 2019</w:t>
            </w:r>
          </w:p>
        </w:tc>
      </w:tr>
      <w:tr w:rsidR="0090404B" w:rsidRPr="00CB38A8" w14:paraId="240EE1AD" w14:textId="77777777" w:rsidTr="001B23ED">
        <w:trPr>
          <w:cantSplit/>
          <w:trHeight w:val="204"/>
        </w:trPr>
        <w:tc>
          <w:tcPr>
            <w:tcW w:w="5000" w:type="pct"/>
            <w:gridSpan w:val="3"/>
            <w:vAlign w:val="center"/>
          </w:tcPr>
          <w:p w14:paraId="19F340EF" w14:textId="77777777" w:rsidR="0090404B" w:rsidRPr="003604F9" w:rsidRDefault="0090404B" w:rsidP="001B23ED">
            <w:pPr>
              <w:pStyle w:val="TableText0"/>
              <w:keepLines/>
              <w:rPr>
                <w:b/>
                <w:bCs w:val="0"/>
                <w:i/>
                <w:iCs/>
              </w:rPr>
            </w:pPr>
            <w:r w:rsidRPr="003604F9">
              <w:rPr>
                <w:b/>
                <w:bCs w:val="0"/>
              </w:rPr>
              <w:t>CAL/BDP cream v</w:t>
            </w:r>
            <w:r>
              <w:rPr>
                <w:b/>
                <w:bCs w:val="0"/>
              </w:rPr>
              <w:t>er</w:t>
            </w:r>
            <w:r w:rsidRPr="003604F9">
              <w:rPr>
                <w:b/>
                <w:bCs w:val="0"/>
              </w:rPr>
              <w:t>s</w:t>
            </w:r>
            <w:r>
              <w:rPr>
                <w:b/>
                <w:bCs w:val="0"/>
              </w:rPr>
              <w:t>us</w:t>
            </w:r>
            <w:r w:rsidRPr="003604F9">
              <w:rPr>
                <w:b/>
                <w:bCs w:val="0"/>
              </w:rPr>
              <w:t xml:space="preserve"> CAL/BDP gel</w:t>
            </w:r>
          </w:p>
        </w:tc>
      </w:tr>
      <w:tr w:rsidR="0090404B" w:rsidRPr="00CB38A8" w14:paraId="6D1CAF9D" w14:textId="77777777" w:rsidTr="001B23ED">
        <w:trPr>
          <w:cantSplit/>
          <w:trHeight w:val="935"/>
        </w:trPr>
        <w:tc>
          <w:tcPr>
            <w:tcW w:w="796" w:type="pct"/>
            <w:vMerge w:val="restart"/>
            <w:vAlign w:val="center"/>
          </w:tcPr>
          <w:p w14:paraId="69F45CF2" w14:textId="77777777" w:rsidR="0090404B" w:rsidRPr="00950D6D" w:rsidRDefault="0090404B" w:rsidP="001B23ED">
            <w:pPr>
              <w:pStyle w:val="TableText0"/>
              <w:keepLines/>
            </w:pPr>
            <w:r w:rsidRPr="00950D6D">
              <w:t>MC2-01-C2</w:t>
            </w:r>
          </w:p>
          <w:p w14:paraId="5E9EAB78" w14:textId="77777777" w:rsidR="0090404B" w:rsidRPr="00950D6D" w:rsidRDefault="0090404B" w:rsidP="001B23ED">
            <w:pPr>
              <w:pStyle w:val="TableText0"/>
              <w:keepLines/>
            </w:pPr>
            <w:r w:rsidRPr="00950D6D">
              <w:t>(NCT03308799)</w:t>
            </w:r>
          </w:p>
        </w:tc>
        <w:tc>
          <w:tcPr>
            <w:tcW w:w="3027" w:type="pct"/>
            <w:tcBorders>
              <w:bottom w:val="single" w:sz="4" w:space="0" w:color="auto"/>
            </w:tcBorders>
            <w:vAlign w:val="center"/>
          </w:tcPr>
          <w:p w14:paraId="08250898" w14:textId="2265360D" w:rsidR="0090404B" w:rsidRPr="00950D6D" w:rsidRDefault="0090404B" w:rsidP="001B23ED">
            <w:pPr>
              <w:pStyle w:val="TableText0"/>
              <w:keepLines/>
              <w:rPr>
                <w:szCs w:val="18"/>
              </w:rPr>
            </w:pPr>
            <w:r w:rsidRPr="00950D6D">
              <w:rPr>
                <w:szCs w:val="18"/>
              </w:rPr>
              <w:t>A Randomised, Multicentre, Investigator-Blind, Parallel-Group Trial to Evaluate the Efficacy and Safety of MC2-01 Cream Compared to MC2-01 Cream Vehicle and Active Comparator in Subjects with Mild-to-Moderate Psoriasis Vulgaris</w:t>
            </w:r>
            <w:r w:rsidR="0012167B" w:rsidRPr="00950D6D">
              <w:rPr>
                <w:szCs w:val="18"/>
              </w:rPr>
              <w:t>.</w:t>
            </w:r>
          </w:p>
        </w:tc>
        <w:tc>
          <w:tcPr>
            <w:tcW w:w="1177" w:type="pct"/>
            <w:tcBorders>
              <w:bottom w:val="single" w:sz="4" w:space="0" w:color="auto"/>
            </w:tcBorders>
            <w:vAlign w:val="center"/>
          </w:tcPr>
          <w:p w14:paraId="0FC75536" w14:textId="77777777" w:rsidR="0090404B" w:rsidRPr="001E6650" w:rsidRDefault="0090404B" w:rsidP="001B23ED">
            <w:pPr>
              <w:pStyle w:val="TableText0"/>
              <w:keepLines/>
            </w:pPr>
            <w:r w:rsidRPr="001E6650">
              <w:t>April 2019</w:t>
            </w:r>
          </w:p>
        </w:tc>
      </w:tr>
      <w:tr w:rsidR="0090404B" w:rsidRPr="00CB38A8" w14:paraId="32C875FD" w14:textId="77777777" w:rsidTr="001B23ED">
        <w:trPr>
          <w:cantSplit/>
        </w:trPr>
        <w:tc>
          <w:tcPr>
            <w:tcW w:w="796" w:type="pct"/>
            <w:vMerge/>
            <w:vAlign w:val="center"/>
          </w:tcPr>
          <w:p w14:paraId="008A0051" w14:textId="77777777" w:rsidR="0090404B" w:rsidRPr="00950D6D" w:rsidRDefault="0090404B" w:rsidP="001B23ED">
            <w:pPr>
              <w:pStyle w:val="TableText0"/>
              <w:keepLines/>
            </w:pPr>
          </w:p>
        </w:tc>
        <w:tc>
          <w:tcPr>
            <w:tcW w:w="3027" w:type="pct"/>
            <w:tcBorders>
              <w:top w:val="single" w:sz="4" w:space="0" w:color="auto"/>
              <w:bottom w:val="single" w:sz="4" w:space="0" w:color="auto"/>
            </w:tcBorders>
            <w:vAlign w:val="center"/>
          </w:tcPr>
          <w:p w14:paraId="493AD4A7" w14:textId="7AC7ECF1" w:rsidR="0090404B" w:rsidRPr="00950D6D" w:rsidRDefault="0090404B" w:rsidP="001B23ED">
            <w:pPr>
              <w:pStyle w:val="TableText0"/>
              <w:keepLines/>
              <w:rPr>
                <w:szCs w:val="18"/>
              </w:rPr>
            </w:pPr>
            <w:r w:rsidRPr="00950D6D">
              <w:rPr>
                <w:szCs w:val="18"/>
              </w:rPr>
              <w:t xml:space="preserve">Selmer J, Vestbjerg B, </w:t>
            </w:r>
            <w:proofErr w:type="spellStart"/>
            <w:r w:rsidRPr="00950D6D">
              <w:rPr>
                <w:szCs w:val="18"/>
              </w:rPr>
              <w:t>Praestegaard</w:t>
            </w:r>
            <w:proofErr w:type="spellEnd"/>
            <w:r w:rsidRPr="00950D6D">
              <w:rPr>
                <w:szCs w:val="18"/>
              </w:rPr>
              <w:t xml:space="preserve"> M</w:t>
            </w:r>
            <w:r w:rsidR="00E2580B" w:rsidRPr="00950D6D">
              <w:rPr>
                <w:szCs w:val="18"/>
              </w:rPr>
              <w:t>,</w:t>
            </w:r>
            <w:r w:rsidRPr="00950D6D">
              <w:rPr>
                <w:szCs w:val="18"/>
              </w:rPr>
              <w:t xml:space="preserve"> et al. MC2-01 cream has improved overall psoriasis treatment efficacy compared to calcipotriene plus betamethasone dipropionate topical suspension [Abstract]</w:t>
            </w:r>
            <w:r w:rsidR="0012167B" w:rsidRPr="00950D6D">
              <w:rPr>
                <w:szCs w:val="18"/>
              </w:rPr>
              <w:t>.</w:t>
            </w:r>
          </w:p>
        </w:tc>
        <w:tc>
          <w:tcPr>
            <w:tcW w:w="1177" w:type="pct"/>
            <w:tcBorders>
              <w:top w:val="single" w:sz="4" w:space="0" w:color="auto"/>
              <w:bottom w:val="single" w:sz="4" w:space="0" w:color="auto"/>
            </w:tcBorders>
            <w:vAlign w:val="center"/>
          </w:tcPr>
          <w:p w14:paraId="70FCF178" w14:textId="77777777" w:rsidR="0090404B" w:rsidRPr="007F3B2E" w:rsidRDefault="0090404B" w:rsidP="001B23ED">
            <w:pPr>
              <w:pStyle w:val="TableText0"/>
              <w:keepLines/>
            </w:pPr>
            <w:r w:rsidRPr="007F3B2E">
              <w:t>J Psoriasis Psoriatic Arthritis 2019;4(3)166-7.</w:t>
            </w:r>
          </w:p>
        </w:tc>
      </w:tr>
      <w:tr w:rsidR="0090404B" w:rsidRPr="00CB38A8" w14:paraId="64E2E7A0" w14:textId="77777777" w:rsidTr="001B23ED">
        <w:trPr>
          <w:cantSplit/>
        </w:trPr>
        <w:tc>
          <w:tcPr>
            <w:tcW w:w="796" w:type="pct"/>
            <w:vMerge/>
            <w:vAlign w:val="center"/>
          </w:tcPr>
          <w:p w14:paraId="4F634C3E" w14:textId="77777777" w:rsidR="0090404B" w:rsidRPr="00950D6D" w:rsidRDefault="0090404B" w:rsidP="001B23ED">
            <w:pPr>
              <w:pStyle w:val="TableText0"/>
              <w:keepLines/>
            </w:pPr>
          </w:p>
        </w:tc>
        <w:tc>
          <w:tcPr>
            <w:tcW w:w="3027" w:type="pct"/>
            <w:tcBorders>
              <w:top w:val="single" w:sz="4" w:space="0" w:color="auto"/>
              <w:bottom w:val="single" w:sz="4" w:space="0" w:color="auto"/>
            </w:tcBorders>
            <w:vAlign w:val="center"/>
          </w:tcPr>
          <w:p w14:paraId="2F70BE7E" w14:textId="568C8C27" w:rsidR="0090404B" w:rsidRPr="00950D6D" w:rsidRDefault="0090404B" w:rsidP="001B23ED">
            <w:pPr>
              <w:pStyle w:val="TableText0"/>
              <w:keepLines/>
              <w:rPr>
                <w:szCs w:val="18"/>
              </w:rPr>
            </w:pPr>
            <w:r w:rsidRPr="00950D6D">
              <w:rPr>
                <w:szCs w:val="18"/>
              </w:rPr>
              <w:t>Stein Gold L, Green LJ, Dhawan S</w:t>
            </w:r>
            <w:r w:rsidR="00A57BD1" w:rsidRPr="00950D6D">
              <w:rPr>
                <w:szCs w:val="18"/>
              </w:rPr>
              <w:t>,</w:t>
            </w:r>
            <w:r w:rsidRPr="00950D6D">
              <w:rPr>
                <w:szCs w:val="18"/>
              </w:rPr>
              <w:t xml:space="preserve"> et al. Calcipotriene and betamethasone dipropionate cream combines high efficacy, </w:t>
            </w:r>
            <w:r w:rsidR="00A53270" w:rsidRPr="00950D6D">
              <w:rPr>
                <w:szCs w:val="18"/>
              </w:rPr>
              <w:t>favourable</w:t>
            </w:r>
            <w:r w:rsidRPr="00950D6D">
              <w:rPr>
                <w:szCs w:val="18"/>
              </w:rPr>
              <w:t xml:space="preserve"> safety, and treatment preference in a single product for topical treatment of psoriasis.</w:t>
            </w:r>
          </w:p>
        </w:tc>
        <w:tc>
          <w:tcPr>
            <w:tcW w:w="1177" w:type="pct"/>
            <w:tcBorders>
              <w:top w:val="single" w:sz="4" w:space="0" w:color="auto"/>
              <w:bottom w:val="single" w:sz="4" w:space="0" w:color="auto"/>
            </w:tcBorders>
            <w:vAlign w:val="center"/>
          </w:tcPr>
          <w:p w14:paraId="1348A4B1" w14:textId="027912A4" w:rsidR="00972DB6" w:rsidRPr="007F3B2E" w:rsidRDefault="00972DB6" w:rsidP="001B23ED">
            <w:pPr>
              <w:pStyle w:val="TableText0"/>
              <w:keepLines/>
            </w:pPr>
            <w:r w:rsidRPr="007F3B2E">
              <w:t xml:space="preserve">Journal of Dermatology for Physician Assistants </w:t>
            </w:r>
            <w:r w:rsidR="0077234B" w:rsidRPr="007F3B2E">
              <w:t>2021</w:t>
            </w:r>
            <w:r w:rsidR="000C50B3" w:rsidRPr="007F3B2E">
              <w:t>;</w:t>
            </w:r>
            <w:r w:rsidRPr="007F3B2E">
              <w:t>15(4):67-</w:t>
            </w:r>
            <w:r w:rsidR="000C50B3" w:rsidRPr="007F3B2E">
              <w:t>8</w:t>
            </w:r>
            <w:r w:rsidR="00257332">
              <w:t>.</w:t>
            </w:r>
          </w:p>
        </w:tc>
      </w:tr>
      <w:tr w:rsidR="0090404B" w:rsidRPr="00CB38A8" w14:paraId="71715D34" w14:textId="77777777" w:rsidTr="001B23ED">
        <w:trPr>
          <w:cantSplit/>
        </w:trPr>
        <w:tc>
          <w:tcPr>
            <w:tcW w:w="796" w:type="pct"/>
            <w:vMerge/>
            <w:vAlign w:val="center"/>
          </w:tcPr>
          <w:p w14:paraId="6FDCD058" w14:textId="77777777" w:rsidR="0090404B" w:rsidRPr="00950D6D" w:rsidRDefault="0090404B" w:rsidP="001B23ED">
            <w:pPr>
              <w:pStyle w:val="TableText0"/>
              <w:keepLines/>
            </w:pPr>
          </w:p>
        </w:tc>
        <w:tc>
          <w:tcPr>
            <w:tcW w:w="3027" w:type="pct"/>
            <w:tcBorders>
              <w:top w:val="single" w:sz="4" w:space="0" w:color="auto"/>
              <w:bottom w:val="single" w:sz="4" w:space="0" w:color="auto"/>
            </w:tcBorders>
            <w:vAlign w:val="center"/>
          </w:tcPr>
          <w:p w14:paraId="0531BD67" w14:textId="7646C06F" w:rsidR="0090404B" w:rsidRPr="00950D6D" w:rsidRDefault="0090404B" w:rsidP="001B23ED">
            <w:pPr>
              <w:pStyle w:val="TableText0"/>
              <w:keepLines/>
              <w:contextualSpacing/>
            </w:pPr>
            <w:r w:rsidRPr="00950D6D">
              <w:t>Stein G</w:t>
            </w:r>
            <w:r w:rsidR="006B5E9F" w:rsidRPr="00950D6D">
              <w:t xml:space="preserve">old </w:t>
            </w:r>
            <w:r w:rsidRPr="00950D6D">
              <w:t>L, Green LJ, Dhawan S</w:t>
            </w:r>
            <w:r w:rsidR="006B5E9F" w:rsidRPr="00950D6D">
              <w:t>,</w:t>
            </w:r>
            <w:r w:rsidRPr="00950D6D">
              <w:t xml:space="preserve"> et al. A Phase 3, Randomized Trial Demonstrating the Improved Efficacy and Patient Acceptability of Fixed Dose Calcipotriene and Betamethasone Dipropionate Cream.</w:t>
            </w:r>
          </w:p>
        </w:tc>
        <w:tc>
          <w:tcPr>
            <w:tcW w:w="1177" w:type="pct"/>
            <w:tcBorders>
              <w:top w:val="single" w:sz="4" w:space="0" w:color="auto"/>
              <w:bottom w:val="single" w:sz="4" w:space="0" w:color="auto"/>
            </w:tcBorders>
            <w:vAlign w:val="center"/>
          </w:tcPr>
          <w:p w14:paraId="603BCE97" w14:textId="77777777" w:rsidR="0090404B" w:rsidRPr="007F3B2E" w:rsidRDefault="0090404B" w:rsidP="001B23ED">
            <w:pPr>
              <w:pStyle w:val="TableText0"/>
              <w:keepLines/>
              <w:contextualSpacing/>
            </w:pPr>
            <w:r w:rsidRPr="007F3B2E">
              <w:t>J Drugs Dermatol 2021;20(4):420-5.</w:t>
            </w:r>
          </w:p>
        </w:tc>
      </w:tr>
      <w:tr w:rsidR="0090404B" w:rsidRPr="00CB38A8" w14:paraId="35C1B688" w14:textId="77777777" w:rsidTr="001B23ED">
        <w:trPr>
          <w:cantSplit/>
        </w:trPr>
        <w:tc>
          <w:tcPr>
            <w:tcW w:w="796" w:type="pct"/>
            <w:vMerge/>
            <w:vAlign w:val="center"/>
          </w:tcPr>
          <w:p w14:paraId="251198BE" w14:textId="77777777" w:rsidR="0090404B" w:rsidRPr="00950D6D" w:rsidRDefault="0090404B" w:rsidP="001B23ED">
            <w:pPr>
              <w:pStyle w:val="TableText0"/>
              <w:keepLines/>
            </w:pPr>
          </w:p>
        </w:tc>
        <w:tc>
          <w:tcPr>
            <w:tcW w:w="3027" w:type="pct"/>
            <w:tcBorders>
              <w:top w:val="single" w:sz="4" w:space="0" w:color="auto"/>
              <w:bottom w:val="single" w:sz="4" w:space="0" w:color="auto"/>
            </w:tcBorders>
          </w:tcPr>
          <w:p w14:paraId="2F1D6673" w14:textId="080676F6" w:rsidR="0090404B" w:rsidRPr="00950D6D" w:rsidRDefault="0090404B" w:rsidP="001B23ED">
            <w:pPr>
              <w:pStyle w:val="TableText0"/>
              <w:keepLines/>
              <w:contextualSpacing/>
            </w:pPr>
            <w:r w:rsidRPr="00950D6D">
              <w:t xml:space="preserve">Armstrong A, </w:t>
            </w:r>
            <w:proofErr w:type="spellStart"/>
            <w:r w:rsidRPr="00950D6D">
              <w:t>Praestegaard</w:t>
            </w:r>
            <w:proofErr w:type="spellEnd"/>
            <w:r w:rsidRPr="00950D6D">
              <w:t xml:space="preserve"> M, Selmer J</w:t>
            </w:r>
            <w:r w:rsidR="006C535D" w:rsidRPr="00950D6D">
              <w:t>,</w:t>
            </w:r>
            <w:r w:rsidRPr="00950D6D">
              <w:t xml:space="preserve"> et al. Combined analysis of two head-to-head Phase 3 trials demonstrating superior improvement of patient reported outcomes for calcipotriene and betamethasone dipropionate cream compared to gel/topical suspension in treatment of plaque psoriasis.</w:t>
            </w:r>
          </w:p>
        </w:tc>
        <w:tc>
          <w:tcPr>
            <w:tcW w:w="1177" w:type="pct"/>
            <w:tcBorders>
              <w:top w:val="single" w:sz="4" w:space="0" w:color="auto"/>
              <w:bottom w:val="single" w:sz="4" w:space="0" w:color="auto"/>
            </w:tcBorders>
            <w:vAlign w:val="center"/>
          </w:tcPr>
          <w:p w14:paraId="15F010D0" w14:textId="6D53B477" w:rsidR="0090404B" w:rsidRPr="007F3B2E" w:rsidRDefault="0004137C" w:rsidP="001B23ED">
            <w:pPr>
              <w:pStyle w:val="TableText0"/>
              <w:keepLines/>
              <w:contextualSpacing/>
            </w:pPr>
            <w:r>
              <w:t>J</w:t>
            </w:r>
            <w:r w:rsidR="0090404B" w:rsidRPr="007F3B2E">
              <w:t xml:space="preserve"> </w:t>
            </w:r>
            <w:r>
              <w:t>Clin</w:t>
            </w:r>
            <w:r w:rsidR="0090404B" w:rsidRPr="007F3B2E">
              <w:t xml:space="preserve"> </w:t>
            </w:r>
            <w:proofErr w:type="spellStart"/>
            <w:r>
              <w:t>A</w:t>
            </w:r>
            <w:r w:rsidRPr="007F3B2E">
              <w:t>esthet</w:t>
            </w:r>
            <w:proofErr w:type="spellEnd"/>
            <w:r w:rsidRPr="007F3B2E">
              <w:t xml:space="preserve"> </w:t>
            </w:r>
            <w:r>
              <w:t>D</w:t>
            </w:r>
            <w:r w:rsidRPr="007F3B2E">
              <w:t xml:space="preserve">ermatol </w:t>
            </w:r>
            <w:r w:rsidR="0090404B" w:rsidRPr="007F3B2E">
              <w:t>2022</w:t>
            </w:r>
            <w:r w:rsidR="00FD142A">
              <w:t>;</w:t>
            </w:r>
            <w:r w:rsidR="0090404B" w:rsidRPr="007F3B2E">
              <w:t>15(4 SUPPL 1</w:t>
            </w:r>
            <w:r w:rsidR="00FD142A" w:rsidRPr="007F3B2E">
              <w:t>)</w:t>
            </w:r>
            <w:r w:rsidR="00FD142A">
              <w:t>:</w:t>
            </w:r>
            <w:r w:rsidR="0090404B" w:rsidRPr="007F3B2E">
              <w:t>S25.</w:t>
            </w:r>
          </w:p>
        </w:tc>
      </w:tr>
      <w:tr w:rsidR="0090404B" w:rsidRPr="00CB38A8" w14:paraId="5DF55CC3" w14:textId="77777777" w:rsidTr="001B23ED">
        <w:trPr>
          <w:cantSplit/>
          <w:trHeight w:val="913"/>
        </w:trPr>
        <w:tc>
          <w:tcPr>
            <w:tcW w:w="796" w:type="pct"/>
            <w:vMerge/>
            <w:vAlign w:val="center"/>
          </w:tcPr>
          <w:p w14:paraId="6384575F" w14:textId="77777777" w:rsidR="0090404B" w:rsidRPr="00CB38A8" w:rsidRDefault="0090404B" w:rsidP="001B23ED">
            <w:pPr>
              <w:pStyle w:val="TableText0"/>
              <w:keepNext w:val="0"/>
            </w:pPr>
          </w:p>
        </w:tc>
        <w:tc>
          <w:tcPr>
            <w:tcW w:w="3027" w:type="pct"/>
            <w:tcBorders>
              <w:top w:val="single" w:sz="4" w:space="0" w:color="auto"/>
              <w:bottom w:val="single" w:sz="4" w:space="0" w:color="auto"/>
            </w:tcBorders>
            <w:vAlign w:val="center"/>
          </w:tcPr>
          <w:p w14:paraId="6718BACA" w14:textId="26990A1F" w:rsidR="0090404B" w:rsidRPr="006011AF" w:rsidRDefault="0090404B" w:rsidP="001B23ED">
            <w:pPr>
              <w:pStyle w:val="TableText0"/>
              <w:keepNext w:val="0"/>
              <w:contextualSpacing/>
            </w:pPr>
            <w:r w:rsidRPr="006011AF">
              <w:t>Armstrong A, Pinter A, Selmer J</w:t>
            </w:r>
            <w:r w:rsidR="00051671">
              <w:t>,</w:t>
            </w:r>
            <w:r w:rsidRPr="006011AF">
              <w:t xml:space="preserve"> et al. Pooled Analysis Demonstrating Superior Patient-Reported Psoriasis Treatment Outcomes for Calcipotriene/ Betamethasone Dipropionate Cream Versus Suspension/Gel.</w:t>
            </w:r>
          </w:p>
        </w:tc>
        <w:tc>
          <w:tcPr>
            <w:tcW w:w="1177" w:type="pct"/>
            <w:tcBorders>
              <w:top w:val="single" w:sz="4" w:space="0" w:color="auto"/>
              <w:bottom w:val="single" w:sz="4" w:space="0" w:color="auto"/>
            </w:tcBorders>
            <w:vAlign w:val="center"/>
          </w:tcPr>
          <w:p w14:paraId="3AC2CB13" w14:textId="77777777" w:rsidR="0090404B" w:rsidRPr="007F3B2E" w:rsidRDefault="0090404B" w:rsidP="001B23ED">
            <w:pPr>
              <w:pStyle w:val="TableText0"/>
              <w:keepNext w:val="0"/>
              <w:contextualSpacing/>
            </w:pPr>
            <w:r w:rsidRPr="007F3B2E">
              <w:t>J Drugs Dermatol 2022;21(3):242-8.</w:t>
            </w:r>
          </w:p>
        </w:tc>
      </w:tr>
      <w:tr w:rsidR="0090404B" w:rsidRPr="006836BD" w14:paraId="3D4E0D7F" w14:textId="77777777" w:rsidTr="001B23ED">
        <w:trPr>
          <w:cantSplit/>
          <w:trHeight w:val="913"/>
        </w:trPr>
        <w:tc>
          <w:tcPr>
            <w:tcW w:w="796" w:type="pct"/>
            <w:vMerge/>
            <w:vAlign w:val="center"/>
          </w:tcPr>
          <w:p w14:paraId="28F47BE9" w14:textId="77777777" w:rsidR="0090404B" w:rsidRPr="00CB38A8" w:rsidRDefault="0090404B" w:rsidP="001B23ED">
            <w:pPr>
              <w:pStyle w:val="TableText0"/>
              <w:keepNext w:val="0"/>
            </w:pPr>
          </w:p>
        </w:tc>
        <w:tc>
          <w:tcPr>
            <w:tcW w:w="3027" w:type="pct"/>
            <w:tcBorders>
              <w:top w:val="single" w:sz="4" w:space="0" w:color="auto"/>
              <w:bottom w:val="single" w:sz="4" w:space="0" w:color="auto"/>
            </w:tcBorders>
            <w:vAlign w:val="center"/>
          </w:tcPr>
          <w:p w14:paraId="46424FAB" w14:textId="10A7C4FD" w:rsidR="0090404B" w:rsidRPr="006011AF" w:rsidRDefault="0090404B" w:rsidP="001B23ED">
            <w:pPr>
              <w:pStyle w:val="TableText0"/>
              <w:keepNext w:val="0"/>
              <w:contextualSpacing/>
            </w:pPr>
            <w:r w:rsidRPr="006364F5">
              <w:t>Pinter A, Green LJ, Selmer J</w:t>
            </w:r>
            <w:r w:rsidR="007B49FE">
              <w:t>,</w:t>
            </w:r>
            <w:r>
              <w:t xml:space="preserve"> et al.</w:t>
            </w:r>
            <w:r w:rsidRPr="006364F5">
              <w:t xml:space="preserve"> A pooled analysis of randomized, controlled, phase 3 trials investigating the efficacy and safety of a novel, fixed dose calcipotriene and betamethasone dipropionate cream for the topical treatment of plaque psoriasis</w:t>
            </w:r>
            <w:r w:rsidR="00CB4D86">
              <w:t>.</w:t>
            </w:r>
          </w:p>
        </w:tc>
        <w:tc>
          <w:tcPr>
            <w:tcW w:w="1177" w:type="pct"/>
            <w:tcBorders>
              <w:top w:val="single" w:sz="4" w:space="0" w:color="auto"/>
              <w:bottom w:val="single" w:sz="4" w:space="0" w:color="auto"/>
            </w:tcBorders>
            <w:vAlign w:val="center"/>
          </w:tcPr>
          <w:p w14:paraId="78F72B89" w14:textId="6DAE63BF" w:rsidR="0090404B" w:rsidRPr="007F3B2E" w:rsidRDefault="0090404B" w:rsidP="001B23ED">
            <w:pPr>
              <w:pStyle w:val="TableText0"/>
              <w:keepNext w:val="0"/>
              <w:contextualSpacing/>
              <w:rPr>
                <w:lang w:val="es-CO"/>
              </w:rPr>
            </w:pPr>
            <w:r w:rsidRPr="007F3B2E">
              <w:rPr>
                <w:lang w:val="es-CO"/>
              </w:rPr>
              <w:t xml:space="preserve">J </w:t>
            </w:r>
            <w:proofErr w:type="spellStart"/>
            <w:r w:rsidRPr="007F3B2E">
              <w:rPr>
                <w:lang w:val="es-CO"/>
              </w:rPr>
              <w:t>Eur</w:t>
            </w:r>
            <w:proofErr w:type="spellEnd"/>
            <w:r w:rsidRPr="007F3B2E">
              <w:rPr>
                <w:lang w:val="es-CO"/>
              </w:rPr>
              <w:t xml:space="preserve"> Acad </w:t>
            </w:r>
            <w:proofErr w:type="spellStart"/>
            <w:r w:rsidRPr="007F3B2E">
              <w:rPr>
                <w:lang w:val="es-CO"/>
              </w:rPr>
              <w:t>Dermatol</w:t>
            </w:r>
            <w:proofErr w:type="spellEnd"/>
            <w:r w:rsidRPr="007F3B2E">
              <w:rPr>
                <w:lang w:val="es-CO"/>
              </w:rPr>
              <w:t xml:space="preserve"> </w:t>
            </w:r>
            <w:proofErr w:type="spellStart"/>
            <w:r w:rsidRPr="007F3B2E">
              <w:rPr>
                <w:lang w:val="es-CO"/>
              </w:rPr>
              <w:t>Venereol</w:t>
            </w:r>
            <w:proofErr w:type="spellEnd"/>
            <w:r w:rsidRPr="007F3B2E">
              <w:rPr>
                <w:lang w:val="es-CO"/>
              </w:rPr>
              <w:t xml:space="preserve"> 2022 Feb;36(2):228-36.</w:t>
            </w:r>
          </w:p>
        </w:tc>
      </w:tr>
      <w:tr w:rsidR="0090404B" w:rsidRPr="00CB38A8" w14:paraId="08245579" w14:textId="77777777" w:rsidTr="001B23ED">
        <w:trPr>
          <w:cantSplit/>
          <w:trHeight w:val="624"/>
        </w:trPr>
        <w:tc>
          <w:tcPr>
            <w:tcW w:w="796" w:type="pct"/>
            <w:vMerge/>
            <w:vAlign w:val="center"/>
          </w:tcPr>
          <w:p w14:paraId="76689C2C" w14:textId="77777777" w:rsidR="0090404B" w:rsidRPr="006836BD" w:rsidRDefault="0090404B" w:rsidP="001B23ED">
            <w:pPr>
              <w:pStyle w:val="TableText0"/>
              <w:keepNext w:val="0"/>
              <w:rPr>
                <w:lang w:val="es-CO"/>
              </w:rPr>
            </w:pPr>
          </w:p>
        </w:tc>
        <w:tc>
          <w:tcPr>
            <w:tcW w:w="3027" w:type="pct"/>
            <w:tcBorders>
              <w:top w:val="single" w:sz="4" w:space="0" w:color="auto"/>
              <w:bottom w:val="single" w:sz="4" w:space="0" w:color="auto"/>
            </w:tcBorders>
            <w:vAlign w:val="center"/>
          </w:tcPr>
          <w:p w14:paraId="263C386D" w14:textId="6CFAA8A5" w:rsidR="0090404B" w:rsidRPr="006011AF" w:rsidRDefault="0090404B" w:rsidP="001B23ED">
            <w:pPr>
              <w:pStyle w:val="TableText0"/>
              <w:keepNext w:val="0"/>
              <w:contextualSpacing/>
            </w:pPr>
            <w:proofErr w:type="spellStart"/>
            <w:r w:rsidRPr="006836BD">
              <w:rPr>
                <w:lang w:val="es-CO"/>
              </w:rPr>
              <w:t>Kontzias</w:t>
            </w:r>
            <w:proofErr w:type="spellEnd"/>
            <w:r w:rsidRPr="006836BD">
              <w:rPr>
                <w:lang w:val="es-CO"/>
              </w:rPr>
              <w:t xml:space="preserve"> CL, </w:t>
            </w:r>
            <w:proofErr w:type="spellStart"/>
            <w:r w:rsidRPr="006836BD">
              <w:rPr>
                <w:lang w:val="es-CO"/>
              </w:rPr>
              <w:t>Curcio</w:t>
            </w:r>
            <w:proofErr w:type="spellEnd"/>
            <w:r w:rsidRPr="006836BD">
              <w:rPr>
                <w:lang w:val="es-CO"/>
              </w:rPr>
              <w:t xml:space="preserve"> A, </w:t>
            </w:r>
            <w:proofErr w:type="spellStart"/>
            <w:r w:rsidRPr="006836BD">
              <w:rPr>
                <w:lang w:val="es-CO"/>
              </w:rPr>
              <w:t>Gorodokin</w:t>
            </w:r>
            <w:proofErr w:type="spellEnd"/>
            <w:r w:rsidRPr="006836BD">
              <w:rPr>
                <w:lang w:val="es-CO"/>
              </w:rPr>
              <w:t xml:space="preserve"> B</w:t>
            </w:r>
            <w:r w:rsidR="00FA5AD5" w:rsidRPr="006836BD">
              <w:rPr>
                <w:lang w:val="es-CO"/>
              </w:rPr>
              <w:t>,</w:t>
            </w:r>
            <w:r w:rsidRPr="006836BD">
              <w:rPr>
                <w:lang w:val="es-CO"/>
              </w:rPr>
              <w:t xml:space="preserve"> et al. </w:t>
            </w:r>
            <w:r w:rsidR="00FA5AD5">
              <w:t xml:space="preserve">Efficacy, </w:t>
            </w:r>
            <w:r w:rsidRPr="006011AF">
              <w:t xml:space="preserve">Convenience, and Safety of Calcipotriene-Betamethasone Dipropionate Cream in Skin of </w:t>
            </w:r>
            <w:r w:rsidR="00A53270" w:rsidRPr="006011AF">
              <w:t>Colour</w:t>
            </w:r>
            <w:r w:rsidRPr="006011AF">
              <w:t xml:space="preserve"> Patients With Plaque Psoriasis</w:t>
            </w:r>
            <w:r>
              <w:t>.</w:t>
            </w:r>
          </w:p>
        </w:tc>
        <w:tc>
          <w:tcPr>
            <w:tcW w:w="1177" w:type="pct"/>
            <w:tcBorders>
              <w:top w:val="single" w:sz="4" w:space="0" w:color="auto"/>
              <w:bottom w:val="single" w:sz="4" w:space="0" w:color="auto"/>
            </w:tcBorders>
            <w:vAlign w:val="center"/>
          </w:tcPr>
          <w:p w14:paraId="6F4D6B90" w14:textId="77777777" w:rsidR="0090404B" w:rsidRPr="007F3B2E" w:rsidRDefault="0090404B" w:rsidP="001B23ED">
            <w:pPr>
              <w:pStyle w:val="TableText0"/>
              <w:keepNext w:val="0"/>
              <w:contextualSpacing/>
            </w:pPr>
            <w:r w:rsidRPr="007F3B2E">
              <w:t>J Drugs Dermatol 2023;22(7):668-72.</w:t>
            </w:r>
          </w:p>
        </w:tc>
      </w:tr>
      <w:tr w:rsidR="0090404B" w:rsidRPr="00CB38A8" w14:paraId="27BDBEA5" w14:textId="77777777" w:rsidTr="001B23ED">
        <w:trPr>
          <w:cantSplit/>
          <w:trHeight w:val="913"/>
        </w:trPr>
        <w:tc>
          <w:tcPr>
            <w:tcW w:w="796" w:type="pct"/>
            <w:vMerge/>
            <w:tcBorders>
              <w:bottom w:val="nil"/>
            </w:tcBorders>
            <w:vAlign w:val="center"/>
          </w:tcPr>
          <w:p w14:paraId="74EFB4A2" w14:textId="77777777" w:rsidR="0090404B" w:rsidRPr="00CB38A8" w:rsidRDefault="0090404B" w:rsidP="001B23ED">
            <w:pPr>
              <w:pStyle w:val="TableText0"/>
              <w:keepNext w:val="0"/>
            </w:pPr>
          </w:p>
        </w:tc>
        <w:tc>
          <w:tcPr>
            <w:tcW w:w="3027" w:type="pct"/>
            <w:tcBorders>
              <w:top w:val="single" w:sz="4" w:space="0" w:color="auto"/>
              <w:bottom w:val="single" w:sz="4" w:space="0" w:color="auto"/>
            </w:tcBorders>
            <w:vAlign w:val="center"/>
          </w:tcPr>
          <w:p w14:paraId="2AF1951A" w14:textId="3CCD8BD6" w:rsidR="0090404B" w:rsidRPr="006011AF" w:rsidRDefault="0090404B" w:rsidP="001B23ED">
            <w:pPr>
              <w:pStyle w:val="TableText0"/>
              <w:keepNext w:val="0"/>
              <w:contextualSpacing/>
            </w:pPr>
            <w:r w:rsidRPr="00BA4DA7">
              <w:t xml:space="preserve">Pinter A, </w:t>
            </w:r>
            <w:r w:rsidR="00363E16">
              <w:t xml:space="preserve">Stein </w:t>
            </w:r>
            <w:r w:rsidRPr="00BA4DA7">
              <w:t>Gold L, Reich A</w:t>
            </w:r>
            <w:r w:rsidR="00C53529">
              <w:t>,</w:t>
            </w:r>
            <w:r>
              <w:t xml:space="preserve"> et al.</w:t>
            </w:r>
            <w:r w:rsidRPr="00BA4DA7">
              <w:t xml:space="preserve"> A novel, fixed-dose calcipotriol and betamethasone dipropionate cream for the topical treatment of plaque psoriasis: Direct and indirect evidence from phase 3 trials discussed at the 30th EADV Congress 2021</w:t>
            </w:r>
            <w:r>
              <w:t>.</w:t>
            </w:r>
          </w:p>
        </w:tc>
        <w:tc>
          <w:tcPr>
            <w:tcW w:w="1177" w:type="pct"/>
            <w:tcBorders>
              <w:top w:val="single" w:sz="4" w:space="0" w:color="auto"/>
              <w:bottom w:val="single" w:sz="4" w:space="0" w:color="auto"/>
            </w:tcBorders>
            <w:vAlign w:val="center"/>
          </w:tcPr>
          <w:p w14:paraId="10F1CFCE" w14:textId="6C3E096B" w:rsidR="0090404B" w:rsidRPr="007F3B2E" w:rsidRDefault="0090404B" w:rsidP="001B23ED">
            <w:pPr>
              <w:pStyle w:val="TableText0"/>
              <w:keepNext w:val="0"/>
              <w:contextualSpacing/>
            </w:pPr>
            <w:r w:rsidRPr="007F3B2E">
              <w:t xml:space="preserve">J </w:t>
            </w:r>
            <w:proofErr w:type="spellStart"/>
            <w:r w:rsidRPr="007F3B2E">
              <w:t>Eur</w:t>
            </w:r>
            <w:proofErr w:type="spellEnd"/>
            <w:r w:rsidRPr="007F3B2E">
              <w:t xml:space="preserve"> </w:t>
            </w:r>
            <w:proofErr w:type="spellStart"/>
            <w:r w:rsidRPr="007F3B2E">
              <w:t>Acad</w:t>
            </w:r>
            <w:proofErr w:type="spellEnd"/>
            <w:r w:rsidRPr="007F3B2E">
              <w:t xml:space="preserve"> Dermatol </w:t>
            </w:r>
            <w:proofErr w:type="spellStart"/>
            <w:r w:rsidRPr="007F3B2E">
              <w:t>Venereol</w:t>
            </w:r>
            <w:proofErr w:type="spellEnd"/>
            <w:r w:rsidR="00675580">
              <w:t xml:space="preserve"> </w:t>
            </w:r>
            <w:r w:rsidRPr="007F3B2E">
              <w:t>2023;37(suppl.1):14-9.</w:t>
            </w:r>
          </w:p>
        </w:tc>
      </w:tr>
      <w:tr w:rsidR="0090404B" w:rsidRPr="00CB38A8" w14:paraId="45C51D65" w14:textId="77777777" w:rsidTr="001B23ED">
        <w:trPr>
          <w:cantSplit/>
        </w:trPr>
        <w:tc>
          <w:tcPr>
            <w:tcW w:w="796" w:type="pct"/>
            <w:vMerge w:val="restart"/>
            <w:vAlign w:val="center"/>
          </w:tcPr>
          <w:p w14:paraId="35478B3F" w14:textId="77777777" w:rsidR="0090404B" w:rsidRDefault="0090404B" w:rsidP="001B23ED">
            <w:pPr>
              <w:pStyle w:val="TableText0"/>
              <w:keepNext w:val="0"/>
            </w:pPr>
            <w:r>
              <w:t>MC2-01-C7</w:t>
            </w:r>
          </w:p>
          <w:p w14:paraId="14B5B86C" w14:textId="77777777" w:rsidR="0090404B" w:rsidRPr="00CB38A8" w:rsidRDefault="0090404B" w:rsidP="001B23ED">
            <w:pPr>
              <w:pStyle w:val="TableText0"/>
              <w:keepNext w:val="0"/>
            </w:pPr>
            <w:r>
              <w:t>(NCT03802344, EUCTR2018-001970-66-CZ)</w:t>
            </w:r>
          </w:p>
        </w:tc>
        <w:tc>
          <w:tcPr>
            <w:tcW w:w="3027" w:type="pct"/>
            <w:tcBorders>
              <w:top w:val="single" w:sz="4" w:space="0" w:color="auto"/>
              <w:bottom w:val="single" w:sz="4" w:space="0" w:color="auto"/>
            </w:tcBorders>
            <w:vAlign w:val="center"/>
          </w:tcPr>
          <w:p w14:paraId="1A70B41E" w14:textId="343E4AD0" w:rsidR="0090404B" w:rsidRPr="001E6650" w:rsidRDefault="0090404B" w:rsidP="001B23ED">
            <w:pPr>
              <w:pStyle w:val="TableText0"/>
              <w:keepNext w:val="0"/>
              <w:rPr>
                <w:szCs w:val="18"/>
              </w:rPr>
            </w:pPr>
            <w:r w:rsidRPr="001E6650">
              <w:rPr>
                <w:szCs w:val="18"/>
              </w:rPr>
              <w:t>A Randomised, Multicentre, Investigator-Blind, Parallel-Group Trial to Evaluate the Efficacy and Safety of MC2-01 Cream Compared to Vehicle and Active Comparator in Subjects with Mild-to-Moderate Psoriasis Vulgaris</w:t>
            </w:r>
            <w:r w:rsidR="006D36D0">
              <w:rPr>
                <w:szCs w:val="18"/>
              </w:rPr>
              <w:t>.</w:t>
            </w:r>
          </w:p>
        </w:tc>
        <w:tc>
          <w:tcPr>
            <w:tcW w:w="1177" w:type="pct"/>
            <w:tcBorders>
              <w:top w:val="single" w:sz="4" w:space="0" w:color="auto"/>
              <w:bottom w:val="single" w:sz="4" w:space="0" w:color="auto"/>
            </w:tcBorders>
            <w:vAlign w:val="center"/>
          </w:tcPr>
          <w:p w14:paraId="70BAB52B" w14:textId="77777777" w:rsidR="0090404B" w:rsidRPr="007F3B2E" w:rsidRDefault="0090404B" w:rsidP="001B23ED">
            <w:pPr>
              <w:pStyle w:val="TableText0"/>
              <w:keepNext w:val="0"/>
            </w:pPr>
            <w:r w:rsidRPr="007F3B2E">
              <w:t>April 2020</w:t>
            </w:r>
          </w:p>
        </w:tc>
      </w:tr>
      <w:tr w:rsidR="0090404B" w:rsidRPr="00653774" w14:paraId="154166A2" w14:textId="77777777" w:rsidTr="001B23ED">
        <w:trPr>
          <w:cantSplit/>
        </w:trPr>
        <w:tc>
          <w:tcPr>
            <w:tcW w:w="796" w:type="pct"/>
            <w:vMerge/>
            <w:vAlign w:val="center"/>
          </w:tcPr>
          <w:p w14:paraId="36057F63" w14:textId="77777777" w:rsidR="0090404B" w:rsidRPr="00CB38A8" w:rsidRDefault="0090404B" w:rsidP="001B23ED">
            <w:pPr>
              <w:pStyle w:val="TableText0"/>
              <w:keepNext w:val="0"/>
            </w:pPr>
          </w:p>
        </w:tc>
        <w:tc>
          <w:tcPr>
            <w:tcW w:w="3027" w:type="pct"/>
            <w:tcBorders>
              <w:top w:val="single" w:sz="4" w:space="0" w:color="auto"/>
              <w:bottom w:val="single" w:sz="4" w:space="0" w:color="auto"/>
            </w:tcBorders>
            <w:vAlign w:val="center"/>
          </w:tcPr>
          <w:p w14:paraId="0BF4CEB0" w14:textId="5BF336A5" w:rsidR="0090404B" w:rsidRPr="00AC45E8" w:rsidRDefault="0090404B" w:rsidP="001B23ED">
            <w:pPr>
              <w:pStyle w:val="TableText0"/>
              <w:keepNext w:val="0"/>
              <w:rPr>
                <w:szCs w:val="18"/>
              </w:rPr>
            </w:pPr>
            <w:r w:rsidRPr="00B03000">
              <w:rPr>
                <w:szCs w:val="18"/>
              </w:rPr>
              <w:t xml:space="preserve">Pinter A, Reich A, </w:t>
            </w:r>
            <w:proofErr w:type="spellStart"/>
            <w:r w:rsidRPr="00B03000">
              <w:rPr>
                <w:szCs w:val="18"/>
              </w:rPr>
              <w:t>Arenberger</w:t>
            </w:r>
            <w:proofErr w:type="spellEnd"/>
            <w:r w:rsidRPr="00B03000">
              <w:rPr>
                <w:szCs w:val="18"/>
              </w:rPr>
              <w:t xml:space="preserve"> P</w:t>
            </w:r>
            <w:r w:rsidR="00D236D9">
              <w:rPr>
                <w:szCs w:val="18"/>
              </w:rPr>
              <w:t>,</w:t>
            </w:r>
            <w:r>
              <w:rPr>
                <w:szCs w:val="18"/>
              </w:rPr>
              <w:t xml:space="preserve"> et al.</w:t>
            </w:r>
            <w:r w:rsidRPr="00B03000">
              <w:rPr>
                <w:szCs w:val="18"/>
              </w:rPr>
              <w:t xml:space="preserve"> Randomized Phase 3 trial demonstrating high efficacy, favourable safety and convenience of a novel calcipotriol and betamethasone dipropionate cream for the treatment of psoriasis.</w:t>
            </w:r>
          </w:p>
        </w:tc>
        <w:tc>
          <w:tcPr>
            <w:tcW w:w="1177" w:type="pct"/>
            <w:tcBorders>
              <w:top w:val="single" w:sz="4" w:space="0" w:color="auto"/>
              <w:bottom w:val="single" w:sz="4" w:space="0" w:color="auto"/>
            </w:tcBorders>
            <w:vAlign w:val="center"/>
          </w:tcPr>
          <w:p w14:paraId="49A9E19F" w14:textId="4533BEB8" w:rsidR="0090404B" w:rsidRPr="007F3B2E" w:rsidRDefault="0090404B" w:rsidP="001B23ED">
            <w:pPr>
              <w:pStyle w:val="TableText0"/>
              <w:keepNext w:val="0"/>
              <w:rPr>
                <w:lang w:val="es-CO"/>
              </w:rPr>
            </w:pPr>
            <w:r w:rsidRPr="007F3B2E">
              <w:rPr>
                <w:szCs w:val="18"/>
                <w:lang w:val="es-CO"/>
              </w:rPr>
              <w:t xml:space="preserve">J </w:t>
            </w:r>
            <w:proofErr w:type="spellStart"/>
            <w:r w:rsidRPr="007F3B2E">
              <w:rPr>
                <w:szCs w:val="18"/>
                <w:lang w:val="es-CO"/>
              </w:rPr>
              <w:t>Eur</w:t>
            </w:r>
            <w:proofErr w:type="spellEnd"/>
            <w:r w:rsidRPr="007F3B2E">
              <w:rPr>
                <w:szCs w:val="18"/>
                <w:lang w:val="es-CO"/>
              </w:rPr>
              <w:t xml:space="preserve"> Acad </w:t>
            </w:r>
            <w:proofErr w:type="spellStart"/>
            <w:r w:rsidRPr="007F3B2E">
              <w:rPr>
                <w:szCs w:val="18"/>
                <w:lang w:val="es-CO"/>
              </w:rPr>
              <w:t>Dermatol</w:t>
            </w:r>
            <w:proofErr w:type="spellEnd"/>
            <w:r w:rsidRPr="007F3B2E">
              <w:rPr>
                <w:szCs w:val="18"/>
                <w:lang w:val="es-CO"/>
              </w:rPr>
              <w:t xml:space="preserve"> </w:t>
            </w:r>
            <w:proofErr w:type="spellStart"/>
            <w:r w:rsidRPr="007F3B2E">
              <w:rPr>
                <w:szCs w:val="18"/>
                <w:lang w:val="es-CO"/>
              </w:rPr>
              <w:t>Venereol</w:t>
            </w:r>
            <w:proofErr w:type="spellEnd"/>
            <w:r w:rsidRPr="007F3B2E">
              <w:rPr>
                <w:szCs w:val="18"/>
                <w:lang w:val="es-CO"/>
              </w:rPr>
              <w:t xml:space="preserve"> 2023</w:t>
            </w:r>
            <w:r w:rsidR="000217CC">
              <w:rPr>
                <w:szCs w:val="18"/>
                <w:lang w:val="es-CO"/>
              </w:rPr>
              <w:t xml:space="preserve"> </w:t>
            </w:r>
            <w:r w:rsidRPr="007F3B2E">
              <w:rPr>
                <w:szCs w:val="18"/>
                <w:lang w:val="es-CO"/>
              </w:rPr>
              <w:t>Nov;37(11):2327-35.</w:t>
            </w:r>
          </w:p>
        </w:tc>
      </w:tr>
      <w:tr w:rsidR="0090404B" w:rsidRPr="00653774" w14:paraId="7D93B5DD" w14:textId="77777777" w:rsidTr="001B23ED">
        <w:trPr>
          <w:cantSplit/>
        </w:trPr>
        <w:tc>
          <w:tcPr>
            <w:tcW w:w="796" w:type="pct"/>
            <w:vMerge/>
            <w:vAlign w:val="center"/>
          </w:tcPr>
          <w:p w14:paraId="090B0E7A" w14:textId="77777777" w:rsidR="0090404B" w:rsidRPr="00653774" w:rsidRDefault="0090404B" w:rsidP="001B23ED">
            <w:pPr>
              <w:pStyle w:val="TableText0"/>
              <w:keepNext w:val="0"/>
              <w:rPr>
                <w:lang w:val="es-CO"/>
              </w:rPr>
            </w:pPr>
          </w:p>
        </w:tc>
        <w:tc>
          <w:tcPr>
            <w:tcW w:w="3027" w:type="pct"/>
            <w:tcBorders>
              <w:top w:val="single" w:sz="4" w:space="0" w:color="auto"/>
              <w:bottom w:val="single" w:sz="4" w:space="0" w:color="auto"/>
            </w:tcBorders>
            <w:vAlign w:val="center"/>
          </w:tcPr>
          <w:p w14:paraId="08370596" w14:textId="021798CC" w:rsidR="0090404B" w:rsidRPr="00B03000" w:rsidRDefault="0090404B" w:rsidP="001B23ED">
            <w:pPr>
              <w:pStyle w:val="TableText0"/>
              <w:keepNext w:val="0"/>
              <w:rPr>
                <w:szCs w:val="18"/>
              </w:rPr>
            </w:pPr>
            <w:proofErr w:type="spellStart"/>
            <w:r w:rsidRPr="006364F5">
              <w:rPr>
                <w:szCs w:val="18"/>
              </w:rPr>
              <w:t>Halioua</w:t>
            </w:r>
            <w:proofErr w:type="spellEnd"/>
            <w:r w:rsidRPr="006364F5">
              <w:rPr>
                <w:szCs w:val="18"/>
              </w:rPr>
              <w:t xml:space="preserve"> B, Caillet G, </w:t>
            </w:r>
            <w:proofErr w:type="spellStart"/>
            <w:r w:rsidRPr="006364F5">
              <w:rPr>
                <w:szCs w:val="18"/>
              </w:rPr>
              <w:t>Taieb</w:t>
            </w:r>
            <w:proofErr w:type="spellEnd"/>
            <w:r w:rsidRPr="006364F5">
              <w:rPr>
                <w:szCs w:val="18"/>
              </w:rPr>
              <w:t xml:space="preserve"> C</w:t>
            </w:r>
            <w:r w:rsidR="0068702D">
              <w:rPr>
                <w:szCs w:val="18"/>
              </w:rPr>
              <w:t>,</w:t>
            </w:r>
            <w:r>
              <w:rPr>
                <w:szCs w:val="18"/>
              </w:rPr>
              <w:t xml:space="preserve"> et al.</w:t>
            </w:r>
            <w:r w:rsidRPr="006364F5">
              <w:rPr>
                <w:szCs w:val="18"/>
              </w:rPr>
              <w:t xml:space="preserve"> A novel calcipotriol and betamethasone dipropionate (CAL/BDP) PAD-cream demonstrates greater improvements in daily activities and personal relationships than CAL/BDP gel/TS: A post-hoc analysis of DLQI outcomes from two phase</w:t>
            </w:r>
            <w:r w:rsidR="00975E3C">
              <w:rPr>
                <w:szCs w:val="18"/>
              </w:rPr>
              <w:t> </w:t>
            </w:r>
            <w:r w:rsidRPr="006364F5">
              <w:rPr>
                <w:szCs w:val="18"/>
              </w:rPr>
              <w:t>3 placebo-controlled randomized clinical trials in mild-to-moderate psoriasis.</w:t>
            </w:r>
          </w:p>
        </w:tc>
        <w:tc>
          <w:tcPr>
            <w:tcW w:w="1177" w:type="pct"/>
            <w:tcBorders>
              <w:top w:val="single" w:sz="4" w:space="0" w:color="auto"/>
              <w:bottom w:val="single" w:sz="4" w:space="0" w:color="auto"/>
            </w:tcBorders>
            <w:vAlign w:val="center"/>
          </w:tcPr>
          <w:p w14:paraId="41DE05DD" w14:textId="1A6FD9C7" w:rsidR="0090404B" w:rsidRPr="007F3B2E" w:rsidRDefault="0090404B" w:rsidP="001B23ED">
            <w:pPr>
              <w:pStyle w:val="TableText0"/>
              <w:keepNext w:val="0"/>
              <w:rPr>
                <w:szCs w:val="18"/>
                <w:lang w:val="es-CO"/>
              </w:rPr>
            </w:pPr>
            <w:r w:rsidRPr="007F3B2E">
              <w:rPr>
                <w:szCs w:val="18"/>
                <w:lang w:val="es-CO"/>
              </w:rPr>
              <w:t xml:space="preserve">J </w:t>
            </w:r>
            <w:proofErr w:type="spellStart"/>
            <w:r w:rsidRPr="007F3B2E">
              <w:rPr>
                <w:szCs w:val="18"/>
                <w:lang w:val="es-CO"/>
              </w:rPr>
              <w:t>Eur</w:t>
            </w:r>
            <w:proofErr w:type="spellEnd"/>
            <w:r w:rsidRPr="007F3B2E">
              <w:rPr>
                <w:szCs w:val="18"/>
                <w:lang w:val="es-CO"/>
              </w:rPr>
              <w:t xml:space="preserve"> Acad </w:t>
            </w:r>
            <w:proofErr w:type="spellStart"/>
            <w:r w:rsidRPr="007F3B2E">
              <w:rPr>
                <w:szCs w:val="18"/>
                <w:lang w:val="es-CO"/>
              </w:rPr>
              <w:t>Dermatol</w:t>
            </w:r>
            <w:proofErr w:type="spellEnd"/>
            <w:r w:rsidRPr="007F3B2E">
              <w:rPr>
                <w:szCs w:val="18"/>
                <w:lang w:val="es-CO"/>
              </w:rPr>
              <w:t xml:space="preserve"> </w:t>
            </w:r>
            <w:proofErr w:type="spellStart"/>
            <w:r w:rsidRPr="007F3B2E">
              <w:rPr>
                <w:szCs w:val="18"/>
                <w:lang w:val="es-CO"/>
              </w:rPr>
              <w:t>Venereol</w:t>
            </w:r>
            <w:proofErr w:type="spellEnd"/>
            <w:r w:rsidRPr="007F3B2E">
              <w:rPr>
                <w:szCs w:val="18"/>
                <w:lang w:val="es-CO"/>
              </w:rPr>
              <w:t xml:space="preserve"> 2024</w:t>
            </w:r>
            <w:r w:rsidR="00881208">
              <w:rPr>
                <w:szCs w:val="18"/>
                <w:lang w:val="es-CO"/>
              </w:rPr>
              <w:t xml:space="preserve"> </w:t>
            </w:r>
            <w:r w:rsidRPr="007F3B2E">
              <w:rPr>
                <w:szCs w:val="18"/>
                <w:lang w:val="es-CO"/>
              </w:rPr>
              <w:t>Apr;38(4</w:t>
            </w:r>
            <w:proofErr w:type="gramStart"/>
            <w:r w:rsidRPr="007F3B2E">
              <w:rPr>
                <w:szCs w:val="18"/>
                <w:lang w:val="es-CO"/>
              </w:rPr>
              <w:t>):e</w:t>
            </w:r>
            <w:proofErr w:type="gramEnd"/>
            <w:r w:rsidRPr="007F3B2E">
              <w:rPr>
                <w:szCs w:val="18"/>
                <w:lang w:val="es-CO"/>
              </w:rPr>
              <w:t>326-8.</w:t>
            </w:r>
          </w:p>
        </w:tc>
      </w:tr>
      <w:tr w:rsidR="0090404B" w:rsidRPr="00CB38A8" w14:paraId="0489C92D" w14:textId="77777777" w:rsidTr="001B23ED">
        <w:trPr>
          <w:cantSplit/>
        </w:trPr>
        <w:tc>
          <w:tcPr>
            <w:tcW w:w="5000" w:type="pct"/>
            <w:gridSpan w:val="3"/>
            <w:tcBorders>
              <w:bottom w:val="single" w:sz="4" w:space="0" w:color="auto"/>
            </w:tcBorders>
            <w:vAlign w:val="center"/>
          </w:tcPr>
          <w:p w14:paraId="26B4E389" w14:textId="77777777" w:rsidR="0090404B" w:rsidRPr="007F3B2E" w:rsidRDefault="0090404B" w:rsidP="001B23ED">
            <w:pPr>
              <w:pStyle w:val="TableText0"/>
              <w:keepNext w:val="0"/>
              <w:rPr>
                <w:b/>
                <w:bCs w:val="0"/>
                <w:szCs w:val="18"/>
              </w:rPr>
            </w:pPr>
            <w:r w:rsidRPr="007F3B2E">
              <w:rPr>
                <w:b/>
                <w:bCs w:val="0"/>
                <w:szCs w:val="18"/>
              </w:rPr>
              <w:t>CAL/BDP cream versus CAL/BDP foam</w:t>
            </w:r>
          </w:p>
        </w:tc>
      </w:tr>
      <w:tr w:rsidR="0090404B" w:rsidRPr="00CB38A8" w14:paraId="77179C0B" w14:textId="77777777" w:rsidTr="001B23ED">
        <w:trPr>
          <w:cantSplit/>
        </w:trPr>
        <w:tc>
          <w:tcPr>
            <w:tcW w:w="796" w:type="pct"/>
            <w:tcBorders>
              <w:top w:val="single" w:sz="4" w:space="0" w:color="auto"/>
              <w:bottom w:val="single" w:sz="4" w:space="0" w:color="auto"/>
            </w:tcBorders>
            <w:vAlign w:val="center"/>
          </w:tcPr>
          <w:p w14:paraId="34F784FC" w14:textId="77777777" w:rsidR="0090404B" w:rsidRPr="00CB38A8" w:rsidRDefault="0090404B" w:rsidP="001B23ED">
            <w:pPr>
              <w:pStyle w:val="TableText0"/>
              <w:keepNext w:val="0"/>
            </w:pPr>
            <w:r>
              <w:t>Anchored MAIC</w:t>
            </w:r>
          </w:p>
        </w:tc>
        <w:tc>
          <w:tcPr>
            <w:tcW w:w="3027" w:type="pct"/>
            <w:tcBorders>
              <w:top w:val="single" w:sz="4" w:space="0" w:color="auto"/>
              <w:bottom w:val="single" w:sz="4" w:space="0" w:color="auto"/>
            </w:tcBorders>
            <w:vAlign w:val="center"/>
          </w:tcPr>
          <w:p w14:paraId="16B595E2" w14:textId="2324496E" w:rsidR="0090404B" w:rsidRPr="006364F5" w:rsidRDefault="0090404B" w:rsidP="001B23ED">
            <w:pPr>
              <w:pStyle w:val="TableText0"/>
              <w:keepNext w:val="0"/>
              <w:rPr>
                <w:szCs w:val="18"/>
              </w:rPr>
            </w:pPr>
            <w:r w:rsidRPr="00B768AB">
              <w:rPr>
                <w:szCs w:val="18"/>
              </w:rPr>
              <w:t>Bewley A, Barker E, Baker H</w:t>
            </w:r>
            <w:r w:rsidR="006970EC">
              <w:rPr>
                <w:szCs w:val="18"/>
              </w:rPr>
              <w:t>,</w:t>
            </w:r>
            <w:r>
              <w:rPr>
                <w:szCs w:val="18"/>
              </w:rPr>
              <w:t xml:space="preserve"> et al.</w:t>
            </w:r>
            <w:r w:rsidRPr="00B768AB">
              <w:rPr>
                <w:szCs w:val="18"/>
              </w:rPr>
              <w:t xml:space="preserve"> An anchored matching-adjusted indirect comparison of fixed-dose combination calcipotriol and betamethasone dipropionate (Cal/BDP) cream versus Cal/BDP foam for the treatment of psoriasis.</w:t>
            </w:r>
          </w:p>
        </w:tc>
        <w:tc>
          <w:tcPr>
            <w:tcW w:w="1177" w:type="pct"/>
            <w:tcBorders>
              <w:top w:val="single" w:sz="4" w:space="0" w:color="auto"/>
              <w:bottom w:val="single" w:sz="4" w:space="0" w:color="auto"/>
            </w:tcBorders>
            <w:vAlign w:val="center"/>
          </w:tcPr>
          <w:p w14:paraId="4F43CCE0" w14:textId="77777777" w:rsidR="0090404B" w:rsidRPr="007F3B2E" w:rsidRDefault="0090404B" w:rsidP="001B23ED">
            <w:pPr>
              <w:pStyle w:val="TableText0"/>
              <w:keepNext w:val="0"/>
              <w:rPr>
                <w:szCs w:val="18"/>
              </w:rPr>
            </w:pPr>
            <w:r w:rsidRPr="007F3B2E">
              <w:rPr>
                <w:szCs w:val="18"/>
              </w:rPr>
              <w:t xml:space="preserve">J </w:t>
            </w:r>
            <w:proofErr w:type="spellStart"/>
            <w:r w:rsidRPr="007F3B2E">
              <w:rPr>
                <w:szCs w:val="18"/>
              </w:rPr>
              <w:t>Dermatolog</w:t>
            </w:r>
            <w:proofErr w:type="spellEnd"/>
            <w:r w:rsidRPr="007F3B2E">
              <w:rPr>
                <w:szCs w:val="18"/>
              </w:rPr>
              <w:t xml:space="preserve"> Treat 2022 Dec;33(8):3191-8.</w:t>
            </w:r>
          </w:p>
        </w:tc>
      </w:tr>
      <w:tr w:rsidR="0090404B" w:rsidRPr="00CB38A8" w14:paraId="2EFAB455" w14:textId="77777777" w:rsidTr="001B23ED">
        <w:trPr>
          <w:cantSplit/>
        </w:trPr>
        <w:tc>
          <w:tcPr>
            <w:tcW w:w="796" w:type="pct"/>
            <w:tcBorders>
              <w:top w:val="single" w:sz="4" w:space="0" w:color="auto"/>
              <w:bottom w:val="single" w:sz="4" w:space="0" w:color="auto"/>
            </w:tcBorders>
            <w:vAlign w:val="center"/>
          </w:tcPr>
          <w:p w14:paraId="5FCA36B3" w14:textId="77777777" w:rsidR="0090404B" w:rsidRPr="00CB38A8" w:rsidRDefault="0090404B" w:rsidP="001B23ED">
            <w:pPr>
              <w:pStyle w:val="TableText0"/>
              <w:keepNext w:val="0"/>
            </w:pPr>
            <w:r>
              <w:t>Anchored and unanchored MAIC</w:t>
            </w:r>
          </w:p>
        </w:tc>
        <w:tc>
          <w:tcPr>
            <w:tcW w:w="3027" w:type="pct"/>
            <w:tcBorders>
              <w:top w:val="single" w:sz="4" w:space="0" w:color="auto"/>
              <w:bottom w:val="single" w:sz="4" w:space="0" w:color="auto"/>
            </w:tcBorders>
            <w:vAlign w:val="center"/>
          </w:tcPr>
          <w:p w14:paraId="6BA14FA9" w14:textId="2BAAFEF2" w:rsidR="0090404B" w:rsidRPr="006364F5" w:rsidRDefault="0090404B" w:rsidP="001B23ED">
            <w:pPr>
              <w:pStyle w:val="TableText0"/>
              <w:keepNext w:val="0"/>
              <w:rPr>
                <w:szCs w:val="18"/>
              </w:rPr>
            </w:pPr>
            <w:r w:rsidRPr="00B768AB">
              <w:rPr>
                <w:szCs w:val="18"/>
              </w:rPr>
              <w:t>Papp KA, Thoning H, Gerdes S</w:t>
            </w:r>
            <w:r w:rsidR="00596976">
              <w:rPr>
                <w:szCs w:val="18"/>
              </w:rPr>
              <w:t>,</w:t>
            </w:r>
            <w:r>
              <w:rPr>
                <w:szCs w:val="18"/>
              </w:rPr>
              <w:t xml:space="preserve"> et al. M</w:t>
            </w:r>
            <w:r w:rsidRPr="00B768AB">
              <w:rPr>
                <w:szCs w:val="18"/>
              </w:rPr>
              <w:t>atching-adjusted indirect comparison of efficacy outcomes in trials of calcipotriol plus betamethasone dipropionate foam and cream formulations for the treatment of plaque psoriasis.</w:t>
            </w:r>
          </w:p>
        </w:tc>
        <w:tc>
          <w:tcPr>
            <w:tcW w:w="1177" w:type="pct"/>
            <w:tcBorders>
              <w:top w:val="single" w:sz="4" w:space="0" w:color="auto"/>
              <w:bottom w:val="single" w:sz="4" w:space="0" w:color="auto"/>
            </w:tcBorders>
            <w:vAlign w:val="center"/>
          </w:tcPr>
          <w:p w14:paraId="2679F00C" w14:textId="77777777" w:rsidR="0090404B" w:rsidRPr="007F3B2E" w:rsidRDefault="0090404B" w:rsidP="001B23ED">
            <w:pPr>
              <w:pStyle w:val="TableText0"/>
              <w:keepNext w:val="0"/>
              <w:rPr>
                <w:szCs w:val="18"/>
              </w:rPr>
            </w:pPr>
            <w:r w:rsidRPr="007F3B2E">
              <w:rPr>
                <w:szCs w:val="18"/>
              </w:rPr>
              <w:t xml:space="preserve">J </w:t>
            </w:r>
            <w:proofErr w:type="spellStart"/>
            <w:r w:rsidRPr="007F3B2E">
              <w:rPr>
                <w:szCs w:val="18"/>
              </w:rPr>
              <w:t>Dermatolog</w:t>
            </w:r>
            <w:proofErr w:type="spellEnd"/>
            <w:r w:rsidRPr="007F3B2E">
              <w:rPr>
                <w:szCs w:val="18"/>
              </w:rPr>
              <w:t xml:space="preserve"> Treat 2022 Nov;33(7):3005-13.</w:t>
            </w:r>
          </w:p>
        </w:tc>
      </w:tr>
      <w:tr w:rsidR="0090404B" w:rsidRPr="00CB38A8" w14:paraId="5B2F708C" w14:textId="77777777" w:rsidTr="001B23ED">
        <w:trPr>
          <w:cantSplit/>
        </w:trPr>
        <w:tc>
          <w:tcPr>
            <w:tcW w:w="796" w:type="pct"/>
            <w:tcBorders>
              <w:top w:val="single" w:sz="4" w:space="0" w:color="auto"/>
              <w:bottom w:val="single" w:sz="4" w:space="0" w:color="auto"/>
            </w:tcBorders>
            <w:vAlign w:val="center"/>
          </w:tcPr>
          <w:p w14:paraId="62E4EEA7" w14:textId="77777777" w:rsidR="0090404B" w:rsidRPr="00CB38A8" w:rsidRDefault="0090404B" w:rsidP="001B23ED">
            <w:pPr>
              <w:pStyle w:val="TableText0"/>
              <w:keepNext w:val="0"/>
            </w:pPr>
            <w:r>
              <w:t>Indirect comparison</w:t>
            </w:r>
          </w:p>
        </w:tc>
        <w:tc>
          <w:tcPr>
            <w:tcW w:w="3027" w:type="pct"/>
            <w:tcBorders>
              <w:top w:val="single" w:sz="4" w:space="0" w:color="auto"/>
              <w:bottom w:val="single" w:sz="4" w:space="0" w:color="auto"/>
            </w:tcBorders>
            <w:vAlign w:val="center"/>
          </w:tcPr>
          <w:p w14:paraId="03A46B57" w14:textId="1E165EB7" w:rsidR="0090404B" w:rsidRPr="006364F5" w:rsidRDefault="0090404B" w:rsidP="001B23ED">
            <w:pPr>
              <w:pStyle w:val="TableText0"/>
              <w:keepNext w:val="0"/>
              <w:rPr>
                <w:szCs w:val="18"/>
              </w:rPr>
            </w:pPr>
            <w:r w:rsidRPr="00B768AB">
              <w:rPr>
                <w:szCs w:val="18"/>
              </w:rPr>
              <w:t>Reich A, Selmer J, Galván J</w:t>
            </w:r>
            <w:r w:rsidR="005611EF">
              <w:rPr>
                <w:szCs w:val="18"/>
              </w:rPr>
              <w:t>,</w:t>
            </w:r>
            <w:r>
              <w:rPr>
                <w:szCs w:val="18"/>
              </w:rPr>
              <w:t xml:space="preserve"> et al.</w:t>
            </w:r>
            <w:r w:rsidRPr="00B768AB">
              <w:rPr>
                <w:szCs w:val="18"/>
              </w:rPr>
              <w:t xml:space="preserve"> Efficacy, quality of life, and treatment satisfaction: an indirect comparison of calcipotriol/betamethasone dipropionate cream versus foam for treatment of psoriasis.</w:t>
            </w:r>
          </w:p>
        </w:tc>
        <w:tc>
          <w:tcPr>
            <w:tcW w:w="1177" w:type="pct"/>
            <w:tcBorders>
              <w:top w:val="single" w:sz="4" w:space="0" w:color="auto"/>
              <w:bottom w:val="single" w:sz="4" w:space="0" w:color="auto"/>
            </w:tcBorders>
            <w:vAlign w:val="center"/>
          </w:tcPr>
          <w:p w14:paraId="55B6A6F2" w14:textId="77777777" w:rsidR="0090404B" w:rsidRPr="007F3B2E" w:rsidRDefault="0090404B" w:rsidP="001B23ED">
            <w:pPr>
              <w:pStyle w:val="TableText0"/>
              <w:keepNext w:val="0"/>
              <w:rPr>
                <w:szCs w:val="18"/>
              </w:rPr>
            </w:pPr>
            <w:r w:rsidRPr="007F3B2E">
              <w:rPr>
                <w:szCs w:val="18"/>
              </w:rPr>
              <w:t xml:space="preserve">Curr Med Res </w:t>
            </w:r>
            <w:proofErr w:type="spellStart"/>
            <w:r w:rsidRPr="007F3B2E">
              <w:rPr>
                <w:szCs w:val="18"/>
              </w:rPr>
              <w:t>Opin</w:t>
            </w:r>
            <w:proofErr w:type="spellEnd"/>
            <w:r w:rsidRPr="007F3B2E">
              <w:rPr>
                <w:szCs w:val="18"/>
              </w:rPr>
              <w:t xml:space="preserve"> 2022 Sep;38(9):1521-9.</w:t>
            </w:r>
          </w:p>
        </w:tc>
      </w:tr>
      <w:tr w:rsidR="0090404B" w:rsidRPr="00653774" w14:paraId="3F3BC5E1" w14:textId="77777777" w:rsidTr="001B23ED">
        <w:trPr>
          <w:cantSplit/>
        </w:trPr>
        <w:tc>
          <w:tcPr>
            <w:tcW w:w="796" w:type="pct"/>
            <w:tcBorders>
              <w:top w:val="single" w:sz="4" w:space="0" w:color="auto"/>
              <w:bottom w:val="single" w:sz="4" w:space="0" w:color="auto"/>
            </w:tcBorders>
            <w:vAlign w:val="center"/>
          </w:tcPr>
          <w:p w14:paraId="45FD9482" w14:textId="77777777" w:rsidR="0090404B" w:rsidRPr="00CB38A8" w:rsidRDefault="0090404B" w:rsidP="001B23ED">
            <w:pPr>
              <w:pStyle w:val="TableText0"/>
              <w:keepNext w:val="0"/>
            </w:pPr>
            <w:r>
              <w:t>Anchored and unanchored MAIC</w:t>
            </w:r>
          </w:p>
        </w:tc>
        <w:tc>
          <w:tcPr>
            <w:tcW w:w="3027" w:type="pct"/>
            <w:tcBorders>
              <w:top w:val="single" w:sz="4" w:space="0" w:color="auto"/>
              <w:bottom w:val="single" w:sz="4" w:space="0" w:color="auto"/>
            </w:tcBorders>
            <w:vAlign w:val="center"/>
          </w:tcPr>
          <w:p w14:paraId="2C371D6A" w14:textId="2007B269" w:rsidR="0090404B" w:rsidRPr="006364F5" w:rsidRDefault="0090404B" w:rsidP="001B23ED">
            <w:pPr>
              <w:pStyle w:val="TableText0"/>
              <w:keepNext w:val="0"/>
              <w:rPr>
                <w:szCs w:val="18"/>
              </w:rPr>
            </w:pPr>
            <w:r w:rsidRPr="00B768AB">
              <w:rPr>
                <w:szCs w:val="18"/>
              </w:rPr>
              <w:t>Jalili A, Thoning H, Jablonski Bernasconi MY</w:t>
            </w:r>
            <w:r w:rsidR="00AE1248">
              <w:rPr>
                <w:szCs w:val="18"/>
              </w:rPr>
              <w:t>,</w:t>
            </w:r>
            <w:r>
              <w:rPr>
                <w:szCs w:val="18"/>
              </w:rPr>
              <w:t xml:space="preserve"> et al.</w:t>
            </w:r>
            <w:r w:rsidRPr="00B768AB">
              <w:rPr>
                <w:szCs w:val="18"/>
              </w:rPr>
              <w:t xml:space="preserve"> Matching-adjusted Indirect Comparison of Dermatology Life Quality Index 0/1 Response in Trials of Calcipotriol Plus Betamethasone Dipropionate Foam and Cream Formulations in Patients with Psoriasis.</w:t>
            </w:r>
          </w:p>
        </w:tc>
        <w:tc>
          <w:tcPr>
            <w:tcW w:w="1177" w:type="pct"/>
            <w:tcBorders>
              <w:top w:val="single" w:sz="4" w:space="0" w:color="auto"/>
              <w:bottom w:val="single" w:sz="4" w:space="0" w:color="auto"/>
            </w:tcBorders>
            <w:vAlign w:val="center"/>
          </w:tcPr>
          <w:p w14:paraId="59702B58" w14:textId="77777777" w:rsidR="0090404B" w:rsidRPr="007F3B2E" w:rsidRDefault="0090404B" w:rsidP="001B23ED">
            <w:pPr>
              <w:pStyle w:val="TableText0"/>
              <w:keepNext w:val="0"/>
              <w:rPr>
                <w:szCs w:val="18"/>
                <w:lang w:val="es-CO"/>
              </w:rPr>
            </w:pPr>
            <w:r w:rsidRPr="007F3B2E">
              <w:rPr>
                <w:szCs w:val="18"/>
                <w:lang w:val="es-CO"/>
              </w:rPr>
              <w:t xml:space="preserve">Acta </w:t>
            </w:r>
            <w:proofErr w:type="spellStart"/>
            <w:r w:rsidRPr="007F3B2E">
              <w:rPr>
                <w:szCs w:val="18"/>
                <w:lang w:val="es-CO"/>
              </w:rPr>
              <w:t>Derm</w:t>
            </w:r>
            <w:proofErr w:type="spellEnd"/>
            <w:r w:rsidRPr="007F3B2E">
              <w:rPr>
                <w:szCs w:val="18"/>
                <w:lang w:val="es-CO"/>
              </w:rPr>
              <w:t xml:space="preserve"> </w:t>
            </w:r>
            <w:proofErr w:type="spellStart"/>
            <w:r w:rsidRPr="007F3B2E">
              <w:rPr>
                <w:szCs w:val="18"/>
                <w:lang w:val="es-CO"/>
              </w:rPr>
              <w:t>Venereol</w:t>
            </w:r>
            <w:proofErr w:type="spellEnd"/>
            <w:r w:rsidRPr="007F3B2E">
              <w:rPr>
                <w:szCs w:val="18"/>
                <w:lang w:val="es-CO"/>
              </w:rPr>
              <w:t xml:space="preserve"> 2024 Feb 8;</w:t>
            </w:r>
            <w:proofErr w:type="gramStart"/>
            <w:r w:rsidRPr="007F3B2E">
              <w:rPr>
                <w:szCs w:val="18"/>
                <w:lang w:val="es-CO"/>
              </w:rPr>
              <w:t>104:adv</w:t>
            </w:r>
            <w:proofErr w:type="gramEnd"/>
            <w:r w:rsidRPr="007F3B2E">
              <w:rPr>
                <w:szCs w:val="18"/>
                <w:lang w:val="es-CO"/>
              </w:rPr>
              <w:t>12623.</w:t>
            </w:r>
          </w:p>
        </w:tc>
      </w:tr>
      <w:tr w:rsidR="0090404B" w:rsidRPr="00CB38A8" w14:paraId="361DB3BC" w14:textId="77777777" w:rsidTr="001B23ED">
        <w:trPr>
          <w:cantSplit/>
        </w:trPr>
        <w:tc>
          <w:tcPr>
            <w:tcW w:w="796" w:type="pct"/>
            <w:tcBorders>
              <w:top w:val="single" w:sz="4" w:space="0" w:color="auto"/>
              <w:bottom w:val="single" w:sz="4" w:space="0" w:color="auto"/>
            </w:tcBorders>
            <w:vAlign w:val="center"/>
          </w:tcPr>
          <w:p w14:paraId="73232CB1" w14:textId="77777777" w:rsidR="0090404B" w:rsidRPr="00CB38A8" w:rsidRDefault="0090404B" w:rsidP="001B23ED">
            <w:pPr>
              <w:pStyle w:val="TableText0"/>
              <w:keepNext w:val="0"/>
            </w:pPr>
            <w:r>
              <w:t>Narrative review</w:t>
            </w:r>
          </w:p>
        </w:tc>
        <w:tc>
          <w:tcPr>
            <w:tcW w:w="3027" w:type="pct"/>
            <w:tcBorders>
              <w:top w:val="single" w:sz="4" w:space="0" w:color="auto"/>
              <w:bottom w:val="single" w:sz="4" w:space="0" w:color="auto"/>
            </w:tcBorders>
            <w:vAlign w:val="center"/>
          </w:tcPr>
          <w:p w14:paraId="277667FB" w14:textId="77704B3F" w:rsidR="0090404B" w:rsidRPr="00B768AB" w:rsidRDefault="0090404B" w:rsidP="001B23ED">
            <w:pPr>
              <w:pStyle w:val="TableText0"/>
              <w:keepNext w:val="0"/>
              <w:rPr>
                <w:szCs w:val="18"/>
              </w:rPr>
            </w:pPr>
            <w:r w:rsidRPr="00653774">
              <w:rPr>
                <w:szCs w:val="18"/>
                <w:lang w:val="es-CO"/>
              </w:rPr>
              <w:t xml:space="preserve">Torres T, Galván J, </w:t>
            </w:r>
            <w:proofErr w:type="spellStart"/>
            <w:r w:rsidRPr="00653774">
              <w:rPr>
                <w:szCs w:val="18"/>
                <w:lang w:val="es-CO"/>
              </w:rPr>
              <w:t>Crutchley</w:t>
            </w:r>
            <w:proofErr w:type="spellEnd"/>
            <w:r w:rsidRPr="00653774">
              <w:rPr>
                <w:szCs w:val="18"/>
                <w:lang w:val="es-CO"/>
              </w:rPr>
              <w:t xml:space="preserve"> N</w:t>
            </w:r>
            <w:r w:rsidR="00EB117B" w:rsidRPr="00653774">
              <w:rPr>
                <w:szCs w:val="18"/>
                <w:lang w:val="es-CO"/>
              </w:rPr>
              <w:t>,</w:t>
            </w:r>
            <w:r w:rsidRPr="00653774">
              <w:rPr>
                <w:szCs w:val="18"/>
                <w:lang w:val="es-CO"/>
              </w:rPr>
              <w:t xml:space="preserve"> et al. </w:t>
            </w:r>
            <w:r w:rsidRPr="00B768AB">
              <w:rPr>
                <w:szCs w:val="18"/>
              </w:rPr>
              <w:t>Calcipotriol and Betamethasone Dipropionate Cream Based on PAD Technology for the Treatment of Plaque Psoriasis: A Narrative Review.</w:t>
            </w:r>
          </w:p>
        </w:tc>
        <w:tc>
          <w:tcPr>
            <w:tcW w:w="1177" w:type="pct"/>
            <w:tcBorders>
              <w:top w:val="single" w:sz="4" w:space="0" w:color="auto"/>
              <w:bottom w:val="single" w:sz="4" w:space="0" w:color="auto"/>
            </w:tcBorders>
            <w:vAlign w:val="center"/>
          </w:tcPr>
          <w:p w14:paraId="047FCE65" w14:textId="77777777" w:rsidR="0090404B" w:rsidRPr="007F3B2E" w:rsidRDefault="0090404B" w:rsidP="001B23ED">
            <w:pPr>
              <w:pStyle w:val="TableText0"/>
              <w:keepNext w:val="0"/>
              <w:rPr>
                <w:szCs w:val="18"/>
              </w:rPr>
            </w:pPr>
            <w:r w:rsidRPr="007F3B2E">
              <w:rPr>
                <w:szCs w:val="18"/>
              </w:rPr>
              <w:t>Dermatol Ther (</w:t>
            </w:r>
            <w:proofErr w:type="spellStart"/>
            <w:r w:rsidRPr="007F3B2E">
              <w:rPr>
                <w:szCs w:val="18"/>
              </w:rPr>
              <w:t>Heidelb</w:t>
            </w:r>
            <w:proofErr w:type="spellEnd"/>
            <w:r w:rsidRPr="007F3B2E">
              <w:rPr>
                <w:szCs w:val="18"/>
              </w:rPr>
              <w:t>) 2023 Oct;13(10):2153-69.</w:t>
            </w:r>
          </w:p>
        </w:tc>
      </w:tr>
      <w:tr w:rsidR="0090404B" w:rsidRPr="00CB38A8" w14:paraId="7F282311" w14:textId="77777777" w:rsidTr="001B23ED">
        <w:trPr>
          <w:cantSplit/>
        </w:trPr>
        <w:tc>
          <w:tcPr>
            <w:tcW w:w="796" w:type="pct"/>
            <w:tcBorders>
              <w:top w:val="single" w:sz="4" w:space="0" w:color="auto"/>
              <w:bottom w:val="single" w:sz="4" w:space="0" w:color="auto"/>
            </w:tcBorders>
            <w:vAlign w:val="center"/>
          </w:tcPr>
          <w:p w14:paraId="2C85123C" w14:textId="77777777" w:rsidR="0090404B" w:rsidRPr="00CB38A8" w:rsidRDefault="0090404B" w:rsidP="001B23ED">
            <w:pPr>
              <w:pStyle w:val="TableText0"/>
              <w:keepNext w:val="0"/>
            </w:pPr>
            <w:r>
              <w:t>Critical appraisal</w:t>
            </w:r>
          </w:p>
        </w:tc>
        <w:tc>
          <w:tcPr>
            <w:tcW w:w="3027" w:type="pct"/>
            <w:tcBorders>
              <w:top w:val="single" w:sz="4" w:space="0" w:color="auto"/>
              <w:bottom w:val="single" w:sz="4" w:space="0" w:color="auto"/>
            </w:tcBorders>
            <w:vAlign w:val="center"/>
          </w:tcPr>
          <w:p w14:paraId="08194099" w14:textId="3C612B75" w:rsidR="0090404B" w:rsidRPr="00B768AB" w:rsidRDefault="0090404B" w:rsidP="001B23ED">
            <w:pPr>
              <w:pStyle w:val="TableText0"/>
              <w:keepNext w:val="0"/>
              <w:rPr>
                <w:szCs w:val="18"/>
              </w:rPr>
            </w:pPr>
            <w:proofErr w:type="spellStart"/>
            <w:r w:rsidRPr="00653774">
              <w:rPr>
                <w:szCs w:val="18"/>
                <w:lang w:val="es-CO"/>
              </w:rPr>
              <w:t>Fargnoli</w:t>
            </w:r>
            <w:proofErr w:type="spellEnd"/>
            <w:r w:rsidRPr="00653774">
              <w:rPr>
                <w:szCs w:val="18"/>
                <w:lang w:val="es-CO"/>
              </w:rPr>
              <w:t xml:space="preserve"> MC, De Simone C, </w:t>
            </w:r>
            <w:proofErr w:type="spellStart"/>
            <w:r w:rsidRPr="00653774">
              <w:rPr>
                <w:szCs w:val="18"/>
                <w:lang w:val="es-CO"/>
              </w:rPr>
              <w:t>Gisondi</w:t>
            </w:r>
            <w:proofErr w:type="spellEnd"/>
            <w:r w:rsidRPr="00653774">
              <w:rPr>
                <w:szCs w:val="18"/>
                <w:lang w:val="es-CO"/>
              </w:rPr>
              <w:t xml:space="preserve"> P</w:t>
            </w:r>
            <w:r w:rsidR="009E47BC" w:rsidRPr="00653774">
              <w:rPr>
                <w:szCs w:val="18"/>
                <w:lang w:val="es-CO"/>
              </w:rPr>
              <w:t>,</w:t>
            </w:r>
            <w:r w:rsidRPr="00653774">
              <w:rPr>
                <w:szCs w:val="18"/>
                <w:lang w:val="es-CO"/>
              </w:rPr>
              <w:t xml:space="preserve"> et al. </w:t>
            </w:r>
            <w:r w:rsidRPr="007E6414">
              <w:rPr>
                <w:szCs w:val="18"/>
              </w:rPr>
              <w:t>Topical Treatment for the Management of Mild-to-Moderate Psoriasis: A Critical Appraisal of the Current Literature</w:t>
            </w:r>
            <w:r w:rsidR="00EB117B">
              <w:rPr>
                <w:szCs w:val="18"/>
              </w:rPr>
              <w:t>.</w:t>
            </w:r>
          </w:p>
        </w:tc>
        <w:tc>
          <w:tcPr>
            <w:tcW w:w="1177" w:type="pct"/>
            <w:tcBorders>
              <w:top w:val="single" w:sz="4" w:space="0" w:color="auto"/>
              <w:bottom w:val="single" w:sz="4" w:space="0" w:color="auto"/>
            </w:tcBorders>
            <w:vAlign w:val="center"/>
          </w:tcPr>
          <w:p w14:paraId="4BCFD4EB" w14:textId="05664E14" w:rsidR="0090404B" w:rsidRPr="007F3B2E" w:rsidRDefault="0090404B" w:rsidP="001B23ED">
            <w:pPr>
              <w:pStyle w:val="TableText0"/>
              <w:keepNext w:val="0"/>
              <w:rPr>
                <w:szCs w:val="18"/>
              </w:rPr>
            </w:pPr>
            <w:r w:rsidRPr="007F3B2E">
              <w:rPr>
                <w:szCs w:val="18"/>
              </w:rPr>
              <w:t>Dermatol Ther (</w:t>
            </w:r>
            <w:proofErr w:type="spellStart"/>
            <w:r w:rsidRPr="007F3B2E">
              <w:rPr>
                <w:szCs w:val="18"/>
              </w:rPr>
              <w:t>Heidelb</w:t>
            </w:r>
            <w:proofErr w:type="spellEnd"/>
            <w:r w:rsidRPr="007F3B2E">
              <w:rPr>
                <w:szCs w:val="18"/>
              </w:rPr>
              <w:t>). 2023 Nov;13(11):2527-47</w:t>
            </w:r>
            <w:r w:rsidR="009E47BC" w:rsidRPr="007F3B2E">
              <w:rPr>
                <w:szCs w:val="18"/>
              </w:rPr>
              <w:t>.</w:t>
            </w:r>
          </w:p>
        </w:tc>
      </w:tr>
    </w:tbl>
    <w:p w14:paraId="49D98358" w14:textId="69EACA11" w:rsidR="0090404B" w:rsidRDefault="0090404B" w:rsidP="0090404B">
      <w:pPr>
        <w:pStyle w:val="FooterTableFigure"/>
      </w:pPr>
      <w:r>
        <w:t>Source: Table 2-3, pp44-</w:t>
      </w:r>
      <w:r w:rsidR="00867250">
        <w:t>46</w:t>
      </w:r>
      <w:r>
        <w:t xml:space="preserve"> of the submission.</w:t>
      </w:r>
    </w:p>
    <w:p w14:paraId="51D8173A" w14:textId="35D33004" w:rsidR="008E0D3C" w:rsidRPr="00B1011F" w:rsidRDefault="0090404B" w:rsidP="0090404B">
      <w:pPr>
        <w:pStyle w:val="FooterTableFigure"/>
        <w:rPr>
          <w:sz w:val="20"/>
        </w:rPr>
      </w:pPr>
      <w:r>
        <w:t>CAL/BDP = calcipotriol with betamethasone dipropionate; MAIC = matching-adjusted indirect comparison</w:t>
      </w:r>
    </w:p>
    <w:p w14:paraId="1DD06D7D" w14:textId="37B9227B" w:rsidR="007F1017" w:rsidRPr="00EC5836" w:rsidRDefault="008F120A" w:rsidP="00B7760B">
      <w:pPr>
        <w:widowControl w:val="0"/>
        <w:numPr>
          <w:ilvl w:val="1"/>
          <w:numId w:val="1"/>
        </w:numPr>
        <w:spacing w:after="120"/>
        <w:ind w:left="720"/>
        <w:rPr>
          <w:color w:val="0066FF"/>
        </w:rPr>
      </w:pPr>
      <w:r w:rsidRPr="00B50DB8">
        <w:t>The key features of the direct randomised tria</w:t>
      </w:r>
      <w:r w:rsidR="00EF2646">
        <w:t>l</w:t>
      </w:r>
      <w:r w:rsidRPr="00B50DB8">
        <w:t>s are summarised in</w:t>
      </w:r>
      <w:r w:rsidR="00D6076E">
        <w:t xml:space="preserve"> </w:t>
      </w:r>
      <w:r w:rsidR="00DD40C0">
        <w:fldChar w:fldCharType="begin" w:fldLock="1"/>
      </w:r>
      <w:r w:rsidR="00DD40C0">
        <w:instrText xml:space="preserve"> REF _Ref104804098 \h  \* MERGEFORMAT </w:instrText>
      </w:r>
      <w:r w:rsidR="00DD40C0">
        <w:fldChar w:fldCharType="separate"/>
      </w:r>
      <w:r w:rsidR="00DD40C0" w:rsidRPr="00DD40C0">
        <w:t>Table 3</w:t>
      </w:r>
      <w:r w:rsidR="00DD40C0">
        <w:fldChar w:fldCharType="end"/>
      </w:r>
      <w:r w:rsidR="00D6076E">
        <w:fldChar w:fldCharType="begin" w:fldLock="1"/>
      </w:r>
      <w:r w:rsidR="00D6076E">
        <w:instrText xml:space="preserve"> REF _Ref104804098 \h  \* MERGEFORMAT </w:instrText>
      </w:r>
      <w:r w:rsidR="00D6076E">
        <w:fldChar w:fldCharType="separate"/>
      </w:r>
      <w:r w:rsidR="00D6076E">
        <w:fldChar w:fldCharType="end"/>
      </w:r>
      <w:r w:rsidRPr="00B50DB8">
        <w:t>.</w:t>
      </w:r>
      <w:r w:rsidR="00BC591F">
        <w:t xml:space="preserve"> </w:t>
      </w:r>
    </w:p>
    <w:p w14:paraId="355E2F15" w14:textId="171DFF3F" w:rsidR="007F1017" w:rsidRPr="00D6076E" w:rsidRDefault="00696EF9" w:rsidP="00D6076E">
      <w:pPr>
        <w:pStyle w:val="Caption"/>
        <w:rPr>
          <w:rStyle w:val="CommentReference"/>
          <w:rFonts w:eastAsiaTheme="majorEastAsia" w:cstheme="majorBidi"/>
          <w:b/>
          <w:szCs w:val="24"/>
        </w:rPr>
      </w:pPr>
      <w:bookmarkStart w:id="23" w:name="_Ref104804098"/>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A3192">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3"/>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23"/>
        <w:gridCol w:w="1847"/>
        <w:gridCol w:w="1987"/>
        <w:gridCol w:w="1133"/>
        <w:gridCol w:w="1544"/>
        <w:gridCol w:w="1383"/>
      </w:tblGrid>
      <w:tr w:rsidR="00EF2646" w:rsidRPr="00B41614" w14:paraId="53DD7CC6" w14:textId="77777777" w:rsidTr="00AA7E10">
        <w:trPr>
          <w:cantSplit/>
          <w:tblHeader/>
        </w:trPr>
        <w:tc>
          <w:tcPr>
            <w:tcW w:w="623" w:type="pct"/>
            <w:vAlign w:val="center"/>
          </w:tcPr>
          <w:p w14:paraId="794116BC" w14:textId="77777777" w:rsidR="00EF2646" w:rsidRPr="00B41614" w:rsidRDefault="00EF2646" w:rsidP="001E34DF">
            <w:pPr>
              <w:pStyle w:val="In-tableHeading"/>
            </w:pPr>
            <w:r w:rsidRPr="00B41614">
              <w:t>Trial</w:t>
            </w:r>
          </w:p>
        </w:tc>
        <w:tc>
          <w:tcPr>
            <w:tcW w:w="1024" w:type="pct"/>
            <w:vAlign w:val="center"/>
          </w:tcPr>
          <w:p w14:paraId="51122FE5" w14:textId="77777777" w:rsidR="00EF2646" w:rsidRPr="00B41614" w:rsidRDefault="00EF2646" w:rsidP="00EC5836">
            <w:pPr>
              <w:pStyle w:val="In-tableHeading"/>
              <w:jc w:val="center"/>
            </w:pPr>
            <w:r w:rsidRPr="00B41614">
              <w:t>N</w:t>
            </w:r>
          </w:p>
        </w:tc>
        <w:tc>
          <w:tcPr>
            <w:tcW w:w="1102" w:type="pct"/>
            <w:vAlign w:val="center"/>
          </w:tcPr>
          <w:p w14:paraId="41C438EF" w14:textId="77777777" w:rsidR="00EF2646" w:rsidRPr="00B41614" w:rsidRDefault="00EF2646" w:rsidP="00EC5836">
            <w:pPr>
              <w:pStyle w:val="In-tableHeading"/>
              <w:jc w:val="center"/>
            </w:pPr>
            <w:r w:rsidRPr="00B41614">
              <w:t>Design/ duration</w:t>
            </w:r>
          </w:p>
        </w:tc>
        <w:tc>
          <w:tcPr>
            <w:tcW w:w="628" w:type="pct"/>
            <w:vAlign w:val="center"/>
          </w:tcPr>
          <w:p w14:paraId="1FC91360" w14:textId="32D88642" w:rsidR="00EF2646" w:rsidRPr="00B41614" w:rsidRDefault="00EF2646" w:rsidP="00EC5836">
            <w:pPr>
              <w:pStyle w:val="In-tableHeading"/>
              <w:jc w:val="center"/>
            </w:pPr>
            <w:r w:rsidRPr="00B41614">
              <w:t>Risk of bias</w:t>
            </w:r>
            <w:r w:rsidR="001A4363">
              <w:t>*</w:t>
            </w:r>
          </w:p>
        </w:tc>
        <w:tc>
          <w:tcPr>
            <w:tcW w:w="856" w:type="pct"/>
            <w:vAlign w:val="center"/>
          </w:tcPr>
          <w:p w14:paraId="7FF90896" w14:textId="77777777" w:rsidR="00EF2646" w:rsidRPr="00B41614" w:rsidRDefault="00EF2646" w:rsidP="00EC5836">
            <w:pPr>
              <w:pStyle w:val="In-tableHeading"/>
              <w:jc w:val="center"/>
            </w:pPr>
            <w:r w:rsidRPr="00B41614">
              <w:t>Patient population</w:t>
            </w:r>
          </w:p>
        </w:tc>
        <w:tc>
          <w:tcPr>
            <w:tcW w:w="767" w:type="pct"/>
            <w:vAlign w:val="center"/>
          </w:tcPr>
          <w:p w14:paraId="0FCB63F9" w14:textId="77777777" w:rsidR="00EF2646" w:rsidRPr="00B41614" w:rsidRDefault="00EF2646" w:rsidP="00EC5836">
            <w:pPr>
              <w:pStyle w:val="In-tableHeading"/>
              <w:jc w:val="center"/>
            </w:pPr>
            <w:r w:rsidRPr="00B41614">
              <w:t>Outcome(s)</w:t>
            </w:r>
          </w:p>
        </w:tc>
      </w:tr>
      <w:tr w:rsidR="00EF2646" w:rsidRPr="00E2771E" w14:paraId="62E225A2" w14:textId="77777777" w:rsidTr="00EF2646">
        <w:trPr>
          <w:cantSplit/>
        </w:trPr>
        <w:tc>
          <w:tcPr>
            <w:tcW w:w="5000" w:type="pct"/>
            <w:gridSpan w:val="6"/>
            <w:vAlign w:val="center"/>
          </w:tcPr>
          <w:p w14:paraId="2355BA21" w14:textId="183B1A3B" w:rsidR="00EF2646" w:rsidRPr="00EF2646" w:rsidRDefault="00EF2646" w:rsidP="00EF2646">
            <w:pPr>
              <w:pStyle w:val="TableText0"/>
              <w:rPr>
                <w:b/>
                <w:bCs w:val="0"/>
                <w:lang w:val="en-US"/>
              </w:rPr>
            </w:pPr>
            <w:r w:rsidRPr="00EF2646">
              <w:rPr>
                <w:b/>
                <w:bCs w:val="0"/>
                <w:lang w:val="en-US"/>
              </w:rPr>
              <w:t>CAL/BDP cream versus CAL/BDP ointment</w:t>
            </w:r>
          </w:p>
        </w:tc>
      </w:tr>
      <w:tr w:rsidR="00EF2646" w:rsidRPr="00E2771E" w14:paraId="4EE88DCB" w14:textId="77777777" w:rsidTr="00AA7E10">
        <w:trPr>
          <w:cantSplit/>
        </w:trPr>
        <w:tc>
          <w:tcPr>
            <w:tcW w:w="623" w:type="pct"/>
            <w:vAlign w:val="center"/>
          </w:tcPr>
          <w:p w14:paraId="6EE77D33" w14:textId="17AA2E6F" w:rsidR="00EF2646" w:rsidRPr="00E2771E" w:rsidRDefault="00EF2646" w:rsidP="00EC5836">
            <w:pPr>
              <w:pStyle w:val="TableText0"/>
              <w:rPr>
                <w:lang w:val="en-US"/>
              </w:rPr>
            </w:pPr>
            <w:r>
              <w:rPr>
                <w:lang w:val="en-US"/>
              </w:rPr>
              <w:t>MC2-01-C3</w:t>
            </w:r>
          </w:p>
        </w:tc>
        <w:tc>
          <w:tcPr>
            <w:tcW w:w="1024" w:type="pct"/>
            <w:vAlign w:val="center"/>
          </w:tcPr>
          <w:p w14:paraId="4636F3F9" w14:textId="77777777" w:rsidR="00EF2646" w:rsidRDefault="00EF2646" w:rsidP="00EC5836">
            <w:pPr>
              <w:pStyle w:val="TableText0"/>
              <w:jc w:val="center"/>
              <w:rPr>
                <w:lang w:val="en-US"/>
              </w:rPr>
            </w:pPr>
            <w:r>
              <w:rPr>
                <w:lang w:val="en-US"/>
              </w:rPr>
              <w:t>63</w:t>
            </w:r>
          </w:p>
          <w:p w14:paraId="418D3E7A" w14:textId="0F1F72E8" w:rsidR="00F573EC" w:rsidRDefault="00AA7E10" w:rsidP="00EC5836">
            <w:pPr>
              <w:pStyle w:val="TableText0"/>
              <w:jc w:val="center"/>
              <w:rPr>
                <w:lang w:val="en-US"/>
              </w:rPr>
            </w:pPr>
            <w:r>
              <w:rPr>
                <w:lang w:val="en-US"/>
              </w:rPr>
              <w:t>(</w:t>
            </w:r>
            <w:r w:rsidR="00F573EC">
              <w:rPr>
                <w:lang w:val="en-US"/>
              </w:rPr>
              <w:t>CAL/BDP cream:</w:t>
            </w:r>
            <w:r w:rsidR="005F5645">
              <w:rPr>
                <w:lang w:val="en-US"/>
              </w:rPr>
              <w:t xml:space="preserve"> 32</w:t>
            </w:r>
          </w:p>
          <w:p w14:paraId="41BB0E41" w14:textId="3AEABAEA" w:rsidR="00F573EC" w:rsidRPr="00E2771E" w:rsidRDefault="00F573EC" w:rsidP="00EC5836">
            <w:pPr>
              <w:pStyle w:val="TableText0"/>
              <w:jc w:val="center"/>
              <w:rPr>
                <w:lang w:val="en-US"/>
              </w:rPr>
            </w:pPr>
            <w:r>
              <w:rPr>
                <w:lang w:val="en-US"/>
              </w:rPr>
              <w:t xml:space="preserve">CAL/BDP ointment: </w:t>
            </w:r>
            <w:r w:rsidR="005F5645">
              <w:rPr>
                <w:lang w:val="en-US"/>
              </w:rPr>
              <w:t>31</w:t>
            </w:r>
            <w:r w:rsidR="00AA7E10">
              <w:rPr>
                <w:lang w:val="en-US"/>
              </w:rPr>
              <w:t>)</w:t>
            </w:r>
          </w:p>
        </w:tc>
        <w:tc>
          <w:tcPr>
            <w:tcW w:w="1102" w:type="pct"/>
            <w:vAlign w:val="center"/>
          </w:tcPr>
          <w:p w14:paraId="66573FD8" w14:textId="77777777" w:rsidR="00EF2646" w:rsidRPr="00E2771E" w:rsidRDefault="00EF2646" w:rsidP="00EF2646">
            <w:pPr>
              <w:pStyle w:val="TableText0"/>
              <w:jc w:val="center"/>
              <w:rPr>
                <w:lang w:val="en-US"/>
              </w:rPr>
            </w:pPr>
            <w:r w:rsidRPr="00E2771E">
              <w:rPr>
                <w:lang w:val="en-US"/>
              </w:rPr>
              <w:t xml:space="preserve">R, </w:t>
            </w:r>
            <w:r>
              <w:rPr>
                <w:lang w:val="en-US"/>
              </w:rPr>
              <w:t>OL, PG, MC, Phase II</w:t>
            </w:r>
          </w:p>
          <w:p w14:paraId="3C393AC7" w14:textId="77777777" w:rsidR="00EF2646" w:rsidRDefault="00EF2646" w:rsidP="00EF2646">
            <w:pPr>
              <w:pStyle w:val="TableText0"/>
              <w:jc w:val="center"/>
              <w:rPr>
                <w:lang w:val="en-US"/>
              </w:rPr>
            </w:pPr>
            <w:r>
              <w:rPr>
                <w:lang w:val="en-US"/>
              </w:rPr>
              <w:t>CAL/BDP cream: 8 weeks</w:t>
            </w:r>
          </w:p>
          <w:p w14:paraId="744D08AC" w14:textId="52E4E7B5" w:rsidR="00EF2646" w:rsidRPr="00E2771E" w:rsidRDefault="00EF2646" w:rsidP="00EF2646">
            <w:pPr>
              <w:pStyle w:val="TableText0"/>
              <w:jc w:val="center"/>
              <w:rPr>
                <w:lang w:val="en-US"/>
              </w:rPr>
            </w:pPr>
            <w:r>
              <w:rPr>
                <w:lang w:val="en-US"/>
              </w:rPr>
              <w:t>CAL/BDP ointment: 4</w:t>
            </w:r>
            <w:r w:rsidR="00C00458">
              <w:rPr>
                <w:lang w:val="en-US"/>
              </w:rPr>
              <w:t> </w:t>
            </w:r>
            <w:r>
              <w:rPr>
                <w:lang w:val="en-US"/>
              </w:rPr>
              <w:t>weeks</w:t>
            </w:r>
          </w:p>
        </w:tc>
        <w:tc>
          <w:tcPr>
            <w:tcW w:w="628" w:type="pct"/>
            <w:vAlign w:val="center"/>
          </w:tcPr>
          <w:p w14:paraId="4A529D74" w14:textId="7AE96D34" w:rsidR="00EF2646" w:rsidRPr="001A4363" w:rsidRDefault="00EF2646" w:rsidP="00EC5836">
            <w:pPr>
              <w:pStyle w:val="TableText0"/>
              <w:jc w:val="center"/>
              <w:rPr>
                <w:iCs/>
                <w:lang w:val="en-US"/>
              </w:rPr>
            </w:pPr>
            <w:r w:rsidRPr="001A4363">
              <w:rPr>
                <w:iCs/>
                <w:lang w:val="en-US"/>
              </w:rPr>
              <w:t>High</w:t>
            </w:r>
          </w:p>
        </w:tc>
        <w:tc>
          <w:tcPr>
            <w:tcW w:w="856" w:type="pct"/>
            <w:vAlign w:val="center"/>
          </w:tcPr>
          <w:p w14:paraId="5E6F456D" w14:textId="6C2EB068" w:rsidR="00EF2646" w:rsidRPr="00E2771E" w:rsidRDefault="00EF2646" w:rsidP="00EC5836">
            <w:pPr>
              <w:pStyle w:val="TableText0"/>
              <w:jc w:val="center"/>
              <w:rPr>
                <w:lang w:val="en-US"/>
              </w:rPr>
            </w:pPr>
            <w:r>
              <w:rPr>
                <w:lang w:val="en-US"/>
              </w:rPr>
              <w:t>P</w:t>
            </w:r>
            <w:r w:rsidRPr="005506E7">
              <w:rPr>
                <w:lang w:val="en-US"/>
              </w:rPr>
              <w:t>atients with extensive psoriasis vulgaris</w:t>
            </w:r>
            <w:r w:rsidR="008474EE">
              <w:rPr>
                <w:lang w:val="en-US"/>
              </w:rPr>
              <w:t xml:space="preserve"> on trunk, limbs or scalp</w:t>
            </w:r>
          </w:p>
        </w:tc>
        <w:tc>
          <w:tcPr>
            <w:tcW w:w="767" w:type="pct"/>
            <w:vAlign w:val="center"/>
          </w:tcPr>
          <w:p w14:paraId="6DC76214" w14:textId="56A466BF" w:rsidR="00EF2646" w:rsidRPr="00E2771E" w:rsidRDefault="00FC17F1" w:rsidP="00EC5836">
            <w:pPr>
              <w:pStyle w:val="TableText0"/>
              <w:jc w:val="center"/>
              <w:rPr>
                <w:lang w:val="en-US"/>
              </w:rPr>
            </w:pPr>
            <w:r>
              <w:rPr>
                <w:lang w:val="en-US"/>
              </w:rPr>
              <w:t>Primary:</w:t>
            </w:r>
            <w:r w:rsidR="00A41B44">
              <w:rPr>
                <w:lang w:val="en-US"/>
              </w:rPr>
              <w:t xml:space="preserve"> </w:t>
            </w:r>
            <w:r w:rsidR="00EF2646">
              <w:rPr>
                <w:lang w:val="en-US"/>
              </w:rPr>
              <w:t>PK profile;</w:t>
            </w:r>
            <w:r w:rsidR="007B4B64">
              <w:rPr>
                <w:lang w:val="en-US"/>
              </w:rPr>
              <w:t xml:space="preserve"> </w:t>
            </w:r>
            <w:r>
              <w:rPr>
                <w:lang w:val="en-US"/>
              </w:rPr>
              <w:t>S</w:t>
            </w:r>
            <w:r w:rsidR="007B4B64">
              <w:rPr>
                <w:lang w:val="en-US"/>
              </w:rPr>
              <w:t>econdary:</w:t>
            </w:r>
            <w:r w:rsidR="00EF2646">
              <w:rPr>
                <w:lang w:val="en-US"/>
              </w:rPr>
              <w:t xml:space="preserve"> effect on HPA axis</w:t>
            </w:r>
            <w:r w:rsidR="007B4B64">
              <w:rPr>
                <w:lang w:val="en-US"/>
              </w:rPr>
              <w:t xml:space="preserve"> and calcium metabolism</w:t>
            </w:r>
            <w:r w:rsidR="00EF2646">
              <w:rPr>
                <w:lang w:val="en-US"/>
              </w:rPr>
              <w:t>;</w:t>
            </w:r>
            <w:r w:rsidR="007B4B64">
              <w:rPr>
                <w:lang w:val="en-US"/>
              </w:rPr>
              <w:t xml:space="preserve"> other outcomes:</w:t>
            </w:r>
            <w:r w:rsidR="00EF2646">
              <w:rPr>
                <w:lang w:val="en-US"/>
              </w:rPr>
              <w:t xml:space="preserve"> PGA</w:t>
            </w:r>
            <w:r w:rsidR="007B4B64">
              <w:rPr>
                <w:lang w:val="en-US"/>
              </w:rPr>
              <w:t>,</w:t>
            </w:r>
            <w:r w:rsidR="00EF2646">
              <w:rPr>
                <w:lang w:val="en-US"/>
              </w:rPr>
              <w:t xml:space="preserve"> PTCS</w:t>
            </w:r>
            <w:r w:rsidR="007B4B64">
              <w:rPr>
                <w:lang w:val="en-US"/>
              </w:rPr>
              <w:t>,</w:t>
            </w:r>
            <w:r w:rsidR="006856DC">
              <w:rPr>
                <w:lang w:val="en-US"/>
              </w:rPr>
              <w:t xml:space="preserve"> safety</w:t>
            </w:r>
          </w:p>
        </w:tc>
      </w:tr>
      <w:tr w:rsidR="00EF2646" w:rsidRPr="00EF2646" w14:paraId="6DC9BCBB" w14:textId="77777777" w:rsidTr="00EF2646">
        <w:trPr>
          <w:cantSplit/>
        </w:trPr>
        <w:tc>
          <w:tcPr>
            <w:tcW w:w="5000" w:type="pct"/>
            <w:gridSpan w:val="6"/>
            <w:vAlign w:val="center"/>
          </w:tcPr>
          <w:p w14:paraId="292FB8EA" w14:textId="706050A0" w:rsidR="00EF2646" w:rsidRPr="001A4363" w:rsidRDefault="00EF2646" w:rsidP="00EF2646">
            <w:pPr>
              <w:pStyle w:val="TableText0"/>
              <w:rPr>
                <w:b/>
                <w:bCs w:val="0"/>
                <w:iCs/>
                <w:lang w:val="en-US"/>
              </w:rPr>
            </w:pPr>
            <w:r w:rsidRPr="001A4363">
              <w:rPr>
                <w:b/>
                <w:bCs w:val="0"/>
                <w:iCs/>
                <w:lang w:val="en-US"/>
              </w:rPr>
              <w:t>CAL/BDP cream versus CAL/BDP gel</w:t>
            </w:r>
          </w:p>
        </w:tc>
      </w:tr>
      <w:tr w:rsidR="00EF2646" w:rsidRPr="00E2771E" w14:paraId="13A6895C" w14:textId="77777777" w:rsidTr="00AA7E10">
        <w:trPr>
          <w:cantSplit/>
        </w:trPr>
        <w:tc>
          <w:tcPr>
            <w:tcW w:w="623" w:type="pct"/>
            <w:vAlign w:val="center"/>
          </w:tcPr>
          <w:p w14:paraId="4A9488B3" w14:textId="04CFF808" w:rsidR="00EF2646" w:rsidRPr="00E2771E" w:rsidRDefault="00EF2646" w:rsidP="00EC5836">
            <w:pPr>
              <w:pStyle w:val="TableText0"/>
              <w:rPr>
                <w:lang w:val="en-US"/>
              </w:rPr>
            </w:pPr>
            <w:r>
              <w:rPr>
                <w:lang w:val="en-US"/>
              </w:rPr>
              <w:t>MC2-01-C2</w:t>
            </w:r>
          </w:p>
        </w:tc>
        <w:tc>
          <w:tcPr>
            <w:tcW w:w="1024" w:type="pct"/>
            <w:vAlign w:val="center"/>
          </w:tcPr>
          <w:p w14:paraId="1324227F" w14:textId="77777777" w:rsidR="00EF2646" w:rsidRDefault="00EF2646" w:rsidP="00EC5836">
            <w:pPr>
              <w:pStyle w:val="TableText0"/>
              <w:jc w:val="center"/>
              <w:rPr>
                <w:lang w:val="en-US"/>
              </w:rPr>
            </w:pPr>
            <w:r>
              <w:rPr>
                <w:lang w:val="en-US"/>
              </w:rPr>
              <w:t>796</w:t>
            </w:r>
          </w:p>
          <w:p w14:paraId="2C2CC01C" w14:textId="75E29459" w:rsidR="00F573EC" w:rsidRDefault="00AA7E10" w:rsidP="00F573EC">
            <w:pPr>
              <w:pStyle w:val="TableText0"/>
              <w:jc w:val="center"/>
              <w:rPr>
                <w:lang w:val="en-US"/>
              </w:rPr>
            </w:pPr>
            <w:r>
              <w:rPr>
                <w:lang w:val="en-US"/>
              </w:rPr>
              <w:t>(</w:t>
            </w:r>
            <w:r w:rsidR="00F573EC">
              <w:rPr>
                <w:lang w:val="en-US"/>
              </w:rPr>
              <w:t>CAL/BDP cream:</w:t>
            </w:r>
            <w:r w:rsidR="005F5645">
              <w:rPr>
                <w:lang w:val="en-US"/>
              </w:rPr>
              <w:t xml:space="preserve"> 343</w:t>
            </w:r>
          </w:p>
          <w:p w14:paraId="448D3590" w14:textId="77777777" w:rsidR="00F573EC" w:rsidRDefault="00F573EC" w:rsidP="00F573EC">
            <w:pPr>
              <w:pStyle w:val="TableText0"/>
              <w:jc w:val="center"/>
              <w:rPr>
                <w:lang w:val="en-US"/>
              </w:rPr>
            </w:pPr>
            <w:r>
              <w:rPr>
                <w:lang w:val="en-US"/>
              </w:rPr>
              <w:t>CAL/BDP gel:</w:t>
            </w:r>
            <w:r w:rsidR="005F5645">
              <w:rPr>
                <w:lang w:val="en-US"/>
              </w:rPr>
              <w:t xml:space="preserve"> 338</w:t>
            </w:r>
          </w:p>
          <w:p w14:paraId="3F4D20B5" w14:textId="1AF88AA3" w:rsidR="00954DD3" w:rsidRPr="00E2771E" w:rsidRDefault="00954DD3" w:rsidP="00F573EC">
            <w:pPr>
              <w:pStyle w:val="TableText0"/>
              <w:jc w:val="center"/>
              <w:rPr>
                <w:lang w:val="en-US"/>
              </w:rPr>
            </w:pPr>
            <w:r>
              <w:rPr>
                <w:lang w:val="en-US"/>
              </w:rPr>
              <w:t>Vehicle: 115</w:t>
            </w:r>
            <w:r w:rsidR="00AA7E10">
              <w:rPr>
                <w:lang w:val="en-US"/>
              </w:rPr>
              <w:t>)</w:t>
            </w:r>
          </w:p>
        </w:tc>
        <w:tc>
          <w:tcPr>
            <w:tcW w:w="1102" w:type="pct"/>
            <w:vAlign w:val="center"/>
          </w:tcPr>
          <w:p w14:paraId="16807B56" w14:textId="4449AC23" w:rsidR="00EF2646" w:rsidRPr="00E2771E" w:rsidRDefault="00EF2646" w:rsidP="00EF2646">
            <w:pPr>
              <w:pStyle w:val="TableText0"/>
              <w:jc w:val="center"/>
              <w:rPr>
                <w:lang w:val="en-US"/>
              </w:rPr>
            </w:pPr>
            <w:r w:rsidRPr="00E2771E">
              <w:rPr>
                <w:lang w:val="en-US"/>
              </w:rPr>
              <w:t>R, OL</w:t>
            </w:r>
            <w:r>
              <w:rPr>
                <w:lang w:val="en-US"/>
              </w:rPr>
              <w:t>, IB, PG, MC, Phase</w:t>
            </w:r>
            <w:r w:rsidR="001A7F1B">
              <w:rPr>
                <w:lang w:val="en-US"/>
              </w:rPr>
              <w:t> </w:t>
            </w:r>
            <w:r>
              <w:rPr>
                <w:lang w:val="en-US"/>
              </w:rPr>
              <w:t>III</w:t>
            </w:r>
          </w:p>
          <w:p w14:paraId="68D92FE7" w14:textId="5A085BD2" w:rsidR="00EF2646" w:rsidRPr="00E2771E" w:rsidRDefault="00EF2646" w:rsidP="00EF2646">
            <w:pPr>
              <w:pStyle w:val="TableText0"/>
              <w:jc w:val="center"/>
              <w:rPr>
                <w:lang w:val="en-US"/>
              </w:rPr>
            </w:pPr>
            <w:r>
              <w:rPr>
                <w:lang w:val="en-US"/>
              </w:rPr>
              <w:t>8 weeks</w:t>
            </w:r>
          </w:p>
        </w:tc>
        <w:tc>
          <w:tcPr>
            <w:tcW w:w="628" w:type="pct"/>
            <w:vAlign w:val="center"/>
          </w:tcPr>
          <w:p w14:paraId="6F0F93F8" w14:textId="6E30ADD8" w:rsidR="00EF2646" w:rsidRPr="001A4363" w:rsidRDefault="00EF2646" w:rsidP="00EC5836">
            <w:pPr>
              <w:pStyle w:val="TableText0"/>
              <w:jc w:val="center"/>
              <w:rPr>
                <w:iCs/>
                <w:lang w:val="en-US"/>
              </w:rPr>
            </w:pPr>
            <w:r w:rsidRPr="001A4363">
              <w:rPr>
                <w:iCs/>
                <w:lang w:val="en-US"/>
              </w:rPr>
              <w:t>High</w:t>
            </w:r>
          </w:p>
        </w:tc>
        <w:tc>
          <w:tcPr>
            <w:tcW w:w="856" w:type="pct"/>
            <w:vAlign w:val="center"/>
          </w:tcPr>
          <w:p w14:paraId="43AC963E" w14:textId="79AA986B" w:rsidR="00EF2646" w:rsidRPr="00E2771E" w:rsidRDefault="00EF2646" w:rsidP="00EC5836">
            <w:pPr>
              <w:pStyle w:val="TableText0"/>
              <w:jc w:val="center"/>
              <w:rPr>
                <w:lang w:val="en-US"/>
              </w:rPr>
            </w:pPr>
            <w:r>
              <w:rPr>
                <w:lang w:val="en-US"/>
              </w:rPr>
              <w:t>P</w:t>
            </w:r>
            <w:r w:rsidRPr="005506E7">
              <w:rPr>
                <w:lang w:val="en-US"/>
              </w:rPr>
              <w:t>atients with mild to moderate psoriasis vulgaris</w:t>
            </w:r>
            <w:r w:rsidR="008474EE">
              <w:rPr>
                <w:lang w:val="en-US"/>
              </w:rPr>
              <w:t xml:space="preserve"> on trunk or limbs</w:t>
            </w:r>
          </w:p>
        </w:tc>
        <w:tc>
          <w:tcPr>
            <w:tcW w:w="767" w:type="pct"/>
            <w:vAlign w:val="center"/>
          </w:tcPr>
          <w:p w14:paraId="4F0C99D2" w14:textId="241F8D9C" w:rsidR="00EF2646" w:rsidRPr="00E2771E" w:rsidRDefault="00950976" w:rsidP="00EC5836">
            <w:pPr>
              <w:pStyle w:val="TableText0"/>
              <w:jc w:val="center"/>
              <w:rPr>
                <w:lang w:val="en-US"/>
              </w:rPr>
            </w:pPr>
            <w:r>
              <w:rPr>
                <w:lang w:val="en-US"/>
              </w:rPr>
              <w:t xml:space="preserve">Primary: </w:t>
            </w:r>
            <w:r w:rsidR="00EF2646">
              <w:rPr>
                <w:lang w:val="en-US"/>
              </w:rPr>
              <w:t xml:space="preserve">PGA; </w:t>
            </w:r>
            <w:r w:rsidR="00FC17F1">
              <w:rPr>
                <w:lang w:val="en-US"/>
              </w:rPr>
              <w:t>S</w:t>
            </w:r>
            <w:r w:rsidR="00105C10">
              <w:rPr>
                <w:lang w:val="en-US"/>
              </w:rPr>
              <w:t xml:space="preserve">econdary: </w:t>
            </w:r>
            <w:proofErr w:type="spellStart"/>
            <w:r w:rsidR="00EF2646">
              <w:rPr>
                <w:lang w:val="en-US"/>
              </w:rPr>
              <w:t>mPASI</w:t>
            </w:r>
            <w:proofErr w:type="spellEnd"/>
            <w:r w:rsidR="00EF2646">
              <w:rPr>
                <w:lang w:val="en-US"/>
              </w:rPr>
              <w:t>; SGA; DLQI; EQ-5D, itch by NRS; safety</w:t>
            </w:r>
          </w:p>
        </w:tc>
      </w:tr>
      <w:tr w:rsidR="00EF2646" w:rsidRPr="00E2771E" w14:paraId="6DAFAEAF" w14:textId="77777777" w:rsidTr="00AA7E10">
        <w:trPr>
          <w:cantSplit/>
        </w:trPr>
        <w:tc>
          <w:tcPr>
            <w:tcW w:w="623" w:type="pct"/>
            <w:vAlign w:val="center"/>
          </w:tcPr>
          <w:p w14:paraId="76F0584C" w14:textId="6B34CE3D" w:rsidR="00EF2646" w:rsidRPr="00E2771E" w:rsidRDefault="00EF2646" w:rsidP="00EC5836">
            <w:pPr>
              <w:pStyle w:val="TableText0"/>
              <w:rPr>
                <w:lang w:val="en-US"/>
              </w:rPr>
            </w:pPr>
            <w:r>
              <w:rPr>
                <w:lang w:val="en-US"/>
              </w:rPr>
              <w:t>MC2-01-C7</w:t>
            </w:r>
          </w:p>
        </w:tc>
        <w:tc>
          <w:tcPr>
            <w:tcW w:w="1024" w:type="pct"/>
            <w:vAlign w:val="center"/>
          </w:tcPr>
          <w:p w14:paraId="6192F6BF" w14:textId="77777777" w:rsidR="00EF2646" w:rsidRDefault="00EF2646" w:rsidP="00EC5836">
            <w:pPr>
              <w:pStyle w:val="TableText0"/>
              <w:jc w:val="center"/>
              <w:rPr>
                <w:lang w:val="en-US"/>
              </w:rPr>
            </w:pPr>
            <w:r>
              <w:rPr>
                <w:lang w:val="en-US"/>
              </w:rPr>
              <w:t>490</w:t>
            </w:r>
          </w:p>
          <w:p w14:paraId="4BAE1F2A" w14:textId="3B4D81A9" w:rsidR="00F573EC" w:rsidRDefault="00AA7E10" w:rsidP="00F573EC">
            <w:pPr>
              <w:pStyle w:val="TableText0"/>
              <w:jc w:val="center"/>
              <w:rPr>
                <w:lang w:val="en-US"/>
              </w:rPr>
            </w:pPr>
            <w:r>
              <w:rPr>
                <w:lang w:val="en-US"/>
              </w:rPr>
              <w:t>(</w:t>
            </w:r>
            <w:r w:rsidR="00F573EC">
              <w:rPr>
                <w:lang w:val="en-US"/>
              </w:rPr>
              <w:t>CAL/BDP cream:</w:t>
            </w:r>
            <w:r w:rsidR="00954DD3">
              <w:rPr>
                <w:lang w:val="en-US"/>
              </w:rPr>
              <w:t xml:space="preserve"> 213</w:t>
            </w:r>
          </w:p>
          <w:p w14:paraId="1F68E51B" w14:textId="77777777" w:rsidR="00F573EC" w:rsidRDefault="00F573EC" w:rsidP="00F573EC">
            <w:pPr>
              <w:pStyle w:val="TableText0"/>
              <w:jc w:val="center"/>
              <w:rPr>
                <w:lang w:val="en-US"/>
              </w:rPr>
            </w:pPr>
            <w:r>
              <w:rPr>
                <w:lang w:val="en-US"/>
              </w:rPr>
              <w:t>CAL/BDP gel:</w:t>
            </w:r>
            <w:r w:rsidR="00954DD3">
              <w:rPr>
                <w:lang w:val="en-US"/>
              </w:rPr>
              <w:t xml:space="preserve"> 209</w:t>
            </w:r>
          </w:p>
          <w:p w14:paraId="7D785F8E" w14:textId="71042FFC" w:rsidR="00954DD3" w:rsidRPr="00E2771E" w:rsidRDefault="00954DD3" w:rsidP="00F573EC">
            <w:pPr>
              <w:pStyle w:val="TableText0"/>
              <w:jc w:val="center"/>
              <w:rPr>
                <w:lang w:val="en-US"/>
              </w:rPr>
            </w:pPr>
            <w:r>
              <w:rPr>
                <w:lang w:val="en-US"/>
              </w:rPr>
              <w:t>Vehicle: 68</w:t>
            </w:r>
            <w:r w:rsidR="00AA7E10">
              <w:rPr>
                <w:lang w:val="en-US"/>
              </w:rPr>
              <w:t>)</w:t>
            </w:r>
          </w:p>
        </w:tc>
        <w:tc>
          <w:tcPr>
            <w:tcW w:w="1102" w:type="pct"/>
            <w:vAlign w:val="center"/>
          </w:tcPr>
          <w:p w14:paraId="474A5115" w14:textId="54DB8B95" w:rsidR="00EF2646" w:rsidRPr="00E2771E" w:rsidRDefault="00EF2646" w:rsidP="00EF2646">
            <w:pPr>
              <w:pStyle w:val="TableText0"/>
              <w:jc w:val="center"/>
              <w:rPr>
                <w:lang w:val="en-US"/>
              </w:rPr>
            </w:pPr>
            <w:r w:rsidRPr="00E2771E">
              <w:rPr>
                <w:lang w:val="en-US"/>
              </w:rPr>
              <w:t xml:space="preserve">R, </w:t>
            </w:r>
            <w:r>
              <w:rPr>
                <w:lang w:val="en-US"/>
              </w:rPr>
              <w:t>OL, IB, PG, MC, Phase</w:t>
            </w:r>
            <w:r w:rsidR="001A7F1B">
              <w:rPr>
                <w:lang w:val="en-US"/>
              </w:rPr>
              <w:t> </w:t>
            </w:r>
            <w:r>
              <w:rPr>
                <w:lang w:val="en-US"/>
              </w:rPr>
              <w:t>III</w:t>
            </w:r>
          </w:p>
          <w:p w14:paraId="4F10C1AA" w14:textId="09156893" w:rsidR="00EF2646" w:rsidRPr="00E2771E" w:rsidRDefault="00EF2646" w:rsidP="00EF2646">
            <w:pPr>
              <w:pStyle w:val="TableText0"/>
              <w:jc w:val="center"/>
              <w:rPr>
                <w:lang w:val="en-US"/>
              </w:rPr>
            </w:pPr>
            <w:r w:rsidRPr="00E2771E">
              <w:rPr>
                <w:lang w:val="en-US"/>
              </w:rPr>
              <w:t xml:space="preserve">8 </w:t>
            </w:r>
            <w:r>
              <w:rPr>
                <w:lang w:val="en-US"/>
              </w:rPr>
              <w:t>weeks</w:t>
            </w:r>
          </w:p>
        </w:tc>
        <w:tc>
          <w:tcPr>
            <w:tcW w:w="628" w:type="pct"/>
            <w:vAlign w:val="center"/>
          </w:tcPr>
          <w:p w14:paraId="50E27A90" w14:textId="4DD14B5B" w:rsidR="00EF2646" w:rsidRPr="001A4363" w:rsidRDefault="00EF2646" w:rsidP="00EC5836">
            <w:pPr>
              <w:pStyle w:val="TableText0"/>
              <w:jc w:val="center"/>
              <w:rPr>
                <w:iCs/>
                <w:lang w:val="en-US"/>
              </w:rPr>
            </w:pPr>
            <w:r w:rsidRPr="001A4363">
              <w:rPr>
                <w:iCs/>
                <w:lang w:val="en-US"/>
              </w:rPr>
              <w:t>High</w:t>
            </w:r>
          </w:p>
        </w:tc>
        <w:tc>
          <w:tcPr>
            <w:tcW w:w="856" w:type="pct"/>
            <w:vAlign w:val="center"/>
          </w:tcPr>
          <w:p w14:paraId="1B84BE0E" w14:textId="1F4439E4" w:rsidR="00EF2646" w:rsidRPr="00E2771E" w:rsidRDefault="00EF2646" w:rsidP="00EC5836">
            <w:pPr>
              <w:pStyle w:val="TableText0"/>
              <w:jc w:val="center"/>
              <w:rPr>
                <w:lang w:val="en-US"/>
              </w:rPr>
            </w:pPr>
            <w:r>
              <w:rPr>
                <w:lang w:val="en-US"/>
              </w:rPr>
              <w:t>P</w:t>
            </w:r>
            <w:r w:rsidRPr="005506E7">
              <w:rPr>
                <w:lang w:val="en-US"/>
              </w:rPr>
              <w:t>atients with psoriasis vulgaris</w:t>
            </w:r>
            <w:r w:rsidR="008474EE">
              <w:rPr>
                <w:lang w:val="en-US"/>
              </w:rPr>
              <w:t xml:space="preserve"> on trunk, limbs and scalp</w:t>
            </w:r>
          </w:p>
        </w:tc>
        <w:tc>
          <w:tcPr>
            <w:tcW w:w="767" w:type="pct"/>
            <w:vAlign w:val="center"/>
          </w:tcPr>
          <w:p w14:paraId="4E7BED76" w14:textId="0BF8A2AA" w:rsidR="00EF2646" w:rsidRPr="00E2771E" w:rsidRDefault="00F35A49" w:rsidP="00EC5836">
            <w:pPr>
              <w:pStyle w:val="TableText0"/>
              <w:jc w:val="center"/>
              <w:rPr>
                <w:lang w:val="en-US"/>
              </w:rPr>
            </w:pPr>
            <w:r>
              <w:rPr>
                <w:lang w:val="en-US"/>
              </w:rPr>
              <w:t xml:space="preserve">Primary: </w:t>
            </w:r>
            <w:proofErr w:type="spellStart"/>
            <w:r>
              <w:rPr>
                <w:lang w:val="en-US"/>
              </w:rPr>
              <w:t>mPASI</w:t>
            </w:r>
            <w:proofErr w:type="spellEnd"/>
            <w:r w:rsidR="00176D07">
              <w:rPr>
                <w:lang w:val="en-US"/>
              </w:rPr>
              <w:t>; Secondary</w:t>
            </w:r>
            <w:r w:rsidR="00E70309">
              <w:rPr>
                <w:lang w:val="en-US"/>
              </w:rPr>
              <w:t xml:space="preserve">: </w:t>
            </w:r>
            <w:r w:rsidR="00EF2646">
              <w:rPr>
                <w:lang w:val="en-US"/>
              </w:rPr>
              <w:t>PGA; PTCS; SGA; DLQI; EQ-5D; EQ-VAS; safety</w:t>
            </w:r>
          </w:p>
        </w:tc>
      </w:tr>
    </w:tbl>
    <w:p w14:paraId="31614C6C" w14:textId="4C8EF82D" w:rsidR="00EF2646" w:rsidRDefault="00EF2646" w:rsidP="00EF2646">
      <w:pPr>
        <w:pStyle w:val="FooterTableFigure"/>
      </w:pPr>
      <w:r>
        <w:t>Source: Section 2.3, pp49-58 of the submission.</w:t>
      </w:r>
    </w:p>
    <w:p w14:paraId="1095487C" w14:textId="18266835" w:rsidR="00620C25" w:rsidRDefault="002515CC" w:rsidP="00EF2646">
      <w:pPr>
        <w:pStyle w:val="FooterTableFigure"/>
      </w:pPr>
      <w:r w:rsidRPr="002515CC">
        <w:t xml:space="preserve">CAL/BDP = calcipotriol with betamethasone dipropionate; </w:t>
      </w:r>
      <w:r w:rsidR="00EF2646">
        <w:t xml:space="preserve">DLQI = Dermatology Life Quality Index; EQ-5D = </w:t>
      </w:r>
      <w:proofErr w:type="spellStart"/>
      <w:r w:rsidR="00963AA6">
        <w:t>EuroQoL</w:t>
      </w:r>
      <w:proofErr w:type="spellEnd"/>
      <w:r w:rsidR="00EF2646">
        <w:t xml:space="preserve"> five dimensions; EQ-VAS = European Quality-Visual Analogue Scale; HPA = hypothalamic pituitary adrenal; IB = investigator-blinded; MC = multi-centre; </w:t>
      </w:r>
      <w:proofErr w:type="spellStart"/>
      <w:r w:rsidR="00EF2646">
        <w:t>mPASI</w:t>
      </w:r>
      <w:proofErr w:type="spellEnd"/>
      <w:r w:rsidR="00DC6CD7">
        <w:t> </w:t>
      </w:r>
      <w:r w:rsidR="00EF2646">
        <w:t>=</w:t>
      </w:r>
      <w:r w:rsidR="00BF233C">
        <w:t> </w:t>
      </w:r>
      <w:r w:rsidR="00EF2646">
        <w:t xml:space="preserve">Modified Psoriasis Area and Severity Index; </w:t>
      </w:r>
      <w:r w:rsidR="008D2F67" w:rsidRPr="008D2F67">
        <w:t>N = total participants in group;</w:t>
      </w:r>
      <w:r w:rsidR="008D2F67">
        <w:t xml:space="preserve"> </w:t>
      </w:r>
      <w:r w:rsidR="00EF2646">
        <w:t>NRS = numerical rating scale; OL = open label; PG</w:t>
      </w:r>
      <w:r w:rsidR="00BF233C">
        <w:t> </w:t>
      </w:r>
      <w:r w:rsidR="00EF2646">
        <w:t>=</w:t>
      </w:r>
      <w:r w:rsidR="00BF233C">
        <w:t> </w:t>
      </w:r>
      <w:r w:rsidR="00EF2646">
        <w:t>parallel group; PGA = Physician</w:t>
      </w:r>
      <w:r w:rsidR="005B022D">
        <w:t>’s</w:t>
      </w:r>
      <w:r w:rsidR="00EF2646">
        <w:t xml:space="preserve"> Global Assessment; PK = pharmacokinetics; PTCS = Psoriasis Treatment Convenience Scale; </w:t>
      </w:r>
      <w:r w:rsidR="008D2F67">
        <w:t>R</w:t>
      </w:r>
      <w:r w:rsidR="00BF233C">
        <w:t> </w:t>
      </w:r>
      <w:r w:rsidR="008D2F67">
        <w:t xml:space="preserve">= randomised; </w:t>
      </w:r>
      <w:r w:rsidR="00EF2646">
        <w:t>SGA = Subject</w:t>
      </w:r>
      <w:r w:rsidR="005B022D">
        <w:t>’</w:t>
      </w:r>
      <w:r w:rsidR="00EF2646">
        <w:t>s Global Assessment of disease severity.</w:t>
      </w:r>
    </w:p>
    <w:p w14:paraId="64B39F20" w14:textId="2C819872" w:rsidR="00EF2646" w:rsidRPr="00B1011F" w:rsidRDefault="001A4363" w:rsidP="00EF2646">
      <w:pPr>
        <w:pStyle w:val="FooterTableFigure"/>
        <w:rPr>
          <w:sz w:val="20"/>
          <w:szCs w:val="20"/>
        </w:rPr>
      </w:pPr>
      <w:r w:rsidRPr="001A4363">
        <w:t>*</w:t>
      </w:r>
      <w:r w:rsidR="00EF2646">
        <w:t>added during evaluation.</w:t>
      </w:r>
    </w:p>
    <w:p w14:paraId="1FE4B889" w14:textId="147885AF" w:rsidR="00D16435" w:rsidRDefault="00DB1691" w:rsidP="00B7760B">
      <w:pPr>
        <w:widowControl w:val="0"/>
        <w:numPr>
          <w:ilvl w:val="1"/>
          <w:numId w:val="1"/>
        </w:numPr>
        <w:spacing w:after="120"/>
        <w:ind w:left="720"/>
      </w:pPr>
      <w:r w:rsidRPr="00DB1691">
        <w:t xml:space="preserve">MC2-01-C3 was designed to assess the pharmacokinetic profile </w:t>
      </w:r>
      <w:r w:rsidR="001A12C8">
        <w:t xml:space="preserve">of the active ingredients in CAL/BDP cream and ointment in patients with extensive psoriasis vulgaris, </w:t>
      </w:r>
      <w:r w:rsidR="008033E8">
        <w:t>with the hypothalamic</w:t>
      </w:r>
      <w:r w:rsidR="00844066">
        <w:t xml:space="preserve"> </w:t>
      </w:r>
      <w:r w:rsidR="008033E8">
        <w:t>pituitary</w:t>
      </w:r>
      <w:r w:rsidR="00844066">
        <w:t xml:space="preserve"> </w:t>
      </w:r>
      <w:r w:rsidR="008033E8">
        <w:t>adrenal</w:t>
      </w:r>
      <w:r w:rsidR="00C7408F">
        <w:t xml:space="preserve"> (HPA)</w:t>
      </w:r>
      <w:r w:rsidR="008033E8">
        <w:t xml:space="preserve"> axis</w:t>
      </w:r>
      <w:r w:rsidR="00844066">
        <w:t xml:space="preserve"> and </w:t>
      </w:r>
      <w:r w:rsidR="008033E8">
        <w:t>calcium metabolism</w:t>
      </w:r>
      <w:r w:rsidR="00844066">
        <w:t xml:space="preserve"> as secondary outcomes</w:t>
      </w:r>
      <w:r w:rsidR="008033E8">
        <w:t>, and Physician’s Global Assessment</w:t>
      </w:r>
      <w:r w:rsidR="006F63B4">
        <w:t xml:space="preserve"> (PGA)</w:t>
      </w:r>
      <w:r w:rsidR="0060474D">
        <w:t>,</w:t>
      </w:r>
      <w:r w:rsidR="008033E8">
        <w:t xml:space="preserve"> </w:t>
      </w:r>
      <w:r w:rsidR="00844066">
        <w:t>P</w:t>
      </w:r>
      <w:r w:rsidR="3EB3201F">
        <w:t>soriasis</w:t>
      </w:r>
      <w:r w:rsidR="00844066">
        <w:t xml:space="preserve"> Treatment Convenience Scale (PTCS) </w:t>
      </w:r>
      <w:r w:rsidR="00F41EB7">
        <w:t xml:space="preserve">and adverse events (AEs) </w:t>
      </w:r>
      <w:r w:rsidR="00844066">
        <w:t>as other outcomes</w:t>
      </w:r>
      <w:r w:rsidR="008033E8">
        <w:t>.</w:t>
      </w:r>
      <w:r w:rsidR="00844066">
        <w:t xml:space="preserve"> </w:t>
      </w:r>
      <w:r w:rsidR="00D16435" w:rsidRPr="00D16435">
        <w:t>Patients randomised to CAL/BDP cream received treatment for 8 weeks, compared to 4 weeks for those randomised to CAL/BDP ointment.</w:t>
      </w:r>
      <w:r w:rsidR="00D16435">
        <w:t xml:space="preserve"> </w:t>
      </w:r>
      <w:r w:rsidR="00D16435" w:rsidRPr="001874E3">
        <w:t>This was consistent with the respective PIs.</w:t>
      </w:r>
    </w:p>
    <w:p w14:paraId="5CE4CB9C" w14:textId="262F4E06" w:rsidR="0041541C" w:rsidRPr="000056A8" w:rsidRDefault="00DB1691" w:rsidP="00B7760B">
      <w:pPr>
        <w:widowControl w:val="0"/>
        <w:numPr>
          <w:ilvl w:val="1"/>
          <w:numId w:val="1"/>
        </w:numPr>
        <w:spacing w:after="120"/>
        <w:ind w:left="720"/>
      </w:pPr>
      <w:r>
        <w:t xml:space="preserve">MC2-01-C2 and MC2-01-C7 were </w:t>
      </w:r>
      <w:r w:rsidRPr="00DB1691">
        <w:t xml:space="preserve">designed to demonstrate </w:t>
      </w:r>
      <w:r w:rsidR="00B31B51">
        <w:t xml:space="preserve">superiority of CAL/BDP cream to cream </w:t>
      </w:r>
      <w:r w:rsidR="00680B64">
        <w:t>vehicle and</w:t>
      </w:r>
      <w:r w:rsidRPr="00DB1691">
        <w:t xml:space="preserve"> non-inferiority of CAL/BDP cream to </w:t>
      </w:r>
      <w:r w:rsidR="009142FB">
        <w:t>ge</w:t>
      </w:r>
      <w:r w:rsidR="001F2167">
        <w:t>l</w:t>
      </w:r>
      <w:r w:rsidR="003009C3">
        <w:t xml:space="preserve"> </w:t>
      </w:r>
      <w:r w:rsidR="006E2427">
        <w:t>(</w:t>
      </w:r>
      <w:r w:rsidR="001F2167">
        <w:t xml:space="preserve">topical suspension in the </w:t>
      </w:r>
      <w:r w:rsidR="00896FAC">
        <w:t xml:space="preserve">MC2-01-C2 in </w:t>
      </w:r>
      <w:r w:rsidR="0AD5CDF0">
        <w:t xml:space="preserve">the </w:t>
      </w:r>
      <w:r w:rsidR="001F2167">
        <w:t>United States</w:t>
      </w:r>
      <w:r w:rsidR="00896FAC">
        <w:t xml:space="preserve"> and ge</w:t>
      </w:r>
      <w:r w:rsidR="00764640">
        <w:t>l in the MC2-01-C7</w:t>
      </w:r>
      <w:r w:rsidR="001F2167">
        <w:t>)</w:t>
      </w:r>
      <w:r>
        <w:t>.</w:t>
      </w:r>
      <w:r w:rsidR="001F2167">
        <w:t xml:space="preserve"> </w:t>
      </w:r>
      <w:r w:rsidR="0077639C">
        <w:t>The trials reported outcomes such as PGA</w:t>
      </w:r>
      <w:r w:rsidR="00631D05">
        <w:t xml:space="preserve"> (primary outcome in MC2-01-C2)</w:t>
      </w:r>
      <w:r w:rsidR="0077639C">
        <w:t xml:space="preserve">, </w:t>
      </w:r>
      <w:r w:rsidR="00E459B7">
        <w:t xml:space="preserve">modified </w:t>
      </w:r>
      <w:r w:rsidR="00681E38">
        <w:t>P</w:t>
      </w:r>
      <w:r w:rsidR="00E459B7">
        <w:t>soriasis Area Severity Index (</w:t>
      </w:r>
      <w:proofErr w:type="spellStart"/>
      <w:r w:rsidR="00E459B7">
        <w:t>mPASI</w:t>
      </w:r>
      <w:proofErr w:type="spellEnd"/>
      <w:r w:rsidR="00E459B7">
        <w:t xml:space="preserve">; </w:t>
      </w:r>
      <w:r w:rsidR="00631D05">
        <w:t>primary outcome in MC2-01-C7)</w:t>
      </w:r>
      <w:r w:rsidR="0077639C">
        <w:t xml:space="preserve">, </w:t>
      </w:r>
      <w:r w:rsidR="00631D05">
        <w:t xml:space="preserve">PTCS, </w:t>
      </w:r>
      <w:r w:rsidR="00557159">
        <w:t>Subject’s Global Assessment (SGA</w:t>
      </w:r>
      <w:r w:rsidR="00FF4F6A">
        <w:t>), Dermatology Life Quality Index (DLQI)</w:t>
      </w:r>
      <w:r w:rsidR="00631D05">
        <w:t>, QoL, and safety.</w:t>
      </w:r>
      <w:r w:rsidR="00CB1EC5">
        <w:t xml:space="preserve"> </w:t>
      </w:r>
      <w:r w:rsidR="00257241" w:rsidRPr="001874E3">
        <w:t xml:space="preserve">However, only results for </w:t>
      </w:r>
      <w:r w:rsidR="00E84863" w:rsidRPr="001874E3">
        <w:t xml:space="preserve">PGA, </w:t>
      </w:r>
      <w:proofErr w:type="spellStart"/>
      <w:r w:rsidR="00E84863" w:rsidRPr="001874E3">
        <w:t>mPASI</w:t>
      </w:r>
      <w:proofErr w:type="spellEnd"/>
      <w:r w:rsidR="00E84863" w:rsidRPr="001874E3">
        <w:t xml:space="preserve">, and </w:t>
      </w:r>
      <w:r w:rsidR="00AE7A67" w:rsidRPr="001874E3">
        <w:t>PTCS</w:t>
      </w:r>
      <w:r w:rsidR="00E84863" w:rsidRPr="001874E3">
        <w:t xml:space="preserve"> </w:t>
      </w:r>
      <w:r w:rsidR="008D6379" w:rsidRPr="001874E3">
        <w:t>were presented</w:t>
      </w:r>
      <w:r w:rsidR="00E84863" w:rsidRPr="001874E3">
        <w:t xml:space="preserve"> in the submission. </w:t>
      </w:r>
      <w:r w:rsidR="00F43921" w:rsidRPr="001874E3">
        <w:t xml:space="preserve">In both trials, patients were randomised to </w:t>
      </w:r>
      <w:r w:rsidR="00D93EE2" w:rsidRPr="001874E3">
        <w:t xml:space="preserve">receive </w:t>
      </w:r>
      <w:r w:rsidR="00F43921" w:rsidRPr="001874E3">
        <w:t xml:space="preserve">CAL/BDP cream, </w:t>
      </w:r>
      <w:r w:rsidR="00D93EE2" w:rsidRPr="001874E3">
        <w:t xml:space="preserve">CAL/BDP </w:t>
      </w:r>
      <w:r w:rsidR="00F43921" w:rsidRPr="001874E3">
        <w:t xml:space="preserve">gel, or </w:t>
      </w:r>
      <w:r w:rsidR="00D93EE2" w:rsidRPr="001874E3">
        <w:t xml:space="preserve">a </w:t>
      </w:r>
      <w:r w:rsidR="00F43921" w:rsidRPr="001874E3">
        <w:t xml:space="preserve">cream vehicle for </w:t>
      </w:r>
      <w:r w:rsidR="007838AB" w:rsidRPr="001874E3">
        <w:t xml:space="preserve">8 weeks. </w:t>
      </w:r>
      <w:r w:rsidR="0041541C" w:rsidRPr="001874E3">
        <w:t>This was consistent with the respective PIs.</w:t>
      </w:r>
    </w:p>
    <w:p w14:paraId="20400926" w14:textId="1F8A4787" w:rsidR="000056A8" w:rsidRPr="00AB7C3D" w:rsidRDefault="000056A8" w:rsidP="00B7760B">
      <w:pPr>
        <w:widowControl w:val="0"/>
        <w:numPr>
          <w:ilvl w:val="1"/>
          <w:numId w:val="1"/>
        </w:numPr>
        <w:spacing w:after="120"/>
        <w:ind w:left="720"/>
      </w:pPr>
      <w:r>
        <w:t xml:space="preserve">The </w:t>
      </w:r>
      <w:r w:rsidR="00212169">
        <w:t xml:space="preserve">description of the </w:t>
      </w:r>
      <w:r>
        <w:t xml:space="preserve">key outcomes </w:t>
      </w:r>
      <w:r w:rsidR="00D019F8">
        <w:t xml:space="preserve">presented in the submission are summarised below. </w:t>
      </w:r>
    </w:p>
    <w:p w14:paraId="699668D0" w14:textId="66BCBE8D" w:rsidR="001B5200" w:rsidRDefault="001B5200" w:rsidP="001B5200">
      <w:pPr>
        <w:pStyle w:val="Caption"/>
      </w:pPr>
      <w:bookmarkStart w:id="24" w:name="_Ref196202634"/>
      <w:r>
        <w:lastRenderedPageBreak/>
        <w:t xml:space="preserve">Table </w:t>
      </w:r>
      <w:r>
        <w:fldChar w:fldCharType="begin" w:fldLock="1"/>
      </w:r>
      <w:r>
        <w:instrText xml:space="preserve"> SEQ Table \* ARABIC </w:instrText>
      </w:r>
      <w:r>
        <w:fldChar w:fldCharType="separate"/>
      </w:r>
      <w:r>
        <w:rPr>
          <w:noProof/>
        </w:rPr>
        <w:t>4</w:t>
      </w:r>
      <w:r>
        <w:rPr>
          <w:noProof/>
        </w:rPr>
        <w:fldChar w:fldCharType="end"/>
      </w:r>
      <w:bookmarkEnd w:id="24"/>
      <w:r>
        <w:t xml:space="preserve">: </w:t>
      </w:r>
      <w:r w:rsidR="00D50823">
        <w:t>Key outcomes presented in the submission</w:t>
      </w:r>
    </w:p>
    <w:tbl>
      <w:tblPr>
        <w:tblStyle w:val="TableGrid"/>
        <w:tblW w:w="5000" w:type="pct"/>
        <w:tblLook w:val="04A0" w:firstRow="1" w:lastRow="0" w:firstColumn="1" w:lastColumn="0" w:noHBand="0" w:noVBand="1"/>
        <w:tblCaption w:val="Table 4: Key outcomes presented in the submission"/>
      </w:tblPr>
      <w:tblGrid>
        <w:gridCol w:w="1129"/>
        <w:gridCol w:w="4678"/>
        <w:gridCol w:w="3210"/>
      </w:tblGrid>
      <w:tr w:rsidR="00BA6F64" w14:paraId="49E1345E" w14:textId="77777777" w:rsidTr="0007256B">
        <w:tc>
          <w:tcPr>
            <w:tcW w:w="626" w:type="pct"/>
          </w:tcPr>
          <w:p w14:paraId="0D40EF46" w14:textId="597C8DD1" w:rsidR="00BA6F64" w:rsidRDefault="00BA6F64" w:rsidP="00AB7606">
            <w:pPr>
              <w:pStyle w:val="TableFigureHeading"/>
            </w:pPr>
            <w:r>
              <w:t>Outcome</w:t>
            </w:r>
          </w:p>
        </w:tc>
        <w:tc>
          <w:tcPr>
            <w:tcW w:w="2594" w:type="pct"/>
          </w:tcPr>
          <w:p w14:paraId="0F27FA05" w14:textId="77A91614" w:rsidR="00BA6F64" w:rsidRDefault="00BA6F64" w:rsidP="00AB7606">
            <w:pPr>
              <w:pStyle w:val="TableFigureHeading"/>
            </w:pPr>
            <w:r>
              <w:t>Description</w:t>
            </w:r>
          </w:p>
        </w:tc>
        <w:tc>
          <w:tcPr>
            <w:tcW w:w="1780" w:type="pct"/>
          </w:tcPr>
          <w:p w14:paraId="0BAF3E07" w14:textId="54500CF3" w:rsidR="00BA6F64" w:rsidRDefault="00BA6F64" w:rsidP="00AB7606">
            <w:pPr>
              <w:pStyle w:val="TableFigureHeading"/>
            </w:pPr>
            <w:r>
              <w:t>Scale</w:t>
            </w:r>
          </w:p>
        </w:tc>
      </w:tr>
      <w:tr w:rsidR="00BA6F64" w14:paraId="1D429306" w14:textId="77777777" w:rsidTr="0007256B">
        <w:tc>
          <w:tcPr>
            <w:tcW w:w="626" w:type="pct"/>
          </w:tcPr>
          <w:p w14:paraId="5FA2CA65" w14:textId="4C423570" w:rsidR="00BA6F64" w:rsidRPr="007859E3" w:rsidRDefault="00BA6F64" w:rsidP="002923D4">
            <w:pPr>
              <w:pStyle w:val="TableText0"/>
            </w:pPr>
            <w:r w:rsidRPr="007859E3">
              <w:t>PGA</w:t>
            </w:r>
          </w:p>
        </w:tc>
        <w:tc>
          <w:tcPr>
            <w:tcW w:w="2594" w:type="pct"/>
          </w:tcPr>
          <w:p w14:paraId="033B7324" w14:textId="3D9581DB" w:rsidR="00BA6F64" w:rsidRPr="007859E3" w:rsidRDefault="00BA6F64" w:rsidP="002923D4">
            <w:pPr>
              <w:pStyle w:val="TableText0"/>
            </w:pPr>
            <w:r w:rsidRPr="007859E3">
              <w:t>The physician’s impression of the psoriatic plaque thickening, scaling and erythema, at a single point. PGA is measured separately for the body (trunk or limbs) and scalp.</w:t>
            </w:r>
          </w:p>
        </w:tc>
        <w:tc>
          <w:tcPr>
            <w:tcW w:w="1780" w:type="pct"/>
          </w:tcPr>
          <w:p w14:paraId="1ABCD584" w14:textId="5EB8138F" w:rsidR="00BA6F64" w:rsidRDefault="00BA6F64" w:rsidP="002923D4">
            <w:pPr>
              <w:pStyle w:val="TableText0"/>
            </w:pPr>
            <w:r>
              <w:t>0 (clear) to 4</w:t>
            </w:r>
            <w:r w:rsidR="00510DFE">
              <w:t xml:space="preserve"> </w:t>
            </w:r>
            <w:r>
              <w:t>(severe psoriasis)</w:t>
            </w:r>
          </w:p>
        </w:tc>
      </w:tr>
      <w:tr w:rsidR="00BA6F64" w14:paraId="61D90EA2" w14:textId="77777777" w:rsidTr="0007256B">
        <w:tc>
          <w:tcPr>
            <w:tcW w:w="626" w:type="pct"/>
          </w:tcPr>
          <w:p w14:paraId="1E0F0681" w14:textId="2E2B093C" w:rsidR="00BA6F64" w:rsidRPr="00FF2130" w:rsidRDefault="00BA6F64" w:rsidP="002923D4">
            <w:pPr>
              <w:pStyle w:val="TableText0"/>
            </w:pPr>
            <w:proofErr w:type="spellStart"/>
            <w:r w:rsidRPr="00FF2130">
              <w:t>mPASI</w:t>
            </w:r>
            <w:proofErr w:type="spellEnd"/>
          </w:p>
        </w:tc>
        <w:tc>
          <w:tcPr>
            <w:tcW w:w="2594" w:type="pct"/>
          </w:tcPr>
          <w:p w14:paraId="4179349E" w14:textId="5F54AF33" w:rsidR="00BA6F64" w:rsidRPr="00FF2130" w:rsidRDefault="009F115E" w:rsidP="002923D4">
            <w:pPr>
              <w:pStyle w:val="TableText0"/>
            </w:pPr>
            <w:r w:rsidRPr="00FF2130">
              <w:t>The extent and severity of three clinical signs (redness, thickness and scaliness) on the arms, trunk and legs</w:t>
            </w:r>
            <w:r w:rsidR="0062357F" w:rsidRPr="00FF2130">
              <w:t>, excluding the scalp</w:t>
            </w:r>
            <w:r w:rsidR="00041A51" w:rsidRPr="00FF2130">
              <w:t xml:space="preserve">. </w:t>
            </w:r>
          </w:p>
        </w:tc>
        <w:tc>
          <w:tcPr>
            <w:tcW w:w="1780" w:type="pct"/>
          </w:tcPr>
          <w:p w14:paraId="61E45C40" w14:textId="49371E60" w:rsidR="00BA6F64" w:rsidRPr="00FF2130" w:rsidRDefault="00195E44" w:rsidP="002923D4">
            <w:pPr>
              <w:pStyle w:val="TableText0"/>
            </w:pPr>
            <w:r w:rsidRPr="00FF2130">
              <w:t xml:space="preserve">0 (no psoriatic involvement) to </w:t>
            </w:r>
            <w:r w:rsidR="00341859" w:rsidRPr="00FF2130">
              <w:t>64.8</w:t>
            </w:r>
            <w:r w:rsidR="00636504" w:rsidRPr="00FF2130">
              <w:t xml:space="preserve"> (very severe </w:t>
            </w:r>
            <w:r w:rsidR="00EB4E95" w:rsidRPr="00FF2130">
              <w:t xml:space="preserve">and </w:t>
            </w:r>
            <w:r w:rsidR="00864B21" w:rsidRPr="00FF2130">
              <w:t>extensive area with psoriasis)</w:t>
            </w:r>
          </w:p>
        </w:tc>
      </w:tr>
      <w:tr w:rsidR="00BA6F64" w14:paraId="4C2B9B3E" w14:textId="77777777" w:rsidTr="0007256B">
        <w:tc>
          <w:tcPr>
            <w:tcW w:w="626" w:type="pct"/>
          </w:tcPr>
          <w:p w14:paraId="620671B6" w14:textId="12D3315C" w:rsidR="00BA6F64" w:rsidRDefault="00BA6F64" w:rsidP="002923D4">
            <w:pPr>
              <w:pStyle w:val="TableText0"/>
            </w:pPr>
            <w:r>
              <w:t>PTCS</w:t>
            </w:r>
          </w:p>
        </w:tc>
        <w:tc>
          <w:tcPr>
            <w:tcW w:w="2594" w:type="pct"/>
          </w:tcPr>
          <w:p w14:paraId="2C454D07" w14:textId="70F4CEE6" w:rsidR="00BA6F64" w:rsidRDefault="00E414BC" w:rsidP="002923D4">
            <w:pPr>
              <w:pStyle w:val="TableText0"/>
            </w:pPr>
            <w:r>
              <w:t>T</w:t>
            </w:r>
            <w:r w:rsidRPr="00E414BC">
              <w:t>reatment convenience and overall satisfaction using five core items, and each item is scored by patients on a scale of 1 (low satisfaction) to 10 (high satisfaction).</w:t>
            </w:r>
          </w:p>
        </w:tc>
        <w:tc>
          <w:tcPr>
            <w:tcW w:w="1780" w:type="pct"/>
          </w:tcPr>
          <w:p w14:paraId="79A8CD52" w14:textId="6DC0C8B4" w:rsidR="00BA6F64" w:rsidRDefault="00E414BC" w:rsidP="002923D4">
            <w:pPr>
              <w:pStyle w:val="TableText0"/>
            </w:pPr>
            <w:r>
              <w:t>5</w:t>
            </w:r>
            <w:r w:rsidR="009B5E17">
              <w:t xml:space="preserve"> (low satisfaction) to 50 (</w:t>
            </w:r>
            <w:r w:rsidR="00845D88">
              <w:t>high</w:t>
            </w:r>
            <w:r w:rsidR="00CE10D2">
              <w:t xml:space="preserve"> satisfaction)</w:t>
            </w:r>
          </w:p>
        </w:tc>
      </w:tr>
    </w:tbl>
    <w:p w14:paraId="65BD50BB" w14:textId="0B104294" w:rsidR="00AB7C3D" w:rsidRDefault="00BA6F64" w:rsidP="00BA6F64">
      <w:pPr>
        <w:pStyle w:val="TableFigureFooter"/>
      </w:pPr>
      <w:r>
        <w:t>Source: Section 1.1.</w:t>
      </w:r>
      <w:r w:rsidR="00D42515">
        <w:t>2.2</w:t>
      </w:r>
      <w:r w:rsidR="00AB7606">
        <w:t>, pp18-19;</w:t>
      </w:r>
      <w:r w:rsidR="00CE10D2">
        <w:t xml:space="preserve"> Section 1.1.2.3, pp19-20</w:t>
      </w:r>
      <w:r w:rsidR="00D42515">
        <w:t xml:space="preserve"> of the submission</w:t>
      </w:r>
      <w:r w:rsidR="0062357F">
        <w:t xml:space="preserve"> and MC2-01-C</w:t>
      </w:r>
      <w:r w:rsidR="00195E44">
        <w:t>2 CSR</w:t>
      </w:r>
      <w:r w:rsidR="00D8067A">
        <w:t>.</w:t>
      </w:r>
    </w:p>
    <w:p w14:paraId="5B7A68FA" w14:textId="0A5D4995" w:rsidR="00D42515" w:rsidRDefault="003D5651" w:rsidP="00BA6F64">
      <w:pPr>
        <w:pStyle w:val="TableFigureFooter"/>
      </w:pPr>
      <w:r w:rsidRPr="003D5651">
        <w:t xml:space="preserve">CSR = clinical study report; </w:t>
      </w:r>
      <w:proofErr w:type="spellStart"/>
      <w:r w:rsidR="00AB7606" w:rsidRPr="00AB7606">
        <w:t>mPASI</w:t>
      </w:r>
      <w:proofErr w:type="spellEnd"/>
      <w:r w:rsidR="00AB7606" w:rsidRPr="00AB7606">
        <w:t xml:space="preserve"> = Modified Psoriasis Area and Severity Index; PGA = Physician</w:t>
      </w:r>
      <w:r w:rsidR="004A78C0">
        <w:t>’s</w:t>
      </w:r>
      <w:r w:rsidR="00AB7606" w:rsidRPr="00AB7606">
        <w:t xml:space="preserve"> Global Assessment; PTCS = Psoriasis Treatment Convenience Scale</w:t>
      </w:r>
      <w:r w:rsidR="00AB7606">
        <w:t>.</w:t>
      </w:r>
    </w:p>
    <w:p w14:paraId="0EB1BEE6" w14:textId="7C08D86E" w:rsidR="006D56D4" w:rsidRDefault="00A374AE" w:rsidP="00B7760B">
      <w:pPr>
        <w:widowControl w:val="0"/>
        <w:numPr>
          <w:ilvl w:val="1"/>
          <w:numId w:val="1"/>
        </w:numPr>
        <w:spacing w:after="120"/>
        <w:ind w:left="720"/>
      </w:pPr>
      <w:r w:rsidRPr="001874E3">
        <w:t>According to</w:t>
      </w:r>
      <w:r w:rsidR="00DB1691" w:rsidRPr="001874E3">
        <w:t xml:space="preserve"> the </w:t>
      </w:r>
      <w:r w:rsidRPr="001874E3">
        <w:t>Australian College of Dermatologists (</w:t>
      </w:r>
      <w:r w:rsidR="00DB1691" w:rsidRPr="001874E3">
        <w:t>ACD</w:t>
      </w:r>
      <w:r w:rsidRPr="001874E3">
        <w:t>)</w:t>
      </w:r>
      <w:r w:rsidR="00DB1691" w:rsidRPr="001874E3">
        <w:t xml:space="preserve"> consensus adaption</w:t>
      </w:r>
      <w:r w:rsidRPr="00B7760B">
        <w:footnoteReference w:id="8"/>
      </w:r>
      <w:r w:rsidR="00DB1691" w:rsidRPr="001874E3">
        <w:t>, PGA is a validated objective score,</w:t>
      </w:r>
      <w:r w:rsidR="005850C3" w:rsidRPr="001874E3">
        <w:t xml:space="preserve"> </w:t>
      </w:r>
      <w:r w:rsidR="006E2564" w:rsidRPr="001874E3">
        <w:t xml:space="preserve">with adequate response </w:t>
      </w:r>
      <w:r w:rsidR="005850C3" w:rsidRPr="001874E3">
        <w:t>to treatment defined as 0 (</w:t>
      </w:r>
      <w:r w:rsidR="1A29A91D" w:rsidRPr="001874E3">
        <w:t>clear) or</w:t>
      </w:r>
      <w:r w:rsidR="005850C3" w:rsidRPr="001874E3">
        <w:t xml:space="preserve"> 1 (almost clear).</w:t>
      </w:r>
      <w:r w:rsidR="007C10EC" w:rsidRPr="001874E3">
        <w:t xml:space="preserve"> H</w:t>
      </w:r>
      <w:r w:rsidR="00CF0C2D" w:rsidRPr="001874E3">
        <w:t xml:space="preserve">owever, </w:t>
      </w:r>
      <w:r w:rsidR="00990416" w:rsidRPr="001874E3">
        <w:t>the</w:t>
      </w:r>
      <w:r w:rsidR="00574525" w:rsidRPr="001874E3">
        <w:t xml:space="preserve"> definition of treatment success using PGA</w:t>
      </w:r>
      <w:r w:rsidR="003D4F18" w:rsidRPr="001874E3">
        <w:t xml:space="preserve"> varied in</w:t>
      </w:r>
      <w:r w:rsidR="00294C92" w:rsidRPr="001874E3">
        <w:t xml:space="preserve"> the</w:t>
      </w:r>
      <w:r w:rsidR="003D4F18" w:rsidRPr="001874E3">
        <w:t xml:space="preserve"> </w:t>
      </w:r>
      <w:r w:rsidR="00294C92" w:rsidRPr="001874E3">
        <w:t>trials presented in the submission.</w:t>
      </w:r>
      <w:r w:rsidR="00294C92">
        <w:t xml:space="preserve"> The</w:t>
      </w:r>
      <w:r w:rsidR="00990416" w:rsidRPr="003D5D39">
        <w:t xml:space="preserve"> </w:t>
      </w:r>
      <w:r w:rsidR="00AD740B">
        <w:t xml:space="preserve">MC2-01-C3 </w:t>
      </w:r>
      <w:r w:rsidR="00990416" w:rsidRPr="003D5D39">
        <w:t xml:space="preserve">trial defined PGA success as a minimum </w:t>
      </w:r>
      <w:r w:rsidR="004365B2">
        <w:t>two</w:t>
      </w:r>
      <w:r w:rsidR="00990416" w:rsidRPr="003D5D39">
        <w:t>-point decrease from baseline</w:t>
      </w:r>
      <w:r w:rsidR="00455283">
        <w:t xml:space="preserve"> (on a scale of 0 to 4</w:t>
      </w:r>
      <w:r w:rsidR="004C3A16">
        <w:t>, with higher score indicating severe condition)</w:t>
      </w:r>
      <w:r w:rsidR="007C10EC">
        <w:t xml:space="preserve">, </w:t>
      </w:r>
      <w:r w:rsidR="00AD740B">
        <w:t xml:space="preserve">whereas MC2-01-C2 and MC2-01-C7 </w:t>
      </w:r>
      <w:r w:rsidR="00401B75" w:rsidRPr="00401B75">
        <w:t>defined PGA success as both a minimum two-point reduction from baseline and achieving a PGA score of 0 or 1</w:t>
      </w:r>
      <w:r w:rsidR="005850C3">
        <w:t>.</w:t>
      </w:r>
      <w:r w:rsidR="00401B75" w:rsidRPr="00401B75">
        <w:t xml:space="preserve"> </w:t>
      </w:r>
    </w:p>
    <w:p w14:paraId="0FE7970F" w14:textId="0B5FA97F" w:rsidR="006D56D4" w:rsidRPr="001874E3" w:rsidRDefault="00D60D73" w:rsidP="00B7760B">
      <w:pPr>
        <w:widowControl w:val="0"/>
        <w:numPr>
          <w:ilvl w:val="1"/>
          <w:numId w:val="1"/>
        </w:numPr>
        <w:spacing w:after="120"/>
        <w:ind w:left="720"/>
      </w:pPr>
      <w:r w:rsidRPr="003A5719">
        <w:t>All three trial</w:t>
      </w:r>
      <w:r w:rsidR="003A5719" w:rsidRPr="003A5719">
        <w:t>s</w:t>
      </w:r>
      <w:r w:rsidRPr="003A5719">
        <w:t xml:space="preserve"> reported change</w:t>
      </w:r>
      <w:r w:rsidR="003A5719" w:rsidRPr="003A5719">
        <w:t>s</w:t>
      </w:r>
      <w:r w:rsidRPr="003A5719">
        <w:t xml:space="preserve"> in </w:t>
      </w:r>
      <w:proofErr w:type="spellStart"/>
      <w:r w:rsidRPr="00B7760B">
        <w:t>mPASI</w:t>
      </w:r>
      <w:proofErr w:type="spellEnd"/>
      <w:r w:rsidRPr="00B7760B">
        <w:t xml:space="preserve"> score from baseline, </w:t>
      </w:r>
      <w:r w:rsidR="0A58C5D3">
        <w:t>to assess</w:t>
      </w:r>
      <w:r w:rsidRPr="00B7760B">
        <w:t xml:space="preserve"> the extent and severity of three clinical signs (redness, thickness and scaliness) on the arms, trunk and legs</w:t>
      </w:r>
      <w:r w:rsidR="003A5719" w:rsidRPr="00B7760B">
        <w:t xml:space="preserve">. </w:t>
      </w:r>
      <w:r w:rsidR="000955C2" w:rsidRPr="00B7760B">
        <w:t xml:space="preserve">The </w:t>
      </w:r>
      <w:proofErr w:type="spellStart"/>
      <w:r w:rsidR="000955C2" w:rsidRPr="00B7760B">
        <w:t>mPASI</w:t>
      </w:r>
      <w:proofErr w:type="spellEnd"/>
      <w:r w:rsidR="000955C2" w:rsidRPr="00B7760B">
        <w:t xml:space="preserve"> score ranges from 0 to 64.8, with higher scores indicating more severe and extensive disease. However, the ACD consensus </w:t>
      </w:r>
      <w:r w:rsidR="00D9250A" w:rsidRPr="00B7760B">
        <w:t xml:space="preserve">adaptation </w:t>
      </w:r>
      <w:r w:rsidR="000955C2" w:rsidRPr="00B7760B">
        <w:t>do</w:t>
      </w:r>
      <w:r w:rsidR="00D9250A" w:rsidRPr="00B7760B">
        <w:t>es</w:t>
      </w:r>
      <w:r w:rsidR="000955C2" w:rsidRPr="00B7760B">
        <w:t xml:space="preserve"> not explicitly define an adequate treatment response based on changes in </w:t>
      </w:r>
      <w:proofErr w:type="spellStart"/>
      <w:r w:rsidR="000955C2" w:rsidRPr="00B7760B">
        <w:t>mPASI</w:t>
      </w:r>
      <w:proofErr w:type="spellEnd"/>
      <w:r w:rsidR="000955C2" w:rsidRPr="00B7760B">
        <w:t xml:space="preserve"> from baseline.</w:t>
      </w:r>
      <w:r w:rsidR="000955C2" w:rsidRPr="001874E3">
        <w:t xml:space="preserve"> </w:t>
      </w:r>
    </w:p>
    <w:p w14:paraId="5BE69E78" w14:textId="289D6C8D" w:rsidR="00AD740B" w:rsidRPr="001874E3" w:rsidRDefault="005D52B7" w:rsidP="00B7760B">
      <w:pPr>
        <w:widowControl w:val="0"/>
        <w:numPr>
          <w:ilvl w:val="1"/>
          <w:numId w:val="1"/>
        </w:numPr>
        <w:spacing w:after="120"/>
        <w:ind w:left="720"/>
      </w:pPr>
      <w:r w:rsidRPr="001874E3">
        <w:t xml:space="preserve">The </w:t>
      </w:r>
      <w:r w:rsidR="00DF0E39" w:rsidRPr="001874E3">
        <w:t xml:space="preserve">use of both PGA and </w:t>
      </w:r>
      <w:proofErr w:type="spellStart"/>
      <w:r w:rsidR="00DF0E39" w:rsidRPr="001874E3">
        <w:t>mPASI</w:t>
      </w:r>
      <w:proofErr w:type="spellEnd"/>
      <w:r w:rsidR="00DF0E39" w:rsidRPr="001874E3">
        <w:t xml:space="preserve"> to assess efficacy in both the pivotal efficacy studies (MC2-01-C2 and MC2-01-C7) was considered appropriate by the TGA, based on the Clinical Evaluation Report for CAL/BDP cream, which was presented as an attachment to the submission. </w:t>
      </w:r>
    </w:p>
    <w:p w14:paraId="2D7ABA4A" w14:textId="0F113FA9" w:rsidR="00233204" w:rsidRPr="001874E3" w:rsidRDefault="008877C2" w:rsidP="00B7760B">
      <w:pPr>
        <w:widowControl w:val="0"/>
        <w:numPr>
          <w:ilvl w:val="1"/>
          <w:numId w:val="1"/>
        </w:numPr>
        <w:spacing w:after="120"/>
        <w:ind w:left="720"/>
      </w:pPr>
      <w:bookmarkStart w:id="25" w:name="_Ref198218667"/>
      <w:bookmarkStart w:id="26" w:name="_Ref195781815"/>
      <w:bookmarkStart w:id="27" w:name="_Ref196145635"/>
      <w:r w:rsidRPr="001874E3">
        <w:t xml:space="preserve">PTCS is a patient-rated treatment convenience measure which was developed by </w:t>
      </w:r>
      <w:r w:rsidR="0016388F" w:rsidRPr="001874E3">
        <w:t>MC2</w:t>
      </w:r>
      <w:r w:rsidR="00095E48">
        <w:t> </w:t>
      </w:r>
      <w:r w:rsidR="0016388F" w:rsidRPr="001874E3">
        <w:t xml:space="preserve">Therapeutics </w:t>
      </w:r>
      <w:r w:rsidRPr="001874E3">
        <w:t xml:space="preserve">and implemented in </w:t>
      </w:r>
      <w:r w:rsidR="00D04461" w:rsidRPr="001874E3">
        <w:t xml:space="preserve">a </w:t>
      </w:r>
      <w:r w:rsidRPr="001874E3">
        <w:t>clinical trial assessing CAL/BDP cream.</w:t>
      </w:r>
      <w:r w:rsidR="002C167F" w:rsidRPr="001874E3">
        <w:t xml:space="preserve"> The submission states </w:t>
      </w:r>
      <w:r w:rsidR="00FC17F1" w:rsidRPr="001874E3">
        <w:t xml:space="preserve">that </w:t>
      </w:r>
      <w:r w:rsidR="001B02A2" w:rsidRPr="001874E3">
        <w:t>the PTCS was validated in Feldman et al. (2021).</w:t>
      </w:r>
      <w:r w:rsidRPr="001874E3">
        <w:t xml:space="preserve"> The </w:t>
      </w:r>
      <w:r w:rsidR="00233204" w:rsidRPr="001874E3">
        <w:t>evaluation</w:t>
      </w:r>
      <w:r w:rsidR="00233204" w:rsidRPr="15C43FAB">
        <w:rPr>
          <w:i/>
          <w:iCs/>
        </w:rPr>
        <w:t xml:space="preserve"> </w:t>
      </w:r>
      <w:r w:rsidR="17A1A0C7" w:rsidRPr="001874E3">
        <w:t>consider</w:t>
      </w:r>
      <w:r w:rsidR="00F73BC4">
        <w:t>ed</w:t>
      </w:r>
      <w:r w:rsidR="17A1A0C7" w:rsidRPr="001874E3">
        <w:t xml:space="preserve"> the</w:t>
      </w:r>
      <w:r w:rsidRPr="001874E3">
        <w:t xml:space="preserve"> use of PTCS to inform treatment efficacy </w:t>
      </w:r>
      <w:r w:rsidR="403F3AD3" w:rsidRPr="001874E3">
        <w:t>to be</w:t>
      </w:r>
      <w:r w:rsidR="00AE2CD0" w:rsidRPr="001874E3">
        <w:t xml:space="preserve"> </w:t>
      </w:r>
      <w:r w:rsidRPr="001874E3">
        <w:t xml:space="preserve">uncertain </w:t>
      </w:r>
      <w:r w:rsidR="00FF4B7F" w:rsidRPr="001874E3">
        <w:t xml:space="preserve">due to several limitations identified in its </w:t>
      </w:r>
      <w:r w:rsidRPr="001874E3">
        <w:t>development and validation</w:t>
      </w:r>
      <w:r w:rsidR="00233204" w:rsidRPr="001874E3">
        <w:t>.</w:t>
      </w:r>
      <w:r w:rsidR="00FF4B7F" w:rsidRPr="001874E3">
        <w:t xml:space="preserve"> These</w:t>
      </w:r>
      <w:r w:rsidRPr="001874E3">
        <w:t xml:space="preserve"> limitations includ</w:t>
      </w:r>
      <w:r w:rsidR="00FF4B7F" w:rsidRPr="001874E3">
        <w:t>e</w:t>
      </w:r>
      <w:r w:rsidRPr="001874E3">
        <w:t>:</w:t>
      </w:r>
      <w:bookmarkEnd w:id="25"/>
      <w:r w:rsidRPr="001874E3">
        <w:t xml:space="preserve"> </w:t>
      </w:r>
    </w:p>
    <w:p w14:paraId="4D8B995E" w14:textId="77777777" w:rsidR="00F60EFE" w:rsidRPr="001874E3" w:rsidRDefault="0762FCF0" w:rsidP="001B23ED">
      <w:pPr>
        <w:pStyle w:val="ListParagraph"/>
        <w:ind w:left="1080"/>
      </w:pPr>
      <w:r w:rsidRPr="001874E3">
        <w:t>the study by Feldman et al. (2021) was</w:t>
      </w:r>
      <w:r w:rsidR="250192E4" w:rsidRPr="001874E3">
        <w:t xml:space="preserve"> </w:t>
      </w:r>
      <w:r w:rsidR="008877C2" w:rsidRPr="001874E3">
        <w:t xml:space="preserve">industry-funded; </w:t>
      </w:r>
    </w:p>
    <w:p w14:paraId="4C966961" w14:textId="77777777" w:rsidR="00F60EFE" w:rsidRPr="001874E3" w:rsidRDefault="008877C2" w:rsidP="001B23ED">
      <w:pPr>
        <w:pStyle w:val="ListParagraph"/>
        <w:ind w:left="1080"/>
      </w:pPr>
      <w:r w:rsidRPr="001874E3">
        <w:lastRenderedPageBreak/>
        <w:t xml:space="preserve">lack of generalisability as PTCS was only </w:t>
      </w:r>
      <w:r w:rsidR="00923596" w:rsidRPr="001874E3">
        <w:t>used</w:t>
      </w:r>
      <w:r w:rsidRPr="001874E3">
        <w:t xml:space="preserve"> in RCTs with CAL/BDP cream; </w:t>
      </w:r>
    </w:p>
    <w:p w14:paraId="20E52BE0" w14:textId="77777777" w:rsidR="00F60EFE" w:rsidRPr="001874E3" w:rsidRDefault="008877C2" w:rsidP="001B23ED">
      <w:pPr>
        <w:pStyle w:val="ListParagraph"/>
        <w:ind w:left="1080"/>
      </w:pPr>
      <w:r w:rsidRPr="001874E3">
        <w:t xml:space="preserve">low internal consistency reliability (Cronbach’s alpha = 0.61, below the predefined </w:t>
      </w:r>
      <w:r w:rsidR="00923596" w:rsidRPr="001874E3">
        <w:t>threshold</w:t>
      </w:r>
      <w:r w:rsidRPr="001874E3">
        <w:t xml:space="preserve"> of 0.7); </w:t>
      </w:r>
    </w:p>
    <w:p w14:paraId="27F85975" w14:textId="77777777" w:rsidR="00942FEE" w:rsidRPr="001874E3" w:rsidRDefault="00923596" w:rsidP="001B23ED">
      <w:pPr>
        <w:pStyle w:val="ListParagraph"/>
        <w:ind w:left="1080"/>
      </w:pPr>
      <w:r w:rsidRPr="001874E3">
        <w:t xml:space="preserve">absence of </w:t>
      </w:r>
      <w:r w:rsidR="008877C2" w:rsidRPr="001874E3">
        <w:t>test-retest reliability data (intersubject variation of more than 60% of total variation);</w:t>
      </w:r>
      <w:r w:rsidRPr="001874E3">
        <w:t xml:space="preserve"> </w:t>
      </w:r>
    </w:p>
    <w:p w14:paraId="0914F7A8" w14:textId="77777777" w:rsidR="00942FEE" w:rsidRPr="001874E3" w:rsidRDefault="00923596" w:rsidP="001B23ED">
      <w:pPr>
        <w:pStyle w:val="ListParagraph"/>
        <w:ind w:left="1080"/>
      </w:pPr>
      <w:r w:rsidRPr="001874E3">
        <w:t xml:space="preserve">lack of </w:t>
      </w:r>
      <w:r w:rsidR="008877C2" w:rsidRPr="001874E3">
        <w:t xml:space="preserve">criterion validity due to absence of </w:t>
      </w:r>
      <w:r w:rsidRPr="001874E3">
        <w:t xml:space="preserve">gold standard comparator; </w:t>
      </w:r>
    </w:p>
    <w:p w14:paraId="11223684" w14:textId="24D440D8" w:rsidR="00942FEE" w:rsidRPr="001874E3" w:rsidRDefault="00410FA6" w:rsidP="001B23ED">
      <w:pPr>
        <w:pStyle w:val="ListParagraph"/>
        <w:ind w:left="1080"/>
      </w:pPr>
      <w:r w:rsidRPr="001874E3">
        <w:t xml:space="preserve">no reported </w:t>
      </w:r>
      <w:r w:rsidR="008877C2" w:rsidRPr="001874E3">
        <w:t xml:space="preserve">exploratory or confirmatory factor analysis to assess the structure; </w:t>
      </w:r>
    </w:p>
    <w:p w14:paraId="6946E6A8" w14:textId="70ABFD52" w:rsidR="0069553A" w:rsidRPr="001874E3" w:rsidRDefault="00410FA6" w:rsidP="001B23ED">
      <w:pPr>
        <w:pStyle w:val="ListParagraph"/>
        <w:ind w:left="1080"/>
      </w:pPr>
      <w:r w:rsidRPr="001874E3">
        <w:t>no evaluation of cor</w:t>
      </w:r>
      <w:r w:rsidR="008877C2" w:rsidRPr="001874E3">
        <w:t>relation of PTC</w:t>
      </w:r>
      <w:r w:rsidRPr="001874E3">
        <w:t>S</w:t>
      </w:r>
      <w:r w:rsidR="008877C2" w:rsidRPr="001874E3">
        <w:t xml:space="preserve"> scores </w:t>
      </w:r>
      <w:r w:rsidRPr="001874E3">
        <w:t xml:space="preserve">and </w:t>
      </w:r>
      <w:r w:rsidR="008877C2" w:rsidRPr="001874E3">
        <w:t>other patient</w:t>
      </w:r>
      <w:r w:rsidRPr="001874E3">
        <w:t>-reported</w:t>
      </w:r>
      <w:r w:rsidR="008877C2" w:rsidRPr="001874E3">
        <w:t xml:space="preserve"> outcom</w:t>
      </w:r>
      <w:r w:rsidRPr="001874E3">
        <w:t>es,</w:t>
      </w:r>
      <w:r w:rsidR="008877C2" w:rsidRPr="001874E3">
        <w:t xml:space="preserve"> such as treatment adherence </w:t>
      </w:r>
      <w:r w:rsidRPr="001874E3">
        <w:t>or QoL</w:t>
      </w:r>
      <w:r w:rsidR="008877C2" w:rsidRPr="001874E3">
        <w:t>.</w:t>
      </w:r>
      <w:bookmarkEnd w:id="26"/>
      <w:bookmarkEnd w:id="27"/>
      <w:r w:rsidR="0069553A" w:rsidRPr="001874E3">
        <w:t xml:space="preserve"> </w:t>
      </w:r>
    </w:p>
    <w:p w14:paraId="05B97D26" w14:textId="1777DE59" w:rsidR="00095EC4" w:rsidRPr="001874E3" w:rsidRDefault="00095EC4" w:rsidP="00B7760B">
      <w:pPr>
        <w:widowControl w:val="0"/>
        <w:numPr>
          <w:ilvl w:val="1"/>
          <w:numId w:val="1"/>
        </w:numPr>
        <w:spacing w:after="120"/>
        <w:ind w:left="720"/>
      </w:pPr>
      <w:r w:rsidRPr="001874E3">
        <w:t>All three trials were assessed as having a high risk of bias</w:t>
      </w:r>
      <w:r w:rsidR="001073F0" w:rsidRPr="001874E3">
        <w:t xml:space="preserve"> (</w:t>
      </w:r>
      <w:r w:rsidR="001073F0" w:rsidRPr="001874E3">
        <w:fldChar w:fldCharType="begin" w:fldLock="1"/>
      </w:r>
      <w:r w:rsidR="001073F0" w:rsidRPr="001874E3">
        <w:instrText xml:space="preserve"> REF _Ref196202634 \h  \* MERGEFORMAT </w:instrText>
      </w:r>
      <w:r w:rsidR="001073F0" w:rsidRPr="001874E3">
        <w:fldChar w:fldCharType="separate"/>
      </w:r>
      <w:r w:rsidR="001073F0" w:rsidRPr="001874E3">
        <w:t xml:space="preserve">Table </w:t>
      </w:r>
      <w:r w:rsidR="001073F0" w:rsidRPr="001874E3">
        <w:rPr>
          <w:noProof/>
        </w:rPr>
        <w:t>4</w:t>
      </w:r>
      <w:r w:rsidR="001073F0" w:rsidRPr="001874E3">
        <w:fldChar w:fldCharType="end"/>
      </w:r>
      <w:r w:rsidR="001073F0" w:rsidRPr="001874E3">
        <w:t>)</w:t>
      </w:r>
      <w:r w:rsidRPr="001874E3">
        <w:t>. MC2-01-C3 was an open-label study, with both patients and investigators unblinded, leading to a high risk of detection bias. MC2-01-C2 and MC2-01-C7 were investigator-blinded only, but the differences in formulation and packaging may have unblinded patients, potentially affecting the reliability of reported outcomes.</w:t>
      </w:r>
    </w:p>
    <w:p w14:paraId="417DE421" w14:textId="696F54C6" w:rsidR="008877C2" w:rsidRPr="00DF0E39" w:rsidRDefault="006E6AD8" w:rsidP="00B7760B">
      <w:pPr>
        <w:widowControl w:val="0"/>
        <w:numPr>
          <w:ilvl w:val="1"/>
          <w:numId w:val="1"/>
        </w:numPr>
        <w:spacing w:after="120"/>
        <w:ind w:left="720"/>
        <w:rPr>
          <w:i/>
          <w:iCs/>
        </w:rPr>
      </w:pPr>
      <w:r>
        <w:t>T</w:t>
      </w:r>
      <w:r w:rsidR="0069553A" w:rsidRPr="00944BAC">
        <w:t>he submission stated that the</w:t>
      </w:r>
      <w:r w:rsidR="00827DB9">
        <w:t>re was no established</w:t>
      </w:r>
      <w:r w:rsidR="0069553A" w:rsidRPr="00944BAC">
        <w:t xml:space="preserve"> minimally clinically important difference (MCID) for PGA</w:t>
      </w:r>
      <w:r w:rsidR="00C64C5B">
        <w:t xml:space="preserve"> and</w:t>
      </w:r>
      <w:r w:rsidR="00BF67C5">
        <w:t xml:space="preserve"> </w:t>
      </w:r>
      <w:proofErr w:type="spellStart"/>
      <w:r w:rsidR="0069553A" w:rsidRPr="00944BAC">
        <w:t>mPASI</w:t>
      </w:r>
      <w:proofErr w:type="spellEnd"/>
      <w:r w:rsidR="0069553A" w:rsidRPr="00944BAC">
        <w:t xml:space="preserve"> in psoriasis for </w:t>
      </w:r>
      <w:r w:rsidR="0DAE2396">
        <w:t xml:space="preserve">the </w:t>
      </w:r>
      <w:r w:rsidR="0069553A" w:rsidRPr="00944BAC">
        <w:t>comparative efficacy of two products.</w:t>
      </w:r>
      <w:r w:rsidR="0069553A">
        <w:t xml:space="preserve"> </w:t>
      </w:r>
      <w:r w:rsidR="00CE7504" w:rsidRPr="001874E3">
        <w:t xml:space="preserve">No </w:t>
      </w:r>
      <w:r w:rsidR="00F87434" w:rsidRPr="001874E3">
        <w:t xml:space="preserve">information was presented regarding </w:t>
      </w:r>
      <w:r w:rsidR="56B180BC" w:rsidRPr="001874E3">
        <w:t xml:space="preserve">the </w:t>
      </w:r>
      <w:r w:rsidR="00F87434" w:rsidRPr="001874E3">
        <w:t>MCID for</w:t>
      </w:r>
      <w:r w:rsidR="459B1B52" w:rsidRPr="001874E3">
        <w:t xml:space="preserve"> </w:t>
      </w:r>
      <w:r w:rsidR="00F87434" w:rsidRPr="001874E3">
        <w:t>PTCS.</w:t>
      </w:r>
    </w:p>
    <w:p w14:paraId="4A4FE085" w14:textId="1C5613CC" w:rsidR="00B60939" w:rsidRPr="00C9624D" w:rsidRDefault="00B60939" w:rsidP="00EC5836">
      <w:pPr>
        <w:pStyle w:val="4-SubsectionHeading"/>
      </w:pPr>
      <w:bookmarkStart w:id="28" w:name="_Toc22897641"/>
      <w:bookmarkStart w:id="29" w:name="_Toc198632857"/>
      <w:r w:rsidRPr="00C9624D">
        <w:t>Comparative effectiveness</w:t>
      </w:r>
      <w:bookmarkEnd w:id="28"/>
      <w:bookmarkEnd w:id="29"/>
    </w:p>
    <w:p w14:paraId="419B5176" w14:textId="53C51E8E" w:rsidR="009B18A8" w:rsidRPr="00E6140F" w:rsidRDefault="009B18A8" w:rsidP="009B18A8">
      <w:pPr>
        <w:pStyle w:val="3-BodyText"/>
        <w:numPr>
          <w:ilvl w:val="0"/>
          <w:numId w:val="0"/>
        </w:numPr>
        <w:ind w:left="720" w:hanging="720"/>
        <w:rPr>
          <w:b/>
          <w:u w:val="single"/>
        </w:rPr>
      </w:pPr>
      <w:bookmarkStart w:id="30" w:name="_Hlk195273993"/>
      <w:r w:rsidRPr="00E6140F">
        <w:rPr>
          <w:b/>
          <w:u w:val="single"/>
        </w:rPr>
        <w:t>CAL/BDP cream versus ointment</w:t>
      </w:r>
    </w:p>
    <w:p w14:paraId="61B85D8E" w14:textId="2D01DAD1" w:rsidR="008474EE" w:rsidRPr="00B7760B" w:rsidRDefault="008474EE" w:rsidP="00B7760B">
      <w:pPr>
        <w:widowControl w:val="0"/>
        <w:numPr>
          <w:ilvl w:val="1"/>
          <w:numId w:val="1"/>
        </w:numPr>
        <w:spacing w:after="120"/>
        <w:ind w:left="720"/>
      </w:pPr>
      <w:bookmarkStart w:id="31" w:name="_Ref198209771"/>
      <w:bookmarkEnd w:id="30"/>
      <w:r>
        <w:t>At Week 4</w:t>
      </w:r>
      <w:r w:rsidR="00915733">
        <w:t xml:space="preserve"> of the MC2-01-C3 study</w:t>
      </w:r>
      <w:r>
        <w:t>, the PGA treatment success</w:t>
      </w:r>
      <w:r w:rsidR="00D33560">
        <w:t xml:space="preserve"> rates</w:t>
      </w:r>
      <w:r>
        <w:t xml:space="preserve"> were comparable in both CAL/BDP cream and ointment groups (29.6% versus 26.7%).</w:t>
      </w:r>
      <w:r w:rsidR="00304732">
        <w:t xml:space="preserve"> </w:t>
      </w:r>
      <w:r w:rsidR="00304732" w:rsidRPr="00113AA3">
        <w:t>However, only 25.9% of the patients treated with CAL/BDP cream achieved</w:t>
      </w:r>
      <w:r w:rsidR="005C42D1" w:rsidRPr="00113AA3">
        <w:t xml:space="preserve"> a</w:t>
      </w:r>
      <w:r w:rsidR="00304732" w:rsidRPr="00113AA3">
        <w:t xml:space="preserve"> PGA 0 or 1 at Week 4, indicating </w:t>
      </w:r>
      <w:r w:rsidR="1978D97F" w:rsidRPr="00113AA3">
        <w:t xml:space="preserve">that </w:t>
      </w:r>
      <w:r w:rsidR="00304732" w:rsidRPr="00113AA3">
        <w:t>most patients failed to achieve an adequate treatment response based on the ACD consensus adapt</w:t>
      </w:r>
      <w:r w:rsidR="007564C5" w:rsidRPr="00113AA3">
        <w:t>at</w:t>
      </w:r>
      <w:r w:rsidR="00304732" w:rsidRPr="00113AA3">
        <w:t>ion. Similarly, only 26.7% of the patients treated with CAL/BDP ointment achieved PGA 0 or 1 at Week 4.</w:t>
      </w:r>
      <w:bookmarkEnd w:id="31"/>
    </w:p>
    <w:p w14:paraId="32FD2C4D" w14:textId="14E54431" w:rsidR="008474EE" w:rsidRDefault="008474EE" w:rsidP="00B7760B">
      <w:pPr>
        <w:widowControl w:val="0"/>
        <w:numPr>
          <w:ilvl w:val="1"/>
          <w:numId w:val="1"/>
        </w:numPr>
        <w:spacing w:after="120"/>
        <w:ind w:left="720"/>
        <w:rPr>
          <w:i/>
          <w:iCs/>
        </w:rPr>
      </w:pPr>
      <w:bookmarkStart w:id="32" w:name="_Ref198209752"/>
      <w:r w:rsidRPr="008474EE">
        <w:t xml:space="preserve">The submission stated that CAL/BDP cream had a statistically significant better treatment convenience compared to ointment, based on the </w:t>
      </w:r>
      <w:r w:rsidR="001C56B2">
        <w:t xml:space="preserve">PTCS </w:t>
      </w:r>
      <w:r w:rsidRPr="008474EE">
        <w:t>least square means (LSM) difference of 4.7 (95% CI: 1.3, 8.2), and higher mean scores for preferences regarding the greasiness of the two topical products</w:t>
      </w:r>
      <w:r>
        <w:t xml:space="preserve">. </w:t>
      </w:r>
      <w:r w:rsidR="002149EB" w:rsidRPr="00113AA3">
        <w:t>T</w:t>
      </w:r>
      <w:r w:rsidRPr="00113AA3">
        <w:t>he mean scores were similar on the attributes related to ease of use, moisturising effect, and overall satisfaction.</w:t>
      </w:r>
      <w:r w:rsidR="006E4FD3" w:rsidRPr="00113AA3">
        <w:t xml:space="preserve"> </w:t>
      </w:r>
      <w:r w:rsidR="002149EB" w:rsidRPr="00113AA3">
        <w:t>T</w:t>
      </w:r>
      <w:r w:rsidR="00693549" w:rsidRPr="00113AA3">
        <w:t>he PTCS results may be confounded by the lack of reporting on the site of psoriasis in the trials, as the site of psoriasis may impact the patient’s preference for either cream or ointment.</w:t>
      </w:r>
      <w:r w:rsidR="00607F78" w:rsidRPr="00113AA3">
        <w:t xml:space="preserve"> </w:t>
      </w:r>
      <w:r w:rsidR="00F83D95" w:rsidRPr="00113AA3">
        <w:t xml:space="preserve">In addition, </w:t>
      </w:r>
      <w:r w:rsidR="00B82D26" w:rsidRPr="00113AA3">
        <w:t xml:space="preserve">it was uncertain if the difference in </w:t>
      </w:r>
      <w:r w:rsidR="001E48B2" w:rsidRPr="00113AA3">
        <w:t xml:space="preserve">the </w:t>
      </w:r>
      <w:r w:rsidR="00B82D26" w:rsidRPr="00113AA3">
        <w:t xml:space="preserve">PTCS results </w:t>
      </w:r>
      <w:r w:rsidR="003D5D23" w:rsidRPr="00113AA3">
        <w:t>between the</w:t>
      </w:r>
      <w:r w:rsidR="003D5D23">
        <w:rPr>
          <w:i/>
          <w:iCs/>
        </w:rPr>
        <w:t xml:space="preserve"> </w:t>
      </w:r>
      <w:r w:rsidR="003D5D23" w:rsidRPr="00113AA3">
        <w:t xml:space="preserve">CAL/BDP cream and ointment group </w:t>
      </w:r>
      <w:r w:rsidR="00607F78" w:rsidRPr="00113AA3">
        <w:t>was clinically meaningful</w:t>
      </w:r>
      <w:r w:rsidR="009D2371" w:rsidRPr="00113AA3">
        <w:t xml:space="preserve">, and </w:t>
      </w:r>
      <w:r w:rsidR="00741F73" w:rsidRPr="00113AA3">
        <w:t xml:space="preserve">there are </w:t>
      </w:r>
      <w:r w:rsidR="009D2371" w:rsidRPr="00113AA3">
        <w:t xml:space="preserve">several limitations of the PTCS measure as discussed in paragraph </w:t>
      </w:r>
      <w:bookmarkEnd w:id="32"/>
      <w:r w:rsidR="009D2371" w:rsidRPr="00113AA3">
        <w:fldChar w:fldCharType="begin" w:fldLock="1"/>
      </w:r>
      <w:r w:rsidR="009D2371" w:rsidRPr="00113AA3">
        <w:instrText xml:space="preserve"> REF _Ref196145635 \r \h </w:instrText>
      </w:r>
      <w:r w:rsidR="00113AA3">
        <w:instrText xml:space="preserve"> \* MERGEFORMAT </w:instrText>
      </w:r>
      <w:r w:rsidR="009D2371" w:rsidRPr="00113AA3">
        <w:fldChar w:fldCharType="separate"/>
      </w:r>
      <w:r w:rsidR="007B29C6">
        <w:t>6.15</w:t>
      </w:r>
      <w:r w:rsidR="009D2371" w:rsidRPr="00113AA3">
        <w:fldChar w:fldCharType="end"/>
      </w:r>
      <w:r w:rsidR="009D2371" w:rsidRPr="00113AA3">
        <w:t>.</w:t>
      </w:r>
    </w:p>
    <w:p w14:paraId="68E28E69" w14:textId="77777777" w:rsidR="00B7760B" w:rsidRDefault="00B7760B">
      <w:pPr>
        <w:jc w:val="left"/>
        <w:rPr>
          <w:b/>
          <w:u w:val="single"/>
        </w:rPr>
      </w:pPr>
      <w:r>
        <w:rPr>
          <w:b/>
          <w:u w:val="single"/>
        </w:rPr>
        <w:br w:type="page"/>
      </w:r>
    </w:p>
    <w:p w14:paraId="5DC961C6" w14:textId="20794F43" w:rsidR="00304732" w:rsidRPr="00E6140F" w:rsidRDefault="00304732" w:rsidP="003D440C">
      <w:pPr>
        <w:spacing w:after="120"/>
        <w:rPr>
          <w:b/>
          <w:u w:val="single"/>
        </w:rPr>
      </w:pPr>
      <w:r w:rsidRPr="00E6140F">
        <w:rPr>
          <w:b/>
          <w:u w:val="single"/>
        </w:rPr>
        <w:lastRenderedPageBreak/>
        <w:t>CAL/BDP cream versus gel</w:t>
      </w:r>
    </w:p>
    <w:p w14:paraId="26D5385B" w14:textId="2CFD091F" w:rsidR="00A72FAB" w:rsidRPr="00B7760B" w:rsidRDefault="0082279D" w:rsidP="00B7760B">
      <w:pPr>
        <w:widowControl w:val="0"/>
        <w:numPr>
          <w:ilvl w:val="1"/>
          <w:numId w:val="1"/>
        </w:numPr>
        <w:spacing w:after="120"/>
        <w:ind w:left="720"/>
      </w:pPr>
      <w:bookmarkStart w:id="33" w:name="_Ref198209757"/>
      <w:r>
        <w:rPr>
          <w:lang w:val="en-US"/>
        </w:rPr>
        <w:t xml:space="preserve">In both </w:t>
      </w:r>
      <w:r w:rsidRPr="51C65AC2">
        <w:rPr>
          <w:lang w:val="en-US"/>
        </w:rPr>
        <w:t>MC2-01-C2 and MC2-01-C7, t</w:t>
      </w:r>
      <w:r w:rsidR="000F410E">
        <w:rPr>
          <w:lang w:val="en-US"/>
        </w:rPr>
        <w:t xml:space="preserve">he </w:t>
      </w:r>
      <w:r w:rsidR="00F15EDB">
        <w:rPr>
          <w:lang w:val="en-US"/>
        </w:rPr>
        <w:t xml:space="preserve">intention-to-treat (ITT) </w:t>
      </w:r>
      <w:r w:rsidR="00F15EDB" w:rsidRPr="00B7760B">
        <w:t>population</w:t>
      </w:r>
      <w:r w:rsidR="00FD5F2E" w:rsidRPr="00B7760B">
        <w:t>, all randomised subjects,</w:t>
      </w:r>
      <w:r w:rsidR="00F15EDB" w:rsidRPr="00B7760B">
        <w:t xml:space="preserve"> was the primary analysis set for efficacy</w:t>
      </w:r>
      <w:r w:rsidR="00FD5F2E" w:rsidRPr="00B7760B">
        <w:t xml:space="preserve"> outcomes</w:t>
      </w:r>
      <w:r w:rsidR="00F15EDB" w:rsidRPr="00B7760B">
        <w:t xml:space="preserve"> </w:t>
      </w:r>
      <w:r w:rsidR="00D43479" w:rsidRPr="00B7760B">
        <w:t xml:space="preserve">for the analysis of superiority </w:t>
      </w:r>
      <w:r w:rsidR="00E30D8C" w:rsidRPr="00B7760B">
        <w:t>of CAL/BDP cream and gel</w:t>
      </w:r>
      <w:r w:rsidR="00125287" w:rsidRPr="00B7760B">
        <w:t xml:space="preserve"> versus the vehicle. </w:t>
      </w:r>
      <w:r w:rsidR="00FD5F2E" w:rsidRPr="00B7760B">
        <w:t xml:space="preserve">The per-protocol </w:t>
      </w:r>
      <w:r w:rsidR="00233D7C" w:rsidRPr="00B7760B">
        <w:t xml:space="preserve">(PP) </w:t>
      </w:r>
      <w:r w:rsidR="00FD5F2E" w:rsidRPr="00B7760B">
        <w:t xml:space="preserve">population, </w:t>
      </w:r>
      <w:r w:rsidR="007C4589" w:rsidRPr="00B7760B">
        <w:t xml:space="preserve">patients in </w:t>
      </w:r>
      <w:r w:rsidR="39DE9A5E" w:rsidRPr="00B7760B">
        <w:t xml:space="preserve">the </w:t>
      </w:r>
      <w:r w:rsidR="007C4589" w:rsidRPr="00B7760B">
        <w:t>ITT population who completed the trial without any major protocol violations, w</w:t>
      </w:r>
      <w:r w:rsidR="00E87531" w:rsidRPr="00B7760B">
        <w:t xml:space="preserve">as the primary </w:t>
      </w:r>
      <w:r w:rsidR="00127EAC" w:rsidRPr="00B7760B">
        <w:t>analysis</w:t>
      </w:r>
      <w:r w:rsidR="00E87531" w:rsidRPr="00B7760B">
        <w:t xml:space="preserve"> for the analysis of non-inferiority </w:t>
      </w:r>
      <w:r w:rsidR="001243AD" w:rsidRPr="00B7760B">
        <w:t>of CAL/BDP cream versus gel</w:t>
      </w:r>
      <w:r w:rsidR="002B0E6B" w:rsidRPr="00B7760B">
        <w:t xml:space="preserve"> in MC2-01-C2</w:t>
      </w:r>
      <w:r w:rsidR="001243AD" w:rsidRPr="00B7760B">
        <w:t xml:space="preserve">. </w:t>
      </w:r>
      <w:r w:rsidR="00233D7C" w:rsidRPr="00B7760B">
        <w:t xml:space="preserve">Using PP </w:t>
      </w:r>
      <w:r w:rsidR="00FA44CC" w:rsidRPr="00B7760B">
        <w:t>population for analysis may introduce selection bias and compromise randomisation, potentially overestimating treatment efficacy.</w:t>
      </w:r>
      <w:bookmarkEnd w:id="33"/>
    </w:p>
    <w:p w14:paraId="6F06BE05" w14:textId="4D9851B1" w:rsidR="0082279D" w:rsidRDefault="0082279D" w:rsidP="00B7760B">
      <w:pPr>
        <w:widowControl w:val="0"/>
        <w:numPr>
          <w:ilvl w:val="1"/>
          <w:numId w:val="1"/>
        </w:numPr>
        <w:spacing w:after="120"/>
        <w:ind w:left="720"/>
        <w:rPr>
          <w:lang w:val="en-US"/>
        </w:rPr>
      </w:pPr>
      <w:r w:rsidRPr="00B7760B">
        <w:t xml:space="preserve">In both trials, </w:t>
      </w:r>
      <w:r w:rsidR="005D532B" w:rsidRPr="00B7760B">
        <w:t xml:space="preserve">a variety </w:t>
      </w:r>
      <w:r w:rsidR="006F2F5C" w:rsidRPr="00B7760B">
        <w:t xml:space="preserve">of methods were used to </w:t>
      </w:r>
      <w:r w:rsidR="601B2C31" w:rsidRPr="00B7760B">
        <w:t>handle</w:t>
      </w:r>
      <w:r w:rsidR="006F2F5C" w:rsidRPr="00B7760B">
        <w:t xml:space="preserve"> </w:t>
      </w:r>
      <w:r w:rsidR="2CB0F169" w:rsidRPr="00B7760B">
        <w:t>missing efficacy</w:t>
      </w:r>
      <w:r w:rsidR="006F2F5C" w:rsidRPr="00B7760B">
        <w:t xml:space="preserve"> </w:t>
      </w:r>
      <w:r w:rsidR="430DB7A1" w:rsidRPr="00B7760B">
        <w:t>data</w:t>
      </w:r>
      <w:r w:rsidR="008564E3" w:rsidRPr="00B7760B">
        <w:t xml:space="preserve"> for the ITT population</w:t>
      </w:r>
      <w:r w:rsidR="006F2F5C" w:rsidRPr="00B7760B">
        <w:t xml:space="preserve">, with multiple </w:t>
      </w:r>
      <w:r w:rsidR="008564E3" w:rsidRPr="00B7760B">
        <w:t>imputation</w:t>
      </w:r>
      <w:r w:rsidR="006F2F5C" w:rsidRPr="00B7760B">
        <w:t xml:space="preserve"> as the primary imputation</w:t>
      </w:r>
      <w:r w:rsidR="006F2F5C">
        <w:rPr>
          <w:lang w:val="en-US"/>
        </w:rPr>
        <w:t xml:space="preserve"> method. </w:t>
      </w:r>
      <w:r w:rsidR="008564E3">
        <w:rPr>
          <w:lang w:val="en-US"/>
        </w:rPr>
        <w:t>No imputation</w:t>
      </w:r>
      <w:r w:rsidR="00231580">
        <w:rPr>
          <w:lang w:val="en-US"/>
        </w:rPr>
        <w:t>s</w:t>
      </w:r>
      <w:r w:rsidR="008564E3">
        <w:rPr>
          <w:lang w:val="en-US"/>
        </w:rPr>
        <w:t xml:space="preserve"> were made for missing data in the </w:t>
      </w:r>
      <w:r w:rsidR="00F9101D">
        <w:rPr>
          <w:lang w:val="en-US"/>
        </w:rPr>
        <w:t>PP</w:t>
      </w:r>
      <w:r w:rsidR="008564E3">
        <w:rPr>
          <w:lang w:val="en-US"/>
        </w:rPr>
        <w:t xml:space="preserve"> population</w:t>
      </w:r>
      <w:r w:rsidR="00E265F2">
        <w:rPr>
          <w:lang w:val="en-US"/>
        </w:rPr>
        <w:t xml:space="preserve">, except </w:t>
      </w:r>
      <w:r w:rsidR="00DE08F3">
        <w:rPr>
          <w:lang w:val="en-US"/>
        </w:rPr>
        <w:t xml:space="preserve">for PTCS, </w:t>
      </w:r>
      <w:r w:rsidR="71F487BD" w:rsidRPr="5B1A1F58">
        <w:rPr>
          <w:lang w:val="en-US"/>
        </w:rPr>
        <w:t xml:space="preserve">where the </w:t>
      </w:r>
      <w:r w:rsidR="00686558" w:rsidRPr="00686558">
        <w:rPr>
          <w:lang w:val="en-US"/>
        </w:rPr>
        <w:t>last-observation-carried forward</w:t>
      </w:r>
      <w:r w:rsidR="00686558">
        <w:rPr>
          <w:lang w:val="en-US"/>
        </w:rPr>
        <w:t xml:space="preserve"> (</w:t>
      </w:r>
      <w:r w:rsidR="00E14E21">
        <w:rPr>
          <w:lang w:val="en-US"/>
        </w:rPr>
        <w:t>LOCF</w:t>
      </w:r>
      <w:r w:rsidR="00686558">
        <w:rPr>
          <w:lang w:val="en-US"/>
        </w:rPr>
        <w:t>)</w:t>
      </w:r>
      <w:r w:rsidR="00E14E21">
        <w:rPr>
          <w:lang w:val="en-US"/>
        </w:rPr>
        <w:t xml:space="preserve"> </w:t>
      </w:r>
      <w:r w:rsidR="00DE08F3">
        <w:rPr>
          <w:lang w:val="en-US"/>
        </w:rPr>
        <w:t>method was applied</w:t>
      </w:r>
      <w:r w:rsidR="005B76A8">
        <w:rPr>
          <w:lang w:val="en-US"/>
        </w:rPr>
        <w:t>.</w:t>
      </w:r>
      <w:r w:rsidR="00F64CE3">
        <w:rPr>
          <w:lang w:val="en-US"/>
        </w:rPr>
        <w:t xml:space="preserve"> </w:t>
      </w:r>
      <w:r w:rsidR="0028773F" w:rsidRPr="00113AA3">
        <w:rPr>
          <w:lang w:val="en-US"/>
        </w:rPr>
        <w:t>T</w:t>
      </w:r>
      <w:r w:rsidR="00E341EF" w:rsidRPr="00113AA3">
        <w:rPr>
          <w:lang w:val="en-US"/>
        </w:rPr>
        <w:t xml:space="preserve">he submission did not report the percentage of missing data, and as a result, the </w:t>
      </w:r>
      <w:r w:rsidR="2EFC0F29" w:rsidRPr="00113AA3">
        <w:rPr>
          <w:lang w:val="en-US"/>
        </w:rPr>
        <w:t>impact of</w:t>
      </w:r>
      <w:r w:rsidR="2D077E00" w:rsidRPr="00113AA3">
        <w:rPr>
          <w:lang w:val="en-US"/>
        </w:rPr>
        <w:t xml:space="preserve"> </w:t>
      </w:r>
      <w:r w:rsidR="4EA535FA" w:rsidRPr="00113AA3">
        <w:rPr>
          <w:lang w:val="en-US"/>
        </w:rPr>
        <w:t>the</w:t>
      </w:r>
      <w:r w:rsidR="00E341EF" w:rsidRPr="00113AA3">
        <w:rPr>
          <w:lang w:val="en-US"/>
        </w:rPr>
        <w:t xml:space="preserve"> potential bias remains unclear. </w:t>
      </w:r>
      <w:r w:rsidR="00B35316" w:rsidRPr="00113AA3">
        <w:rPr>
          <w:lang w:val="en-US"/>
        </w:rPr>
        <w:t xml:space="preserve">Inconsistency in handling missing data </w:t>
      </w:r>
      <w:r w:rsidR="00E6787B">
        <w:rPr>
          <w:lang w:val="en-US"/>
        </w:rPr>
        <w:t>was</w:t>
      </w:r>
      <w:r w:rsidR="00E6787B" w:rsidRPr="00113AA3">
        <w:rPr>
          <w:lang w:val="en-US"/>
        </w:rPr>
        <w:t xml:space="preserve"> </w:t>
      </w:r>
      <w:r w:rsidR="00B35316" w:rsidRPr="00113AA3">
        <w:rPr>
          <w:lang w:val="en-US"/>
        </w:rPr>
        <w:t>inappropriate and undermine</w:t>
      </w:r>
      <w:r w:rsidR="00E6787B">
        <w:rPr>
          <w:lang w:val="en-US"/>
        </w:rPr>
        <w:t>d</w:t>
      </w:r>
      <w:r w:rsidR="00B35316" w:rsidRPr="00113AA3">
        <w:rPr>
          <w:lang w:val="en-US"/>
        </w:rPr>
        <w:t xml:space="preserve"> comparability. Furthermore, LOCF assumes stability after dropout which may not reflect actual disease progression and</w:t>
      </w:r>
      <w:r w:rsidR="008C52D6" w:rsidRPr="00113AA3">
        <w:rPr>
          <w:lang w:val="en-US"/>
        </w:rPr>
        <w:t xml:space="preserve"> subsequently</w:t>
      </w:r>
      <w:r w:rsidR="00B35316" w:rsidRPr="00113AA3">
        <w:rPr>
          <w:lang w:val="en-US"/>
        </w:rPr>
        <w:t xml:space="preserve"> bias the results.</w:t>
      </w:r>
    </w:p>
    <w:p w14:paraId="2F2A738E" w14:textId="3E3EDC1C" w:rsidR="00693549" w:rsidRPr="00693549" w:rsidRDefault="003D440C" w:rsidP="00433FE0">
      <w:pPr>
        <w:spacing w:after="240"/>
        <w:rPr>
          <w:b/>
          <w:bCs/>
          <w:snapToGrid w:val="0"/>
        </w:rPr>
      </w:pPr>
      <w:r w:rsidRPr="00693549">
        <w:rPr>
          <w:b/>
        </w:rPr>
        <w:t>Physician’s Global Assessment (PGA) of Psoriasis Severity</w:t>
      </w:r>
    </w:p>
    <w:p w14:paraId="4102C1D2" w14:textId="2EAB001A" w:rsidR="00931059" w:rsidRPr="00931059" w:rsidRDefault="00931059" w:rsidP="00B7760B">
      <w:pPr>
        <w:widowControl w:val="0"/>
        <w:numPr>
          <w:ilvl w:val="1"/>
          <w:numId w:val="1"/>
        </w:numPr>
        <w:spacing w:after="120"/>
        <w:ind w:left="720"/>
      </w:pPr>
      <w:r w:rsidRPr="009B7322">
        <w:rPr>
          <w:lang w:val="en-US"/>
        </w:rPr>
        <w:t>The results</w:t>
      </w:r>
      <w:r w:rsidRPr="00931059">
        <w:rPr>
          <w:lang w:val="en-US"/>
        </w:rPr>
        <w:t xml:space="preserve"> on PGA success rate in MC2-01-C2 </w:t>
      </w:r>
      <w:r w:rsidR="008C52D6">
        <w:rPr>
          <w:lang w:val="en-US"/>
        </w:rPr>
        <w:t>are</w:t>
      </w:r>
      <w:r w:rsidR="008C52D6" w:rsidRPr="00931059">
        <w:rPr>
          <w:lang w:val="en-US"/>
        </w:rPr>
        <w:t xml:space="preserve"> </w:t>
      </w:r>
      <w:r w:rsidRPr="00931059">
        <w:rPr>
          <w:lang w:val="en-US"/>
        </w:rPr>
        <w:t xml:space="preserve">presented in </w:t>
      </w:r>
      <w:r w:rsidRPr="00931059">
        <w:rPr>
          <w:lang w:val="en-US"/>
        </w:rPr>
        <w:fldChar w:fldCharType="begin" w:fldLock="1"/>
      </w:r>
      <w:r w:rsidRPr="00931059">
        <w:rPr>
          <w:lang w:val="en-US"/>
        </w:rPr>
        <w:instrText xml:space="preserve"> REF _Ref195269952 \h  \* MERGEFORMAT </w:instrText>
      </w:r>
      <w:r w:rsidRPr="00931059">
        <w:rPr>
          <w:lang w:val="en-US"/>
        </w:rPr>
      </w:r>
      <w:r w:rsidRPr="00931059">
        <w:rPr>
          <w:lang w:val="en-US"/>
        </w:rPr>
        <w:fldChar w:fldCharType="separate"/>
      </w:r>
      <w:r w:rsidRPr="00931059">
        <w:t xml:space="preserve">Table </w:t>
      </w:r>
      <w:r w:rsidRPr="00931059">
        <w:rPr>
          <w:noProof/>
        </w:rPr>
        <w:t>5</w:t>
      </w:r>
      <w:r w:rsidRPr="00931059">
        <w:rPr>
          <w:lang w:val="en-US"/>
        </w:rPr>
        <w:fldChar w:fldCharType="end"/>
      </w:r>
      <w:r w:rsidR="00693549" w:rsidRPr="00A72FAB">
        <w:rPr>
          <w:lang w:val="en-US"/>
        </w:rPr>
        <w:t>.</w:t>
      </w:r>
    </w:p>
    <w:p w14:paraId="4E36E4BA" w14:textId="40880108" w:rsidR="00931059" w:rsidRDefault="00931059" w:rsidP="00931059">
      <w:pPr>
        <w:pStyle w:val="Caption"/>
      </w:pPr>
      <w:bookmarkStart w:id="34" w:name="_Ref195269952"/>
      <w:r>
        <w:t xml:space="preserve">Table </w:t>
      </w:r>
      <w:r w:rsidR="001B5200">
        <w:fldChar w:fldCharType="begin" w:fldLock="1"/>
      </w:r>
      <w:r w:rsidR="001B5200">
        <w:instrText xml:space="preserve"> SEQ Table \* ARABIC </w:instrText>
      </w:r>
      <w:r w:rsidR="001B5200">
        <w:fldChar w:fldCharType="separate"/>
      </w:r>
      <w:r w:rsidR="001B5200">
        <w:rPr>
          <w:noProof/>
        </w:rPr>
        <w:t>5</w:t>
      </w:r>
      <w:r w:rsidR="001B5200">
        <w:rPr>
          <w:noProof/>
        </w:rPr>
        <w:fldChar w:fldCharType="end"/>
      </w:r>
      <w:bookmarkEnd w:id="34"/>
      <w:r>
        <w:t xml:space="preserve">: </w:t>
      </w:r>
      <w:r w:rsidRPr="00931059">
        <w:t>PGA treatment success at Week 8 in MC2-01-C2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PGA treatment success at Week 8 in MC2-01-C2"/>
      </w:tblPr>
      <w:tblGrid>
        <w:gridCol w:w="4529"/>
        <w:gridCol w:w="1496"/>
        <w:gridCol w:w="1496"/>
        <w:gridCol w:w="1496"/>
      </w:tblGrid>
      <w:tr w:rsidR="00931059" w14:paraId="0689E918" w14:textId="77777777" w:rsidTr="002675DC">
        <w:tc>
          <w:tcPr>
            <w:tcW w:w="4529" w:type="dxa"/>
            <w:tcBorders>
              <w:top w:val="single" w:sz="4" w:space="0" w:color="auto"/>
              <w:left w:val="single" w:sz="4" w:space="0" w:color="auto"/>
              <w:bottom w:val="single" w:sz="4" w:space="0" w:color="auto"/>
              <w:right w:val="single" w:sz="4" w:space="0" w:color="auto"/>
            </w:tcBorders>
          </w:tcPr>
          <w:p w14:paraId="71725387" w14:textId="77777777" w:rsidR="00931059" w:rsidRPr="00EF129F" w:rsidRDefault="00931059" w:rsidP="002675DC">
            <w:pPr>
              <w:pStyle w:val="TableText0"/>
              <w:rPr>
                <w:noProof/>
              </w:rPr>
            </w:pPr>
          </w:p>
        </w:tc>
        <w:tc>
          <w:tcPr>
            <w:tcW w:w="1496" w:type="dxa"/>
            <w:tcBorders>
              <w:top w:val="single" w:sz="4" w:space="0" w:color="auto"/>
              <w:left w:val="single" w:sz="4" w:space="0" w:color="auto"/>
              <w:bottom w:val="single" w:sz="4" w:space="0" w:color="auto"/>
              <w:right w:val="single" w:sz="4" w:space="0" w:color="auto"/>
            </w:tcBorders>
            <w:vAlign w:val="center"/>
          </w:tcPr>
          <w:p w14:paraId="49FB568E" w14:textId="77777777" w:rsidR="00931059" w:rsidRPr="00EF129F" w:rsidRDefault="00931059" w:rsidP="002675DC">
            <w:pPr>
              <w:pStyle w:val="TableFigureHeading"/>
              <w:jc w:val="center"/>
              <w:rPr>
                <w:noProof/>
              </w:rPr>
            </w:pPr>
            <w:r>
              <w:rPr>
                <w:noProof/>
              </w:rPr>
              <w:t>CAL/BDP cream</w:t>
            </w:r>
          </w:p>
        </w:tc>
        <w:tc>
          <w:tcPr>
            <w:tcW w:w="1496" w:type="dxa"/>
            <w:tcBorders>
              <w:top w:val="single" w:sz="4" w:space="0" w:color="auto"/>
              <w:left w:val="single" w:sz="4" w:space="0" w:color="auto"/>
              <w:bottom w:val="single" w:sz="4" w:space="0" w:color="auto"/>
              <w:right w:val="single" w:sz="4" w:space="0" w:color="auto"/>
            </w:tcBorders>
            <w:vAlign w:val="center"/>
          </w:tcPr>
          <w:p w14:paraId="4A3470CF" w14:textId="77777777" w:rsidR="00931059" w:rsidRPr="00EF129F" w:rsidRDefault="00931059" w:rsidP="002675DC">
            <w:pPr>
              <w:pStyle w:val="TableFigureHeading"/>
              <w:jc w:val="center"/>
              <w:rPr>
                <w:noProof/>
              </w:rPr>
            </w:pPr>
            <w:r>
              <w:rPr>
                <w:noProof/>
              </w:rPr>
              <w:t>CAL/BDP gel</w:t>
            </w:r>
          </w:p>
        </w:tc>
        <w:tc>
          <w:tcPr>
            <w:tcW w:w="1496" w:type="dxa"/>
            <w:tcBorders>
              <w:top w:val="single" w:sz="4" w:space="0" w:color="auto"/>
              <w:left w:val="single" w:sz="4" w:space="0" w:color="auto"/>
              <w:bottom w:val="single" w:sz="4" w:space="0" w:color="auto"/>
              <w:right w:val="single" w:sz="4" w:space="0" w:color="auto"/>
            </w:tcBorders>
            <w:vAlign w:val="center"/>
          </w:tcPr>
          <w:p w14:paraId="58D88C44" w14:textId="77777777" w:rsidR="00931059" w:rsidRPr="00EF129F" w:rsidRDefault="00931059" w:rsidP="002675DC">
            <w:pPr>
              <w:pStyle w:val="TableFigureHeading"/>
              <w:jc w:val="center"/>
              <w:rPr>
                <w:noProof/>
              </w:rPr>
            </w:pPr>
            <w:r>
              <w:rPr>
                <w:noProof/>
              </w:rPr>
              <w:t>Vehicle</w:t>
            </w:r>
          </w:p>
        </w:tc>
      </w:tr>
      <w:tr w:rsidR="00931059" w14:paraId="255E3F4C"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73BFEFC5" w14:textId="77777777" w:rsidR="00931059" w:rsidRPr="00EF129F" w:rsidRDefault="00931059" w:rsidP="002675DC">
            <w:pPr>
              <w:pStyle w:val="TableText0"/>
              <w:rPr>
                <w:noProof/>
              </w:rPr>
            </w:pPr>
            <w:r w:rsidRPr="00C95077">
              <w:rPr>
                <w:b/>
                <w:bCs w:val="0"/>
              </w:rPr>
              <w:t>ITT Population (Multiple Imputation)</w:t>
            </w:r>
          </w:p>
        </w:tc>
      </w:tr>
      <w:tr w:rsidR="00931059" w14:paraId="72EAED98"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2BAEFB49" w14:textId="77777777" w:rsidR="00931059" w:rsidRPr="002F38BE" w:rsidRDefault="00931059" w:rsidP="002675DC">
            <w:pPr>
              <w:pStyle w:val="TableText0"/>
              <w:rPr>
                <w:b/>
                <w:bCs w:val="0"/>
                <w:noProof/>
              </w:rPr>
            </w:pPr>
            <w:r w:rsidRPr="002F38BE">
              <w:rPr>
                <w:b/>
                <w:bCs w:val="0"/>
                <w:noProof/>
              </w:rPr>
              <w:t>PGA Treatment Success Rate</w:t>
            </w:r>
            <w:r w:rsidRPr="002F38BE">
              <w:rPr>
                <w:b/>
                <w:bCs w:val="0"/>
                <w:noProof/>
                <w:vertAlign w:val="superscript"/>
              </w:rPr>
              <w:t>a</w:t>
            </w:r>
          </w:p>
        </w:tc>
      </w:tr>
      <w:tr w:rsidR="00931059" w14:paraId="4521A725"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39A9C466" w14:textId="77777777" w:rsidR="00931059" w:rsidRPr="00EF129F" w:rsidRDefault="00931059" w:rsidP="002675DC">
            <w:pPr>
              <w:pStyle w:val="TableText0"/>
              <w:ind w:left="170"/>
              <w:rPr>
                <w:noProof/>
              </w:rPr>
            </w:pPr>
            <w:r>
              <w:rPr>
                <w:noProof/>
              </w:rPr>
              <w:t>N</w:t>
            </w:r>
          </w:p>
        </w:tc>
        <w:tc>
          <w:tcPr>
            <w:tcW w:w="1496" w:type="dxa"/>
            <w:tcBorders>
              <w:top w:val="single" w:sz="4" w:space="0" w:color="auto"/>
              <w:left w:val="single" w:sz="4" w:space="0" w:color="auto"/>
              <w:bottom w:val="single" w:sz="4" w:space="0" w:color="auto"/>
              <w:right w:val="single" w:sz="4" w:space="0" w:color="auto"/>
            </w:tcBorders>
            <w:vAlign w:val="center"/>
          </w:tcPr>
          <w:p w14:paraId="40E05159" w14:textId="77777777" w:rsidR="00931059" w:rsidRPr="00EF129F" w:rsidRDefault="00931059" w:rsidP="002675DC">
            <w:pPr>
              <w:pStyle w:val="TableText0"/>
              <w:jc w:val="center"/>
              <w:rPr>
                <w:noProof/>
              </w:rPr>
            </w:pPr>
            <w:r>
              <w:rPr>
                <w:noProof/>
              </w:rPr>
              <w:t>342</w:t>
            </w:r>
          </w:p>
        </w:tc>
        <w:tc>
          <w:tcPr>
            <w:tcW w:w="1496" w:type="dxa"/>
            <w:tcBorders>
              <w:top w:val="single" w:sz="4" w:space="0" w:color="auto"/>
              <w:left w:val="single" w:sz="4" w:space="0" w:color="auto"/>
              <w:bottom w:val="single" w:sz="4" w:space="0" w:color="auto"/>
              <w:right w:val="single" w:sz="4" w:space="0" w:color="auto"/>
            </w:tcBorders>
            <w:vAlign w:val="center"/>
          </w:tcPr>
          <w:p w14:paraId="789DAA6E" w14:textId="77777777" w:rsidR="00931059" w:rsidRPr="00EF129F" w:rsidRDefault="00931059" w:rsidP="002675DC">
            <w:pPr>
              <w:pStyle w:val="TableText0"/>
              <w:jc w:val="center"/>
              <w:rPr>
                <w:noProof/>
              </w:rPr>
            </w:pPr>
            <w:r>
              <w:rPr>
                <w:noProof/>
              </w:rPr>
              <w:t>337</w:t>
            </w:r>
          </w:p>
        </w:tc>
        <w:tc>
          <w:tcPr>
            <w:tcW w:w="1496" w:type="dxa"/>
            <w:tcBorders>
              <w:top w:val="single" w:sz="4" w:space="0" w:color="auto"/>
              <w:left w:val="single" w:sz="4" w:space="0" w:color="auto"/>
              <w:bottom w:val="single" w:sz="4" w:space="0" w:color="auto"/>
              <w:right w:val="single" w:sz="4" w:space="0" w:color="auto"/>
            </w:tcBorders>
            <w:vAlign w:val="center"/>
          </w:tcPr>
          <w:p w14:paraId="53A03BC4" w14:textId="77777777" w:rsidR="00931059" w:rsidRPr="00EF129F" w:rsidRDefault="00931059" w:rsidP="002675DC">
            <w:pPr>
              <w:pStyle w:val="TableText0"/>
              <w:jc w:val="center"/>
              <w:rPr>
                <w:noProof/>
              </w:rPr>
            </w:pPr>
            <w:r>
              <w:rPr>
                <w:noProof/>
              </w:rPr>
              <w:t>115</w:t>
            </w:r>
          </w:p>
        </w:tc>
      </w:tr>
      <w:tr w:rsidR="00931059" w14:paraId="329B7850"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37160139" w14:textId="7F93CF22" w:rsidR="00931059" w:rsidRPr="00EF129F" w:rsidRDefault="00B903D0" w:rsidP="002675DC">
            <w:pPr>
              <w:pStyle w:val="TableText0"/>
              <w:ind w:left="170"/>
              <w:rPr>
                <w:noProof/>
              </w:rPr>
            </w:pPr>
            <w:r>
              <w:rPr>
                <w:noProof/>
              </w:rPr>
              <w:t>Percentage of patients with PGA treatment success (</w:t>
            </w:r>
            <w:r w:rsidR="00931059">
              <w:rPr>
                <w:noProof/>
              </w:rPr>
              <w:t>%</w:t>
            </w:r>
            <w:r>
              <w:rPr>
                <w:noProof/>
              </w:rPr>
              <w:t>)</w:t>
            </w:r>
          </w:p>
        </w:tc>
        <w:tc>
          <w:tcPr>
            <w:tcW w:w="1496" w:type="dxa"/>
            <w:tcBorders>
              <w:top w:val="single" w:sz="4" w:space="0" w:color="auto"/>
              <w:left w:val="single" w:sz="4" w:space="0" w:color="auto"/>
              <w:bottom w:val="single" w:sz="4" w:space="0" w:color="auto"/>
              <w:right w:val="single" w:sz="4" w:space="0" w:color="auto"/>
            </w:tcBorders>
            <w:vAlign w:val="center"/>
          </w:tcPr>
          <w:p w14:paraId="6239A5D2" w14:textId="77777777" w:rsidR="00931059" w:rsidRPr="00EF129F" w:rsidRDefault="00931059" w:rsidP="002675DC">
            <w:pPr>
              <w:pStyle w:val="TableText0"/>
              <w:jc w:val="center"/>
              <w:rPr>
                <w:noProof/>
              </w:rPr>
            </w:pPr>
            <w:r>
              <w:rPr>
                <w:noProof/>
              </w:rPr>
              <w:t>37.4</w:t>
            </w:r>
          </w:p>
        </w:tc>
        <w:tc>
          <w:tcPr>
            <w:tcW w:w="1496" w:type="dxa"/>
            <w:tcBorders>
              <w:top w:val="single" w:sz="4" w:space="0" w:color="auto"/>
              <w:left w:val="single" w:sz="4" w:space="0" w:color="auto"/>
              <w:bottom w:val="single" w:sz="4" w:space="0" w:color="auto"/>
              <w:right w:val="single" w:sz="4" w:space="0" w:color="auto"/>
            </w:tcBorders>
            <w:vAlign w:val="center"/>
          </w:tcPr>
          <w:p w14:paraId="589B5961" w14:textId="77777777" w:rsidR="00931059" w:rsidRPr="00EF129F" w:rsidRDefault="00931059" w:rsidP="002675DC">
            <w:pPr>
              <w:pStyle w:val="TableText0"/>
              <w:jc w:val="center"/>
              <w:rPr>
                <w:noProof/>
              </w:rPr>
            </w:pPr>
            <w:r>
              <w:rPr>
                <w:noProof/>
              </w:rPr>
              <w:t>22.8</w:t>
            </w:r>
          </w:p>
        </w:tc>
        <w:tc>
          <w:tcPr>
            <w:tcW w:w="1496" w:type="dxa"/>
            <w:tcBorders>
              <w:top w:val="single" w:sz="4" w:space="0" w:color="auto"/>
              <w:left w:val="single" w:sz="4" w:space="0" w:color="auto"/>
              <w:bottom w:val="single" w:sz="4" w:space="0" w:color="auto"/>
              <w:right w:val="single" w:sz="4" w:space="0" w:color="auto"/>
            </w:tcBorders>
            <w:vAlign w:val="center"/>
          </w:tcPr>
          <w:p w14:paraId="5AC0D440" w14:textId="77777777" w:rsidR="00931059" w:rsidRPr="00EF129F" w:rsidRDefault="00931059" w:rsidP="002675DC">
            <w:pPr>
              <w:pStyle w:val="TableText0"/>
              <w:jc w:val="center"/>
              <w:rPr>
                <w:noProof/>
              </w:rPr>
            </w:pPr>
            <w:r>
              <w:rPr>
                <w:noProof/>
              </w:rPr>
              <w:t>3.7</w:t>
            </w:r>
          </w:p>
        </w:tc>
      </w:tr>
      <w:tr w:rsidR="00931059" w14:paraId="2C52403C"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11635F78" w14:textId="77777777" w:rsidR="00931059" w:rsidRPr="00EF129F" w:rsidRDefault="00931059" w:rsidP="002675DC">
            <w:pPr>
              <w:pStyle w:val="TableText0"/>
              <w:rPr>
                <w:noProof/>
              </w:rPr>
            </w:pPr>
            <w:r>
              <w:rPr>
                <w:noProof/>
              </w:rPr>
              <w:t>Superiority Analysis, Logistic Regression</w:t>
            </w:r>
            <w:r w:rsidRPr="00814453">
              <w:rPr>
                <w:noProof/>
                <w:vertAlign w:val="superscript"/>
              </w:rPr>
              <w:t>b</w:t>
            </w:r>
          </w:p>
        </w:tc>
      </w:tr>
      <w:tr w:rsidR="00931059" w14:paraId="4FF7CCEE"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6A76F5C4" w14:textId="1DB7ABA9" w:rsidR="00931059" w:rsidRPr="00EF129F" w:rsidRDefault="00931059" w:rsidP="002675DC">
            <w:pPr>
              <w:pStyle w:val="TableText0"/>
              <w:rPr>
                <w:noProof/>
              </w:rPr>
            </w:pPr>
            <w:r>
              <w:rPr>
                <w:noProof/>
              </w:rPr>
              <w:t xml:space="preserve">Odds Ratio, CAL/BDP cream or gel vs. </w:t>
            </w:r>
            <w:r w:rsidR="00F16B03">
              <w:rPr>
                <w:noProof/>
              </w:rPr>
              <w:t>v</w:t>
            </w:r>
            <w:r>
              <w:rPr>
                <w:noProof/>
              </w:rPr>
              <w:t>ehicle</w:t>
            </w:r>
          </w:p>
        </w:tc>
        <w:tc>
          <w:tcPr>
            <w:tcW w:w="1496" w:type="dxa"/>
            <w:tcBorders>
              <w:top w:val="single" w:sz="4" w:space="0" w:color="auto"/>
              <w:left w:val="single" w:sz="4" w:space="0" w:color="auto"/>
              <w:bottom w:val="single" w:sz="4" w:space="0" w:color="auto"/>
              <w:right w:val="single" w:sz="4" w:space="0" w:color="auto"/>
            </w:tcBorders>
            <w:vAlign w:val="center"/>
          </w:tcPr>
          <w:p w14:paraId="70BF5457" w14:textId="77777777" w:rsidR="00931059" w:rsidRPr="0026657D" w:rsidRDefault="00931059" w:rsidP="002675DC">
            <w:pPr>
              <w:pStyle w:val="TableText0"/>
              <w:jc w:val="center"/>
              <w:rPr>
                <w:b/>
                <w:bCs w:val="0"/>
                <w:noProof/>
              </w:rPr>
            </w:pPr>
            <w:r w:rsidRPr="0026657D">
              <w:rPr>
                <w:b/>
                <w:bCs w:val="0"/>
                <w:noProof/>
              </w:rPr>
              <w:t>17.1</w:t>
            </w:r>
          </w:p>
        </w:tc>
        <w:tc>
          <w:tcPr>
            <w:tcW w:w="1496" w:type="dxa"/>
            <w:tcBorders>
              <w:top w:val="single" w:sz="4" w:space="0" w:color="auto"/>
              <w:left w:val="single" w:sz="4" w:space="0" w:color="auto"/>
              <w:bottom w:val="single" w:sz="4" w:space="0" w:color="auto"/>
              <w:right w:val="single" w:sz="4" w:space="0" w:color="auto"/>
            </w:tcBorders>
            <w:vAlign w:val="center"/>
          </w:tcPr>
          <w:p w14:paraId="77137C46" w14:textId="77777777" w:rsidR="00931059" w:rsidRPr="0026657D" w:rsidRDefault="00931059" w:rsidP="002675DC">
            <w:pPr>
              <w:pStyle w:val="TableText0"/>
              <w:jc w:val="center"/>
              <w:rPr>
                <w:b/>
                <w:bCs w:val="0"/>
                <w:noProof/>
              </w:rPr>
            </w:pPr>
            <w:r w:rsidRPr="0026657D">
              <w:rPr>
                <w:b/>
                <w:bCs w:val="0"/>
                <w:noProof/>
              </w:rPr>
              <w:t>8.0</w:t>
            </w:r>
          </w:p>
        </w:tc>
        <w:tc>
          <w:tcPr>
            <w:tcW w:w="1496" w:type="dxa"/>
            <w:tcBorders>
              <w:top w:val="single" w:sz="4" w:space="0" w:color="auto"/>
              <w:left w:val="single" w:sz="4" w:space="0" w:color="auto"/>
              <w:bottom w:val="single" w:sz="4" w:space="0" w:color="auto"/>
              <w:right w:val="single" w:sz="4" w:space="0" w:color="auto"/>
            </w:tcBorders>
            <w:vAlign w:val="center"/>
          </w:tcPr>
          <w:p w14:paraId="41936E35" w14:textId="77777777" w:rsidR="00931059" w:rsidRPr="00EF129F" w:rsidRDefault="00931059" w:rsidP="002675DC">
            <w:pPr>
              <w:pStyle w:val="TableText0"/>
              <w:jc w:val="center"/>
              <w:rPr>
                <w:noProof/>
              </w:rPr>
            </w:pPr>
            <w:r>
              <w:rPr>
                <w:noProof/>
              </w:rPr>
              <w:t>-</w:t>
            </w:r>
          </w:p>
        </w:tc>
      </w:tr>
      <w:tr w:rsidR="00931059" w14:paraId="4B3B0D55"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707DB2F4" w14:textId="77777777" w:rsidR="00931059" w:rsidRPr="00EF129F" w:rsidRDefault="00931059" w:rsidP="002675DC">
            <w:pPr>
              <w:pStyle w:val="TableText0"/>
              <w:rPr>
                <w:noProof/>
              </w:rPr>
            </w:pPr>
            <w:r>
              <w:rPr>
                <w:noProof/>
              </w:rPr>
              <w:t>Odds Ratio 95% CI</w:t>
            </w:r>
          </w:p>
        </w:tc>
        <w:tc>
          <w:tcPr>
            <w:tcW w:w="1496" w:type="dxa"/>
            <w:tcBorders>
              <w:top w:val="single" w:sz="4" w:space="0" w:color="auto"/>
              <w:left w:val="single" w:sz="4" w:space="0" w:color="auto"/>
              <w:bottom w:val="single" w:sz="4" w:space="0" w:color="auto"/>
              <w:right w:val="single" w:sz="4" w:space="0" w:color="auto"/>
            </w:tcBorders>
            <w:vAlign w:val="center"/>
          </w:tcPr>
          <w:p w14:paraId="21473B72" w14:textId="77777777" w:rsidR="00931059" w:rsidRPr="0026657D" w:rsidRDefault="00931059" w:rsidP="002675DC">
            <w:pPr>
              <w:pStyle w:val="TableText0"/>
              <w:jc w:val="center"/>
              <w:rPr>
                <w:b/>
                <w:bCs w:val="0"/>
                <w:noProof/>
              </w:rPr>
            </w:pPr>
            <w:r w:rsidRPr="0026657D">
              <w:rPr>
                <w:b/>
                <w:bCs w:val="0"/>
                <w:noProof/>
              </w:rPr>
              <w:t>6.1, 47.8</w:t>
            </w:r>
          </w:p>
        </w:tc>
        <w:tc>
          <w:tcPr>
            <w:tcW w:w="1496" w:type="dxa"/>
            <w:tcBorders>
              <w:top w:val="single" w:sz="4" w:space="0" w:color="auto"/>
              <w:left w:val="single" w:sz="4" w:space="0" w:color="auto"/>
              <w:bottom w:val="single" w:sz="4" w:space="0" w:color="auto"/>
              <w:right w:val="single" w:sz="4" w:space="0" w:color="auto"/>
            </w:tcBorders>
            <w:vAlign w:val="center"/>
          </w:tcPr>
          <w:p w14:paraId="44C0412E" w14:textId="77777777" w:rsidR="00931059" w:rsidRPr="0026657D" w:rsidRDefault="00931059" w:rsidP="002675DC">
            <w:pPr>
              <w:pStyle w:val="TableText0"/>
              <w:jc w:val="center"/>
              <w:rPr>
                <w:b/>
                <w:bCs w:val="0"/>
                <w:noProof/>
              </w:rPr>
            </w:pPr>
            <w:r w:rsidRPr="0026657D">
              <w:rPr>
                <w:b/>
                <w:bCs w:val="0"/>
                <w:noProof/>
              </w:rPr>
              <w:t>2.8, 22.4</w:t>
            </w:r>
          </w:p>
        </w:tc>
        <w:tc>
          <w:tcPr>
            <w:tcW w:w="1496" w:type="dxa"/>
            <w:tcBorders>
              <w:top w:val="single" w:sz="4" w:space="0" w:color="auto"/>
              <w:left w:val="single" w:sz="4" w:space="0" w:color="auto"/>
              <w:bottom w:val="single" w:sz="4" w:space="0" w:color="auto"/>
              <w:right w:val="single" w:sz="4" w:space="0" w:color="auto"/>
            </w:tcBorders>
            <w:vAlign w:val="center"/>
          </w:tcPr>
          <w:p w14:paraId="1E916777" w14:textId="77777777" w:rsidR="00931059" w:rsidRPr="00EF129F" w:rsidRDefault="00931059" w:rsidP="002675DC">
            <w:pPr>
              <w:pStyle w:val="TableText0"/>
              <w:jc w:val="center"/>
              <w:rPr>
                <w:noProof/>
              </w:rPr>
            </w:pPr>
            <w:r>
              <w:rPr>
                <w:noProof/>
              </w:rPr>
              <w:t>-</w:t>
            </w:r>
          </w:p>
        </w:tc>
      </w:tr>
      <w:tr w:rsidR="00931059" w14:paraId="1C26FD99"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337B4C33" w14:textId="77777777" w:rsidR="00931059" w:rsidRPr="00C95077" w:rsidRDefault="00931059" w:rsidP="002675DC">
            <w:pPr>
              <w:pStyle w:val="TableText0"/>
              <w:rPr>
                <w:noProof/>
              </w:rPr>
            </w:pPr>
            <w:r w:rsidRPr="00C95077">
              <w:rPr>
                <w:b/>
                <w:noProof/>
              </w:rPr>
              <w:t>Per-protocol Population (Observed Cases)</w:t>
            </w:r>
          </w:p>
        </w:tc>
      </w:tr>
      <w:tr w:rsidR="00931059" w14:paraId="6782D0A9"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1EDB8B7C" w14:textId="77777777" w:rsidR="00931059" w:rsidRPr="002F38BE" w:rsidRDefault="00931059" w:rsidP="002675DC">
            <w:pPr>
              <w:pStyle w:val="TableText0"/>
              <w:rPr>
                <w:b/>
                <w:bCs w:val="0"/>
                <w:noProof/>
              </w:rPr>
            </w:pPr>
            <w:r w:rsidRPr="002F38BE">
              <w:rPr>
                <w:b/>
                <w:bCs w:val="0"/>
                <w:noProof/>
              </w:rPr>
              <w:t>PGA Treatment Success Rate</w:t>
            </w:r>
            <w:r w:rsidRPr="002F38BE">
              <w:rPr>
                <w:b/>
                <w:bCs w:val="0"/>
                <w:noProof/>
                <w:vertAlign w:val="superscript"/>
              </w:rPr>
              <w:t>a</w:t>
            </w:r>
          </w:p>
        </w:tc>
      </w:tr>
      <w:tr w:rsidR="00931059" w14:paraId="5FC4F6A5"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208BE193" w14:textId="77777777" w:rsidR="00931059" w:rsidRPr="00EF129F" w:rsidRDefault="00931059" w:rsidP="002675DC">
            <w:pPr>
              <w:pStyle w:val="TableText0"/>
              <w:ind w:left="170"/>
              <w:rPr>
                <w:noProof/>
              </w:rPr>
            </w:pPr>
            <w:r>
              <w:rPr>
                <w:noProof/>
              </w:rPr>
              <w:t>n/N (%)</w:t>
            </w:r>
          </w:p>
        </w:tc>
        <w:tc>
          <w:tcPr>
            <w:tcW w:w="1496" w:type="dxa"/>
            <w:tcBorders>
              <w:top w:val="single" w:sz="4" w:space="0" w:color="auto"/>
              <w:left w:val="single" w:sz="4" w:space="0" w:color="auto"/>
              <w:bottom w:val="single" w:sz="4" w:space="0" w:color="auto"/>
              <w:right w:val="single" w:sz="4" w:space="0" w:color="auto"/>
            </w:tcBorders>
            <w:vAlign w:val="center"/>
          </w:tcPr>
          <w:p w14:paraId="315999BF" w14:textId="77777777" w:rsidR="00931059" w:rsidRPr="00EF129F" w:rsidRDefault="00931059" w:rsidP="002675DC">
            <w:pPr>
              <w:pStyle w:val="TableText0"/>
              <w:jc w:val="center"/>
              <w:rPr>
                <w:noProof/>
              </w:rPr>
            </w:pPr>
            <w:r>
              <w:rPr>
                <w:noProof/>
              </w:rPr>
              <w:t>121/302 (40.1)</w:t>
            </w:r>
          </w:p>
        </w:tc>
        <w:tc>
          <w:tcPr>
            <w:tcW w:w="1496" w:type="dxa"/>
            <w:tcBorders>
              <w:top w:val="single" w:sz="4" w:space="0" w:color="auto"/>
              <w:left w:val="single" w:sz="4" w:space="0" w:color="auto"/>
              <w:bottom w:val="single" w:sz="4" w:space="0" w:color="auto"/>
              <w:right w:val="single" w:sz="4" w:space="0" w:color="auto"/>
            </w:tcBorders>
            <w:vAlign w:val="center"/>
          </w:tcPr>
          <w:p w14:paraId="556C09F4" w14:textId="77777777" w:rsidR="00931059" w:rsidRPr="00EF129F" w:rsidRDefault="00931059" w:rsidP="002675DC">
            <w:pPr>
              <w:pStyle w:val="TableText0"/>
              <w:jc w:val="center"/>
              <w:rPr>
                <w:noProof/>
              </w:rPr>
            </w:pPr>
            <w:r>
              <w:rPr>
                <w:noProof/>
              </w:rPr>
              <w:t>67/279 (24.0)</w:t>
            </w:r>
          </w:p>
        </w:tc>
        <w:tc>
          <w:tcPr>
            <w:tcW w:w="1496" w:type="dxa"/>
            <w:tcBorders>
              <w:top w:val="single" w:sz="4" w:space="0" w:color="auto"/>
              <w:left w:val="single" w:sz="4" w:space="0" w:color="auto"/>
              <w:bottom w:val="single" w:sz="4" w:space="0" w:color="auto"/>
              <w:right w:val="single" w:sz="4" w:space="0" w:color="auto"/>
            </w:tcBorders>
            <w:vAlign w:val="center"/>
          </w:tcPr>
          <w:p w14:paraId="2CC6C01D" w14:textId="43B3580F" w:rsidR="00931059" w:rsidRPr="00EF129F" w:rsidRDefault="00931059" w:rsidP="002675DC">
            <w:pPr>
              <w:pStyle w:val="TableText0"/>
              <w:jc w:val="center"/>
              <w:rPr>
                <w:noProof/>
              </w:rPr>
            </w:pPr>
            <w:r>
              <w:rPr>
                <w:noProof/>
              </w:rPr>
              <w:t>4/88 (4.5)</w:t>
            </w:r>
          </w:p>
        </w:tc>
      </w:tr>
      <w:tr w:rsidR="00931059" w14:paraId="64B3BD8B"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2236F72D" w14:textId="77777777" w:rsidR="00931059" w:rsidRPr="00EF129F" w:rsidRDefault="00931059" w:rsidP="002675DC">
            <w:pPr>
              <w:pStyle w:val="TableText0"/>
              <w:ind w:left="170"/>
              <w:rPr>
                <w:noProof/>
              </w:rPr>
            </w:pPr>
            <w:r>
              <w:rPr>
                <w:noProof/>
              </w:rPr>
              <w:t>95% CI</w:t>
            </w:r>
            <w:r w:rsidRPr="00814453">
              <w:rPr>
                <w:noProof/>
                <w:vertAlign w:val="superscript"/>
              </w:rPr>
              <w:t>c</w:t>
            </w:r>
          </w:p>
        </w:tc>
        <w:tc>
          <w:tcPr>
            <w:tcW w:w="1496" w:type="dxa"/>
            <w:tcBorders>
              <w:top w:val="single" w:sz="4" w:space="0" w:color="auto"/>
              <w:left w:val="single" w:sz="4" w:space="0" w:color="auto"/>
              <w:bottom w:val="single" w:sz="4" w:space="0" w:color="auto"/>
              <w:right w:val="single" w:sz="4" w:space="0" w:color="auto"/>
            </w:tcBorders>
            <w:vAlign w:val="center"/>
          </w:tcPr>
          <w:p w14:paraId="31B54E05" w14:textId="77777777" w:rsidR="00931059" w:rsidRPr="00EF129F" w:rsidRDefault="00931059" w:rsidP="002675DC">
            <w:pPr>
              <w:pStyle w:val="TableText0"/>
              <w:jc w:val="center"/>
              <w:rPr>
                <w:noProof/>
              </w:rPr>
            </w:pPr>
            <w:r>
              <w:rPr>
                <w:noProof/>
              </w:rPr>
              <w:t>34.5, 45.6</w:t>
            </w:r>
          </w:p>
        </w:tc>
        <w:tc>
          <w:tcPr>
            <w:tcW w:w="1496" w:type="dxa"/>
            <w:tcBorders>
              <w:top w:val="single" w:sz="4" w:space="0" w:color="auto"/>
              <w:left w:val="single" w:sz="4" w:space="0" w:color="auto"/>
              <w:bottom w:val="single" w:sz="4" w:space="0" w:color="auto"/>
              <w:right w:val="single" w:sz="4" w:space="0" w:color="auto"/>
            </w:tcBorders>
            <w:vAlign w:val="center"/>
          </w:tcPr>
          <w:p w14:paraId="137ED309" w14:textId="77777777" w:rsidR="00931059" w:rsidRPr="00EF129F" w:rsidRDefault="00931059" w:rsidP="002675DC">
            <w:pPr>
              <w:pStyle w:val="TableText0"/>
              <w:jc w:val="center"/>
              <w:rPr>
                <w:noProof/>
              </w:rPr>
            </w:pPr>
            <w:r>
              <w:rPr>
                <w:noProof/>
              </w:rPr>
              <w:t>19.0, 29.0</w:t>
            </w:r>
          </w:p>
        </w:tc>
        <w:tc>
          <w:tcPr>
            <w:tcW w:w="1496" w:type="dxa"/>
            <w:tcBorders>
              <w:top w:val="single" w:sz="4" w:space="0" w:color="auto"/>
              <w:left w:val="single" w:sz="4" w:space="0" w:color="auto"/>
              <w:bottom w:val="single" w:sz="4" w:space="0" w:color="auto"/>
              <w:right w:val="single" w:sz="4" w:space="0" w:color="auto"/>
            </w:tcBorders>
            <w:vAlign w:val="center"/>
          </w:tcPr>
          <w:p w14:paraId="0372C31C" w14:textId="77777777" w:rsidR="00931059" w:rsidRPr="00EF129F" w:rsidRDefault="00931059" w:rsidP="002675DC">
            <w:pPr>
              <w:pStyle w:val="TableText0"/>
              <w:jc w:val="center"/>
              <w:rPr>
                <w:noProof/>
              </w:rPr>
            </w:pPr>
            <w:r>
              <w:rPr>
                <w:noProof/>
              </w:rPr>
              <w:t>-</w:t>
            </w:r>
          </w:p>
        </w:tc>
      </w:tr>
      <w:tr w:rsidR="00931059" w14:paraId="42612FE6" w14:textId="77777777" w:rsidTr="002675DC">
        <w:tc>
          <w:tcPr>
            <w:tcW w:w="9017" w:type="dxa"/>
            <w:gridSpan w:val="4"/>
            <w:tcBorders>
              <w:top w:val="single" w:sz="4" w:space="0" w:color="auto"/>
              <w:left w:val="single" w:sz="4" w:space="0" w:color="auto"/>
              <w:bottom w:val="single" w:sz="4" w:space="0" w:color="auto"/>
              <w:right w:val="single" w:sz="4" w:space="0" w:color="auto"/>
            </w:tcBorders>
            <w:vAlign w:val="center"/>
          </w:tcPr>
          <w:p w14:paraId="5E7B7C6C" w14:textId="77777777" w:rsidR="00931059" w:rsidRPr="00EF129F" w:rsidRDefault="00931059" w:rsidP="002675DC">
            <w:pPr>
              <w:pStyle w:val="TableText0"/>
              <w:rPr>
                <w:noProof/>
              </w:rPr>
            </w:pPr>
            <w:r>
              <w:rPr>
                <w:noProof/>
              </w:rPr>
              <w:t>Non-inferiority Analysis</w:t>
            </w:r>
            <w:r w:rsidRPr="00814453">
              <w:rPr>
                <w:noProof/>
                <w:vertAlign w:val="superscript"/>
              </w:rPr>
              <w:t>d</w:t>
            </w:r>
          </w:p>
        </w:tc>
      </w:tr>
      <w:tr w:rsidR="00931059" w14:paraId="19DE5676"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25775D47" w14:textId="77777777" w:rsidR="00931059" w:rsidRPr="00EF129F" w:rsidRDefault="00931059" w:rsidP="002675DC">
            <w:pPr>
              <w:pStyle w:val="TableText0"/>
              <w:ind w:left="170"/>
              <w:rPr>
                <w:noProof/>
              </w:rPr>
            </w:pPr>
            <w:r>
              <w:rPr>
                <w:noProof/>
              </w:rPr>
              <w:t xml:space="preserve">Success Rate Difference, CAL/BDP cream versus gel </w:t>
            </w:r>
          </w:p>
        </w:tc>
        <w:tc>
          <w:tcPr>
            <w:tcW w:w="2992" w:type="dxa"/>
            <w:gridSpan w:val="2"/>
            <w:tcBorders>
              <w:top w:val="single" w:sz="4" w:space="0" w:color="auto"/>
              <w:left w:val="single" w:sz="4" w:space="0" w:color="auto"/>
              <w:bottom w:val="single" w:sz="4" w:space="0" w:color="auto"/>
              <w:right w:val="single" w:sz="4" w:space="0" w:color="auto"/>
            </w:tcBorders>
            <w:vAlign w:val="center"/>
          </w:tcPr>
          <w:p w14:paraId="6F4234A6" w14:textId="77777777" w:rsidR="00931059" w:rsidRPr="00EF129F" w:rsidRDefault="00931059" w:rsidP="002675DC">
            <w:pPr>
              <w:pStyle w:val="TableText0"/>
              <w:jc w:val="center"/>
              <w:rPr>
                <w:noProof/>
              </w:rPr>
            </w:pPr>
            <w:r>
              <w:rPr>
                <w:noProof/>
              </w:rPr>
              <w:t>16.1</w:t>
            </w:r>
          </w:p>
        </w:tc>
        <w:tc>
          <w:tcPr>
            <w:tcW w:w="1496" w:type="dxa"/>
            <w:tcBorders>
              <w:top w:val="single" w:sz="4" w:space="0" w:color="auto"/>
              <w:left w:val="single" w:sz="4" w:space="0" w:color="auto"/>
              <w:bottom w:val="single" w:sz="4" w:space="0" w:color="auto"/>
              <w:right w:val="single" w:sz="4" w:space="0" w:color="auto"/>
            </w:tcBorders>
            <w:vAlign w:val="center"/>
          </w:tcPr>
          <w:p w14:paraId="59EAA58F" w14:textId="77777777" w:rsidR="00931059" w:rsidRPr="00EF129F" w:rsidRDefault="00931059" w:rsidP="002675DC">
            <w:pPr>
              <w:pStyle w:val="TableText0"/>
              <w:jc w:val="center"/>
              <w:rPr>
                <w:noProof/>
              </w:rPr>
            </w:pPr>
            <w:r>
              <w:rPr>
                <w:noProof/>
              </w:rPr>
              <w:t>-</w:t>
            </w:r>
          </w:p>
        </w:tc>
      </w:tr>
      <w:tr w:rsidR="00931059" w14:paraId="56A7233C" w14:textId="77777777" w:rsidTr="002675DC">
        <w:tc>
          <w:tcPr>
            <w:tcW w:w="4529" w:type="dxa"/>
            <w:tcBorders>
              <w:top w:val="single" w:sz="4" w:space="0" w:color="auto"/>
              <w:left w:val="single" w:sz="4" w:space="0" w:color="auto"/>
              <w:bottom w:val="single" w:sz="4" w:space="0" w:color="auto"/>
              <w:right w:val="single" w:sz="4" w:space="0" w:color="auto"/>
            </w:tcBorders>
            <w:vAlign w:val="center"/>
          </w:tcPr>
          <w:p w14:paraId="01A7BBD9" w14:textId="77777777" w:rsidR="00931059" w:rsidRPr="00EF129F" w:rsidRDefault="00931059" w:rsidP="002675DC">
            <w:pPr>
              <w:pStyle w:val="TableText0"/>
              <w:ind w:left="170"/>
              <w:rPr>
                <w:noProof/>
              </w:rPr>
            </w:pPr>
            <w:r>
              <w:rPr>
                <w:noProof/>
              </w:rPr>
              <w:t>Success Rate Difference 95% CI</w:t>
            </w:r>
          </w:p>
        </w:tc>
        <w:tc>
          <w:tcPr>
            <w:tcW w:w="2992" w:type="dxa"/>
            <w:gridSpan w:val="2"/>
            <w:tcBorders>
              <w:top w:val="single" w:sz="4" w:space="0" w:color="auto"/>
              <w:left w:val="single" w:sz="4" w:space="0" w:color="auto"/>
              <w:bottom w:val="single" w:sz="4" w:space="0" w:color="auto"/>
              <w:right w:val="single" w:sz="4" w:space="0" w:color="auto"/>
            </w:tcBorders>
            <w:vAlign w:val="center"/>
          </w:tcPr>
          <w:p w14:paraId="1ADE122E" w14:textId="77777777" w:rsidR="00931059" w:rsidRPr="00EF129F" w:rsidRDefault="00931059" w:rsidP="002675DC">
            <w:pPr>
              <w:pStyle w:val="TableText0"/>
              <w:jc w:val="center"/>
              <w:rPr>
                <w:noProof/>
              </w:rPr>
            </w:pPr>
            <w:r>
              <w:rPr>
                <w:noProof/>
              </w:rPr>
              <w:t>8.6, 23.5</w:t>
            </w:r>
          </w:p>
        </w:tc>
        <w:tc>
          <w:tcPr>
            <w:tcW w:w="1496" w:type="dxa"/>
            <w:tcBorders>
              <w:top w:val="single" w:sz="4" w:space="0" w:color="auto"/>
              <w:left w:val="single" w:sz="4" w:space="0" w:color="auto"/>
              <w:bottom w:val="single" w:sz="4" w:space="0" w:color="auto"/>
              <w:right w:val="single" w:sz="4" w:space="0" w:color="auto"/>
            </w:tcBorders>
            <w:vAlign w:val="center"/>
          </w:tcPr>
          <w:p w14:paraId="546C37D7" w14:textId="77777777" w:rsidR="00931059" w:rsidRPr="00EF129F" w:rsidRDefault="00931059" w:rsidP="002675DC">
            <w:pPr>
              <w:pStyle w:val="TableText0"/>
              <w:jc w:val="center"/>
              <w:rPr>
                <w:noProof/>
              </w:rPr>
            </w:pPr>
            <w:r>
              <w:rPr>
                <w:noProof/>
              </w:rPr>
              <w:t>-</w:t>
            </w:r>
          </w:p>
        </w:tc>
      </w:tr>
    </w:tbl>
    <w:p w14:paraId="2D68F352" w14:textId="77777777" w:rsidR="00931059" w:rsidRDefault="00931059" w:rsidP="00931059">
      <w:pPr>
        <w:pStyle w:val="FooterTableFigure"/>
      </w:pPr>
      <w:r>
        <w:t>Source: Table 2-37, pp83-84 of the submission</w:t>
      </w:r>
    </w:p>
    <w:p w14:paraId="2E4B6143" w14:textId="3B2DAB48" w:rsidR="00931059" w:rsidRDefault="00931059" w:rsidP="00931059">
      <w:pPr>
        <w:pStyle w:val="FooterTableFigure"/>
      </w:pPr>
      <w:r>
        <w:t xml:space="preserve">CAL/BDP = calcipotriol with betamethasone dipropionate; CI = confidence interval; n = number of participants with event; N = total participants in group; PGA = </w:t>
      </w:r>
      <w:r w:rsidR="00D94DD0">
        <w:t>P</w:t>
      </w:r>
      <w:r>
        <w:t xml:space="preserve">hysician’s </w:t>
      </w:r>
      <w:r w:rsidR="004A78C0">
        <w:t>G</w:t>
      </w:r>
      <w:r>
        <w:t xml:space="preserve">lobal </w:t>
      </w:r>
      <w:r w:rsidR="004A78C0">
        <w:t>A</w:t>
      </w:r>
      <w:r>
        <w:t>ssessment; ITT = intent to treat;</w:t>
      </w:r>
      <w:r w:rsidRPr="00763207">
        <w:t xml:space="preserve"> </w:t>
      </w:r>
      <w:r>
        <w:t>vs = versus.</w:t>
      </w:r>
    </w:p>
    <w:p w14:paraId="1CDF2454" w14:textId="77777777" w:rsidR="00931059" w:rsidRDefault="00931059" w:rsidP="00931059">
      <w:pPr>
        <w:pStyle w:val="FooterTableFigure"/>
      </w:pPr>
      <w:r w:rsidRPr="00EB1FE0">
        <w:rPr>
          <w:vertAlign w:val="superscript"/>
        </w:rPr>
        <w:t>a</w:t>
      </w:r>
      <w:r>
        <w:t xml:space="preserve"> PGA success is defined as a minimum 2-point decrease from Baseline to Week 8 on the PGA of disease severity on the trunk and limbs.</w:t>
      </w:r>
    </w:p>
    <w:p w14:paraId="37816DF4" w14:textId="77777777" w:rsidR="00931059" w:rsidRDefault="00931059" w:rsidP="00931059">
      <w:pPr>
        <w:pStyle w:val="FooterTableFigure"/>
      </w:pPr>
      <w:r w:rsidRPr="00EB1FE0">
        <w:rPr>
          <w:vertAlign w:val="superscript"/>
        </w:rPr>
        <w:t>b</w:t>
      </w:r>
      <w:r>
        <w:t xml:space="preserve"> Logistic model includes treatment and baseline value of PGA (mild/moderate) as independent variables. Analysis site is not included in the model due to partial data separation.</w:t>
      </w:r>
    </w:p>
    <w:p w14:paraId="7B63EF65" w14:textId="77777777" w:rsidR="00931059" w:rsidRDefault="00931059" w:rsidP="00931059">
      <w:pPr>
        <w:pStyle w:val="FooterTableFigure"/>
      </w:pPr>
      <w:r w:rsidRPr="00EB1FE0">
        <w:rPr>
          <w:vertAlign w:val="superscript"/>
        </w:rPr>
        <w:t>c</w:t>
      </w:r>
      <w:r>
        <w:t xml:space="preserve"> 95% confidence interval estimated using normal approximation.</w:t>
      </w:r>
    </w:p>
    <w:p w14:paraId="43E3FA04" w14:textId="77777777" w:rsidR="00931059" w:rsidRDefault="00931059" w:rsidP="00931059">
      <w:pPr>
        <w:pStyle w:val="FooterTableFigure"/>
      </w:pPr>
      <w:r w:rsidRPr="00EB1FE0">
        <w:rPr>
          <w:vertAlign w:val="superscript"/>
        </w:rPr>
        <w:t>d</w:t>
      </w:r>
      <w:r>
        <w:t xml:space="preserve"> Non-inferiority margin used is 10% points.</w:t>
      </w:r>
    </w:p>
    <w:p w14:paraId="69004577" w14:textId="7F07468B" w:rsidR="00931059" w:rsidRPr="00931059" w:rsidRDefault="00931059" w:rsidP="00931059">
      <w:pPr>
        <w:pStyle w:val="FooterTableFigure"/>
      </w:pPr>
      <w:r w:rsidRPr="0026657D">
        <w:rPr>
          <w:b/>
          <w:bCs/>
        </w:rPr>
        <w:t>Bold</w:t>
      </w:r>
      <w:r w:rsidRPr="0026657D">
        <w:t xml:space="preserve"> indicates statistically significant results.</w:t>
      </w:r>
    </w:p>
    <w:p w14:paraId="5214F5A1" w14:textId="648F96E0" w:rsidR="00931059" w:rsidRPr="00931059" w:rsidRDefault="00931059" w:rsidP="00B7760B">
      <w:pPr>
        <w:widowControl w:val="0"/>
        <w:numPr>
          <w:ilvl w:val="1"/>
          <w:numId w:val="1"/>
        </w:numPr>
        <w:spacing w:after="120"/>
        <w:ind w:left="720"/>
        <w:rPr>
          <w:lang w:val="en-US"/>
        </w:rPr>
      </w:pPr>
      <w:r w:rsidRPr="00931059">
        <w:rPr>
          <w:lang w:val="en-US"/>
        </w:rPr>
        <w:t xml:space="preserve">At Week 8, the proportions of patients achieving PGA treatment success were 37.4% </w:t>
      </w:r>
      <w:r w:rsidRPr="00931059">
        <w:rPr>
          <w:lang w:val="en-US"/>
        </w:rPr>
        <w:lastRenderedPageBreak/>
        <w:t xml:space="preserve">for the CAL/BDP cream group, 22.8% in the CAL/BDP gel group, and 3.7% in the vehicle group. </w:t>
      </w:r>
      <w:r w:rsidR="00C41AC1">
        <w:rPr>
          <w:lang w:val="en-US"/>
        </w:rPr>
        <w:t xml:space="preserve">Both </w:t>
      </w:r>
      <w:r w:rsidRPr="00931059">
        <w:rPr>
          <w:lang w:val="en-US"/>
        </w:rPr>
        <w:t xml:space="preserve">CAL/BDP cream and CAL/BDP gel were statistically significantly more effective than the vehicle, with an odds ratio (OR) of 17.1 (95% CI: 6.1, 47.8) and OR of 8.0 (95% CI: 2.8, 22.4), respectively. </w:t>
      </w:r>
    </w:p>
    <w:p w14:paraId="2C162A63" w14:textId="00A5160A" w:rsidR="00931059" w:rsidRPr="00931059" w:rsidRDefault="00931059" w:rsidP="00B7760B">
      <w:pPr>
        <w:widowControl w:val="0"/>
        <w:numPr>
          <w:ilvl w:val="1"/>
          <w:numId w:val="1"/>
        </w:numPr>
        <w:spacing w:after="120"/>
        <w:ind w:left="720"/>
        <w:rPr>
          <w:lang w:val="en-US"/>
        </w:rPr>
      </w:pPr>
      <w:r w:rsidRPr="00931059">
        <w:rPr>
          <w:lang w:val="en-US"/>
        </w:rPr>
        <w:t xml:space="preserve">As superiority to vehicle was achieved for both CAL/BDP cream and CAL/BDP gel, the non-inferiority analysis comparing CAL/BDP cream to CAL/BDP gel was conducted using a non-inferiority margin of -10% points. Based on the </w:t>
      </w:r>
      <w:r w:rsidR="00CA3B29">
        <w:rPr>
          <w:lang w:val="en-US"/>
        </w:rPr>
        <w:t>PP</w:t>
      </w:r>
      <w:r w:rsidRPr="00931059">
        <w:rPr>
          <w:lang w:val="en-US"/>
        </w:rPr>
        <w:t xml:space="preserve"> population, the PGA treatment success was higher in the CAL/BDP cream group (40.1%) compared to CAL/BDP gel group (24.0%), with the difference in PGA treatment success rate between CAL/BDP cream and gel of 16.1 (95% CI: 8.6, 23.5)</w:t>
      </w:r>
      <w:r w:rsidR="00E2091D">
        <w:rPr>
          <w:lang w:val="en-US"/>
        </w:rPr>
        <w:t>, and non-inferiority was achieved.</w:t>
      </w:r>
      <w:r w:rsidRPr="00931059">
        <w:rPr>
          <w:lang w:val="en-US"/>
        </w:rPr>
        <w:t xml:space="preserve"> </w:t>
      </w:r>
    </w:p>
    <w:p w14:paraId="7F829F1D" w14:textId="290D37B2" w:rsidR="00FD4EFA" w:rsidRPr="00B7760B" w:rsidRDefault="00E2091D" w:rsidP="00B7760B">
      <w:pPr>
        <w:widowControl w:val="0"/>
        <w:numPr>
          <w:ilvl w:val="1"/>
          <w:numId w:val="1"/>
        </w:numPr>
        <w:spacing w:after="120"/>
        <w:ind w:left="720"/>
        <w:rPr>
          <w:lang w:val="en-US"/>
        </w:rPr>
      </w:pPr>
      <w:bookmarkStart w:id="35" w:name="_Ref196218991"/>
      <w:r w:rsidRPr="00E2091D">
        <w:rPr>
          <w:lang w:val="en-US"/>
        </w:rPr>
        <w:t xml:space="preserve">As the lower bound of the 95% CI was &gt;0, a </w:t>
      </w:r>
      <w:r w:rsidRPr="004230AE">
        <w:rPr>
          <w:lang w:val="en-US"/>
        </w:rPr>
        <w:t xml:space="preserve">statistically significantly higher efficacy of CAL/BDP cream compared with gel was </w:t>
      </w:r>
      <w:r w:rsidR="73672FB5" w:rsidRPr="004230AE">
        <w:rPr>
          <w:lang w:val="en-US"/>
        </w:rPr>
        <w:t>assumed</w:t>
      </w:r>
      <w:r w:rsidR="1D74409F" w:rsidRPr="004230AE">
        <w:rPr>
          <w:lang w:val="en-US"/>
        </w:rPr>
        <w:t>.</w:t>
      </w:r>
      <w:r w:rsidR="006F48EA" w:rsidRPr="00B7760B">
        <w:rPr>
          <w:lang w:val="en-US"/>
        </w:rPr>
        <w:t xml:space="preserve"> </w:t>
      </w:r>
      <w:r w:rsidR="005C3213" w:rsidRPr="00B7760B">
        <w:rPr>
          <w:lang w:val="en-US"/>
        </w:rPr>
        <w:t>T</w:t>
      </w:r>
      <w:r w:rsidR="00F320A5" w:rsidRPr="00B7760B">
        <w:rPr>
          <w:lang w:val="en-US"/>
        </w:rPr>
        <w:t>he approach of inferring superiority based on the lower bound of the 95% confidence interval being greater than zero was not appropriate, as superiority should be pre-specified and formally tested.</w:t>
      </w:r>
      <w:bookmarkEnd w:id="35"/>
    </w:p>
    <w:p w14:paraId="44F3E28A" w14:textId="6782C57F" w:rsidR="00931059" w:rsidRDefault="00931059" w:rsidP="00B7760B">
      <w:pPr>
        <w:widowControl w:val="0"/>
        <w:numPr>
          <w:ilvl w:val="1"/>
          <w:numId w:val="1"/>
        </w:numPr>
        <w:spacing w:after="120"/>
        <w:ind w:left="720"/>
      </w:pPr>
      <w:r w:rsidRPr="00B7760B">
        <w:rPr>
          <w:lang w:val="en-US"/>
        </w:rPr>
        <w:t>The</w:t>
      </w:r>
      <w:r w:rsidRPr="00931059">
        <w:t xml:space="preserve"> results on PGA success rate in MC2-01-C</w:t>
      </w:r>
      <w:r w:rsidR="000B6193">
        <w:t>7</w:t>
      </w:r>
      <w:r w:rsidRPr="00931059">
        <w:t xml:space="preserve"> </w:t>
      </w:r>
      <w:r w:rsidR="00276C2E">
        <w:t>are</w:t>
      </w:r>
      <w:r w:rsidR="00276C2E" w:rsidRPr="00931059">
        <w:t xml:space="preserve"> </w:t>
      </w:r>
      <w:r w:rsidRPr="00931059">
        <w:t xml:space="preserve">presented </w:t>
      </w:r>
      <w:r>
        <w:fldChar w:fldCharType="begin" w:fldLock="1"/>
      </w:r>
      <w:r>
        <w:instrText xml:space="preserve"> REF _Ref195270243 \h </w:instrText>
      </w:r>
      <w:r>
        <w:fldChar w:fldCharType="separate"/>
      </w:r>
      <w:r>
        <w:t xml:space="preserve">Table </w:t>
      </w:r>
      <w:r>
        <w:rPr>
          <w:noProof/>
        </w:rPr>
        <w:t>6</w:t>
      </w:r>
      <w:r>
        <w:fldChar w:fldCharType="end"/>
      </w:r>
      <w:r>
        <w:t>.</w:t>
      </w:r>
    </w:p>
    <w:p w14:paraId="0BE118EC" w14:textId="27992593" w:rsidR="00931059" w:rsidRDefault="00931059" w:rsidP="00931059">
      <w:pPr>
        <w:pStyle w:val="Caption"/>
      </w:pPr>
      <w:bookmarkStart w:id="36" w:name="_Ref195270243"/>
      <w:r>
        <w:t xml:space="preserve">Table </w:t>
      </w:r>
      <w:r w:rsidR="001B5200">
        <w:fldChar w:fldCharType="begin" w:fldLock="1"/>
      </w:r>
      <w:r w:rsidR="001B5200">
        <w:instrText xml:space="preserve"> SEQ Table \* ARABIC </w:instrText>
      </w:r>
      <w:r w:rsidR="001B5200">
        <w:fldChar w:fldCharType="separate"/>
      </w:r>
      <w:r w:rsidR="001B5200">
        <w:rPr>
          <w:noProof/>
        </w:rPr>
        <w:t>6</w:t>
      </w:r>
      <w:r w:rsidR="001B5200">
        <w:rPr>
          <w:noProof/>
        </w:rPr>
        <w:fldChar w:fldCharType="end"/>
      </w:r>
      <w:bookmarkEnd w:id="36"/>
      <w:r>
        <w:t xml:space="preserve">: </w:t>
      </w:r>
      <w:r w:rsidRPr="00931059">
        <w:t>PGA treatment success on the body at Week 8 in MC2-01-C7</w:t>
      </w:r>
    </w:p>
    <w:tbl>
      <w:tblPr>
        <w:tblStyle w:val="ASD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GA treatment success on the body at Week 8 in MC2-01-C7"/>
      </w:tblPr>
      <w:tblGrid>
        <w:gridCol w:w="4529"/>
        <w:gridCol w:w="1496"/>
        <w:gridCol w:w="1496"/>
        <w:gridCol w:w="1496"/>
      </w:tblGrid>
      <w:tr w:rsidR="00931059" w:rsidRPr="00C73605" w14:paraId="3C849DBC" w14:textId="77777777" w:rsidTr="002675DC">
        <w:tc>
          <w:tcPr>
            <w:tcW w:w="4529" w:type="dxa"/>
          </w:tcPr>
          <w:p w14:paraId="30C95FFA" w14:textId="77777777" w:rsidR="00931059" w:rsidRPr="00C73605" w:rsidRDefault="00931059" w:rsidP="002675DC">
            <w:pPr>
              <w:pStyle w:val="TableText0"/>
            </w:pPr>
          </w:p>
        </w:tc>
        <w:tc>
          <w:tcPr>
            <w:tcW w:w="1496" w:type="dxa"/>
            <w:vAlign w:val="center"/>
          </w:tcPr>
          <w:p w14:paraId="3873BEE8" w14:textId="3943431B" w:rsidR="00931059" w:rsidRPr="00C73605" w:rsidRDefault="00931059" w:rsidP="00DB764D">
            <w:pPr>
              <w:pStyle w:val="TableText0"/>
              <w:jc w:val="center"/>
            </w:pPr>
            <w:r>
              <w:rPr>
                <w:b/>
                <w:noProof/>
              </w:rPr>
              <w:t>CAL/BDP cream</w:t>
            </w:r>
          </w:p>
        </w:tc>
        <w:tc>
          <w:tcPr>
            <w:tcW w:w="1496" w:type="dxa"/>
            <w:vAlign w:val="center"/>
          </w:tcPr>
          <w:p w14:paraId="4B6F8FE4" w14:textId="64724051" w:rsidR="00931059" w:rsidRPr="00C73605" w:rsidRDefault="00931059" w:rsidP="00DB764D">
            <w:pPr>
              <w:pStyle w:val="TableText0"/>
              <w:jc w:val="center"/>
            </w:pPr>
            <w:r>
              <w:rPr>
                <w:b/>
                <w:noProof/>
              </w:rPr>
              <w:t>CAL/BDP gel</w:t>
            </w:r>
          </w:p>
        </w:tc>
        <w:tc>
          <w:tcPr>
            <w:tcW w:w="1496" w:type="dxa"/>
            <w:vAlign w:val="center"/>
          </w:tcPr>
          <w:p w14:paraId="11EFEDDB" w14:textId="5AE06CF0" w:rsidR="00931059" w:rsidRPr="00C73605" w:rsidRDefault="00931059" w:rsidP="00DB764D">
            <w:pPr>
              <w:pStyle w:val="TableText0"/>
              <w:jc w:val="center"/>
            </w:pPr>
            <w:r w:rsidRPr="00C73605">
              <w:rPr>
                <w:b/>
                <w:noProof/>
              </w:rPr>
              <w:t>Vehicle</w:t>
            </w:r>
          </w:p>
        </w:tc>
      </w:tr>
      <w:tr w:rsidR="00BA56A5" w:rsidRPr="00C73605" w14:paraId="5FD9E3BB" w14:textId="77777777" w:rsidTr="002675DC">
        <w:tc>
          <w:tcPr>
            <w:tcW w:w="9017" w:type="dxa"/>
            <w:gridSpan w:val="4"/>
            <w:vAlign w:val="center"/>
          </w:tcPr>
          <w:p w14:paraId="7ADBDDD3" w14:textId="6210B821" w:rsidR="00BA56A5" w:rsidRPr="00BA56A5" w:rsidRDefault="00F16B03" w:rsidP="002675DC">
            <w:pPr>
              <w:pStyle w:val="TableText0"/>
              <w:rPr>
                <w:b/>
                <w:bCs w:val="0"/>
              </w:rPr>
            </w:pPr>
            <w:r>
              <w:rPr>
                <w:b/>
                <w:bCs w:val="0"/>
              </w:rPr>
              <w:t>Full analysis set</w:t>
            </w:r>
            <w:r w:rsidRPr="00BA56A5">
              <w:rPr>
                <w:b/>
                <w:bCs w:val="0"/>
              </w:rPr>
              <w:t xml:space="preserve"> </w:t>
            </w:r>
            <w:r w:rsidR="00BA56A5" w:rsidRPr="00BA56A5">
              <w:rPr>
                <w:b/>
                <w:bCs w:val="0"/>
              </w:rPr>
              <w:t>Population (Multiple Imputation)</w:t>
            </w:r>
          </w:p>
        </w:tc>
      </w:tr>
      <w:tr w:rsidR="00931059" w:rsidRPr="00C73605" w14:paraId="1F3E9F61" w14:textId="77777777" w:rsidTr="002675DC">
        <w:tc>
          <w:tcPr>
            <w:tcW w:w="9017" w:type="dxa"/>
            <w:gridSpan w:val="4"/>
            <w:vAlign w:val="center"/>
          </w:tcPr>
          <w:p w14:paraId="46A41175" w14:textId="53EC3FAC" w:rsidR="00931059" w:rsidRPr="002F38BE" w:rsidRDefault="00931059" w:rsidP="002675DC">
            <w:pPr>
              <w:pStyle w:val="TableText0"/>
              <w:rPr>
                <w:b/>
              </w:rPr>
            </w:pPr>
            <w:r w:rsidRPr="002F38BE">
              <w:rPr>
                <w:b/>
              </w:rPr>
              <w:t xml:space="preserve">PGA </w:t>
            </w:r>
            <w:r w:rsidR="00BA56A5" w:rsidRPr="002F38BE">
              <w:rPr>
                <w:b/>
              </w:rPr>
              <w:t xml:space="preserve">Treatment </w:t>
            </w:r>
            <w:r w:rsidRPr="002F38BE">
              <w:rPr>
                <w:b/>
              </w:rPr>
              <w:t xml:space="preserve">Success </w:t>
            </w:r>
            <w:proofErr w:type="spellStart"/>
            <w:r w:rsidRPr="002F38BE">
              <w:rPr>
                <w:b/>
              </w:rPr>
              <w:t>Rate</w:t>
            </w:r>
            <w:r w:rsidRPr="002F38BE">
              <w:rPr>
                <w:b/>
                <w:vertAlign w:val="superscript"/>
              </w:rPr>
              <w:t>a</w:t>
            </w:r>
            <w:proofErr w:type="spellEnd"/>
          </w:p>
        </w:tc>
      </w:tr>
      <w:tr w:rsidR="00092EED" w:rsidRPr="00C73605" w14:paraId="0DC89DB6" w14:textId="77777777" w:rsidTr="002675DC">
        <w:tc>
          <w:tcPr>
            <w:tcW w:w="4529" w:type="dxa"/>
            <w:vAlign w:val="center"/>
          </w:tcPr>
          <w:p w14:paraId="43E478FC" w14:textId="6740679A" w:rsidR="00092EED" w:rsidRPr="00B903D0" w:rsidRDefault="00092EED" w:rsidP="002675DC">
            <w:pPr>
              <w:pStyle w:val="TableText0"/>
              <w:ind w:left="170"/>
            </w:pPr>
            <w:r>
              <w:t>N</w:t>
            </w:r>
          </w:p>
        </w:tc>
        <w:tc>
          <w:tcPr>
            <w:tcW w:w="1496" w:type="dxa"/>
            <w:vAlign w:val="center"/>
          </w:tcPr>
          <w:p w14:paraId="2F022F2B" w14:textId="64D49F50" w:rsidR="00092EED" w:rsidRPr="00C73605" w:rsidDel="00B903D0" w:rsidRDefault="00092EED" w:rsidP="002675DC">
            <w:pPr>
              <w:pStyle w:val="TableText0"/>
              <w:jc w:val="center"/>
              <w:rPr>
                <w:szCs w:val="20"/>
              </w:rPr>
            </w:pPr>
            <w:r>
              <w:rPr>
                <w:szCs w:val="20"/>
              </w:rPr>
              <w:t>213</w:t>
            </w:r>
          </w:p>
        </w:tc>
        <w:tc>
          <w:tcPr>
            <w:tcW w:w="1496" w:type="dxa"/>
            <w:vAlign w:val="center"/>
          </w:tcPr>
          <w:p w14:paraId="01D85360" w14:textId="12FE7400" w:rsidR="00092EED" w:rsidRPr="00C73605" w:rsidDel="00B903D0" w:rsidRDefault="00092EED" w:rsidP="002675DC">
            <w:pPr>
              <w:pStyle w:val="TableText0"/>
              <w:jc w:val="center"/>
              <w:rPr>
                <w:szCs w:val="20"/>
              </w:rPr>
            </w:pPr>
            <w:r>
              <w:rPr>
                <w:szCs w:val="20"/>
              </w:rPr>
              <w:t>209</w:t>
            </w:r>
          </w:p>
        </w:tc>
        <w:tc>
          <w:tcPr>
            <w:tcW w:w="1496" w:type="dxa"/>
            <w:vAlign w:val="center"/>
          </w:tcPr>
          <w:p w14:paraId="630339AD" w14:textId="233FF20A" w:rsidR="00092EED" w:rsidRPr="00C73605" w:rsidDel="00B903D0" w:rsidRDefault="00092EED" w:rsidP="002675DC">
            <w:pPr>
              <w:pStyle w:val="TableText0"/>
              <w:jc w:val="center"/>
              <w:rPr>
                <w:szCs w:val="20"/>
              </w:rPr>
            </w:pPr>
            <w:r>
              <w:rPr>
                <w:szCs w:val="20"/>
              </w:rPr>
              <w:t>68</w:t>
            </w:r>
          </w:p>
        </w:tc>
      </w:tr>
      <w:tr w:rsidR="00931059" w:rsidRPr="00C73605" w14:paraId="06D73775" w14:textId="77777777" w:rsidTr="002675DC">
        <w:tc>
          <w:tcPr>
            <w:tcW w:w="4529" w:type="dxa"/>
            <w:vAlign w:val="center"/>
          </w:tcPr>
          <w:p w14:paraId="407518F7" w14:textId="0D88394E" w:rsidR="00931059" w:rsidRPr="00C73605" w:rsidRDefault="00B903D0" w:rsidP="002675DC">
            <w:pPr>
              <w:pStyle w:val="TableText0"/>
              <w:ind w:left="170"/>
            </w:pPr>
            <w:r w:rsidRPr="00B903D0">
              <w:t>Percentage of patients with PGA treatment success (%)</w:t>
            </w:r>
          </w:p>
        </w:tc>
        <w:tc>
          <w:tcPr>
            <w:tcW w:w="1496" w:type="dxa"/>
            <w:vAlign w:val="center"/>
          </w:tcPr>
          <w:p w14:paraId="674B9591" w14:textId="64DD3233" w:rsidR="00931059" w:rsidRPr="00C73605" w:rsidRDefault="00931059" w:rsidP="002675DC">
            <w:pPr>
              <w:pStyle w:val="TableText0"/>
              <w:jc w:val="center"/>
              <w:rPr>
                <w:szCs w:val="20"/>
              </w:rPr>
            </w:pPr>
            <w:r w:rsidRPr="00C73605">
              <w:rPr>
                <w:szCs w:val="20"/>
              </w:rPr>
              <w:t>50.7</w:t>
            </w:r>
          </w:p>
        </w:tc>
        <w:tc>
          <w:tcPr>
            <w:tcW w:w="1496" w:type="dxa"/>
            <w:vAlign w:val="center"/>
          </w:tcPr>
          <w:p w14:paraId="59B5D3B6" w14:textId="3121F0AA" w:rsidR="00931059" w:rsidRPr="00C73605" w:rsidRDefault="00931059" w:rsidP="002675DC">
            <w:pPr>
              <w:pStyle w:val="TableText0"/>
              <w:jc w:val="center"/>
              <w:rPr>
                <w:szCs w:val="20"/>
              </w:rPr>
            </w:pPr>
            <w:r w:rsidRPr="00C73605">
              <w:rPr>
                <w:szCs w:val="20"/>
              </w:rPr>
              <w:t>42.7</w:t>
            </w:r>
          </w:p>
        </w:tc>
        <w:tc>
          <w:tcPr>
            <w:tcW w:w="1496" w:type="dxa"/>
            <w:vAlign w:val="center"/>
          </w:tcPr>
          <w:p w14:paraId="2F87C682" w14:textId="5144D52E" w:rsidR="00931059" w:rsidRPr="00C73605" w:rsidRDefault="00931059" w:rsidP="002675DC">
            <w:pPr>
              <w:pStyle w:val="TableText0"/>
              <w:jc w:val="center"/>
              <w:rPr>
                <w:szCs w:val="20"/>
              </w:rPr>
            </w:pPr>
            <w:r w:rsidRPr="00C73605">
              <w:rPr>
                <w:szCs w:val="20"/>
              </w:rPr>
              <w:t>6.1</w:t>
            </w:r>
          </w:p>
        </w:tc>
      </w:tr>
      <w:tr w:rsidR="00931059" w:rsidRPr="00C73605" w14:paraId="5889053E" w14:textId="77777777" w:rsidTr="002675DC">
        <w:tc>
          <w:tcPr>
            <w:tcW w:w="4529" w:type="dxa"/>
            <w:vAlign w:val="center"/>
          </w:tcPr>
          <w:p w14:paraId="097728E6" w14:textId="77777777" w:rsidR="00931059" w:rsidRPr="00C73605" w:rsidRDefault="00931059" w:rsidP="002675DC">
            <w:pPr>
              <w:pStyle w:val="TableText0"/>
              <w:ind w:left="170"/>
            </w:pPr>
            <w:r w:rsidRPr="00C73605">
              <w:t>95% CI</w:t>
            </w:r>
          </w:p>
        </w:tc>
        <w:tc>
          <w:tcPr>
            <w:tcW w:w="1496" w:type="dxa"/>
            <w:vAlign w:val="center"/>
          </w:tcPr>
          <w:p w14:paraId="3B68A52B" w14:textId="77777777" w:rsidR="00931059" w:rsidRPr="00C73605" w:rsidRDefault="00931059" w:rsidP="002675DC">
            <w:pPr>
              <w:pStyle w:val="TableText0"/>
              <w:jc w:val="center"/>
              <w:rPr>
                <w:szCs w:val="20"/>
              </w:rPr>
            </w:pPr>
            <w:r w:rsidRPr="00C73605">
              <w:rPr>
                <w:szCs w:val="20"/>
              </w:rPr>
              <w:t>0.4</w:t>
            </w:r>
            <w:r>
              <w:rPr>
                <w:szCs w:val="20"/>
              </w:rPr>
              <w:t>4</w:t>
            </w:r>
            <w:r w:rsidRPr="00C73605">
              <w:rPr>
                <w:szCs w:val="20"/>
              </w:rPr>
              <w:t>, 0.5</w:t>
            </w:r>
            <w:r>
              <w:rPr>
                <w:szCs w:val="20"/>
              </w:rPr>
              <w:t>8</w:t>
            </w:r>
          </w:p>
        </w:tc>
        <w:tc>
          <w:tcPr>
            <w:tcW w:w="1496" w:type="dxa"/>
            <w:vAlign w:val="center"/>
          </w:tcPr>
          <w:p w14:paraId="38954381" w14:textId="77777777" w:rsidR="00931059" w:rsidRPr="00C73605" w:rsidRDefault="00931059" w:rsidP="002675DC">
            <w:pPr>
              <w:pStyle w:val="TableText0"/>
              <w:jc w:val="center"/>
              <w:rPr>
                <w:szCs w:val="20"/>
              </w:rPr>
            </w:pPr>
            <w:r w:rsidRPr="00C73605">
              <w:rPr>
                <w:szCs w:val="20"/>
              </w:rPr>
              <w:t>0.36, 0.</w:t>
            </w:r>
            <w:r>
              <w:rPr>
                <w:szCs w:val="20"/>
              </w:rPr>
              <w:t>50</w:t>
            </w:r>
          </w:p>
        </w:tc>
        <w:tc>
          <w:tcPr>
            <w:tcW w:w="1496" w:type="dxa"/>
            <w:vAlign w:val="center"/>
          </w:tcPr>
          <w:p w14:paraId="514B8062" w14:textId="77777777" w:rsidR="00931059" w:rsidRPr="00C73605" w:rsidRDefault="00931059" w:rsidP="002675DC">
            <w:pPr>
              <w:pStyle w:val="TableText0"/>
              <w:jc w:val="center"/>
              <w:rPr>
                <w:szCs w:val="20"/>
              </w:rPr>
            </w:pPr>
            <w:r w:rsidRPr="00C73605">
              <w:rPr>
                <w:szCs w:val="20"/>
              </w:rPr>
              <w:t>-0.002, 0.12</w:t>
            </w:r>
          </w:p>
        </w:tc>
      </w:tr>
      <w:tr w:rsidR="00931059" w:rsidRPr="00C73605" w14:paraId="3C980BEF" w14:textId="77777777" w:rsidTr="002675DC">
        <w:tc>
          <w:tcPr>
            <w:tcW w:w="4529" w:type="dxa"/>
            <w:vAlign w:val="center"/>
          </w:tcPr>
          <w:p w14:paraId="1B9B0CF8" w14:textId="7B6DC4B9" w:rsidR="00931059" w:rsidRPr="00C73605" w:rsidRDefault="00931059" w:rsidP="002675DC">
            <w:pPr>
              <w:pStyle w:val="TableText0"/>
              <w:ind w:left="170"/>
            </w:pPr>
            <w:r w:rsidRPr="00C73605">
              <w:t>Unadjusted Rate Difference vs</w:t>
            </w:r>
            <w:r w:rsidR="007E63B9">
              <w:t>.</w:t>
            </w:r>
            <w:r w:rsidRPr="00C73605">
              <w:t xml:space="preserve"> </w:t>
            </w:r>
            <w:r w:rsidR="00F16B03">
              <w:t>v</w:t>
            </w:r>
            <w:r w:rsidRPr="00C73605">
              <w:t>ehicle</w:t>
            </w:r>
          </w:p>
        </w:tc>
        <w:tc>
          <w:tcPr>
            <w:tcW w:w="1496" w:type="dxa"/>
            <w:vAlign w:val="center"/>
          </w:tcPr>
          <w:p w14:paraId="264D39B9" w14:textId="77777777" w:rsidR="00931059" w:rsidRPr="0026657D" w:rsidRDefault="00931059" w:rsidP="002675DC">
            <w:pPr>
              <w:pStyle w:val="TableText0"/>
              <w:jc w:val="center"/>
              <w:rPr>
                <w:b/>
                <w:bCs w:val="0"/>
                <w:szCs w:val="20"/>
              </w:rPr>
            </w:pPr>
            <w:r w:rsidRPr="0026657D">
              <w:rPr>
                <w:b/>
                <w:bCs w:val="0"/>
                <w:szCs w:val="20"/>
              </w:rPr>
              <w:t>0.4</w:t>
            </w:r>
            <w:r>
              <w:rPr>
                <w:b/>
                <w:bCs w:val="0"/>
                <w:szCs w:val="20"/>
              </w:rPr>
              <w:t>5</w:t>
            </w:r>
          </w:p>
        </w:tc>
        <w:tc>
          <w:tcPr>
            <w:tcW w:w="1496" w:type="dxa"/>
            <w:vAlign w:val="center"/>
          </w:tcPr>
          <w:p w14:paraId="7BAC2773" w14:textId="77777777" w:rsidR="00931059" w:rsidRPr="0026657D" w:rsidRDefault="00931059" w:rsidP="002675DC">
            <w:pPr>
              <w:pStyle w:val="TableText0"/>
              <w:jc w:val="center"/>
              <w:rPr>
                <w:b/>
                <w:bCs w:val="0"/>
                <w:szCs w:val="20"/>
              </w:rPr>
            </w:pPr>
            <w:r w:rsidRPr="0026657D">
              <w:rPr>
                <w:b/>
                <w:bCs w:val="0"/>
                <w:szCs w:val="20"/>
              </w:rPr>
              <w:t>0.3</w:t>
            </w:r>
            <w:r>
              <w:rPr>
                <w:b/>
                <w:bCs w:val="0"/>
                <w:szCs w:val="20"/>
              </w:rPr>
              <w:t>7</w:t>
            </w:r>
          </w:p>
        </w:tc>
        <w:tc>
          <w:tcPr>
            <w:tcW w:w="1496" w:type="dxa"/>
            <w:vAlign w:val="center"/>
          </w:tcPr>
          <w:p w14:paraId="16725E4A" w14:textId="77777777" w:rsidR="00931059" w:rsidRPr="00C73605" w:rsidRDefault="00931059" w:rsidP="002675DC">
            <w:pPr>
              <w:pStyle w:val="TableText0"/>
              <w:jc w:val="center"/>
              <w:rPr>
                <w:szCs w:val="20"/>
              </w:rPr>
            </w:pPr>
            <w:r>
              <w:rPr>
                <w:szCs w:val="20"/>
              </w:rPr>
              <w:t>-</w:t>
            </w:r>
          </w:p>
        </w:tc>
      </w:tr>
      <w:tr w:rsidR="00931059" w:rsidRPr="00C73605" w14:paraId="581137BF" w14:textId="77777777" w:rsidTr="002675DC">
        <w:tc>
          <w:tcPr>
            <w:tcW w:w="4529" w:type="dxa"/>
            <w:vAlign w:val="center"/>
          </w:tcPr>
          <w:p w14:paraId="300E9B81" w14:textId="77777777" w:rsidR="00931059" w:rsidRPr="00C73605" w:rsidRDefault="00931059" w:rsidP="002675DC">
            <w:pPr>
              <w:pStyle w:val="TableText0"/>
              <w:ind w:left="170"/>
            </w:pPr>
            <w:r w:rsidRPr="00C73605">
              <w:t>95% CI of Unadjusted Rate Difference</w:t>
            </w:r>
          </w:p>
        </w:tc>
        <w:tc>
          <w:tcPr>
            <w:tcW w:w="1496" w:type="dxa"/>
            <w:vAlign w:val="center"/>
          </w:tcPr>
          <w:p w14:paraId="3B7068DF" w14:textId="77777777" w:rsidR="00931059" w:rsidRPr="0026657D" w:rsidRDefault="00931059" w:rsidP="002675DC">
            <w:pPr>
              <w:pStyle w:val="TableText0"/>
              <w:jc w:val="center"/>
              <w:rPr>
                <w:b/>
                <w:bCs w:val="0"/>
                <w:szCs w:val="20"/>
              </w:rPr>
            </w:pPr>
            <w:r w:rsidRPr="0026657D">
              <w:rPr>
                <w:b/>
                <w:bCs w:val="0"/>
                <w:szCs w:val="20"/>
              </w:rPr>
              <w:t>0.35, 0.5</w:t>
            </w:r>
            <w:r>
              <w:rPr>
                <w:b/>
                <w:bCs w:val="0"/>
                <w:szCs w:val="20"/>
              </w:rPr>
              <w:t>4</w:t>
            </w:r>
          </w:p>
        </w:tc>
        <w:tc>
          <w:tcPr>
            <w:tcW w:w="1496" w:type="dxa"/>
            <w:vAlign w:val="center"/>
          </w:tcPr>
          <w:p w14:paraId="62741803" w14:textId="77777777" w:rsidR="00931059" w:rsidRPr="0026657D" w:rsidRDefault="00931059" w:rsidP="002675DC">
            <w:pPr>
              <w:pStyle w:val="TableText0"/>
              <w:jc w:val="center"/>
              <w:rPr>
                <w:b/>
                <w:bCs w:val="0"/>
                <w:szCs w:val="20"/>
              </w:rPr>
            </w:pPr>
            <w:r w:rsidRPr="0026657D">
              <w:rPr>
                <w:b/>
                <w:bCs w:val="0"/>
                <w:szCs w:val="20"/>
              </w:rPr>
              <w:t>0.27, 0.4</w:t>
            </w:r>
            <w:r>
              <w:rPr>
                <w:b/>
                <w:bCs w:val="0"/>
                <w:szCs w:val="20"/>
              </w:rPr>
              <w:t>6</w:t>
            </w:r>
          </w:p>
        </w:tc>
        <w:tc>
          <w:tcPr>
            <w:tcW w:w="1496" w:type="dxa"/>
            <w:vAlign w:val="center"/>
          </w:tcPr>
          <w:p w14:paraId="1ACA259A" w14:textId="77777777" w:rsidR="00931059" w:rsidRPr="00C73605" w:rsidRDefault="00931059" w:rsidP="002675DC">
            <w:pPr>
              <w:pStyle w:val="TableText0"/>
              <w:jc w:val="center"/>
              <w:rPr>
                <w:szCs w:val="20"/>
              </w:rPr>
            </w:pPr>
            <w:r>
              <w:rPr>
                <w:szCs w:val="20"/>
              </w:rPr>
              <w:t>-</w:t>
            </w:r>
          </w:p>
        </w:tc>
      </w:tr>
      <w:tr w:rsidR="00931059" w:rsidRPr="00C73605" w14:paraId="061BDCA9" w14:textId="77777777" w:rsidTr="002675DC">
        <w:tc>
          <w:tcPr>
            <w:tcW w:w="9017" w:type="dxa"/>
            <w:gridSpan w:val="4"/>
            <w:vAlign w:val="center"/>
          </w:tcPr>
          <w:p w14:paraId="27947A12" w14:textId="51CE0E8C" w:rsidR="00931059" w:rsidRPr="00C73605" w:rsidRDefault="00931059" w:rsidP="002675DC">
            <w:pPr>
              <w:pStyle w:val="TableText0"/>
              <w:rPr>
                <w:rFonts w:eastAsia="MS Gothic" w:cs="Calibri"/>
                <w:szCs w:val="20"/>
              </w:rPr>
            </w:pPr>
            <w:r w:rsidRPr="00C73605">
              <w:rPr>
                <w:b/>
              </w:rPr>
              <w:t xml:space="preserve">Non-inferiority </w:t>
            </w:r>
            <w:proofErr w:type="spellStart"/>
            <w:r w:rsidRPr="00C73605">
              <w:rPr>
                <w:b/>
              </w:rPr>
              <w:t>Analysis</w:t>
            </w:r>
            <w:r>
              <w:rPr>
                <w:b/>
                <w:vertAlign w:val="superscript"/>
              </w:rPr>
              <w:t>b</w:t>
            </w:r>
            <w:proofErr w:type="spellEnd"/>
          </w:p>
        </w:tc>
      </w:tr>
      <w:tr w:rsidR="00931059" w:rsidRPr="00C73605" w14:paraId="1EC2E1BE" w14:textId="77777777" w:rsidTr="002675DC">
        <w:tc>
          <w:tcPr>
            <w:tcW w:w="4529" w:type="dxa"/>
            <w:vAlign w:val="center"/>
          </w:tcPr>
          <w:p w14:paraId="75ECE3E2" w14:textId="3898EA06" w:rsidR="00931059" w:rsidRPr="00C73605" w:rsidRDefault="00931059" w:rsidP="002675DC">
            <w:pPr>
              <w:pStyle w:val="TableText0"/>
              <w:ind w:left="170"/>
            </w:pPr>
            <w:r w:rsidRPr="00C73605">
              <w:t>Unadjusted Rate Difference</w:t>
            </w:r>
            <w:r w:rsidR="004A65D6">
              <w:t>, CAL/BDP cream</w:t>
            </w:r>
            <w:r w:rsidRPr="00C73605">
              <w:t xml:space="preserve"> vs</w:t>
            </w:r>
            <w:r w:rsidR="007E63B9">
              <w:t>.</w:t>
            </w:r>
            <w:r w:rsidRPr="00C73605">
              <w:t xml:space="preserve"> </w:t>
            </w:r>
            <w:r w:rsidRPr="000E3B75">
              <w:rPr>
                <w:bCs w:val="0"/>
              </w:rPr>
              <w:t>gel</w:t>
            </w:r>
          </w:p>
        </w:tc>
        <w:tc>
          <w:tcPr>
            <w:tcW w:w="1496" w:type="dxa"/>
            <w:vAlign w:val="center"/>
          </w:tcPr>
          <w:p w14:paraId="1BEF408D" w14:textId="77777777" w:rsidR="00931059" w:rsidRPr="00C73605" w:rsidRDefault="00931059" w:rsidP="002675DC">
            <w:pPr>
              <w:pStyle w:val="TableText0"/>
              <w:jc w:val="center"/>
              <w:rPr>
                <w:szCs w:val="20"/>
              </w:rPr>
            </w:pPr>
            <w:r w:rsidRPr="00C73605">
              <w:rPr>
                <w:szCs w:val="20"/>
              </w:rPr>
              <w:t>0.079</w:t>
            </w:r>
          </w:p>
        </w:tc>
        <w:tc>
          <w:tcPr>
            <w:tcW w:w="1496" w:type="dxa"/>
            <w:vAlign w:val="center"/>
          </w:tcPr>
          <w:p w14:paraId="448C26FB" w14:textId="77777777" w:rsidR="00931059" w:rsidRPr="00C73605" w:rsidRDefault="00931059" w:rsidP="002675DC">
            <w:pPr>
              <w:pStyle w:val="TableText0"/>
              <w:jc w:val="center"/>
              <w:rPr>
                <w:szCs w:val="20"/>
              </w:rPr>
            </w:pPr>
            <w:r>
              <w:rPr>
                <w:szCs w:val="20"/>
              </w:rPr>
              <w:t>-</w:t>
            </w:r>
          </w:p>
        </w:tc>
        <w:tc>
          <w:tcPr>
            <w:tcW w:w="1496" w:type="dxa"/>
            <w:vAlign w:val="center"/>
          </w:tcPr>
          <w:p w14:paraId="4FC04925" w14:textId="77777777" w:rsidR="00931059" w:rsidRPr="00C73605" w:rsidRDefault="00931059" w:rsidP="002675DC">
            <w:pPr>
              <w:pStyle w:val="TableText0"/>
              <w:jc w:val="center"/>
              <w:rPr>
                <w:szCs w:val="20"/>
              </w:rPr>
            </w:pPr>
            <w:r>
              <w:rPr>
                <w:szCs w:val="20"/>
              </w:rPr>
              <w:t>-</w:t>
            </w:r>
          </w:p>
        </w:tc>
      </w:tr>
      <w:tr w:rsidR="00931059" w:rsidRPr="00C73605" w14:paraId="4347AE11" w14:textId="77777777" w:rsidTr="002675DC">
        <w:tc>
          <w:tcPr>
            <w:tcW w:w="4529" w:type="dxa"/>
            <w:vAlign w:val="center"/>
          </w:tcPr>
          <w:p w14:paraId="355AEC92" w14:textId="77777777" w:rsidR="00931059" w:rsidRPr="00C73605" w:rsidRDefault="00931059" w:rsidP="002675DC">
            <w:pPr>
              <w:pStyle w:val="TableText0"/>
              <w:ind w:left="170"/>
            </w:pPr>
            <w:r w:rsidRPr="00C73605">
              <w:t>95% CI of Unadjusted Rate Difference</w:t>
            </w:r>
          </w:p>
        </w:tc>
        <w:tc>
          <w:tcPr>
            <w:tcW w:w="1496" w:type="dxa"/>
            <w:vAlign w:val="center"/>
          </w:tcPr>
          <w:p w14:paraId="7C327FDE" w14:textId="77777777" w:rsidR="00931059" w:rsidRPr="00C73605" w:rsidRDefault="00931059" w:rsidP="002675DC">
            <w:pPr>
              <w:pStyle w:val="TableText0"/>
              <w:jc w:val="center"/>
              <w:rPr>
                <w:szCs w:val="20"/>
              </w:rPr>
            </w:pPr>
            <w:r w:rsidRPr="00C73605">
              <w:rPr>
                <w:szCs w:val="20"/>
              </w:rPr>
              <w:t>-0.017, 0.1</w:t>
            </w:r>
            <w:r>
              <w:rPr>
                <w:szCs w:val="20"/>
              </w:rPr>
              <w:t>8</w:t>
            </w:r>
          </w:p>
        </w:tc>
        <w:tc>
          <w:tcPr>
            <w:tcW w:w="1496" w:type="dxa"/>
            <w:vAlign w:val="center"/>
          </w:tcPr>
          <w:p w14:paraId="386057E4" w14:textId="77777777" w:rsidR="00931059" w:rsidRPr="00C73605" w:rsidRDefault="00931059" w:rsidP="002675DC">
            <w:pPr>
              <w:pStyle w:val="TableText0"/>
              <w:jc w:val="center"/>
              <w:rPr>
                <w:szCs w:val="20"/>
              </w:rPr>
            </w:pPr>
            <w:r>
              <w:rPr>
                <w:szCs w:val="20"/>
              </w:rPr>
              <w:t>-</w:t>
            </w:r>
          </w:p>
        </w:tc>
        <w:tc>
          <w:tcPr>
            <w:tcW w:w="1496" w:type="dxa"/>
            <w:vAlign w:val="center"/>
          </w:tcPr>
          <w:p w14:paraId="6318A390" w14:textId="77777777" w:rsidR="00931059" w:rsidRPr="00C73605" w:rsidRDefault="00931059" w:rsidP="002675DC">
            <w:pPr>
              <w:pStyle w:val="TableText0"/>
              <w:jc w:val="center"/>
              <w:rPr>
                <w:szCs w:val="20"/>
              </w:rPr>
            </w:pPr>
            <w:r>
              <w:rPr>
                <w:szCs w:val="20"/>
              </w:rPr>
              <w:t>-</w:t>
            </w:r>
          </w:p>
        </w:tc>
      </w:tr>
      <w:tr w:rsidR="00931059" w:rsidRPr="00C73605" w14:paraId="4BD73C7C" w14:textId="77777777" w:rsidTr="002675DC">
        <w:tc>
          <w:tcPr>
            <w:tcW w:w="9017" w:type="dxa"/>
            <w:gridSpan w:val="4"/>
            <w:vAlign w:val="center"/>
          </w:tcPr>
          <w:p w14:paraId="2FEDAB74" w14:textId="77777777" w:rsidR="00931059" w:rsidRPr="00C73605" w:rsidRDefault="00931059" w:rsidP="002675DC">
            <w:pPr>
              <w:pStyle w:val="TableText0"/>
              <w:rPr>
                <w:rFonts w:eastAsia="MS Gothic" w:cs="Calibri"/>
                <w:szCs w:val="20"/>
              </w:rPr>
            </w:pPr>
            <w:r w:rsidRPr="00C73605">
              <w:rPr>
                <w:rFonts w:eastAsia="MS Gothic" w:cs="Calibri"/>
                <w:b/>
                <w:szCs w:val="20"/>
              </w:rPr>
              <w:t xml:space="preserve">Superiority Analyses by Logistic </w:t>
            </w:r>
            <w:proofErr w:type="spellStart"/>
            <w:r w:rsidRPr="00C73605">
              <w:rPr>
                <w:rFonts w:eastAsia="MS Gothic" w:cs="Calibri"/>
                <w:b/>
                <w:szCs w:val="20"/>
              </w:rPr>
              <w:t>Regression</w:t>
            </w:r>
            <w:r>
              <w:rPr>
                <w:rFonts w:eastAsia="MS Gothic" w:cs="Calibri"/>
                <w:b/>
                <w:szCs w:val="20"/>
                <w:vertAlign w:val="superscript"/>
              </w:rPr>
              <w:t>c</w:t>
            </w:r>
            <w:proofErr w:type="spellEnd"/>
          </w:p>
        </w:tc>
      </w:tr>
      <w:tr w:rsidR="00931059" w:rsidRPr="00C73605" w14:paraId="31912475" w14:textId="77777777" w:rsidTr="002675DC">
        <w:tc>
          <w:tcPr>
            <w:tcW w:w="4529" w:type="dxa"/>
            <w:vAlign w:val="center"/>
          </w:tcPr>
          <w:p w14:paraId="1B38357E" w14:textId="404C79BC" w:rsidR="00931059" w:rsidRPr="00C73605" w:rsidRDefault="00931059" w:rsidP="002675DC">
            <w:pPr>
              <w:pStyle w:val="TableText0"/>
              <w:ind w:left="170"/>
              <w:rPr>
                <w:rFonts w:eastAsia="MS Gothic" w:cs="Calibri"/>
                <w:szCs w:val="20"/>
              </w:rPr>
            </w:pPr>
            <w:r w:rsidRPr="00C73605">
              <w:rPr>
                <w:rFonts w:eastAsia="MS Gothic" w:cs="Calibri"/>
                <w:szCs w:val="20"/>
              </w:rPr>
              <w:t xml:space="preserve">Log Odds Ratio </w:t>
            </w:r>
            <w:r w:rsidR="007E63B9" w:rsidRPr="00C73605">
              <w:rPr>
                <w:rFonts w:eastAsia="MS Gothic" w:cs="Calibri"/>
                <w:szCs w:val="20"/>
              </w:rPr>
              <w:t>v</w:t>
            </w:r>
            <w:r w:rsidR="007E63B9">
              <w:rPr>
                <w:rFonts w:eastAsia="MS Gothic" w:cs="Calibri"/>
                <w:szCs w:val="20"/>
              </w:rPr>
              <w:t>s.</w:t>
            </w:r>
            <w:r w:rsidR="007E63B9" w:rsidRPr="00C73605">
              <w:rPr>
                <w:rFonts w:eastAsia="MS Gothic" w:cs="Calibri"/>
                <w:szCs w:val="20"/>
              </w:rPr>
              <w:t xml:space="preserve"> </w:t>
            </w:r>
            <w:r w:rsidRPr="00C73605">
              <w:rPr>
                <w:rFonts w:eastAsia="MS Gothic" w:cs="Calibri"/>
                <w:szCs w:val="20"/>
              </w:rPr>
              <w:t>Vehicle</w:t>
            </w:r>
          </w:p>
        </w:tc>
        <w:tc>
          <w:tcPr>
            <w:tcW w:w="1496" w:type="dxa"/>
            <w:vAlign w:val="center"/>
          </w:tcPr>
          <w:p w14:paraId="5668F172"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3.4</w:t>
            </w:r>
            <w:r>
              <w:rPr>
                <w:rFonts w:eastAsia="MS Gothic" w:cs="Calibri"/>
                <w:b/>
                <w:bCs w:val="0"/>
                <w:szCs w:val="20"/>
              </w:rPr>
              <w:t>4</w:t>
            </w:r>
          </w:p>
        </w:tc>
        <w:tc>
          <w:tcPr>
            <w:tcW w:w="1496" w:type="dxa"/>
            <w:vAlign w:val="center"/>
          </w:tcPr>
          <w:p w14:paraId="130397FB"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3.00</w:t>
            </w:r>
          </w:p>
        </w:tc>
        <w:tc>
          <w:tcPr>
            <w:tcW w:w="1496" w:type="dxa"/>
            <w:vAlign w:val="center"/>
          </w:tcPr>
          <w:p w14:paraId="0BEA2B70" w14:textId="77777777" w:rsidR="00931059" w:rsidRPr="00C73605" w:rsidRDefault="00931059" w:rsidP="002675DC">
            <w:pPr>
              <w:pStyle w:val="TableText0"/>
              <w:jc w:val="center"/>
              <w:rPr>
                <w:rFonts w:eastAsia="MS Gothic" w:cs="Calibri"/>
                <w:szCs w:val="20"/>
              </w:rPr>
            </w:pPr>
            <w:r>
              <w:rPr>
                <w:rFonts w:eastAsia="MS Gothic" w:cs="Calibri"/>
                <w:szCs w:val="20"/>
              </w:rPr>
              <w:t>-</w:t>
            </w:r>
          </w:p>
        </w:tc>
      </w:tr>
      <w:tr w:rsidR="00931059" w:rsidRPr="00C73605" w14:paraId="02B95B4A" w14:textId="77777777" w:rsidTr="002675DC">
        <w:tc>
          <w:tcPr>
            <w:tcW w:w="4529" w:type="dxa"/>
            <w:vAlign w:val="center"/>
          </w:tcPr>
          <w:p w14:paraId="28305BE5" w14:textId="77777777" w:rsidR="00931059" w:rsidRPr="00C73605" w:rsidRDefault="00931059" w:rsidP="002675DC">
            <w:pPr>
              <w:pStyle w:val="TableText0"/>
              <w:ind w:left="170"/>
              <w:rPr>
                <w:rFonts w:eastAsia="MS Gothic" w:cs="Calibri"/>
                <w:szCs w:val="20"/>
              </w:rPr>
            </w:pPr>
            <w:r w:rsidRPr="00C73605">
              <w:rPr>
                <w:rFonts w:eastAsia="MS Gothic" w:cs="Calibri"/>
                <w:szCs w:val="20"/>
              </w:rPr>
              <w:t>95% CI of Log Odds Ratio</w:t>
            </w:r>
          </w:p>
        </w:tc>
        <w:tc>
          <w:tcPr>
            <w:tcW w:w="1496" w:type="dxa"/>
            <w:vAlign w:val="center"/>
          </w:tcPr>
          <w:p w14:paraId="62422D4A"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2.1</w:t>
            </w:r>
            <w:r>
              <w:rPr>
                <w:rFonts w:eastAsia="MS Gothic" w:cs="Calibri"/>
                <w:b/>
                <w:bCs w:val="0"/>
                <w:szCs w:val="20"/>
              </w:rPr>
              <w:t>3</w:t>
            </w:r>
            <w:r w:rsidRPr="0015113A">
              <w:rPr>
                <w:rFonts w:eastAsia="MS Gothic" w:cs="Calibri"/>
                <w:b/>
                <w:bCs w:val="0"/>
                <w:szCs w:val="20"/>
              </w:rPr>
              <w:t>, 4.75</w:t>
            </w:r>
          </w:p>
        </w:tc>
        <w:tc>
          <w:tcPr>
            <w:tcW w:w="1496" w:type="dxa"/>
            <w:vAlign w:val="center"/>
          </w:tcPr>
          <w:p w14:paraId="1FD06C91"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1.6</w:t>
            </w:r>
            <w:r>
              <w:rPr>
                <w:rFonts w:eastAsia="MS Gothic" w:cs="Calibri"/>
                <w:b/>
                <w:bCs w:val="0"/>
                <w:szCs w:val="20"/>
              </w:rPr>
              <w:t>8</w:t>
            </w:r>
            <w:r w:rsidRPr="0015113A">
              <w:rPr>
                <w:rFonts w:eastAsia="MS Gothic" w:cs="Calibri"/>
                <w:b/>
                <w:bCs w:val="0"/>
                <w:szCs w:val="20"/>
              </w:rPr>
              <w:t>, 4.33</w:t>
            </w:r>
          </w:p>
        </w:tc>
        <w:tc>
          <w:tcPr>
            <w:tcW w:w="1496" w:type="dxa"/>
            <w:vAlign w:val="center"/>
          </w:tcPr>
          <w:p w14:paraId="19E1B3BF" w14:textId="77777777" w:rsidR="00931059" w:rsidRPr="00C73605" w:rsidRDefault="00931059" w:rsidP="002675DC">
            <w:pPr>
              <w:pStyle w:val="TableText0"/>
              <w:jc w:val="center"/>
              <w:rPr>
                <w:rFonts w:eastAsia="MS Gothic" w:cs="Calibri"/>
                <w:szCs w:val="20"/>
              </w:rPr>
            </w:pPr>
            <w:r>
              <w:rPr>
                <w:rFonts w:eastAsia="MS Gothic" w:cs="Calibri"/>
                <w:szCs w:val="20"/>
              </w:rPr>
              <w:t>-</w:t>
            </w:r>
          </w:p>
        </w:tc>
      </w:tr>
      <w:tr w:rsidR="00931059" w:rsidRPr="00C73605" w14:paraId="50510B6E" w14:textId="77777777" w:rsidTr="002675DC">
        <w:tc>
          <w:tcPr>
            <w:tcW w:w="4529" w:type="dxa"/>
            <w:vAlign w:val="center"/>
          </w:tcPr>
          <w:p w14:paraId="1BEFE281" w14:textId="4C9B2EA2" w:rsidR="00931059" w:rsidRPr="00C73605" w:rsidRDefault="00931059" w:rsidP="002675DC">
            <w:pPr>
              <w:pStyle w:val="TableText0"/>
              <w:ind w:left="170"/>
              <w:rPr>
                <w:rFonts w:eastAsia="MS Gothic" w:cs="Calibri"/>
                <w:szCs w:val="20"/>
              </w:rPr>
            </w:pPr>
            <w:r w:rsidRPr="00C73605">
              <w:rPr>
                <w:rFonts w:eastAsia="MS Gothic" w:cs="Calibri"/>
                <w:szCs w:val="20"/>
              </w:rPr>
              <w:t>Log Odds Ratio vs</w:t>
            </w:r>
            <w:r w:rsidR="007E63B9">
              <w:rPr>
                <w:rFonts w:eastAsia="MS Gothic" w:cs="Calibri"/>
                <w:szCs w:val="20"/>
              </w:rPr>
              <w:t>.</w:t>
            </w:r>
            <w:r w:rsidRPr="00C73605">
              <w:rPr>
                <w:rFonts w:eastAsia="MS Gothic" w:cs="Calibri"/>
                <w:szCs w:val="20"/>
              </w:rPr>
              <w:t xml:space="preserve"> </w:t>
            </w:r>
            <w:r w:rsidRPr="000E3B75">
              <w:rPr>
                <w:rFonts w:eastAsia="MS Gothic" w:cs="Calibri"/>
                <w:szCs w:val="20"/>
              </w:rPr>
              <w:t>CAL/BDP gel</w:t>
            </w:r>
          </w:p>
        </w:tc>
        <w:tc>
          <w:tcPr>
            <w:tcW w:w="2992" w:type="dxa"/>
            <w:gridSpan w:val="2"/>
            <w:vAlign w:val="center"/>
          </w:tcPr>
          <w:p w14:paraId="5CD12051"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0.45</w:t>
            </w:r>
          </w:p>
        </w:tc>
        <w:tc>
          <w:tcPr>
            <w:tcW w:w="1496" w:type="dxa"/>
            <w:vAlign w:val="center"/>
          </w:tcPr>
          <w:p w14:paraId="5DD1AFC5" w14:textId="77777777" w:rsidR="00931059" w:rsidRPr="00C73605" w:rsidRDefault="00931059" w:rsidP="002675DC">
            <w:pPr>
              <w:pStyle w:val="TableText0"/>
              <w:jc w:val="center"/>
              <w:rPr>
                <w:rFonts w:eastAsia="MS Gothic" w:cs="Calibri"/>
                <w:szCs w:val="20"/>
              </w:rPr>
            </w:pPr>
            <w:r>
              <w:rPr>
                <w:rFonts w:eastAsia="MS Gothic" w:cs="Calibri"/>
                <w:szCs w:val="20"/>
              </w:rPr>
              <w:t>-</w:t>
            </w:r>
          </w:p>
        </w:tc>
      </w:tr>
      <w:tr w:rsidR="00931059" w:rsidRPr="00C73605" w14:paraId="2ACB0B00" w14:textId="77777777" w:rsidTr="002675DC">
        <w:tc>
          <w:tcPr>
            <w:tcW w:w="4529" w:type="dxa"/>
            <w:vAlign w:val="center"/>
          </w:tcPr>
          <w:p w14:paraId="50306642" w14:textId="77777777" w:rsidR="00931059" w:rsidRPr="00C73605" w:rsidRDefault="00931059" w:rsidP="002675DC">
            <w:pPr>
              <w:pStyle w:val="TableText0"/>
              <w:ind w:left="170"/>
              <w:rPr>
                <w:rFonts w:eastAsia="MS Gothic" w:cs="Calibri"/>
                <w:szCs w:val="20"/>
              </w:rPr>
            </w:pPr>
            <w:r w:rsidRPr="00C73605">
              <w:rPr>
                <w:rFonts w:eastAsia="MS Gothic" w:cs="Calibri"/>
                <w:szCs w:val="20"/>
              </w:rPr>
              <w:t>95% CI of Log Odds Ratio</w:t>
            </w:r>
          </w:p>
        </w:tc>
        <w:tc>
          <w:tcPr>
            <w:tcW w:w="2992" w:type="dxa"/>
            <w:gridSpan w:val="2"/>
            <w:vAlign w:val="center"/>
          </w:tcPr>
          <w:p w14:paraId="6BCFD002" w14:textId="77777777" w:rsidR="00931059" w:rsidRPr="0015113A" w:rsidRDefault="00931059" w:rsidP="002675DC">
            <w:pPr>
              <w:pStyle w:val="TableText0"/>
              <w:jc w:val="center"/>
              <w:rPr>
                <w:rFonts w:eastAsia="MS Gothic" w:cs="Calibri"/>
                <w:b/>
                <w:bCs w:val="0"/>
                <w:szCs w:val="20"/>
              </w:rPr>
            </w:pPr>
            <w:r w:rsidRPr="0015113A">
              <w:rPr>
                <w:rFonts w:eastAsia="MS Gothic" w:cs="Calibri"/>
                <w:b/>
                <w:bCs w:val="0"/>
                <w:szCs w:val="20"/>
              </w:rPr>
              <w:t>0.01, 0.</w:t>
            </w:r>
            <w:r>
              <w:rPr>
                <w:rFonts w:eastAsia="MS Gothic" w:cs="Calibri"/>
                <w:b/>
                <w:bCs w:val="0"/>
                <w:szCs w:val="20"/>
              </w:rPr>
              <w:t>90</w:t>
            </w:r>
          </w:p>
        </w:tc>
        <w:tc>
          <w:tcPr>
            <w:tcW w:w="1496" w:type="dxa"/>
            <w:vAlign w:val="center"/>
          </w:tcPr>
          <w:p w14:paraId="1E6BDB5C" w14:textId="77777777" w:rsidR="00931059" w:rsidRPr="00C73605" w:rsidRDefault="00931059" w:rsidP="002675DC">
            <w:pPr>
              <w:pStyle w:val="TableText0"/>
              <w:jc w:val="center"/>
              <w:rPr>
                <w:rFonts w:eastAsia="MS Gothic" w:cs="Calibri"/>
                <w:szCs w:val="20"/>
              </w:rPr>
            </w:pPr>
            <w:r>
              <w:rPr>
                <w:rFonts w:eastAsia="MS Gothic" w:cs="Calibri"/>
                <w:szCs w:val="20"/>
              </w:rPr>
              <w:t>-</w:t>
            </w:r>
          </w:p>
        </w:tc>
      </w:tr>
    </w:tbl>
    <w:p w14:paraId="19CC471B" w14:textId="643953CF" w:rsidR="000B6193" w:rsidRDefault="000B6193" w:rsidP="000B6193">
      <w:pPr>
        <w:pStyle w:val="FooterTableFigure"/>
        <w:rPr>
          <w:rFonts w:eastAsia="MS Gothic"/>
        </w:rPr>
      </w:pPr>
      <w:r>
        <w:rPr>
          <w:rFonts w:eastAsia="MS Gothic"/>
        </w:rPr>
        <w:t>Source: Table 2-42, p92 of the submission</w:t>
      </w:r>
      <w:r w:rsidR="00035FF4">
        <w:rPr>
          <w:rFonts w:eastAsia="MS Gothic"/>
        </w:rPr>
        <w:t>.</w:t>
      </w:r>
    </w:p>
    <w:p w14:paraId="4CD08AE2" w14:textId="65688394" w:rsidR="000B6193" w:rsidRPr="00C73605" w:rsidRDefault="000B6193" w:rsidP="000B6193">
      <w:pPr>
        <w:pStyle w:val="FooterTableFigure"/>
        <w:rPr>
          <w:rFonts w:eastAsia="MS Gothic"/>
        </w:rPr>
      </w:pPr>
      <w:r w:rsidRPr="00C11C3E">
        <w:rPr>
          <w:rFonts w:eastAsia="MS Gothic"/>
        </w:rPr>
        <w:t xml:space="preserve">CAL/BDP = calcipotriol with betamethasone dipropionate; </w:t>
      </w:r>
      <w:r w:rsidRPr="00C73605">
        <w:rPr>
          <w:rFonts w:eastAsia="MS Gothic"/>
        </w:rPr>
        <w:t>CI</w:t>
      </w:r>
      <w:r>
        <w:rPr>
          <w:rFonts w:eastAsia="MS Gothic"/>
        </w:rPr>
        <w:t xml:space="preserve"> =</w:t>
      </w:r>
      <w:r w:rsidRPr="00C73605">
        <w:rPr>
          <w:rFonts w:eastAsia="MS Gothic"/>
        </w:rPr>
        <w:t xml:space="preserve"> confidence interval; </w:t>
      </w:r>
      <w:r w:rsidRPr="00C11C3E">
        <w:rPr>
          <w:rFonts w:eastAsia="MS Gothic"/>
        </w:rPr>
        <w:t xml:space="preserve">n = number of participants with event; N = total participants in group; </w:t>
      </w:r>
      <w:r w:rsidRPr="00C73605">
        <w:rPr>
          <w:rFonts w:eastAsia="MS Gothic"/>
        </w:rPr>
        <w:t>PGA</w:t>
      </w:r>
      <w:r>
        <w:rPr>
          <w:rFonts w:eastAsia="MS Gothic"/>
        </w:rPr>
        <w:t xml:space="preserve"> =</w:t>
      </w:r>
      <w:r w:rsidRPr="00C73605">
        <w:rPr>
          <w:rFonts w:eastAsia="MS Gothic"/>
        </w:rPr>
        <w:t xml:space="preserve"> </w:t>
      </w:r>
      <w:r w:rsidR="00903D5A">
        <w:rPr>
          <w:rFonts w:eastAsia="MS Gothic"/>
        </w:rPr>
        <w:t>P</w:t>
      </w:r>
      <w:r w:rsidRPr="00C73605">
        <w:rPr>
          <w:rFonts w:eastAsia="MS Gothic"/>
        </w:rPr>
        <w:t>hysician</w:t>
      </w:r>
      <w:r>
        <w:rPr>
          <w:rFonts w:eastAsia="MS Gothic"/>
        </w:rPr>
        <w:t>’s</w:t>
      </w:r>
      <w:r w:rsidRPr="00C73605">
        <w:rPr>
          <w:rFonts w:eastAsia="MS Gothic"/>
        </w:rPr>
        <w:t xml:space="preserve"> </w:t>
      </w:r>
      <w:r w:rsidR="00903D5A">
        <w:rPr>
          <w:rFonts w:eastAsia="MS Gothic"/>
        </w:rPr>
        <w:t>G</w:t>
      </w:r>
      <w:r w:rsidRPr="00C73605">
        <w:rPr>
          <w:rFonts w:eastAsia="MS Gothic"/>
        </w:rPr>
        <w:t xml:space="preserve">lobal </w:t>
      </w:r>
      <w:r w:rsidR="00903D5A">
        <w:rPr>
          <w:rFonts w:eastAsia="MS Gothic"/>
        </w:rPr>
        <w:t>A</w:t>
      </w:r>
      <w:r w:rsidRPr="00C73605">
        <w:rPr>
          <w:rFonts w:eastAsia="MS Gothic"/>
        </w:rPr>
        <w:t>ssessment</w:t>
      </w:r>
      <w:r w:rsidR="004A65D6">
        <w:rPr>
          <w:rFonts w:eastAsia="MS Gothic"/>
        </w:rPr>
        <w:t>; vs = versus</w:t>
      </w:r>
      <w:r>
        <w:rPr>
          <w:rFonts w:eastAsia="MS Gothic"/>
        </w:rPr>
        <w:t>.</w:t>
      </w:r>
    </w:p>
    <w:p w14:paraId="776CE327" w14:textId="77777777" w:rsidR="000B6193" w:rsidRPr="00C73605" w:rsidRDefault="000B6193" w:rsidP="000B6193">
      <w:pPr>
        <w:pStyle w:val="FooterTableFigure"/>
        <w:rPr>
          <w:rFonts w:eastAsia="MS Gothic"/>
        </w:rPr>
      </w:pPr>
      <w:r>
        <w:rPr>
          <w:rFonts w:eastAsia="MS Gothic"/>
          <w:vertAlign w:val="superscript"/>
        </w:rPr>
        <w:t>a</w:t>
      </w:r>
      <w:r w:rsidRPr="00C73605">
        <w:rPr>
          <w:rFonts w:eastAsia="MS Gothic"/>
        </w:rPr>
        <w:t xml:space="preserve"> PGA success is defined as a minimum 2-point decrease from Baseline to a severity of clear or almost clear. Confidence interval of rate difference computed using normal approximation.</w:t>
      </w:r>
    </w:p>
    <w:p w14:paraId="27535451" w14:textId="77777777" w:rsidR="000B6193" w:rsidRPr="00C73605" w:rsidRDefault="000B6193" w:rsidP="000B6193">
      <w:pPr>
        <w:pStyle w:val="FooterTableFigure"/>
        <w:rPr>
          <w:rFonts w:eastAsia="MS Gothic"/>
        </w:rPr>
      </w:pPr>
      <w:r>
        <w:rPr>
          <w:rFonts w:eastAsia="MS Gothic"/>
          <w:vertAlign w:val="superscript"/>
        </w:rPr>
        <w:t>b</w:t>
      </w:r>
      <w:r w:rsidRPr="00C73605">
        <w:rPr>
          <w:rFonts w:eastAsia="MS Gothic"/>
        </w:rPr>
        <w:t xml:space="preserve"> Non-inferiority margin is 10% points.</w:t>
      </w:r>
    </w:p>
    <w:p w14:paraId="42D678B9" w14:textId="11BCCE6D" w:rsidR="000B6193" w:rsidRPr="00C73605" w:rsidRDefault="000B6193" w:rsidP="000B6193">
      <w:pPr>
        <w:pStyle w:val="FooterTableFigure"/>
        <w:rPr>
          <w:rFonts w:eastAsia="MS Gothic"/>
        </w:rPr>
      </w:pPr>
      <w:r>
        <w:rPr>
          <w:rFonts w:eastAsia="MS Gothic"/>
          <w:vertAlign w:val="superscript"/>
        </w:rPr>
        <w:t>c</w:t>
      </w:r>
      <w:r w:rsidRPr="00C73605">
        <w:rPr>
          <w:rFonts w:eastAsia="MS Gothic"/>
        </w:rPr>
        <w:t xml:space="preserve"> Logistic regression model includes randomi</w:t>
      </w:r>
      <w:r w:rsidR="00490A4E">
        <w:rPr>
          <w:rFonts w:eastAsia="MS Gothic"/>
        </w:rPr>
        <w:t>s</w:t>
      </w:r>
      <w:r w:rsidRPr="00C73605">
        <w:rPr>
          <w:rFonts w:eastAsia="MS Gothic"/>
        </w:rPr>
        <w:t>ed treatment, analysis site and Baseline PGA on the body as independent variables.</w:t>
      </w:r>
    </w:p>
    <w:p w14:paraId="38E22E1E" w14:textId="77777777" w:rsidR="000B6193" w:rsidRDefault="000B6193" w:rsidP="000B6193">
      <w:pPr>
        <w:pStyle w:val="FooterTableFigure"/>
        <w:rPr>
          <w:rFonts w:eastAsia="MS Gothic"/>
        </w:rPr>
      </w:pPr>
      <w:r w:rsidRPr="00C73605">
        <w:rPr>
          <w:rFonts w:eastAsia="MS Gothic"/>
        </w:rPr>
        <w:t>P-values are for test of difference</w:t>
      </w:r>
    </w:p>
    <w:p w14:paraId="581017BA" w14:textId="77777777" w:rsidR="000B6193" w:rsidRDefault="000B6193" w:rsidP="000B6193">
      <w:pPr>
        <w:pStyle w:val="FooterTableFigure"/>
        <w:rPr>
          <w:rFonts w:eastAsia="MS Gothic"/>
        </w:rPr>
      </w:pPr>
      <w:r w:rsidRPr="0015113A">
        <w:rPr>
          <w:rFonts w:eastAsia="MS Gothic"/>
          <w:b/>
          <w:bCs/>
        </w:rPr>
        <w:t>Bold</w:t>
      </w:r>
      <w:r w:rsidRPr="0015113A">
        <w:rPr>
          <w:rFonts w:eastAsia="MS Gothic"/>
        </w:rPr>
        <w:t xml:space="preserve"> indicates statistically significant results.</w:t>
      </w:r>
    </w:p>
    <w:p w14:paraId="0CB26B20" w14:textId="1A80C0D1" w:rsidR="000B6193" w:rsidRPr="000B6193" w:rsidRDefault="000B6193" w:rsidP="00B7760B">
      <w:pPr>
        <w:widowControl w:val="0"/>
        <w:numPr>
          <w:ilvl w:val="1"/>
          <w:numId w:val="1"/>
        </w:numPr>
        <w:spacing w:after="120"/>
        <w:ind w:left="720"/>
      </w:pPr>
      <w:r w:rsidRPr="000B6193">
        <w:t xml:space="preserve">At Week 8, the proportion of patients achieving PGA treatment success were 50.7% for the CAL/BDP cream group, 42.7% in the CAL/BDP gel group, and 6.1% in the vehicle group. CAL/BDP cream and CAL/BDP gel were statistically significantly more effective </w:t>
      </w:r>
      <w:r w:rsidRPr="000B6193">
        <w:lastRenderedPageBreak/>
        <w:t>than the vehicle, with an unadjusted rate difference of 0.4 (95% CI: 0.4, 0.5) and 0.4 (95% CI: 0.3, 0.5), respectively.</w:t>
      </w:r>
    </w:p>
    <w:p w14:paraId="4E2DC0B6" w14:textId="4F29AB0E" w:rsidR="00490A4E" w:rsidRPr="00B7760B" w:rsidRDefault="005101CF" w:rsidP="00B7760B">
      <w:pPr>
        <w:widowControl w:val="0"/>
        <w:numPr>
          <w:ilvl w:val="1"/>
          <w:numId w:val="1"/>
        </w:numPr>
        <w:spacing w:after="120"/>
        <w:ind w:left="720"/>
      </w:pPr>
      <w:r>
        <w:t xml:space="preserve">As both </w:t>
      </w:r>
      <w:r w:rsidR="000B6193" w:rsidRPr="000B6193">
        <w:t>CAL/BDP cream and CAL/BDP gel</w:t>
      </w:r>
      <w:r>
        <w:t xml:space="preserve"> demonstrated superiority over vehicle, a</w:t>
      </w:r>
      <w:r w:rsidR="000B6193" w:rsidRPr="000B6193">
        <w:t xml:space="preserve"> non-inferiority analysis comparing CAL/BDP cream to gel was conducted using a non-inferiority margin of -10% points. The unadjusted rate difference in PGA treatment success was 0.1 (95% CI: -0.02, 0.2). </w:t>
      </w:r>
      <w:r w:rsidR="000B6193" w:rsidRPr="00890C9A">
        <w:t>The submission concluded that non-inferiority was achieved</w:t>
      </w:r>
      <w:r w:rsidRPr="00890C9A">
        <w:t>,</w:t>
      </w:r>
      <w:r w:rsidR="000B6193" w:rsidRPr="00890C9A">
        <w:t xml:space="preserve"> as the lower bound of the 2-sided 95% CI was ≥-10%</w:t>
      </w:r>
      <w:r w:rsidR="00490A4E" w:rsidRPr="00890C9A">
        <w:t>.</w:t>
      </w:r>
      <w:r w:rsidR="00FD3691" w:rsidRPr="00FD3691">
        <w:t xml:space="preserve"> </w:t>
      </w:r>
    </w:p>
    <w:p w14:paraId="243D34F3" w14:textId="476CA243" w:rsidR="000B6193" w:rsidRDefault="004B7989" w:rsidP="00B7760B">
      <w:pPr>
        <w:widowControl w:val="0"/>
        <w:numPr>
          <w:ilvl w:val="1"/>
          <w:numId w:val="1"/>
        </w:numPr>
        <w:spacing w:after="120"/>
        <w:ind w:left="720"/>
        <w:rPr>
          <w:rFonts w:eastAsia="Calibri"/>
          <w:i/>
          <w:iCs/>
        </w:rPr>
      </w:pPr>
      <w:r>
        <w:t xml:space="preserve">The </w:t>
      </w:r>
      <w:r w:rsidR="000B6193" w:rsidRPr="000B6193">
        <w:t xml:space="preserve">log OR of </w:t>
      </w:r>
      <w:r w:rsidR="00051071">
        <w:t xml:space="preserve">CAL/BDP cream </w:t>
      </w:r>
      <w:r w:rsidR="00A41141">
        <w:t xml:space="preserve">and </w:t>
      </w:r>
      <w:r w:rsidR="000906ED">
        <w:t xml:space="preserve">gel was </w:t>
      </w:r>
      <w:r w:rsidR="000B6193" w:rsidRPr="000B6193">
        <w:t>0.5 (95% CI: 0.01, 0.9</w:t>
      </w:r>
      <w:r w:rsidR="000906ED">
        <w:t xml:space="preserve">0), </w:t>
      </w:r>
      <w:r w:rsidR="00593AE9">
        <w:t xml:space="preserve">which the submission stated showed </w:t>
      </w:r>
      <w:r w:rsidR="001B05E6">
        <w:t>a</w:t>
      </w:r>
      <w:r w:rsidR="00DF041B">
        <w:t xml:space="preserve"> </w:t>
      </w:r>
      <w:r w:rsidR="000906ED" w:rsidRPr="000906ED">
        <w:t xml:space="preserve">statistically significantly </w:t>
      </w:r>
      <w:r w:rsidR="001B05E6">
        <w:t xml:space="preserve">difference in treatment success in favour of </w:t>
      </w:r>
      <w:r w:rsidR="000906ED" w:rsidRPr="000906ED">
        <w:t xml:space="preserve">CAL/BDP </w:t>
      </w:r>
      <w:r w:rsidR="0086222A">
        <w:t xml:space="preserve">cream. </w:t>
      </w:r>
      <w:r w:rsidR="00056691" w:rsidRPr="00E6793C">
        <w:t>However, a</w:t>
      </w:r>
      <w:r w:rsidR="001F7EEF" w:rsidRPr="00E6793C">
        <w:t xml:space="preserve">s stated above in paragraph </w:t>
      </w:r>
      <w:r w:rsidR="001F7EEF" w:rsidRPr="00E6793C">
        <w:fldChar w:fldCharType="begin" w:fldLock="1"/>
      </w:r>
      <w:r w:rsidR="001F7EEF" w:rsidRPr="00E6793C">
        <w:instrText xml:space="preserve"> REF _Ref196218991 \r \h </w:instrText>
      </w:r>
      <w:r w:rsidR="00E6793C">
        <w:instrText xml:space="preserve"> \* MERGEFORMAT </w:instrText>
      </w:r>
      <w:r w:rsidR="001F7EEF" w:rsidRPr="00E6793C">
        <w:fldChar w:fldCharType="separate"/>
      </w:r>
      <w:r w:rsidR="00A661A0">
        <w:t>6.25</w:t>
      </w:r>
      <w:r w:rsidR="001F7EEF" w:rsidRPr="00E6793C">
        <w:fldChar w:fldCharType="end"/>
      </w:r>
      <w:r w:rsidR="005563EE" w:rsidRPr="00E6793C">
        <w:t>,</w:t>
      </w:r>
      <w:r w:rsidR="001F7EEF" w:rsidRPr="00E6793C">
        <w:rPr>
          <w:rFonts w:eastAsia="Calibri"/>
        </w:rPr>
        <w:t xml:space="preserve"> superiority should be pre-specified and formally tested.</w:t>
      </w:r>
    </w:p>
    <w:p w14:paraId="07A2DFA6" w14:textId="60B4F5BD" w:rsidR="00944F84" w:rsidRPr="00944F84" w:rsidRDefault="003D440C" w:rsidP="00433FE0">
      <w:pPr>
        <w:spacing w:after="240"/>
        <w:rPr>
          <w:b/>
          <w:bCs/>
        </w:rPr>
      </w:pPr>
      <w:r w:rsidRPr="00944F84">
        <w:rPr>
          <w:b/>
        </w:rPr>
        <w:t>Modified Psoriasis Area and Severity Index (</w:t>
      </w:r>
      <w:proofErr w:type="spellStart"/>
      <w:r w:rsidRPr="00944F84">
        <w:rPr>
          <w:b/>
        </w:rPr>
        <w:t>mPASI</w:t>
      </w:r>
      <w:proofErr w:type="spellEnd"/>
      <w:r w:rsidRPr="00944F84">
        <w:rPr>
          <w:b/>
        </w:rPr>
        <w:t>)</w:t>
      </w:r>
    </w:p>
    <w:p w14:paraId="0D65135B" w14:textId="2D99BB1C" w:rsidR="000B6193" w:rsidRDefault="000B6193" w:rsidP="000B6193">
      <w:pPr>
        <w:pStyle w:val="3-BodyText"/>
      </w:pPr>
      <w:r w:rsidRPr="000B6193">
        <w:t xml:space="preserve">The results on </w:t>
      </w:r>
      <w:proofErr w:type="spellStart"/>
      <w:r>
        <w:t>mPASI</w:t>
      </w:r>
      <w:proofErr w:type="spellEnd"/>
      <w:r w:rsidRPr="000B6193">
        <w:t xml:space="preserve"> in MC2-01-C2 </w:t>
      </w:r>
      <w:r w:rsidR="00276C2E">
        <w:t>are</w:t>
      </w:r>
      <w:r w:rsidR="00276C2E" w:rsidRPr="000B6193">
        <w:t xml:space="preserve"> </w:t>
      </w:r>
      <w:r w:rsidRPr="000B6193">
        <w:t>presented in</w:t>
      </w:r>
      <w:r>
        <w:t xml:space="preserve"> </w:t>
      </w:r>
      <w:r>
        <w:fldChar w:fldCharType="begin" w:fldLock="1"/>
      </w:r>
      <w:r>
        <w:instrText xml:space="preserve"> REF _Ref195270425 \h </w:instrText>
      </w:r>
      <w:r>
        <w:fldChar w:fldCharType="separate"/>
      </w:r>
      <w:r>
        <w:t xml:space="preserve">Table </w:t>
      </w:r>
      <w:r>
        <w:rPr>
          <w:noProof/>
        </w:rPr>
        <w:t>7</w:t>
      </w:r>
      <w:r>
        <w:fldChar w:fldCharType="end"/>
      </w:r>
      <w:r>
        <w:t>.</w:t>
      </w:r>
    </w:p>
    <w:p w14:paraId="31F08784" w14:textId="04E7A490" w:rsidR="000B6193" w:rsidRDefault="000B6193" w:rsidP="000B6193">
      <w:pPr>
        <w:pStyle w:val="Caption"/>
      </w:pPr>
      <w:bookmarkStart w:id="37" w:name="_Ref195270425"/>
      <w:r>
        <w:t xml:space="preserve">Table </w:t>
      </w:r>
      <w:r w:rsidR="001B5200">
        <w:fldChar w:fldCharType="begin" w:fldLock="1"/>
      </w:r>
      <w:r w:rsidR="001B5200">
        <w:instrText xml:space="preserve"> SEQ Table \* ARABIC </w:instrText>
      </w:r>
      <w:r w:rsidR="001B5200">
        <w:fldChar w:fldCharType="separate"/>
      </w:r>
      <w:r w:rsidR="001B5200">
        <w:rPr>
          <w:noProof/>
        </w:rPr>
        <w:t>7</w:t>
      </w:r>
      <w:r w:rsidR="001B5200">
        <w:rPr>
          <w:noProof/>
        </w:rPr>
        <w:fldChar w:fldCharType="end"/>
      </w:r>
      <w:bookmarkEnd w:id="37"/>
      <w:r>
        <w:t xml:space="preserve">: </w:t>
      </w:r>
      <w:r w:rsidRPr="000B6193">
        <w:t xml:space="preserve">Percentage reduction from baseline in </w:t>
      </w:r>
      <w:proofErr w:type="spellStart"/>
      <w:r w:rsidRPr="000B6193">
        <w:t>mPASI</w:t>
      </w:r>
      <w:proofErr w:type="spellEnd"/>
      <w:r w:rsidRPr="000B6193">
        <w:t xml:space="preserve"> score at Week 8 in MC2-01-C2</w:t>
      </w:r>
    </w:p>
    <w:tbl>
      <w:tblPr>
        <w:tblStyle w:val="TableGrid"/>
        <w:tblW w:w="0" w:type="auto"/>
        <w:tblLook w:val="04A0" w:firstRow="1" w:lastRow="0" w:firstColumn="1" w:lastColumn="0" w:noHBand="0" w:noVBand="1"/>
        <w:tblCaption w:val="Table 7: Percentage reduction from baseline in mPASI score at Week 8 in MC2-01-C2"/>
      </w:tblPr>
      <w:tblGrid>
        <w:gridCol w:w="4390"/>
        <w:gridCol w:w="1559"/>
        <w:gridCol w:w="1478"/>
        <w:gridCol w:w="1590"/>
      </w:tblGrid>
      <w:tr w:rsidR="000B6193" w14:paraId="1DAF06D2" w14:textId="77777777" w:rsidTr="00674CB4">
        <w:tc>
          <w:tcPr>
            <w:tcW w:w="4390" w:type="dxa"/>
          </w:tcPr>
          <w:p w14:paraId="03940167" w14:textId="77777777" w:rsidR="000B6193" w:rsidRPr="00EF129F" w:rsidRDefault="000B6193" w:rsidP="002675DC">
            <w:pPr>
              <w:pStyle w:val="TableText0"/>
              <w:rPr>
                <w:noProof/>
              </w:rPr>
            </w:pPr>
          </w:p>
        </w:tc>
        <w:tc>
          <w:tcPr>
            <w:tcW w:w="1559" w:type="dxa"/>
            <w:vAlign w:val="center"/>
          </w:tcPr>
          <w:p w14:paraId="60066F7C" w14:textId="77777777" w:rsidR="000B6193" w:rsidRPr="00EF129F" w:rsidRDefault="000B6193" w:rsidP="002675DC">
            <w:pPr>
              <w:pStyle w:val="TableText0"/>
              <w:rPr>
                <w:b/>
                <w:noProof/>
              </w:rPr>
            </w:pPr>
            <w:r>
              <w:rPr>
                <w:b/>
                <w:noProof/>
              </w:rPr>
              <w:t>CAL/BDP cream</w:t>
            </w:r>
          </w:p>
        </w:tc>
        <w:tc>
          <w:tcPr>
            <w:tcW w:w="1478" w:type="dxa"/>
            <w:vAlign w:val="center"/>
          </w:tcPr>
          <w:p w14:paraId="71EFC22F" w14:textId="77777777" w:rsidR="000B6193" w:rsidRPr="00EF129F" w:rsidRDefault="000B6193" w:rsidP="002675DC">
            <w:pPr>
              <w:pStyle w:val="TableText0"/>
              <w:rPr>
                <w:b/>
                <w:noProof/>
              </w:rPr>
            </w:pPr>
            <w:r>
              <w:rPr>
                <w:b/>
                <w:noProof/>
              </w:rPr>
              <w:t>CAL/BDP gel</w:t>
            </w:r>
          </w:p>
        </w:tc>
        <w:tc>
          <w:tcPr>
            <w:tcW w:w="1590" w:type="dxa"/>
            <w:vAlign w:val="center"/>
          </w:tcPr>
          <w:p w14:paraId="15F9729F" w14:textId="77777777" w:rsidR="000B6193" w:rsidRPr="00EF129F" w:rsidRDefault="000B6193" w:rsidP="002675DC">
            <w:pPr>
              <w:pStyle w:val="TableText0"/>
              <w:rPr>
                <w:b/>
                <w:noProof/>
              </w:rPr>
            </w:pPr>
            <w:r w:rsidRPr="00EF129F">
              <w:rPr>
                <w:b/>
                <w:noProof/>
              </w:rPr>
              <w:t>Vehicle</w:t>
            </w:r>
          </w:p>
        </w:tc>
      </w:tr>
      <w:tr w:rsidR="000B6193" w14:paraId="09041F48" w14:textId="77777777" w:rsidTr="002675DC">
        <w:tc>
          <w:tcPr>
            <w:tcW w:w="9017" w:type="dxa"/>
            <w:gridSpan w:val="4"/>
            <w:vAlign w:val="center"/>
          </w:tcPr>
          <w:p w14:paraId="5EA55D96" w14:textId="77777777" w:rsidR="000B6193" w:rsidRPr="00EF129F" w:rsidRDefault="000B6193" w:rsidP="002675DC">
            <w:pPr>
              <w:pStyle w:val="TableText0"/>
              <w:rPr>
                <w:noProof/>
              </w:rPr>
            </w:pPr>
            <w:r w:rsidRPr="00D83F6C">
              <w:rPr>
                <w:b/>
                <w:noProof/>
              </w:rPr>
              <w:t>ITT Population (Multiple Imputation)</w:t>
            </w:r>
          </w:p>
        </w:tc>
      </w:tr>
      <w:tr w:rsidR="000B6193" w14:paraId="0924BE28" w14:textId="77777777" w:rsidTr="00674CB4">
        <w:tc>
          <w:tcPr>
            <w:tcW w:w="4390" w:type="dxa"/>
            <w:vAlign w:val="center"/>
          </w:tcPr>
          <w:p w14:paraId="7E30D42F" w14:textId="77777777" w:rsidR="000B6193" w:rsidRPr="00EF129F" w:rsidRDefault="000B6193" w:rsidP="002675DC">
            <w:pPr>
              <w:pStyle w:val="TableText0"/>
              <w:ind w:left="170"/>
              <w:rPr>
                <w:noProof/>
              </w:rPr>
            </w:pPr>
            <w:r>
              <w:rPr>
                <w:noProof/>
              </w:rPr>
              <w:t>N</w:t>
            </w:r>
          </w:p>
        </w:tc>
        <w:tc>
          <w:tcPr>
            <w:tcW w:w="1559" w:type="dxa"/>
            <w:vAlign w:val="center"/>
          </w:tcPr>
          <w:p w14:paraId="324916C5" w14:textId="77777777" w:rsidR="000B6193" w:rsidRPr="00EF129F" w:rsidRDefault="000B6193" w:rsidP="002675DC">
            <w:pPr>
              <w:pStyle w:val="TableText0"/>
              <w:rPr>
                <w:noProof/>
              </w:rPr>
            </w:pPr>
            <w:r>
              <w:rPr>
                <w:noProof/>
              </w:rPr>
              <w:t>342</w:t>
            </w:r>
          </w:p>
        </w:tc>
        <w:tc>
          <w:tcPr>
            <w:tcW w:w="1478" w:type="dxa"/>
            <w:vAlign w:val="center"/>
          </w:tcPr>
          <w:p w14:paraId="38FB5B9C" w14:textId="77777777" w:rsidR="000B6193" w:rsidRPr="00EF129F" w:rsidRDefault="000B6193" w:rsidP="002675DC">
            <w:pPr>
              <w:pStyle w:val="TableText0"/>
              <w:rPr>
                <w:noProof/>
              </w:rPr>
            </w:pPr>
            <w:r>
              <w:rPr>
                <w:noProof/>
              </w:rPr>
              <w:t>337</w:t>
            </w:r>
          </w:p>
        </w:tc>
        <w:tc>
          <w:tcPr>
            <w:tcW w:w="1590" w:type="dxa"/>
            <w:vAlign w:val="center"/>
          </w:tcPr>
          <w:p w14:paraId="1DF6338F" w14:textId="77777777" w:rsidR="000B6193" w:rsidRPr="00EF129F" w:rsidRDefault="000B6193" w:rsidP="002675DC">
            <w:pPr>
              <w:pStyle w:val="TableText0"/>
              <w:rPr>
                <w:noProof/>
              </w:rPr>
            </w:pPr>
            <w:r>
              <w:rPr>
                <w:noProof/>
              </w:rPr>
              <w:t>115</w:t>
            </w:r>
          </w:p>
        </w:tc>
      </w:tr>
      <w:tr w:rsidR="000B6193" w14:paraId="6AE9B8C8" w14:textId="77777777" w:rsidTr="00674CB4">
        <w:tc>
          <w:tcPr>
            <w:tcW w:w="4390" w:type="dxa"/>
            <w:vAlign w:val="center"/>
          </w:tcPr>
          <w:p w14:paraId="619FC9C3" w14:textId="6A552F78" w:rsidR="000B6193" w:rsidRPr="00EF129F" w:rsidRDefault="000B6193" w:rsidP="002675DC">
            <w:pPr>
              <w:pStyle w:val="TableText0"/>
              <w:ind w:left="170"/>
              <w:rPr>
                <w:noProof/>
              </w:rPr>
            </w:pPr>
            <w:r>
              <w:rPr>
                <w:noProof/>
              </w:rPr>
              <w:t>Mean</w:t>
            </w:r>
            <w:r w:rsidR="002A32A3">
              <w:t xml:space="preserve"> p</w:t>
            </w:r>
            <w:r w:rsidR="002A32A3" w:rsidRPr="002A32A3">
              <w:rPr>
                <w:noProof/>
              </w:rPr>
              <w:t xml:space="preserve">ercentage change in mPASI from </w:t>
            </w:r>
            <w:r w:rsidR="00DB275B">
              <w:rPr>
                <w:noProof/>
              </w:rPr>
              <w:t>b</w:t>
            </w:r>
            <w:r w:rsidR="002A32A3" w:rsidRPr="002A32A3">
              <w:rPr>
                <w:noProof/>
              </w:rPr>
              <w:t>aseline</w:t>
            </w:r>
            <w:r w:rsidR="002A32A3">
              <w:rPr>
                <w:noProof/>
              </w:rPr>
              <w:t xml:space="preserve"> (%)</w:t>
            </w:r>
          </w:p>
        </w:tc>
        <w:tc>
          <w:tcPr>
            <w:tcW w:w="1559" w:type="dxa"/>
            <w:vAlign w:val="center"/>
          </w:tcPr>
          <w:p w14:paraId="4A0C37BF" w14:textId="77777777" w:rsidR="000B6193" w:rsidRPr="00EF129F" w:rsidRDefault="000B6193" w:rsidP="002675DC">
            <w:pPr>
              <w:pStyle w:val="TableText0"/>
              <w:rPr>
                <w:noProof/>
              </w:rPr>
            </w:pPr>
            <w:r>
              <w:rPr>
                <w:noProof/>
              </w:rPr>
              <w:t>62.9</w:t>
            </w:r>
          </w:p>
        </w:tc>
        <w:tc>
          <w:tcPr>
            <w:tcW w:w="1478" w:type="dxa"/>
            <w:vAlign w:val="center"/>
          </w:tcPr>
          <w:p w14:paraId="51C38888" w14:textId="77777777" w:rsidR="000B6193" w:rsidRPr="00EF129F" w:rsidRDefault="000B6193" w:rsidP="002675DC">
            <w:pPr>
              <w:pStyle w:val="TableText0"/>
              <w:rPr>
                <w:noProof/>
              </w:rPr>
            </w:pPr>
            <w:r>
              <w:rPr>
                <w:noProof/>
              </w:rPr>
              <w:t>51.3</w:t>
            </w:r>
          </w:p>
        </w:tc>
        <w:tc>
          <w:tcPr>
            <w:tcW w:w="1590" w:type="dxa"/>
            <w:vAlign w:val="center"/>
          </w:tcPr>
          <w:p w14:paraId="5559A3B2" w14:textId="77777777" w:rsidR="000B6193" w:rsidRPr="00EF129F" w:rsidRDefault="000B6193" w:rsidP="002675DC">
            <w:pPr>
              <w:pStyle w:val="TableText0"/>
              <w:rPr>
                <w:noProof/>
              </w:rPr>
            </w:pPr>
            <w:r>
              <w:rPr>
                <w:noProof/>
              </w:rPr>
              <w:t>22.9</w:t>
            </w:r>
          </w:p>
        </w:tc>
      </w:tr>
      <w:tr w:rsidR="000B6193" w14:paraId="1D2D8520" w14:textId="77777777" w:rsidTr="002675DC">
        <w:tc>
          <w:tcPr>
            <w:tcW w:w="9017" w:type="dxa"/>
            <w:gridSpan w:val="4"/>
            <w:vAlign w:val="center"/>
          </w:tcPr>
          <w:p w14:paraId="2362B7AF" w14:textId="77777777" w:rsidR="000B6193" w:rsidRPr="00EF129F" w:rsidRDefault="000B6193" w:rsidP="002675DC">
            <w:pPr>
              <w:pStyle w:val="TableText0"/>
              <w:rPr>
                <w:noProof/>
              </w:rPr>
            </w:pPr>
            <w:r>
              <w:rPr>
                <w:noProof/>
              </w:rPr>
              <w:t>Superiority Analysis, ANCOVA</w:t>
            </w:r>
            <w:r w:rsidRPr="00C11C3E">
              <w:rPr>
                <w:noProof/>
                <w:vertAlign w:val="superscript"/>
              </w:rPr>
              <w:t>a</w:t>
            </w:r>
          </w:p>
        </w:tc>
      </w:tr>
      <w:tr w:rsidR="000B6193" w14:paraId="67E8A6A1" w14:textId="77777777" w:rsidTr="00674CB4">
        <w:tc>
          <w:tcPr>
            <w:tcW w:w="4390" w:type="dxa"/>
            <w:vAlign w:val="center"/>
          </w:tcPr>
          <w:p w14:paraId="7658DA37" w14:textId="77777777" w:rsidR="000B6193" w:rsidRPr="00EF129F" w:rsidRDefault="000B6193" w:rsidP="002675DC">
            <w:pPr>
              <w:pStyle w:val="TableText0"/>
              <w:ind w:left="170"/>
              <w:rPr>
                <w:noProof/>
              </w:rPr>
            </w:pPr>
            <w:r>
              <w:rPr>
                <w:noProof/>
              </w:rPr>
              <w:t>LSM (SE)</w:t>
            </w:r>
          </w:p>
        </w:tc>
        <w:tc>
          <w:tcPr>
            <w:tcW w:w="1559" w:type="dxa"/>
            <w:vAlign w:val="center"/>
          </w:tcPr>
          <w:p w14:paraId="49B855A8" w14:textId="77777777" w:rsidR="000B6193" w:rsidRPr="00EF129F" w:rsidRDefault="000B6193" w:rsidP="002675DC">
            <w:pPr>
              <w:pStyle w:val="TableText0"/>
              <w:rPr>
                <w:noProof/>
              </w:rPr>
            </w:pPr>
            <w:r>
              <w:rPr>
                <w:noProof/>
              </w:rPr>
              <w:t>63.2 (1.8)</w:t>
            </w:r>
          </w:p>
        </w:tc>
        <w:tc>
          <w:tcPr>
            <w:tcW w:w="1478" w:type="dxa"/>
            <w:vAlign w:val="center"/>
          </w:tcPr>
          <w:p w14:paraId="3FBAFA9A" w14:textId="77777777" w:rsidR="000B6193" w:rsidRPr="00EF129F" w:rsidRDefault="000B6193" w:rsidP="002675DC">
            <w:pPr>
              <w:pStyle w:val="TableText0"/>
              <w:rPr>
                <w:noProof/>
              </w:rPr>
            </w:pPr>
            <w:r>
              <w:rPr>
                <w:noProof/>
              </w:rPr>
              <w:t>51.1 (1.8)</w:t>
            </w:r>
          </w:p>
        </w:tc>
        <w:tc>
          <w:tcPr>
            <w:tcW w:w="1590" w:type="dxa"/>
            <w:vAlign w:val="center"/>
          </w:tcPr>
          <w:p w14:paraId="032CC75B" w14:textId="77777777" w:rsidR="000B6193" w:rsidRPr="00EF129F" w:rsidRDefault="000B6193" w:rsidP="002675DC">
            <w:pPr>
              <w:pStyle w:val="TableText0"/>
              <w:rPr>
                <w:noProof/>
              </w:rPr>
            </w:pPr>
            <w:r>
              <w:rPr>
                <w:noProof/>
              </w:rPr>
              <w:t>22.8 (3.5)</w:t>
            </w:r>
          </w:p>
        </w:tc>
      </w:tr>
      <w:tr w:rsidR="000B6193" w14:paraId="2A2610BA" w14:textId="77777777" w:rsidTr="00674CB4">
        <w:tc>
          <w:tcPr>
            <w:tcW w:w="4390" w:type="dxa"/>
            <w:vAlign w:val="center"/>
          </w:tcPr>
          <w:p w14:paraId="634D4DA6" w14:textId="3F002278" w:rsidR="000B6193" w:rsidRPr="00EF129F" w:rsidRDefault="000B6193" w:rsidP="002675DC">
            <w:pPr>
              <w:pStyle w:val="TableText0"/>
              <w:ind w:left="170"/>
              <w:rPr>
                <w:noProof/>
              </w:rPr>
            </w:pPr>
            <w:r>
              <w:rPr>
                <w:noProof/>
              </w:rPr>
              <w:t>LSM Difference [</w:t>
            </w:r>
            <w:r w:rsidRPr="00E5066C">
              <w:rPr>
                <w:noProof/>
              </w:rPr>
              <w:t>CAL/BDP cream</w:t>
            </w:r>
            <w:r>
              <w:rPr>
                <w:noProof/>
              </w:rPr>
              <w:t xml:space="preserve"> or gel </w:t>
            </w:r>
            <w:r w:rsidR="003E4957">
              <w:rPr>
                <w:noProof/>
              </w:rPr>
              <w:t>vs</w:t>
            </w:r>
            <w:r w:rsidR="007E63B9">
              <w:rPr>
                <w:noProof/>
              </w:rPr>
              <w:t>.</w:t>
            </w:r>
            <w:r w:rsidR="003E4957">
              <w:rPr>
                <w:noProof/>
              </w:rPr>
              <w:t xml:space="preserve"> </w:t>
            </w:r>
            <w:r w:rsidR="00082A27">
              <w:rPr>
                <w:noProof/>
              </w:rPr>
              <w:t>v</w:t>
            </w:r>
            <w:r>
              <w:rPr>
                <w:noProof/>
              </w:rPr>
              <w:t>ehicle] (SE)</w:t>
            </w:r>
          </w:p>
        </w:tc>
        <w:tc>
          <w:tcPr>
            <w:tcW w:w="1559" w:type="dxa"/>
            <w:vAlign w:val="center"/>
          </w:tcPr>
          <w:p w14:paraId="27A8BE03" w14:textId="77777777" w:rsidR="000B6193" w:rsidRPr="00951E7C" w:rsidRDefault="000B6193" w:rsidP="002675DC">
            <w:pPr>
              <w:pStyle w:val="TableText0"/>
              <w:rPr>
                <w:b/>
                <w:bCs w:val="0"/>
                <w:noProof/>
              </w:rPr>
            </w:pPr>
            <w:r w:rsidRPr="00951E7C">
              <w:rPr>
                <w:b/>
                <w:bCs w:val="0"/>
                <w:noProof/>
              </w:rPr>
              <w:t>40.4 (3.9)</w:t>
            </w:r>
          </w:p>
        </w:tc>
        <w:tc>
          <w:tcPr>
            <w:tcW w:w="1478" w:type="dxa"/>
            <w:vAlign w:val="center"/>
          </w:tcPr>
          <w:p w14:paraId="0F8E315D" w14:textId="77777777" w:rsidR="000B6193" w:rsidRPr="00951E7C" w:rsidRDefault="000B6193" w:rsidP="002675DC">
            <w:pPr>
              <w:pStyle w:val="TableText0"/>
              <w:rPr>
                <w:b/>
                <w:bCs w:val="0"/>
                <w:noProof/>
              </w:rPr>
            </w:pPr>
            <w:r w:rsidRPr="00951E7C">
              <w:rPr>
                <w:b/>
                <w:bCs w:val="0"/>
                <w:noProof/>
              </w:rPr>
              <w:t>28.</w:t>
            </w:r>
            <w:r>
              <w:rPr>
                <w:b/>
                <w:bCs w:val="0"/>
                <w:noProof/>
              </w:rPr>
              <w:t>4</w:t>
            </w:r>
            <w:r w:rsidRPr="00951E7C">
              <w:rPr>
                <w:b/>
                <w:bCs w:val="0"/>
                <w:noProof/>
              </w:rPr>
              <w:t xml:space="preserve"> (3.9)</w:t>
            </w:r>
          </w:p>
        </w:tc>
        <w:tc>
          <w:tcPr>
            <w:tcW w:w="1590" w:type="dxa"/>
            <w:vAlign w:val="center"/>
          </w:tcPr>
          <w:p w14:paraId="5D088012" w14:textId="77777777" w:rsidR="000B6193" w:rsidRPr="00EF129F" w:rsidRDefault="000B6193" w:rsidP="002675DC">
            <w:pPr>
              <w:pStyle w:val="TableText0"/>
              <w:rPr>
                <w:noProof/>
              </w:rPr>
            </w:pPr>
            <w:r>
              <w:rPr>
                <w:noProof/>
              </w:rPr>
              <w:t>-</w:t>
            </w:r>
          </w:p>
        </w:tc>
      </w:tr>
      <w:tr w:rsidR="000B6193" w14:paraId="222ADFB2" w14:textId="77777777" w:rsidTr="002675DC">
        <w:tc>
          <w:tcPr>
            <w:tcW w:w="9017" w:type="dxa"/>
            <w:gridSpan w:val="4"/>
            <w:vAlign w:val="center"/>
          </w:tcPr>
          <w:p w14:paraId="115C6F6A" w14:textId="77777777" w:rsidR="000B6193" w:rsidRPr="00EF129F" w:rsidRDefault="000B6193" w:rsidP="002675DC">
            <w:pPr>
              <w:pStyle w:val="TableText0"/>
              <w:rPr>
                <w:noProof/>
              </w:rPr>
            </w:pPr>
            <w:r w:rsidRPr="00D83F6C">
              <w:rPr>
                <w:b/>
                <w:noProof/>
              </w:rPr>
              <w:t>Per-protocol Population (Observed Cases)</w:t>
            </w:r>
          </w:p>
        </w:tc>
      </w:tr>
      <w:tr w:rsidR="000B6193" w14:paraId="47EE4DE7" w14:textId="77777777" w:rsidTr="00674CB4">
        <w:tc>
          <w:tcPr>
            <w:tcW w:w="4390" w:type="dxa"/>
            <w:vAlign w:val="center"/>
          </w:tcPr>
          <w:p w14:paraId="61D46D41" w14:textId="77777777" w:rsidR="000B6193" w:rsidRPr="00EF129F" w:rsidRDefault="000B6193" w:rsidP="002675DC">
            <w:pPr>
              <w:pStyle w:val="TableText0"/>
              <w:ind w:left="170"/>
              <w:rPr>
                <w:noProof/>
              </w:rPr>
            </w:pPr>
            <w:r w:rsidRPr="00454BD1">
              <w:rPr>
                <w:noProof/>
              </w:rPr>
              <w:t>N</w:t>
            </w:r>
          </w:p>
        </w:tc>
        <w:tc>
          <w:tcPr>
            <w:tcW w:w="1559" w:type="dxa"/>
            <w:vAlign w:val="center"/>
          </w:tcPr>
          <w:p w14:paraId="2D703C4B" w14:textId="77777777" w:rsidR="000B6193" w:rsidRPr="00EF129F" w:rsidRDefault="000B6193" w:rsidP="002675DC">
            <w:pPr>
              <w:pStyle w:val="TableText0"/>
              <w:rPr>
                <w:noProof/>
              </w:rPr>
            </w:pPr>
            <w:r>
              <w:rPr>
                <w:noProof/>
              </w:rPr>
              <w:t>302</w:t>
            </w:r>
          </w:p>
        </w:tc>
        <w:tc>
          <w:tcPr>
            <w:tcW w:w="1478" w:type="dxa"/>
            <w:vAlign w:val="center"/>
          </w:tcPr>
          <w:p w14:paraId="45C5CF61" w14:textId="77777777" w:rsidR="000B6193" w:rsidRPr="00EF129F" w:rsidRDefault="000B6193" w:rsidP="002675DC">
            <w:pPr>
              <w:pStyle w:val="TableText0"/>
              <w:rPr>
                <w:noProof/>
              </w:rPr>
            </w:pPr>
            <w:r>
              <w:rPr>
                <w:noProof/>
              </w:rPr>
              <w:t>279</w:t>
            </w:r>
          </w:p>
        </w:tc>
        <w:tc>
          <w:tcPr>
            <w:tcW w:w="1590" w:type="dxa"/>
            <w:vAlign w:val="center"/>
          </w:tcPr>
          <w:p w14:paraId="50B196AD" w14:textId="77777777" w:rsidR="000B6193" w:rsidRPr="00EF129F" w:rsidRDefault="000B6193" w:rsidP="002675DC">
            <w:pPr>
              <w:pStyle w:val="TableText0"/>
              <w:rPr>
                <w:noProof/>
              </w:rPr>
            </w:pPr>
            <w:r>
              <w:rPr>
                <w:noProof/>
              </w:rPr>
              <w:t>88</w:t>
            </w:r>
          </w:p>
        </w:tc>
      </w:tr>
      <w:tr w:rsidR="000B6193" w14:paraId="1824F170" w14:textId="77777777" w:rsidTr="00674CB4">
        <w:tc>
          <w:tcPr>
            <w:tcW w:w="4390" w:type="dxa"/>
            <w:vAlign w:val="center"/>
          </w:tcPr>
          <w:p w14:paraId="1C2F75B4" w14:textId="77777777" w:rsidR="000B6193" w:rsidRPr="00EF129F" w:rsidRDefault="000B6193" w:rsidP="002675DC">
            <w:pPr>
              <w:pStyle w:val="TableText0"/>
              <w:ind w:left="170"/>
              <w:rPr>
                <w:noProof/>
              </w:rPr>
            </w:pPr>
            <w:r w:rsidRPr="00454BD1">
              <w:rPr>
                <w:noProof/>
              </w:rPr>
              <w:t>Mean (SD)</w:t>
            </w:r>
          </w:p>
        </w:tc>
        <w:tc>
          <w:tcPr>
            <w:tcW w:w="1559" w:type="dxa"/>
            <w:vAlign w:val="center"/>
          </w:tcPr>
          <w:p w14:paraId="63C34B9C" w14:textId="77777777" w:rsidR="000B6193" w:rsidRPr="00EF129F" w:rsidRDefault="000B6193" w:rsidP="002675DC">
            <w:pPr>
              <w:pStyle w:val="TableText0"/>
              <w:rPr>
                <w:noProof/>
              </w:rPr>
            </w:pPr>
            <w:r>
              <w:rPr>
                <w:noProof/>
              </w:rPr>
              <w:t>64.8 (28.7)</w:t>
            </w:r>
          </w:p>
        </w:tc>
        <w:tc>
          <w:tcPr>
            <w:tcW w:w="1478" w:type="dxa"/>
            <w:vAlign w:val="center"/>
          </w:tcPr>
          <w:p w14:paraId="56389BFA" w14:textId="77777777" w:rsidR="000B6193" w:rsidRPr="00EF129F" w:rsidRDefault="000B6193" w:rsidP="002675DC">
            <w:pPr>
              <w:pStyle w:val="TableText0"/>
              <w:rPr>
                <w:noProof/>
              </w:rPr>
            </w:pPr>
            <w:r>
              <w:rPr>
                <w:noProof/>
              </w:rPr>
              <w:t>52.3 (33.3)</w:t>
            </w:r>
          </w:p>
        </w:tc>
        <w:tc>
          <w:tcPr>
            <w:tcW w:w="1590" w:type="dxa"/>
            <w:vAlign w:val="center"/>
          </w:tcPr>
          <w:p w14:paraId="54C4ACC5" w14:textId="77777777" w:rsidR="000B6193" w:rsidRPr="00EF129F" w:rsidRDefault="000B6193" w:rsidP="002675DC">
            <w:pPr>
              <w:pStyle w:val="TableText0"/>
              <w:rPr>
                <w:noProof/>
              </w:rPr>
            </w:pPr>
            <w:r>
              <w:rPr>
                <w:noProof/>
              </w:rPr>
              <w:t>25.7 (35.3)</w:t>
            </w:r>
          </w:p>
        </w:tc>
      </w:tr>
      <w:tr w:rsidR="000B6193" w14:paraId="5255A8C8" w14:textId="77777777" w:rsidTr="002675DC">
        <w:tc>
          <w:tcPr>
            <w:tcW w:w="9017" w:type="dxa"/>
            <w:gridSpan w:val="4"/>
            <w:vAlign w:val="center"/>
          </w:tcPr>
          <w:p w14:paraId="3E049F07" w14:textId="77777777" w:rsidR="000B6193" w:rsidRPr="00EF129F" w:rsidRDefault="000B6193" w:rsidP="002675DC">
            <w:pPr>
              <w:pStyle w:val="TableText0"/>
              <w:rPr>
                <w:noProof/>
              </w:rPr>
            </w:pPr>
            <w:r>
              <w:rPr>
                <w:noProof/>
              </w:rPr>
              <w:t>Non-inferiority Analysis, ANCOVA</w:t>
            </w:r>
            <w:r w:rsidRPr="00E27768">
              <w:rPr>
                <w:noProof/>
                <w:vertAlign w:val="superscript"/>
              </w:rPr>
              <w:t>a</w:t>
            </w:r>
          </w:p>
        </w:tc>
      </w:tr>
      <w:tr w:rsidR="000B6193" w14:paraId="3E77A58E" w14:textId="77777777" w:rsidTr="00674CB4">
        <w:tc>
          <w:tcPr>
            <w:tcW w:w="4390" w:type="dxa"/>
            <w:vAlign w:val="center"/>
          </w:tcPr>
          <w:p w14:paraId="3B38E74F" w14:textId="77777777" w:rsidR="000B6193" w:rsidRPr="00454BD1" w:rsidRDefault="000B6193" w:rsidP="002675DC">
            <w:pPr>
              <w:pStyle w:val="TableText0"/>
              <w:ind w:left="340"/>
              <w:rPr>
                <w:noProof/>
              </w:rPr>
            </w:pPr>
            <w:r>
              <w:rPr>
                <w:noProof/>
              </w:rPr>
              <w:t>LSM (SE)</w:t>
            </w:r>
          </w:p>
        </w:tc>
        <w:tc>
          <w:tcPr>
            <w:tcW w:w="1559" w:type="dxa"/>
            <w:vAlign w:val="center"/>
          </w:tcPr>
          <w:p w14:paraId="110E95B2" w14:textId="77777777" w:rsidR="000B6193" w:rsidRPr="00EF129F" w:rsidRDefault="000B6193" w:rsidP="002675DC">
            <w:pPr>
              <w:pStyle w:val="TableText0"/>
              <w:rPr>
                <w:noProof/>
              </w:rPr>
            </w:pPr>
            <w:r>
              <w:rPr>
                <w:noProof/>
              </w:rPr>
              <w:t>65.1 (1.7)</w:t>
            </w:r>
          </w:p>
        </w:tc>
        <w:tc>
          <w:tcPr>
            <w:tcW w:w="1478" w:type="dxa"/>
            <w:vAlign w:val="center"/>
          </w:tcPr>
          <w:p w14:paraId="779198E4" w14:textId="77777777" w:rsidR="000B6193" w:rsidRPr="00EF129F" w:rsidRDefault="000B6193" w:rsidP="002675DC">
            <w:pPr>
              <w:pStyle w:val="TableText0"/>
              <w:rPr>
                <w:noProof/>
              </w:rPr>
            </w:pPr>
            <w:r>
              <w:rPr>
                <w:noProof/>
              </w:rPr>
              <w:t>52.0 (1.8)</w:t>
            </w:r>
          </w:p>
        </w:tc>
        <w:tc>
          <w:tcPr>
            <w:tcW w:w="1590" w:type="dxa"/>
            <w:vAlign w:val="center"/>
          </w:tcPr>
          <w:p w14:paraId="27A34AC1" w14:textId="77777777" w:rsidR="000B6193" w:rsidRPr="00EF129F" w:rsidRDefault="000B6193" w:rsidP="002675DC">
            <w:pPr>
              <w:pStyle w:val="TableText0"/>
              <w:rPr>
                <w:noProof/>
              </w:rPr>
            </w:pPr>
            <w:r>
              <w:rPr>
                <w:noProof/>
              </w:rPr>
              <w:t>25.4 (3.2)</w:t>
            </w:r>
          </w:p>
        </w:tc>
      </w:tr>
      <w:tr w:rsidR="000B6193" w14:paraId="20895BE5" w14:textId="77777777" w:rsidTr="00674CB4">
        <w:tc>
          <w:tcPr>
            <w:tcW w:w="4390" w:type="dxa"/>
            <w:vAlign w:val="center"/>
          </w:tcPr>
          <w:p w14:paraId="0F171174" w14:textId="7C5590CA" w:rsidR="000B6193" w:rsidRPr="00EF129F" w:rsidRDefault="000B6193" w:rsidP="002675DC">
            <w:pPr>
              <w:pStyle w:val="TableText0"/>
              <w:ind w:left="340"/>
              <w:rPr>
                <w:noProof/>
              </w:rPr>
            </w:pPr>
            <w:r>
              <w:rPr>
                <w:noProof/>
              </w:rPr>
              <w:t>LSM Difference (</w:t>
            </w:r>
            <w:r w:rsidRPr="00E5066C">
              <w:rPr>
                <w:noProof/>
              </w:rPr>
              <w:t>CAL/BDP cream</w:t>
            </w:r>
            <w:r>
              <w:rPr>
                <w:noProof/>
              </w:rPr>
              <w:t xml:space="preserve"> vs</w:t>
            </w:r>
            <w:r w:rsidR="007E63B9">
              <w:rPr>
                <w:noProof/>
              </w:rPr>
              <w:t>.</w:t>
            </w:r>
            <w:r>
              <w:rPr>
                <w:noProof/>
              </w:rPr>
              <w:t xml:space="preserve"> gel) (SE)</w:t>
            </w:r>
          </w:p>
        </w:tc>
        <w:tc>
          <w:tcPr>
            <w:tcW w:w="1559" w:type="dxa"/>
            <w:vAlign w:val="center"/>
          </w:tcPr>
          <w:p w14:paraId="030552F4" w14:textId="77777777" w:rsidR="000B6193" w:rsidRPr="00EF129F" w:rsidRDefault="000B6193" w:rsidP="002675DC">
            <w:pPr>
              <w:pStyle w:val="TableText0"/>
              <w:rPr>
                <w:noProof/>
              </w:rPr>
            </w:pPr>
            <w:r>
              <w:rPr>
                <w:noProof/>
              </w:rPr>
              <w:t>13.1 (2.5)</w:t>
            </w:r>
          </w:p>
        </w:tc>
        <w:tc>
          <w:tcPr>
            <w:tcW w:w="1478" w:type="dxa"/>
            <w:vAlign w:val="center"/>
          </w:tcPr>
          <w:p w14:paraId="7E4C1CE0" w14:textId="77777777" w:rsidR="000B6193" w:rsidRPr="00EF129F" w:rsidRDefault="000B6193" w:rsidP="002675DC">
            <w:pPr>
              <w:pStyle w:val="TableText0"/>
              <w:rPr>
                <w:noProof/>
              </w:rPr>
            </w:pPr>
            <w:r>
              <w:rPr>
                <w:noProof/>
              </w:rPr>
              <w:t>-</w:t>
            </w:r>
          </w:p>
        </w:tc>
        <w:tc>
          <w:tcPr>
            <w:tcW w:w="1590" w:type="dxa"/>
            <w:vAlign w:val="center"/>
          </w:tcPr>
          <w:p w14:paraId="48FCAD18" w14:textId="77777777" w:rsidR="000B6193" w:rsidRPr="00EF129F" w:rsidRDefault="000B6193" w:rsidP="002675DC">
            <w:pPr>
              <w:pStyle w:val="TableText0"/>
              <w:rPr>
                <w:noProof/>
              </w:rPr>
            </w:pPr>
            <w:r>
              <w:rPr>
                <w:noProof/>
              </w:rPr>
              <w:t>-</w:t>
            </w:r>
          </w:p>
        </w:tc>
      </w:tr>
      <w:tr w:rsidR="000B6193" w14:paraId="213AE5FF" w14:textId="77777777" w:rsidTr="00674CB4">
        <w:tc>
          <w:tcPr>
            <w:tcW w:w="4390" w:type="dxa"/>
            <w:vAlign w:val="center"/>
          </w:tcPr>
          <w:p w14:paraId="5097226D" w14:textId="77777777" w:rsidR="000B6193" w:rsidRDefault="000B6193" w:rsidP="002675DC">
            <w:pPr>
              <w:pStyle w:val="TableText0"/>
              <w:ind w:left="340"/>
              <w:rPr>
                <w:noProof/>
              </w:rPr>
            </w:pPr>
            <w:r>
              <w:rPr>
                <w:noProof/>
              </w:rPr>
              <w:t>96.7% CI</w:t>
            </w:r>
          </w:p>
        </w:tc>
        <w:tc>
          <w:tcPr>
            <w:tcW w:w="1559" w:type="dxa"/>
            <w:vAlign w:val="center"/>
          </w:tcPr>
          <w:p w14:paraId="51109F51" w14:textId="77777777" w:rsidR="000B6193" w:rsidRPr="00EF129F" w:rsidRDefault="000B6193" w:rsidP="002675DC">
            <w:pPr>
              <w:pStyle w:val="TableText0"/>
              <w:rPr>
                <w:noProof/>
              </w:rPr>
            </w:pPr>
            <w:r>
              <w:rPr>
                <w:noProof/>
              </w:rPr>
              <w:t>7.8, 18.4</w:t>
            </w:r>
          </w:p>
        </w:tc>
        <w:tc>
          <w:tcPr>
            <w:tcW w:w="1478" w:type="dxa"/>
            <w:vAlign w:val="center"/>
          </w:tcPr>
          <w:p w14:paraId="05BCB99A" w14:textId="77777777" w:rsidR="000B6193" w:rsidRPr="00EF129F" w:rsidRDefault="000B6193" w:rsidP="002675DC">
            <w:pPr>
              <w:pStyle w:val="TableText0"/>
              <w:rPr>
                <w:noProof/>
              </w:rPr>
            </w:pPr>
            <w:r>
              <w:rPr>
                <w:noProof/>
              </w:rPr>
              <w:t>-</w:t>
            </w:r>
          </w:p>
        </w:tc>
        <w:tc>
          <w:tcPr>
            <w:tcW w:w="1590" w:type="dxa"/>
            <w:vAlign w:val="center"/>
          </w:tcPr>
          <w:p w14:paraId="3428EDE3" w14:textId="77777777" w:rsidR="000B6193" w:rsidRPr="00EF129F" w:rsidRDefault="000B6193" w:rsidP="002675DC">
            <w:pPr>
              <w:pStyle w:val="TableText0"/>
              <w:rPr>
                <w:noProof/>
              </w:rPr>
            </w:pPr>
            <w:r>
              <w:rPr>
                <w:noProof/>
              </w:rPr>
              <w:t>-</w:t>
            </w:r>
          </w:p>
        </w:tc>
      </w:tr>
    </w:tbl>
    <w:p w14:paraId="6C6DEA5A" w14:textId="77777777" w:rsidR="000B6193" w:rsidRPr="00844A8A" w:rsidRDefault="000B6193" w:rsidP="000B6193">
      <w:pPr>
        <w:pStyle w:val="TableFigureFooter"/>
      </w:pPr>
      <w:r w:rsidRPr="00844A8A">
        <w:t>Source: Table 2-38, p85 of the submission</w:t>
      </w:r>
    </w:p>
    <w:p w14:paraId="4FC47502" w14:textId="023056FB" w:rsidR="000B6193" w:rsidRPr="00844A8A" w:rsidRDefault="000B6193" w:rsidP="000B6193">
      <w:pPr>
        <w:pStyle w:val="TableFigureFooter"/>
      </w:pPr>
      <w:r w:rsidRPr="00844A8A">
        <w:t xml:space="preserve">ANCOVA = </w:t>
      </w:r>
      <w:r w:rsidR="00EE2831">
        <w:t>a</w:t>
      </w:r>
      <w:r w:rsidRPr="00844A8A">
        <w:t xml:space="preserve">nalysis of covariance; CAL/BDP = calcipotriol with betamethasone dipropionate; CI = confidence interval; </w:t>
      </w:r>
      <w:r w:rsidR="00F16B03">
        <w:t xml:space="preserve">ITT = intent-to-treat; </w:t>
      </w:r>
      <w:r w:rsidRPr="00844A8A">
        <w:t xml:space="preserve">LSM = least square means; </w:t>
      </w:r>
      <w:proofErr w:type="spellStart"/>
      <w:r w:rsidRPr="00844A8A">
        <w:t>mPASI</w:t>
      </w:r>
      <w:proofErr w:type="spellEnd"/>
      <w:r w:rsidRPr="00844A8A">
        <w:t xml:space="preserve"> = Modified Psoriasis Area and Severity Index; N = total participants in group; SE = standard error; SD</w:t>
      </w:r>
      <w:r w:rsidR="005D60D8">
        <w:t> </w:t>
      </w:r>
      <w:r w:rsidRPr="00844A8A">
        <w:t>=</w:t>
      </w:r>
      <w:r w:rsidR="005D60D8">
        <w:t> </w:t>
      </w:r>
      <w:r w:rsidRPr="00844A8A">
        <w:t xml:space="preserve"> standard deviation</w:t>
      </w:r>
      <w:r>
        <w:t>; vs = versus</w:t>
      </w:r>
      <w:r w:rsidRPr="00844A8A">
        <w:t>.</w:t>
      </w:r>
    </w:p>
    <w:p w14:paraId="3EC9A05F" w14:textId="77777777" w:rsidR="000B6193" w:rsidRPr="00844A8A" w:rsidRDefault="000B6193" w:rsidP="000B6193">
      <w:pPr>
        <w:pStyle w:val="TableFigureFooter"/>
      </w:pPr>
      <w:r w:rsidRPr="00844A8A">
        <w:t xml:space="preserve">Percentage reduction from Baseline in the </w:t>
      </w:r>
      <w:proofErr w:type="spellStart"/>
      <w:r w:rsidRPr="00844A8A">
        <w:t>mPASI</w:t>
      </w:r>
      <w:proofErr w:type="spellEnd"/>
      <w:r w:rsidRPr="00844A8A">
        <w:t xml:space="preserve"> score at Week 8 is defined as Baseline score minus Week 8 score divided by Baseline score.</w:t>
      </w:r>
    </w:p>
    <w:p w14:paraId="581A43C3" w14:textId="77777777" w:rsidR="000B6193" w:rsidRDefault="000B6193" w:rsidP="000B6193">
      <w:pPr>
        <w:pStyle w:val="TableFigureFooter"/>
      </w:pPr>
      <w:r w:rsidRPr="00951E7C">
        <w:rPr>
          <w:vertAlign w:val="superscript"/>
        </w:rPr>
        <w:t>a</w:t>
      </w:r>
      <w:r w:rsidRPr="00844A8A">
        <w:t xml:space="preserve"> ANCOVA model includes treatment, baseline PGA severity (mild/moderate), baseline </w:t>
      </w:r>
      <w:proofErr w:type="spellStart"/>
      <w:r w:rsidRPr="00844A8A">
        <w:t>mPASI</w:t>
      </w:r>
      <w:proofErr w:type="spellEnd"/>
      <w:r w:rsidRPr="00844A8A">
        <w:t>, and analysis site as independent variables. Non-inferiority margin used is 10% points.</w:t>
      </w:r>
    </w:p>
    <w:p w14:paraId="02A67539" w14:textId="77777777" w:rsidR="000B6193" w:rsidRDefault="000B6193" w:rsidP="000B6193">
      <w:pPr>
        <w:pStyle w:val="TableFigureFooter"/>
      </w:pPr>
      <w:r w:rsidRPr="005D7FE2">
        <w:rPr>
          <w:b/>
          <w:bCs/>
        </w:rPr>
        <w:t xml:space="preserve">Bold </w:t>
      </w:r>
      <w:r>
        <w:t>indicates statistically significant results.</w:t>
      </w:r>
    </w:p>
    <w:p w14:paraId="6BFDB6F5" w14:textId="77777777" w:rsidR="003D440C" w:rsidRDefault="003D440C" w:rsidP="00B7760B">
      <w:pPr>
        <w:widowControl w:val="0"/>
        <w:numPr>
          <w:ilvl w:val="1"/>
          <w:numId w:val="1"/>
        </w:numPr>
        <w:spacing w:after="120"/>
        <w:ind w:left="720"/>
      </w:pPr>
      <w:r w:rsidRPr="003D440C">
        <w:t xml:space="preserve">At Week 8, the mean percentage reduction from baseline in </w:t>
      </w:r>
      <w:proofErr w:type="spellStart"/>
      <w:r w:rsidRPr="003D440C">
        <w:t>mPASI</w:t>
      </w:r>
      <w:proofErr w:type="spellEnd"/>
      <w:r w:rsidRPr="003D440C">
        <w:t xml:space="preserve"> score was larger for CAL/BDP cream (-62.9%) than for CAL/BDP gel (-51.3%) or vehicle (-22.9%). The difference was statistically significant for both treatment groups versus vehicle. </w:t>
      </w:r>
    </w:p>
    <w:p w14:paraId="3D428DA5" w14:textId="1007A6DB" w:rsidR="003D440C" w:rsidRDefault="003D440C" w:rsidP="00B7760B">
      <w:pPr>
        <w:widowControl w:val="0"/>
        <w:numPr>
          <w:ilvl w:val="1"/>
          <w:numId w:val="1"/>
        </w:numPr>
        <w:spacing w:after="120"/>
        <w:ind w:left="720"/>
      </w:pPr>
      <w:r w:rsidRPr="003D440C">
        <w:t xml:space="preserve">In the </w:t>
      </w:r>
      <w:r w:rsidR="00F9101D">
        <w:t>PP</w:t>
      </w:r>
      <w:r w:rsidRPr="003D440C">
        <w:t xml:space="preserve"> population, the mean percentage reduction from baseline in </w:t>
      </w:r>
      <w:proofErr w:type="spellStart"/>
      <w:r w:rsidRPr="003D440C">
        <w:t>mPASI</w:t>
      </w:r>
      <w:proofErr w:type="spellEnd"/>
      <w:r w:rsidRPr="003D440C">
        <w:t xml:space="preserve"> score at Week 8 was higher in the CAL/BDP cream group (64.8%) compared to the CAL/BDP gel group (52.3%) and the vehicle group (25.7%). The LSM difference between CAL/BDP </w:t>
      </w:r>
      <w:r w:rsidRPr="003D440C">
        <w:lastRenderedPageBreak/>
        <w:t xml:space="preserve">cream and gel was 13.1 (96.7% CI: 7.8, 18.4). </w:t>
      </w:r>
    </w:p>
    <w:p w14:paraId="49EEE24A" w14:textId="6971893D" w:rsidR="00C75200" w:rsidRPr="00B7760B" w:rsidRDefault="003D440C" w:rsidP="00B7760B">
      <w:pPr>
        <w:widowControl w:val="0"/>
        <w:numPr>
          <w:ilvl w:val="1"/>
          <w:numId w:val="1"/>
        </w:numPr>
        <w:spacing w:after="120"/>
        <w:ind w:left="720"/>
      </w:pPr>
      <w:r w:rsidRPr="003D440C">
        <w:t>The submission concluded that non-inferiority was achieved</w:t>
      </w:r>
      <w:r w:rsidR="004B29D9">
        <w:t>,</w:t>
      </w:r>
      <w:r w:rsidRPr="003D440C">
        <w:t xml:space="preserve"> as the lower bound of the 2-sided 96.7% CI was ≥-10%</w:t>
      </w:r>
      <w:r w:rsidR="004B29D9">
        <w:t xml:space="preserve">. The submission further </w:t>
      </w:r>
      <w:r w:rsidR="00704179">
        <w:t>stated</w:t>
      </w:r>
      <w:r w:rsidRPr="003D440C">
        <w:t xml:space="preserve"> that CAL/BDP cream was statistically significantly more efficacious than CAL/BDP gel</w:t>
      </w:r>
      <w:r w:rsidR="00454923">
        <w:t xml:space="preserve"> as </w:t>
      </w:r>
      <w:r w:rsidR="00454923" w:rsidRPr="00454923">
        <w:t>the lower bound of the 96.7% CI was &gt;0</w:t>
      </w:r>
      <w:r w:rsidR="00454923">
        <w:t>.</w:t>
      </w:r>
      <w:r w:rsidR="00FD3691" w:rsidRPr="00FD3691">
        <w:t xml:space="preserve"> </w:t>
      </w:r>
      <w:r w:rsidR="005C3213" w:rsidRPr="00E6793C">
        <w:t>The approach of inferring superiority based on the lower bound of the 9</w:t>
      </w:r>
      <w:r w:rsidR="009F7350" w:rsidRPr="00E6793C">
        <w:t>6.7</w:t>
      </w:r>
      <w:r w:rsidR="005C3213" w:rsidRPr="00E6793C">
        <w:t>% confidence interval being greater than zero was not appropriate, and superiority should be pre-specified and formally tested.</w:t>
      </w:r>
    </w:p>
    <w:p w14:paraId="388AAF7F" w14:textId="78BA4754" w:rsidR="003D440C" w:rsidRDefault="003D440C" w:rsidP="00B7760B">
      <w:pPr>
        <w:widowControl w:val="0"/>
        <w:numPr>
          <w:ilvl w:val="1"/>
          <w:numId w:val="1"/>
        </w:numPr>
        <w:spacing w:after="120"/>
        <w:ind w:left="720"/>
      </w:pPr>
      <w:r w:rsidRPr="003D440C">
        <w:t xml:space="preserve">The results on </w:t>
      </w:r>
      <w:proofErr w:type="spellStart"/>
      <w:r w:rsidR="00454923">
        <w:t>mPASI</w:t>
      </w:r>
      <w:proofErr w:type="spellEnd"/>
      <w:r w:rsidR="00454923">
        <w:t xml:space="preserve"> </w:t>
      </w:r>
      <w:r w:rsidRPr="003D440C">
        <w:t xml:space="preserve">in MC2-01-C7 </w:t>
      </w:r>
      <w:r w:rsidR="0010597A">
        <w:t>are</w:t>
      </w:r>
      <w:r w:rsidR="0010597A" w:rsidRPr="003D440C">
        <w:t xml:space="preserve"> </w:t>
      </w:r>
      <w:r w:rsidRPr="003D440C">
        <w:t>presented</w:t>
      </w:r>
      <w:r>
        <w:t xml:space="preserve"> </w:t>
      </w:r>
      <w:r>
        <w:fldChar w:fldCharType="begin" w:fldLock="1"/>
      </w:r>
      <w:r>
        <w:instrText xml:space="preserve"> REF _Ref195272982 \h </w:instrText>
      </w:r>
      <w:r>
        <w:fldChar w:fldCharType="separate"/>
      </w:r>
      <w:r>
        <w:t xml:space="preserve">Table </w:t>
      </w:r>
      <w:r>
        <w:rPr>
          <w:noProof/>
        </w:rPr>
        <w:t>8</w:t>
      </w:r>
      <w:r>
        <w:fldChar w:fldCharType="end"/>
      </w:r>
      <w:r>
        <w:t>.</w:t>
      </w:r>
    </w:p>
    <w:p w14:paraId="7C97971F" w14:textId="1DBA6017" w:rsidR="003D440C" w:rsidRDefault="003D440C" w:rsidP="003D440C">
      <w:pPr>
        <w:pStyle w:val="Caption"/>
      </w:pPr>
      <w:bookmarkStart w:id="38" w:name="_Ref195272982"/>
      <w:r>
        <w:t xml:space="preserve">Table </w:t>
      </w:r>
      <w:r w:rsidR="001B5200">
        <w:fldChar w:fldCharType="begin" w:fldLock="1"/>
      </w:r>
      <w:r w:rsidR="001B5200">
        <w:instrText xml:space="preserve"> SEQ Table \* ARABIC </w:instrText>
      </w:r>
      <w:r w:rsidR="001B5200">
        <w:fldChar w:fldCharType="separate"/>
      </w:r>
      <w:r w:rsidR="001B5200">
        <w:rPr>
          <w:noProof/>
        </w:rPr>
        <w:t>8</w:t>
      </w:r>
      <w:r w:rsidR="001B5200">
        <w:rPr>
          <w:noProof/>
        </w:rPr>
        <w:fldChar w:fldCharType="end"/>
      </w:r>
      <w:bookmarkEnd w:id="38"/>
      <w:r>
        <w:t xml:space="preserve">: </w:t>
      </w:r>
      <w:r w:rsidRPr="003D440C">
        <w:t xml:space="preserve">Percentage change in </w:t>
      </w:r>
      <w:proofErr w:type="spellStart"/>
      <w:r w:rsidRPr="003D440C">
        <w:t>mPASI</w:t>
      </w:r>
      <w:proofErr w:type="spellEnd"/>
      <w:r w:rsidRPr="003D440C">
        <w:t xml:space="preserve"> at baseline at Week 8 in MC2-01-</w:t>
      </w:r>
      <w:r w:rsidR="00056691">
        <w:t>C</w:t>
      </w:r>
      <w:r w:rsidRPr="003D440C">
        <w:t>7</w:t>
      </w:r>
    </w:p>
    <w:tbl>
      <w:tblPr>
        <w:tblStyle w:val="TableGrid"/>
        <w:tblW w:w="0" w:type="auto"/>
        <w:tblLook w:val="04A0" w:firstRow="1" w:lastRow="0" w:firstColumn="1" w:lastColumn="0" w:noHBand="0" w:noVBand="1"/>
        <w:tblCaption w:val="Table 8: Percentage change in mPASI at baseline at Week 8 in MC2-01-C7"/>
      </w:tblPr>
      <w:tblGrid>
        <w:gridCol w:w="4813"/>
        <w:gridCol w:w="1558"/>
        <w:gridCol w:w="1323"/>
        <w:gridCol w:w="1323"/>
      </w:tblGrid>
      <w:tr w:rsidR="003D440C" w14:paraId="38A4BDAD" w14:textId="77777777" w:rsidTr="002675DC">
        <w:tc>
          <w:tcPr>
            <w:tcW w:w="4813" w:type="dxa"/>
          </w:tcPr>
          <w:p w14:paraId="15F8F40D" w14:textId="77777777" w:rsidR="003D440C" w:rsidRPr="00B53D65" w:rsidRDefault="003D440C" w:rsidP="002675DC">
            <w:pPr>
              <w:pStyle w:val="TableText0"/>
            </w:pPr>
          </w:p>
        </w:tc>
        <w:tc>
          <w:tcPr>
            <w:tcW w:w="1558" w:type="dxa"/>
            <w:vAlign w:val="center"/>
          </w:tcPr>
          <w:p w14:paraId="0AB746E8" w14:textId="3D4F2687" w:rsidR="003D440C" w:rsidRPr="00B53D65" w:rsidRDefault="003D440C" w:rsidP="002675DC">
            <w:pPr>
              <w:pStyle w:val="TableText0"/>
            </w:pPr>
            <w:r>
              <w:rPr>
                <w:b/>
                <w:noProof/>
              </w:rPr>
              <w:t>CAL/BDP</w:t>
            </w:r>
            <w:r w:rsidRPr="00B53D65">
              <w:rPr>
                <w:b/>
                <w:noProof/>
              </w:rPr>
              <w:t xml:space="preserve"> </w:t>
            </w:r>
            <w:r w:rsidR="002A32A3">
              <w:rPr>
                <w:b/>
                <w:noProof/>
              </w:rPr>
              <w:t>c</w:t>
            </w:r>
            <w:r w:rsidRPr="00B53D65">
              <w:rPr>
                <w:b/>
                <w:noProof/>
              </w:rPr>
              <w:t>ream</w:t>
            </w:r>
          </w:p>
        </w:tc>
        <w:tc>
          <w:tcPr>
            <w:tcW w:w="1323" w:type="dxa"/>
            <w:vAlign w:val="center"/>
          </w:tcPr>
          <w:p w14:paraId="3427DDE4" w14:textId="7640DE4F" w:rsidR="003D440C" w:rsidRPr="00B53D65" w:rsidRDefault="003D440C" w:rsidP="002675DC">
            <w:pPr>
              <w:pStyle w:val="TableText0"/>
            </w:pPr>
            <w:r>
              <w:rPr>
                <w:b/>
                <w:noProof/>
              </w:rPr>
              <w:t>CAL/BDP</w:t>
            </w:r>
            <w:r w:rsidRPr="00B53D65">
              <w:rPr>
                <w:b/>
                <w:noProof/>
              </w:rPr>
              <w:t xml:space="preserve"> </w:t>
            </w:r>
            <w:r>
              <w:rPr>
                <w:b/>
                <w:noProof/>
              </w:rPr>
              <w:t>gel</w:t>
            </w:r>
          </w:p>
        </w:tc>
        <w:tc>
          <w:tcPr>
            <w:tcW w:w="1323" w:type="dxa"/>
            <w:vAlign w:val="center"/>
          </w:tcPr>
          <w:p w14:paraId="787842B9" w14:textId="39FEC752" w:rsidR="003D440C" w:rsidRPr="00B53D65" w:rsidRDefault="003D440C" w:rsidP="002675DC">
            <w:pPr>
              <w:pStyle w:val="TableText0"/>
            </w:pPr>
            <w:r w:rsidRPr="00B53D65">
              <w:rPr>
                <w:b/>
                <w:noProof/>
              </w:rPr>
              <w:t>Vehicle</w:t>
            </w:r>
          </w:p>
        </w:tc>
      </w:tr>
      <w:tr w:rsidR="00445E47" w14:paraId="6EC067BE" w14:textId="77777777" w:rsidTr="002675DC">
        <w:tc>
          <w:tcPr>
            <w:tcW w:w="9017" w:type="dxa"/>
            <w:gridSpan w:val="4"/>
            <w:vAlign w:val="center"/>
          </w:tcPr>
          <w:p w14:paraId="5EE0BD06" w14:textId="43AAD01D" w:rsidR="00445E47" w:rsidRPr="00C04A39" w:rsidRDefault="00A630D2" w:rsidP="002675DC">
            <w:pPr>
              <w:pStyle w:val="TableText0"/>
              <w:rPr>
                <w:b/>
              </w:rPr>
            </w:pPr>
            <w:r w:rsidRPr="00C04A39">
              <w:rPr>
                <w:b/>
              </w:rPr>
              <w:t xml:space="preserve">FAS </w:t>
            </w:r>
            <w:r w:rsidR="00445E47" w:rsidRPr="00C04A39">
              <w:rPr>
                <w:b/>
              </w:rPr>
              <w:t>Population</w:t>
            </w:r>
            <w:r w:rsidR="009E4A00" w:rsidRPr="00C04A39">
              <w:rPr>
                <w:b/>
              </w:rPr>
              <w:t xml:space="preserve"> (Multiple Imputation)</w:t>
            </w:r>
          </w:p>
        </w:tc>
      </w:tr>
      <w:tr w:rsidR="00445E47" w14:paraId="63CE4736" w14:textId="77777777" w:rsidTr="002675DC">
        <w:tc>
          <w:tcPr>
            <w:tcW w:w="4813" w:type="dxa"/>
            <w:vAlign w:val="center"/>
          </w:tcPr>
          <w:p w14:paraId="252B2AB9" w14:textId="39AD7B41" w:rsidR="00445E47" w:rsidRPr="008C1789" w:rsidRDefault="00445E47" w:rsidP="002675DC">
            <w:pPr>
              <w:pStyle w:val="TableText0"/>
              <w:ind w:left="170"/>
            </w:pPr>
            <w:r w:rsidRPr="008C1789">
              <w:t>N</w:t>
            </w:r>
          </w:p>
        </w:tc>
        <w:tc>
          <w:tcPr>
            <w:tcW w:w="1558" w:type="dxa"/>
            <w:vAlign w:val="center"/>
          </w:tcPr>
          <w:p w14:paraId="0412C431" w14:textId="12711EC8" w:rsidR="00445E47" w:rsidRPr="008C1789" w:rsidRDefault="00445E47" w:rsidP="002675DC">
            <w:pPr>
              <w:pStyle w:val="TableText0"/>
            </w:pPr>
            <w:r w:rsidRPr="008C1789">
              <w:t>213</w:t>
            </w:r>
          </w:p>
        </w:tc>
        <w:tc>
          <w:tcPr>
            <w:tcW w:w="1323" w:type="dxa"/>
            <w:vAlign w:val="center"/>
          </w:tcPr>
          <w:p w14:paraId="5EFD3C21" w14:textId="4803BF1A" w:rsidR="00445E47" w:rsidRPr="008C1789" w:rsidRDefault="00445E47" w:rsidP="002675DC">
            <w:pPr>
              <w:pStyle w:val="TableText0"/>
            </w:pPr>
            <w:r w:rsidRPr="008C1789">
              <w:t>209</w:t>
            </w:r>
          </w:p>
        </w:tc>
        <w:tc>
          <w:tcPr>
            <w:tcW w:w="1323" w:type="dxa"/>
            <w:vAlign w:val="center"/>
          </w:tcPr>
          <w:p w14:paraId="33F89DE6" w14:textId="761342DF" w:rsidR="00445E47" w:rsidRPr="008C1789" w:rsidRDefault="00445E47" w:rsidP="002675DC">
            <w:pPr>
              <w:pStyle w:val="TableText0"/>
            </w:pPr>
            <w:r w:rsidRPr="008C1789">
              <w:t>68</w:t>
            </w:r>
          </w:p>
        </w:tc>
      </w:tr>
      <w:tr w:rsidR="003D440C" w14:paraId="03B3D67D" w14:textId="77777777" w:rsidTr="002675DC">
        <w:tc>
          <w:tcPr>
            <w:tcW w:w="4813" w:type="dxa"/>
            <w:vAlign w:val="center"/>
          </w:tcPr>
          <w:p w14:paraId="2CF0B06E" w14:textId="4A27EE72" w:rsidR="003D440C" w:rsidRPr="00B53D65" w:rsidRDefault="003D440C" w:rsidP="002675DC">
            <w:pPr>
              <w:pStyle w:val="TableText0"/>
              <w:ind w:left="170"/>
            </w:pPr>
            <w:r>
              <w:t>Mean</w:t>
            </w:r>
            <w:r w:rsidR="002A32A3" w:rsidRPr="00BC3C0E">
              <w:rPr>
                <w:b/>
              </w:rPr>
              <w:t xml:space="preserve"> </w:t>
            </w:r>
            <w:r w:rsidR="002A32A3" w:rsidRPr="002A32A3">
              <w:rPr>
                <w:bCs w:val="0"/>
              </w:rPr>
              <w:t xml:space="preserve">percentage change in </w:t>
            </w:r>
            <w:proofErr w:type="spellStart"/>
            <w:r w:rsidR="002A32A3" w:rsidRPr="002A32A3">
              <w:rPr>
                <w:bCs w:val="0"/>
              </w:rPr>
              <w:t>mPASI</w:t>
            </w:r>
            <w:proofErr w:type="spellEnd"/>
            <w:r w:rsidR="002A32A3" w:rsidRPr="002A32A3">
              <w:rPr>
                <w:bCs w:val="0"/>
              </w:rPr>
              <w:t xml:space="preserve"> from </w:t>
            </w:r>
            <w:proofErr w:type="spellStart"/>
            <w:r w:rsidR="00DB275B">
              <w:rPr>
                <w:bCs w:val="0"/>
              </w:rPr>
              <w:t>b</w:t>
            </w:r>
            <w:r w:rsidR="002A32A3" w:rsidRPr="002A32A3">
              <w:rPr>
                <w:bCs w:val="0"/>
              </w:rPr>
              <w:t>aseline</w:t>
            </w:r>
            <w:r w:rsidR="002A32A3" w:rsidRPr="002A32A3">
              <w:rPr>
                <w:bCs w:val="0"/>
                <w:vertAlign w:val="superscript"/>
              </w:rPr>
              <w:t>a</w:t>
            </w:r>
            <w:proofErr w:type="spellEnd"/>
            <w:r w:rsidR="002A32A3" w:rsidRPr="002A32A3">
              <w:rPr>
                <w:bCs w:val="0"/>
              </w:rPr>
              <w:t xml:space="preserve"> (%)</w:t>
            </w:r>
          </w:p>
        </w:tc>
        <w:tc>
          <w:tcPr>
            <w:tcW w:w="1558" w:type="dxa"/>
            <w:vAlign w:val="center"/>
          </w:tcPr>
          <w:p w14:paraId="28AD47FA" w14:textId="77777777" w:rsidR="003D440C" w:rsidRPr="00B53D65" w:rsidRDefault="003D440C" w:rsidP="002675DC">
            <w:pPr>
              <w:pStyle w:val="TableText0"/>
            </w:pPr>
            <w:r>
              <w:t>-67.5</w:t>
            </w:r>
          </w:p>
        </w:tc>
        <w:tc>
          <w:tcPr>
            <w:tcW w:w="1323" w:type="dxa"/>
            <w:vAlign w:val="center"/>
          </w:tcPr>
          <w:p w14:paraId="1AAEF766" w14:textId="77777777" w:rsidR="003D440C" w:rsidRPr="00B53D65" w:rsidRDefault="003D440C" w:rsidP="002675DC">
            <w:pPr>
              <w:pStyle w:val="TableText0"/>
            </w:pPr>
            <w:r>
              <w:t>-63.5</w:t>
            </w:r>
          </w:p>
        </w:tc>
        <w:tc>
          <w:tcPr>
            <w:tcW w:w="1323" w:type="dxa"/>
            <w:vAlign w:val="center"/>
          </w:tcPr>
          <w:p w14:paraId="4555B2A9" w14:textId="77777777" w:rsidR="003D440C" w:rsidRPr="00B53D65" w:rsidRDefault="003D440C" w:rsidP="002675DC">
            <w:pPr>
              <w:pStyle w:val="TableText0"/>
            </w:pPr>
            <w:r>
              <w:t>-11.7</w:t>
            </w:r>
          </w:p>
        </w:tc>
      </w:tr>
      <w:tr w:rsidR="003D440C" w14:paraId="64F7C124" w14:textId="77777777" w:rsidTr="002675DC">
        <w:tc>
          <w:tcPr>
            <w:tcW w:w="9017" w:type="dxa"/>
            <w:gridSpan w:val="4"/>
            <w:vAlign w:val="center"/>
          </w:tcPr>
          <w:p w14:paraId="7E502DBE" w14:textId="25CBB80E" w:rsidR="003D440C" w:rsidRPr="00B53D65" w:rsidRDefault="003D440C" w:rsidP="002675DC">
            <w:pPr>
              <w:pStyle w:val="TableText0"/>
            </w:pPr>
            <w:r>
              <w:t>Superiority Analysis</w:t>
            </w:r>
            <w:r w:rsidR="00BC1E33">
              <w:t xml:space="preserve">, </w:t>
            </w:r>
            <w:proofErr w:type="spellStart"/>
            <w:r w:rsidR="00BC1E33">
              <w:t>ANCOVA</w:t>
            </w:r>
            <w:r w:rsidR="00BC1E33">
              <w:rPr>
                <w:vertAlign w:val="superscript"/>
              </w:rPr>
              <w:t>b</w:t>
            </w:r>
            <w:proofErr w:type="spellEnd"/>
            <w:r>
              <w:t xml:space="preserve"> </w:t>
            </w:r>
          </w:p>
        </w:tc>
      </w:tr>
      <w:tr w:rsidR="003D440C" w14:paraId="7E256D66" w14:textId="77777777" w:rsidTr="002675DC">
        <w:tc>
          <w:tcPr>
            <w:tcW w:w="4813" w:type="dxa"/>
            <w:vAlign w:val="center"/>
          </w:tcPr>
          <w:p w14:paraId="0FB96A4F" w14:textId="1360B1E7" w:rsidR="003D440C" w:rsidRPr="00B53D65" w:rsidRDefault="003D440C" w:rsidP="002675DC">
            <w:pPr>
              <w:pStyle w:val="TableText0"/>
              <w:ind w:left="170"/>
            </w:pPr>
            <w:r>
              <w:t>L</w:t>
            </w:r>
            <w:r w:rsidR="00F02AFE">
              <w:t xml:space="preserve">SM </w:t>
            </w:r>
            <w:r>
              <w:t>(SE)</w:t>
            </w:r>
          </w:p>
        </w:tc>
        <w:tc>
          <w:tcPr>
            <w:tcW w:w="1558" w:type="dxa"/>
            <w:vAlign w:val="center"/>
          </w:tcPr>
          <w:p w14:paraId="572FFF36" w14:textId="77777777" w:rsidR="003D440C" w:rsidRPr="00B53D65" w:rsidRDefault="003D440C" w:rsidP="002675DC">
            <w:pPr>
              <w:pStyle w:val="TableText0"/>
            </w:pPr>
            <w:r>
              <w:t>-73.1 (20.8)</w:t>
            </w:r>
          </w:p>
        </w:tc>
        <w:tc>
          <w:tcPr>
            <w:tcW w:w="1323" w:type="dxa"/>
            <w:vAlign w:val="center"/>
          </w:tcPr>
          <w:p w14:paraId="675EA264" w14:textId="77777777" w:rsidR="003D440C" w:rsidRPr="00B53D65" w:rsidRDefault="003D440C" w:rsidP="002675DC">
            <w:pPr>
              <w:pStyle w:val="TableText0"/>
            </w:pPr>
            <w:r>
              <w:t>-</w:t>
            </w:r>
          </w:p>
        </w:tc>
        <w:tc>
          <w:tcPr>
            <w:tcW w:w="1323" w:type="dxa"/>
            <w:vAlign w:val="center"/>
          </w:tcPr>
          <w:p w14:paraId="3488C61F" w14:textId="77777777" w:rsidR="003D440C" w:rsidRPr="00B53D65" w:rsidRDefault="003D440C" w:rsidP="002675DC">
            <w:pPr>
              <w:pStyle w:val="TableText0"/>
            </w:pPr>
            <w:r>
              <w:t>-16.4 (20.7)</w:t>
            </w:r>
          </w:p>
        </w:tc>
      </w:tr>
      <w:tr w:rsidR="003D440C" w14:paraId="7A4523FE" w14:textId="77777777" w:rsidTr="002675DC">
        <w:tc>
          <w:tcPr>
            <w:tcW w:w="4813" w:type="dxa"/>
            <w:vAlign w:val="center"/>
          </w:tcPr>
          <w:p w14:paraId="7CE2CF99" w14:textId="41A9B1DF" w:rsidR="003D440C" w:rsidRPr="00B53D65" w:rsidRDefault="00AE525E" w:rsidP="002675DC">
            <w:pPr>
              <w:pStyle w:val="TableText0"/>
              <w:ind w:left="170"/>
            </w:pPr>
            <w:r>
              <w:rPr>
                <w:noProof/>
              </w:rPr>
              <w:t>LSM Difference [(</w:t>
            </w:r>
            <w:r w:rsidRPr="00E5066C">
              <w:rPr>
                <w:noProof/>
              </w:rPr>
              <w:t>CAL/BDP cream</w:t>
            </w:r>
            <w:r>
              <w:rPr>
                <w:noProof/>
              </w:rPr>
              <w:t xml:space="preserve"> v</w:t>
            </w:r>
            <w:r w:rsidR="00F85F01">
              <w:rPr>
                <w:noProof/>
              </w:rPr>
              <w:t>s</w:t>
            </w:r>
            <w:r w:rsidR="007E63B9">
              <w:rPr>
                <w:noProof/>
              </w:rPr>
              <w:t>.</w:t>
            </w:r>
            <w:r>
              <w:rPr>
                <w:noProof/>
              </w:rPr>
              <w:t xml:space="preserve"> </w:t>
            </w:r>
            <w:r w:rsidR="00F16B03">
              <w:rPr>
                <w:noProof/>
              </w:rPr>
              <w:t>v</w:t>
            </w:r>
            <w:r>
              <w:rPr>
                <w:noProof/>
              </w:rPr>
              <w:t>ehicle] (SE)</w:t>
            </w:r>
          </w:p>
        </w:tc>
        <w:tc>
          <w:tcPr>
            <w:tcW w:w="1558" w:type="dxa"/>
            <w:vAlign w:val="center"/>
          </w:tcPr>
          <w:p w14:paraId="24431001" w14:textId="77777777" w:rsidR="003D440C" w:rsidRPr="00951E7C" w:rsidRDefault="003D440C" w:rsidP="002675DC">
            <w:pPr>
              <w:pStyle w:val="TableText0"/>
              <w:rPr>
                <w:b/>
                <w:bCs w:val="0"/>
              </w:rPr>
            </w:pPr>
            <w:r w:rsidRPr="00951E7C">
              <w:rPr>
                <w:b/>
                <w:bCs w:val="0"/>
              </w:rPr>
              <w:t>-56.7 (4.9)</w:t>
            </w:r>
          </w:p>
        </w:tc>
        <w:tc>
          <w:tcPr>
            <w:tcW w:w="1323" w:type="dxa"/>
            <w:vAlign w:val="center"/>
          </w:tcPr>
          <w:p w14:paraId="3BC9ADBC" w14:textId="77777777" w:rsidR="003D440C" w:rsidRPr="00B53D65" w:rsidRDefault="003D440C" w:rsidP="002675DC">
            <w:pPr>
              <w:pStyle w:val="TableText0"/>
            </w:pPr>
            <w:r>
              <w:t>-</w:t>
            </w:r>
          </w:p>
        </w:tc>
        <w:tc>
          <w:tcPr>
            <w:tcW w:w="1323" w:type="dxa"/>
            <w:vAlign w:val="center"/>
          </w:tcPr>
          <w:p w14:paraId="431AE80D" w14:textId="77777777" w:rsidR="003D440C" w:rsidRPr="00B53D65" w:rsidRDefault="003D440C" w:rsidP="002675DC">
            <w:pPr>
              <w:pStyle w:val="TableText0"/>
            </w:pPr>
            <w:r>
              <w:t>-</w:t>
            </w:r>
          </w:p>
        </w:tc>
      </w:tr>
      <w:tr w:rsidR="003D440C" w14:paraId="3A59376A" w14:textId="77777777" w:rsidTr="002675DC">
        <w:tc>
          <w:tcPr>
            <w:tcW w:w="9017" w:type="dxa"/>
            <w:gridSpan w:val="4"/>
            <w:vAlign w:val="center"/>
          </w:tcPr>
          <w:p w14:paraId="4982CF58" w14:textId="56093A12" w:rsidR="003D440C" w:rsidRPr="00B53D65" w:rsidRDefault="003D440C" w:rsidP="002675DC">
            <w:pPr>
              <w:pStyle w:val="TableText0"/>
            </w:pPr>
            <w:r>
              <w:t>Superiority Analysis</w:t>
            </w:r>
            <w:r w:rsidR="00372738">
              <w:t xml:space="preserve">, </w:t>
            </w:r>
            <w:proofErr w:type="spellStart"/>
            <w:r w:rsidR="00372738">
              <w:t>ANCOVA</w:t>
            </w:r>
            <w:r w:rsidR="00372738">
              <w:rPr>
                <w:vertAlign w:val="superscript"/>
              </w:rPr>
              <w:t>b</w:t>
            </w:r>
            <w:proofErr w:type="spellEnd"/>
            <w:r>
              <w:t xml:space="preserve"> </w:t>
            </w:r>
          </w:p>
        </w:tc>
      </w:tr>
      <w:tr w:rsidR="003D440C" w14:paraId="71907360" w14:textId="77777777" w:rsidTr="002675DC">
        <w:tc>
          <w:tcPr>
            <w:tcW w:w="4813" w:type="dxa"/>
            <w:vAlign w:val="center"/>
          </w:tcPr>
          <w:p w14:paraId="0BAFAC30" w14:textId="189C8870" w:rsidR="003D440C" w:rsidRPr="00B53D65" w:rsidRDefault="00F02AFE" w:rsidP="002675DC">
            <w:pPr>
              <w:pStyle w:val="TableText0"/>
              <w:ind w:left="170"/>
            </w:pPr>
            <w:r>
              <w:t>LSM</w:t>
            </w:r>
            <w:r w:rsidR="003D440C">
              <w:t xml:space="preserve"> (SE)</w:t>
            </w:r>
          </w:p>
        </w:tc>
        <w:tc>
          <w:tcPr>
            <w:tcW w:w="1558" w:type="dxa"/>
            <w:vAlign w:val="center"/>
          </w:tcPr>
          <w:p w14:paraId="6D6D5645" w14:textId="77777777" w:rsidR="003D440C" w:rsidRPr="00B53D65" w:rsidRDefault="003D440C" w:rsidP="002675DC">
            <w:pPr>
              <w:pStyle w:val="TableText0"/>
            </w:pPr>
            <w:r>
              <w:t>-</w:t>
            </w:r>
          </w:p>
        </w:tc>
        <w:tc>
          <w:tcPr>
            <w:tcW w:w="1323" w:type="dxa"/>
            <w:vAlign w:val="center"/>
          </w:tcPr>
          <w:p w14:paraId="1693950C" w14:textId="77777777" w:rsidR="003D440C" w:rsidRPr="00B53D65" w:rsidRDefault="003D440C" w:rsidP="002675DC">
            <w:pPr>
              <w:pStyle w:val="TableText0"/>
            </w:pPr>
            <w:r>
              <w:t>-61.2 (22.2)</w:t>
            </w:r>
          </w:p>
        </w:tc>
        <w:tc>
          <w:tcPr>
            <w:tcW w:w="1323" w:type="dxa"/>
            <w:vAlign w:val="center"/>
          </w:tcPr>
          <w:p w14:paraId="36C9AA21" w14:textId="77777777" w:rsidR="003D440C" w:rsidRPr="00B53D65" w:rsidRDefault="003D440C" w:rsidP="002675DC">
            <w:pPr>
              <w:pStyle w:val="TableText0"/>
            </w:pPr>
            <w:r>
              <w:t>-9.1 (21.9)</w:t>
            </w:r>
          </w:p>
        </w:tc>
      </w:tr>
      <w:tr w:rsidR="003D440C" w14:paraId="10B90081" w14:textId="77777777" w:rsidTr="002675DC">
        <w:tc>
          <w:tcPr>
            <w:tcW w:w="4813" w:type="dxa"/>
            <w:vAlign w:val="center"/>
          </w:tcPr>
          <w:p w14:paraId="4DA71D57" w14:textId="24885D5E" w:rsidR="003D440C" w:rsidRPr="00B53D65" w:rsidRDefault="00B335A8" w:rsidP="002675DC">
            <w:pPr>
              <w:pStyle w:val="TableText0"/>
              <w:ind w:left="170"/>
            </w:pPr>
            <w:r w:rsidRPr="00B335A8">
              <w:t>LSM Difference</w:t>
            </w:r>
            <w:r w:rsidR="001621CD">
              <w:t xml:space="preserve"> </w:t>
            </w:r>
            <w:r w:rsidR="00372738">
              <w:rPr>
                <w:noProof/>
              </w:rPr>
              <w:t>[</w:t>
            </w:r>
            <w:r w:rsidR="00372738" w:rsidRPr="00E5066C">
              <w:rPr>
                <w:noProof/>
              </w:rPr>
              <w:t xml:space="preserve">CAL/BDP </w:t>
            </w:r>
            <w:r w:rsidR="00372738">
              <w:rPr>
                <w:noProof/>
              </w:rPr>
              <w:t>gel vs</w:t>
            </w:r>
            <w:r w:rsidR="007E63B9">
              <w:rPr>
                <w:noProof/>
              </w:rPr>
              <w:t>.</w:t>
            </w:r>
            <w:r w:rsidR="00372738">
              <w:rPr>
                <w:noProof/>
              </w:rPr>
              <w:t xml:space="preserve"> </w:t>
            </w:r>
            <w:r w:rsidR="00F16B03">
              <w:rPr>
                <w:noProof/>
              </w:rPr>
              <w:t>v</w:t>
            </w:r>
            <w:r w:rsidR="00372738">
              <w:rPr>
                <w:noProof/>
              </w:rPr>
              <w:t>ehicle]</w:t>
            </w:r>
            <w:r w:rsidR="0087206B">
              <w:rPr>
                <w:noProof/>
              </w:rPr>
              <w:t xml:space="preserve"> </w:t>
            </w:r>
            <w:r w:rsidRPr="00B335A8">
              <w:t>(SE)</w:t>
            </w:r>
          </w:p>
        </w:tc>
        <w:tc>
          <w:tcPr>
            <w:tcW w:w="1558" w:type="dxa"/>
            <w:vAlign w:val="center"/>
          </w:tcPr>
          <w:p w14:paraId="1F1D6900" w14:textId="77777777" w:rsidR="003D440C" w:rsidRPr="00B53D65" w:rsidRDefault="003D440C" w:rsidP="002675DC">
            <w:pPr>
              <w:pStyle w:val="TableText0"/>
            </w:pPr>
            <w:r>
              <w:t>-</w:t>
            </w:r>
          </w:p>
        </w:tc>
        <w:tc>
          <w:tcPr>
            <w:tcW w:w="1323" w:type="dxa"/>
            <w:vAlign w:val="center"/>
          </w:tcPr>
          <w:p w14:paraId="4651E909" w14:textId="77777777" w:rsidR="003D440C" w:rsidRPr="00951E7C" w:rsidRDefault="003D440C" w:rsidP="002675DC">
            <w:pPr>
              <w:pStyle w:val="TableText0"/>
              <w:rPr>
                <w:b/>
                <w:bCs w:val="0"/>
              </w:rPr>
            </w:pPr>
            <w:r w:rsidRPr="00951E7C">
              <w:rPr>
                <w:b/>
                <w:bCs w:val="0"/>
              </w:rPr>
              <w:t>-52.0 (5.0)</w:t>
            </w:r>
          </w:p>
        </w:tc>
        <w:tc>
          <w:tcPr>
            <w:tcW w:w="1323" w:type="dxa"/>
            <w:vAlign w:val="center"/>
          </w:tcPr>
          <w:p w14:paraId="4F65D569" w14:textId="77777777" w:rsidR="003D440C" w:rsidRPr="00B53D65" w:rsidRDefault="003D440C" w:rsidP="002675DC">
            <w:pPr>
              <w:pStyle w:val="TableText0"/>
            </w:pPr>
            <w:r>
              <w:t>-</w:t>
            </w:r>
          </w:p>
        </w:tc>
      </w:tr>
      <w:tr w:rsidR="003D440C" w14:paraId="6C590CD8" w14:textId="77777777" w:rsidTr="002675DC">
        <w:tc>
          <w:tcPr>
            <w:tcW w:w="9017" w:type="dxa"/>
            <w:gridSpan w:val="4"/>
            <w:vAlign w:val="center"/>
          </w:tcPr>
          <w:p w14:paraId="245502CC" w14:textId="395E3395" w:rsidR="003D440C" w:rsidRPr="00B53D65" w:rsidRDefault="003D440C" w:rsidP="002675DC">
            <w:pPr>
              <w:pStyle w:val="TableText0"/>
            </w:pPr>
            <w:r>
              <w:t xml:space="preserve">Non-inferiority and Superiority Analyses of CAL/BDP cream versus CAL/BDP </w:t>
            </w:r>
            <w:proofErr w:type="spellStart"/>
            <w:r>
              <w:t>gel</w:t>
            </w:r>
            <w:r>
              <w:rPr>
                <w:vertAlign w:val="superscript"/>
              </w:rPr>
              <w:t>c</w:t>
            </w:r>
            <w:proofErr w:type="spellEnd"/>
          </w:p>
        </w:tc>
      </w:tr>
      <w:tr w:rsidR="003D440C" w14:paraId="676D0D54" w14:textId="77777777" w:rsidTr="002675DC">
        <w:tc>
          <w:tcPr>
            <w:tcW w:w="4813" w:type="dxa"/>
            <w:vAlign w:val="center"/>
          </w:tcPr>
          <w:p w14:paraId="2F4EB846" w14:textId="2F9CDB26" w:rsidR="003D440C" w:rsidRPr="00B53D65" w:rsidRDefault="00B335A8" w:rsidP="002675DC">
            <w:pPr>
              <w:pStyle w:val="TableText0"/>
              <w:ind w:left="170"/>
            </w:pPr>
            <w:r>
              <w:t>LSM</w:t>
            </w:r>
            <w:r w:rsidR="003D440C">
              <w:t xml:space="preserve"> (SE)</w:t>
            </w:r>
          </w:p>
        </w:tc>
        <w:tc>
          <w:tcPr>
            <w:tcW w:w="1558" w:type="dxa"/>
            <w:vAlign w:val="center"/>
          </w:tcPr>
          <w:p w14:paraId="7A002E5E" w14:textId="77777777" w:rsidR="003D440C" w:rsidRPr="00B53D65" w:rsidRDefault="003D440C" w:rsidP="002675DC">
            <w:pPr>
              <w:pStyle w:val="TableText0"/>
            </w:pPr>
            <w:r>
              <w:t>-78.8 (9.7)</w:t>
            </w:r>
          </w:p>
        </w:tc>
        <w:tc>
          <w:tcPr>
            <w:tcW w:w="1323" w:type="dxa"/>
            <w:vAlign w:val="center"/>
          </w:tcPr>
          <w:p w14:paraId="73FFBD4A" w14:textId="77777777" w:rsidR="003D440C" w:rsidRPr="00B53D65" w:rsidRDefault="003D440C" w:rsidP="002675DC">
            <w:pPr>
              <w:pStyle w:val="TableText0"/>
            </w:pPr>
            <w:r>
              <w:t>-74.6 (9.8)</w:t>
            </w:r>
          </w:p>
        </w:tc>
        <w:tc>
          <w:tcPr>
            <w:tcW w:w="1323" w:type="dxa"/>
            <w:vAlign w:val="center"/>
          </w:tcPr>
          <w:p w14:paraId="350DA483" w14:textId="77777777" w:rsidR="003D440C" w:rsidRPr="00B53D65" w:rsidRDefault="003D440C" w:rsidP="002675DC">
            <w:pPr>
              <w:pStyle w:val="TableText0"/>
            </w:pPr>
            <w:r>
              <w:t>-</w:t>
            </w:r>
          </w:p>
        </w:tc>
      </w:tr>
      <w:tr w:rsidR="003D440C" w14:paraId="343CB476" w14:textId="77777777" w:rsidTr="002675DC">
        <w:tc>
          <w:tcPr>
            <w:tcW w:w="4813" w:type="dxa"/>
            <w:vAlign w:val="center"/>
          </w:tcPr>
          <w:p w14:paraId="5DA54441" w14:textId="273C7663" w:rsidR="003D440C" w:rsidRPr="00B53D65" w:rsidRDefault="00B335A8" w:rsidP="002675DC">
            <w:pPr>
              <w:pStyle w:val="TableText0"/>
              <w:ind w:left="170"/>
            </w:pPr>
            <w:r w:rsidRPr="00B335A8">
              <w:t>LSM Difference (SE)</w:t>
            </w:r>
          </w:p>
        </w:tc>
        <w:tc>
          <w:tcPr>
            <w:tcW w:w="1558" w:type="dxa"/>
            <w:vAlign w:val="center"/>
          </w:tcPr>
          <w:p w14:paraId="28384B4E" w14:textId="77777777" w:rsidR="003D440C" w:rsidRPr="00B53D65" w:rsidRDefault="003D440C" w:rsidP="002675DC">
            <w:pPr>
              <w:pStyle w:val="TableText0"/>
            </w:pPr>
            <w:r>
              <w:t>-4.2 (2.8)</w:t>
            </w:r>
          </w:p>
        </w:tc>
        <w:tc>
          <w:tcPr>
            <w:tcW w:w="1323" w:type="dxa"/>
            <w:vAlign w:val="center"/>
          </w:tcPr>
          <w:p w14:paraId="12ADB313" w14:textId="77777777" w:rsidR="003D440C" w:rsidRPr="00B53D65" w:rsidRDefault="003D440C" w:rsidP="002675DC">
            <w:pPr>
              <w:pStyle w:val="TableText0"/>
            </w:pPr>
            <w:r>
              <w:t>-</w:t>
            </w:r>
          </w:p>
        </w:tc>
        <w:tc>
          <w:tcPr>
            <w:tcW w:w="1323" w:type="dxa"/>
            <w:vAlign w:val="center"/>
          </w:tcPr>
          <w:p w14:paraId="2CBB9B2C" w14:textId="77777777" w:rsidR="003D440C" w:rsidRPr="00B53D65" w:rsidRDefault="003D440C" w:rsidP="002675DC">
            <w:pPr>
              <w:pStyle w:val="TableText0"/>
            </w:pPr>
            <w:r>
              <w:t>-</w:t>
            </w:r>
          </w:p>
        </w:tc>
      </w:tr>
      <w:tr w:rsidR="003D440C" w14:paraId="4FB64CC8" w14:textId="77777777" w:rsidTr="002675DC">
        <w:tc>
          <w:tcPr>
            <w:tcW w:w="4813" w:type="dxa"/>
            <w:vAlign w:val="center"/>
          </w:tcPr>
          <w:p w14:paraId="17E3E5AA" w14:textId="0F5F00B3" w:rsidR="003D440C" w:rsidRPr="00B53D65" w:rsidRDefault="003D440C" w:rsidP="002675DC">
            <w:pPr>
              <w:pStyle w:val="TableText0"/>
              <w:ind w:left="170"/>
            </w:pPr>
            <w:r>
              <w:t xml:space="preserve">95% CI of </w:t>
            </w:r>
            <w:r w:rsidR="00C5488A">
              <w:t>LSM</w:t>
            </w:r>
            <w:r>
              <w:t xml:space="preserve"> difference</w:t>
            </w:r>
          </w:p>
        </w:tc>
        <w:tc>
          <w:tcPr>
            <w:tcW w:w="1558" w:type="dxa"/>
            <w:vAlign w:val="center"/>
          </w:tcPr>
          <w:p w14:paraId="1CEE7996" w14:textId="77777777" w:rsidR="003D440C" w:rsidRPr="00B53D65" w:rsidRDefault="003D440C" w:rsidP="002675DC">
            <w:pPr>
              <w:pStyle w:val="TableText0"/>
            </w:pPr>
            <w:r>
              <w:t>-9.6, 1.2</w:t>
            </w:r>
          </w:p>
        </w:tc>
        <w:tc>
          <w:tcPr>
            <w:tcW w:w="1323" w:type="dxa"/>
            <w:vAlign w:val="center"/>
          </w:tcPr>
          <w:p w14:paraId="03BB2645" w14:textId="77777777" w:rsidR="003D440C" w:rsidRPr="00B53D65" w:rsidRDefault="003D440C" w:rsidP="002675DC">
            <w:pPr>
              <w:pStyle w:val="TableText0"/>
            </w:pPr>
            <w:r>
              <w:t>-</w:t>
            </w:r>
          </w:p>
        </w:tc>
        <w:tc>
          <w:tcPr>
            <w:tcW w:w="1323" w:type="dxa"/>
            <w:vAlign w:val="center"/>
          </w:tcPr>
          <w:p w14:paraId="3DB7D013" w14:textId="77777777" w:rsidR="003D440C" w:rsidRPr="00B53D65" w:rsidRDefault="003D440C" w:rsidP="002675DC">
            <w:pPr>
              <w:pStyle w:val="TableText0"/>
            </w:pPr>
            <w:r>
              <w:t>-</w:t>
            </w:r>
          </w:p>
        </w:tc>
      </w:tr>
    </w:tbl>
    <w:p w14:paraId="381AD5BD" w14:textId="7A8EDADC" w:rsidR="003D440C" w:rsidRDefault="003D440C" w:rsidP="003D440C">
      <w:pPr>
        <w:pStyle w:val="TableFigureFooter"/>
      </w:pPr>
      <w:r>
        <w:t>Source: Table 2-41, p90 of the submission</w:t>
      </w:r>
      <w:r w:rsidR="004F2BBF">
        <w:t>.</w:t>
      </w:r>
    </w:p>
    <w:p w14:paraId="788678AA" w14:textId="048D18E8" w:rsidR="003D440C" w:rsidRDefault="003D19D1" w:rsidP="003D440C">
      <w:pPr>
        <w:pStyle w:val="TableFigureFooter"/>
      </w:pPr>
      <w:r w:rsidRPr="003D19D1">
        <w:t xml:space="preserve">ANCOVA = </w:t>
      </w:r>
      <w:r w:rsidR="00F16B03">
        <w:t>a</w:t>
      </w:r>
      <w:r w:rsidRPr="003D19D1">
        <w:t xml:space="preserve">nalysis of covariance; </w:t>
      </w:r>
      <w:r w:rsidR="003D440C">
        <w:t>CAL/BDP = calcipotriol with betamethasone dipropionate; CI = confidence interval; FAS = full analysis set;</w:t>
      </w:r>
      <w:r w:rsidR="00B335A8" w:rsidRPr="00844A8A">
        <w:t xml:space="preserve"> LSM = least square means;</w:t>
      </w:r>
      <w:r w:rsidR="003D440C">
        <w:t xml:space="preserve"> </w:t>
      </w:r>
      <w:proofErr w:type="spellStart"/>
      <w:r w:rsidR="003D440C">
        <w:t>mPASI</w:t>
      </w:r>
      <w:proofErr w:type="spellEnd"/>
      <w:r w:rsidR="003D440C">
        <w:t xml:space="preserve"> = Modified Psoriasis Area and Severity Index; </w:t>
      </w:r>
      <w:r w:rsidR="002A32A3" w:rsidRPr="002A32A3">
        <w:t xml:space="preserve">N = total participants in group; </w:t>
      </w:r>
      <w:r w:rsidR="003D440C">
        <w:t>SE = standard error</w:t>
      </w:r>
      <w:r w:rsidR="00F85F01">
        <w:t>; vs = versus.</w:t>
      </w:r>
    </w:p>
    <w:p w14:paraId="59D01D20" w14:textId="4E08E2FF" w:rsidR="003D440C" w:rsidRDefault="003D440C" w:rsidP="003D440C">
      <w:pPr>
        <w:pStyle w:val="TableFigureFooter"/>
      </w:pPr>
      <w:r w:rsidRPr="00CC28B1">
        <w:rPr>
          <w:vertAlign w:val="superscript"/>
        </w:rPr>
        <w:t>a</w:t>
      </w:r>
      <w:r>
        <w:t xml:space="preserve"> </w:t>
      </w:r>
      <w:proofErr w:type="spellStart"/>
      <w:r>
        <w:t>A</w:t>
      </w:r>
      <w:proofErr w:type="spellEnd"/>
      <w:r>
        <w:t xml:space="preserve"> negative percentage change from Baseline indicates a decrease of </w:t>
      </w:r>
      <w:proofErr w:type="spellStart"/>
      <w:r>
        <w:t>mPASI</w:t>
      </w:r>
      <w:proofErr w:type="spellEnd"/>
      <w:r>
        <w:t xml:space="preserve"> score, i.e. an improvement of symptoms</w:t>
      </w:r>
      <w:r w:rsidR="004F2BBF">
        <w:t>.</w:t>
      </w:r>
    </w:p>
    <w:p w14:paraId="1FFA28C6" w14:textId="4685F481" w:rsidR="003D440C" w:rsidRDefault="003D440C" w:rsidP="003D440C">
      <w:pPr>
        <w:pStyle w:val="TableFigureFooter"/>
      </w:pPr>
      <w:r w:rsidRPr="00CC28B1">
        <w:rPr>
          <w:vertAlign w:val="superscript"/>
        </w:rPr>
        <w:t>b</w:t>
      </w:r>
      <w:r>
        <w:t xml:space="preserve"> The analysis of covariance model includes randomi</w:t>
      </w:r>
      <w:r w:rsidR="00BD164B">
        <w:t>s</w:t>
      </w:r>
      <w:r>
        <w:t xml:space="preserve">ed treatment, analysis site, Baseline PGA severity on the body; and Baseline </w:t>
      </w:r>
      <w:proofErr w:type="spellStart"/>
      <w:r>
        <w:t>mPASI</w:t>
      </w:r>
      <w:proofErr w:type="spellEnd"/>
      <w:r>
        <w:t xml:space="preserve"> as independent variables. P-values are for test of difference.</w:t>
      </w:r>
    </w:p>
    <w:p w14:paraId="5AFAE6BB" w14:textId="77777777" w:rsidR="003D440C" w:rsidRDefault="003D440C" w:rsidP="003D440C">
      <w:pPr>
        <w:pStyle w:val="TableFigureFooter"/>
      </w:pPr>
      <w:r w:rsidRPr="00CC28B1">
        <w:rPr>
          <w:vertAlign w:val="superscript"/>
        </w:rPr>
        <w:t>c</w:t>
      </w:r>
      <w:r>
        <w:t xml:space="preserve"> Non-inferiority margin is 12% points, P-values are for test of difference.</w:t>
      </w:r>
    </w:p>
    <w:p w14:paraId="6672739D" w14:textId="77777777" w:rsidR="003D440C" w:rsidRDefault="003D440C" w:rsidP="003D440C">
      <w:pPr>
        <w:pStyle w:val="TableFigureFooter"/>
      </w:pPr>
      <w:r w:rsidRPr="00951E7C">
        <w:rPr>
          <w:b/>
          <w:bCs/>
        </w:rPr>
        <w:t>Bold</w:t>
      </w:r>
      <w:r>
        <w:t xml:space="preserve"> indicates statistically significant.</w:t>
      </w:r>
    </w:p>
    <w:p w14:paraId="6F584DFA" w14:textId="0D9AB553" w:rsidR="003D440C" w:rsidRPr="003D440C" w:rsidRDefault="003D440C" w:rsidP="00B7760B">
      <w:pPr>
        <w:widowControl w:val="0"/>
        <w:numPr>
          <w:ilvl w:val="1"/>
          <w:numId w:val="1"/>
        </w:numPr>
        <w:spacing w:after="120"/>
        <w:ind w:left="720"/>
      </w:pPr>
      <w:r w:rsidRPr="003D440C">
        <w:t xml:space="preserve">At Week 8, the mean percentage reduction from baseline in </w:t>
      </w:r>
      <w:proofErr w:type="spellStart"/>
      <w:r w:rsidRPr="003D440C">
        <w:t>mPASI</w:t>
      </w:r>
      <w:proofErr w:type="spellEnd"/>
      <w:r w:rsidRPr="003D440C">
        <w:t xml:space="preserve"> score at Week 8 was larger for CAL/BDP cream (-67.5%) than for CAL/BDP gel (-63.5%) or vehicle (-</w:t>
      </w:r>
      <w:r w:rsidR="003229C7">
        <w:t> </w:t>
      </w:r>
      <w:r w:rsidRPr="003D440C">
        <w:t xml:space="preserve">11.7%). The difference was statistically significant for both treatment groups versus vehicle. The LSM difference between CAL/BDP cream and gel was -4.2 (95% CI: -9.6, 1.2). </w:t>
      </w:r>
    </w:p>
    <w:p w14:paraId="21E9063F" w14:textId="382923F5" w:rsidR="003D440C" w:rsidRDefault="003D440C" w:rsidP="00B7760B">
      <w:pPr>
        <w:widowControl w:val="0"/>
        <w:numPr>
          <w:ilvl w:val="1"/>
          <w:numId w:val="1"/>
        </w:numPr>
        <w:spacing w:after="120"/>
        <w:ind w:left="720"/>
      </w:pPr>
      <w:r w:rsidRPr="003D440C">
        <w:t xml:space="preserve">The submission concluded that non-inferiority was achieved, as the upper bound of the 2-sided 95% CI was ≤12%. </w:t>
      </w:r>
      <w:r w:rsidR="701D42AA" w:rsidRPr="00E6793C">
        <w:t>This was appropriate.</w:t>
      </w:r>
      <w:r w:rsidR="701D42AA" w:rsidRPr="00B7760B">
        <w:t xml:space="preserve"> </w:t>
      </w:r>
      <w:r w:rsidRPr="003D440C">
        <w:t xml:space="preserve">The submission stated that the no-difference hypothesis of CAL/BDP cream versus gel could not be rejected (p=0.1), and although the LSM difference in treatment effect favoured CAL/BDP cream, superiority was not achieved. </w:t>
      </w:r>
    </w:p>
    <w:p w14:paraId="43CEB59F" w14:textId="47BED93A" w:rsidR="00944F84" w:rsidRPr="00944F84" w:rsidRDefault="00E11C44" w:rsidP="000A19DC">
      <w:pPr>
        <w:spacing w:after="240"/>
        <w:rPr>
          <w:b/>
          <w:bCs/>
          <w:snapToGrid w:val="0"/>
        </w:rPr>
      </w:pPr>
      <w:r w:rsidRPr="0014AC89">
        <w:rPr>
          <w:b/>
          <w:bCs/>
        </w:rPr>
        <w:t>P</w:t>
      </w:r>
      <w:r>
        <w:rPr>
          <w:b/>
          <w:bCs/>
        </w:rPr>
        <w:t>soriasis</w:t>
      </w:r>
      <w:r w:rsidR="003D440C" w:rsidRPr="0014AC89">
        <w:rPr>
          <w:b/>
        </w:rPr>
        <w:t xml:space="preserve"> Treatment Convenience Scale (PTCS)</w:t>
      </w:r>
    </w:p>
    <w:p w14:paraId="57736F6D" w14:textId="0371E03A" w:rsidR="003D440C" w:rsidRPr="003D440C" w:rsidRDefault="003D440C" w:rsidP="00B7760B">
      <w:pPr>
        <w:widowControl w:val="0"/>
        <w:numPr>
          <w:ilvl w:val="1"/>
          <w:numId w:val="1"/>
        </w:numPr>
        <w:spacing w:after="120"/>
        <w:ind w:left="720"/>
      </w:pPr>
      <w:r w:rsidRPr="003D440C">
        <w:t xml:space="preserve">The results on PTCS in MC2-01-C2 </w:t>
      </w:r>
      <w:r w:rsidR="00C636D5">
        <w:t xml:space="preserve">and MC2-01-C7 </w:t>
      </w:r>
      <w:r w:rsidR="004075C0">
        <w:t>a</w:t>
      </w:r>
      <w:r w:rsidR="004075C0" w:rsidRPr="003D440C">
        <w:t xml:space="preserve">re </w:t>
      </w:r>
      <w:r w:rsidRPr="003D440C">
        <w:t>presented</w:t>
      </w:r>
      <w:r w:rsidR="00822C61">
        <w:t xml:space="preserve"> below.</w:t>
      </w:r>
    </w:p>
    <w:p w14:paraId="6F9DE66E" w14:textId="1EC70486" w:rsidR="003D440C" w:rsidRDefault="003D440C" w:rsidP="003D440C">
      <w:pPr>
        <w:pStyle w:val="Caption"/>
      </w:pPr>
      <w:bookmarkStart w:id="39" w:name="_Ref195273322"/>
      <w:r>
        <w:lastRenderedPageBreak/>
        <w:t xml:space="preserve">Table </w:t>
      </w:r>
      <w:r w:rsidR="001B5200">
        <w:fldChar w:fldCharType="begin" w:fldLock="1"/>
      </w:r>
      <w:r w:rsidR="001B5200">
        <w:instrText xml:space="preserve"> SEQ Table \* ARABIC </w:instrText>
      </w:r>
      <w:r w:rsidR="001B5200">
        <w:fldChar w:fldCharType="separate"/>
      </w:r>
      <w:r w:rsidR="001B5200">
        <w:rPr>
          <w:noProof/>
        </w:rPr>
        <w:t>9</w:t>
      </w:r>
      <w:r w:rsidR="001B5200">
        <w:rPr>
          <w:noProof/>
        </w:rPr>
        <w:fldChar w:fldCharType="end"/>
      </w:r>
      <w:bookmarkEnd w:id="39"/>
      <w:r>
        <w:t xml:space="preserve">: </w:t>
      </w:r>
      <w:r w:rsidRPr="003D440C">
        <w:t>PTCS total score at Week 8</w:t>
      </w:r>
      <w:r w:rsidR="00293CE2">
        <w:t xml:space="preserve"> </w:t>
      </w:r>
      <w:r w:rsidRPr="003D440C">
        <w:t>in MC2-01-C2</w:t>
      </w:r>
      <w:r w:rsidR="00293CE2">
        <w:t xml:space="preserve"> and MC2-01-C7</w:t>
      </w:r>
      <w:r w:rsidRPr="003D440C">
        <w:t>.</w:t>
      </w:r>
    </w:p>
    <w:tbl>
      <w:tblPr>
        <w:tblStyle w:val="TableGrid"/>
        <w:tblW w:w="0" w:type="auto"/>
        <w:tblLook w:val="04A0" w:firstRow="1" w:lastRow="0" w:firstColumn="1" w:lastColumn="0" w:noHBand="0" w:noVBand="1"/>
        <w:tblCaption w:val="Table 9: PTCS total score at Week 8 in MC2-01-C2 and MC2-01-C7."/>
      </w:tblPr>
      <w:tblGrid>
        <w:gridCol w:w="4671"/>
        <w:gridCol w:w="1558"/>
        <w:gridCol w:w="1339"/>
        <w:gridCol w:w="1449"/>
      </w:tblGrid>
      <w:tr w:rsidR="003D440C" w14:paraId="3B81BA27" w14:textId="77777777" w:rsidTr="002675DC">
        <w:tc>
          <w:tcPr>
            <w:tcW w:w="4671" w:type="dxa"/>
          </w:tcPr>
          <w:p w14:paraId="33EFE502" w14:textId="77777777" w:rsidR="003D440C" w:rsidRPr="00EF129F" w:rsidRDefault="003D440C" w:rsidP="00285D69">
            <w:pPr>
              <w:keepNext/>
              <w:rPr>
                <w:rFonts w:asciiTheme="minorHAnsi" w:hAnsiTheme="minorHAnsi" w:cstheme="minorHAnsi"/>
                <w:noProof/>
                <w:sz w:val="18"/>
                <w:szCs w:val="18"/>
              </w:rPr>
            </w:pPr>
          </w:p>
        </w:tc>
        <w:tc>
          <w:tcPr>
            <w:tcW w:w="1558" w:type="dxa"/>
            <w:vAlign w:val="center"/>
          </w:tcPr>
          <w:p w14:paraId="15313A46" w14:textId="20892004" w:rsidR="003D440C" w:rsidRPr="00EF129F" w:rsidRDefault="003D440C" w:rsidP="002675DC">
            <w:pPr>
              <w:pStyle w:val="TableFigureHeading"/>
              <w:rPr>
                <w:noProof/>
              </w:rPr>
            </w:pPr>
            <w:r>
              <w:rPr>
                <w:noProof/>
              </w:rPr>
              <w:t>CAL/BDP cream</w:t>
            </w:r>
          </w:p>
        </w:tc>
        <w:tc>
          <w:tcPr>
            <w:tcW w:w="1339" w:type="dxa"/>
            <w:vAlign w:val="center"/>
          </w:tcPr>
          <w:p w14:paraId="1C9539EB" w14:textId="291B0BA1" w:rsidR="003D440C" w:rsidRPr="00EF129F" w:rsidRDefault="003D440C" w:rsidP="002675DC">
            <w:pPr>
              <w:pStyle w:val="TableFigureHeading"/>
              <w:rPr>
                <w:noProof/>
              </w:rPr>
            </w:pPr>
            <w:r>
              <w:rPr>
                <w:noProof/>
              </w:rPr>
              <w:t>CAL/BDP gel</w:t>
            </w:r>
          </w:p>
        </w:tc>
        <w:tc>
          <w:tcPr>
            <w:tcW w:w="1449" w:type="dxa"/>
            <w:vAlign w:val="center"/>
          </w:tcPr>
          <w:p w14:paraId="23DB9F79" w14:textId="7AD61659" w:rsidR="003D440C" w:rsidRPr="00EF129F" w:rsidRDefault="003D440C" w:rsidP="002675DC">
            <w:pPr>
              <w:pStyle w:val="TableFigureHeading"/>
              <w:rPr>
                <w:noProof/>
              </w:rPr>
            </w:pPr>
            <w:r w:rsidRPr="00EF129F">
              <w:rPr>
                <w:noProof/>
              </w:rPr>
              <w:t>Vehicle</w:t>
            </w:r>
          </w:p>
        </w:tc>
      </w:tr>
      <w:tr w:rsidR="00AF06A1" w14:paraId="05ECFAC9" w14:textId="77777777" w:rsidTr="00972A0B">
        <w:tc>
          <w:tcPr>
            <w:tcW w:w="9017" w:type="dxa"/>
            <w:gridSpan w:val="4"/>
            <w:vAlign w:val="center"/>
          </w:tcPr>
          <w:p w14:paraId="2FE882C1" w14:textId="20068760" w:rsidR="00AF06A1" w:rsidRPr="00AF06A1" w:rsidRDefault="00AF06A1" w:rsidP="002675DC">
            <w:pPr>
              <w:pStyle w:val="TableText0"/>
              <w:rPr>
                <w:b/>
                <w:bCs w:val="0"/>
                <w:noProof/>
              </w:rPr>
            </w:pPr>
            <w:r w:rsidRPr="00AF06A1">
              <w:rPr>
                <w:b/>
                <w:bCs w:val="0"/>
                <w:noProof/>
              </w:rPr>
              <w:t>MC2-01-C2</w:t>
            </w:r>
            <w:r w:rsidR="00293CE2">
              <w:t xml:space="preserve"> (</w:t>
            </w:r>
            <w:r w:rsidR="00293CE2" w:rsidRPr="00293CE2">
              <w:rPr>
                <w:b/>
                <w:bCs w:val="0"/>
                <w:noProof/>
              </w:rPr>
              <w:t>ITT population</w:t>
            </w:r>
            <w:r w:rsidR="00293CE2">
              <w:rPr>
                <w:b/>
                <w:bCs w:val="0"/>
                <w:noProof/>
              </w:rPr>
              <w:t xml:space="preserve"> using </w:t>
            </w:r>
            <w:r w:rsidR="00293CE2" w:rsidRPr="00293CE2">
              <w:rPr>
                <w:b/>
                <w:bCs w:val="0"/>
                <w:noProof/>
              </w:rPr>
              <w:t>LOCF)</w:t>
            </w:r>
          </w:p>
        </w:tc>
      </w:tr>
      <w:tr w:rsidR="003D440C" w14:paraId="1CC47D6E" w14:textId="77777777" w:rsidTr="002675DC">
        <w:tc>
          <w:tcPr>
            <w:tcW w:w="4671" w:type="dxa"/>
            <w:vAlign w:val="center"/>
          </w:tcPr>
          <w:p w14:paraId="7ACF31CC" w14:textId="77777777" w:rsidR="003D440C" w:rsidRPr="00EF129F" w:rsidRDefault="003D440C" w:rsidP="002675DC">
            <w:pPr>
              <w:pStyle w:val="TableText0"/>
              <w:rPr>
                <w:noProof/>
              </w:rPr>
            </w:pPr>
            <w:r w:rsidRPr="00454BD1">
              <w:rPr>
                <w:noProof/>
              </w:rPr>
              <w:t>N</w:t>
            </w:r>
          </w:p>
        </w:tc>
        <w:tc>
          <w:tcPr>
            <w:tcW w:w="1558" w:type="dxa"/>
            <w:vAlign w:val="center"/>
          </w:tcPr>
          <w:p w14:paraId="79B651D2" w14:textId="77777777" w:rsidR="003D440C" w:rsidRPr="00EF129F" w:rsidRDefault="003D440C" w:rsidP="002675DC">
            <w:pPr>
              <w:pStyle w:val="TableText0"/>
              <w:rPr>
                <w:noProof/>
              </w:rPr>
            </w:pPr>
            <w:r>
              <w:rPr>
                <w:noProof/>
              </w:rPr>
              <w:t>338</w:t>
            </w:r>
          </w:p>
        </w:tc>
        <w:tc>
          <w:tcPr>
            <w:tcW w:w="1339" w:type="dxa"/>
            <w:vAlign w:val="center"/>
          </w:tcPr>
          <w:p w14:paraId="626DE916" w14:textId="77777777" w:rsidR="003D440C" w:rsidRPr="00EF129F" w:rsidRDefault="003D440C" w:rsidP="002675DC">
            <w:pPr>
              <w:pStyle w:val="TableText0"/>
              <w:rPr>
                <w:noProof/>
              </w:rPr>
            </w:pPr>
            <w:r>
              <w:rPr>
                <w:noProof/>
              </w:rPr>
              <w:t>334</w:t>
            </w:r>
          </w:p>
        </w:tc>
        <w:tc>
          <w:tcPr>
            <w:tcW w:w="1449" w:type="dxa"/>
            <w:vAlign w:val="center"/>
          </w:tcPr>
          <w:p w14:paraId="2D93DE50" w14:textId="77777777" w:rsidR="003D440C" w:rsidRPr="00EF129F" w:rsidRDefault="003D440C" w:rsidP="002675DC">
            <w:pPr>
              <w:pStyle w:val="TableText0"/>
              <w:rPr>
                <w:noProof/>
              </w:rPr>
            </w:pPr>
            <w:r>
              <w:rPr>
                <w:noProof/>
              </w:rPr>
              <w:t>110</w:t>
            </w:r>
          </w:p>
        </w:tc>
      </w:tr>
      <w:tr w:rsidR="003D440C" w14:paraId="51CB0F34" w14:textId="77777777" w:rsidTr="002675DC">
        <w:tc>
          <w:tcPr>
            <w:tcW w:w="4671" w:type="dxa"/>
            <w:vAlign w:val="center"/>
          </w:tcPr>
          <w:p w14:paraId="390C9AAF" w14:textId="56E99FCE" w:rsidR="003D440C" w:rsidRPr="00EF129F" w:rsidRDefault="003D440C" w:rsidP="002675DC">
            <w:pPr>
              <w:pStyle w:val="TableText0"/>
              <w:rPr>
                <w:noProof/>
              </w:rPr>
            </w:pPr>
            <w:r w:rsidRPr="00454BD1">
              <w:rPr>
                <w:noProof/>
              </w:rPr>
              <w:t>Mean</w:t>
            </w:r>
            <w:r w:rsidR="00D510F5">
              <w:rPr>
                <w:noProof/>
              </w:rPr>
              <w:t xml:space="preserve"> PTCS score</w:t>
            </w:r>
            <w:r w:rsidRPr="00454BD1">
              <w:rPr>
                <w:noProof/>
              </w:rPr>
              <w:t xml:space="preserve"> (SD)</w:t>
            </w:r>
          </w:p>
        </w:tc>
        <w:tc>
          <w:tcPr>
            <w:tcW w:w="1558" w:type="dxa"/>
            <w:vAlign w:val="center"/>
          </w:tcPr>
          <w:p w14:paraId="33970E7B" w14:textId="77777777" w:rsidR="003D440C" w:rsidRPr="00EF129F" w:rsidRDefault="003D440C" w:rsidP="002675DC">
            <w:pPr>
              <w:pStyle w:val="TableText0"/>
              <w:rPr>
                <w:noProof/>
              </w:rPr>
            </w:pPr>
            <w:r>
              <w:rPr>
                <w:noProof/>
              </w:rPr>
              <w:t>41.5 (6.5)</w:t>
            </w:r>
          </w:p>
        </w:tc>
        <w:tc>
          <w:tcPr>
            <w:tcW w:w="1339" w:type="dxa"/>
            <w:vAlign w:val="center"/>
          </w:tcPr>
          <w:p w14:paraId="45135588" w14:textId="77777777" w:rsidR="003D440C" w:rsidRPr="00EF129F" w:rsidRDefault="003D440C" w:rsidP="002675DC">
            <w:pPr>
              <w:pStyle w:val="TableText0"/>
              <w:rPr>
                <w:noProof/>
              </w:rPr>
            </w:pPr>
            <w:r>
              <w:rPr>
                <w:noProof/>
              </w:rPr>
              <w:t>37.5 (7.7)</w:t>
            </w:r>
          </w:p>
        </w:tc>
        <w:tc>
          <w:tcPr>
            <w:tcW w:w="1449" w:type="dxa"/>
            <w:vAlign w:val="center"/>
          </w:tcPr>
          <w:p w14:paraId="11C51BE0" w14:textId="77777777" w:rsidR="003D440C" w:rsidRPr="00EF129F" w:rsidRDefault="003D440C" w:rsidP="002675DC">
            <w:pPr>
              <w:pStyle w:val="TableText0"/>
              <w:rPr>
                <w:noProof/>
              </w:rPr>
            </w:pPr>
            <w:r>
              <w:rPr>
                <w:noProof/>
              </w:rPr>
              <w:t>36.7 (7.2)</w:t>
            </w:r>
          </w:p>
        </w:tc>
      </w:tr>
      <w:tr w:rsidR="003D440C" w14:paraId="07D17024" w14:textId="77777777" w:rsidTr="002675DC">
        <w:tc>
          <w:tcPr>
            <w:tcW w:w="4671" w:type="dxa"/>
            <w:vAlign w:val="center"/>
          </w:tcPr>
          <w:p w14:paraId="7757F3FC" w14:textId="646652DA" w:rsidR="003D440C" w:rsidRPr="00EF129F" w:rsidRDefault="00AB3520" w:rsidP="002675DC">
            <w:pPr>
              <w:pStyle w:val="TableText0"/>
              <w:rPr>
                <w:noProof/>
              </w:rPr>
            </w:pPr>
            <w:r>
              <w:rPr>
                <w:noProof/>
              </w:rPr>
              <w:t>Range</w:t>
            </w:r>
          </w:p>
        </w:tc>
        <w:tc>
          <w:tcPr>
            <w:tcW w:w="1558" w:type="dxa"/>
            <w:vAlign w:val="center"/>
          </w:tcPr>
          <w:p w14:paraId="0437F134" w14:textId="77777777" w:rsidR="003D440C" w:rsidRPr="00EF129F" w:rsidRDefault="003D440C" w:rsidP="002675DC">
            <w:pPr>
              <w:pStyle w:val="TableText0"/>
              <w:rPr>
                <w:noProof/>
              </w:rPr>
            </w:pPr>
            <w:r>
              <w:rPr>
                <w:noProof/>
              </w:rPr>
              <w:t>22, 50</w:t>
            </w:r>
          </w:p>
        </w:tc>
        <w:tc>
          <w:tcPr>
            <w:tcW w:w="1339" w:type="dxa"/>
            <w:vAlign w:val="center"/>
          </w:tcPr>
          <w:p w14:paraId="712D05AB" w14:textId="77777777" w:rsidR="003D440C" w:rsidRPr="00EF129F" w:rsidRDefault="003D440C" w:rsidP="002675DC">
            <w:pPr>
              <w:pStyle w:val="TableText0"/>
              <w:rPr>
                <w:noProof/>
              </w:rPr>
            </w:pPr>
            <w:r>
              <w:rPr>
                <w:noProof/>
              </w:rPr>
              <w:t>9, 50</w:t>
            </w:r>
          </w:p>
        </w:tc>
        <w:tc>
          <w:tcPr>
            <w:tcW w:w="1449" w:type="dxa"/>
            <w:vAlign w:val="center"/>
          </w:tcPr>
          <w:p w14:paraId="673F70A6" w14:textId="77777777" w:rsidR="003D440C" w:rsidRPr="00EF129F" w:rsidRDefault="003D440C" w:rsidP="002675DC">
            <w:pPr>
              <w:pStyle w:val="TableText0"/>
              <w:rPr>
                <w:noProof/>
              </w:rPr>
            </w:pPr>
            <w:r>
              <w:rPr>
                <w:noProof/>
              </w:rPr>
              <w:t>17, 50</w:t>
            </w:r>
          </w:p>
        </w:tc>
      </w:tr>
      <w:tr w:rsidR="003D440C" w14:paraId="753A4C2D" w14:textId="77777777" w:rsidTr="002675DC">
        <w:tc>
          <w:tcPr>
            <w:tcW w:w="9017" w:type="dxa"/>
            <w:gridSpan w:val="4"/>
            <w:vAlign w:val="center"/>
          </w:tcPr>
          <w:p w14:paraId="08C7D4C5" w14:textId="77777777" w:rsidR="003D440C" w:rsidRPr="00EF129F" w:rsidRDefault="003D440C" w:rsidP="002675DC">
            <w:pPr>
              <w:pStyle w:val="TableText0"/>
              <w:rPr>
                <w:noProof/>
              </w:rPr>
            </w:pPr>
            <w:r w:rsidRPr="00293CE2">
              <w:rPr>
                <w:noProof/>
              </w:rPr>
              <w:t>Superiority Analysis</w:t>
            </w:r>
            <w:r>
              <w:rPr>
                <w:noProof/>
              </w:rPr>
              <w:t>, ANCOVA</w:t>
            </w:r>
            <w:r w:rsidRPr="00E935F0">
              <w:rPr>
                <w:noProof/>
                <w:vertAlign w:val="superscript"/>
              </w:rPr>
              <w:t>a</w:t>
            </w:r>
          </w:p>
        </w:tc>
      </w:tr>
      <w:tr w:rsidR="003D440C" w14:paraId="1245574B" w14:textId="77777777" w:rsidTr="002675DC">
        <w:tc>
          <w:tcPr>
            <w:tcW w:w="4671" w:type="dxa"/>
            <w:vAlign w:val="center"/>
          </w:tcPr>
          <w:p w14:paraId="5889468B" w14:textId="77777777" w:rsidR="003D440C" w:rsidRPr="00454BD1" w:rsidRDefault="003D440C" w:rsidP="002675DC">
            <w:pPr>
              <w:pStyle w:val="TableText0"/>
              <w:ind w:left="170"/>
              <w:rPr>
                <w:noProof/>
              </w:rPr>
            </w:pPr>
            <w:r>
              <w:rPr>
                <w:noProof/>
              </w:rPr>
              <w:t>LSM (SE)</w:t>
            </w:r>
          </w:p>
        </w:tc>
        <w:tc>
          <w:tcPr>
            <w:tcW w:w="1558" w:type="dxa"/>
            <w:vAlign w:val="center"/>
          </w:tcPr>
          <w:p w14:paraId="2564276D" w14:textId="77777777" w:rsidR="003D440C" w:rsidRPr="00EF129F" w:rsidRDefault="003D440C" w:rsidP="002675DC">
            <w:pPr>
              <w:pStyle w:val="TableText0"/>
              <w:rPr>
                <w:noProof/>
              </w:rPr>
            </w:pPr>
            <w:r>
              <w:rPr>
                <w:noProof/>
              </w:rPr>
              <w:t>41.5 (0.4)</w:t>
            </w:r>
          </w:p>
        </w:tc>
        <w:tc>
          <w:tcPr>
            <w:tcW w:w="1339" w:type="dxa"/>
            <w:vAlign w:val="center"/>
          </w:tcPr>
          <w:p w14:paraId="0E494DC7" w14:textId="77777777" w:rsidR="003D440C" w:rsidRPr="00EF129F" w:rsidRDefault="003D440C" w:rsidP="002675DC">
            <w:pPr>
              <w:pStyle w:val="TableText0"/>
              <w:rPr>
                <w:noProof/>
              </w:rPr>
            </w:pPr>
            <w:r>
              <w:rPr>
                <w:noProof/>
              </w:rPr>
              <w:t>37.5 (0.4)</w:t>
            </w:r>
          </w:p>
        </w:tc>
        <w:tc>
          <w:tcPr>
            <w:tcW w:w="1449" w:type="dxa"/>
            <w:vAlign w:val="center"/>
          </w:tcPr>
          <w:p w14:paraId="2D398238" w14:textId="77777777" w:rsidR="003D440C" w:rsidRPr="00EF129F" w:rsidRDefault="003D440C" w:rsidP="002675DC">
            <w:pPr>
              <w:pStyle w:val="TableText0"/>
              <w:rPr>
                <w:noProof/>
              </w:rPr>
            </w:pPr>
            <w:r>
              <w:rPr>
                <w:noProof/>
              </w:rPr>
              <w:t>36.7 (0.7)</w:t>
            </w:r>
          </w:p>
        </w:tc>
      </w:tr>
      <w:tr w:rsidR="003D440C" w14:paraId="4386E076" w14:textId="77777777" w:rsidTr="002675DC">
        <w:tc>
          <w:tcPr>
            <w:tcW w:w="4671" w:type="dxa"/>
            <w:vAlign w:val="center"/>
          </w:tcPr>
          <w:p w14:paraId="09328D86" w14:textId="2A65880D" w:rsidR="003D440C" w:rsidRPr="00EF129F" w:rsidRDefault="003D440C" w:rsidP="002675DC">
            <w:pPr>
              <w:pStyle w:val="TableText0"/>
              <w:ind w:left="170"/>
              <w:rPr>
                <w:noProof/>
              </w:rPr>
            </w:pPr>
            <w:r>
              <w:rPr>
                <w:noProof/>
              </w:rPr>
              <w:t>LSM Difference (CAL/BDP cream vs</w:t>
            </w:r>
            <w:r w:rsidR="007E63B9">
              <w:rPr>
                <w:noProof/>
              </w:rPr>
              <w:t>.</w:t>
            </w:r>
            <w:r>
              <w:rPr>
                <w:noProof/>
              </w:rPr>
              <w:t xml:space="preserve"> CAL/BDP gel) (SE)</w:t>
            </w:r>
          </w:p>
        </w:tc>
        <w:tc>
          <w:tcPr>
            <w:tcW w:w="1558" w:type="dxa"/>
            <w:vAlign w:val="center"/>
          </w:tcPr>
          <w:p w14:paraId="736C06C6" w14:textId="77777777" w:rsidR="003D440C" w:rsidRPr="0026657D" w:rsidRDefault="003D440C" w:rsidP="002675DC">
            <w:pPr>
              <w:pStyle w:val="TableText0"/>
              <w:rPr>
                <w:b/>
                <w:bCs w:val="0"/>
                <w:noProof/>
              </w:rPr>
            </w:pPr>
            <w:r w:rsidRPr="0026657D">
              <w:rPr>
                <w:b/>
                <w:bCs w:val="0"/>
                <w:noProof/>
              </w:rPr>
              <w:t>4.0 (0.</w:t>
            </w:r>
            <w:r>
              <w:rPr>
                <w:b/>
                <w:bCs w:val="0"/>
                <w:noProof/>
              </w:rPr>
              <w:t>6</w:t>
            </w:r>
            <w:r w:rsidRPr="0026657D">
              <w:rPr>
                <w:b/>
                <w:bCs w:val="0"/>
                <w:noProof/>
              </w:rPr>
              <w:t>)</w:t>
            </w:r>
          </w:p>
        </w:tc>
        <w:tc>
          <w:tcPr>
            <w:tcW w:w="1339" w:type="dxa"/>
            <w:vAlign w:val="center"/>
          </w:tcPr>
          <w:p w14:paraId="124CC382" w14:textId="77777777" w:rsidR="003D440C" w:rsidRPr="00EF129F" w:rsidRDefault="003D440C" w:rsidP="002675DC">
            <w:pPr>
              <w:pStyle w:val="TableText0"/>
              <w:rPr>
                <w:noProof/>
              </w:rPr>
            </w:pPr>
            <w:r>
              <w:rPr>
                <w:noProof/>
              </w:rPr>
              <w:t>-</w:t>
            </w:r>
          </w:p>
        </w:tc>
        <w:tc>
          <w:tcPr>
            <w:tcW w:w="1449" w:type="dxa"/>
            <w:vAlign w:val="center"/>
          </w:tcPr>
          <w:p w14:paraId="25F50328" w14:textId="77777777" w:rsidR="003D440C" w:rsidRPr="00EF129F" w:rsidRDefault="003D440C" w:rsidP="002675DC">
            <w:pPr>
              <w:pStyle w:val="TableText0"/>
              <w:rPr>
                <w:noProof/>
              </w:rPr>
            </w:pPr>
            <w:r>
              <w:rPr>
                <w:noProof/>
              </w:rPr>
              <w:t>-</w:t>
            </w:r>
          </w:p>
        </w:tc>
      </w:tr>
      <w:tr w:rsidR="003D440C" w14:paraId="03255194" w14:textId="77777777" w:rsidTr="002675DC">
        <w:tc>
          <w:tcPr>
            <w:tcW w:w="4671" w:type="dxa"/>
            <w:vAlign w:val="center"/>
          </w:tcPr>
          <w:p w14:paraId="285DDAEC" w14:textId="77777777" w:rsidR="003D440C" w:rsidRDefault="003D440C" w:rsidP="002675DC">
            <w:pPr>
              <w:pStyle w:val="TableText0"/>
              <w:ind w:left="170"/>
              <w:rPr>
                <w:noProof/>
              </w:rPr>
            </w:pPr>
            <w:r>
              <w:rPr>
                <w:noProof/>
              </w:rPr>
              <w:t>98.3% CI</w:t>
            </w:r>
          </w:p>
        </w:tc>
        <w:tc>
          <w:tcPr>
            <w:tcW w:w="1558" w:type="dxa"/>
            <w:vAlign w:val="center"/>
          </w:tcPr>
          <w:p w14:paraId="33A45139" w14:textId="77777777" w:rsidR="003D440C" w:rsidRPr="0026657D" w:rsidRDefault="003D440C" w:rsidP="002675DC">
            <w:pPr>
              <w:pStyle w:val="TableText0"/>
              <w:rPr>
                <w:b/>
                <w:bCs w:val="0"/>
                <w:noProof/>
              </w:rPr>
            </w:pPr>
            <w:r w:rsidRPr="0026657D">
              <w:rPr>
                <w:b/>
                <w:bCs w:val="0"/>
                <w:noProof/>
              </w:rPr>
              <w:t>2.</w:t>
            </w:r>
            <w:r>
              <w:rPr>
                <w:b/>
                <w:bCs w:val="0"/>
                <w:noProof/>
              </w:rPr>
              <w:t>7</w:t>
            </w:r>
            <w:r w:rsidRPr="0026657D">
              <w:rPr>
                <w:b/>
                <w:bCs w:val="0"/>
                <w:noProof/>
              </w:rPr>
              <w:t>, 5.3</w:t>
            </w:r>
          </w:p>
        </w:tc>
        <w:tc>
          <w:tcPr>
            <w:tcW w:w="1339" w:type="dxa"/>
            <w:vAlign w:val="center"/>
          </w:tcPr>
          <w:p w14:paraId="41CCC81B" w14:textId="77777777" w:rsidR="003D440C" w:rsidRPr="00EF129F" w:rsidRDefault="003D440C" w:rsidP="002675DC">
            <w:pPr>
              <w:pStyle w:val="TableText0"/>
              <w:rPr>
                <w:noProof/>
              </w:rPr>
            </w:pPr>
            <w:r>
              <w:rPr>
                <w:noProof/>
              </w:rPr>
              <w:t>-</w:t>
            </w:r>
          </w:p>
        </w:tc>
        <w:tc>
          <w:tcPr>
            <w:tcW w:w="1449" w:type="dxa"/>
            <w:vAlign w:val="center"/>
          </w:tcPr>
          <w:p w14:paraId="682589D3" w14:textId="77777777" w:rsidR="003D440C" w:rsidRPr="00EF129F" w:rsidRDefault="003D440C" w:rsidP="002675DC">
            <w:pPr>
              <w:pStyle w:val="TableText0"/>
              <w:rPr>
                <w:noProof/>
              </w:rPr>
            </w:pPr>
            <w:r>
              <w:rPr>
                <w:noProof/>
              </w:rPr>
              <w:t>-</w:t>
            </w:r>
          </w:p>
        </w:tc>
      </w:tr>
      <w:tr w:rsidR="005A5F35" w14:paraId="650CB450" w14:textId="77777777" w:rsidTr="00972A0B">
        <w:tc>
          <w:tcPr>
            <w:tcW w:w="9017" w:type="dxa"/>
            <w:gridSpan w:val="4"/>
            <w:vAlign w:val="center"/>
          </w:tcPr>
          <w:p w14:paraId="5FB95C09" w14:textId="0E67DD07" w:rsidR="005A5F35" w:rsidRPr="005A5F35" w:rsidRDefault="005A5F35" w:rsidP="002675DC">
            <w:pPr>
              <w:pStyle w:val="TableText0"/>
              <w:rPr>
                <w:b/>
                <w:bCs w:val="0"/>
                <w:noProof/>
              </w:rPr>
            </w:pPr>
            <w:r w:rsidRPr="005A5F35">
              <w:rPr>
                <w:b/>
                <w:bCs w:val="0"/>
                <w:noProof/>
              </w:rPr>
              <w:t>MC2-01-C7</w:t>
            </w:r>
            <w:r w:rsidR="00293CE2">
              <w:rPr>
                <w:b/>
                <w:bCs w:val="0"/>
                <w:noProof/>
              </w:rPr>
              <w:t xml:space="preserve"> (</w:t>
            </w:r>
            <w:r w:rsidR="00A630D2">
              <w:rPr>
                <w:b/>
                <w:bCs w:val="0"/>
                <w:noProof/>
              </w:rPr>
              <w:t xml:space="preserve">FAS </w:t>
            </w:r>
            <w:r w:rsidR="00293CE2">
              <w:rPr>
                <w:b/>
                <w:bCs w:val="0"/>
                <w:noProof/>
              </w:rPr>
              <w:t>population using LOCF)</w:t>
            </w:r>
          </w:p>
        </w:tc>
      </w:tr>
      <w:tr w:rsidR="00AF06A1" w14:paraId="4597B394" w14:textId="77777777" w:rsidTr="002675DC">
        <w:tc>
          <w:tcPr>
            <w:tcW w:w="4671" w:type="dxa"/>
            <w:vAlign w:val="center"/>
          </w:tcPr>
          <w:p w14:paraId="47F11813" w14:textId="2EB6413D" w:rsidR="00AF06A1" w:rsidRDefault="005A5F35" w:rsidP="005A5F35">
            <w:pPr>
              <w:pStyle w:val="TableText0"/>
              <w:rPr>
                <w:noProof/>
              </w:rPr>
            </w:pPr>
            <w:r>
              <w:rPr>
                <w:noProof/>
              </w:rPr>
              <w:t>N</w:t>
            </w:r>
          </w:p>
        </w:tc>
        <w:tc>
          <w:tcPr>
            <w:tcW w:w="1558" w:type="dxa"/>
            <w:vAlign w:val="center"/>
          </w:tcPr>
          <w:p w14:paraId="07357768" w14:textId="3F6BEC71" w:rsidR="00AF06A1" w:rsidRPr="005A5F35" w:rsidRDefault="005A5F35" w:rsidP="002675DC">
            <w:pPr>
              <w:pStyle w:val="TableText0"/>
              <w:rPr>
                <w:noProof/>
              </w:rPr>
            </w:pPr>
            <w:r w:rsidRPr="005A5F35">
              <w:rPr>
                <w:noProof/>
              </w:rPr>
              <w:t>213</w:t>
            </w:r>
          </w:p>
        </w:tc>
        <w:tc>
          <w:tcPr>
            <w:tcW w:w="1339" w:type="dxa"/>
            <w:vAlign w:val="center"/>
          </w:tcPr>
          <w:p w14:paraId="293296D7" w14:textId="11494CD3" w:rsidR="00AF06A1" w:rsidRPr="005A5F35" w:rsidRDefault="005A5F35" w:rsidP="002675DC">
            <w:pPr>
              <w:pStyle w:val="TableText0"/>
              <w:rPr>
                <w:noProof/>
              </w:rPr>
            </w:pPr>
            <w:r w:rsidRPr="005A5F35">
              <w:rPr>
                <w:noProof/>
              </w:rPr>
              <w:t>209</w:t>
            </w:r>
          </w:p>
        </w:tc>
        <w:tc>
          <w:tcPr>
            <w:tcW w:w="1449" w:type="dxa"/>
            <w:vAlign w:val="center"/>
          </w:tcPr>
          <w:p w14:paraId="14D18994" w14:textId="6C2092D2" w:rsidR="00AF06A1" w:rsidRPr="005A5F35" w:rsidRDefault="005A5F35" w:rsidP="002675DC">
            <w:pPr>
              <w:pStyle w:val="TableText0"/>
              <w:rPr>
                <w:noProof/>
              </w:rPr>
            </w:pPr>
            <w:r w:rsidRPr="005A5F35">
              <w:rPr>
                <w:noProof/>
              </w:rPr>
              <w:t>68</w:t>
            </w:r>
          </w:p>
        </w:tc>
      </w:tr>
      <w:tr w:rsidR="00A94DBE" w14:paraId="19251195" w14:textId="77777777" w:rsidTr="002675DC">
        <w:tc>
          <w:tcPr>
            <w:tcW w:w="4671" w:type="dxa"/>
            <w:vAlign w:val="center"/>
          </w:tcPr>
          <w:p w14:paraId="1B73443B" w14:textId="4398E73F" w:rsidR="00A94DBE" w:rsidRDefault="00A94DBE" w:rsidP="00A94DBE">
            <w:pPr>
              <w:pStyle w:val="TableText0"/>
              <w:rPr>
                <w:noProof/>
              </w:rPr>
            </w:pPr>
            <w:r>
              <w:t>Mean</w:t>
            </w:r>
            <w:r w:rsidR="00D510F5">
              <w:t xml:space="preserve"> PTCS score</w:t>
            </w:r>
            <w:r>
              <w:t xml:space="preserve"> (SD)</w:t>
            </w:r>
          </w:p>
        </w:tc>
        <w:tc>
          <w:tcPr>
            <w:tcW w:w="1558" w:type="dxa"/>
            <w:vAlign w:val="center"/>
          </w:tcPr>
          <w:p w14:paraId="300D3A44" w14:textId="6058D3F4" w:rsidR="00A94DBE" w:rsidRPr="0026657D" w:rsidRDefault="00A94DBE" w:rsidP="00A94DBE">
            <w:pPr>
              <w:pStyle w:val="TableText0"/>
              <w:rPr>
                <w:b/>
                <w:bCs w:val="0"/>
                <w:noProof/>
              </w:rPr>
            </w:pPr>
            <w:r>
              <w:t>38.6 (6.2)</w:t>
            </w:r>
          </w:p>
        </w:tc>
        <w:tc>
          <w:tcPr>
            <w:tcW w:w="1339" w:type="dxa"/>
            <w:vAlign w:val="center"/>
          </w:tcPr>
          <w:p w14:paraId="06810A57" w14:textId="4AC82EB4" w:rsidR="00A94DBE" w:rsidRDefault="00A94DBE" w:rsidP="00A94DBE">
            <w:pPr>
              <w:pStyle w:val="TableText0"/>
              <w:rPr>
                <w:noProof/>
              </w:rPr>
            </w:pPr>
            <w:r>
              <w:t>36.1 (7.0)</w:t>
            </w:r>
          </w:p>
        </w:tc>
        <w:tc>
          <w:tcPr>
            <w:tcW w:w="1449" w:type="dxa"/>
            <w:vAlign w:val="center"/>
          </w:tcPr>
          <w:p w14:paraId="1F765199" w14:textId="7CB47AEA" w:rsidR="00A94DBE" w:rsidRDefault="00A94DBE" w:rsidP="00A94DBE">
            <w:pPr>
              <w:pStyle w:val="TableText0"/>
              <w:rPr>
                <w:noProof/>
              </w:rPr>
            </w:pPr>
            <w:r>
              <w:t>36.2 (7.6)</w:t>
            </w:r>
          </w:p>
        </w:tc>
      </w:tr>
      <w:tr w:rsidR="00A94DBE" w14:paraId="07617721" w14:textId="77777777" w:rsidTr="002675DC">
        <w:tc>
          <w:tcPr>
            <w:tcW w:w="4671" w:type="dxa"/>
            <w:vAlign w:val="center"/>
          </w:tcPr>
          <w:p w14:paraId="6AD194A4" w14:textId="32DC66CF" w:rsidR="00A94DBE" w:rsidRDefault="00A94DBE" w:rsidP="00A94DBE">
            <w:pPr>
              <w:pStyle w:val="TableText0"/>
              <w:rPr>
                <w:noProof/>
              </w:rPr>
            </w:pPr>
            <w:r>
              <w:t>Range</w:t>
            </w:r>
          </w:p>
        </w:tc>
        <w:tc>
          <w:tcPr>
            <w:tcW w:w="1558" w:type="dxa"/>
            <w:vAlign w:val="center"/>
          </w:tcPr>
          <w:p w14:paraId="054055D6" w14:textId="4C60DA28" w:rsidR="00A94DBE" w:rsidRPr="0026657D" w:rsidRDefault="00A94DBE" w:rsidP="00A94DBE">
            <w:pPr>
              <w:pStyle w:val="TableText0"/>
              <w:rPr>
                <w:b/>
                <w:bCs w:val="0"/>
                <w:noProof/>
              </w:rPr>
            </w:pPr>
            <w:r>
              <w:t>22, 50</w:t>
            </w:r>
          </w:p>
        </w:tc>
        <w:tc>
          <w:tcPr>
            <w:tcW w:w="1339" w:type="dxa"/>
            <w:vAlign w:val="center"/>
          </w:tcPr>
          <w:p w14:paraId="1029A8C5" w14:textId="3A9E0AE5" w:rsidR="00A94DBE" w:rsidRDefault="00A94DBE" w:rsidP="00A94DBE">
            <w:pPr>
              <w:pStyle w:val="TableText0"/>
              <w:rPr>
                <w:noProof/>
              </w:rPr>
            </w:pPr>
            <w:r>
              <w:t>17, 50</w:t>
            </w:r>
          </w:p>
        </w:tc>
        <w:tc>
          <w:tcPr>
            <w:tcW w:w="1449" w:type="dxa"/>
            <w:vAlign w:val="center"/>
          </w:tcPr>
          <w:p w14:paraId="293C3F9F" w14:textId="5C14CF47" w:rsidR="00A94DBE" w:rsidRDefault="00A94DBE" w:rsidP="00A94DBE">
            <w:pPr>
              <w:pStyle w:val="TableText0"/>
              <w:rPr>
                <w:noProof/>
              </w:rPr>
            </w:pPr>
            <w:r>
              <w:t>5, 50</w:t>
            </w:r>
          </w:p>
        </w:tc>
      </w:tr>
      <w:tr w:rsidR="006F6911" w14:paraId="629B5F19" w14:textId="77777777" w:rsidTr="00972A0B">
        <w:tc>
          <w:tcPr>
            <w:tcW w:w="9017" w:type="dxa"/>
            <w:gridSpan w:val="4"/>
            <w:vAlign w:val="center"/>
          </w:tcPr>
          <w:p w14:paraId="0A9DCBAD" w14:textId="241FDEE8" w:rsidR="006F6911" w:rsidRDefault="006F6911" w:rsidP="006F6911">
            <w:pPr>
              <w:pStyle w:val="TableText0"/>
              <w:rPr>
                <w:noProof/>
              </w:rPr>
            </w:pPr>
            <w:proofErr w:type="spellStart"/>
            <w:r>
              <w:t>ANCOVA</w:t>
            </w:r>
            <w:r>
              <w:rPr>
                <w:vertAlign w:val="superscript"/>
              </w:rPr>
              <w:t>a</w:t>
            </w:r>
            <w:proofErr w:type="spellEnd"/>
          </w:p>
        </w:tc>
      </w:tr>
      <w:tr w:rsidR="006F6911" w14:paraId="346CAEFF" w14:textId="77777777" w:rsidTr="002675DC">
        <w:tc>
          <w:tcPr>
            <w:tcW w:w="4671" w:type="dxa"/>
            <w:vAlign w:val="center"/>
          </w:tcPr>
          <w:p w14:paraId="0258E04A" w14:textId="06D0CA14" w:rsidR="006F6911" w:rsidRDefault="00293CE2" w:rsidP="006F6911">
            <w:pPr>
              <w:pStyle w:val="TableText0"/>
              <w:ind w:left="170"/>
              <w:rPr>
                <w:noProof/>
              </w:rPr>
            </w:pPr>
            <w:r>
              <w:t>LSM</w:t>
            </w:r>
            <w:r w:rsidR="006F6911">
              <w:t xml:space="preserve"> (SE)</w:t>
            </w:r>
          </w:p>
        </w:tc>
        <w:tc>
          <w:tcPr>
            <w:tcW w:w="1558" w:type="dxa"/>
            <w:vAlign w:val="center"/>
          </w:tcPr>
          <w:p w14:paraId="26A12D0F" w14:textId="4B8EED8E" w:rsidR="006F6911" w:rsidRPr="0026657D" w:rsidRDefault="006F6911" w:rsidP="006F6911">
            <w:pPr>
              <w:pStyle w:val="TableText0"/>
              <w:rPr>
                <w:b/>
                <w:bCs w:val="0"/>
                <w:noProof/>
              </w:rPr>
            </w:pPr>
            <w:r>
              <w:t>43.0 (2.3)</w:t>
            </w:r>
          </w:p>
        </w:tc>
        <w:tc>
          <w:tcPr>
            <w:tcW w:w="1339" w:type="dxa"/>
            <w:vAlign w:val="center"/>
          </w:tcPr>
          <w:p w14:paraId="104A5872" w14:textId="453C479D" w:rsidR="006F6911" w:rsidRDefault="006F6911" w:rsidP="006F6911">
            <w:pPr>
              <w:pStyle w:val="TableText0"/>
              <w:rPr>
                <w:noProof/>
              </w:rPr>
            </w:pPr>
            <w:r>
              <w:t>40.5 (2.3)</w:t>
            </w:r>
          </w:p>
        </w:tc>
        <w:tc>
          <w:tcPr>
            <w:tcW w:w="1449" w:type="dxa"/>
            <w:vAlign w:val="center"/>
          </w:tcPr>
          <w:p w14:paraId="0F2FB62E" w14:textId="69ECA634" w:rsidR="006F6911" w:rsidRDefault="006F6911" w:rsidP="006F6911">
            <w:pPr>
              <w:pStyle w:val="TableText0"/>
              <w:rPr>
                <w:noProof/>
              </w:rPr>
            </w:pPr>
            <w:r>
              <w:rPr>
                <w:noProof/>
              </w:rPr>
              <w:t>-</w:t>
            </w:r>
          </w:p>
        </w:tc>
      </w:tr>
      <w:tr w:rsidR="006F6911" w14:paraId="12FF1150" w14:textId="77777777" w:rsidTr="00972A0B">
        <w:tc>
          <w:tcPr>
            <w:tcW w:w="9017" w:type="dxa"/>
            <w:gridSpan w:val="4"/>
            <w:vAlign w:val="center"/>
          </w:tcPr>
          <w:p w14:paraId="50B03571" w14:textId="496B96B4" w:rsidR="006F6911" w:rsidRDefault="006F6911" w:rsidP="006F6911">
            <w:pPr>
              <w:pStyle w:val="TableText0"/>
              <w:rPr>
                <w:noProof/>
              </w:rPr>
            </w:pPr>
            <w:r w:rsidRPr="002F103C">
              <w:t>Superiority Analyses by Logistic Regression</w:t>
            </w:r>
          </w:p>
        </w:tc>
      </w:tr>
      <w:tr w:rsidR="006F6911" w14:paraId="467C86B8" w14:textId="77777777" w:rsidTr="002675DC">
        <w:tc>
          <w:tcPr>
            <w:tcW w:w="4671" w:type="dxa"/>
            <w:vAlign w:val="center"/>
          </w:tcPr>
          <w:p w14:paraId="19348961" w14:textId="3F0E199E" w:rsidR="006F6911" w:rsidRDefault="008F41E8" w:rsidP="006F6911">
            <w:pPr>
              <w:pStyle w:val="TableText0"/>
              <w:ind w:left="170"/>
              <w:rPr>
                <w:noProof/>
              </w:rPr>
            </w:pPr>
            <w:r>
              <w:t xml:space="preserve">LSM </w:t>
            </w:r>
            <w:r w:rsidR="006F6911">
              <w:t>Difference (SE)</w:t>
            </w:r>
          </w:p>
        </w:tc>
        <w:tc>
          <w:tcPr>
            <w:tcW w:w="1558" w:type="dxa"/>
            <w:vAlign w:val="center"/>
          </w:tcPr>
          <w:p w14:paraId="0F87059D" w14:textId="37B7E5B8" w:rsidR="006F6911" w:rsidRPr="0026657D" w:rsidRDefault="006F6911" w:rsidP="006F6911">
            <w:pPr>
              <w:pStyle w:val="TableText0"/>
              <w:rPr>
                <w:b/>
                <w:bCs w:val="0"/>
                <w:noProof/>
              </w:rPr>
            </w:pPr>
            <w:r w:rsidRPr="00297AFE">
              <w:rPr>
                <w:b/>
                <w:bCs w:val="0"/>
              </w:rPr>
              <w:t>2.5 (0.6)</w:t>
            </w:r>
          </w:p>
        </w:tc>
        <w:tc>
          <w:tcPr>
            <w:tcW w:w="1339" w:type="dxa"/>
            <w:vAlign w:val="center"/>
          </w:tcPr>
          <w:p w14:paraId="49EF146D" w14:textId="24F4839C" w:rsidR="006F6911" w:rsidRDefault="006F6911" w:rsidP="006F6911">
            <w:pPr>
              <w:pStyle w:val="TableText0"/>
              <w:rPr>
                <w:noProof/>
              </w:rPr>
            </w:pPr>
            <w:r>
              <w:t>-</w:t>
            </w:r>
          </w:p>
        </w:tc>
        <w:tc>
          <w:tcPr>
            <w:tcW w:w="1449" w:type="dxa"/>
            <w:vAlign w:val="center"/>
          </w:tcPr>
          <w:p w14:paraId="73EF82DE" w14:textId="5369C140" w:rsidR="006F6911" w:rsidRDefault="006F6911" w:rsidP="006F6911">
            <w:pPr>
              <w:pStyle w:val="TableText0"/>
              <w:rPr>
                <w:noProof/>
              </w:rPr>
            </w:pPr>
            <w:r>
              <w:t>-</w:t>
            </w:r>
          </w:p>
        </w:tc>
      </w:tr>
      <w:tr w:rsidR="006F6911" w14:paraId="2E2B1CEB" w14:textId="77777777" w:rsidTr="002675DC">
        <w:tc>
          <w:tcPr>
            <w:tcW w:w="4671" w:type="dxa"/>
            <w:vAlign w:val="center"/>
          </w:tcPr>
          <w:p w14:paraId="49EC0169" w14:textId="177A1402" w:rsidR="006F6911" w:rsidRDefault="006F6911" w:rsidP="006F6911">
            <w:pPr>
              <w:pStyle w:val="TableText0"/>
              <w:ind w:left="170"/>
              <w:rPr>
                <w:noProof/>
              </w:rPr>
            </w:pPr>
            <w:r>
              <w:t xml:space="preserve">95% CI of </w:t>
            </w:r>
            <w:r w:rsidR="008F41E8">
              <w:t>LSM</w:t>
            </w:r>
            <w:r>
              <w:t xml:space="preserve"> difference</w:t>
            </w:r>
          </w:p>
        </w:tc>
        <w:tc>
          <w:tcPr>
            <w:tcW w:w="1558" w:type="dxa"/>
            <w:vAlign w:val="center"/>
          </w:tcPr>
          <w:p w14:paraId="7DFEE80A" w14:textId="59A50174" w:rsidR="006F6911" w:rsidRPr="0026657D" w:rsidRDefault="006F6911" w:rsidP="006F6911">
            <w:pPr>
              <w:pStyle w:val="TableText0"/>
              <w:rPr>
                <w:b/>
                <w:bCs w:val="0"/>
                <w:noProof/>
              </w:rPr>
            </w:pPr>
            <w:r w:rsidRPr="00297AFE">
              <w:rPr>
                <w:b/>
                <w:bCs w:val="0"/>
              </w:rPr>
              <w:t>1.2, 3.8</w:t>
            </w:r>
          </w:p>
        </w:tc>
        <w:tc>
          <w:tcPr>
            <w:tcW w:w="1339" w:type="dxa"/>
            <w:vAlign w:val="center"/>
          </w:tcPr>
          <w:p w14:paraId="3718D21A" w14:textId="2A35AF29" w:rsidR="006F6911" w:rsidRDefault="006F6911" w:rsidP="006F6911">
            <w:pPr>
              <w:pStyle w:val="TableText0"/>
              <w:rPr>
                <w:noProof/>
              </w:rPr>
            </w:pPr>
            <w:r>
              <w:t>-</w:t>
            </w:r>
          </w:p>
        </w:tc>
        <w:tc>
          <w:tcPr>
            <w:tcW w:w="1449" w:type="dxa"/>
            <w:vAlign w:val="center"/>
          </w:tcPr>
          <w:p w14:paraId="4E40FCB2" w14:textId="688D8093" w:rsidR="006F6911" w:rsidRDefault="006F6911" w:rsidP="006F6911">
            <w:pPr>
              <w:pStyle w:val="TableText0"/>
              <w:rPr>
                <w:noProof/>
              </w:rPr>
            </w:pPr>
            <w:r>
              <w:t>-</w:t>
            </w:r>
          </w:p>
        </w:tc>
      </w:tr>
    </w:tbl>
    <w:p w14:paraId="2087E49F" w14:textId="40C6F1E8" w:rsidR="003D440C" w:rsidRDefault="003D440C" w:rsidP="003D440C">
      <w:pPr>
        <w:pStyle w:val="TableFigureFooter"/>
      </w:pPr>
      <w:r>
        <w:t>Source: Table 2-39, pp87-88</w:t>
      </w:r>
      <w:r w:rsidR="005A5F35">
        <w:t xml:space="preserve">; </w:t>
      </w:r>
      <w:r w:rsidR="005A5F35" w:rsidRPr="005A5F35">
        <w:t>Table 2-43, pp93-94</w:t>
      </w:r>
      <w:r>
        <w:t xml:space="preserve"> of the submission</w:t>
      </w:r>
      <w:r w:rsidR="00D926C0">
        <w:t>.</w:t>
      </w:r>
    </w:p>
    <w:p w14:paraId="185A5EC3" w14:textId="1523DBB0" w:rsidR="003D440C" w:rsidRDefault="003D440C" w:rsidP="003D440C">
      <w:pPr>
        <w:pStyle w:val="TableFigureFooter"/>
      </w:pPr>
      <w:r w:rsidRPr="00E935F0">
        <w:t>ANCOVA = analysis of covariance; CAL/BDP = calcipotriol with betamethasone dipropionate; CI = confidence interval;</w:t>
      </w:r>
      <w:r w:rsidR="00A630D2" w:rsidRPr="00A630D2">
        <w:t xml:space="preserve"> FAS = full analysis    set;</w:t>
      </w:r>
      <w:r w:rsidRPr="00E935F0">
        <w:t xml:space="preserve"> </w:t>
      </w:r>
      <w:r>
        <w:t xml:space="preserve">ITT = intent to treat; </w:t>
      </w:r>
      <w:r w:rsidRPr="00E935F0">
        <w:t xml:space="preserve">LOCF = Last-observation-carried forward; </w:t>
      </w:r>
      <w:r>
        <w:t xml:space="preserve">LSM = least square means; </w:t>
      </w:r>
      <w:r w:rsidRPr="00E935F0">
        <w:t xml:space="preserve">N = total participants in group; PTCS </w:t>
      </w:r>
      <w:r w:rsidR="00C116EA">
        <w:t> </w:t>
      </w:r>
      <w:r w:rsidRPr="00E935F0">
        <w:t>=</w:t>
      </w:r>
      <w:r w:rsidR="00C116EA">
        <w:t> </w:t>
      </w:r>
      <w:r w:rsidRPr="00E935F0">
        <w:t>Psoriasis Treatment Convenience Scale; SD = standard deviation; SE = standard error</w:t>
      </w:r>
      <w:r>
        <w:t>, vs =</w:t>
      </w:r>
      <w:r w:rsidR="00DB60B4">
        <w:t xml:space="preserve"> </w:t>
      </w:r>
      <w:r>
        <w:t>versus</w:t>
      </w:r>
      <w:r w:rsidRPr="00E935F0">
        <w:t>.</w:t>
      </w:r>
    </w:p>
    <w:p w14:paraId="5DF21EC1" w14:textId="77777777" w:rsidR="003D440C" w:rsidRDefault="003D440C" w:rsidP="003D440C">
      <w:pPr>
        <w:pStyle w:val="TableFigureFooter"/>
      </w:pPr>
      <w:r>
        <w:t>A PTCS score is considered valid if subjects have used the study medication at some point within 7 days prior to the day of the assessment. PTCS total score is calculated as the sum of questions 1-5.</w:t>
      </w:r>
    </w:p>
    <w:p w14:paraId="2C92A9A2" w14:textId="77777777" w:rsidR="003D440C" w:rsidRDefault="003D440C" w:rsidP="003D440C">
      <w:pPr>
        <w:pStyle w:val="TableFigureFooter"/>
      </w:pPr>
      <w:r w:rsidRPr="00E935F0">
        <w:rPr>
          <w:vertAlign w:val="superscript"/>
        </w:rPr>
        <w:t>a</w:t>
      </w:r>
      <w:r>
        <w:t xml:space="preserve"> ANCOVA model includes treatment, baseline PGA severity (mild/moderate), and analysis site as independent variables.</w:t>
      </w:r>
    </w:p>
    <w:p w14:paraId="11826553" w14:textId="77777777" w:rsidR="003D440C" w:rsidRDefault="003D440C" w:rsidP="003D440C">
      <w:pPr>
        <w:pStyle w:val="TableFigureFooter"/>
      </w:pPr>
      <w:r>
        <w:t>Non-inferiority margin used is 10% points.</w:t>
      </w:r>
    </w:p>
    <w:p w14:paraId="5275E0D7" w14:textId="77777777" w:rsidR="003D440C" w:rsidRDefault="003D440C" w:rsidP="003D440C">
      <w:pPr>
        <w:pStyle w:val="TableFigureFooter"/>
      </w:pPr>
      <w:r w:rsidRPr="005D7FE2">
        <w:rPr>
          <w:b/>
          <w:bCs/>
        </w:rPr>
        <w:t xml:space="preserve">Bold </w:t>
      </w:r>
      <w:r>
        <w:t>indicates statistically significant results.</w:t>
      </w:r>
    </w:p>
    <w:p w14:paraId="46E0BB95" w14:textId="0945C5B9" w:rsidR="006B1C87" w:rsidRPr="00B7760B" w:rsidRDefault="003D440C" w:rsidP="00B7760B">
      <w:pPr>
        <w:widowControl w:val="0"/>
        <w:numPr>
          <w:ilvl w:val="1"/>
          <w:numId w:val="1"/>
        </w:numPr>
        <w:spacing w:after="120"/>
        <w:ind w:left="720"/>
      </w:pPr>
      <w:r w:rsidRPr="00822C61">
        <w:t>At Week 8</w:t>
      </w:r>
      <w:r w:rsidR="00C636D5">
        <w:t xml:space="preserve"> in MC2-01-C2</w:t>
      </w:r>
      <w:r w:rsidRPr="00822C61">
        <w:t>, the mean PTCS score was greater for CAL/BDP cream (41.5) than for CAL/BDP gel (37.5) or vehicle (36.7)</w:t>
      </w:r>
      <w:r w:rsidR="00822C61">
        <w:t>, with a</w:t>
      </w:r>
      <w:r w:rsidRPr="00822C61">
        <w:t xml:space="preserve"> LSM difference </w:t>
      </w:r>
      <w:r w:rsidR="00822C61">
        <w:t>of</w:t>
      </w:r>
      <w:r w:rsidRPr="00822C61">
        <w:t xml:space="preserve"> 4.0 (98.3% CI: 2.7, 5.3). The submission concluded that CAL/BDP cream was superior in term</w:t>
      </w:r>
      <w:r w:rsidR="00866FA4">
        <w:t>s</w:t>
      </w:r>
      <w:r w:rsidRPr="00822C61">
        <w:t xml:space="preserve"> of treatment convenience compared to CAL/BDP gel. </w:t>
      </w:r>
      <w:r w:rsidR="004E1820" w:rsidRPr="00E6793C">
        <w:t xml:space="preserve">This </w:t>
      </w:r>
      <w:r w:rsidR="00FC17F1" w:rsidRPr="00E6793C">
        <w:t xml:space="preserve">conclusion </w:t>
      </w:r>
      <w:r w:rsidR="004E1820" w:rsidRPr="00E6793C">
        <w:t xml:space="preserve">was uncertain given the </w:t>
      </w:r>
      <w:r w:rsidR="00FC17F1" w:rsidRPr="00E6793C">
        <w:t xml:space="preserve">uncertainty in the </w:t>
      </w:r>
      <w:r w:rsidR="004E1820" w:rsidRPr="00E6793C">
        <w:t xml:space="preserve">clinical significance </w:t>
      </w:r>
      <w:r w:rsidR="00FC17F1" w:rsidRPr="00E6793C">
        <w:t>of</w:t>
      </w:r>
      <w:r w:rsidR="004E1820" w:rsidRPr="00E6793C">
        <w:t xml:space="preserve"> </w:t>
      </w:r>
      <w:r w:rsidR="00FC17F1" w:rsidRPr="00E6793C">
        <w:t xml:space="preserve">the </w:t>
      </w:r>
      <w:r w:rsidR="004E1820" w:rsidRPr="00E6793C">
        <w:t xml:space="preserve">PTCS score as discussed in </w:t>
      </w:r>
      <w:r w:rsidR="00165FB9" w:rsidRPr="00E6793C">
        <w:t>p</w:t>
      </w:r>
      <w:r w:rsidR="004E1820" w:rsidRPr="00E6793C">
        <w:t>aragraph</w:t>
      </w:r>
      <w:r w:rsidR="00B775D1">
        <w:t> </w:t>
      </w:r>
      <w:r w:rsidR="00EC1F43">
        <w:fldChar w:fldCharType="begin" w:fldLock="1"/>
      </w:r>
      <w:r w:rsidR="00EC1F43">
        <w:instrText xml:space="preserve"> REF _Ref198218667 \r \h </w:instrText>
      </w:r>
      <w:r w:rsidR="00B7760B">
        <w:instrText xml:space="preserve"> \* MERGEFORMAT </w:instrText>
      </w:r>
      <w:r w:rsidR="00EC1F43">
        <w:fldChar w:fldCharType="separate"/>
      </w:r>
      <w:r w:rsidR="00EC1F43">
        <w:t>6.15</w:t>
      </w:r>
      <w:r w:rsidR="00EC1F43">
        <w:fldChar w:fldCharType="end"/>
      </w:r>
      <w:r w:rsidR="004E1820" w:rsidRPr="00E6793C">
        <w:t>.</w:t>
      </w:r>
    </w:p>
    <w:p w14:paraId="60CC52BC" w14:textId="54BF12E3" w:rsidR="00822C61" w:rsidRPr="00E6793C" w:rsidRDefault="00822C61" w:rsidP="00B7760B">
      <w:pPr>
        <w:widowControl w:val="0"/>
        <w:numPr>
          <w:ilvl w:val="1"/>
          <w:numId w:val="1"/>
        </w:numPr>
        <w:spacing w:after="120"/>
        <w:ind w:left="720"/>
      </w:pPr>
      <w:r w:rsidRPr="00822C61">
        <w:t>At Week 8</w:t>
      </w:r>
      <w:r w:rsidR="00C636D5">
        <w:t xml:space="preserve"> in MC2-01-C7</w:t>
      </w:r>
      <w:r w:rsidRPr="00822C61">
        <w:t>, the mean PTCS score was 38.6 for CAL/BDP cream, 36.1 for CAL/BDP gel, and 36.2 for vehicle</w:t>
      </w:r>
      <w:r>
        <w:t>, with a</w:t>
      </w:r>
      <w:r w:rsidRPr="00822C61">
        <w:t xml:space="preserve"> LSM difference </w:t>
      </w:r>
      <w:r>
        <w:t>of</w:t>
      </w:r>
      <w:r w:rsidRPr="00822C61">
        <w:t xml:space="preserve"> 2.5 (95% CI: 1.2, 3.8). The submission concluded that CAL/BDP cream was superior in term</w:t>
      </w:r>
      <w:r w:rsidR="00712A6C">
        <w:t>s</w:t>
      </w:r>
      <w:r w:rsidRPr="00822C61">
        <w:t xml:space="preserve"> of treatment convenience compared to CAL/BDP gel. </w:t>
      </w:r>
      <w:r w:rsidR="004E1820" w:rsidRPr="00E6793C">
        <w:t xml:space="preserve">As described in </w:t>
      </w:r>
      <w:r w:rsidR="0071584A" w:rsidRPr="00E6793C">
        <w:t xml:space="preserve">the </w:t>
      </w:r>
      <w:r w:rsidR="004E1820" w:rsidRPr="00E6793C">
        <w:t>previous paragraph, t</w:t>
      </w:r>
      <w:r w:rsidR="00EE56A1" w:rsidRPr="00E6793C">
        <w:t>h</w:t>
      </w:r>
      <w:r w:rsidR="00985BAE" w:rsidRPr="00E6793C">
        <w:t xml:space="preserve">is </w:t>
      </w:r>
      <w:r w:rsidR="00622205" w:rsidRPr="00E6793C">
        <w:t xml:space="preserve">conclusion </w:t>
      </w:r>
      <w:r w:rsidR="00E876A7" w:rsidRPr="00E6793C">
        <w:t>wa</w:t>
      </w:r>
      <w:r w:rsidR="00985BAE" w:rsidRPr="00E6793C">
        <w:t>s uncertain</w:t>
      </w:r>
      <w:r w:rsidR="00622205" w:rsidRPr="00E6793C">
        <w:t xml:space="preserve"> given the limitations of the PTCS</w:t>
      </w:r>
      <w:r w:rsidR="0054212A" w:rsidRPr="00E6793C">
        <w:t xml:space="preserve"> </w:t>
      </w:r>
      <w:r w:rsidR="00985BAE" w:rsidRPr="00E6793C">
        <w:t xml:space="preserve">as discussed in </w:t>
      </w:r>
      <w:r w:rsidR="003A2B3F" w:rsidRPr="00E6793C">
        <w:t>p</w:t>
      </w:r>
      <w:r w:rsidR="00FC17F1" w:rsidRPr="00E6793C">
        <w:t>aragraph</w:t>
      </w:r>
      <w:r w:rsidR="00B775D1">
        <w:t> </w:t>
      </w:r>
      <w:r w:rsidR="00A42574">
        <w:fldChar w:fldCharType="begin" w:fldLock="1"/>
      </w:r>
      <w:r w:rsidR="00A42574">
        <w:instrText xml:space="preserve"> REF _Ref198218667 \r \h </w:instrText>
      </w:r>
      <w:r w:rsidR="00B7760B">
        <w:instrText xml:space="preserve"> \* MERGEFORMAT </w:instrText>
      </w:r>
      <w:r w:rsidR="00A42574">
        <w:fldChar w:fldCharType="separate"/>
      </w:r>
      <w:r w:rsidR="00A42574">
        <w:t>6.15</w:t>
      </w:r>
      <w:r w:rsidR="00A42574">
        <w:fldChar w:fldCharType="end"/>
      </w:r>
      <w:r w:rsidR="00985BAE" w:rsidRPr="00E6793C">
        <w:t>.</w:t>
      </w:r>
    </w:p>
    <w:p w14:paraId="70265CBC" w14:textId="7E6920C6" w:rsidR="00940ABD" w:rsidRPr="00E6793C" w:rsidRDefault="00712A6C" w:rsidP="00B7760B">
      <w:pPr>
        <w:widowControl w:val="0"/>
        <w:numPr>
          <w:ilvl w:val="1"/>
          <w:numId w:val="1"/>
        </w:numPr>
        <w:spacing w:after="120"/>
        <w:ind w:left="720"/>
      </w:pPr>
      <w:r w:rsidRPr="00E6793C">
        <w:t>T</w:t>
      </w:r>
      <w:r w:rsidR="004623EC" w:rsidRPr="00E6793C">
        <w:t xml:space="preserve">he LSM difference between CAL/BDP cream versus CAL/BDP gel at Week 4 </w:t>
      </w:r>
      <w:r w:rsidR="00472018" w:rsidRPr="00E6793C">
        <w:t xml:space="preserve">in both MC2-01-C2 and MC2-01-C7 trials </w:t>
      </w:r>
      <w:r w:rsidR="00176278" w:rsidRPr="00E6793C">
        <w:t xml:space="preserve">were consistently in favour of CAL/BDP cream; however, </w:t>
      </w:r>
      <w:r w:rsidR="00195C35" w:rsidRPr="00E6793C">
        <w:t>it was uncertain if PTCS at Week 4 and Week 8 was sufficient to capture</w:t>
      </w:r>
      <w:r w:rsidR="007C4DA6" w:rsidRPr="00E6793C">
        <w:t xml:space="preserve"> the outcome on treatment convenience for</w:t>
      </w:r>
      <w:r w:rsidR="00102434" w:rsidRPr="00E6793C">
        <w:t xml:space="preserve"> a</w:t>
      </w:r>
      <w:r w:rsidR="007C4DA6" w:rsidRPr="00E6793C">
        <w:t xml:space="preserve"> chronic</w:t>
      </w:r>
      <w:r w:rsidR="00102434" w:rsidRPr="00E6793C">
        <w:t xml:space="preserve"> condition.</w:t>
      </w:r>
      <w:r w:rsidR="000D0BB7" w:rsidRPr="00E6793C">
        <w:t xml:space="preserve"> </w:t>
      </w:r>
    </w:p>
    <w:p w14:paraId="797BFD55" w14:textId="77777777" w:rsidR="00B7760B" w:rsidRDefault="00B7760B">
      <w:pPr>
        <w:jc w:val="left"/>
        <w:rPr>
          <w:rFonts w:asciiTheme="minorHAnsi" w:hAnsiTheme="minorHAnsi"/>
          <w:b/>
          <w:snapToGrid w:val="0"/>
          <w:u w:val="single"/>
        </w:rPr>
      </w:pPr>
      <w:r>
        <w:rPr>
          <w:b/>
          <w:u w:val="single"/>
        </w:rPr>
        <w:br w:type="page"/>
      </w:r>
    </w:p>
    <w:p w14:paraId="5E4D863D" w14:textId="41446FA6" w:rsidR="00C328D5" w:rsidRPr="00E6140F" w:rsidRDefault="00C328D5" w:rsidP="00C328D5">
      <w:pPr>
        <w:pStyle w:val="3-BodyText"/>
        <w:numPr>
          <w:ilvl w:val="0"/>
          <w:numId w:val="0"/>
        </w:numPr>
        <w:ind w:left="720" w:hanging="720"/>
        <w:rPr>
          <w:b/>
          <w:u w:val="single"/>
        </w:rPr>
      </w:pPr>
      <w:r w:rsidRPr="00E6140F">
        <w:rPr>
          <w:b/>
          <w:u w:val="single"/>
        </w:rPr>
        <w:lastRenderedPageBreak/>
        <w:t>CAL/BDP cream versus foam</w:t>
      </w:r>
    </w:p>
    <w:p w14:paraId="45E27A1F" w14:textId="34D60579" w:rsidR="002B5214" w:rsidRPr="001B23ED" w:rsidRDefault="0066304F" w:rsidP="00B7760B">
      <w:pPr>
        <w:widowControl w:val="0"/>
        <w:numPr>
          <w:ilvl w:val="1"/>
          <w:numId w:val="1"/>
        </w:numPr>
        <w:spacing w:after="120"/>
        <w:ind w:left="720"/>
        <w:rPr>
          <w:i/>
        </w:rPr>
      </w:pPr>
      <w:r>
        <w:t>As stated in para</w:t>
      </w:r>
      <w:r w:rsidR="0098266C">
        <w:t xml:space="preserve">graph </w:t>
      </w:r>
      <w:r w:rsidR="0098266C">
        <w:fldChar w:fldCharType="begin" w:fldLock="1"/>
      </w:r>
      <w:r w:rsidR="0098266C">
        <w:instrText xml:space="preserve"> REF _Ref195781299 \r \h </w:instrText>
      </w:r>
      <w:r w:rsidR="00497437">
        <w:instrText xml:space="preserve"> \* MERGEFORMAT </w:instrText>
      </w:r>
      <w:r w:rsidR="0098266C">
        <w:fldChar w:fldCharType="separate"/>
      </w:r>
      <w:r w:rsidR="00007A81">
        <w:t>6.5</w:t>
      </w:r>
      <w:r w:rsidR="0098266C">
        <w:fldChar w:fldCharType="end"/>
      </w:r>
      <w:r w:rsidR="0098266C">
        <w:t xml:space="preserve">, no head-to-head trials </w:t>
      </w:r>
      <w:r w:rsidR="0098266C" w:rsidRPr="0098266C">
        <w:t>comparing CAL/BDP cream with foam</w:t>
      </w:r>
      <w:r w:rsidR="0098266C">
        <w:t xml:space="preserve"> were available</w:t>
      </w:r>
      <w:r w:rsidR="00D334EB">
        <w:t>.</w:t>
      </w:r>
      <w:r w:rsidR="0098266C">
        <w:t xml:space="preserve"> </w:t>
      </w:r>
      <w:r w:rsidR="00D334EB">
        <w:t>I</w:t>
      </w:r>
      <w:r w:rsidR="00A6680D">
        <w:t>nstead,</w:t>
      </w:r>
      <w:r w:rsidR="0098266C" w:rsidRPr="0098266C">
        <w:t xml:space="preserve"> the submission relied on four published ITC studies. </w:t>
      </w:r>
      <w:r w:rsidR="00C328D5">
        <w:fldChar w:fldCharType="begin" w:fldLock="1"/>
      </w:r>
      <w:r w:rsidR="00C328D5">
        <w:instrText xml:space="preserve"> REF _Ref195279808 \h </w:instrText>
      </w:r>
      <w:r w:rsidR="00497437">
        <w:instrText xml:space="preserve"> \* MERGEFORMAT </w:instrText>
      </w:r>
      <w:r w:rsidR="00C328D5">
        <w:fldChar w:fldCharType="separate"/>
      </w:r>
      <w:r w:rsidR="00AA3192">
        <w:t xml:space="preserve">Table </w:t>
      </w:r>
      <w:r w:rsidR="00AA3192">
        <w:rPr>
          <w:noProof/>
        </w:rPr>
        <w:t>10</w:t>
      </w:r>
      <w:r w:rsidR="00C328D5">
        <w:fldChar w:fldCharType="end"/>
      </w:r>
      <w:r w:rsidR="00C328D5">
        <w:t xml:space="preserve"> summarises the </w:t>
      </w:r>
      <w:r w:rsidR="00FC3677">
        <w:t>key results</w:t>
      </w:r>
      <w:r w:rsidR="00C328D5">
        <w:t xml:space="preserve"> and conclusion</w:t>
      </w:r>
      <w:r w:rsidR="00FC3677">
        <w:t>s</w:t>
      </w:r>
      <w:r w:rsidR="00891B5A">
        <w:t>, at the recommended treatment duration</w:t>
      </w:r>
      <w:r w:rsidR="00A6680D">
        <w:t>s</w:t>
      </w:r>
      <w:r w:rsidR="00891B5A">
        <w:t xml:space="preserve"> (</w:t>
      </w:r>
      <w:r w:rsidR="000243B5">
        <w:t xml:space="preserve">8 weeks for CAL/BDP cream and </w:t>
      </w:r>
      <w:r w:rsidR="003A53C2">
        <w:t>4 weeks for CAL/BDP foam</w:t>
      </w:r>
      <w:r w:rsidR="00FF6B9D">
        <w:t>)</w:t>
      </w:r>
      <w:r w:rsidR="00D334EB">
        <w:t>,</w:t>
      </w:r>
      <w:r w:rsidR="00C328D5">
        <w:t xml:space="preserve"> from </w:t>
      </w:r>
      <w:r w:rsidR="4AAF0589">
        <w:t>these studies</w:t>
      </w:r>
      <w:r w:rsidR="1549B51A">
        <w:t>.</w:t>
      </w:r>
      <w:r w:rsidR="00A6680D">
        <w:t xml:space="preserve"> </w:t>
      </w:r>
    </w:p>
    <w:p w14:paraId="2761F9AF" w14:textId="62EED78A" w:rsidR="00C328D5" w:rsidRDefault="00C328D5" w:rsidP="00DD40C0">
      <w:pPr>
        <w:pStyle w:val="TableFigureHeading"/>
        <w:jc w:val="both"/>
      </w:pPr>
      <w:bookmarkStart w:id="40" w:name="_Ref195279808"/>
      <w:r>
        <w:t xml:space="preserve">Table </w:t>
      </w:r>
      <w:r w:rsidR="00AA3192">
        <w:fldChar w:fldCharType="begin" w:fldLock="1"/>
      </w:r>
      <w:r w:rsidR="00AA3192">
        <w:instrText xml:space="preserve"> SEQ Table \* ARABIC </w:instrText>
      </w:r>
      <w:r w:rsidR="00AA3192">
        <w:fldChar w:fldCharType="separate"/>
      </w:r>
      <w:r w:rsidR="00AA3192">
        <w:rPr>
          <w:noProof/>
        </w:rPr>
        <w:t>10</w:t>
      </w:r>
      <w:r w:rsidR="00AA3192">
        <w:rPr>
          <w:noProof/>
        </w:rPr>
        <w:fldChar w:fldCharType="end"/>
      </w:r>
      <w:bookmarkEnd w:id="40"/>
      <w:r>
        <w:t xml:space="preserve">: A </w:t>
      </w:r>
      <w:r w:rsidRPr="004E5590">
        <w:t xml:space="preserve">summary of the </w:t>
      </w:r>
      <w:r w:rsidR="006728D1">
        <w:t>key results and conclusions presented in the ITCs</w:t>
      </w:r>
      <w:r w:rsidRPr="004E5590">
        <w:t xml:space="preserve"> between CAL/BDP cream and CAL/BDP foam via CAL/</w:t>
      </w:r>
      <w:r>
        <w:t>BDP</w:t>
      </w:r>
      <w:r w:rsidRPr="004E5590">
        <w:t xml:space="preserve"> gel</w:t>
      </w:r>
    </w:p>
    <w:tbl>
      <w:tblPr>
        <w:tblStyle w:val="TableGrid"/>
        <w:tblW w:w="5000" w:type="pct"/>
        <w:tblLook w:val="04A0" w:firstRow="1" w:lastRow="0" w:firstColumn="1" w:lastColumn="0" w:noHBand="0" w:noVBand="1"/>
        <w:tblCaption w:val="Table 10: A summary of the key results and conclusions presented in the ITCs between CAL/BDP cream and CAL/BDP foam via CAL/BDP gel"/>
      </w:tblPr>
      <w:tblGrid>
        <w:gridCol w:w="892"/>
        <w:gridCol w:w="2063"/>
        <w:gridCol w:w="1610"/>
        <w:gridCol w:w="2225"/>
        <w:gridCol w:w="2227"/>
      </w:tblGrid>
      <w:tr w:rsidR="00FC3677" w14:paraId="0AF37310" w14:textId="77777777" w:rsidTr="00FC3677">
        <w:tc>
          <w:tcPr>
            <w:tcW w:w="494" w:type="pct"/>
          </w:tcPr>
          <w:p w14:paraId="75753179" w14:textId="77777777" w:rsidR="00FC3677" w:rsidRPr="004E5590" w:rsidRDefault="00FC3677" w:rsidP="001B23ED">
            <w:pPr>
              <w:pStyle w:val="TableFigureHeading"/>
              <w:keepNext w:val="0"/>
            </w:pPr>
            <w:r w:rsidRPr="004E5590">
              <w:t>Author</w:t>
            </w:r>
          </w:p>
        </w:tc>
        <w:tc>
          <w:tcPr>
            <w:tcW w:w="1144" w:type="pct"/>
          </w:tcPr>
          <w:p w14:paraId="62ACFD7C" w14:textId="77777777" w:rsidR="00FC3677" w:rsidRPr="004E5590" w:rsidRDefault="00FC3677" w:rsidP="001B23ED">
            <w:pPr>
              <w:pStyle w:val="TableFigureHeading"/>
              <w:keepNext w:val="0"/>
            </w:pPr>
            <w:r w:rsidRPr="004E5590">
              <w:t>Method</w:t>
            </w:r>
          </w:p>
        </w:tc>
        <w:tc>
          <w:tcPr>
            <w:tcW w:w="893" w:type="pct"/>
          </w:tcPr>
          <w:p w14:paraId="21855AA9" w14:textId="77777777" w:rsidR="00FC3677" w:rsidRPr="004E5590" w:rsidRDefault="00FC3677" w:rsidP="001B23ED">
            <w:pPr>
              <w:pStyle w:val="TableFigureHeading"/>
              <w:keepNext w:val="0"/>
            </w:pPr>
            <w:r>
              <w:t>Included studies</w:t>
            </w:r>
          </w:p>
        </w:tc>
        <w:tc>
          <w:tcPr>
            <w:tcW w:w="1234" w:type="pct"/>
          </w:tcPr>
          <w:p w14:paraId="0C150552" w14:textId="4C06055C" w:rsidR="00FC3677" w:rsidRPr="004E5590" w:rsidRDefault="00FC3677" w:rsidP="001B23ED">
            <w:pPr>
              <w:pStyle w:val="TableFigureHeading"/>
              <w:keepNext w:val="0"/>
            </w:pPr>
            <w:r>
              <w:t>Results</w:t>
            </w:r>
          </w:p>
        </w:tc>
        <w:tc>
          <w:tcPr>
            <w:tcW w:w="1235" w:type="pct"/>
          </w:tcPr>
          <w:p w14:paraId="13F3CC5B" w14:textId="2B69920F" w:rsidR="00FC3677" w:rsidRPr="004E5590" w:rsidRDefault="00FC3677" w:rsidP="001B23ED">
            <w:pPr>
              <w:pStyle w:val="TableFigureHeading"/>
              <w:keepNext w:val="0"/>
            </w:pPr>
            <w:r w:rsidRPr="004E5590">
              <w:t>Conclusion</w:t>
            </w:r>
          </w:p>
        </w:tc>
      </w:tr>
      <w:tr w:rsidR="00FC3677" w14:paraId="08101429" w14:textId="77777777" w:rsidTr="00FC3677">
        <w:tc>
          <w:tcPr>
            <w:tcW w:w="494" w:type="pct"/>
          </w:tcPr>
          <w:p w14:paraId="3891E289" w14:textId="77777777" w:rsidR="00FC3677" w:rsidRPr="004E5590" w:rsidRDefault="00FC3677" w:rsidP="001B23ED">
            <w:pPr>
              <w:pStyle w:val="TableText0"/>
              <w:keepNext w:val="0"/>
            </w:pPr>
            <w:r w:rsidRPr="009E3DAB">
              <w:t>Bewley et al., 2022</w:t>
            </w:r>
          </w:p>
        </w:tc>
        <w:tc>
          <w:tcPr>
            <w:tcW w:w="1144" w:type="pct"/>
          </w:tcPr>
          <w:p w14:paraId="65C36E2E" w14:textId="77777777" w:rsidR="00FC3677" w:rsidRDefault="00FC3677" w:rsidP="001B23ED">
            <w:pPr>
              <w:pStyle w:val="TableText0"/>
              <w:keepNext w:val="0"/>
            </w:pPr>
            <w:r w:rsidRPr="009E3DAB">
              <w:t>Anchored matching-adjusted indirect comparison was made using IPD f</w:t>
            </w:r>
            <w:r>
              <w:t>rom two</w:t>
            </w:r>
            <w:r w:rsidRPr="009E3DAB">
              <w:t xml:space="preserve"> CAL/BDP cream </w:t>
            </w:r>
            <w:r>
              <w:t xml:space="preserve">trials </w:t>
            </w:r>
            <w:r w:rsidRPr="009E3DAB">
              <w:t>and published aggregated data f</w:t>
            </w:r>
            <w:r>
              <w:t>rom two</w:t>
            </w:r>
            <w:r w:rsidRPr="009E3DAB">
              <w:t xml:space="preserve"> CAL/BDP foam</w:t>
            </w:r>
            <w:r>
              <w:t xml:space="preserve"> trials</w:t>
            </w:r>
          </w:p>
        </w:tc>
        <w:tc>
          <w:tcPr>
            <w:tcW w:w="893" w:type="pct"/>
          </w:tcPr>
          <w:p w14:paraId="2491792A" w14:textId="4767994F" w:rsidR="006A217F" w:rsidRPr="006A217F" w:rsidRDefault="002F5C8C" w:rsidP="001B23ED">
            <w:pPr>
              <w:pStyle w:val="TableText0"/>
              <w:keepNext w:val="0"/>
              <w:rPr>
                <w:b/>
                <w:bCs w:val="0"/>
              </w:rPr>
            </w:pPr>
            <w:r w:rsidRPr="006A217F">
              <w:rPr>
                <w:b/>
                <w:bCs w:val="0"/>
              </w:rPr>
              <w:t>C</w:t>
            </w:r>
            <w:r w:rsidR="006A217F" w:rsidRPr="006A217F">
              <w:rPr>
                <w:b/>
                <w:bCs w:val="0"/>
              </w:rPr>
              <w:t>AL/BDP cream</w:t>
            </w:r>
          </w:p>
          <w:p w14:paraId="1566C8B5" w14:textId="117730A2" w:rsidR="00FC3677" w:rsidRDefault="00FC3677" w:rsidP="001B23ED">
            <w:pPr>
              <w:pStyle w:val="TableText0"/>
              <w:keepNext w:val="0"/>
            </w:pPr>
            <w:r>
              <w:t>MC2-01-C2</w:t>
            </w:r>
          </w:p>
          <w:p w14:paraId="232E941C" w14:textId="77777777" w:rsidR="00FC3677" w:rsidRDefault="00FC3677" w:rsidP="001B23ED">
            <w:pPr>
              <w:pStyle w:val="TableText0"/>
              <w:keepNext w:val="0"/>
            </w:pPr>
            <w:r>
              <w:t>MC2-01-C7</w:t>
            </w:r>
          </w:p>
          <w:p w14:paraId="2E893547" w14:textId="77777777" w:rsidR="006A217F" w:rsidRDefault="006A217F" w:rsidP="001B23ED">
            <w:pPr>
              <w:pStyle w:val="TableText0"/>
              <w:keepNext w:val="0"/>
            </w:pPr>
          </w:p>
          <w:p w14:paraId="4CF4AD2B" w14:textId="069D9EF6" w:rsidR="00FC3677" w:rsidRPr="006A217F" w:rsidRDefault="006A217F" w:rsidP="001B23ED">
            <w:pPr>
              <w:pStyle w:val="TableText0"/>
              <w:keepNext w:val="0"/>
              <w:rPr>
                <w:b/>
              </w:rPr>
            </w:pPr>
            <w:r w:rsidRPr="006A217F">
              <w:rPr>
                <w:b/>
                <w:bCs w:val="0"/>
              </w:rPr>
              <w:t xml:space="preserve">CAL/BDP </w:t>
            </w:r>
            <w:r>
              <w:rPr>
                <w:b/>
                <w:bCs w:val="0"/>
              </w:rPr>
              <w:t>foam</w:t>
            </w:r>
          </w:p>
          <w:p w14:paraId="61A430E5" w14:textId="77777777" w:rsidR="00FC3677" w:rsidRDefault="00FC3677" w:rsidP="001B23ED">
            <w:pPr>
              <w:pStyle w:val="TableText0"/>
              <w:keepNext w:val="0"/>
            </w:pPr>
            <w:r>
              <w:t>PSO-ABLE</w:t>
            </w:r>
          </w:p>
          <w:p w14:paraId="72F4BF11" w14:textId="77777777" w:rsidR="00FC3677" w:rsidRPr="00025FD3" w:rsidRDefault="00FC3677" w:rsidP="001B23ED">
            <w:pPr>
              <w:pStyle w:val="TableText0"/>
              <w:keepNext w:val="0"/>
            </w:pPr>
            <w:r>
              <w:t>PSO-INSIGHTFUL</w:t>
            </w:r>
          </w:p>
        </w:tc>
        <w:tc>
          <w:tcPr>
            <w:tcW w:w="1234" w:type="pct"/>
          </w:tcPr>
          <w:p w14:paraId="160FA605" w14:textId="7507FE63" w:rsidR="00FC3677" w:rsidRDefault="00FC3677" w:rsidP="001B23ED">
            <w:pPr>
              <w:pStyle w:val="TableText0"/>
              <w:keepNext w:val="0"/>
            </w:pPr>
            <w:r w:rsidRPr="005B4992">
              <w:t>Equivalent efficacy</w:t>
            </w:r>
            <w:r>
              <w:t xml:space="preserve"> (PGA, </w:t>
            </w:r>
            <w:proofErr w:type="spellStart"/>
            <w:r>
              <w:t>mPASI</w:t>
            </w:r>
            <w:proofErr w:type="spellEnd"/>
            <w:r>
              <w:t>, PTCS)</w:t>
            </w:r>
          </w:p>
          <w:p w14:paraId="2E14573E" w14:textId="77777777" w:rsidR="00FC3677" w:rsidRPr="005B4992" w:rsidRDefault="00FC3677" w:rsidP="001B23ED">
            <w:pPr>
              <w:pStyle w:val="TableText0"/>
              <w:keepNext w:val="0"/>
            </w:pPr>
          </w:p>
          <w:p w14:paraId="65AB6FB5" w14:textId="7386CD9C" w:rsidR="00FC3677" w:rsidRPr="00C46555" w:rsidRDefault="00FC3677" w:rsidP="001B23ED">
            <w:pPr>
              <w:pStyle w:val="TableText0"/>
              <w:keepNext w:val="0"/>
            </w:pPr>
            <w:r w:rsidRPr="005B4992">
              <w:t xml:space="preserve">Equivalent </w:t>
            </w:r>
            <w:proofErr w:type="spellStart"/>
            <w:r w:rsidRPr="005B4992">
              <w:t>HRQoL</w:t>
            </w:r>
            <w:proofErr w:type="spellEnd"/>
            <w:r>
              <w:t xml:space="preserve"> (DLQI)</w:t>
            </w:r>
          </w:p>
        </w:tc>
        <w:tc>
          <w:tcPr>
            <w:tcW w:w="1235" w:type="pct"/>
          </w:tcPr>
          <w:p w14:paraId="3252F560" w14:textId="1D79D34A" w:rsidR="00FC3677" w:rsidRDefault="00FC3677" w:rsidP="0085411E">
            <w:pPr>
              <w:pStyle w:val="TableText0"/>
              <w:keepNext w:val="0"/>
              <w:numPr>
                <w:ilvl w:val="0"/>
                <w:numId w:val="7"/>
              </w:numPr>
              <w:ind w:left="170" w:hanging="170"/>
            </w:pPr>
            <w:r w:rsidRPr="00C46555">
              <w:t xml:space="preserve">CAL/BDP cream and CAL/BDP foam had equivalent efficacy and </w:t>
            </w:r>
            <w:proofErr w:type="spellStart"/>
            <w:r>
              <w:t>HR</w:t>
            </w:r>
            <w:r w:rsidRPr="00C46555">
              <w:t>QoL</w:t>
            </w:r>
            <w:proofErr w:type="spellEnd"/>
            <w:r w:rsidRPr="00C46555">
              <w:t xml:space="preserve"> outcomes</w:t>
            </w:r>
          </w:p>
          <w:p w14:paraId="339C23A4" w14:textId="77777777" w:rsidR="00FC3677" w:rsidRPr="004E5590" w:rsidRDefault="00FC3677" w:rsidP="0085411E">
            <w:pPr>
              <w:pStyle w:val="TableText0"/>
              <w:keepNext w:val="0"/>
              <w:numPr>
                <w:ilvl w:val="0"/>
                <w:numId w:val="7"/>
              </w:numPr>
              <w:ind w:left="170" w:hanging="170"/>
            </w:pPr>
            <w:r w:rsidRPr="004E5590">
              <w:t>CAL/BDP cream was more convenient than foam</w:t>
            </w:r>
          </w:p>
        </w:tc>
      </w:tr>
      <w:tr w:rsidR="00FC3677" w14:paraId="1C074D97" w14:textId="77777777" w:rsidTr="00FC3677">
        <w:tc>
          <w:tcPr>
            <w:tcW w:w="494" w:type="pct"/>
          </w:tcPr>
          <w:p w14:paraId="6BE22A9B" w14:textId="77777777" w:rsidR="00FC3677" w:rsidRDefault="00FC3677" w:rsidP="001B23ED">
            <w:pPr>
              <w:pStyle w:val="TableText0"/>
              <w:keepNext w:val="0"/>
            </w:pPr>
            <w:r w:rsidRPr="009E3DAB">
              <w:t xml:space="preserve">Reich et al., </w:t>
            </w:r>
            <w:r>
              <w:t>2022</w:t>
            </w:r>
          </w:p>
        </w:tc>
        <w:tc>
          <w:tcPr>
            <w:tcW w:w="1144" w:type="pct"/>
          </w:tcPr>
          <w:p w14:paraId="3C17895E" w14:textId="79607442" w:rsidR="00FC3677" w:rsidRDefault="003D1254" w:rsidP="001B23ED">
            <w:pPr>
              <w:pStyle w:val="TableText0"/>
              <w:keepNext w:val="0"/>
            </w:pPr>
            <w:r>
              <w:t xml:space="preserve">Anchored </w:t>
            </w:r>
            <w:r w:rsidR="00AE7B1A">
              <w:t>indirect comparison was made</w:t>
            </w:r>
            <w:r w:rsidR="00E977E5">
              <w:t xml:space="preserve"> using d</w:t>
            </w:r>
            <w:r w:rsidR="00FC3677" w:rsidRPr="009E3DAB">
              <w:t xml:space="preserve">ata </w:t>
            </w:r>
            <w:r w:rsidR="00F9148B">
              <w:t xml:space="preserve">from </w:t>
            </w:r>
            <w:r w:rsidR="00FC3677">
              <w:t>two</w:t>
            </w:r>
            <w:r w:rsidR="00FC3677" w:rsidRPr="009E3DAB">
              <w:t xml:space="preserve"> C</w:t>
            </w:r>
            <w:r w:rsidR="006A217F">
              <w:t>AL</w:t>
            </w:r>
            <w:r w:rsidR="00FC3677" w:rsidRPr="009E3DAB">
              <w:t xml:space="preserve">/BDP cream </w:t>
            </w:r>
            <w:r w:rsidR="007B7A38">
              <w:t xml:space="preserve">trials </w:t>
            </w:r>
            <w:r w:rsidR="00FC3677" w:rsidRPr="009E3DAB">
              <w:t xml:space="preserve">and </w:t>
            </w:r>
            <w:r w:rsidR="00FC3677">
              <w:t>two</w:t>
            </w:r>
            <w:r w:rsidR="00FC3677" w:rsidRPr="009E3DAB">
              <w:t xml:space="preserve"> </w:t>
            </w:r>
            <w:r w:rsidR="00DC04C8">
              <w:t xml:space="preserve">CAL/BDP </w:t>
            </w:r>
            <w:r w:rsidR="00FC3677" w:rsidRPr="009E3DAB">
              <w:t>foam</w:t>
            </w:r>
            <w:r w:rsidR="00DC04C8">
              <w:t xml:space="preserve"> trials</w:t>
            </w:r>
          </w:p>
        </w:tc>
        <w:tc>
          <w:tcPr>
            <w:tcW w:w="893" w:type="pct"/>
          </w:tcPr>
          <w:p w14:paraId="1FF4A96E" w14:textId="0DB53EA6" w:rsidR="006A217F" w:rsidRPr="006A217F" w:rsidRDefault="006A217F" w:rsidP="001B23ED">
            <w:pPr>
              <w:pStyle w:val="TableText0"/>
              <w:keepNext w:val="0"/>
              <w:rPr>
                <w:b/>
                <w:bCs w:val="0"/>
              </w:rPr>
            </w:pPr>
            <w:r w:rsidRPr="006A217F">
              <w:rPr>
                <w:b/>
                <w:bCs w:val="0"/>
              </w:rPr>
              <w:t xml:space="preserve">CAL/BDP </w:t>
            </w:r>
            <w:r>
              <w:rPr>
                <w:b/>
                <w:bCs w:val="0"/>
              </w:rPr>
              <w:t>cream</w:t>
            </w:r>
          </w:p>
          <w:p w14:paraId="6DFDA52D" w14:textId="77777777" w:rsidR="00FC3677" w:rsidRDefault="00FC3677" w:rsidP="001B23ED">
            <w:pPr>
              <w:pStyle w:val="TableText0"/>
              <w:keepNext w:val="0"/>
            </w:pPr>
            <w:r>
              <w:t>MC2-01-C2</w:t>
            </w:r>
          </w:p>
          <w:p w14:paraId="36B69ADF" w14:textId="77777777" w:rsidR="00FC3677" w:rsidRDefault="00FC3677" w:rsidP="001B23ED">
            <w:pPr>
              <w:pStyle w:val="TableText0"/>
              <w:keepNext w:val="0"/>
            </w:pPr>
            <w:r>
              <w:t>MC2-01-C7</w:t>
            </w:r>
          </w:p>
          <w:p w14:paraId="2F9EF767" w14:textId="77777777" w:rsidR="006A217F" w:rsidRDefault="006A217F" w:rsidP="001B23ED">
            <w:pPr>
              <w:pStyle w:val="TableText0"/>
              <w:keepNext w:val="0"/>
            </w:pPr>
          </w:p>
          <w:p w14:paraId="1A437579" w14:textId="77777777" w:rsidR="006A217F" w:rsidRPr="006A217F" w:rsidRDefault="006A217F" w:rsidP="001B23ED">
            <w:pPr>
              <w:pStyle w:val="TableText0"/>
              <w:keepNext w:val="0"/>
              <w:rPr>
                <w:b/>
                <w:bCs w:val="0"/>
              </w:rPr>
            </w:pPr>
            <w:r w:rsidRPr="006A217F">
              <w:rPr>
                <w:b/>
                <w:bCs w:val="0"/>
              </w:rPr>
              <w:t xml:space="preserve">CAL/BDP </w:t>
            </w:r>
            <w:r>
              <w:rPr>
                <w:b/>
                <w:bCs w:val="0"/>
              </w:rPr>
              <w:t>foam</w:t>
            </w:r>
          </w:p>
          <w:p w14:paraId="022B31A2" w14:textId="77777777" w:rsidR="00FC3677" w:rsidRDefault="00FC3677" w:rsidP="001B23ED">
            <w:pPr>
              <w:pStyle w:val="TableText0"/>
              <w:keepNext w:val="0"/>
            </w:pPr>
            <w:r>
              <w:t>PSO-ABLE</w:t>
            </w:r>
          </w:p>
          <w:p w14:paraId="4E1BC348" w14:textId="77777777" w:rsidR="00FC3677" w:rsidRPr="00025FD3" w:rsidRDefault="00FC3677" w:rsidP="001B23ED">
            <w:pPr>
              <w:pStyle w:val="TableText0"/>
              <w:keepNext w:val="0"/>
            </w:pPr>
            <w:r>
              <w:t>PSO-INSIGHTFUL</w:t>
            </w:r>
          </w:p>
        </w:tc>
        <w:tc>
          <w:tcPr>
            <w:tcW w:w="1234" w:type="pct"/>
          </w:tcPr>
          <w:p w14:paraId="018F1CCA" w14:textId="61A3FAA7" w:rsidR="00FC3677" w:rsidRDefault="00FC3677" w:rsidP="001B23ED">
            <w:pPr>
              <w:pStyle w:val="TableText0"/>
              <w:keepNext w:val="0"/>
            </w:pPr>
            <w:r w:rsidRPr="005B4992">
              <w:t>Equivalent efficacy</w:t>
            </w:r>
            <w:r>
              <w:t xml:space="preserve"> (PGA, </w:t>
            </w:r>
            <w:proofErr w:type="spellStart"/>
            <w:r>
              <w:t>mPASI</w:t>
            </w:r>
            <w:proofErr w:type="spellEnd"/>
            <w:r>
              <w:t>, PTCS)</w:t>
            </w:r>
          </w:p>
          <w:p w14:paraId="5928B7BB" w14:textId="77777777" w:rsidR="00FC3677" w:rsidRPr="005B4992" w:rsidRDefault="00FC3677" w:rsidP="001B23ED">
            <w:pPr>
              <w:pStyle w:val="TableText0"/>
              <w:keepNext w:val="0"/>
            </w:pPr>
          </w:p>
          <w:p w14:paraId="6A501280" w14:textId="1B0511B8" w:rsidR="00FC3677" w:rsidRPr="005B4992" w:rsidRDefault="00FC3677" w:rsidP="001B23ED">
            <w:pPr>
              <w:pStyle w:val="TableText0"/>
              <w:keepNext w:val="0"/>
            </w:pPr>
            <w:r w:rsidRPr="005B4992">
              <w:t>QoL</w:t>
            </w:r>
            <w:r>
              <w:t xml:space="preserve"> (DLQI)</w:t>
            </w:r>
            <w:r w:rsidRPr="005B4992">
              <w:t xml:space="preserve"> favoured cream</w:t>
            </w:r>
          </w:p>
          <w:p w14:paraId="21B86084" w14:textId="2CDEFCA5" w:rsidR="00FC3677" w:rsidRPr="00C46555" w:rsidRDefault="00FC3677" w:rsidP="001B23ED">
            <w:pPr>
              <w:pStyle w:val="TableText0"/>
              <w:keepNext w:val="0"/>
            </w:pPr>
          </w:p>
        </w:tc>
        <w:tc>
          <w:tcPr>
            <w:tcW w:w="1235" w:type="pct"/>
          </w:tcPr>
          <w:p w14:paraId="1A1F7A2D" w14:textId="7CE96AEF" w:rsidR="00FC3677" w:rsidRDefault="00FC3677" w:rsidP="0085411E">
            <w:pPr>
              <w:pStyle w:val="TableText0"/>
              <w:keepNext w:val="0"/>
              <w:numPr>
                <w:ilvl w:val="0"/>
                <w:numId w:val="8"/>
              </w:numPr>
              <w:ind w:left="170" w:hanging="170"/>
            </w:pPr>
            <w:r w:rsidRPr="00C46555">
              <w:t>CAL/BDP cream and CAL/BDP foam had equivalent efficacy outcomes</w:t>
            </w:r>
          </w:p>
          <w:p w14:paraId="449ED2BC" w14:textId="77777777" w:rsidR="00FC3677" w:rsidRPr="004E5590" w:rsidRDefault="00FC3677" w:rsidP="0085411E">
            <w:pPr>
              <w:pStyle w:val="TableText0"/>
              <w:keepNext w:val="0"/>
              <w:numPr>
                <w:ilvl w:val="0"/>
                <w:numId w:val="8"/>
              </w:numPr>
              <w:ind w:left="170" w:hanging="170"/>
            </w:pPr>
            <w:r w:rsidRPr="004E5590">
              <w:t>CAL/BDP cream significantly improved treatment satisfaction and tended to improve QoL versus CAL/BDP foam</w:t>
            </w:r>
          </w:p>
        </w:tc>
      </w:tr>
      <w:tr w:rsidR="00FC3677" w14:paraId="5993D113" w14:textId="77777777" w:rsidTr="00FC3677">
        <w:tc>
          <w:tcPr>
            <w:tcW w:w="494" w:type="pct"/>
          </w:tcPr>
          <w:p w14:paraId="5F3864C8" w14:textId="77777777" w:rsidR="00FC3677" w:rsidRDefault="00FC3677" w:rsidP="001B23ED">
            <w:pPr>
              <w:pStyle w:val="TableText0"/>
              <w:keepNext w:val="0"/>
            </w:pPr>
            <w:r w:rsidRPr="009E3DAB">
              <w:t>Papp et al., 2022</w:t>
            </w:r>
            <w:r>
              <w:fldChar w:fldCharType="begin" w:fldLock="1"/>
            </w:r>
            <w:r>
              <w:instrText xml:space="preserve"> ADDIN EN.CITE &lt;EndNote&gt;&lt;Cite&gt;&lt;Author&gt;Papp&lt;/Author&gt;&lt;Year&gt;2022&lt;/Year&gt;&lt;RecNum&gt;60&lt;/RecNum&gt;&lt;DisplayText&gt;(Papp 2022)&lt;/DisplayText&gt;&lt;record&gt;&lt;rec-number&gt;60&lt;/rec-number&gt;&lt;foreign-keys&gt;&lt;key app="EN" db-id="xts2d95ahs0rabeartpxpv04p2w9rdvp2sp9" timestamp="1739151897"&gt;60&lt;/key&gt;&lt;/foreign-keys&gt;&lt;ref-type name="Journal Article"&gt;17&lt;/ref-type&gt;&lt;contributors&gt;&lt;authors&gt;&lt;author&gt;Papp, K. A., Thoning, H., Gerdes, S., Megna, M., Brandi, H., Jablonski Bernasconi, M. Y., &amp;amp; Yélamos, O.&lt;/author&gt;&lt;/authors&gt;&lt;/contributors&gt;&lt;titles&gt;&lt;title&gt;Matching-adjusted indirect comparison of efficacy outcomes in trials of calcipotriol plus betamethasone dipropionate foam and cream formulations for the treatment of plaque psoriasis.&lt;/title&gt;&lt;secondary-title&gt;Journal of Dermatological Treatment&lt;/secondary-title&gt;&lt;/titles&gt;&lt;periodical&gt;&lt;full-title&gt;Journal of Dermatological Treatment&lt;/full-title&gt;&lt;/periodical&gt;&lt;pages&gt;3005-3013&lt;/pages&gt;&lt;volume&gt;33&lt;/volume&gt;&lt;number&gt;7&lt;/number&gt;&lt;dates&gt;&lt;year&gt;2022&lt;/year&gt;&lt;/dates&gt;&lt;urls&gt;&lt;related-urls&gt;&lt;url&gt;https://www.tandfonline.com/doi/full/10.1080/09546634.2022.2095330&lt;/url&gt;&lt;/related-urls&gt;&lt;/urls&gt;&lt;/record&gt;&lt;/Cite&gt;&lt;/EndNote&gt;</w:instrText>
            </w:r>
            <w:r>
              <w:fldChar w:fldCharType="separate"/>
            </w:r>
            <w:r>
              <w:fldChar w:fldCharType="end"/>
            </w:r>
          </w:p>
        </w:tc>
        <w:tc>
          <w:tcPr>
            <w:tcW w:w="1144" w:type="pct"/>
          </w:tcPr>
          <w:p w14:paraId="59A37D63" w14:textId="77777777" w:rsidR="00FC3677" w:rsidRDefault="00FC3677" w:rsidP="001B23ED">
            <w:pPr>
              <w:pStyle w:val="TableText0"/>
              <w:keepNext w:val="0"/>
            </w:pPr>
            <w:r w:rsidRPr="009E3DAB">
              <w:t xml:space="preserve">Anchored and unanchored MAIC analyses were conducted using individual patient data from </w:t>
            </w:r>
            <w:r w:rsidRPr="005F0348">
              <w:t>five</w:t>
            </w:r>
            <w:r w:rsidRPr="009E3DAB">
              <w:t xml:space="preserve"> CAL/BDP foam trials and two CAL/BDP cream trials</w:t>
            </w:r>
          </w:p>
        </w:tc>
        <w:tc>
          <w:tcPr>
            <w:tcW w:w="893" w:type="pct"/>
          </w:tcPr>
          <w:p w14:paraId="185E447D" w14:textId="426231F0" w:rsidR="006A217F" w:rsidRDefault="006A217F" w:rsidP="001B23ED">
            <w:pPr>
              <w:pStyle w:val="TableText0"/>
              <w:keepNext w:val="0"/>
            </w:pPr>
            <w:r w:rsidRPr="006A217F">
              <w:rPr>
                <w:b/>
                <w:bCs w:val="0"/>
              </w:rPr>
              <w:t xml:space="preserve">CAL/BDP </w:t>
            </w:r>
            <w:r>
              <w:rPr>
                <w:b/>
                <w:bCs w:val="0"/>
              </w:rPr>
              <w:t>cream</w:t>
            </w:r>
          </w:p>
          <w:p w14:paraId="700E35B9" w14:textId="6AC4BB9C" w:rsidR="00FC3677" w:rsidRDefault="00FC3677" w:rsidP="001B23ED">
            <w:pPr>
              <w:pStyle w:val="TableText0"/>
              <w:keepNext w:val="0"/>
            </w:pPr>
            <w:r>
              <w:t>MC2-01-C2</w:t>
            </w:r>
          </w:p>
          <w:p w14:paraId="6C2FF696" w14:textId="77777777" w:rsidR="00FC3677" w:rsidRDefault="00FC3677" w:rsidP="001B23ED">
            <w:pPr>
              <w:pStyle w:val="TableText0"/>
              <w:keepNext w:val="0"/>
            </w:pPr>
            <w:r>
              <w:t>MC2-01-C7</w:t>
            </w:r>
          </w:p>
          <w:p w14:paraId="0713C66A" w14:textId="77777777" w:rsidR="00FC3677" w:rsidRDefault="00FC3677" w:rsidP="001B23ED">
            <w:pPr>
              <w:pStyle w:val="TableText0"/>
              <w:keepNext w:val="0"/>
            </w:pPr>
          </w:p>
          <w:p w14:paraId="48040B24" w14:textId="77777777" w:rsidR="006A217F" w:rsidRPr="006A217F" w:rsidRDefault="006A217F" w:rsidP="001B23ED">
            <w:pPr>
              <w:pStyle w:val="TableText0"/>
              <w:keepNext w:val="0"/>
              <w:rPr>
                <w:b/>
                <w:bCs w:val="0"/>
              </w:rPr>
            </w:pPr>
            <w:r w:rsidRPr="006A217F">
              <w:rPr>
                <w:b/>
                <w:bCs w:val="0"/>
              </w:rPr>
              <w:t xml:space="preserve">CAL/BDP </w:t>
            </w:r>
            <w:r>
              <w:rPr>
                <w:b/>
                <w:bCs w:val="0"/>
              </w:rPr>
              <w:t>foam</w:t>
            </w:r>
          </w:p>
          <w:p w14:paraId="1CAF95F8" w14:textId="77777777" w:rsidR="00FC3677" w:rsidRDefault="00FC3677" w:rsidP="001B23ED">
            <w:pPr>
              <w:pStyle w:val="TableText0"/>
              <w:keepNext w:val="0"/>
            </w:pPr>
            <w:r w:rsidRPr="00FE6B5D">
              <w:t>PSO-ABLE</w:t>
            </w:r>
          </w:p>
          <w:p w14:paraId="17190D2F" w14:textId="1A14910A" w:rsidR="00FC3677" w:rsidRDefault="00FC3677" w:rsidP="001B23ED">
            <w:pPr>
              <w:pStyle w:val="TableText0"/>
              <w:keepNext w:val="0"/>
            </w:pPr>
            <w:r w:rsidRPr="00FE6B5D">
              <w:t xml:space="preserve">PSO-LONG </w:t>
            </w:r>
          </w:p>
          <w:p w14:paraId="371B7F7E" w14:textId="77777777" w:rsidR="00FC3677" w:rsidRDefault="00FC3677" w:rsidP="001B23ED">
            <w:pPr>
              <w:pStyle w:val="TableText0"/>
              <w:keepNext w:val="0"/>
            </w:pPr>
            <w:r>
              <w:t>PSO-FAST</w:t>
            </w:r>
          </w:p>
          <w:p w14:paraId="34F6E030" w14:textId="77777777" w:rsidR="00FC3677" w:rsidRDefault="00FC3677" w:rsidP="001B23ED">
            <w:pPr>
              <w:pStyle w:val="TableText0"/>
              <w:keepNext w:val="0"/>
            </w:pPr>
            <w:r w:rsidRPr="00FE6B5D">
              <w:t xml:space="preserve">LEO90100-07 </w:t>
            </w:r>
          </w:p>
          <w:p w14:paraId="7E035BFD" w14:textId="77777777" w:rsidR="00FC3677" w:rsidRPr="00C46555" w:rsidRDefault="00FC3677" w:rsidP="001B23ED">
            <w:pPr>
              <w:pStyle w:val="TableText0"/>
              <w:keepNext w:val="0"/>
            </w:pPr>
            <w:r w:rsidRPr="00FE6B5D">
              <w:t>LEO90100-35</w:t>
            </w:r>
          </w:p>
        </w:tc>
        <w:tc>
          <w:tcPr>
            <w:tcW w:w="1234" w:type="pct"/>
          </w:tcPr>
          <w:p w14:paraId="19ABF6C6" w14:textId="68FB9A2B" w:rsidR="00FC3677" w:rsidRPr="00823AAD" w:rsidRDefault="00FC3677" w:rsidP="001B23ED">
            <w:pPr>
              <w:pStyle w:val="TableText0"/>
              <w:keepNext w:val="0"/>
              <w:rPr>
                <w:u w:val="single"/>
              </w:rPr>
            </w:pPr>
            <w:r w:rsidRPr="00823AAD">
              <w:rPr>
                <w:u w:val="single"/>
              </w:rPr>
              <w:t>Anchored</w:t>
            </w:r>
          </w:p>
          <w:p w14:paraId="27F19B48" w14:textId="4480BBA8" w:rsidR="00FC3677" w:rsidRDefault="00FC3677" w:rsidP="001B23ED">
            <w:pPr>
              <w:pStyle w:val="TableText0"/>
              <w:keepNext w:val="0"/>
            </w:pPr>
            <w:r w:rsidRPr="005B4992">
              <w:t xml:space="preserve">Equivalent efficacy (PGA, </w:t>
            </w:r>
            <w:proofErr w:type="spellStart"/>
            <w:r w:rsidRPr="005B4992">
              <w:t>mPASI</w:t>
            </w:r>
            <w:proofErr w:type="spellEnd"/>
            <w:r w:rsidRPr="005B4992">
              <w:t>)</w:t>
            </w:r>
          </w:p>
          <w:p w14:paraId="6A0C32A6" w14:textId="77777777" w:rsidR="00FC3677" w:rsidRDefault="00FC3677" w:rsidP="001B23ED">
            <w:pPr>
              <w:pStyle w:val="TableText0"/>
              <w:keepNext w:val="0"/>
            </w:pPr>
          </w:p>
          <w:p w14:paraId="2891BB0F" w14:textId="0CE54CF2" w:rsidR="00FC3677" w:rsidRPr="00823AAD" w:rsidRDefault="00FC3677" w:rsidP="001B23ED">
            <w:pPr>
              <w:pStyle w:val="TableText0"/>
              <w:keepNext w:val="0"/>
              <w:rPr>
                <w:u w:val="single"/>
              </w:rPr>
            </w:pPr>
            <w:r w:rsidRPr="00823AAD">
              <w:rPr>
                <w:u w:val="single"/>
              </w:rPr>
              <w:t>Unanchored</w:t>
            </w:r>
          </w:p>
          <w:p w14:paraId="561E2BA6" w14:textId="77777777" w:rsidR="00FC3677" w:rsidRDefault="00FC3677" w:rsidP="001B23ED">
            <w:pPr>
              <w:pStyle w:val="TableText0"/>
              <w:keepNext w:val="0"/>
            </w:pPr>
            <w:r>
              <w:t xml:space="preserve">Efficacy (PGA) favours foam for PSO-FAST, LEO90100-35; efficacy equivalent for LEO90100-7 </w:t>
            </w:r>
          </w:p>
          <w:p w14:paraId="661AED99" w14:textId="77777777" w:rsidR="00FC3677" w:rsidRDefault="00FC3677" w:rsidP="001B23ED">
            <w:pPr>
              <w:pStyle w:val="TableText0"/>
              <w:keepNext w:val="0"/>
            </w:pPr>
            <w:r>
              <w:t>Efficacy (</w:t>
            </w:r>
            <w:proofErr w:type="spellStart"/>
            <w:r>
              <w:t>mPASI</w:t>
            </w:r>
            <w:proofErr w:type="spellEnd"/>
            <w:r>
              <w:t>) favours foam</w:t>
            </w:r>
          </w:p>
          <w:p w14:paraId="03983C90" w14:textId="6DC3C804" w:rsidR="00FC3677" w:rsidRPr="00C46555" w:rsidRDefault="00FC3677" w:rsidP="001B23ED">
            <w:pPr>
              <w:pStyle w:val="TableText0"/>
              <w:keepNext w:val="0"/>
            </w:pPr>
            <w:r w:rsidRPr="00823AAD">
              <w:t>Efficacy (PGA</w:t>
            </w:r>
            <w:r w:rsidR="00CE0B5F">
              <w:t>,</w:t>
            </w:r>
            <w:r w:rsidRPr="00823AAD">
              <w:t xml:space="preserve"> </w:t>
            </w:r>
            <w:proofErr w:type="spellStart"/>
            <w:r w:rsidRPr="00823AAD">
              <w:t>mPASI</w:t>
            </w:r>
            <w:proofErr w:type="spellEnd"/>
            <w:r w:rsidRPr="00823AAD">
              <w:t>) favours foam</w:t>
            </w:r>
            <w:r>
              <w:t xml:space="preserve"> for PSO-LONG</w:t>
            </w:r>
          </w:p>
        </w:tc>
        <w:tc>
          <w:tcPr>
            <w:tcW w:w="1235" w:type="pct"/>
          </w:tcPr>
          <w:p w14:paraId="61ECEED8" w14:textId="395B6E03" w:rsidR="00FC3677" w:rsidRDefault="00FC3677" w:rsidP="001B23ED">
            <w:pPr>
              <w:pStyle w:val="TableText0"/>
              <w:keepNext w:val="0"/>
            </w:pPr>
            <w:r w:rsidRPr="00C46555">
              <w:t>CAL/BDP foam had significantly improved efficacy outcomes compared with CAL/BDP cream</w:t>
            </w:r>
          </w:p>
        </w:tc>
      </w:tr>
      <w:tr w:rsidR="00FC3677" w14:paraId="21AB86E0" w14:textId="77777777" w:rsidTr="00FC3677">
        <w:tc>
          <w:tcPr>
            <w:tcW w:w="494" w:type="pct"/>
          </w:tcPr>
          <w:p w14:paraId="16C8A25E" w14:textId="77777777" w:rsidR="00FC3677" w:rsidRDefault="00FC3677" w:rsidP="001B23ED">
            <w:pPr>
              <w:pStyle w:val="TableText0"/>
              <w:keepNext w:val="0"/>
            </w:pPr>
            <w:r w:rsidRPr="009E3DAB">
              <w:t>Jalili et al., 202</w:t>
            </w:r>
            <w:r>
              <w:t xml:space="preserve">4 </w:t>
            </w:r>
            <w:r>
              <w:fldChar w:fldCharType="begin" w:fldLock="1"/>
            </w:r>
            <w:r>
              <w:instrText xml:space="preserve"> ADDIN EN.CITE &lt;EndNote&gt;&lt;Cite&gt;&lt;Author&gt;Jalili&lt;/Author&gt;&lt;Year&gt;2024&lt;/Year&gt;&lt;RecNum&gt;49&lt;/RecNum&gt;&lt;DisplayText&gt;(Jalili, Thoning et al. 2024)&lt;/DisplayText&gt;&lt;record&gt;&lt;rec-number&gt;49&lt;/rec-number&gt;&lt;foreign-keys&gt;&lt;key app="EN" db-id="xts2d95ahs0rabeartpxpv04p2w9rdvp2sp9" timestamp="1738814660"&gt;49&lt;/key&gt;&lt;/foreign-keys&gt;&lt;ref-type name="Journal Article"&gt;17&lt;/ref-type&gt;&lt;contributors&gt;&lt;authors&gt;&lt;author&gt;Jalili, Ahmad&lt;/author&gt;&lt;author&gt;Thoning, Henrik&lt;/author&gt;&lt;author&gt;Jablonski Bernasconi, Marie Y.&lt;/author&gt;&lt;author&gt;Papp, Kim&lt;/author&gt;&lt;/authors&gt;&lt;/contributors&gt;&lt;titles&gt;&lt;title&gt;Matching-adjusted Indirect Comparison of Dermatology Life Quality Index 0/1 Response in Trials of Calcipotriol Plus Betamethasone Dipropionate Foam and Cream Formulations in Patients with Psoriasis&lt;/title&gt;&lt;secondary-title&gt;Acta Dermato-Venereologica&lt;/secondary-title&gt;&lt;/titles&gt;&lt;periodical&gt;&lt;full-title&gt;Acta Dermato-Venereologica&lt;/full-title&gt;&lt;/periodical&gt;&lt;pages&gt;adv12623&lt;/pages&gt;&lt;volume&gt;104&lt;/volume&gt;&lt;section&gt;Short Communication&lt;/section&gt;&lt;dates&gt;&lt;year&gt;2024&lt;/year&gt;&lt;pub-dates&gt;&lt;date&gt;02/08&lt;/date&gt;&lt;/pub-dates&gt;&lt;/dates&gt;&lt;urls&gt;&lt;related-urls&gt;&lt;url&gt;https://medicaljournalssweden.se/actadv/article/view/12623&lt;/url&gt;&lt;/related-urls&gt;&lt;/urls&gt;&lt;electronic-resource-num&gt;10.2340/actadv.v104.12623&lt;/electronic-resource-num&gt;&lt;access-date&gt;2025/02/05&lt;/access-date&gt;&lt;/record&gt;&lt;/Cite&gt;&lt;/EndNote&gt;</w:instrText>
            </w:r>
            <w:r>
              <w:fldChar w:fldCharType="separate"/>
            </w:r>
            <w:r>
              <w:fldChar w:fldCharType="end"/>
            </w:r>
          </w:p>
        </w:tc>
        <w:tc>
          <w:tcPr>
            <w:tcW w:w="1144" w:type="pct"/>
          </w:tcPr>
          <w:p w14:paraId="4FABB93A" w14:textId="77777777" w:rsidR="00FC3677" w:rsidRDefault="00FC3677" w:rsidP="001B23ED">
            <w:pPr>
              <w:pStyle w:val="TableText0"/>
              <w:keepNext w:val="0"/>
            </w:pPr>
            <w:r w:rsidRPr="009E3DAB">
              <w:t>Anchored and unanchored MAIC analyses were conducted using individual patient data from four CAL/BDP foam trials and two CAL/BDP cream trials (follow-up study to Papp et al., 2022)</w:t>
            </w:r>
          </w:p>
        </w:tc>
        <w:tc>
          <w:tcPr>
            <w:tcW w:w="893" w:type="pct"/>
          </w:tcPr>
          <w:p w14:paraId="36F1B791" w14:textId="16C065BC" w:rsidR="006A217F" w:rsidRPr="006A217F" w:rsidRDefault="006A217F" w:rsidP="001B23ED">
            <w:pPr>
              <w:pStyle w:val="TableText0"/>
              <w:keepNext w:val="0"/>
              <w:rPr>
                <w:b/>
                <w:bCs w:val="0"/>
              </w:rPr>
            </w:pPr>
            <w:r w:rsidRPr="006A217F">
              <w:rPr>
                <w:b/>
                <w:bCs w:val="0"/>
              </w:rPr>
              <w:t>CAL/BDP</w:t>
            </w:r>
            <w:r>
              <w:rPr>
                <w:b/>
                <w:bCs w:val="0"/>
              </w:rPr>
              <w:t xml:space="preserve"> cream</w:t>
            </w:r>
          </w:p>
          <w:p w14:paraId="09EDC169" w14:textId="77777777" w:rsidR="00FC3677" w:rsidRDefault="00FC3677" w:rsidP="001B23ED">
            <w:pPr>
              <w:pStyle w:val="TableText0"/>
              <w:keepNext w:val="0"/>
            </w:pPr>
            <w:r>
              <w:t>MC2-01-C2</w:t>
            </w:r>
          </w:p>
          <w:p w14:paraId="01219CBC" w14:textId="77777777" w:rsidR="00FC3677" w:rsidRDefault="00FC3677" w:rsidP="001B23ED">
            <w:pPr>
              <w:pStyle w:val="TableText0"/>
              <w:keepNext w:val="0"/>
            </w:pPr>
            <w:r>
              <w:t>MC2-01-C7</w:t>
            </w:r>
          </w:p>
          <w:p w14:paraId="018685A2" w14:textId="77777777" w:rsidR="00FC3677" w:rsidRDefault="00FC3677" w:rsidP="001B23ED">
            <w:pPr>
              <w:pStyle w:val="TableText0"/>
              <w:keepNext w:val="0"/>
            </w:pPr>
          </w:p>
          <w:p w14:paraId="4073C53A" w14:textId="77777777" w:rsidR="006A217F" w:rsidRPr="006A217F" w:rsidRDefault="006A217F" w:rsidP="001B23ED">
            <w:pPr>
              <w:pStyle w:val="TableText0"/>
              <w:keepNext w:val="0"/>
              <w:rPr>
                <w:b/>
                <w:bCs w:val="0"/>
              </w:rPr>
            </w:pPr>
            <w:r w:rsidRPr="006A217F">
              <w:rPr>
                <w:b/>
                <w:bCs w:val="0"/>
              </w:rPr>
              <w:t xml:space="preserve">CAL/BDP </w:t>
            </w:r>
            <w:r>
              <w:rPr>
                <w:b/>
                <w:bCs w:val="0"/>
              </w:rPr>
              <w:t>foam</w:t>
            </w:r>
          </w:p>
          <w:p w14:paraId="20C14736" w14:textId="77777777" w:rsidR="00FC3677" w:rsidRDefault="00FC3677" w:rsidP="001B23ED">
            <w:pPr>
              <w:pStyle w:val="TableText0"/>
              <w:keepNext w:val="0"/>
            </w:pPr>
            <w:r w:rsidRPr="00FE6B5D">
              <w:t>PSO-ABLE</w:t>
            </w:r>
          </w:p>
          <w:p w14:paraId="31D599CD" w14:textId="220CF34B" w:rsidR="00FC3677" w:rsidRDefault="00FC3677" w:rsidP="001B23ED">
            <w:pPr>
              <w:pStyle w:val="TableText0"/>
              <w:keepNext w:val="0"/>
            </w:pPr>
            <w:r w:rsidRPr="00FE6B5D">
              <w:t xml:space="preserve">PSO-LONG </w:t>
            </w:r>
          </w:p>
          <w:p w14:paraId="6A7A1AFC" w14:textId="77777777" w:rsidR="00FC3677" w:rsidRDefault="00FC3677" w:rsidP="001B23ED">
            <w:pPr>
              <w:pStyle w:val="TableText0"/>
              <w:keepNext w:val="0"/>
            </w:pPr>
            <w:r>
              <w:t>PSO-FAST</w:t>
            </w:r>
          </w:p>
          <w:p w14:paraId="696A1F02" w14:textId="77777777" w:rsidR="00FC3677" w:rsidRPr="00C46555" w:rsidRDefault="00FC3677" w:rsidP="001B23ED">
            <w:pPr>
              <w:pStyle w:val="TableText0"/>
              <w:keepNext w:val="0"/>
            </w:pPr>
            <w:r w:rsidRPr="00FE6B5D">
              <w:t xml:space="preserve">LEO90100-07 </w:t>
            </w:r>
          </w:p>
        </w:tc>
        <w:tc>
          <w:tcPr>
            <w:tcW w:w="1234" w:type="pct"/>
          </w:tcPr>
          <w:p w14:paraId="09FBA70A" w14:textId="08CE0A39" w:rsidR="00FC3677" w:rsidRPr="00C46555" w:rsidRDefault="00FC3677" w:rsidP="001B23ED">
            <w:pPr>
              <w:pStyle w:val="TableText0"/>
              <w:keepNext w:val="0"/>
            </w:pPr>
            <w:r w:rsidRPr="00FC3677">
              <w:t>Equivalent QoL</w:t>
            </w:r>
            <w:r>
              <w:t xml:space="preserve"> (DLQI)</w:t>
            </w:r>
          </w:p>
        </w:tc>
        <w:tc>
          <w:tcPr>
            <w:tcW w:w="1235" w:type="pct"/>
          </w:tcPr>
          <w:p w14:paraId="27346FA3" w14:textId="02582121" w:rsidR="00FC3677" w:rsidRDefault="00FC3677" w:rsidP="001B23ED">
            <w:pPr>
              <w:pStyle w:val="TableText0"/>
              <w:keepNext w:val="0"/>
            </w:pPr>
            <w:r w:rsidRPr="00C46555">
              <w:t xml:space="preserve">CAL/BDP cream and CAL/BDP foam </w:t>
            </w:r>
            <w:r>
              <w:t>had equivalent QoL outcomes</w:t>
            </w:r>
          </w:p>
        </w:tc>
      </w:tr>
    </w:tbl>
    <w:p w14:paraId="607538E3" w14:textId="17BF7D20" w:rsidR="00C328D5" w:rsidRDefault="00C328D5" w:rsidP="00C328D5">
      <w:pPr>
        <w:pStyle w:val="TableFigureFooter"/>
      </w:pPr>
      <w:r>
        <w:lastRenderedPageBreak/>
        <w:t>Source: Table 2-49, p100; Table 2-50, p100; Table 2-55, p107; Table 2-63, p114; Table 2-65, pp122-123</w:t>
      </w:r>
      <w:r w:rsidR="006728D1">
        <w:t>; Table 2-66, p127</w:t>
      </w:r>
      <w:r>
        <w:t xml:space="preserve"> of the submission</w:t>
      </w:r>
      <w:r w:rsidR="006728D1">
        <w:t>.</w:t>
      </w:r>
    </w:p>
    <w:p w14:paraId="0C1454F4" w14:textId="19E8FDDE" w:rsidR="00C328D5" w:rsidRDefault="00C328D5" w:rsidP="00C328D5">
      <w:pPr>
        <w:pStyle w:val="TableFigureFooter"/>
      </w:pPr>
      <w:r w:rsidRPr="004E5590">
        <w:t>CAL/BDP = calcipotriol with betamethasone dipropionate</w:t>
      </w:r>
      <w:r>
        <w:t>;</w:t>
      </w:r>
      <w:r w:rsidR="00A07816" w:rsidRPr="00A07816">
        <w:t xml:space="preserve"> DLQI</w:t>
      </w:r>
      <w:r w:rsidR="00A07816">
        <w:t xml:space="preserve"> =</w:t>
      </w:r>
      <w:r w:rsidR="00A07816" w:rsidRPr="00A07816">
        <w:t xml:space="preserve"> dermatology life quality index</w:t>
      </w:r>
      <w:r w:rsidR="00A07816">
        <w:t>;</w:t>
      </w:r>
      <w:r w:rsidR="00A71ADC">
        <w:t xml:space="preserve"> </w:t>
      </w:r>
      <w:proofErr w:type="spellStart"/>
      <w:r w:rsidR="00A71ADC">
        <w:t>HRQoL</w:t>
      </w:r>
      <w:proofErr w:type="spellEnd"/>
      <w:r w:rsidR="00A71ADC">
        <w:t xml:space="preserve"> = health related quality of life;</w:t>
      </w:r>
      <w:r w:rsidR="00A07816" w:rsidRPr="00A07816">
        <w:t xml:space="preserve"> </w:t>
      </w:r>
      <w:r w:rsidRPr="004E5590">
        <w:t>IPD</w:t>
      </w:r>
      <w:r w:rsidR="00C0198C">
        <w:t> </w:t>
      </w:r>
      <w:r>
        <w:t>=</w:t>
      </w:r>
      <w:r w:rsidR="00C0198C">
        <w:t> </w:t>
      </w:r>
      <w:r w:rsidRPr="004E5590">
        <w:t xml:space="preserve">individual patient data; </w:t>
      </w:r>
      <w:r w:rsidR="00A71ADC">
        <w:t xml:space="preserve">ITC = indirect treatment comparison; </w:t>
      </w:r>
      <w:r w:rsidRPr="004E5590">
        <w:t>QoL</w:t>
      </w:r>
      <w:r>
        <w:t xml:space="preserve"> =</w:t>
      </w:r>
      <w:r w:rsidRPr="004E5590">
        <w:t xml:space="preserve"> quality of life; </w:t>
      </w:r>
      <w:proofErr w:type="spellStart"/>
      <w:r w:rsidR="00D77D98" w:rsidRPr="00D77D98">
        <w:t>mPASI</w:t>
      </w:r>
      <w:proofErr w:type="spellEnd"/>
      <w:r w:rsidR="00D77D98">
        <w:t xml:space="preserve"> =</w:t>
      </w:r>
      <w:r w:rsidR="00D77D98" w:rsidRPr="00D77D98">
        <w:t xml:space="preserve"> Modified Psoriasis Area and Severity Index; </w:t>
      </w:r>
      <w:r w:rsidRPr="004E5590">
        <w:t>MAIC</w:t>
      </w:r>
      <w:r>
        <w:t xml:space="preserve"> =</w:t>
      </w:r>
      <w:r w:rsidRPr="004E5590">
        <w:t xml:space="preserve"> matching-adjusted indirect comparison</w:t>
      </w:r>
      <w:r w:rsidR="00C05BBA">
        <w:t>;</w:t>
      </w:r>
      <w:r w:rsidR="00C05BBA" w:rsidRPr="00C05BBA">
        <w:t xml:space="preserve"> PGA</w:t>
      </w:r>
      <w:r w:rsidR="00C05BBA">
        <w:t xml:space="preserve"> =</w:t>
      </w:r>
      <w:r w:rsidR="00C05BBA" w:rsidRPr="00C05BBA">
        <w:t xml:space="preserve"> </w:t>
      </w:r>
      <w:r w:rsidR="00D20BE2">
        <w:t>P</w:t>
      </w:r>
      <w:r w:rsidR="00C05BBA" w:rsidRPr="00C05BBA">
        <w:t>hysician</w:t>
      </w:r>
      <w:r w:rsidR="00D20BE2">
        <w:t>’s</w:t>
      </w:r>
      <w:r w:rsidR="00C05BBA" w:rsidRPr="00C05BBA">
        <w:t xml:space="preserve"> </w:t>
      </w:r>
      <w:r w:rsidR="00D20BE2">
        <w:t>G</w:t>
      </w:r>
      <w:r w:rsidR="00C05BBA" w:rsidRPr="00C05BBA">
        <w:t xml:space="preserve">lobal </w:t>
      </w:r>
      <w:r w:rsidR="00D20BE2">
        <w:t>A</w:t>
      </w:r>
      <w:r w:rsidR="00C05BBA" w:rsidRPr="00C05BBA">
        <w:t>ssessment</w:t>
      </w:r>
      <w:r w:rsidR="00A07816">
        <w:t>;</w:t>
      </w:r>
      <w:r w:rsidR="00013893" w:rsidRPr="00013893">
        <w:t xml:space="preserve"> PTCS</w:t>
      </w:r>
      <w:r w:rsidR="00A07816">
        <w:t xml:space="preserve"> =</w:t>
      </w:r>
      <w:r w:rsidR="00013893" w:rsidRPr="00013893">
        <w:t xml:space="preserve"> </w:t>
      </w:r>
      <w:r w:rsidR="00F16B03">
        <w:t>P</w:t>
      </w:r>
      <w:r w:rsidR="00013893" w:rsidRPr="00013893">
        <w:t xml:space="preserve">soriasis </w:t>
      </w:r>
      <w:r w:rsidR="00F16B03">
        <w:t>T</w:t>
      </w:r>
      <w:r w:rsidR="00013893" w:rsidRPr="00013893">
        <w:t xml:space="preserve">reatment </w:t>
      </w:r>
      <w:r w:rsidR="00F16B03">
        <w:t>C</w:t>
      </w:r>
      <w:r w:rsidR="00013893" w:rsidRPr="00013893">
        <w:t xml:space="preserve">onvenience </w:t>
      </w:r>
      <w:r w:rsidR="00F16B03">
        <w:t>S</w:t>
      </w:r>
      <w:r w:rsidR="00013893" w:rsidRPr="00013893">
        <w:t>cale</w:t>
      </w:r>
      <w:r w:rsidR="00C05BBA" w:rsidRPr="00C05BBA">
        <w:t>.</w:t>
      </w:r>
    </w:p>
    <w:p w14:paraId="5BE70FBF" w14:textId="1D291542" w:rsidR="00C328D5" w:rsidRDefault="00DA4582" w:rsidP="00B7760B">
      <w:pPr>
        <w:widowControl w:val="0"/>
        <w:numPr>
          <w:ilvl w:val="1"/>
          <w:numId w:val="1"/>
        </w:numPr>
        <w:spacing w:after="120"/>
        <w:ind w:left="720"/>
      </w:pPr>
      <w:r>
        <w:t xml:space="preserve">Based </w:t>
      </w:r>
      <w:r w:rsidR="00B77E0E">
        <w:t xml:space="preserve">on </w:t>
      </w:r>
      <w:r>
        <w:t xml:space="preserve">Bewley at al. (2022), an anchored MAIC between CAL/BDP cream and foam using CAL/BDP gel as the common anchor, </w:t>
      </w:r>
      <w:r w:rsidR="00B76F65">
        <w:t>showed</w:t>
      </w:r>
      <w:r>
        <w:t xml:space="preserve"> no </w:t>
      </w:r>
      <w:r w:rsidR="002F41D7">
        <w:t xml:space="preserve">statistically </w:t>
      </w:r>
      <w:r>
        <w:t>significant differences in efficacy outcomes</w:t>
      </w:r>
      <w:r w:rsidR="00B76F65">
        <w:t>, including</w:t>
      </w:r>
      <w:r>
        <w:t xml:space="preserve"> PGA success (OR=0.7, 95% CI: 0.4, 1.2)</w:t>
      </w:r>
      <w:r w:rsidR="004F43DF">
        <w:t>,</w:t>
      </w:r>
      <w:r>
        <w:t xml:space="preserve"> </w:t>
      </w:r>
      <w:r w:rsidR="00116436" w:rsidRPr="00116436">
        <w:t xml:space="preserve">75% reduction in psoriasis area and severity index </w:t>
      </w:r>
      <w:r w:rsidR="00116436">
        <w:t>(</w:t>
      </w:r>
      <w:r>
        <w:t>mPASI75</w:t>
      </w:r>
      <w:r w:rsidR="00116436">
        <w:t>)</w:t>
      </w:r>
      <w:r>
        <w:t xml:space="preserve"> (OR=0.7, 95% CI: 0.4, 1.2)</w:t>
      </w:r>
      <w:r w:rsidR="004F43DF">
        <w:t>,</w:t>
      </w:r>
      <w:r>
        <w:t xml:space="preserve"> and improvement of DLQI from baseline </w:t>
      </w:r>
      <w:r w:rsidR="00D175EC">
        <w:t>(mean difference</w:t>
      </w:r>
      <w:r w:rsidR="000823E1">
        <w:t xml:space="preserve"> [MD]</w:t>
      </w:r>
      <w:r>
        <w:t>=0.9, 95% CI: -0.3, 2.1) in the matched population</w:t>
      </w:r>
      <w:r w:rsidR="002531F0">
        <w:t xml:space="preserve"> at the </w:t>
      </w:r>
      <w:r w:rsidR="006859D4">
        <w:t>recommended treatment duration</w:t>
      </w:r>
      <w:r>
        <w:t>. The overall patient-rated treatment satisfaction at Week 1 was in favour of CAL/BDP cream over foam (</w:t>
      </w:r>
      <w:r w:rsidR="00127B3F">
        <w:t>MD</w:t>
      </w:r>
      <w:r>
        <w:t>=0.3, 95% CI: 0.02, 0.5).</w:t>
      </w:r>
      <w:r w:rsidR="00C64CD9">
        <w:t xml:space="preserve"> </w:t>
      </w:r>
      <w:r w:rsidR="00CC1842" w:rsidRPr="00E6793C">
        <w:t xml:space="preserve">While the differences were not statistically significant, point estimates suggested greater improvements in PGA success and mPASI75 with the </w:t>
      </w:r>
      <w:r w:rsidR="00C06044" w:rsidRPr="00E6793C">
        <w:t xml:space="preserve">CAL/BDP </w:t>
      </w:r>
      <w:r w:rsidR="00CC1842" w:rsidRPr="00E6793C">
        <w:t>foam, whereas the</w:t>
      </w:r>
      <w:r w:rsidR="00C06044" w:rsidRPr="00E6793C">
        <w:t xml:space="preserve"> CAL/BDP</w:t>
      </w:r>
      <w:r w:rsidR="00CC1842" w:rsidRPr="00E6793C">
        <w:t xml:space="preserve"> cream showed a greater improvement in DLQI from baseline</w:t>
      </w:r>
      <w:r w:rsidR="00F9109C" w:rsidRPr="00E6793C">
        <w:t>.</w:t>
      </w:r>
    </w:p>
    <w:p w14:paraId="5C069164" w14:textId="4092C2DC" w:rsidR="0055142F" w:rsidRDefault="00B77E0E" w:rsidP="00B7760B">
      <w:pPr>
        <w:widowControl w:val="0"/>
        <w:numPr>
          <w:ilvl w:val="1"/>
          <w:numId w:val="1"/>
        </w:numPr>
        <w:spacing w:after="120"/>
        <w:ind w:left="720"/>
      </w:pPr>
      <w:r>
        <w:t>Reich et al. (2022)</w:t>
      </w:r>
      <w:r w:rsidR="00B333CC">
        <w:t xml:space="preserve"> conducted</w:t>
      </w:r>
      <w:r>
        <w:t xml:space="preserve"> an ITC between CAL/BDP cream and foam</w:t>
      </w:r>
      <w:r w:rsidR="00B333CC">
        <w:t xml:space="preserve">, using </w:t>
      </w:r>
      <w:r>
        <w:t xml:space="preserve">gel as the common </w:t>
      </w:r>
      <w:r w:rsidR="00477552">
        <w:t>comparator</w:t>
      </w:r>
      <w:r w:rsidR="005278B1">
        <w:t>.</w:t>
      </w:r>
      <w:r>
        <w:t xml:space="preserve"> </w:t>
      </w:r>
      <w:r w:rsidR="009B5F6A">
        <w:t>At the recommended treatment duration, n</w:t>
      </w:r>
      <w:r>
        <w:t>o</w:t>
      </w:r>
      <w:r w:rsidR="002F41D7">
        <w:t xml:space="preserve"> statistically</w:t>
      </w:r>
      <w:r>
        <w:t xml:space="preserve"> significant differences </w:t>
      </w:r>
      <w:r w:rsidR="009B5F6A">
        <w:t>w</w:t>
      </w:r>
      <w:r w:rsidR="00E52F76">
        <w:t>ere</w:t>
      </w:r>
      <w:r w:rsidR="009B5F6A">
        <w:t xml:space="preserve"> observed in the </w:t>
      </w:r>
      <w:r>
        <w:t>PGA success (RR=0.</w:t>
      </w:r>
      <w:r w:rsidR="0055142F">
        <w:t>8</w:t>
      </w:r>
      <w:r>
        <w:t>, 95% CI: 0.</w:t>
      </w:r>
      <w:r w:rsidR="0055142F">
        <w:t>6</w:t>
      </w:r>
      <w:r>
        <w:t>,</w:t>
      </w:r>
      <w:r w:rsidR="0055142F">
        <w:t xml:space="preserve"> </w:t>
      </w:r>
      <w:r w:rsidR="004F43DF">
        <w:t>1.</w:t>
      </w:r>
      <w:r w:rsidR="0055142F">
        <w:t>1</w:t>
      </w:r>
      <w:r w:rsidR="004F43DF">
        <w:t>), PASI75 response</w:t>
      </w:r>
      <w:r w:rsidR="0055142F">
        <w:t xml:space="preserve"> (RR=0.9, 95%</w:t>
      </w:r>
      <w:r w:rsidR="001907C7">
        <w:t xml:space="preserve"> </w:t>
      </w:r>
      <w:r w:rsidR="0055142F">
        <w:t>CI: 0.6,</w:t>
      </w:r>
      <w:r w:rsidR="00152AE8">
        <w:t xml:space="preserve"> </w:t>
      </w:r>
      <w:r w:rsidR="0055142F">
        <w:t>1.1), and DLQI improvement (MD=</w:t>
      </w:r>
      <w:r w:rsidR="00690E23">
        <w:t> </w:t>
      </w:r>
      <w:r w:rsidR="0055142F">
        <w:t>-</w:t>
      </w:r>
      <w:r w:rsidR="00E41DC2">
        <w:t> </w:t>
      </w:r>
      <w:r w:rsidR="0055142F">
        <w:t>1.0, 95% CI=</w:t>
      </w:r>
      <w:r w:rsidR="00690E23">
        <w:t> </w:t>
      </w:r>
      <w:r w:rsidR="0055142F">
        <w:t>-2.2, 0.2).</w:t>
      </w:r>
      <w:r w:rsidR="0087206B">
        <w:t xml:space="preserve"> </w:t>
      </w:r>
      <w:r w:rsidR="00F65239" w:rsidRPr="00E6793C">
        <w:t xml:space="preserve">Similar to Bewley et al. </w:t>
      </w:r>
      <w:r w:rsidR="009038EB" w:rsidRPr="00E6793C">
        <w:t>(2022)</w:t>
      </w:r>
      <w:r w:rsidR="00881348" w:rsidRPr="00E6793C">
        <w:t>,</w:t>
      </w:r>
      <w:r w:rsidR="00F65239" w:rsidRPr="00E6793C">
        <w:t xml:space="preserve"> the</w:t>
      </w:r>
      <w:r w:rsidR="00881348" w:rsidRPr="00E6793C">
        <w:t xml:space="preserve"> </w:t>
      </w:r>
      <w:r w:rsidR="00C61484" w:rsidRPr="00E6793C">
        <w:t>point estimates for</w:t>
      </w:r>
      <w:r w:rsidR="00F65239" w:rsidRPr="00E6793C">
        <w:t xml:space="preserve"> PGA success rate and mPASI75 favoured CAL/BDP foam, while improvement in DLQI from baseline favoured CAL/BDP cream. </w:t>
      </w:r>
      <w:r w:rsidR="009038EB">
        <w:t>Furthermore</w:t>
      </w:r>
      <w:r w:rsidR="009C7130">
        <w:t xml:space="preserve">, treatment </w:t>
      </w:r>
      <w:r w:rsidR="00E83FD2">
        <w:t>w</w:t>
      </w:r>
      <w:r w:rsidR="009C7130">
        <w:t xml:space="preserve">ith CAL/BDP foam was </w:t>
      </w:r>
      <w:r w:rsidR="00E83FD2">
        <w:t xml:space="preserve">associated with statistically significant </w:t>
      </w:r>
      <w:r w:rsidR="00AF05A8">
        <w:t>PGA success (RR=0.</w:t>
      </w:r>
      <w:r w:rsidR="002F4560">
        <w:t>7</w:t>
      </w:r>
      <w:r w:rsidR="00AF05A8">
        <w:t>; 95% CI: 0.</w:t>
      </w:r>
      <w:r w:rsidR="002F4560">
        <w:t>5</w:t>
      </w:r>
      <w:r w:rsidR="00AF05A8">
        <w:t xml:space="preserve">, </w:t>
      </w:r>
      <w:r w:rsidR="000E5CDB">
        <w:t>1</w:t>
      </w:r>
      <w:r w:rsidR="00AF05A8">
        <w:t>.</w:t>
      </w:r>
      <w:r w:rsidR="000E5CDB">
        <w:t>0</w:t>
      </w:r>
      <w:r w:rsidR="00AF05A8">
        <w:t>) and PASI75 (RR=</w:t>
      </w:r>
      <w:r w:rsidR="00AE1B8B">
        <w:t>0.</w:t>
      </w:r>
      <w:r w:rsidR="000E5CDB">
        <w:t>8</w:t>
      </w:r>
      <w:r w:rsidR="00AE1B8B">
        <w:t>; 95% CI: 0.</w:t>
      </w:r>
      <w:r w:rsidR="000E5CDB">
        <w:t>6</w:t>
      </w:r>
      <w:r w:rsidR="00AE1B8B">
        <w:t xml:space="preserve">, </w:t>
      </w:r>
      <w:r w:rsidR="000E5CDB">
        <w:t>1</w:t>
      </w:r>
      <w:r w:rsidR="00AE1B8B">
        <w:t>.</w:t>
      </w:r>
      <w:r w:rsidR="000E5CDB">
        <w:t>0</w:t>
      </w:r>
      <w:r w:rsidR="00AE1B8B">
        <w:t>)</w:t>
      </w:r>
      <w:r w:rsidR="00D748A6">
        <w:t xml:space="preserve"> compared to CAL/BDP cream</w:t>
      </w:r>
      <w:r w:rsidR="009038EB">
        <w:t xml:space="preserve"> at Week 8</w:t>
      </w:r>
      <w:r w:rsidR="00D748A6">
        <w:t xml:space="preserve">. </w:t>
      </w:r>
      <w:r w:rsidR="0055142F">
        <w:t>The overall patient-rated treatment satisfaction at Week 1 was in favour of CAL/BDP cream over foam</w:t>
      </w:r>
      <w:r w:rsidR="00253E57">
        <w:t xml:space="preserve"> (MD on PTCS for CAL/BDP cream versus foam: 0.6, 95% CI: 0.1, 1.1)</w:t>
      </w:r>
      <w:r w:rsidR="004C66F0">
        <w:t>.</w:t>
      </w:r>
    </w:p>
    <w:p w14:paraId="17E68561" w14:textId="04A1A9E6" w:rsidR="00FB1578" w:rsidRPr="00844A7F" w:rsidRDefault="00FB1578" w:rsidP="00B7760B">
      <w:pPr>
        <w:widowControl w:val="0"/>
        <w:numPr>
          <w:ilvl w:val="1"/>
          <w:numId w:val="1"/>
        </w:numPr>
        <w:spacing w:after="120"/>
        <w:ind w:left="720"/>
      </w:pPr>
      <w:bookmarkStart w:id="41" w:name="_Ref196147611"/>
      <w:r w:rsidRPr="00844A7F">
        <w:t>The results from Bewley et al. (2022)</w:t>
      </w:r>
      <w:r>
        <w:t xml:space="preserve"> and Reich et al. (2022)</w:t>
      </w:r>
      <w:r w:rsidRPr="00844A7F">
        <w:t xml:space="preserve"> </w:t>
      </w:r>
      <w:r w:rsidR="00406CB4">
        <w:t xml:space="preserve">and their comparison </w:t>
      </w:r>
      <w:r w:rsidRPr="00844A7F">
        <w:t>may be uncertain due to several limitations</w:t>
      </w:r>
      <w:r w:rsidRPr="007C7888">
        <w:t>:</w:t>
      </w:r>
      <w:r w:rsidRPr="00B7760B">
        <w:t xml:space="preserve"> </w:t>
      </w:r>
      <w:r w:rsidRPr="00844A7F">
        <w:t>(</w:t>
      </w:r>
      <w:proofErr w:type="spellStart"/>
      <w:r w:rsidRPr="00844A7F">
        <w:t>i</w:t>
      </w:r>
      <w:proofErr w:type="spellEnd"/>
      <w:r w:rsidRPr="00844A7F">
        <w:t xml:space="preserve">) </w:t>
      </w:r>
      <w:r w:rsidR="002E6FF3">
        <w:t>study population heterogeneity</w:t>
      </w:r>
      <w:r w:rsidR="007C7888">
        <w:t xml:space="preserve">; (ii) </w:t>
      </w:r>
      <w:r w:rsidRPr="00844A7F">
        <w:t>treatment satisfaction was assessed at Week 1, despite the trial duration ranging from 4 to 8</w:t>
      </w:r>
      <w:r w:rsidR="000C5A3A">
        <w:t> </w:t>
      </w:r>
      <w:r w:rsidRPr="00844A7F">
        <w:t>weeks;</w:t>
      </w:r>
      <w:r w:rsidRPr="00B7760B">
        <w:t xml:space="preserve"> </w:t>
      </w:r>
      <w:r w:rsidRPr="00C329BB">
        <w:t>(ii</w:t>
      </w:r>
      <w:r w:rsidR="007C7888">
        <w:t>i</w:t>
      </w:r>
      <w:r w:rsidRPr="00C329BB">
        <w:t>) different instruments were matched to assess treatment satisfaction across arms—PTCS in the CAL/BDP cream group and the Topical Product Usability Questionnaire (TPUQ) in the CAL/BDP foam group</w:t>
      </w:r>
      <w:r w:rsidR="000C5A3A">
        <w:t>;</w:t>
      </w:r>
      <w:r w:rsidRPr="00B7760B">
        <w:t xml:space="preserve"> </w:t>
      </w:r>
      <w:r w:rsidRPr="00E6793C">
        <w:t>(i</w:t>
      </w:r>
      <w:r w:rsidR="007C7888" w:rsidRPr="00E6793C">
        <w:t>v</w:t>
      </w:r>
      <w:r w:rsidRPr="00E6793C">
        <w:t>) limitation associated with using PTCS as a measure</w:t>
      </w:r>
      <w:r w:rsidR="001B75C9" w:rsidRPr="00E6793C">
        <w:t xml:space="preserve"> of</w:t>
      </w:r>
      <w:r w:rsidRPr="00E6793C">
        <w:t xml:space="preserve"> treatment satisfaction, as outlined in paragraph </w:t>
      </w:r>
      <w:r w:rsidRPr="00E6793C">
        <w:fldChar w:fldCharType="begin" w:fldLock="1"/>
      </w:r>
      <w:r w:rsidRPr="00E6793C">
        <w:instrText xml:space="preserve"> REF _Ref195781815 \r \h </w:instrText>
      </w:r>
      <w:r w:rsidR="00E6793C">
        <w:instrText xml:space="preserve"> \* MERGEFORMAT </w:instrText>
      </w:r>
      <w:r w:rsidRPr="00E6793C">
        <w:fldChar w:fldCharType="separate"/>
      </w:r>
      <w:r w:rsidR="00260E76">
        <w:t>6.15</w:t>
      </w:r>
      <w:r w:rsidRPr="00E6793C">
        <w:fldChar w:fldCharType="end"/>
      </w:r>
      <w:r w:rsidR="001B75C9" w:rsidRPr="00E6793C">
        <w:t>;</w:t>
      </w:r>
      <w:r w:rsidRPr="00E6793C">
        <w:t xml:space="preserve"> </w:t>
      </w:r>
      <w:r w:rsidRPr="00C329BB">
        <w:t>(v) lack of inpatient level data for CAL/BDP foam studies; and (v</w:t>
      </w:r>
      <w:r w:rsidR="007C7888">
        <w:t>i</w:t>
      </w:r>
      <w:r w:rsidRPr="00C329BB">
        <w:t>) exclusion of four CAL/BDP foam RCTs (PSO-FAST, PSO-LONG, LEO90100-07, and LEO90100-35) from the MAIC due to the absence of a common comparator.</w:t>
      </w:r>
      <w:bookmarkEnd w:id="41"/>
    </w:p>
    <w:p w14:paraId="3D482744" w14:textId="6A4FABEE" w:rsidR="003D07BC" w:rsidRPr="00B7760B" w:rsidRDefault="009670A7" w:rsidP="00B7760B">
      <w:pPr>
        <w:widowControl w:val="0"/>
        <w:numPr>
          <w:ilvl w:val="1"/>
          <w:numId w:val="1"/>
        </w:numPr>
        <w:spacing w:after="120"/>
        <w:ind w:left="720"/>
      </w:pPr>
      <w:r>
        <w:t xml:space="preserve">Papp </w:t>
      </w:r>
      <w:r w:rsidR="002458B2">
        <w:t xml:space="preserve">et al. (2022) conducted both </w:t>
      </w:r>
      <w:r w:rsidR="002A2BD1">
        <w:t xml:space="preserve">anchored and unanchored MAICs using </w:t>
      </w:r>
      <w:r w:rsidR="003173FC">
        <w:t>published aggregate data fr</w:t>
      </w:r>
      <w:r w:rsidR="00667F96">
        <w:t>o</w:t>
      </w:r>
      <w:r w:rsidR="003173FC">
        <w:t xml:space="preserve">m the CAL/BDP </w:t>
      </w:r>
      <w:r w:rsidR="00667F96">
        <w:t>cream and</w:t>
      </w:r>
      <w:r w:rsidR="002A2BD1">
        <w:t xml:space="preserve"> individual patient data</w:t>
      </w:r>
      <w:r w:rsidR="00667F96">
        <w:t xml:space="preserve"> from the CAL/BDP foam trials</w:t>
      </w:r>
      <w:r w:rsidR="00F120F2">
        <w:t xml:space="preserve">. </w:t>
      </w:r>
      <w:r w:rsidR="00F120F2" w:rsidRPr="00F120F2">
        <w:t xml:space="preserve">The analyses were stratified by </w:t>
      </w:r>
      <w:r w:rsidR="005A3048">
        <w:t xml:space="preserve">trial </w:t>
      </w:r>
      <w:r w:rsidR="00DA2C8B">
        <w:t>population</w:t>
      </w:r>
      <w:r w:rsidR="001A5D0D">
        <w:t xml:space="preserve"> (</w:t>
      </w:r>
      <w:r w:rsidR="00F120F2" w:rsidRPr="00F120F2">
        <w:t>United States</w:t>
      </w:r>
      <w:r w:rsidR="00F120F2">
        <w:t xml:space="preserve"> [</w:t>
      </w:r>
      <w:r w:rsidR="001A5D0D">
        <w:t>US</w:t>
      </w:r>
      <w:r w:rsidR="00F120F2">
        <w:t>]</w:t>
      </w:r>
      <w:r w:rsidR="00F120F2" w:rsidRPr="00F120F2">
        <w:t>,</w:t>
      </w:r>
      <w:r w:rsidR="001A5D0D">
        <w:t xml:space="preserve"> </w:t>
      </w:r>
      <w:r w:rsidR="00216BD0">
        <w:t>European Union [</w:t>
      </w:r>
      <w:r w:rsidR="001A5D0D">
        <w:t>EU</w:t>
      </w:r>
      <w:r w:rsidR="00F120F2" w:rsidRPr="00F120F2">
        <w:t>],</w:t>
      </w:r>
      <w:r w:rsidR="00DA2C8B">
        <w:t xml:space="preserve"> and pooled</w:t>
      </w:r>
      <w:r w:rsidR="001A5D0D">
        <w:t>).</w:t>
      </w:r>
      <w:r w:rsidR="009640F3">
        <w:t xml:space="preserve"> </w:t>
      </w:r>
      <w:r w:rsidR="0099232E">
        <w:t xml:space="preserve">Based </w:t>
      </w:r>
      <w:r w:rsidR="00F72C9D">
        <w:t>on the anchored MAIC, a</w:t>
      </w:r>
      <w:r w:rsidR="0099232E">
        <w:t xml:space="preserve">t the </w:t>
      </w:r>
      <w:r w:rsidR="0099232E">
        <w:lastRenderedPageBreak/>
        <w:t xml:space="preserve">recommended treatment duration, patients </w:t>
      </w:r>
      <w:r w:rsidR="00D50E7F" w:rsidRPr="00D50E7F">
        <w:t xml:space="preserve">treated with CAL/BDP foam </w:t>
      </w:r>
      <w:r w:rsidR="0099232E">
        <w:t xml:space="preserve">were </w:t>
      </w:r>
      <w:r w:rsidR="009640F3">
        <w:t xml:space="preserve">more likely to achieve PGA success and </w:t>
      </w:r>
      <w:r w:rsidR="00D50E7F" w:rsidRPr="00D50E7F">
        <w:t xml:space="preserve">showed greater </w:t>
      </w:r>
      <w:r w:rsidR="009640F3">
        <w:t xml:space="preserve">mean improvements in </w:t>
      </w:r>
      <w:proofErr w:type="spellStart"/>
      <w:r w:rsidR="009640F3">
        <w:t>mPASI</w:t>
      </w:r>
      <w:proofErr w:type="spellEnd"/>
      <w:r w:rsidR="00D50E7F" w:rsidRPr="00D50E7F">
        <w:t xml:space="preserve"> compared to those treated with CAL/BDP cream</w:t>
      </w:r>
      <w:r w:rsidR="004C029C">
        <w:t xml:space="preserve">; however, </w:t>
      </w:r>
      <w:r w:rsidR="00D50E7F" w:rsidRPr="00D50E7F">
        <w:t xml:space="preserve">these differences were </w:t>
      </w:r>
      <w:r w:rsidR="004C029C">
        <w:t xml:space="preserve">not statistically significant </w:t>
      </w:r>
      <w:r w:rsidR="00D50E7F" w:rsidRPr="00D50E7F">
        <w:t>except</w:t>
      </w:r>
      <w:r w:rsidR="004C029C">
        <w:t xml:space="preserve"> for </w:t>
      </w:r>
      <w:r w:rsidR="00D50E7F" w:rsidRPr="00D50E7F">
        <w:t>the</w:t>
      </w:r>
      <w:r w:rsidR="009640F3">
        <w:t xml:space="preserve"> </w:t>
      </w:r>
      <w:proofErr w:type="spellStart"/>
      <w:r w:rsidR="009640F3">
        <w:t>mPASI</w:t>
      </w:r>
      <w:proofErr w:type="spellEnd"/>
      <w:r w:rsidR="009640F3">
        <w:t xml:space="preserve"> analysis</w:t>
      </w:r>
      <w:r w:rsidR="00D50E7F" w:rsidRPr="00D50E7F">
        <w:t xml:space="preserve"> in the EU population.</w:t>
      </w:r>
      <w:r w:rsidR="009640F3">
        <w:t xml:space="preserve"> In </w:t>
      </w:r>
      <w:r w:rsidR="004C029C">
        <w:t xml:space="preserve">the </w:t>
      </w:r>
      <w:r w:rsidR="009640F3">
        <w:t xml:space="preserve">unanchored </w:t>
      </w:r>
      <w:r w:rsidR="00D50E7F" w:rsidRPr="00D50E7F">
        <w:t>MAICs</w:t>
      </w:r>
      <w:r w:rsidR="009640F3">
        <w:t>, C</w:t>
      </w:r>
      <w:r w:rsidR="004C029C">
        <w:t>AL</w:t>
      </w:r>
      <w:r w:rsidR="009640F3">
        <w:t>/BD</w:t>
      </w:r>
      <w:r w:rsidR="004C029C">
        <w:t>P</w:t>
      </w:r>
      <w:r w:rsidR="009640F3">
        <w:t xml:space="preserve"> foam was statistically significantly more </w:t>
      </w:r>
      <w:r w:rsidR="00D50E7F" w:rsidRPr="00D50E7F">
        <w:t>effective in achieving</w:t>
      </w:r>
      <w:r w:rsidR="009640F3">
        <w:t xml:space="preserve"> PGA success </w:t>
      </w:r>
      <w:r w:rsidR="00D50E7F" w:rsidRPr="00D50E7F">
        <w:t xml:space="preserve">in </w:t>
      </w:r>
      <w:r w:rsidR="00F579EC">
        <w:t xml:space="preserve">five of the six </w:t>
      </w:r>
      <w:r w:rsidR="00D50E7F" w:rsidRPr="00D50E7F">
        <w:t>analyses. Additionally, mean</w:t>
      </w:r>
      <w:r w:rsidR="009640F3">
        <w:t xml:space="preserve"> reductions in </w:t>
      </w:r>
      <w:proofErr w:type="spellStart"/>
      <w:r w:rsidR="009640F3">
        <w:t>mPASI</w:t>
      </w:r>
      <w:proofErr w:type="spellEnd"/>
      <w:r w:rsidR="009640F3">
        <w:t xml:space="preserve"> were consistently </w:t>
      </w:r>
      <w:r w:rsidR="00D50E7F" w:rsidRPr="00D50E7F">
        <w:t xml:space="preserve">and </w:t>
      </w:r>
      <w:r w:rsidR="009640F3">
        <w:t>statistically significantly greater with C</w:t>
      </w:r>
      <w:r w:rsidR="00F579EC">
        <w:t>AL</w:t>
      </w:r>
      <w:r w:rsidR="009640F3">
        <w:t>/BD</w:t>
      </w:r>
      <w:r w:rsidR="00F579EC">
        <w:t>P</w:t>
      </w:r>
      <w:r w:rsidR="009640F3">
        <w:t xml:space="preserve"> foam </w:t>
      </w:r>
      <w:r w:rsidR="00D50E7F" w:rsidRPr="00D50E7F">
        <w:t>compared to</w:t>
      </w:r>
      <w:r w:rsidR="009640F3">
        <w:t xml:space="preserve"> C</w:t>
      </w:r>
      <w:r w:rsidR="00F579EC">
        <w:t>AL</w:t>
      </w:r>
      <w:r w:rsidR="009640F3">
        <w:t>/BD</w:t>
      </w:r>
      <w:r w:rsidR="00F579EC">
        <w:t>P</w:t>
      </w:r>
      <w:r w:rsidR="009640F3">
        <w:t xml:space="preserve"> cream.</w:t>
      </w:r>
    </w:p>
    <w:p w14:paraId="15DBD403" w14:textId="6EEA9462" w:rsidR="00FD23D6" w:rsidRDefault="000E3A5A" w:rsidP="00B7760B">
      <w:pPr>
        <w:widowControl w:val="0"/>
        <w:numPr>
          <w:ilvl w:val="1"/>
          <w:numId w:val="1"/>
        </w:numPr>
        <w:spacing w:after="120"/>
        <w:ind w:left="720"/>
      </w:pPr>
      <w:bookmarkStart w:id="42" w:name="_Ref196217128"/>
      <w:r>
        <w:t>Papp</w:t>
      </w:r>
      <w:r w:rsidRPr="000E3A5A">
        <w:t xml:space="preserve"> et al. (2022) identified several study limitations which increased the risk of bias to the results: </w:t>
      </w:r>
      <w:r w:rsidR="00B8285B">
        <w:t>(</w:t>
      </w:r>
      <w:proofErr w:type="spellStart"/>
      <w:r w:rsidR="00B8285B">
        <w:t>i</w:t>
      </w:r>
      <w:proofErr w:type="spellEnd"/>
      <w:r w:rsidR="00B8285B">
        <w:t xml:space="preserve">) </w:t>
      </w:r>
      <w:r w:rsidRPr="000E3A5A">
        <w:t>heterogeneity</w:t>
      </w:r>
      <w:r w:rsidR="00B8285B">
        <w:t xml:space="preserve"> in the study populations</w:t>
      </w:r>
      <w:r w:rsidRPr="000E3A5A">
        <w:t xml:space="preserve">, </w:t>
      </w:r>
      <w:r w:rsidR="00B8285B">
        <w:t>(ii)</w:t>
      </w:r>
      <w:r w:rsidRPr="000E3A5A">
        <w:t xml:space="preserve"> only one comparative evidence in anchored analysis, </w:t>
      </w:r>
      <w:r w:rsidR="00804F02">
        <w:t xml:space="preserve">(iii) </w:t>
      </w:r>
      <w:r w:rsidR="00804F02" w:rsidRPr="00804F02">
        <w:t>rounding of patient numbers</w:t>
      </w:r>
      <w:r w:rsidR="00804F02">
        <w:t xml:space="preserve"> and </w:t>
      </w:r>
      <w:r w:rsidR="00804F02" w:rsidRPr="00804F02">
        <w:t xml:space="preserve">small sample sizes, and </w:t>
      </w:r>
      <w:r w:rsidR="00804F02">
        <w:t xml:space="preserve">(iv) </w:t>
      </w:r>
      <w:r w:rsidR="00804F02" w:rsidRPr="00804F02">
        <w:t>uncertainty surrounding the validity of the patient</w:t>
      </w:r>
      <w:r w:rsidR="00804F02">
        <w:t xml:space="preserve"> </w:t>
      </w:r>
      <w:r w:rsidR="00804F02" w:rsidRPr="00804F02">
        <w:t>reported outcomes</w:t>
      </w:r>
      <w:r w:rsidR="008B0D91">
        <w:t>,</w:t>
      </w:r>
      <w:r w:rsidR="00804F02">
        <w:t xml:space="preserve"> </w:t>
      </w:r>
      <w:r w:rsidR="00804F02" w:rsidRPr="00804F02">
        <w:t>specifically the PTCS and TPUQ measures.</w:t>
      </w:r>
      <w:bookmarkEnd w:id="42"/>
    </w:p>
    <w:p w14:paraId="7AEBE703" w14:textId="2DD21C1D" w:rsidR="00DB0A6B" w:rsidRDefault="000E3A5A" w:rsidP="00B7760B">
      <w:pPr>
        <w:widowControl w:val="0"/>
        <w:numPr>
          <w:ilvl w:val="1"/>
          <w:numId w:val="1"/>
        </w:numPr>
        <w:spacing w:after="120"/>
        <w:ind w:left="720"/>
      </w:pPr>
      <w:bookmarkStart w:id="43" w:name="_Ref196217132"/>
      <w:r>
        <w:t>Jalili</w:t>
      </w:r>
      <w:r w:rsidRPr="000E3A5A">
        <w:t xml:space="preserve"> at al. (202</w:t>
      </w:r>
      <w:r>
        <w:t>4</w:t>
      </w:r>
      <w:r w:rsidRPr="000E3A5A">
        <w:t>)</w:t>
      </w:r>
      <w:r w:rsidR="008A20DF">
        <w:t xml:space="preserve"> was designed as a </w:t>
      </w:r>
      <w:r>
        <w:t xml:space="preserve">follow-up </w:t>
      </w:r>
      <w:r w:rsidR="008A20DF">
        <w:t>study to Papp et al. (2022</w:t>
      </w:r>
      <w:r w:rsidR="1EAB9BD3">
        <w:t>)</w:t>
      </w:r>
      <w:r w:rsidR="007A2102">
        <w:t xml:space="preserve"> and compared </w:t>
      </w:r>
      <w:r w:rsidR="00FB22E7">
        <w:t xml:space="preserve">QoL </w:t>
      </w:r>
      <w:r w:rsidR="006236B0">
        <w:t>(in terms of DLQI)</w:t>
      </w:r>
      <w:r w:rsidR="00FB22E7">
        <w:t xml:space="preserve"> </w:t>
      </w:r>
      <w:r w:rsidR="00AF6384">
        <w:t>using both anchored and un</w:t>
      </w:r>
      <w:r w:rsidR="00487796">
        <w:t>anchored MAIC</w:t>
      </w:r>
      <w:r w:rsidR="003A1502">
        <w:t xml:space="preserve">. </w:t>
      </w:r>
      <w:r w:rsidR="00487796">
        <w:t>Based on the anchored MAIC</w:t>
      </w:r>
      <w:r w:rsidR="00B70F6F">
        <w:t xml:space="preserve"> (via CAL/BDP gel)</w:t>
      </w:r>
      <w:r w:rsidR="00487796">
        <w:t>,</w:t>
      </w:r>
      <w:r w:rsidR="00873F16">
        <w:t xml:space="preserve"> </w:t>
      </w:r>
      <w:r w:rsidRPr="000E3A5A">
        <w:t xml:space="preserve">no statistically significant differences </w:t>
      </w:r>
      <w:r w:rsidR="009038EB">
        <w:t>were</w:t>
      </w:r>
      <w:r w:rsidR="006236B0">
        <w:t xml:space="preserve"> observed in</w:t>
      </w:r>
      <w:r w:rsidRPr="000E3A5A">
        <w:t xml:space="preserve"> </w:t>
      </w:r>
      <w:r w:rsidR="00E6529D">
        <w:t xml:space="preserve">the </w:t>
      </w:r>
      <w:r w:rsidR="00CB4E34">
        <w:t>DLQI</w:t>
      </w:r>
      <w:r w:rsidR="00880A02">
        <w:t xml:space="preserve"> 0/1 response </w:t>
      </w:r>
      <w:r w:rsidR="00CB4E34">
        <w:t xml:space="preserve">between CAL/BDP cream and foam </w:t>
      </w:r>
      <w:r w:rsidR="00487796">
        <w:t>at the recommended treatment duration</w:t>
      </w:r>
      <w:r w:rsidR="00974432">
        <w:t xml:space="preserve"> </w:t>
      </w:r>
      <w:r w:rsidR="00880A02">
        <w:t>(OR=0.7, 95% CI: 0.4, 1.2)</w:t>
      </w:r>
      <w:r w:rsidR="00AB6D4C">
        <w:t xml:space="preserve">, </w:t>
      </w:r>
      <w:r w:rsidR="004F3430" w:rsidRPr="00300CA4">
        <w:t>although</w:t>
      </w:r>
      <w:r w:rsidR="00972BEF" w:rsidRPr="00300CA4">
        <w:t xml:space="preserve"> the </w:t>
      </w:r>
      <w:r w:rsidR="009345EF" w:rsidRPr="00300CA4">
        <w:t xml:space="preserve">point estimate </w:t>
      </w:r>
      <w:r w:rsidR="00972BEF" w:rsidRPr="00300CA4">
        <w:t>favour</w:t>
      </w:r>
      <w:r w:rsidR="009345EF" w:rsidRPr="00300CA4">
        <w:t>ed</w:t>
      </w:r>
      <w:r w:rsidR="00972BEF" w:rsidRPr="00300CA4">
        <w:t xml:space="preserve"> </w:t>
      </w:r>
      <w:r w:rsidR="009345EF" w:rsidRPr="00300CA4">
        <w:t>t</w:t>
      </w:r>
      <w:r w:rsidR="00972BEF" w:rsidRPr="00300CA4">
        <w:t xml:space="preserve">he </w:t>
      </w:r>
      <w:r w:rsidR="00EB20C6" w:rsidRPr="00300CA4">
        <w:t>cream</w:t>
      </w:r>
      <w:r w:rsidR="00880A02" w:rsidRPr="00300CA4">
        <w:t>.</w:t>
      </w:r>
      <w:r w:rsidR="00880A02">
        <w:t xml:space="preserve"> </w:t>
      </w:r>
      <w:r w:rsidR="006236B0">
        <w:t>Similarly</w:t>
      </w:r>
      <w:r w:rsidR="00880A02">
        <w:t>, the unanchored MAICs</w:t>
      </w:r>
      <w:r w:rsidR="00880A02" w:rsidRPr="00880A02">
        <w:t xml:space="preserve"> </w:t>
      </w:r>
      <w:r w:rsidR="006236B0">
        <w:t xml:space="preserve">also </w:t>
      </w:r>
      <w:r w:rsidR="00880A02">
        <w:t>showed</w:t>
      </w:r>
      <w:r w:rsidR="00880A02" w:rsidRPr="000E3A5A">
        <w:t xml:space="preserve"> no statistically significant differences in </w:t>
      </w:r>
      <w:r w:rsidR="00880A02">
        <w:t>the DLQI 0/1 response (OR=1.0, 95% CI: 0.8, 1.3).</w:t>
      </w:r>
      <w:r w:rsidR="00880A02" w:rsidRPr="00880A02">
        <w:t xml:space="preserve"> </w:t>
      </w:r>
      <w:r w:rsidR="009670A7" w:rsidRPr="009670A7">
        <w:t xml:space="preserve">The submission highlighted several limitations of the study, including the potential for bias due to unobserved differences across trials and the small sample size in the </w:t>
      </w:r>
      <w:r w:rsidR="009670A7">
        <w:t>CAL/BDP foam (</w:t>
      </w:r>
      <w:r w:rsidR="009670A7" w:rsidRPr="009670A7">
        <w:t>LEO900100-07</w:t>
      </w:r>
      <w:r w:rsidR="009670A7">
        <w:t>)</w:t>
      </w:r>
      <w:r w:rsidR="009670A7" w:rsidRPr="009670A7">
        <w:t xml:space="preserve"> study.</w:t>
      </w:r>
      <w:bookmarkEnd w:id="43"/>
    </w:p>
    <w:p w14:paraId="3F9B4409" w14:textId="30CA320D" w:rsidR="00B70DA4" w:rsidRDefault="00B70DA4" w:rsidP="00B7760B">
      <w:pPr>
        <w:widowControl w:val="0"/>
        <w:numPr>
          <w:ilvl w:val="1"/>
          <w:numId w:val="1"/>
        </w:numPr>
        <w:spacing w:after="120"/>
        <w:ind w:left="720"/>
      </w:pPr>
      <w:r w:rsidRPr="009038EB">
        <w:t>Ov</w:t>
      </w:r>
      <w:r>
        <w:t>erall, the ITCs showed</w:t>
      </w:r>
      <w:r w:rsidR="00695811">
        <w:t xml:space="preserve"> </w:t>
      </w:r>
      <w:r w:rsidR="009F0277">
        <w:t xml:space="preserve">that </w:t>
      </w:r>
      <w:r w:rsidR="00695811">
        <w:t>CAL/BDP cream and CAL/BDP foam had equivalent efficacy</w:t>
      </w:r>
      <w:r w:rsidR="00C032A5">
        <w:t xml:space="preserve"> and health related QoL, except for</w:t>
      </w:r>
      <w:r w:rsidR="0006676A">
        <w:t xml:space="preserve"> </w:t>
      </w:r>
      <w:r w:rsidR="006C2007">
        <w:t xml:space="preserve">the </w:t>
      </w:r>
      <w:r w:rsidR="0006676A">
        <w:t xml:space="preserve">unanchored </w:t>
      </w:r>
      <w:r w:rsidR="0006676A" w:rsidRPr="00AA3192">
        <w:t>comparisons</w:t>
      </w:r>
      <w:r w:rsidR="0006676A">
        <w:t xml:space="preserve"> in Papp et al. (2022)</w:t>
      </w:r>
      <w:r w:rsidR="005D4F6F">
        <w:t xml:space="preserve"> which showed </w:t>
      </w:r>
      <w:r w:rsidR="008722F1">
        <w:t xml:space="preserve">efficacy in favour of CAL/BDP foam. </w:t>
      </w:r>
      <w:r w:rsidR="00E9709C">
        <w:t xml:space="preserve">In addition, </w:t>
      </w:r>
      <w:r w:rsidR="00CF14E6">
        <w:t xml:space="preserve">the results from </w:t>
      </w:r>
      <w:r w:rsidR="004F28C4">
        <w:t>Bewley et al. (2022) and</w:t>
      </w:r>
      <w:r w:rsidR="00CF14E6">
        <w:t xml:space="preserve"> Reich et al. (2022) suggested that </w:t>
      </w:r>
      <w:r w:rsidR="00417E86">
        <w:t>treatment convenience and satisfaction was greater with CAL/BDP cream</w:t>
      </w:r>
      <w:r w:rsidR="00442132">
        <w:t xml:space="preserve">, compared to CAL/BDP ointment. </w:t>
      </w:r>
      <w:r w:rsidR="00442132" w:rsidRPr="00300CA4">
        <w:t xml:space="preserve">However, </w:t>
      </w:r>
      <w:r w:rsidR="00F02DC2" w:rsidRPr="00300CA4">
        <w:t>the</w:t>
      </w:r>
      <w:r w:rsidR="00390197" w:rsidRPr="00300CA4">
        <w:t xml:space="preserve"> conclusion from the ITCs were uncertain given the limitation</w:t>
      </w:r>
      <w:r w:rsidR="006C2007" w:rsidRPr="00300CA4">
        <w:t>s</w:t>
      </w:r>
      <w:r w:rsidR="00390197" w:rsidRPr="00300CA4">
        <w:t xml:space="preserve"> </w:t>
      </w:r>
      <w:r w:rsidR="00FC0CFA" w:rsidRPr="00300CA4">
        <w:t xml:space="preserve">noted </w:t>
      </w:r>
      <w:r w:rsidR="00390197" w:rsidRPr="00300CA4">
        <w:t xml:space="preserve">above (for </w:t>
      </w:r>
      <w:r w:rsidR="00EE542E" w:rsidRPr="00300CA4">
        <w:t>further details refer paragraph</w:t>
      </w:r>
      <w:r w:rsidR="00FC0CFA" w:rsidRPr="00300CA4">
        <w:t>s</w:t>
      </w:r>
      <w:r w:rsidR="009F6B97" w:rsidRPr="00300CA4">
        <w:t xml:space="preserve"> </w:t>
      </w:r>
      <w:r w:rsidR="009F6B97" w:rsidRPr="00300CA4">
        <w:fldChar w:fldCharType="begin" w:fldLock="1"/>
      </w:r>
      <w:r w:rsidR="009F6B97" w:rsidRPr="00300CA4">
        <w:instrText xml:space="preserve"> REF _Ref196147611 \r \h </w:instrText>
      </w:r>
      <w:r w:rsidR="00300CA4">
        <w:instrText xml:space="preserve"> \* MERGEFORMAT </w:instrText>
      </w:r>
      <w:r w:rsidR="009F6B97" w:rsidRPr="00300CA4">
        <w:fldChar w:fldCharType="separate"/>
      </w:r>
      <w:r w:rsidR="000C1829">
        <w:t>6.44</w:t>
      </w:r>
      <w:r w:rsidR="009F6B97" w:rsidRPr="00300CA4">
        <w:fldChar w:fldCharType="end"/>
      </w:r>
      <w:r w:rsidR="009F6B97" w:rsidRPr="00300CA4">
        <w:t xml:space="preserve">, </w:t>
      </w:r>
      <w:r w:rsidR="009F6B97" w:rsidRPr="00300CA4">
        <w:fldChar w:fldCharType="begin" w:fldLock="1"/>
      </w:r>
      <w:r w:rsidR="009F6B97" w:rsidRPr="00300CA4">
        <w:instrText xml:space="preserve"> REF _Ref196217128 \r \h </w:instrText>
      </w:r>
      <w:r w:rsidR="00300CA4">
        <w:instrText xml:space="preserve"> \* MERGEFORMAT </w:instrText>
      </w:r>
      <w:r w:rsidR="009F6B97" w:rsidRPr="00300CA4">
        <w:fldChar w:fldCharType="separate"/>
      </w:r>
      <w:r w:rsidR="000C1829">
        <w:t>6.46</w:t>
      </w:r>
      <w:r w:rsidR="009F6B97" w:rsidRPr="00300CA4">
        <w:fldChar w:fldCharType="end"/>
      </w:r>
      <w:r w:rsidR="00D23E14" w:rsidRPr="00300CA4">
        <w:t xml:space="preserve"> and </w:t>
      </w:r>
      <w:r w:rsidR="009F6B97" w:rsidRPr="00300CA4">
        <w:fldChar w:fldCharType="begin" w:fldLock="1"/>
      </w:r>
      <w:r w:rsidR="009F6B97" w:rsidRPr="00300CA4">
        <w:instrText xml:space="preserve"> REF _Ref196217132 \r \h </w:instrText>
      </w:r>
      <w:r w:rsidR="00300CA4">
        <w:instrText xml:space="preserve"> \* MERGEFORMAT </w:instrText>
      </w:r>
      <w:r w:rsidR="009F6B97" w:rsidRPr="00300CA4">
        <w:fldChar w:fldCharType="separate"/>
      </w:r>
      <w:r w:rsidR="000C1829">
        <w:t>6.47</w:t>
      </w:r>
      <w:r w:rsidR="009F6B97" w:rsidRPr="00300CA4">
        <w:fldChar w:fldCharType="end"/>
      </w:r>
      <w:r w:rsidR="00EE542E" w:rsidRPr="00300CA4">
        <w:t>).</w:t>
      </w:r>
    </w:p>
    <w:p w14:paraId="1452C351" w14:textId="2164569C" w:rsidR="00B60939" w:rsidRDefault="00B60939" w:rsidP="00D86231">
      <w:pPr>
        <w:pStyle w:val="4-SubsectionHeading"/>
      </w:pPr>
      <w:bookmarkStart w:id="44" w:name="_Toc22897642"/>
      <w:bookmarkStart w:id="45" w:name="_Toc198632858"/>
      <w:r w:rsidRPr="00C9624D">
        <w:t>Comparative harms</w:t>
      </w:r>
      <w:bookmarkEnd w:id="44"/>
      <w:bookmarkEnd w:id="45"/>
    </w:p>
    <w:p w14:paraId="0BE0CA80" w14:textId="013FB811" w:rsidR="00A65BEC" w:rsidRPr="00537033" w:rsidRDefault="00A65BEC" w:rsidP="00A65BEC">
      <w:pPr>
        <w:pStyle w:val="3-BodyText"/>
        <w:numPr>
          <w:ilvl w:val="0"/>
          <w:numId w:val="0"/>
        </w:numPr>
        <w:rPr>
          <w:b/>
          <w:bCs/>
          <w:u w:val="single"/>
        </w:rPr>
      </w:pPr>
      <w:r w:rsidRPr="00537033">
        <w:rPr>
          <w:b/>
          <w:bCs/>
          <w:u w:val="single"/>
        </w:rPr>
        <w:t>CAL/BDP cream versus ointment</w:t>
      </w:r>
    </w:p>
    <w:p w14:paraId="3F2BEB9C" w14:textId="7ABA6B4A" w:rsidR="00E03F37" w:rsidRPr="00E03F37" w:rsidRDefault="00E03F37" w:rsidP="00B7760B">
      <w:pPr>
        <w:widowControl w:val="0"/>
        <w:numPr>
          <w:ilvl w:val="1"/>
          <w:numId w:val="1"/>
        </w:numPr>
        <w:spacing w:after="120"/>
        <w:ind w:left="720"/>
      </w:pPr>
      <w:r>
        <w:fldChar w:fldCharType="begin" w:fldLock="1"/>
      </w:r>
      <w:r>
        <w:instrText xml:space="preserve"> REF _Ref195274148 \h </w:instrText>
      </w:r>
      <w:r w:rsidR="00B7760B">
        <w:instrText xml:space="preserve"> \* MERGEFORMAT </w:instrText>
      </w:r>
      <w:r>
        <w:fldChar w:fldCharType="separate"/>
      </w:r>
      <w:r w:rsidR="00AA3192">
        <w:t xml:space="preserve">Table </w:t>
      </w:r>
      <w:r w:rsidR="00AA3192">
        <w:rPr>
          <w:noProof/>
        </w:rPr>
        <w:t>11</w:t>
      </w:r>
      <w:r>
        <w:fldChar w:fldCharType="end"/>
      </w:r>
      <w:r>
        <w:t xml:space="preserve"> and </w:t>
      </w:r>
      <w:r>
        <w:fldChar w:fldCharType="begin" w:fldLock="1"/>
      </w:r>
      <w:r>
        <w:instrText xml:space="preserve"> REF _Ref195274150 \h </w:instrText>
      </w:r>
      <w:r>
        <w:fldChar w:fldCharType="separate"/>
      </w:r>
      <w:r w:rsidR="00AA3192">
        <w:t xml:space="preserve">Table </w:t>
      </w:r>
      <w:r w:rsidR="00AA3192">
        <w:rPr>
          <w:noProof/>
        </w:rPr>
        <w:t>12</w:t>
      </w:r>
      <w:r>
        <w:fldChar w:fldCharType="end"/>
      </w:r>
      <w:r>
        <w:t xml:space="preserve"> s</w:t>
      </w:r>
      <w:r w:rsidRPr="00E03F37">
        <w:t xml:space="preserve">ummarise the key safety outcomes, based on the safety population in all three </w:t>
      </w:r>
      <w:r w:rsidR="00A65BEC">
        <w:t xml:space="preserve">CAL/BDP foam </w:t>
      </w:r>
      <w:r w:rsidRPr="00E03F37">
        <w:t>trials.</w:t>
      </w:r>
    </w:p>
    <w:p w14:paraId="1778A894" w14:textId="55EAC16F" w:rsidR="00E03F37" w:rsidRDefault="00E03F37" w:rsidP="00E03F37">
      <w:pPr>
        <w:pStyle w:val="TableFigureHeading"/>
      </w:pPr>
      <w:bookmarkStart w:id="46" w:name="_Ref195274148"/>
      <w:r>
        <w:lastRenderedPageBreak/>
        <w:t xml:space="preserve">Table </w:t>
      </w:r>
      <w:r w:rsidR="00AA3192">
        <w:fldChar w:fldCharType="begin" w:fldLock="1"/>
      </w:r>
      <w:r w:rsidR="00AA3192">
        <w:instrText xml:space="preserve"> SEQ Table \* ARABIC </w:instrText>
      </w:r>
      <w:r w:rsidR="00AA3192">
        <w:fldChar w:fldCharType="separate"/>
      </w:r>
      <w:r w:rsidR="00AA3192">
        <w:rPr>
          <w:noProof/>
        </w:rPr>
        <w:t>11</w:t>
      </w:r>
      <w:r w:rsidR="00AA3192">
        <w:rPr>
          <w:noProof/>
        </w:rPr>
        <w:fldChar w:fldCharType="end"/>
      </w:r>
      <w:bookmarkEnd w:id="46"/>
      <w:r>
        <w:t>:</w:t>
      </w:r>
      <w:r w:rsidRPr="00E03F37">
        <w:t xml:space="preserve"> </w:t>
      </w:r>
      <w:r w:rsidRPr="00080909">
        <w:t xml:space="preserve">Summary of key adverse events in the </w:t>
      </w:r>
      <w:r>
        <w:t>MC2-01-C3</w:t>
      </w:r>
      <w:r w:rsidRPr="00080909">
        <w:t xml:space="preserv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key adverse events in the MC2-01-C3 trial"/>
      </w:tblPr>
      <w:tblGrid>
        <w:gridCol w:w="2689"/>
        <w:gridCol w:w="1582"/>
        <w:gridCol w:w="1724"/>
        <w:gridCol w:w="1440"/>
        <w:gridCol w:w="1582"/>
      </w:tblGrid>
      <w:tr w:rsidR="00E03F37" w:rsidRPr="00080909" w14:paraId="3931CF8A" w14:textId="77777777" w:rsidTr="00DE2991">
        <w:trPr>
          <w:tblHeader/>
        </w:trPr>
        <w:tc>
          <w:tcPr>
            <w:tcW w:w="2689" w:type="dxa"/>
            <w:vAlign w:val="center"/>
          </w:tcPr>
          <w:p w14:paraId="4B220626" w14:textId="77777777" w:rsidR="00E03F37" w:rsidRPr="00080909" w:rsidRDefault="00E03F37" w:rsidP="002675DC">
            <w:pPr>
              <w:pStyle w:val="In-tableHeading"/>
            </w:pPr>
            <w:r>
              <w:t>Trial ID</w:t>
            </w:r>
          </w:p>
        </w:tc>
        <w:tc>
          <w:tcPr>
            <w:tcW w:w="1582" w:type="dxa"/>
            <w:vAlign w:val="center"/>
          </w:tcPr>
          <w:p w14:paraId="7352AC3B" w14:textId="77777777" w:rsidR="00E03F37" w:rsidRPr="00590910" w:rsidRDefault="00E03F37" w:rsidP="002675DC">
            <w:pPr>
              <w:pStyle w:val="In-tableHeading"/>
              <w:jc w:val="center"/>
            </w:pPr>
            <w:r w:rsidRPr="00590910">
              <w:t>CAL/BDP cream</w:t>
            </w:r>
          </w:p>
          <w:p w14:paraId="45A637C3" w14:textId="77777777" w:rsidR="00E03F37" w:rsidRPr="00590910" w:rsidRDefault="00E03F37" w:rsidP="002675DC">
            <w:pPr>
              <w:pStyle w:val="In-tableHeading"/>
              <w:jc w:val="center"/>
            </w:pPr>
            <w:r w:rsidRPr="00590910">
              <w:t>n/N (%)</w:t>
            </w:r>
          </w:p>
        </w:tc>
        <w:tc>
          <w:tcPr>
            <w:tcW w:w="1724" w:type="dxa"/>
            <w:vAlign w:val="center"/>
          </w:tcPr>
          <w:p w14:paraId="14B61613" w14:textId="77777777" w:rsidR="00E03F37" w:rsidRPr="00590910" w:rsidRDefault="00E03F37" w:rsidP="002675DC">
            <w:pPr>
              <w:pStyle w:val="In-tableHeading"/>
              <w:jc w:val="center"/>
            </w:pPr>
            <w:r w:rsidRPr="00590910">
              <w:t>CAL/BDP ointment</w:t>
            </w:r>
          </w:p>
          <w:p w14:paraId="28798F66" w14:textId="77777777" w:rsidR="00E03F37" w:rsidRPr="00590910" w:rsidRDefault="00E03F37" w:rsidP="002675DC">
            <w:pPr>
              <w:pStyle w:val="In-tableHeading"/>
              <w:jc w:val="center"/>
            </w:pPr>
            <w:r w:rsidRPr="00590910">
              <w:t>n/N (%)</w:t>
            </w:r>
          </w:p>
        </w:tc>
        <w:tc>
          <w:tcPr>
            <w:tcW w:w="1440" w:type="dxa"/>
            <w:vAlign w:val="center"/>
          </w:tcPr>
          <w:p w14:paraId="5A7F143E" w14:textId="77777777" w:rsidR="00E03F37" w:rsidRPr="008B3679" w:rsidRDefault="00E03F37" w:rsidP="002675DC">
            <w:pPr>
              <w:pStyle w:val="In-tableHeading"/>
              <w:jc w:val="center"/>
            </w:pPr>
            <w:r w:rsidRPr="008B3679">
              <w:t xml:space="preserve">RR </w:t>
            </w:r>
          </w:p>
          <w:p w14:paraId="583886B5" w14:textId="0B05172F" w:rsidR="00E03F37" w:rsidRPr="008B3679" w:rsidRDefault="00E03F37" w:rsidP="002675DC">
            <w:pPr>
              <w:pStyle w:val="In-tableHeading"/>
              <w:jc w:val="center"/>
            </w:pPr>
            <w:r w:rsidRPr="008B3679">
              <w:t>(95% CI)</w:t>
            </w:r>
            <w:r w:rsidR="008B3679" w:rsidRPr="008B3679">
              <w:t>*</w:t>
            </w:r>
          </w:p>
        </w:tc>
        <w:tc>
          <w:tcPr>
            <w:tcW w:w="1582" w:type="dxa"/>
            <w:vAlign w:val="center"/>
          </w:tcPr>
          <w:p w14:paraId="0B94B515" w14:textId="77777777" w:rsidR="00E03F37" w:rsidRPr="008B3679" w:rsidRDefault="00E03F37" w:rsidP="002675DC">
            <w:pPr>
              <w:pStyle w:val="In-tableHeading"/>
              <w:jc w:val="center"/>
            </w:pPr>
            <w:r w:rsidRPr="008B3679">
              <w:t xml:space="preserve">RD </w:t>
            </w:r>
          </w:p>
          <w:p w14:paraId="62F3AC9C" w14:textId="1626A7E4" w:rsidR="00E03F37" w:rsidRPr="008B3679" w:rsidRDefault="00E03F37" w:rsidP="002675DC">
            <w:pPr>
              <w:pStyle w:val="In-tableHeading"/>
              <w:jc w:val="center"/>
            </w:pPr>
            <w:r w:rsidRPr="008B3679">
              <w:t>(95% CI)</w:t>
            </w:r>
            <w:r w:rsidR="008B3679" w:rsidRPr="008B3679">
              <w:t>*</w:t>
            </w:r>
          </w:p>
        </w:tc>
      </w:tr>
      <w:tr w:rsidR="00E03F37" w14:paraId="0C36B837" w14:textId="77777777" w:rsidTr="002675DC">
        <w:tc>
          <w:tcPr>
            <w:tcW w:w="9017" w:type="dxa"/>
            <w:gridSpan w:val="5"/>
            <w:vAlign w:val="center"/>
          </w:tcPr>
          <w:p w14:paraId="46F3A611" w14:textId="77777777" w:rsidR="00E03F37" w:rsidRPr="008B3679" w:rsidRDefault="00E03F37" w:rsidP="002675DC">
            <w:pPr>
              <w:pStyle w:val="In-tableHeading"/>
              <w:rPr>
                <w:vertAlign w:val="superscript"/>
              </w:rPr>
            </w:pPr>
            <w:r w:rsidRPr="008B3679">
              <w:t>Day 0 – week 4</w:t>
            </w:r>
            <w:r w:rsidRPr="008B3679">
              <w:rPr>
                <w:vertAlign w:val="superscript"/>
              </w:rPr>
              <w:t>a</w:t>
            </w:r>
          </w:p>
        </w:tc>
      </w:tr>
      <w:tr w:rsidR="00E03F37" w14:paraId="720BE56F" w14:textId="77777777" w:rsidTr="00DE2991">
        <w:trPr>
          <w:trHeight w:val="110"/>
        </w:trPr>
        <w:tc>
          <w:tcPr>
            <w:tcW w:w="2689" w:type="dxa"/>
            <w:vAlign w:val="center"/>
          </w:tcPr>
          <w:p w14:paraId="2A45C7E2" w14:textId="77777777" w:rsidR="00E03F37" w:rsidRDefault="00E03F37" w:rsidP="00856AA5">
            <w:pPr>
              <w:pStyle w:val="TableText0"/>
            </w:pPr>
            <w:r>
              <w:t>TEAE, n (%)</w:t>
            </w:r>
          </w:p>
        </w:tc>
        <w:tc>
          <w:tcPr>
            <w:tcW w:w="1582" w:type="dxa"/>
            <w:vAlign w:val="center"/>
          </w:tcPr>
          <w:p w14:paraId="521201E4" w14:textId="77777777" w:rsidR="00E03F37" w:rsidRDefault="00E03F37" w:rsidP="002675DC">
            <w:pPr>
              <w:pStyle w:val="TableText0"/>
              <w:jc w:val="center"/>
            </w:pPr>
            <w:r>
              <w:t>2 / 32 (6.3%)</w:t>
            </w:r>
          </w:p>
        </w:tc>
        <w:tc>
          <w:tcPr>
            <w:tcW w:w="1724" w:type="dxa"/>
            <w:vAlign w:val="center"/>
          </w:tcPr>
          <w:p w14:paraId="17DF6B09" w14:textId="77777777" w:rsidR="00E03F37" w:rsidRDefault="00E03F37" w:rsidP="002675DC">
            <w:pPr>
              <w:pStyle w:val="TableText0"/>
              <w:jc w:val="center"/>
            </w:pPr>
            <w:r>
              <w:t>5 / 31 (16.1%)</w:t>
            </w:r>
          </w:p>
        </w:tc>
        <w:tc>
          <w:tcPr>
            <w:tcW w:w="1440" w:type="dxa"/>
            <w:vAlign w:val="center"/>
          </w:tcPr>
          <w:p w14:paraId="7119FEA0" w14:textId="77777777" w:rsidR="00E03F37" w:rsidRPr="008B3679" w:rsidRDefault="00E03F37" w:rsidP="002675DC">
            <w:pPr>
              <w:pStyle w:val="TableText0"/>
              <w:jc w:val="center"/>
            </w:pPr>
            <w:r w:rsidRPr="008B3679">
              <w:t>0.4 (0.1,1.9)</w:t>
            </w:r>
          </w:p>
        </w:tc>
        <w:tc>
          <w:tcPr>
            <w:tcW w:w="1582" w:type="dxa"/>
            <w:vAlign w:val="center"/>
          </w:tcPr>
          <w:p w14:paraId="0D4A2F79" w14:textId="77777777" w:rsidR="00E03F37" w:rsidRPr="008B3679" w:rsidRDefault="00E03F37" w:rsidP="002675DC">
            <w:pPr>
              <w:pStyle w:val="TableText0"/>
              <w:jc w:val="center"/>
            </w:pPr>
            <w:r w:rsidRPr="008B3679">
              <w:t>-0.1 (-0.3,0.1)</w:t>
            </w:r>
          </w:p>
        </w:tc>
      </w:tr>
      <w:tr w:rsidR="00E03F37" w14:paraId="038593A6" w14:textId="77777777" w:rsidTr="00DE2991">
        <w:trPr>
          <w:trHeight w:val="98"/>
        </w:trPr>
        <w:tc>
          <w:tcPr>
            <w:tcW w:w="2689" w:type="dxa"/>
            <w:vAlign w:val="center"/>
          </w:tcPr>
          <w:p w14:paraId="4D6DC12B" w14:textId="77777777" w:rsidR="00E03F37" w:rsidRDefault="00E03F37" w:rsidP="00856AA5">
            <w:pPr>
              <w:pStyle w:val="TableText0"/>
            </w:pPr>
            <w:r>
              <w:t>Treatment-related TEAE, n (%)</w:t>
            </w:r>
          </w:p>
        </w:tc>
        <w:tc>
          <w:tcPr>
            <w:tcW w:w="1582" w:type="dxa"/>
            <w:vAlign w:val="center"/>
          </w:tcPr>
          <w:p w14:paraId="0698738E" w14:textId="77777777" w:rsidR="00E03F37" w:rsidRDefault="00E03F37" w:rsidP="002675DC">
            <w:pPr>
              <w:pStyle w:val="TableText0"/>
              <w:jc w:val="center"/>
            </w:pPr>
            <w:r>
              <w:t>1 / 32 (3.1%)</w:t>
            </w:r>
          </w:p>
        </w:tc>
        <w:tc>
          <w:tcPr>
            <w:tcW w:w="1724" w:type="dxa"/>
            <w:vAlign w:val="center"/>
          </w:tcPr>
          <w:p w14:paraId="2195B567" w14:textId="77777777" w:rsidR="00E03F37" w:rsidRDefault="00E03F37" w:rsidP="002675DC">
            <w:pPr>
              <w:pStyle w:val="TableText0"/>
              <w:jc w:val="center"/>
            </w:pPr>
            <w:r>
              <w:t>3 / 31 (9.7%)</w:t>
            </w:r>
          </w:p>
        </w:tc>
        <w:tc>
          <w:tcPr>
            <w:tcW w:w="1440" w:type="dxa"/>
            <w:vAlign w:val="center"/>
          </w:tcPr>
          <w:p w14:paraId="075CE758" w14:textId="77777777" w:rsidR="00E03F37" w:rsidRPr="008B3679" w:rsidRDefault="00E03F37" w:rsidP="002675DC">
            <w:pPr>
              <w:pStyle w:val="TableText0"/>
              <w:jc w:val="center"/>
            </w:pPr>
            <w:r w:rsidRPr="008B3679">
              <w:t>0.3 (0.04,2.9)</w:t>
            </w:r>
          </w:p>
        </w:tc>
        <w:tc>
          <w:tcPr>
            <w:tcW w:w="1582" w:type="dxa"/>
            <w:vAlign w:val="center"/>
          </w:tcPr>
          <w:p w14:paraId="1223D3EB" w14:textId="77777777" w:rsidR="00E03F37" w:rsidRPr="008B3679" w:rsidRDefault="00E03F37" w:rsidP="002675DC">
            <w:pPr>
              <w:pStyle w:val="TableText0"/>
              <w:jc w:val="center"/>
            </w:pPr>
            <w:r w:rsidRPr="008B3679">
              <w:t>-0.1 (-0.2,0.1)</w:t>
            </w:r>
          </w:p>
        </w:tc>
      </w:tr>
      <w:tr w:rsidR="00E03F37" w14:paraId="46107A04" w14:textId="77777777" w:rsidTr="00DE2991">
        <w:trPr>
          <w:trHeight w:val="53"/>
        </w:trPr>
        <w:tc>
          <w:tcPr>
            <w:tcW w:w="2689" w:type="dxa"/>
            <w:vAlign w:val="center"/>
          </w:tcPr>
          <w:p w14:paraId="367E0067" w14:textId="77777777" w:rsidR="00E03F37" w:rsidRDefault="00E03F37" w:rsidP="00856AA5">
            <w:pPr>
              <w:pStyle w:val="TableText0"/>
            </w:pPr>
            <w:r>
              <w:t>Serious AE, n (%)</w:t>
            </w:r>
          </w:p>
        </w:tc>
        <w:tc>
          <w:tcPr>
            <w:tcW w:w="1582" w:type="dxa"/>
            <w:vAlign w:val="center"/>
          </w:tcPr>
          <w:p w14:paraId="1AE232A2" w14:textId="77777777" w:rsidR="00E03F37" w:rsidRDefault="00E03F37" w:rsidP="002675DC">
            <w:pPr>
              <w:pStyle w:val="TableText0"/>
              <w:jc w:val="center"/>
            </w:pPr>
            <w:r>
              <w:t>0</w:t>
            </w:r>
          </w:p>
        </w:tc>
        <w:tc>
          <w:tcPr>
            <w:tcW w:w="1724" w:type="dxa"/>
            <w:vAlign w:val="center"/>
          </w:tcPr>
          <w:p w14:paraId="72BD21B4" w14:textId="77777777" w:rsidR="00E03F37" w:rsidRDefault="00E03F37" w:rsidP="002675DC">
            <w:pPr>
              <w:pStyle w:val="TableText0"/>
              <w:jc w:val="center"/>
            </w:pPr>
            <w:r>
              <w:t>1 / 31 (3.2%)</w:t>
            </w:r>
          </w:p>
        </w:tc>
        <w:tc>
          <w:tcPr>
            <w:tcW w:w="1440" w:type="dxa"/>
            <w:vAlign w:val="center"/>
          </w:tcPr>
          <w:p w14:paraId="5CC2E0B6" w14:textId="77777777" w:rsidR="00E03F37" w:rsidRPr="008B3679" w:rsidRDefault="00E03F37" w:rsidP="002675DC">
            <w:pPr>
              <w:pStyle w:val="TableText0"/>
              <w:jc w:val="center"/>
            </w:pPr>
            <w:r w:rsidRPr="008B3679">
              <w:t>NA</w:t>
            </w:r>
          </w:p>
        </w:tc>
        <w:tc>
          <w:tcPr>
            <w:tcW w:w="1582" w:type="dxa"/>
            <w:vAlign w:val="center"/>
          </w:tcPr>
          <w:p w14:paraId="3B339CBB" w14:textId="77777777" w:rsidR="00E03F37" w:rsidRPr="008B3679" w:rsidRDefault="00E03F37" w:rsidP="002675DC">
            <w:pPr>
              <w:pStyle w:val="TableText0"/>
              <w:jc w:val="center"/>
            </w:pPr>
            <w:r w:rsidRPr="008B3679">
              <w:t>-0.03 (-0.1,0.03)</w:t>
            </w:r>
          </w:p>
        </w:tc>
      </w:tr>
      <w:tr w:rsidR="00E03F37" w14:paraId="07E2283C" w14:textId="77777777" w:rsidTr="00DE2991">
        <w:trPr>
          <w:trHeight w:val="53"/>
        </w:trPr>
        <w:tc>
          <w:tcPr>
            <w:tcW w:w="2689" w:type="dxa"/>
            <w:vAlign w:val="center"/>
          </w:tcPr>
          <w:p w14:paraId="0125BB42" w14:textId="77777777" w:rsidR="00E03F37" w:rsidRDefault="00E03F37" w:rsidP="00856AA5">
            <w:pPr>
              <w:pStyle w:val="TableText0"/>
            </w:pPr>
            <w:r>
              <w:t>Serious TEAE, n (%)</w:t>
            </w:r>
          </w:p>
        </w:tc>
        <w:tc>
          <w:tcPr>
            <w:tcW w:w="1582" w:type="dxa"/>
            <w:vAlign w:val="center"/>
          </w:tcPr>
          <w:p w14:paraId="1F8D7140" w14:textId="77777777" w:rsidR="00E03F37" w:rsidRPr="00B1011F" w:rsidRDefault="00E03F37" w:rsidP="002675DC">
            <w:pPr>
              <w:pStyle w:val="TableText0"/>
              <w:jc w:val="center"/>
            </w:pPr>
            <w:r>
              <w:t>0</w:t>
            </w:r>
          </w:p>
        </w:tc>
        <w:tc>
          <w:tcPr>
            <w:tcW w:w="1724" w:type="dxa"/>
            <w:vAlign w:val="center"/>
          </w:tcPr>
          <w:p w14:paraId="103E666B" w14:textId="77777777" w:rsidR="00E03F37" w:rsidRPr="00B1011F" w:rsidRDefault="00E03F37" w:rsidP="002675DC">
            <w:pPr>
              <w:pStyle w:val="TableText0"/>
              <w:jc w:val="center"/>
            </w:pPr>
            <w:r>
              <w:t>1 / 31 (3.2%)</w:t>
            </w:r>
          </w:p>
        </w:tc>
        <w:tc>
          <w:tcPr>
            <w:tcW w:w="1440" w:type="dxa"/>
            <w:vAlign w:val="center"/>
          </w:tcPr>
          <w:p w14:paraId="44EBBE65" w14:textId="77777777" w:rsidR="00E03F37" w:rsidRPr="008B3679" w:rsidRDefault="00E03F37" w:rsidP="002675DC">
            <w:pPr>
              <w:pStyle w:val="TableText0"/>
              <w:jc w:val="center"/>
            </w:pPr>
            <w:r w:rsidRPr="008B3679">
              <w:t>NA</w:t>
            </w:r>
          </w:p>
        </w:tc>
        <w:tc>
          <w:tcPr>
            <w:tcW w:w="1582" w:type="dxa"/>
            <w:vAlign w:val="center"/>
          </w:tcPr>
          <w:p w14:paraId="22F40EA2" w14:textId="77777777" w:rsidR="00E03F37" w:rsidRPr="008B3679" w:rsidRDefault="00E03F37" w:rsidP="002675DC">
            <w:pPr>
              <w:pStyle w:val="TableText0"/>
              <w:jc w:val="center"/>
            </w:pPr>
            <w:r w:rsidRPr="008B3679">
              <w:t>-0.03 (-0.1,0.03)</w:t>
            </w:r>
          </w:p>
        </w:tc>
      </w:tr>
      <w:tr w:rsidR="00E03F37" w14:paraId="68AA51B8" w14:textId="77777777" w:rsidTr="00DE2991">
        <w:trPr>
          <w:trHeight w:val="334"/>
        </w:trPr>
        <w:tc>
          <w:tcPr>
            <w:tcW w:w="2689" w:type="dxa"/>
            <w:vAlign w:val="center"/>
          </w:tcPr>
          <w:p w14:paraId="0A2E2EF0" w14:textId="77777777" w:rsidR="00E03F37" w:rsidRDefault="00E03F37" w:rsidP="00856AA5">
            <w:pPr>
              <w:pStyle w:val="TableText0"/>
            </w:pPr>
            <w:r>
              <w:t>AEs leading to study discontinuation, n (%)</w:t>
            </w:r>
          </w:p>
        </w:tc>
        <w:tc>
          <w:tcPr>
            <w:tcW w:w="1582" w:type="dxa"/>
            <w:vAlign w:val="center"/>
          </w:tcPr>
          <w:p w14:paraId="28CB55F3" w14:textId="77777777" w:rsidR="00E03F37" w:rsidRDefault="00E03F37" w:rsidP="002675DC">
            <w:pPr>
              <w:pStyle w:val="TableText0"/>
              <w:jc w:val="center"/>
            </w:pPr>
            <w:r>
              <w:t>1 / 32 (3.1%)</w:t>
            </w:r>
          </w:p>
        </w:tc>
        <w:tc>
          <w:tcPr>
            <w:tcW w:w="1724" w:type="dxa"/>
            <w:vAlign w:val="center"/>
          </w:tcPr>
          <w:p w14:paraId="1BAD1DED" w14:textId="77777777" w:rsidR="00E03F37" w:rsidRDefault="00E03F37" w:rsidP="002675DC">
            <w:pPr>
              <w:pStyle w:val="TableText0"/>
              <w:jc w:val="center"/>
            </w:pPr>
            <w:r>
              <w:t>0</w:t>
            </w:r>
          </w:p>
        </w:tc>
        <w:tc>
          <w:tcPr>
            <w:tcW w:w="1440" w:type="dxa"/>
            <w:vAlign w:val="center"/>
          </w:tcPr>
          <w:p w14:paraId="5B61CDFC" w14:textId="77777777" w:rsidR="00E03F37" w:rsidRPr="008B3679" w:rsidRDefault="00E03F37" w:rsidP="002675DC">
            <w:pPr>
              <w:pStyle w:val="TableText0"/>
              <w:jc w:val="center"/>
            </w:pPr>
            <w:r w:rsidRPr="008B3679">
              <w:t>NA</w:t>
            </w:r>
          </w:p>
        </w:tc>
        <w:tc>
          <w:tcPr>
            <w:tcW w:w="1582" w:type="dxa"/>
            <w:vAlign w:val="center"/>
          </w:tcPr>
          <w:p w14:paraId="522821ED" w14:textId="77777777" w:rsidR="00E03F37" w:rsidRPr="008B3679" w:rsidRDefault="00E03F37" w:rsidP="002675DC">
            <w:pPr>
              <w:pStyle w:val="TableText0"/>
              <w:jc w:val="center"/>
            </w:pPr>
            <w:r w:rsidRPr="008B3679">
              <w:t>0.03 (-0.03,0.1)</w:t>
            </w:r>
          </w:p>
        </w:tc>
      </w:tr>
    </w:tbl>
    <w:p w14:paraId="102386A8" w14:textId="77777777" w:rsidR="00E03F37" w:rsidRDefault="00E03F37" w:rsidP="00E03F37">
      <w:pPr>
        <w:pStyle w:val="TableFigureFooter"/>
      </w:pPr>
      <w:r>
        <w:t>Source: Table 2-44, p95 of the submission.</w:t>
      </w:r>
    </w:p>
    <w:p w14:paraId="3DF181D8" w14:textId="08622275" w:rsidR="00E03F37" w:rsidRDefault="00E03F37" w:rsidP="00E03F37">
      <w:pPr>
        <w:pStyle w:val="TableFigureFooter"/>
      </w:pPr>
      <w:r>
        <w:t xml:space="preserve">AE = adverse event; CAL/BDP = calcipotriol with betamethasone dipropionate; CI = confidence interval; n = number of participants reporting data; N = total participants in group; </w:t>
      </w:r>
      <w:r w:rsidR="00654E1E">
        <w:t xml:space="preserve">NA = not available; </w:t>
      </w:r>
      <w:r>
        <w:t>RD = risk difference; RR = relative risk; TEAE = treatment emergent adverse event</w:t>
      </w:r>
      <w:r w:rsidR="00445F8B">
        <w:t>.</w:t>
      </w:r>
    </w:p>
    <w:p w14:paraId="750F18C0" w14:textId="77777777" w:rsidR="00E03F37" w:rsidRDefault="00E03F37" w:rsidP="00E03F37">
      <w:pPr>
        <w:pStyle w:val="TableFigureFooter"/>
      </w:pPr>
      <w:r w:rsidRPr="00AA4711">
        <w:rPr>
          <w:vertAlign w:val="superscript"/>
        </w:rPr>
        <w:t>a</w:t>
      </w:r>
      <w:r>
        <w:t xml:space="preserve"> Includes TEAEs with an onset date on or before Week 4 visit for CAL/BDP cream subjects, and all TEAEs for CAL/BDP gel subjects.</w:t>
      </w:r>
    </w:p>
    <w:p w14:paraId="22FFA1E0" w14:textId="2C2C37EB" w:rsidR="00E03F37" w:rsidRPr="008B3679" w:rsidRDefault="008B3679" w:rsidP="00E03F37">
      <w:pPr>
        <w:pStyle w:val="TableFigureFooter"/>
      </w:pPr>
      <w:r w:rsidRPr="008B3679">
        <w:t>*</w:t>
      </w:r>
      <w:r w:rsidR="00E03F37" w:rsidRPr="008B3679">
        <w:t xml:space="preserve">added during evaluation </w:t>
      </w:r>
    </w:p>
    <w:p w14:paraId="295D9610" w14:textId="0874A07B" w:rsidR="00A65BEC" w:rsidRPr="001A49DA" w:rsidRDefault="005B57B9" w:rsidP="00B7760B">
      <w:pPr>
        <w:widowControl w:val="0"/>
        <w:numPr>
          <w:ilvl w:val="1"/>
          <w:numId w:val="1"/>
        </w:numPr>
        <w:spacing w:after="120"/>
        <w:ind w:left="720"/>
        <w:rPr>
          <w:i/>
          <w:iCs/>
          <w:color w:val="0066FF"/>
        </w:rPr>
      </w:pPr>
      <w:r>
        <w:t>By Week 4 of</w:t>
      </w:r>
      <w:r w:rsidR="00485EB7">
        <w:t xml:space="preserve"> the</w:t>
      </w:r>
      <w:r w:rsidRPr="00E03F37">
        <w:t xml:space="preserve"> </w:t>
      </w:r>
      <w:r w:rsidR="00A65BEC" w:rsidRPr="00E03F37">
        <w:t>MC2-01-C3</w:t>
      </w:r>
      <w:r w:rsidR="00485EB7">
        <w:t xml:space="preserve"> trial</w:t>
      </w:r>
      <w:r w:rsidR="00A65BEC" w:rsidRPr="00E03F37">
        <w:t>,</w:t>
      </w:r>
      <w:r w:rsidR="00A65BEC">
        <w:t xml:space="preserve"> only one incident of</w:t>
      </w:r>
      <w:r w:rsidR="00A65BEC" w:rsidRPr="00E03F37">
        <w:t xml:space="preserve"> </w:t>
      </w:r>
      <w:r w:rsidR="00A65BEC" w:rsidRPr="0089494E">
        <w:t>treatment</w:t>
      </w:r>
      <w:r w:rsidR="00A65BEC">
        <w:t xml:space="preserve">-related treatment </w:t>
      </w:r>
      <w:r w:rsidR="00A65BEC" w:rsidRPr="0089494E">
        <w:t xml:space="preserve">emergent adverse event (TEAE) </w:t>
      </w:r>
      <w:r w:rsidR="00A65BEC">
        <w:t>was reported in the CAL/BDP cream group,</w:t>
      </w:r>
      <w:r w:rsidR="00DE6F6B">
        <w:t xml:space="preserve"> </w:t>
      </w:r>
      <w:r w:rsidR="00DE6F6B" w:rsidRPr="0089494E">
        <w:t>due to application site folliculitis</w:t>
      </w:r>
      <w:r w:rsidR="00DE6F6B">
        <w:t>,</w:t>
      </w:r>
      <w:r w:rsidR="00B943F2">
        <w:t xml:space="preserve"> and </w:t>
      </w:r>
      <w:r w:rsidR="003F2A02">
        <w:t xml:space="preserve">three </w:t>
      </w:r>
      <w:r w:rsidR="00861BCF">
        <w:t>event</w:t>
      </w:r>
      <w:r w:rsidR="00B10995">
        <w:t xml:space="preserve">s of </w:t>
      </w:r>
      <w:r w:rsidR="00C92C5C">
        <w:t xml:space="preserve">treatment-related </w:t>
      </w:r>
      <w:r w:rsidR="32ABD245">
        <w:t>TEAE</w:t>
      </w:r>
      <w:r w:rsidR="3FBF32DF">
        <w:t>s</w:t>
      </w:r>
      <w:r w:rsidR="00C92C5C">
        <w:t xml:space="preserve"> </w:t>
      </w:r>
      <w:r w:rsidR="00577AA7" w:rsidRPr="00133207">
        <w:t>in the CAL/BDP ointment group</w:t>
      </w:r>
      <w:r w:rsidR="00886149">
        <w:t xml:space="preserve">, </w:t>
      </w:r>
      <w:r w:rsidR="00886149" w:rsidRPr="00133207">
        <w:t>due to cortisol deficiency, application site folliculitis and frequent urination</w:t>
      </w:r>
      <w:r w:rsidR="00A65BEC">
        <w:t xml:space="preserve">. </w:t>
      </w:r>
      <w:r w:rsidR="00A65BEC" w:rsidRPr="008E1DF5">
        <w:t xml:space="preserve">No serious </w:t>
      </w:r>
      <w:r w:rsidR="5B1C3AE4" w:rsidRPr="008E1DF5">
        <w:t>TEAE</w:t>
      </w:r>
      <w:r w:rsidR="4456DF8B" w:rsidRPr="008E1DF5">
        <w:t>s</w:t>
      </w:r>
      <w:r w:rsidR="00A65BEC" w:rsidRPr="008E1DF5">
        <w:t xml:space="preserve"> were reported in the CAL/BDP cream group during the trial</w:t>
      </w:r>
      <w:r w:rsidR="00AA32FA" w:rsidRPr="008E1DF5">
        <w:t>, as opposed to one serious TEAE</w:t>
      </w:r>
      <w:r w:rsidR="00A87A43">
        <w:t xml:space="preserve"> </w:t>
      </w:r>
      <w:r w:rsidR="00E6519D" w:rsidRPr="008E1DF5">
        <w:t>in the CAL/BDP ointment group</w:t>
      </w:r>
      <w:r w:rsidR="00142677">
        <w:t xml:space="preserve"> </w:t>
      </w:r>
      <w:r w:rsidR="00142677" w:rsidRPr="00300CA4">
        <w:t>(the nature of the serious TEAE was not specified in the MC2-01-C3 CSR)</w:t>
      </w:r>
      <w:r w:rsidR="00A65BEC" w:rsidRPr="00300CA4">
        <w:t xml:space="preserve">. </w:t>
      </w:r>
      <w:r w:rsidR="00577AA7">
        <w:t xml:space="preserve">After Week 4, </w:t>
      </w:r>
      <w:r w:rsidR="00577AA7" w:rsidRPr="00E03F37">
        <w:t xml:space="preserve">the </w:t>
      </w:r>
      <w:r w:rsidR="00577AA7">
        <w:t xml:space="preserve">most common </w:t>
      </w:r>
      <w:r w:rsidR="00577AA7" w:rsidRPr="0089494E">
        <w:t>treatment</w:t>
      </w:r>
      <w:r w:rsidR="00577AA7">
        <w:t xml:space="preserve">-related </w:t>
      </w:r>
      <w:r w:rsidR="3BB5BC35">
        <w:t>TEAE</w:t>
      </w:r>
      <w:r w:rsidR="39F1EF0D">
        <w:t>s</w:t>
      </w:r>
      <w:r w:rsidR="00577AA7">
        <w:t xml:space="preserve"> associated with CAL/BDP cream were </w:t>
      </w:r>
      <w:r w:rsidR="00577AA7" w:rsidRPr="00E03F37">
        <w:t xml:space="preserve">HPA axis suppression (n=5), </w:t>
      </w:r>
      <w:proofErr w:type="spellStart"/>
      <w:r w:rsidR="00577AA7" w:rsidRPr="00E03F37">
        <w:t>hypercorticoidism</w:t>
      </w:r>
      <w:proofErr w:type="spellEnd"/>
      <w:r w:rsidR="00577AA7" w:rsidRPr="00E03F37">
        <w:t xml:space="preserve"> (n=1), application site rash (n=1), and application site pruritus (n=1).</w:t>
      </w:r>
      <w:r w:rsidR="00604459" w:rsidRPr="001A49DA">
        <w:rPr>
          <w:i/>
          <w:iCs/>
        </w:rPr>
        <w:t xml:space="preserve"> </w:t>
      </w:r>
      <w:r w:rsidR="00604459" w:rsidRPr="00133207">
        <w:t xml:space="preserve">A total of six patients </w:t>
      </w:r>
      <w:r w:rsidR="00D359AF" w:rsidRPr="00133207">
        <w:t xml:space="preserve">(18.8%) </w:t>
      </w:r>
      <w:r w:rsidR="00604459" w:rsidRPr="00133207">
        <w:t xml:space="preserve">had CAL/BDP cream discontinued due to AEs such as HPA suppression (n=5) and steroid-induced folliculitis and </w:t>
      </w:r>
      <w:proofErr w:type="spellStart"/>
      <w:r w:rsidR="00604459" w:rsidRPr="00133207">
        <w:t>pruritis</w:t>
      </w:r>
      <w:proofErr w:type="spellEnd"/>
      <w:r w:rsidR="00604459" w:rsidRPr="00133207">
        <w:t xml:space="preserve"> (n=1), post Week 4.</w:t>
      </w:r>
    </w:p>
    <w:p w14:paraId="23103A45" w14:textId="46706393" w:rsidR="00475C24" w:rsidRPr="003555D3" w:rsidRDefault="003555D3" w:rsidP="000A19DC">
      <w:pPr>
        <w:keepNext/>
        <w:keepLines/>
        <w:spacing w:after="240"/>
        <w:rPr>
          <w:b/>
          <w:bCs/>
        </w:rPr>
      </w:pPr>
      <w:r w:rsidRPr="00537033">
        <w:rPr>
          <w:b/>
          <w:bCs/>
          <w:u w:val="single"/>
        </w:rPr>
        <w:lastRenderedPageBreak/>
        <w:t>CAL/BDP cream versus gel</w:t>
      </w:r>
    </w:p>
    <w:p w14:paraId="51E6FD81" w14:textId="75718730" w:rsidR="00E03F37" w:rsidRDefault="00E03F37" w:rsidP="00DE2991">
      <w:pPr>
        <w:pStyle w:val="Caption"/>
      </w:pPr>
      <w:bookmarkStart w:id="47" w:name="_Ref195274150"/>
      <w:r>
        <w:t xml:space="preserve">Table </w:t>
      </w:r>
      <w:r w:rsidR="00AA3192">
        <w:fldChar w:fldCharType="begin" w:fldLock="1"/>
      </w:r>
      <w:r w:rsidR="00AA3192">
        <w:instrText xml:space="preserve"> SEQ Table \* ARABIC </w:instrText>
      </w:r>
      <w:r w:rsidR="00AA3192">
        <w:fldChar w:fldCharType="separate"/>
      </w:r>
      <w:r w:rsidR="00AA3192">
        <w:rPr>
          <w:noProof/>
        </w:rPr>
        <w:t>12</w:t>
      </w:r>
      <w:r w:rsidR="00AA3192">
        <w:rPr>
          <w:noProof/>
        </w:rPr>
        <w:fldChar w:fldCharType="end"/>
      </w:r>
      <w:bookmarkEnd w:id="47"/>
      <w:r>
        <w:t xml:space="preserve">: </w:t>
      </w:r>
      <w:r w:rsidRPr="00E03F37">
        <w:t>Summary of key adverse events in the 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ummary of key adverse events in the randomised trials"/>
      </w:tblPr>
      <w:tblGrid>
        <w:gridCol w:w="2689"/>
        <w:gridCol w:w="1054"/>
        <w:gridCol w:w="1055"/>
        <w:gridCol w:w="1055"/>
        <w:gridCol w:w="1582"/>
        <w:gridCol w:w="1582"/>
      </w:tblGrid>
      <w:tr w:rsidR="00E03F37" w14:paraId="11447E43" w14:textId="77777777" w:rsidTr="002675DC">
        <w:trPr>
          <w:trHeight w:val="334"/>
        </w:trPr>
        <w:tc>
          <w:tcPr>
            <w:tcW w:w="2689" w:type="dxa"/>
            <w:vAlign w:val="center"/>
          </w:tcPr>
          <w:p w14:paraId="0FA97A6A" w14:textId="77777777" w:rsidR="00E03F37" w:rsidRDefault="00E03F37" w:rsidP="00DE2991">
            <w:pPr>
              <w:pStyle w:val="TableText0"/>
              <w:keepLines/>
              <w:ind w:left="170"/>
            </w:pPr>
          </w:p>
        </w:tc>
        <w:tc>
          <w:tcPr>
            <w:tcW w:w="1054" w:type="dxa"/>
            <w:vAlign w:val="center"/>
          </w:tcPr>
          <w:p w14:paraId="73C9EB34" w14:textId="77777777" w:rsidR="00E03F37" w:rsidRDefault="00E03F37" w:rsidP="00DE2991">
            <w:pPr>
              <w:pStyle w:val="In-tableHeading"/>
              <w:keepLines/>
              <w:jc w:val="center"/>
            </w:pPr>
            <w:r>
              <w:t xml:space="preserve">CAL/BDP cream </w:t>
            </w:r>
          </w:p>
          <w:p w14:paraId="24511AA9" w14:textId="77777777" w:rsidR="00E03F37" w:rsidRDefault="00E03F37" w:rsidP="00DE2991">
            <w:pPr>
              <w:pStyle w:val="TableText0"/>
              <w:keepLines/>
              <w:jc w:val="center"/>
            </w:pPr>
            <w:r w:rsidRPr="00857C92">
              <w:rPr>
                <w:b/>
                <w:bCs w:val="0"/>
              </w:rPr>
              <w:t>n/N (%)</w:t>
            </w:r>
          </w:p>
        </w:tc>
        <w:tc>
          <w:tcPr>
            <w:tcW w:w="1055" w:type="dxa"/>
            <w:vAlign w:val="center"/>
          </w:tcPr>
          <w:p w14:paraId="5678871B" w14:textId="77777777" w:rsidR="00E03F37" w:rsidRPr="00653774" w:rsidRDefault="00E03F37" w:rsidP="00DE2991">
            <w:pPr>
              <w:pStyle w:val="In-tableHeading"/>
              <w:keepLines/>
              <w:jc w:val="center"/>
              <w:rPr>
                <w:lang w:val="es-CO"/>
              </w:rPr>
            </w:pPr>
            <w:r w:rsidRPr="00653774">
              <w:rPr>
                <w:lang w:val="es-CO"/>
              </w:rPr>
              <w:t>CAL/BDP gel</w:t>
            </w:r>
          </w:p>
          <w:p w14:paraId="68E3FC1C" w14:textId="77777777" w:rsidR="00E03F37" w:rsidRPr="00653774" w:rsidRDefault="00E03F37" w:rsidP="00DE2991">
            <w:pPr>
              <w:pStyle w:val="TableText0"/>
              <w:keepLines/>
              <w:jc w:val="center"/>
              <w:rPr>
                <w:b/>
                <w:lang w:val="es-CO"/>
              </w:rPr>
            </w:pPr>
            <w:r w:rsidRPr="00653774">
              <w:rPr>
                <w:b/>
                <w:lang w:val="es-CO"/>
              </w:rPr>
              <w:t>n/N (%)</w:t>
            </w:r>
          </w:p>
        </w:tc>
        <w:tc>
          <w:tcPr>
            <w:tcW w:w="1055" w:type="dxa"/>
            <w:vAlign w:val="center"/>
          </w:tcPr>
          <w:p w14:paraId="0D4BAE31" w14:textId="77777777" w:rsidR="00E03F37" w:rsidRDefault="00E03F37" w:rsidP="00DE2991">
            <w:pPr>
              <w:pStyle w:val="In-tableHeading"/>
              <w:keepLines/>
              <w:jc w:val="center"/>
            </w:pPr>
            <w:r>
              <w:t>Vehicle</w:t>
            </w:r>
          </w:p>
          <w:p w14:paraId="2B66567C" w14:textId="77777777" w:rsidR="00E03F37" w:rsidRPr="00856AA5" w:rsidRDefault="00E03F37" w:rsidP="00DE2991">
            <w:pPr>
              <w:pStyle w:val="TableText0"/>
              <w:keepLines/>
              <w:jc w:val="center"/>
              <w:rPr>
                <w:b/>
              </w:rPr>
            </w:pPr>
            <w:r w:rsidRPr="00856AA5">
              <w:rPr>
                <w:b/>
              </w:rPr>
              <w:t>n/N (%)</w:t>
            </w:r>
          </w:p>
        </w:tc>
        <w:tc>
          <w:tcPr>
            <w:tcW w:w="1582" w:type="dxa"/>
            <w:vAlign w:val="center"/>
          </w:tcPr>
          <w:p w14:paraId="10108DDE" w14:textId="77777777" w:rsidR="00E03F37" w:rsidRPr="00F46E9D" w:rsidRDefault="00E03F37" w:rsidP="00DE2991">
            <w:pPr>
              <w:pStyle w:val="In-tableHeading"/>
              <w:keepLines/>
              <w:jc w:val="center"/>
            </w:pPr>
            <w:r w:rsidRPr="00F46E9D">
              <w:t>RR (95% CI)</w:t>
            </w:r>
          </w:p>
          <w:p w14:paraId="661F47AD" w14:textId="5AF7B3B1" w:rsidR="00E03F37" w:rsidRPr="00F46E9D" w:rsidRDefault="00E03F37" w:rsidP="00DE2991">
            <w:pPr>
              <w:pStyle w:val="TableText0"/>
              <w:keepLines/>
              <w:jc w:val="center"/>
              <w:rPr>
                <w:b/>
              </w:rPr>
            </w:pPr>
            <w:r w:rsidRPr="00F46E9D">
              <w:rPr>
                <w:b/>
              </w:rPr>
              <w:t>CAL/BDP cream vs</w:t>
            </w:r>
            <w:r w:rsidR="007E63B9" w:rsidRPr="00F46E9D">
              <w:rPr>
                <w:b/>
              </w:rPr>
              <w:t>.</w:t>
            </w:r>
            <w:r w:rsidRPr="00F46E9D">
              <w:rPr>
                <w:b/>
              </w:rPr>
              <w:t xml:space="preserve"> gel</w:t>
            </w:r>
            <w:r w:rsidR="00F46E9D" w:rsidRPr="00F46E9D">
              <w:rPr>
                <w:b/>
              </w:rPr>
              <w:t>*</w:t>
            </w:r>
          </w:p>
        </w:tc>
        <w:tc>
          <w:tcPr>
            <w:tcW w:w="1582" w:type="dxa"/>
            <w:vAlign w:val="center"/>
          </w:tcPr>
          <w:p w14:paraId="590DA35E" w14:textId="77777777" w:rsidR="00E03F37" w:rsidRPr="00F46E9D" w:rsidRDefault="00E03F37" w:rsidP="00DE2991">
            <w:pPr>
              <w:pStyle w:val="In-tableHeading"/>
              <w:keepLines/>
              <w:jc w:val="center"/>
            </w:pPr>
            <w:r w:rsidRPr="00F46E9D">
              <w:t>RD (95% CI)</w:t>
            </w:r>
          </w:p>
          <w:p w14:paraId="7B414016" w14:textId="797FB8F8" w:rsidR="00E03F37" w:rsidRPr="00F46E9D" w:rsidRDefault="00E03F37" w:rsidP="00DE2991">
            <w:pPr>
              <w:pStyle w:val="TableText0"/>
              <w:keepLines/>
              <w:jc w:val="center"/>
              <w:rPr>
                <w:b/>
              </w:rPr>
            </w:pPr>
            <w:r w:rsidRPr="00F46E9D">
              <w:rPr>
                <w:b/>
              </w:rPr>
              <w:t>CAL/BDP cream vs</w:t>
            </w:r>
            <w:r w:rsidR="007E63B9" w:rsidRPr="00F46E9D">
              <w:rPr>
                <w:b/>
              </w:rPr>
              <w:t>.</w:t>
            </w:r>
            <w:r w:rsidRPr="00F46E9D">
              <w:rPr>
                <w:b/>
              </w:rPr>
              <w:t xml:space="preserve"> gel</w:t>
            </w:r>
            <w:r w:rsidR="00F46E9D" w:rsidRPr="00F46E9D">
              <w:rPr>
                <w:b/>
              </w:rPr>
              <w:t>*</w:t>
            </w:r>
          </w:p>
        </w:tc>
      </w:tr>
      <w:tr w:rsidR="00E03F37" w14:paraId="744F7A56" w14:textId="77777777" w:rsidTr="002675DC">
        <w:trPr>
          <w:trHeight w:val="249"/>
        </w:trPr>
        <w:tc>
          <w:tcPr>
            <w:tcW w:w="9017" w:type="dxa"/>
            <w:gridSpan w:val="6"/>
            <w:vAlign w:val="center"/>
          </w:tcPr>
          <w:p w14:paraId="0BAC83F8" w14:textId="77777777" w:rsidR="00E03F37" w:rsidRPr="00F46E9D" w:rsidRDefault="00E03F37" w:rsidP="002675DC">
            <w:pPr>
              <w:pStyle w:val="TableText0"/>
            </w:pPr>
            <w:r w:rsidRPr="00F46E9D">
              <w:rPr>
                <w:b/>
                <w:bCs w:val="0"/>
              </w:rPr>
              <w:t>MC2-01-C2</w:t>
            </w:r>
          </w:p>
        </w:tc>
      </w:tr>
      <w:tr w:rsidR="00E03F37" w14:paraId="708B1171" w14:textId="77777777" w:rsidTr="002675DC">
        <w:trPr>
          <w:trHeight w:val="334"/>
        </w:trPr>
        <w:tc>
          <w:tcPr>
            <w:tcW w:w="2689" w:type="dxa"/>
            <w:vAlign w:val="center"/>
          </w:tcPr>
          <w:p w14:paraId="28152CC1" w14:textId="77777777" w:rsidR="00E03F37" w:rsidRDefault="00E03F37" w:rsidP="00856AA5">
            <w:pPr>
              <w:pStyle w:val="TableText0"/>
            </w:pPr>
            <w:proofErr w:type="spellStart"/>
            <w:r>
              <w:t>TEAE</w:t>
            </w:r>
            <w:r>
              <w:rPr>
                <w:vertAlign w:val="superscript"/>
              </w:rPr>
              <w:t>a</w:t>
            </w:r>
            <w:proofErr w:type="spellEnd"/>
            <w:r>
              <w:t>, n (%)</w:t>
            </w:r>
          </w:p>
        </w:tc>
        <w:tc>
          <w:tcPr>
            <w:tcW w:w="1054" w:type="dxa"/>
            <w:vAlign w:val="center"/>
          </w:tcPr>
          <w:p w14:paraId="4F62B729" w14:textId="77777777" w:rsidR="00E03F37" w:rsidRDefault="00E03F37" w:rsidP="002675DC">
            <w:pPr>
              <w:pStyle w:val="TableText0"/>
              <w:jc w:val="center"/>
            </w:pPr>
            <w:r>
              <w:t>90 / 342 (26.3%)</w:t>
            </w:r>
          </w:p>
        </w:tc>
        <w:tc>
          <w:tcPr>
            <w:tcW w:w="1055" w:type="dxa"/>
            <w:vAlign w:val="center"/>
          </w:tcPr>
          <w:p w14:paraId="191991F0" w14:textId="77777777" w:rsidR="00E03F37" w:rsidRDefault="00E03F37" w:rsidP="002675DC">
            <w:pPr>
              <w:pStyle w:val="TableText0"/>
              <w:jc w:val="center"/>
            </w:pPr>
            <w:r>
              <w:t>76 / 337 (22.6%)</w:t>
            </w:r>
          </w:p>
        </w:tc>
        <w:tc>
          <w:tcPr>
            <w:tcW w:w="1055" w:type="dxa"/>
            <w:vAlign w:val="center"/>
          </w:tcPr>
          <w:p w14:paraId="05006933" w14:textId="2C40A1DD" w:rsidR="00E03F37" w:rsidRDefault="00E03F37" w:rsidP="002675DC">
            <w:pPr>
              <w:pStyle w:val="TableText0"/>
              <w:jc w:val="center"/>
            </w:pPr>
            <w:r>
              <w:t>32 / 11</w:t>
            </w:r>
            <w:r w:rsidR="00AF0405">
              <w:t>5</w:t>
            </w:r>
            <w:r>
              <w:t xml:space="preserve"> (27.8%)</w:t>
            </w:r>
          </w:p>
        </w:tc>
        <w:tc>
          <w:tcPr>
            <w:tcW w:w="1582" w:type="dxa"/>
            <w:vAlign w:val="center"/>
          </w:tcPr>
          <w:p w14:paraId="7BD0882A" w14:textId="77777777" w:rsidR="00E03F37" w:rsidRPr="00F46E9D" w:rsidRDefault="00E03F37" w:rsidP="002675DC">
            <w:pPr>
              <w:pStyle w:val="TableText0"/>
              <w:jc w:val="center"/>
            </w:pPr>
            <w:r w:rsidRPr="00F46E9D">
              <w:t>1.2 (0.9,1.5)</w:t>
            </w:r>
          </w:p>
        </w:tc>
        <w:tc>
          <w:tcPr>
            <w:tcW w:w="1582" w:type="dxa"/>
            <w:vAlign w:val="center"/>
          </w:tcPr>
          <w:p w14:paraId="0A04ADC5" w14:textId="77777777" w:rsidR="00E03F37" w:rsidRPr="00F46E9D" w:rsidRDefault="00E03F37" w:rsidP="002675DC">
            <w:pPr>
              <w:pStyle w:val="TableText0"/>
              <w:jc w:val="center"/>
            </w:pPr>
            <w:r w:rsidRPr="00F46E9D">
              <w:t>0.04 (-0.03,0.1)</w:t>
            </w:r>
          </w:p>
        </w:tc>
      </w:tr>
      <w:tr w:rsidR="00E03F37" w14:paraId="6F02757F" w14:textId="77777777" w:rsidTr="002675DC">
        <w:trPr>
          <w:trHeight w:val="334"/>
        </w:trPr>
        <w:tc>
          <w:tcPr>
            <w:tcW w:w="2689" w:type="dxa"/>
            <w:vAlign w:val="center"/>
          </w:tcPr>
          <w:p w14:paraId="222902B4" w14:textId="77777777" w:rsidR="00E03F37" w:rsidRDefault="00E03F37" w:rsidP="00856AA5">
            <w:pPr>
              <w:pStyle w:val="TableText0"/>
            </w:pPr>
            <w:r>
              <w:t xml:space="preserve">Treatment-related </w:t>
            </w:r>
            <w:proofErr w:type="spellStart"/>
            <w:r>
              <w:t>TEAE</w:t>
            </w:r>
            <w:r>
              <w:rPr>
                <w:vertAlign w:val="superscript"/>
              </w:rPr>
              <w:t>a</w:t>
            </w:r>
            <w:proofErr w:type="spellEnd"/>
            <w:r>
              <w:t>, n (%)</w:t>
            </w:r>
          </w:p>
        </w:tc>
        <w:tc>
          <w:tcPr>
            <w:tcW w:w="1054" w:type="dxa"/>
            <w:vAlign w:val="center"/>
          </w:tcPr>
          <w:p w14:paraId="1A59878A" w14:textId="77777777" w:rsidR="00E03F37" w:rsidRDefault="00E03F37" w:rsidP="002675DC">
            <w:pPr>
              <w:pStyle w:val="TableText0"/>
              <w:jc w:val="center"/>
            </w:pPr>
            <w:r>
              <w:t>12 / 342 (3.5%)</w:t>
            </w:r>
          </w:p>
        </w:tc>
        <w:tc>
          <w:tcPr>
            <w:tcW w:w="1055" w:type="dxa"/>
            <w:vAlign w:val="center"/>
          </w:tcPr>
          <w:p w14:paraId="77B16BEE" w14:textId="77777777" w:rsidR="00E03F37" w:rsidRDefault="00E03F37" w:rsidP="002675DC">
            <w:pPr>
              <w:pStyle w:val="TableText0"/>
              <w:jc w:val="center"/>
            </w:pPr>
            <w:r>
              <w:t>11 / 337 (3.3%)</w:t>
            </w:r>
          </w:p>
        </w:tc>
        <w:tc>
          <w:tcPr>
            <w:tcW w:w="1055" w:type="dxa"/>
            <w:vAlign w:val="center"/>
          </w:tcPr>
          <w:p w14:paraId="6C868F81" w14:textId="77777777" w:rsidR="00E03F37" w:rsidRDefault="00E03F37" w:rsidP="002675DC">
            <w:pPr>
              <w:pStyle w:val="TableText0"/>
              <w:jc w:val="center"/>
            </w:pPr>
            <w:r>
              <w:t>5 / 115 (4.3%)</w:t>
            </w:r>
          </w:p>
        </w:tc>
        <w:tc>
          <w:tcPr>
            <w:tcW w:w="1582" w:type="dxa"/>
            <w:vAlign w:val="center"/>
          </w:tcPr>
          <w:p w14:paraId="013C466C" w14:textId="77777777" w:rsidR="00E03F37" w:rsidRPr="00F46E9D" w:rsidRDefault="00E03F37" w:rsidP="002675DC">
            <w:pPr>
              <w:pStyle w:val="TableText0"/>
              <w:jc w:val="center"/>
            </w:pPr>
            <w:r w:rsidRPr="00F46E9D">
              <w:t>1.1 (0.5,2.4)</w:t>
            </w:r>
          </w:p>
        </w:tc>
        <w:tc>
          <w:tcPr>
            <w:tcW w:w="1582" w:type="dxa"/>
            <w:vAlign w:val="center"/>
          </w:tcPr>
          <w:p w14:paraId="006648C6" w14:textId="77777777" w:rsidR="00E03F37" w:rsidRPr="00F46E9D" w:rsidRDefault="00E03F37" w:rsidP="002675DC">
            <w:pPr>
              <w:pStyle w:val="TableText0"/>
              <w:jc w:val="center"/>
            </w:pPr>
            <w:r w:rsidRPr="00F46E9D">
              <w:t>0.0 (-0.03,0.03)</w:t>
            </w:r>
          </w:p>
        </w:tc>
      </w:tr>
      <w:tr w:rsidR="00E03F37" w14:paraId="51426589" w14:textId="77777777" w:rsidTr="002675DC">
        <w:trPr>
          <w:trHeight w:val="334"/>
        </w:trPr>
        <w:tc>
          <w:tcPr>
            <w:tcW w:w="2689" w:type="dxa"/>
            <w:vAlign w:val="center"/>
          </w:tcPr>
          <w:p w14:paraId="4C627CDC" w14:textId="77777777" w:rsidR="00E03F37" w:rsidRDefault="00E03F37" w:rsidP="00856AA5">
            <w:pPr>
              <w:pStyle w:val="TableText0"/>
            </w:pPr>
            <w:r>
              <w:t xml:space="preserve">Serious </w:t>
            </w:r>
            <w:proofErr w:type="spellStart"/>
            <w:r>
              <w:t>AE</w:t>
            </w:r>
            <w:r>
              <w:rPr>
                <w:vertAlign w:val="superscript"/>
              </w:rPr>
              <w:t>a</w:t>
            </w:r>
            <w:proofErr w:type="spellEnd"/>
            <w:r>
              <w:t>, n (%)</w:t>
            </w:r>
          </w:p>
        </w:tc>
        <w:tc>
          <w:tcPr>
            <w:tcW w:w="1054" w:type="dxa"/>
            <w:vAlign w:val="center"/>
          </w:tcPr>
          <w:p w14:paraId="795CF1B0" w14:textId="77777777" w:rsidR="00E03F37" w:rsidRDefault="00E03F37" w:rsidP="002675DC">
            <w:pPr>
              <w:pStyle w:val="TableText0"/>
              <w:jc w:val="center"/>
            </w:pPr>
            <w:r>
              <w:t>8 / 342 (2.3%)</w:t>
            </w:r>
          </w:p>
        </w:tc>
        <w:tc>
          <w:tcPr>
            <w:tcW w:w="1055" w:type="dxa"/>
            <w:vAlign w:val="center"/>
          </w:tcPr>
          <w:p w14:paraId="7DB0F11C" w14:textId="77777777" w:rsidR="00E03F37" w:rsidRDefault="00E03F37" w:rsidP="002675DC">
            <w:pPr>
              <w:pStyle w:val="TableText0"/>
              <w:jc w:val="center"/>
            </w:pPr>
            <w:r>
              <w:t>9 / 337 (2.7%)</w:t>
            </w:r>
          </w:p>
        </w:tc>
        <w:tc>
          <w:tcPr>
            <w:tcW w:w="1055" w:type="dxa"/>
            <w:vAlign w:val="center"/>
          </w:tcPr>
          <w:p w14:paraId="081EA8E6" w14:textId="77777777" w:rsidR="00E03F37" w:rsidRDefault="00E03F37" w:rsidP="002675DC">
            <w:pPr>
              <w:pStyle w:val="TableText0"/>
              <w:jc w:val="center"/>
            </w:pPr>
            <w:r>
              <w:t>4 / 115 (3.5%)</w:t>
            </w:r>
          </w:p>
        </w:tc>
        <w:tc>
          <w:tcPr>
            <w:tcW w:w="1582" w:type="dxa"/>
            <w:vAlign w:val="center"/>
          </w:tcPr>
          <w:p w14:paraId="1B423E6C" w14:textId="77777777" w:rsidR="00E03F37" w:rsidRPr="00F46E9D" w:rsidRDefault="00E03F37" w:rsidP="002675DC">
            <w:pPr>
              <w:pStyle w:val="TableText0"/>
              <w:jc w:val="center"/>
            </w:pPr>
            <w:r w:rsidRPr="00F46E9D">
              <w:t>0.9 (0.3,2.2)</w:t>
            </w:r>
          </w:p>
        </w:tc>
        <w:tc>
          <w:tcPr>
            <w:tcW w:w="1582" w:type="dxa"/>
            <w:vAlign w:val="center"/>
          </w:tcPr>
          <w:p w14:paraId="576177EB" w14:textId="77777777" w:rsidR="00E03F37" w:rsidRPr="00F46E9D" w:rsidRDefault="00E03F37" w:rsidP="002675DC">
            <w:pPr>
              <w:pStyle w:val="TableText0"/>
              <w:jc w:val="center"/>
            </w:pPr>
            <w:r w:rsidRPr="00F46E9D">
              <w:t>-0.0 (-0.03,0.02)</w:t>
            </w:r>
          </w:p>
        </w:tc>
      </w:tr>
      <w:tr w:rsidR="00E03F37" w14:paraId="38C512FF" w14:textId="77777777" w:rsidTr="002675DC">
        <w:trPr>
          <w:trHeight w:val="334"/>
        </w:trPr>
        <w:tc>
          <w:tcPr>
            <w:tcW w:w="2689" w:type="dxa"/>
            <w:vAlign w:val="center"/>
          </w:tcPr>
          <w:p w14:paraId="7B3E1993" w14:textId="77777777" w:rsidR="00E03F37" w:rsidRDefault="00E03F37" w:rsidP="00856AA5">
            <w:pPr>
              <w:pStyle w:val="TableText0"/>
            </w:pPr>
            <w:r>
              <w:t xml:space="preserve">Serious </w:t>
            </w:r>
            <w:proofErr w:type="spellStart"/>
            <w:r>
              <w:t>TEAE</w:t>
            </w:r>
            <w:r>
              <w:rPr>
                <w:vertAlign w:val="superscript"/>
              </w:rPr>
              <w:t>a</w:t>
            </w:r>
            <w:proofErr w:type="spellEnd"/>
            <w:r>
              <w:t>, n (%)</w:t>
            </w:r>
          </w:p>
        </w:tc>
        <w:tc>
          <w:tcPr>
            <w:tcW w:w="1054" w:type="dxa"/>
            <w:vAlign w:val="center"/>
          </w:tcPr>
          <w:p w14:paraId="18681052" w14:textId="77777777" w:rsidR="00E03F37" w:rsidRDefault="00E03F37" w:rsidP="002675DC">
            <w:pPr>
              <w:pStyle w:val="TableText0"/>
              <w:jc w:val="center"/>
            </w:pPr>
            <w:r>
              <w:t>8 / 342 (2.3%)</w:t>
            </w:r>
          </w:p>
        </w:tc>
        <w:tc>
          <w:tcPr>
            <w:tcW w:w="1055" w:type="dxa"/>
            <w:vAlign w:val="center"/>
          </w:tcPr>
          <w:p w14:paraId="6B46CD43" w14:textId="77777777" w:rsidR="00E03F37" w:rsidRDefault="00E03F37" w:rsidP="002675DC">
            <w:pPr>
              <w:pStyle w:val="TableText0"/>
              <w:jc w:val="center"/>
            </w:pPr>
            <w:r>
              <w:t>9 / 337 (2.7%)</w:t>
            </w:r>
          </w:p>
        </w:tc>
        <w:tc>
          <w:tcPr>
            <w:tcW w:w="1055" w:type="dxa"/>
            <w:vAlign w:val="center"/>
          </w:tcPr>
          <w:p w14:paraId="163D7B61" w14:textId="77777777" w:rsidR="00E03F37" w:rsidRDefault="00E03F37" w:rsidP="002675DC">
            <w:pPr>
              <w:pStyle w:val="TableText0"/>
              <w:jc w:val="center"/>
            </w:pPr>
            <w:r>
              <w:t>4 / 115 (3.5%)</w:t>
            </w:r>
          </w:p>
        </w:tc>
        <w:tc>
          <w:tcPr>
            <w:tcW w:w="1582" w:type="dxa"/>
            <w:vAlign w:val="center"/>
          </w:tcPr>
          <w:p w14:paraId="4FB2EB6A" w14:textId="77777777" w:rsidR="00E03F37" w:rsidRPr="00F46E9D" w:rsidRDefault="00E03F37" w:rsidP="002675DC">
            <w:pPr>
              <w:pStyle w:val="TableText0"/>
              <w:jc w:val="center"/>
            </w:pPr>
            <w:r w:rsidRPr="00F46E9D">
              <w:t>0.9 (0.3,2.2)</w:t>
            </w:r>
          </w:p>
        </w:tc>
        <w:tc>
          <w:tcPr>
            <w:tcW w:w="1582" w:type="dxa"/>
            <w:vAlign w:val="center"/>
          </w:tcPr>
          <w:p w14:paraId="1DFE1DAC" w14:textId="77777777" w:rsidR="00E03F37" w:rsidRPr="00F46E9D" w:rsidRDefault="00E03F37" w:rsidP="002675DC">
            <w:pPr>
              <w:pStyle w:val="TableText0"/>
              <w:jc w:val="center"/>
            </w:pPr>
            <w:r w:rsidRPr="00F46E9D">
              <w:t>-0.0 (-0.03,0.02)</w:t>
            </w:r>
          </w:p>
        </w:tc>
      </w:tr>
      <w:tr w:rsidR="00E03F37" w14:paraId="74BEBA7F" w14:textId="77777777" w:rsidTr="002675DC">
        <w:trPr>
          <w:trHeight w:val="334"/>
        </w:trPr>
        <w:tc>
          <w:tcPr>
            <w:tcW w:w="2689" w:type="dxa"/>
            <w:vAlign w:val="center"/>
          </w:tcPr>
          <w:p w14:paraId="7B768D5C" w14:textId="77777777" w:rsidR="00E03F37" w:rsidRDefault="00E03F37" w:rsidP="00856AA5">
            <w:pPr>
              <w:pStyle w:val="TableText0"/>
            </w:pPr>
            <w:r>
              <w:t xml:space="preserve">AEs leading to study </w:t>
            </w:r>
            <w:proofErr w:type="spellStart"/>
            <w:r>
              <w:t>discontinuation</w:t>
            </w:r>
            <w:r>
              <w:rPr>
                <w:vertAlign w:val="superscript"/>
              </w:rPr>
              <w:t>a</w:t>
            </w:r>
            <w:proofErr w:type="spellEnd"/>
            <w:r>
              <w:t>, n (%)</w:t>
            </w:r>
          </w:p>
        </w:tc>
        <w:tc>
          <w:tcPr>
            <w:tcW w:w="1054" w:type="dxa"/>
            <w:vAlign w:val="center"/>
          </w:tcPr>
          <w:p w14:paraId="0E1A02A1" w14:textId="77777777" w:rsidR="00E03F37" w:rsidRDefault="00E03F37" w:rsidP="002675DC">
            <w:pPr>
              <w:pStyle w:val="TableText0"/>
              <w:jc w:val="center"/>
            </w:pPr>
            <w:r>
              <w:t>2 / 342 (0.6%)</w:t>
            </w:r>
          </w:p>
        </w:tc>
        <w:tc>
          <w:tcPr>
            <w:tcW w:w="1055" w:type="dxa"/>
            <w:vAlign w:val="center"/>
          </w:tcPr>
          <w:p w14:paraId="16E385E0" w14:textId="77777777" w:rsidR="00E03F37" w:rsidRDefault="00E03F37" w:rsidP="002675DC">
            <w:pPr>
              <w:pStyle w:val="TableText0"/>
              <w:jc w:val="center"/>
            </w:pPr>
            <w:r>
              <w:t>3 / 337 (0.9%)</w:t>
            </w:r>
          </w:p>
        </w:tc>
        <w:tc>
          <w:tcPr>
            <w:tcW w:w="1055" w:type="dxa"/>
            <w:vAlign w:val="center"/>
          </w:tcPr>
          <w:p w14:paraId="31939C5F" w14:textId="77777777" w:rsidR="00E03F37" w:rsidRDefault="00E03F37" w:rsidP="002675DC">
            <w:pPr>
              <w:pStyle w:val="TableText0"/>
              <w:jc w:val="center"/>
            </w:pPr>
            <w:r>
              <w:t>4 / 115 (3.5%)</w:t>
            </w:r>
          </w:p>
        </w:tc>
        <w:tc>
          <w:tcPr>
            <w:tcW w:w="1582" w:type="dxa"/>
            <w:vAlign w:val="center"/>
          </w:tcPr>
          <w:p w14:paraId="06E2B29F" w14:textId="77777777" w:rsidR="00E03F37" w:rsidRPr="00F46E9D" w:rsidRDefault="00E03F37" w:rsidP="002675DC">
            <w:pPr>
              <w:pStyle w:val="TableText0"/>
              <w:jc w:val="center"/>
            </w:pPr>
            <w:r w:rsidRPr="00F46E9D">
              <w:t>0.7 (0.1,3.9)</w:t>
            </w:r>
          </w:p>
        </w:tc>
        <w:tc>
          <w:tcPr>
            <w:tcW w:w="1582" w:type="dxa"/>
            <w:vAlign w:val="center"/>
          </w:tcPr>
          <w:p w14:paraId="41EB2387" w14:textId="77777777" w:rsidR="00E03F37" w:rsidRPr="00F46E9D" w:rsidRDefault="00E03F37" w:rsidP="002675DC">
            <w:pPr>
              <w:pStyle w:val="TableText0"/>
              <w:jc w:val="center"/>
            </w:pPr>
            <w:r w:rsidRPr="00F46E9D">
              <w:t>-0.0 (-0.02,0.01)</w:t>
            </w:r>
          </w:p>
        </w:tc>
      </w:tr>
      <w:tr w:rsidR="00E03F37" w14:paraId="73F684D5" w14:textId="77777777" w:rsidTr="002675DC">
        <w:trPr>
          <w:trHeight w:val="249"/>
        </w:trPr>
        <w:tc>
          <w:tcPr>
            <w:tcW w:w="9017" w:type="dxa"/>
            <w:gridSpan w:val="6"/>
            <w:vAlign w:val="center"/>
          </w:tcPr>
          <w:p w14:paraId="54058CC7" w14:textId="77777777" w:rsidR="00E03F37" w:rsidRPr="00F46E9D" w:rsidRDefault="00E03F37" w:rsidP="002675DC">
            <w:pPr>
              <w:pStyle w:val="TableText0"/>
            </w:pPr>
            <w:r w:rsidRPr="00F46E9D">
              <w:rPr>
                <w:b/>
                <w:bCs w:val="0"/>
              </w:rPr>
              <w:t>MC2-01-C7</w:t>
            </w:r>
          </w:p>
        </w:tc>
      </w:tr>
      <w:tr w:rsidR="00E03F37" w14:paraId="0C8FED29" w14:textId="77777777" w:rsidTr="002675DC">
        <w:trPr>
          <w:trHeight w:val="334"/>
        </w:trPr>
        <w:tc>
          <w:tcPr>
            <w:tcW w:w="2689" w:type="dxa"/>
            <w:vAlign w:val="center"/>
          </w:tcPr>
          <w:p w14:paraId="5352D7B7" w14:textId="77777777" w:rsidR="00E03F37" w:rsidRDefault="00E03F37" w:rsidP="00856AA5">
            <w:pPr>
              <w:pStyle w:val="TableText0"/>
            </w:pPr>
            <w:proofErr w:type="spellStart"/>
            <w:r>
              <w:t>TEAE</w:t>
            </w:r>
            <w:r>
              <w:rPr>
                <w:vertAlign w:val="superscript"/>
              </w:rPr>
              <w:t>b</w:t>
            </w:r>
            <w:proofErr w:type="spellEnd"/>
            <w:r>
              <w:t>, n (%)</w:t>
            </w:r>
          </w:p>
        </w:tc>
        <w:tc>
          <w:tcPr>
            <w:tcW w:w="1054" w:type="dxa"/>
            <w:vAlign w:val="center"/>
          </w:tcPr>
          <w:p w14:paraId="2C2A5688" w14:textId="77777777" w:rsidR="00E03F37" w:rsidRDefault="00E03F37" w:rsidP="002675DC">
            <w:pPr>
              <w:pStyle w:val="TableText0"/>
              <w:jc w:val="center"/>
            </w:pPr>
            <w:r w:rsidRPr="00D724E7">
              <w:t>58</w:t>
            </w:r>
            <w:r>
              <w:t xml:space="preserve"> / 213 </w:t>
            </w:r>
            <w:r w:rsidRPr="00D724E7">
              <w:t>(27.2</w:t>
            </w:r>
            <w:r>
              <w:t>%</w:t>
            </w:r>
            <w:r w:rsidRPr="00D724E7">
              <w:t>)</w:t>
            </w:r>
          </w:p>
        </w:tc>
        <w:tc>
          <w:tcPr>
            <w:tcW w:w="1055" w:type="dxa"/>
            <w:vAlign w:val="center"/>
          </w:tcPr>
          <w:p w14:paraId="6F466B15" w14:textId="77777777" w:rsidR="00E03F37" w:rsidRDefault="00E03F37" w:rsidP="002675DC">
            <w:pPr>
              <w:pStyle w:val="TableText0"/>
              <w:jc w:val="center"/>
            </w:pPr>
            <w:r w:rsidRPr="00D724E7">
              <w:t>46</w:t>
            </w:r>
            <w:r>
              <w:t xml:space="preserve"> / 209 </w:t>
            </w:r>
            <w:r w:rsidRPr="00D724E7">
              <w:t>(22.0</w:t>
            </w:r>
            <w:r>
              <w:t>%</w:t>
            </w:r>
            <w:r w:rsidRPr="00D724E7">
              <w:t>)</w:t>
            </w:r>
          </w:p>
        </w:tc>
        <w:tc>
          <w:tcPr>
            <w:tcW w:w="1055" w:type="dxa"/>
            <w:vAlign w:val="center"/>
          </w:tcPr>
          <w:p w14:paraId="7B86EFFF" w14:textId="77777777" w:rsidR="00E03F37" w:rsidRDefault="00E03F37" w:rsidP="002675DC">
            <w:pPr>
              <w:pStyle w:val="TableText0"/>
              <w:jc w:val="center"/>
            </w:pPr>
            <w:r w:rsidRPr="00D724E7">
              <w:t>17</w:t>
            </w:r>
            <w:r>
              <w:t xml:space="preserve"> / 67</w:t>
            </w:r>
            <w:r w:rsidRPr="00D724E7">
              <w:t xml:space="preserve"> (25.4</w:t>
            </w:r>
            <w:r>
              <w:t>%</w:t>
            </w:r>
            <w:r w:rsidRPr="00D724E7">
              <w:t>)</w:t>
            </w:r>
          </w:p>
        </w:tc>
        <w:tc>
          <w:tcPr>
            <w:tcW w:w="1582" w:type="dxa"/>
            <w:vAlign w:val="center"/>
          </w:tcPr>
          <w:p w14:paraId="02B21515" w14:textId="77777777" w:rsidR="00E03F37" w:rsidRPr="00F46E9D" w:rsidRDefault="00E03F37" w:rsidP="002675DC">
            <w:pPr>
              <w:pStyle w:val="TableText0"/>
              <w:jc w:val="center"/>
            </w:pPr>
            <w:r w:rsidRPr="00F46E9D">
              <w:t>1.2 (0.9,1.7)</w:t>
            </w:r>
          </w:p>
        </w:tc>
        <w:tc>
          <w:tcPr>
            <w:tcW w:w="1582" w:type="dxa"/>
            <w:vAlign w:val="center"/>
          </w:tcPr>
          <w:p w14:paraId="04DF7B75" w14:textId="77777777" w:rsidR="00E03F37" w:rsidRPr="00F46E9D" w:rsidRDefault="00E03F37" w:rsidP="002675DC">
            <w:pPr>
              <w:pStyle w:val="TableText0"/>
              <w:jc w:val="center"/>
            </w:pPr>
            <w:r w:rsidRPr="00F46E9D">
              <w:t>0.05 (-0.03,0.1)</w:t>
            </w:r>
          </w:p>
        </w:tc>
      </w:tr>
      <w:tr w:rsidR="00E03F37" w14:paraId="1771E13B" w14:textId="77777777" w:rsidTr="002675DC">
        <w:trPr>
          <w:trHeight w:val="334"/>
        </w:trPr>
        <w:tc>
          <w:tcPr>
            <w:tcW w:w="2689" w:type="dxa"/>
            <w:vAlign w:val="center"/>
          </w:tcPr>
          <w:p w14:paraId="0889E41A" w14:textId="77777777" w:rsidR="00E03F37" w:rsidRDefault="00E03F37" w:rsidP="00856AA5">
            <w:pPr>
              <w:pStyle w:val="TableText0"/>
            </w:pPr>
            <w:r>
              <w:t xml:space="preserve">Treatment-related </w:t>
            </w:r>
            <w:proofErr w:type="spellStart"/>
            <w:r>
              <w:t>TEAE</w:t>
            </w:r>
            <w:r>
              <w:rPr>
                <w:vertAlign w:val="superscript"/>
              </w:rPr>
              <w:t>b</w:t>
            </w:r>
            <w:proofErr w:type="spellEnd"/>
            <w:r>
              <w:t>, n (%)</w:t>
            </w:r>
          </w:p>
        </w:tc>
        <w:tc>
          <w:tcPr>
            <w:tcW w:w="1054" w:type="dxa"/>
            <w:vAlign w:val="center"/>
          </w:tcPr>
          <w:p w14:paraId="2D007618" w14:textId="77777777" w:rsidR="00E03F37" w:rsidRDefault="00E03F37" w:rsidP="002675DC">
            <w:pPr>
              <w:pStyle w:val="TableText0"/>
              <w:jc w:val="center"/>
            </w:pPr>
            <w:r w:rsidRPr="00D724E7">
              <w:t>11</w:t>
            </w:r>
            <w:r>
              <w:t xml:space="preserve"> / 213</w:t>
            </w:r>
            <w:r w:rsidRPr="00D724E7">
              <w:t xml:space="preserve"> (5.2</w:t>
            </w:r>
            <w:r>
              <w:t>%</w:t>
            </w:r>
            <w:r w:rsidRPr="00D724E7">
              <w:t>)</w:t>
            </w:r>
          </w:p>
        </w:tc>
        <w:tc>
          <w:tcPr>
            <w:tcW w:w="1055" w:type="dxa"/>
            <w:vAlign w:val="center"/>
          </w:tcPr>
          <w:p w14:paraId="05BF2F95" w14:textId="77777777" w:rsidR="00E03F37" w:rsidRDefault="00E03F37" w:rsidP="002675DC">
            <w:pPr>
              <w:pStyle w:val="TableText0"/>
              <w:jc w:val="center"/>
            </w:pPr>
            <w:r w:rsidRPr="00D724E7">
              <w:t>3</w:t>
            </w:r>
            <w:r>
              <w:t xml:space="preserve"> / 209</w:t>
            </w:r>
            <w:r w:rsidRPr="00D724E7">
              <w:t xml:space="preserve"> (1.4</w:t>
            </w:r>
            <w:r>
              <w:t>%</w:t>
            </w:r>
            <w:r w:rsidRPr="00D724E7">
              <w:t>)</w:t>
            </w:r>
          </w:p>
        </w:tc>
        <w:tc>
          <w:tcPr>
            <w:tcW w:w="1055" w:type="dxa"/>
            <w:vAlign w:val="center"/>
          </w:tcPr>
          <w:p w14:paraId="12912C8E" w14:textId="77777777" w:rsidR="00E03F37" w:rsidRDefault="00E03F37" w:rsidP="002675DC">
            <w:pPr>
              <w:pStyle w:val="TableText0"/>
              <w:jc w:val="center"/>
            </w:pPr>
            <w:r w:rsidRPr="00D724E7">
              <w:t>7</w:t>
            </w:r>
            <w:r>
              <w:t xml:space="preserve"> / 67 </w:t>
            </w:r>
            <w:r w:rsidRPr="00D724E7">
              <w:t>(</w:t>
            </w:r>
            <w:r>
              <w:t>10</w:t>
            </w:r>
            <w:r w:rsidRPr="00D724E7">
              <w:t>.4</w:t>
            </w:r>
            <w:r>
              <w:t>%</w:t>
            </w:r>
            <w:r w:rsidRPr="00D724E7">
              <w:t>)</w:t>
            </w:r>
          </w:p>
        </w:tc>
        <w:tc>
          <w:tcPr>
            <w:tcW w:w="1582" w:type="dxa"/>
            <w:vAlign w:val="center"/>
          </w:tcPr>
          <w:p w14:paraId="6666EF01" w14:textId="77777777" w:rsidR="00E03F37" w:rsidRPr="00F46E9D" w:rsidRDefault="00E03F37" w:rsidP="002675DC">
            <w:pPr>
              <w:pStyle w:val="TableText0"/>
              <w:jc w:val="center"/>
            </w:pPr>
            <w:r w:rsidRPr="00F46E9D">
              <w:rPr>
                <w:b/>
                <w:bCs w:val="0"/>
              </w:rPr>
              <w:t>3.6 (1.0,12.7)</w:t>
            </w:r>
          </w:p>
        </w:tc>
        <w:tc>
          <w:tcPr>
            <w:tcW w:w="1582" w:type="dxa"/>
            <w:vAlign w:val="center"/>
          </w:tcPr>
          <w:p w14:paraId="15EBF064" w14:textId="77777777" w:rsidR="00E03F37" w:rsidRPr="00F46E9D" w:rsidRDefault="00E03F37" w:rsidP="002675DC">
            <w:pPr>
              <w:pStyle w:val="TableText0"/>
              <w:jc w:val="center"/>
            </w:pPr>
            <w:r w:rsidRPr="00F46E9D">
              <w:rPr>
                <w:b/>
                <w:bCs w:val="0"/>
              </w:rPr>
              <w:t>0.04 (0.003,0.07)</w:t>
            </w:r>
          </w:p>
        </w:tc>
      </w:tr>
      <w:tr w:rsidR="00E03F37" w14:paraId="4A3D8A12" w14:textId="77777777" w:rsidTr="002675DC">
        <w:trPr>
          <w:trHeight w:val="334"/>
        </w:trPr>
        <w:tc>
          <w:tcPr>
            <w:tcW w:w="2689" w:type="dxa"/>
            <w:vAlign w:val="center"/>
          </w:tcPr>
          <w:p w14:paraId="06DA510E" w14:textId="77777777" w:rsidR="00E03F37" w:rsidRDefault="00E03F37" w:rsidP="00856AA5">
            <w:pPr>
              <w:pStyle w:val="TableText0"/>
            </w:pPr>
            <w:r>
              <w:t>Serious AE, n (%)</w:t>
            </w:r>
          </w:p>
        </w:tc>
        <w:tc>
          <w:tcPr>
            <w:tcW w:w="1054" w:type="dxa"/>
            <w:vAlign w:val="center"/>
          </w:tcPr>
          <w:p w14:paraId="0064378B" w14:textId="77777777" w:rsidR="00E03F37" w:rsidRDefault="00E03F37" w:rsidP="002675DC">
            <w:pPr>
              <w:pStyle w:val="TableText0"/>
              <w:jc w:val="center"/>
            </w:pPr>
            <w:r w:rsidRPr="00D724E7">
              <w:t>1</w:t>
            </w:r>
            <w:r>
              <w:t xml:space="preserve"> / 213</w:t>
            </w:r>
            <w:r w:rsidRPr="00D724E7">
              <w:t xml:space="preserve"> (0.5</w:t>
            </w:r>
            <w:r>
              <w:t>%</w:t>
            </w:r>
            <w:r w:rsidRPr="00D724E7">
              <w:t>)</w:t>
            </w:r>
          </w:p>
        </w:tc>
        <w:tc>
          <w:tcPr>
            <w:tcW w:w="1055" w:type="dxa"/>
            <w:vAlign w:val="center"/>
          </w:tcPr>
          <w:p w14:paraId="1FB37E7A" w14:textId="77777777" w:rsidR="00E03F37" w:rsidRDefault="00E03F37" w:rsidP="002675DC">
            <w:pPr>
              <w:pStyle w:val="TableText0"/>
              <w:jc w:val="center"/>
            </w:pPr>
            <w:r w:rsidRPr="00D724E7">
              <w:t>3</w:t>
            </w:r>
            <w:r>
              <w:t xml:space="preserve"> / 209</w:t>
            </w:r>
            <w:r w:rsidRPr="00D724E7">
              <w:t xml:space="preserve"> (1.4</w:t>
            </w:r>
            <w:r>
              <w:t>%</w:t>
            </w:r>
            <w:r w:rsidRPr="00D724E7">
              <w:t>)</w:t>
            </w:r>
          </w:p>
        </w:tc>
        <w:tc>
          <w:tcPr>
            <w:tcW w:w="1055" w:type="dxa"/>
            <w:vAlign w:val="center"/>
          </w:tcPr>
          <w:p w14:paraId="4407E3E4" w14:textId="77777777" w:rsidR="00E03F37" w:rsidRDefault="00E03F37" w:rsidP="002675DC">
            <w:pPr>
              <w:pStyle w:val="TableText0"/>
              <w:jc w:val="center"/>
            </w:pPr>
            <w:r w:rsidRPr="00D724E7">
              <w:t>1</w:t>
            </w:r>
            <w:r>
              <w:t xml:space="preserve"> / 67</w:t>
            </w:r>
            <w:r w:rsidRPr="00D724E7">
              <w:t xml:space="preserve"> (</w:t>
            </w:r>
            <w:r>
              <w:t>1</w:t>
            </w:r>
            <w:r w:rsidRPr="00D724E7">
              <w:t>.5</w:t>
            </w:r>
            <w:r>
              <w:t>%</w:t>
            </w:r>
            <w:r w:rsidRPr="00D724E7">
              <w:t>)</w:t>
            </w:r>
          </w:p>
        </w:tc>
        <w:tc>
          <w:tcPr>
            <w:tcW w:w="1582" w:type="dxa"/>
            <w:vAlign w:val="center"/>
          </w:tcPr>
          <w:p w14:paraId="7DBE7452" w14:textId="77777777" w:rsidR="00E03F37" w:rsidRPr="00F46E9D" w:rsidRDefault="00E03F37" w:rsidP="002675DC">
            <w:pPr>
              <w:pStyle w:val="TableText0"/>
              <w:jc w:val="center"/>
            </w:pPr>
            <w:r w:rsidRPr="00F46E9D">
              <w:t>0.3 (0.03,3.1)</w:t>
            </w:r>
          </w:p>
        </w:tc>
        <w:tc>
          <w:tcPr>
            <w:tcW w:w="1582" w:type="dxa"/>
            <w:vAlign w:val="center"/>
          </w:tcPr>
          <w:p w14:paraId="0E816D78" w14:textId="77777777" w:rsidR="00E03F37" w:rsidRPr="00F46E9D" w:rsidRDefault="00E03F37" w:rsidP="002675DC">
            <w:pPr>
              <w:pStyle w:val="TableText0"/>
              <w:jc w:val="center"/>
            </w:pPr>
            <w:r w:rsidRPr="00F46E9D">
              <w:t xml:space="preserve">-0.01 </w:t>
            </w:r>
          </w:p>
          <w:p w14:paraId="16515BDA" w14:textId="77777777" w:rsidR="00E03F37" w:rsidRPr="00F46E9D" w:rsidRDefault="00E03F37" w:rsidP="002675DC">
            <w:pPr>
              <w:pStyle w:val="TableText0"/>
              <w:jc w:val="center"/>
            </w:pPr>
            <w:r w:rsidRPr="00F46E9D">
              <w:t>(-0.03,0.01)</w:t>
            </w:r>
          </w:p>
        </w:tc>
      </w:tr>
      <w:tr w:rsidR="00E03F37" w14:paraId="5CB7BE1F" w14:textId="77777777" w:rsidTr="002675DC">
        <w:trPr>
          <w:trHeight w:val="334"/>
        </w:trPr>
        <w:tc>
          <w:tcPr>
            <w:tcW w:w="2689" w:type="dxa"/>
            <w:vAlign w:val="center"/>
          </w:tcPr>
          <w:p w14:paraId="35E6A025" w14:textId="77777777" w:rsidR="00E03F37" w:rsidRDefault="00E03F37" w:rsidP="00856AA5">
            <w:pPr>
              <w:pStyle w:val="TableText0"/>
            </w:pPr>
            <w:r>
              <w:t xml:space="preserve">Serious </w:t>
            </w:r>
            <w:proofErr w:type="spellStart"/>
            <w:r>
              <w:t>TEAE</w:t>
            </w:r>
            <w:r>
              <w:rPr>
                <w:vertAlign w:val="superscript"/>
              </w:rPr>
              <w:t>b</w:t>
            </w:r>
            <w:proofErr w:type="spellEnd"/>
            <w:r>
              <w:t>, n (%)</w:t>
            </w:r>
          </w:p>
        </w:tc>
        <w:tc>
          <w:tcPr>
            <w:tcW w:w="1054" w:type="dxa"/>
            <w:vAlign w:val="center"/>
          </w:tcPr>
          <w:p w14:paraId="6B9A697B" w14:textId="77777777" w:rsidR="00E03F37" w:rsidRDefault="00E03F37" w:rsidP="002675DC">
            <w:pPr>
              <w:pStyle w:val="TableText0"/>
              <w:jc w:val="center"/>
            </w:pPr>
            <w:r w:rsidRPr="00D724E7">
              <w:t>1</w:t>
            </w:r>
            <w:r>
              <w:t xml:space="preserve"> / 213</w:t>
            </w:r>
            <w:r w:rsidRPr="00D724E7">
              <w:t xml:space="preserve"> (0.5</w:t>
            </w:r>
            <w:r>
              <w:t>%</w:t>
            </w:r>
            <w:r w:rsidRPr="00D724E7">
              <w:t>)</w:t>
            </w:r>
          </w:p>
        </w:tc>
        <w:tc>
          <w:tcPr>
            <w:tcW w:w="1055" w:type="dxa"/>
            <w:vAlign w:val="center"/>
          </w:tcPr>
          <w:p w14:paraId="1DCD7CCF" w14:textId="77777777" w:rsidR="00E03F37" w:rsidRDefault="00E03F37" w:rsidP="002675DC">
            <w:pPr>
              <w:pStyle w:val="TableText0"/>
              <w:jc w:val="center"/>
            </w:pPr>
            <w:r w:rsidRPr="00D724E7">
              <w:t>3</w:t>
            </w:r>
            <w:r>
              <w:t xml:space="preserve"> / 209</w:t>
            </w:r>
            <w:r w:rsidRPr="00D724E7">
              <w:t xml:space="preserve"> (1.4</w:t>
            </w:r>
            <w:r>
              <w:t>%</w:t>
            </w:r>
            <w:r w:rsidRPr="00D724E7">
              <w:t>)</w:t>
            </w:r>
          </w:p>
        </w:tc>
        <w:tc>
          <w:tcPr>
            <w:tcW w:w="1055" w:type="dxa"/>
            <w:vAlign w:val="center"/>
          </w:tcPr>
          <w:p w14:paraId="6F39E50B" w14:textId="77777777" w:rsidR="00E03F37" w:rsidRDefault="00E03F37" w:rsidP="002675DC">
            <w:pPr>
              <w:pStyle w:val="TableText0"/>
              <w:jc w:val="center"/>
            </w:pPr>
            <w:r w:rsidRPr="00D724E7">
              <w:t>1</w:t>
            </w:r>
            <w:r>
              <w:t xml:space="preserve"> / 67</w:t>
            </w:r>
            <w:r w:rsidRPr="00D724E7">
              <w:t xml:space="preserve"> (</w:t>
            </w:r>
            <w:r>
              <w:t>1</w:t>
            </w:r>
            <w:r w:rsidRPr="00D724E7">
              <w:t>.5</w:t>
            </w:r>
            <w:r>
              <w:t>%</w:t>
            </w:r>
            <w:r w:rsidRPr="00D724E7">
              <w:t>)</w:t>
            </w:r>
          </w:p>
        </w:tc>
        <w:tc>
          <w:tcPr>
            <w:tcW w:w="1582" w:type="dxa"/>
            <w:vAlign w:val="center"/>
          </w:tcPr>
          <w:p w14:paraId="1B14BAA7" w14:textId="77777777" w:rsidR="00E03F37" w:rsidRPr="00F46E9D" w:rsidRDefault="00E03F37" w:rsidP="002675DC">
            <w:pPr>
              <w:pStyle w:val="TableText0"/>
              <w:jc w:val="center"/>
            </w:pPr>
            <w:r w:rsidRPr="00F46E9D">
              <w:t>0.3 (0.03,3.1)</w:t>
            </w:r>
          </w:p>
        </w:tc>
        <w:tc>
          <w:tcPr>
            <w:tcW w:w="1582" w:type="dxa"/>
            <w:vAlign w:val="center"/>
          </w:tcPr>
          <w:p w14:paraId="054962A0" w14:textId="77777777" w:rsidR="00E03F37" w:rsidRPr="00F46E9D" w:rsidRDefault="00E03F37" w:rsidP="002675DC">
            <w:pPr>
              <w:pStyle w:val="TableText0"/>
              <w:jc w:val="center"/>
            </w:pPr>
            <w:r w:rsidRPr="00F46E9D">
              <w:t xml:space="preserve">-0.01 </w:t>
            </w:r>
          </w:p>
          <w:p w14:paraId="6B595250" w14:textId="77777777" w:rsidR="00E03F37" w:rsidRPr="00F46E9D" w:rsidRDefault="00E03F37" w:rsidP="002675DC">
            <w:pPr>
              <w:pStyle w:val="TableText0"/>
              <w:jc w:val="center"/>
            </w:pPr>
            <w:r w:rsidRPr="00F46E9D">
              <w:t>(-0.03,0.01)</w:t>
            </w:r>
          </w:p>
        </w:tc>
      </w:tr>
      <w:tr w:rsidR="00E03F37" w14:paraId="2FD5BB06" w14:textId="77777777" w:rsidTr="002675DC">
        <w:trPr>
          <w:trHeight w:val="334"/>
        </w:trPr>
        <w:tc>
          <w:tcPr>
            <w:tcW w:w="2689" w:type="dxa"/>
            <w:vAlign w:val="center"/>
          </w:tcPr>
          <w:p w14:paraId="10059D3B" w14:textId="77777777" w:rsidR="00E03F37" w:rsidRDefault="00E03F37" w:rsidP="00856AA5">
            <w:pPr>
              <w:pStyle w:val="TableText0"/>
            </w:pPr>
            <w:r>
              <w:t>TEAEs leading to treatment discontinuation, n (%)</w:t>
            </w:r>
          </w:p>
        </w:tc>
        <w:tc>
          <w:tcPr>
            <w:tcW w:w="1054" w:type="dxa"/>
            <w:vAlign w:val="center"/>
          </w:tcPr>
          <w:p w14:paraId="426D9E79" w14:textId="77777777" w:rsidR="00E03F37" w:rsidRDefault="00E03F37" w:rsidP="002675DC">
            <w:pPr>
              <w:pStyle w:val="TableText0"/>
              <w:jc w:val="center"/>
            </w:pPr>
            <w:r w:rsidRPr="00D724E7">
              <w:t>1</w:t>
            </w:r>
            <w:r>
              <w:t xml:space="preserve"> / 213</w:t>
            </w:r>
            <w:r w:rsidRPr="00D724E7">
              <w:t xml:space="preserve"> (0.5</w:t>
            </w:r>
            <w:r>
              <w:t>%</w:t>
            </w:r>
            <w:r w:rsidRPr="00D724E7">
              <w:t>)</w:t>
            </w:r>
          </w:p>
        </w:tc>
        <w:tc>
          <w:tcPr>
            <w:tcW w:w="1055" w:type="dxa"/>
            <w:vAlign w:val="center"/>
          </w:tcPr>
          <w:p w14:paraId="02657116" w14:textId="77777777" w:rsidR="00E03F37" w:rsidRDefault="00E03F37" w:rsidP="002675DC">
            <w:pPr>
              <w:pStyle w:val="TableText0"/>
              <w:jc w:val="center"/>
            </w:pPr>
            <w:r>
              <w:t>2 / 209</w:t>
            </w:r>
            <w:r w:rsidRPr="00D724E7">
              <w:t xml:space="preserve"> (1.</w:t>
            </w:r>
            <w:r>
              <w:t>0%</w:t>
            </w:r>
            <w:r w:rsidRPr="00D724E7">
              <w:t>)</w:t>
            </w:r>
          </w:p>
        </w:tc>
        <w:tc>
          <w:tcPr>
            <w:tcW w:w="1055" w:type="dxa"/>
            <w:vAlign w:val="center"/>
          </w:tcPr>
          <w:p w14:paraId="08B00667" w14:textId="77777777" w:rsidR="00E03F37" w:rsidRDefault="00E03F37" w:rsidP="002675DC">
            <w:pPr>
              <w:pStyle w:val="TableText0"/>
              <w:jc w:val="center"/>
            </w:pPr>
            <w:r>
              <w:t>4</w:t>
            </w:r>
            <w:r>
              <w:rPr>
                <w:vertAlign w:val="superscript"/>
              </w:rPr>
              <w:t>c</w:t>
            </w:r>
            <w:r>
              <w:t xml:space="preserve"> / 67</w:t>
            </w:r>
            <w:r w:rsidRPr="00D724E7">
              <w:t xml:space="preserve"> (</w:t>
            </w:r>
            <w:r>
              <w:t>6.0%</w:t>
            </w:r>
            <w:r w:rsidRPr="00D724E7">
              <w:t>)</w:t>
            </w:r>
          </w:p>
        </w:tc>
        <w:tc>
          <w:tcPr>
            <w:tcW w:w="1582" w:type="dxa"/>
            <w:vAlign w:val="center"/>
          </w:tcPr>
          <w:p w14:paraId="63F253BE" w14:textId="77777777" w:rsidR="00E03F37" w:rsidRPr="00F46E9D" w:rsidRDefault="00E03F37" w:rsidP="002675DC">
            <w:pPr>
              <w:pStyle w:val="TableText0"/>
              <w:jc w:val="center"/>
            </w:pPr>
            <w:r w:rsidRPr="00F46E9D">
              <w:t>0.5 (0.04,5.4)</w:t>
            </w:r>
          </w:p>
        </w:tc>
        <w:tc>
          <w:tcPr>
            <w:tcW w:w="1582" w:type="dxa"/>
            <w:vAlign w:val="center"/>
          </w:tcPr>
          <w:p w14:paraId="628384F1" w14:textId="77777777" w:rsidR="00E03F37" w:rsidRPr="00F46E9D" w:rsidRDefault="00E03F37" w:rsidP="002675DC">
            <w:pPr>
              <w:pStyle w:val="TableText0"/>
              <w:jc w:val="center"/>
            </w:pPr>
            <w:r w:rsidRPr="00F46E9D">
              <w:t xml:space="preserve">-0.005 </w:t>
            </w:r>
          </w:p>
          <w:p w14:paraId="6A8FF5CD" w14:textId="77777777" w:rsidR="00E03F37" w:rsidRPr="00F46E9D" w:rsidRDefault="00E03F37" w:rsidP="002675DC">
            <w:pPr>
              <w:pStyle w:val="TableText0"/>
              <w:jc w:val="center"/>
            </w:pPr>
            <w:r w:rsidRPr="00F46E9D">
              <w:t>(-0.02,0.01)</w:t>
            </w:r>
          </w:p>
        </w:tc>
      </w:tr>
    </w:tbl>
    <w:p w14:paraId="373BC67A" w14:textId="77777777" w:rsidR="00E03F37" w:rsidRPr="00B1011F" w:rsidRDefault="00E03F37" w:rsidP="00E03F37">
      <w:pPr>
        <w:pStyle w:val="FooterTableFigure"/>
        <w:rPr>
          <w:sz w:val="20"/>
        </w:rPr>
      </w:pPr>
      <w:r>
        <w:t xml:space="preserve">Source: Table 2-45, p96; Table 2-46, p97 </w:t>
      </w:r>
      <w:r w:rsidRPr="00D13A3E">
        <w:t xml:space="preserve">of the </w:t>
      </w:r>
      <w:r>
        <w:t>submission.</w:t>
      </w:r>
    </w:p>
    <w:p w14:paraId="0B3A0539" w14:textId="706061F1" w:rsidR="00E03F37" w:rsidRDefault="00E03F37" w:rsidP="00E03F37">
      <w:pPr>
        <w:pStyle w:val="FooterTableFigure"/>
        <w:rPr>
          <w:rFonts w:eastAsia="Calibri"/>
        </w:rPr>
      </w:pPr>
      <w:r>
        <w:rPr>
          <w:rFonts w:eastAsia="Calibri"/>
        </w:rPr>
        <w:t xml:space="preserve">AE = adverse event; </w:t>
      </w:r>
      <w:r w:rsidRPr="00401939">
        <w:rPr>
          <w:rFonts w:eastAsia="Calibri"/>
        </w:rPr>
        <w:t>CAL/BDP = calcipotriol with betamethasone dipropionate</w:t>
      </w:r>
      <w:r>
        <w:rPr>
          <w:rFonts w:eastAsia="Calibri"/>
        </w:rPr>
        <w:t>;</w:t>
      </w:r>
      <w:r w:rsidRPr="00401939">
        <w:rPr>
          <w:rFonts w:eastAsia="Calibri"/>
        </w:rPr>
        <w:t xml:space="preserve"> </w:t>
      </w:r>
      <w:r w:rsidRPr="00B40358">
        <w:rPr>
          <w:rFonts w:eastAsia="Calibri"/>
        </w:rPr>
        <w:t>CI = confidence interval; n = number of participants reporting data; N = total participants in group</w:t>
      </w:r>
      <w:r>
        <w:rPr>
          <w:rFonts w:eastAsia="Calibri"/>
        </w:rPr>
        <w:t>; RD = risk difference; RR = relative risk; TEAE = treatment emergent adverse event;</w:t>
      </w:r>
      <w:r w:rsidRPr="00763207">
        <w:t xml:space="preserve"> </w:t>
      </w:r>
      <w:r w:rsidRPr="00763207">
        <w:rPr>
          <w:rFonts w:eastAsia="Calibri"/>
        </w:rPr>
        <w:t>vs = versus</w:t>
      </w:r>
      <w:r>
        <w:rPr>
          <w:rFonts w:eastAsia="Calibri"/>
        </w:rPr>
        <w:t>.</w:t>
      </w:r>
    </w:p>
    <w:p w14:paraId="4BE71973" w14:textId="194531E9" w:rsidR="00E03F37" w:rsidRDefault="00E03F37" w:rsidP="00E03F37">
      <w:pPr>
        <w:pStyle w:val="FooterTableFigure"/>
      </w:pPr>
      <w:proofErr w:type="spellStart"/>
      <w:r w:rsidRPr="008939C3">
        <w:rPr>
          <w:vertAlign w:val="superscript"/>
        </w:rPr>
        <w:t>a</w:t>
      </w:r>
      <w:proofErr w:type="spellEnd"/>
      <w:r>
        <w:t xml:space="preserve"> </w:t>
      </w:r>
      <w:r w:rsidRPr="008939C3">
        <w:t>For each treatment, a subject will be counted once only within each AE category. TEAEs include all AEs starting or worsening after the first dose of study drug</w:t>
      </w:r>
      <w:r w:rsidR="00061456">
        <w:t>.</w:t>
      </w:r>
      <w:r w:rsidRPr="008939C3" w:rsidDel="008939C3">
        <w:t xml:space="preserve"> </w:t>
      </w:r>
    </w:p>
    <w:p w14:paraId="7BC81E06" w14:textId="547925EE" w:rsidR="00E03F37" w:rsidRDefault="00E03F37" w:rsidP="00E03F37">
      <w:pPr>
        <w:pStyle w:val="FooterTableFigure"/>
      </w:pPr>
      <w:r w:rsidRPr="008939C3">
        <w:rPr>
          <w:vertAlign w:val="superscript"/>
        </w:rPr>
        <w:t>b</w:t>
      </w:r>
      <w:r>
        <w:t xml:space="preserve"> TEAE was defined as </w:t>
      </w:r>
      <w:r w:rsidRPr="008939C3">
        <w:t>AEs starting or worsening after the first application</w:t>
      </w:r>
      <w:r w:rsidR="00061456">
        <w:t>.</w:t>
      </w:r>
    </w:p>
    <w:p w14:paraId="4734D6CC" w14:textId="49D24C86" w:rsidR="00E03F37" w:rsidRDefault="00E03F37" w:rsidP="00E03F37">
      <w:pPr>
        <w:pStyle w:val="FooterTableFigure"/>
      </w:pPr>
      <w:r w:rsidRPr="008939C3">
        <w:rPr>
          <w:vertAlign w:val="superscript"/>
        </w:rPr>
        <w:t>c</w:t>
      </w:r>
      <w:r>
        <w:t xml:space="preserve"> </w:t>
      </w:r>
      <w:r w:rsidRPr="008939C3">
        <w:t xml:space="preserve">One AE led to discontinuation of </w:t>
      </w:r>
      <w:r w:rsidR="007978E6">
        <w:t>investigational medicinal product</w:t>
      </w:r>
      <w:r w:rsidR="00A630D2">
        <w:t xml:space="preserve"> (vehicle)</w:t>
      </w:r>
      <w:r w:rsidR="007978E6" w:rsidRPr="008939C3">
        <w:t xml:space="preserve"> </w:t>
      </w:r>
      <w:r w:rsidRPr="008939C3">
        <w:t xml:space="preserve">and trial. As the “action taken for </w:t>
      </w:r>
      <w:r w:rsidR="00967CDC" w:rsidRPr="00967CDC">
        <w:t>investigational medicinal product</w:t>
      </w:r>
      <w:r w:rsidRPr="008939C3">
        <w:t>” for this AE falsely was documented with “no change” this AE is not counted in the Table. Number was added based on information in subjects data listings.</w:t>
      </w:r>
    </w:p>
    <w:p w14:paraId="51212B72" w14:textId="65A8F920" w:rsidR="00E03F37" w:rsidRPr="00F46E9D" w:rsidRDefault="00F46E9D" w:rsidP="00E03F37">
      <w:pPr>
        <w:pStyle w:val="FooterTableFigure"/>
      </w:pPr>
      <w:r w:rsidRPr="00F46E9D">
        <w:t>*</w:t>
      </w:r>
      <w:r w:rsidR="00E03F37" w:rsidRPr="00F46E9D">
        <w:t xml:space="preserve">added during evaluation </w:t>
      </w:r>
    </w:p>
    <w:p w14:paraId="008C9E5E" w14:textId="77777777" w:rsidR="00E03F37" w:rsidRPr="00CC12F5" w:rsidRDefault="00E03F37" w:rsidP="00E03F37">
      <w:pPr>
        <w:pStyle w:val="FooterTableFigure"/>
      </w:pPr>
      <w:r w:rsidRPr="00CC12F5">
        <w:rPr>
          <w:b/>
          <w:bCs/>
        </w:rPr>
        <w:t>Bold</w:t>
      </w:r>
      <w:r w:rsidRPr="00CC12F5">
        <w:t xml:space="preserve"> indicates statistically significant results</w:t>
      </w:r>
    </w:p>
    <w:p w14:paraId="153880EC" w14:textId="66F1F986" w:rsidR="00427D4E" w:rsidRPr="00D77B19" w:rsidRDefault="00D77B19" w:rsidP="00B7760B">
      <w:pPr>
        <w:widowControl w:val="0"/>
        <w:numPr>
          <w:ilvl w:val="1"/>
          <w:numId w:val="1"/>
        </w:numPr>
        <w:spacing w:after="120"/>
        <w:ind w:left="720"/>
      </w:pPr>
      <w:r>
        <w:t>Based on the</w:t>
      </w:r>
      <w:r w:rsidR="00427D4E" w:rsidRPr="00D77B19">
        <w:t xml:space="preserve"> MC2-01-C</w:t>
      </w:r>
      <w:r w:rsidR="00F51CCA" w:rsidRPr="00D77B19">
        <w:t>2</w:t>
      </w:r>
      <w:r>
        <w:t xml:space="preserve"> CSR</w:t>
      </w:r>
      <w:r w:rsidR="00427D4E" w:rsidRPr="00D77B19">
        <w:t xml:space="preserve">, the most common </w:t>
      </w:r>
      <w:r w:rsidR="00910D59" w:rsidRPr="00D77B19">
        <w:t xml:space="preserve">serious </w:t>
      </w:r>
      <w:r w:rsidR="38DDF4C1" w:rsidRPr="00D77B19">
        <w:t>TEAE</w:t>
      </w:r>
      <w:r w:rsidR="5040E124" w:rsidRPr="00D77B19">
        <w:t>s</w:t>
      </w:r>
      <w:r w:rsidR="00427D4E" w:rsidRPr="00D77B19">
        <w:t xml:space="preserve"> associated with CAL/BDP cream were application site issues (n=6) and application site folliculitis (n=2</w:t>
      </w:r>
      <w:r w:rsidR="00427D4E" w:rsidRPr="00F51CCA">
        <w:t>)</w:t>
      </w:r>
      <w:r w:rsidR="00F51CCA" w:rsidRPr="00F51CCA">
        <w:t xml:space="preserve">. </w:t>
      </w:r>
      <w:r w:rsidR="00B86E92" w:rsidRPr="00F11F3E">
        <w:t xml:space="preserve">In the CAL/BDP </w:t>
      </w:r>
      <w:r w:rsidR="001B6468">
        <w:t>gel</w:t>
      </w:r>
      <w:r w:rsidR="001B6468" w:rsidRPr="00F11F3E">
        <w:t xml:space="preserve"> </w:t>
      </w:r>
      <w:r w:rsidR="00B86E92" w:rsidRPr="00F11F3E">
        <w:t>arm,</w:t>
      </w:r>
      <w:r w:rsidR="001D53A5" w:rsidRPr="00F11F3E">
        <w:t xml:space="preserve"> </w:t>
      </w:r>
      <w:r w:rsidR="00E058CC" w:rsidRPr="00F11F3E">
        <w:t xml:space="preserve">nine </w:t>
      </w:r>
      <w:r w:rsidR="000F5688" w:rsidRPr="00F11F3E">
        <w:t xml:space="preserve">patients had </w:t>
      </w:r>
      <w:r w:rsidR="00490E48" w:rsidRPr="00F11F3E">
        <w:t>serious TEAE</w:t>
      </w:r>
      <w:r w:rsidR="008F50BE">
        <w:t>s</w:t>
      </w:r>
      <w:r w:rsidR="00621F08">
        <w:t xml:space="preserve"> (</w:t>
      </w:r>
      <w:r w:rsidR="000D6448">
        <w:t xml:space="preserve">infection [n=3]; </w:t>
      </w:r>
      <w:r w:rsidR="003E5A0B">
        <w:t>atrial fibrillation [n=1];</w:t>
      </w:r>
      <w:r w:rsidR="00430B59">
        <w:t xml:space="preserve"> chest pain [n=1]; fever [n=1]</w:t>
      </w:r>
      <w:r w:rsidR="00300DE7">
        <w:t xml:space="preserve">; </w:t>
      </w:r>
      <w:r w:rsidR="006E19B8">
        <w:t xml:space="preserve">dehydration [n=1]; </w:t>
      </w:r>
      <w:r w:rsidR="00300DE7">
        <w:t>cervix carcinoma [n=1]</w:t>
      </w:r>
      <w:r w:rsidR="00661F8D">
        <w:t>; n</w:t>
      </w:r>
      <w:r w:rsidR="00661F8D" w:rsidRPr="00661F8D">
        <w:t>ephrolithiasis</w:t>
      </w:r>
      <w:r w:rsidR="00661F8D">
        <w:t xml:space="preserve"> [n=1];</w:t>
      </w:r>
      <w:r w:rsidR="008F10E9" w:rsidRPr="008F10E9">
        <w:t xml:space="preserve"> </w:t>
      </w:r>
      <w:r w:rsidR="008F10E9">
        <w:t>and</w:t>
      </w:r>
      <w:r w:rsidR="00610CF0">
        <w:t xml:space="preserve"> </w:t>
      </w:r>
      <w:r w:rsidR="00D5271D">
        <w:t>c</w:t>
      </w:r>
      <w:r w:rsidR="00D5271D" w:rsidRPr="00D5271D">
        <w:t>hronic obstructive pulmonary disease</w:t>
      </w:r>
      <w:r w:rsidR="00D5271D">
        <w:t xml:space="preserve"> [n=1</w:t>
      </w:r>
      <w:r w:rsidR="00661F8D">
        <w:t>]</w:t>
      </w:r>
      <w:r w:rsidR="00C1202F">
        <w:t>)</w:t>
      </w:r>
      <w:r w:rsidR="002D4D87">
        <w:t>. N</w:t>
      </w:r>
      <w:r w:rsidR="00311DBD" w:rsidRPr="00F11F3E">
        <w:t xml:space="preserve">one </w:t>
      </w:r>
      <w:r w:rsidR="002D4D87">
        <w:t xml:space="preserve">of the </w:t>
      </w:r>
      <w:r w:rsidR="004C257E">
        <w:t xml:space="preserve">serious </w:t>
      </w:r>
      <w:r w:rsidR="00497D3F">
        <w:t>TE</w:t>
      </w:r>
      <w:r w:rsidR="004C257E">
        <w:t>AE</w:t>
      </w:r>
      <w:r w:rsidR="008F50BE">
        <w:t>s</w:t>
      </w:r>
      <w:r w:rsidR="006634CA">
        <w:t xml:space="preserve"> </w:t>
      </w:r>
      <w:r w:rsidR="00311DBD" w:rsidRPr="00F11F3E">
        <w:t>were related to the treatment.</w:t>
      </w:r>
      <w:r w:rsidR="00311DBD">
        <w:rPr>
          <w:i/>
          <w:iCs/>
        </w:rPr>
        <w:t xml:space="preserve"> </w:t>
      </w:r>
      <w:r w:rsidR="00F51CCA" w:rsidRPr="00B67069">
        <w:t>Two patients discontinued CAL/BDP cream</w:t>
      </w:r>
      <w:r w:rsidR="00162BB5" w:rsidRPr="00D77B19">
        <w:t xml:space="preserve"> due to non-cutaneous AEs unrelated to the treatment</w:t>
      </w:r>
      <w:r w:rsidR="007851B6" w:rsidRPr="00D77B19">
        <w:t xml:space="preserve">, </w:t>
      </w:r>
      <w:r w:rsidR="007851B6" w:rsidRPr="00B67069">
        <w:t xml:space="preserve">and three patients discontinued CAL/BDP </w:t>
      </w:r>
      <w:r w:rsidR="00E63F24">
        <w:t>gel</w:t>
      </w:r>
      <w:r w:rsidR="00E63F24" w:rsidRPr="00D77B19">
        <w:t xml:space="preserve"> </w:t>
      </w:r>
      <w:r w:rsidR="007851B6" w:rsidRPr="00D77B19">
        <w:t>due to</w:t>
      </w:r>
      <w:r w:rsidR="00497807" w:rsidRPr="00D77B19">
        <w:t xml:space="preserve"> </w:t>
      </w:r>
      <w:r w:rsidR="0076034E" w:rsidRPr="00D77B19">
        <w:t>application site folliculitis</w:t>
      </w:r>
      <w:r w:rsidR="00AA3A80" w:rsidRPr="00D77B19">
        <w:t>,</w:t>
      </w:r>
      <w:r w:rsidR="00A20093" w:rsidRPr="00D77B19">
        <w:t xml:space="preserve"> </w:t>
      </w:r>
      <w:r w:rsidR="00E04A35" w:rsidRPr="00D77B19">
        <w:t>dermatitis</w:t>
      </w:r>
      <w:r w:rsidR="00AA3A80" w:rsidRPr="00D77B19">
        <w:t>,</w:t>
      </w:r>
      <w:r w:rsidR="00E04A35" w:rsidRPr="00D77B19">
        <w:t xml:space="preserve"> and </w:t>
      </w:r>
      <w:r w:rsidR="00437ECA" w:rsidRPr="00D77B19">
        <w:t>dizziness</w:t>
      </w:r>
      <w:r w:rsidR="00AA3A80" w:rsidRPr="00D77B19">
        <w:t xml:space="preserve"> with headache</w:t>
      </w:r>
      <w:r w:rsidR="00162BB5" w:rsidRPr="00D77B19">
        <w:t>.</w:t>
      </w:r>
    </w:p>
    <w:p w14:paraId="08C04FF2" w14:textId="47C8D624" w:rsidR="00817A44" w:rsidRPr="00884593" w:rsidRDefault="00AA3A80" w:rsidP="00B7760B">
      <w:pPr>
        <w:widowControl w:val="0"/>
        <w:numPr>
          <w:ilvl w:val="1"/>
          <w:numId w:val="1"/>
        </w:numPr>
        <w:spacing w:after="120"/>
        <w:ind w:left="720"/>
        <w:rPr>
          <w:color w:val="0066FF"/>
        </w:rPr>
      </w:pPr>
      <w:r>
        <w:t xml:space="preserve">In MC2-01-C7, </w:t>
      </w:r>
      <w:r w:rsidR="00D51D20">
        <w:t>a total of 4 serious TEAE</w:t>
      </w:r>
      <w:r w:rsidR="00C66F25">
        <w:t>s</w:t>
      </w:r>
      <w:r w:rsidR="00D51D20">
        <w:t xml:space="preserve"> </w:t>
      </w:r>
      <w:r w:rsidR="003C2B7B" w:rsidRPr="00D77B19">
        <w:t>due to non-cutaneous reasons</w:t>
      </w:r>
      <w:r w:rsidR="003C2B7B">
        <w:t xml:space="preserve"> </w:t>
      </w:r>
      <w:r w:rsidR="00D51D20">
        <w:t>were reported</w:t>
      </w:r>
      <w:r w:rsidR="00C64D2C">
        <w:t xml:space="preserve"> </w:t>
      </w:r>
      <w:r w:rsidR="008D785A">
        <w:t xml:space="preserve">in the CAL/BDP cream </w:t>
      </w:r>
      <w:r w:rsidR="00021F15">
        <w:t>(</w:t>
      </w:r>
      <w:r w:rsidR="00723786">
        <w:t>testicular seminoma [n=1])</w:t>
      </w:r>
      <w:r w:rsidR="00021F15">
        <w:t xml:space="preserve"> </w:t>
      </w:r>
      <w:r w:rsidR="008D785A">
        <w:t>and gel groups</w:t>
      </w:r>
      <w:r w:rsidR="00723786">
        <w:t xml:space="preserve"> (</w:t>
      </w:r>
      <w:r w:rsidR="003F00F8">
        <w:t xml:space="preserve">herpes zoster </w:t>
      </w:r>
      <w:r w:rsidR="003F00F8">
        <w:lastRenderedPageBreak/>
        <w:t xml:space="preserve">meningitis [n=1]; </w:t>
      </w:r>
      <w:r w:rsidR="004B2CC9">
        <w:t>fracture [n=1]; and pulmonary tuberculosis [n=1]</w:t>
      </w:r>
      <w:r w:rsidR="00840D20">
        <w:t>)</w:t>
      </w:r>
      <w:r w:rsidR="008D785A">
        <w:t xml:space="preserve">, </w:t>
      </w:r>
      <w:r w:rsidR="00C64D2C">
        <w:t xml:space="preserve">and </w:t>
      </w:r>
      <w:r w:rsidR="00E11B44">
        <w:t xml:space="preserve">none were related to the assigned treatment. </w:t>
      </w:r>
      <w:r w:rsidR="00313D9D" w:rsidRPr="00D77B19">
        <w:t>Only one patient discontinued CAL/BDP cream</w:t>
      </w:r>
      <w:r w:rsidR="00427D4E">
        <w:t xml:space="preserve"> </w:t>
      </w:r>
      <w:r w:rsidR="00427D4E" w:rsidRPr="00D77B19">
        <w:t>due to moderate urticaria.</w:t>
      </w:r>
      <w:r w:rsidR="009B5DB8">
        <w:rPr>
          <w:i/>
          <w:iCs/>
        </w:rPr>
        <w:t xml:space="preserve"> </w:t>
      </w:r>
      <w:r w:rsidR="009B5DB8" w:rsidRPr="00884593">
        <w:t xml:space="preserve">Two patients discontinued CAL/BDP </w:t>
      </w:r>
      <w:r w:rsidR="009157B2">
        <w:t>gel</w:t>
      </w:r>
      <w:r w:rsidR="009157B2" w:rsidRPr="00884593">
        <w:t xml:space="preserve"> </w:t>
      </w:r>
      <w:r w:rsidR="009B5DB8" w:rsidRPr="00884593">
        <w:t>due to non-cutaneous reasons</w:t>
      </w:r>
      <w:r w:rsidR="0013417B">
        <w:t xml:space="preserve">: </w:t>
      </w:r>
      <w:r w:rsidR="00722802">
        <w:t>gastrointestinal symptoms</w:t>
      </w:r>
      <w:r w:rsidR="008A231A">
        <w:t xml:space="preserve"> and</w:t>
      </w:r>
      <w:r w:rsidR="001629FA">
        <w:t xml:space="preserve"> pulmonary tuberculosis</w:t>
      </w:r>
      <w:r w:rsidR="009B5DB8" w:rsidRPr="00884593">
        <w:t>.</w:t>
      </w:r>
    </w:p>
    <w:p w14:paraId="6AD6705E" w14:textId="03F2D96F" w:rsidR="003555D3" w:rsidRDefault="003555D3" w:rsidP="00433FE0">
      <w:pPr>
        <w:spacing w:after="240"/>
        <w:rPr>
          <w:b/>
          <w:bCs/>
        </w:rPr>
      </w:pPr>
      <w:r w:rsidRPr="00CA4BAF">
        <w:rPr>
          <w:b/>
          <w:bCs/>
          <w:u w:val="single"/>
        </w:rPr>
        <w:t>CAL/BDP cream versus foam</w:t>
      </w:r>
    </w:p>
    <w:p w14:paraId="523444F7" w14:textId="5E65A6C0" w:rsidR="003555D3" w:rsidRPr="00300CA4" w:rsidRDefault="00AB44B4" w:rsidP="00B7760B">
      <w:pPr>
        <w:widowControl w:val="0"/>
        <w:numPr>
          <w:ilvl w:val="1"/>
          <w:numId w:val="1"/>
        </w:numPr>
        <w:spacing w:after="120"/>
        <w:ind w:left="720"/>
      </w:pPr>
      <w:r w:rsidRPr="00300CA4">
        <w:t xml:space="preserve">The submission did not present any comparative safety data between CAL/BDP cream and foam. </w:t>
      </w:r>
      <w:r w:rsidR="00D138CB" w:rsidRPr="00300CA4">
        <w:t>M</w:t>
      </w:r>
      <w:r w:rsidR="002C11A5" w:rsidRPr="00300CA4">
        <w:t>oreover</w:t>
      </w:r>
      <w:r w:rsidRPr="00300CA4">
        <w:t xml:space="preserve">, none of the published ITC included </w:t>
      </w:r>
      <w:r w:rsidR="00E10A29" w:rsidRPr="00300CA4">
        <w:t>safety outcomes.</w:t>
      </w:r>
    </w:p>
    <w:p w14:paraId="04908C7F" w14:textId="44629B4A" w:rsidR="007F1017" w:rsidRPr="00C9624D" w:rsidRDefault="007F1017" w:rsidP="00D86231">
      <w:pPr>
        <w:pStyle w:val="4-SubsectionHeading"/>
      </w:pPr>
      <w:bookmarkStart w:id="48" w:name="_Toc22897643"/>
      <w:bookmarkStart w:id="49" w:name="_Toc198632859"/>
      <w:r w:rsidRPr="00C9624D">
        <w:t>Benefits/harms</w:t>
      </w:r>
      <w:bookmarkEnd w:id="48"/>
      <w:bookmarkEnd w:id="49"/>
    </w:p>
    <w:p w14:paraId="5CC4A0EE" w14:textId="77777777" w:rsidR="00C92454" w:rsidRPr="00C92454" w:rsidRDefault="00311D9B" w:rsidP="00B7760B">
      <w:pPr>
        <w:widowControl w:val="0"/>
        <w:numPr>
          <w:ilvl w:val="1"/>
          <w:numId w:val="1"/>
        </w:numPr>
        <w:spacing w:after="120"/>
        <w:ind w:left="720"/>
      </w:pPr>
      <w:r w:rsidRPr="00311D9B">
        <w:rPr>
          <w:lang w:val="en-US"/>
        </w:rPr>
        <w:t xml:space="preserve">A benefits and harms table </w:t>
      </w:r>
      <w:proofErr w:type="gramStart"/>
      <w:r w:rsidRPr="00311D9B">
        <w:rPr>
          <w:lang w:val="en-US"/>
        </w:rPr>
        <w:t>is</w:t>
      </w:r>
      <w:proofErr w:type="gramEnd"/>
      <w:r w:rsidRPr="00311D9B">
        <w:rPr>
          <w:lang w:val="en-US"/>
        </w:rPr>
        <w:t xml:space="preserve"> not presented as the submission made a </w:t>
      </w:r>
      <w:r w:rsidRPr="00B7760B">
        <w:t>claim of non-inferiority</w:t>
      </w:r>
      <w:r w:rsidR="00162BB5" w:rsidRPr="00B7760B">
        <w:t xml:space="preserve"> against CAL/BDP foam</w:t>
      </w:r>
      <w:r w:rsidRPr="00B7760B">
        <w:t>.</w:t>
      </w:r>
      <w:r w:rsidR="00E926A5" w:rsidRPr="00B7760B">
        <w:t xml:space="preserve"> </w:t>
      </w:r>
    </w:p>
    <w:p w14:paraId="02B9BDE3" w14:textId="57EEDF1C" w:rsidR="007A1345" w:rsidRPr="00300CA4" w:rsidRDefault="00C92454" w:rsidP="00B7760B">
      <w:pPr>
        <w:widowControl w:val="0"/>
        <w:numPr>
          <w:ilvl w:val="1"/>
          <w:numId w:val="1"/>
        </w:numPr>
        <w:spacing w:after="120"/>
        <w:ind w:left="720"/>
        <w:rPr>
          <w:lang w:val="en-US"/>
        </w:rPr>
      </w:pPr>
      <w:r w:rsidRPr="00B7760B">
        <w:t xml:space="preserve">The submission made a claim of superiority against CAL/BDP ointment; </w:t>
      </w:r>
      <w:r w:rsidRPr="00300CA4">
        <w:t xml:space="preserve">however, a benefits/harms table </w:t>
      </w:r>
      <w:r w:rsidR="00221B9E" w:rsidRPr="00300CA4">
        <w:t xml:space="preserve">is </w:t>
      </w:r>
      <w:r w:rsidRPr="00300CA4">
        <w:t xml:space="preserve">not presented as </w:t>
      </w:r>
      <w:r w:rsidR="00A41B44" w:rsidRPr="00300CA4">
        <w:t>the benefits of CAL/BDP cream versus ointment were based on a pharmacokinetic</w:t>
      </w:r>
      <w:r w:rsidR="00221B9E" w:rsidRPr="00300CA4">
        <w:t>s</w:t>
      </w:r>
      <w:r w:rsidR="00A41B44" w:rsidRPr="00300CA4">
        <w:t xml:space="preserve"> study (MC2-01-C3) which showed comparable PGA treatment success rates</w:t>
      </w:r>
      <w:r w:rsidR="00221B9E" w:rsidRPr="00300CA4">
        <w:t xml:space="preserve">. Although that study showed </w:t>
      </w:r>
      <w:r w:rsidR="00A41B44" w:rsidRPr="00300CA4">
        <w:t>s</w:t>
      </w:r>
      <w:r w:rsidR="00F20228" w:rsidRPr="00300CA4">
        <w:t>tatistically significant better</w:t>
      </w:r>
      <w:r w:rsidR="00A41B44" w:rsidRPr="00300CA4">
        <w:t xml:space="preserve"> </w:t>
      </w:r>
      <w:r w:rsidR="00221B9E" w:rsidRPr="00300CA4">
        <w:t xml:space="preserve">PTCS scores </w:t>
      </w:r>
      <w:r w:rsidR="00F20228" w:rsidRPr="00300CA4">
        <w:t>with CAL/BDP cream compared to ointment</w:t>
      </w:r>
      <w:r w:rsidR="00221B9E" w:rsidRPr="00300CA4">
        <w:t>,</w:t>
      </w:r>
      <w:r w:rsidR="00A41B44" w:rsidRPr="00300CA4">
        <w:t xml:space="preserve"> </w:t>
      </w:r>
      <w:r w:rsidR="00F20228" w:rsidRPr="00300CA4">
        <w:t xml:space="preserve">there </w:t>
      </w:r>
      <w:r w:rsidR="00221B9E" w:rsidRPr="00300CA4">
        <w:t>were</w:t>
      </w:r>
      <w:r w:rsidR="00F20228" w:rsidRPr="00300CA4">
        <w:t xml:space="preserve"> several limitations with the PTCS </w:t>
      </w:r>
      <w:r w:rsidR="00221B9E" w:rsidRPr="00300CA4">
        <w:t>as discussed in</w:t>
      </w:r>
      <w:r w:rsidR="00F20228" w:rsidRPr="00300CA4">
        <w:t xml:space="preserve"> </w:t>
      </w:r>
      <w:r w:rsidR="00F63A60" w:rsidRPr="00300CA4">
        <w:t>p</w:t>
      </w:r>
      <w:r w:rsidR="00F20228" w:rsidRPr="00300CA4">
        <w:t>aragraph</w:t>
      </w:r>
      <w:r w:rsidR="00DE3BA1" w:rsidRPr="00300CA4">
        <w:t xml:space="preserve"> </w:t>
      </w:r>
      <w:r w:rsidR="00DE3BA1" w:rsidRPr="00300CA4">
        <w:fldChar w:fldCharType="begin" w:fldLock="1"/>
      </w:r>
      <w:r w:rsidR="00DE3BA1" w:rsidRPr="00300CA4">
        <w:instrText xml:space="preserve"> REF _Ref198218667 \r \h </w:instrText>
      </w:r>
      <w:r w:rsidR="00300CA4" w:rsidRPr="00300CA4">
        <w:instrText xml:space="preserve"> \* MERGEFORMAT </w:instrText>
      </w:r>
      <w:r w:rsidR="00DE3BA1" w:rsidRPr="00300CA4">
        <w:fldChar w:fldCharType="separate"/>
      </w:r>
      <w:r w:rsidR="00582001">
        <w:t>6.15</w:t>
      </w:r>
      <w:r w:rsidR="00DE3BA1" w:rsidRPr="00300CA4">
        <w:fldChar w:fldCharType="end"/>
      </w:r>
      <w:r w:rsidR="00F20228" w:rsidRPr="00300CA4">
        <w:t>. The harms were presented in</w:t>
      </w:r>
      <w:r w:rsidRPr="00300CA4">
        <w:t xml:space="preserve"> </w:t>
      </w:r>
      <w:r w:rsidR="00F57782" w:rsidRPr="00300CA4">
        <w:fldChar w:fldCharType="begin" w:fldLock="1"/>
      </w:r>
      <w:r w:rsidR="00F57782" w:rsidRPr="00300CA4">
        <w:instrText xml:space="preserve"> REF _Ref195274148 \h </w:instrText>
      </w:r>
      <w:r w:rsidR="00E63F24" w:rsidRPr="00300CA4">
        <w:instrText xml:space="preserve"> \* MERGEFORMAT </w:instrText>
      </w:r>
      <w:r w:rsidR="00F57782" w:rsidRPr="00300CA4">
        <w:fldChar w:fldCharType="separate"/>
      </w:r>
      <w:r w:rsidR="00715987" w:rsidRPr="00300CA4">
        <w:t>Table 11</w:t>
      </w:r>
      <w:r w:rsidR="00F57782" w:rsidRPr="00300CA4">
        <w:fldChar w:fldCharType="end"/>
      </w:r>
      <w:r w:rsidR="00C5488A" w:rsidRPr="00300CA4">
        <w:fldChar w:fldCharType="begin" w:fldLock="1"/>
      </w:r>
      <w:r w:rsidR="00C5488A" w:rsidRPr="00300CA4">
        <w:instrText xml:space="preserve"> REF _Ref195274148 \h </w:instrText>
      </w:r>
      <w:r w:rsidR="008D4365" w:rsidRPr="00300CA4">
        <w:instrText xml:space="preserve"> \* MERGEFORMAT </w:instrText>
      </w:r>
      <w:r w:rsidR="00C5488A" w:rsidRPr="00300CA4">
        <w:fldChar w:fldCharType="separate"/>
      </w:r>
      <w:r w:rsidR="00C5488A" w:rsidRPr="00300CA4">
        <w:fldChar w:fldCharType="end"/>
      </w:r>
      <w:r w:rsidRPr="00300CA4">
        <w:t xml:space="preserve">. </w:t>
      </w:r>
    </w:p>
    <w:p w14:paraId="7A1772B6" w14:textId="69B73A26" w:rsidR="00B60939" w:rsidRPr="00C9624D" w:rsidRDefault="00B60939" w:rsidP="00E9094A">
      <w:pPr>
        <w:pStyle w:val="4-SubsectionHeading"/>
      </w:pPr>
      <w:bookmarkStart w:id="50" w:name="_Toc22897644"/>
      <w:bookmarkStart w:id="51" w:name="_Toc198632860"/>
      <w:r w:rsidRPr="00C9624D">
        <w:t>Clinical claim</w:t>
      </w:r>
      <w:bookmarkEnd w:id="50"/>
      <w:bookmarkEnd w:id="51"/>
    </w:p>
    <w:p w14:paraId="04BEFC82" w14:textId="1BB1B8C1" w:rsidR="0010707B" w:rsidRPr="00300CA4" w:rsidRDefault="006D1847" w:rsidP="00B7760B">
      <w:pPr>
        <w:widowControl w:val="0"/>
        <w:numPr>
          <w:ilvl w:val="1"/>
          <w:numId w:val="1"/>
        </w:numPr>
        <w:spacing w:after="120"/>
        <w:ind w:left="720"/>
        <w:rPr>
          <w:rFonts w:eastAsia="Calibri"/>
        </w:rPr>
      </w:pPr>
      <w:r w:rsidRPr="2C3D3B2A">
        <w:rPr>
          <w:rFonts w:eastAsia="Calibri"/>
        </w:rPr>
        <w:t>The submission described CAL/BDP cream as superior in terms of efficacy and non-</w:t>
      </w:r>
      <w:r w:rsidRPr="00B7760B">
        <w:t>inferior</w:t>
      </w:r>
      <w:r w:rsidRPr="2C3D3B2A">
        <w:rPr>
          <w:rFonts w:eastAsia="Calibri"/>
        </w:rPr>
        <w:t xml:space="preserve"> in term</w:t>
      </w:r>
      <w:r w:rsidR="00D859A2" w:rsidRPr="2C3D3B2A">
        <w:rPr>
          <w:rFonts w:eastAsia="Calibri"/>
        </w:rPr>
        <w:t>s</w:t>
      </w:r>
      <w:r w:rsidRPr="2C3D3B2A">
        <w:rPr>
          <w:rFonts w:eastAsia="Calibri"/>
        </w:rPr>
        <w:t xml:space="preserve"> of safety compared to CAL/BDP ointment</w:t>
      </w:r>
      <w:r w:rsidRPr="2C3D3B2A">
        <w:rPr>
          <w:rFonts w:eastAsia="Calibri"/>
          <w:i/>
          <w:iCs/>
        </w:rPr>
        <w:t xml:space="preserve">. </w:t>
      </w:r>
      <w:r w:rsidRPr="2C3D3B2A">
        <w:rPr>
          <w:rFonts w:eastAsia="Calibri"/>
        </w:rPr>
        <w:t>The claim of superiority in efficacy was not adequately supported</w:t>
      </w:r>
      <w:r w:rsidR="243EEA3A" w:rsidRPr="2C3D3B2A">
        <w:rPr>
          <w:rFonts w:eastAsia="Calibri"/>
        </w:rPr>
        <w:t xml:space="preserve"> </w:t>
      </w:r>
      <w:r w:rsidR="6C44155B" w:rsidRPr="2C3D3B2A">
        <w:rPr>
          <w:rFonts w:eastAsia="Calibri"/>
        </w:rPr>
        <w:t xml:space="preserve">by </w:t>
      </w:r>
      <w:r w:rsidR="25ACE4C8" w:rsidRPr="2C3D3B2A">
        <w:rPr>
          <w:rFonts w:eastAsia="Calibri"/>
        </w:rPr>
        <w:t xml:space="preserve">the </w:t>
      </w:r>
      <w:r w:rsidR="6C44155B" w:rsidRPr="2C3D3B2A">
        <w:rPr>
          <w:rFonts w:eastAsia="Calibri"/>
        </w:rPr>
        <w:t>evidence</w:t>
      </w:r>
      <w:r w:rsidRPr="2C3D3B2A">
        <w:rPr>
          <w:rFonts w:eastAsia="Calibri"/>
        </w:rPr>
        <w:t xml:space="preserve"> because: </w:t>
      </w:r>
    </w:p>
    <w:p w14:paraId="2A379D2A" w14:textId="65128735" w:rsidR="00C25143" w:rsidRPr="00300CA4" w:rsidRDefault="00C25143" w:rsidP="00DE2991">
      <w:pPr>
        <w:pStyle w:val="ListParagraph"/>
        <w:spacing w:after="0"/>
        <w:ind w:left="1080"/>
        <w:rPr>
          <w:rFonts w:eastAsia="Calibri"/>
        </w:rPr>
      </w:pPr>
      <w:r w:rsidRPr="00300CA4">
        <w:rPr>
          <w:rFonts w:eastAsia="Calibri"/>
        </w:rPr>
        <w:t xml:space="preserve">The evidence was based on a head-to-head pharmacokinetic trial comparing CAL/BDP cream with ointment (MC2-01-C3), and two non-inferiority trials between CAL/BDP cream and gel (MC2-01-C2 and MC2-01-C7), assuming gel as a proxy for ointment. </w:t>
      </w:r>
      <w:r w:rsidR="007E1760" w:rsidRPr="003910CE">
        <w:rPr>
          <w:rFonts w:eastAsia="Calibri"/>
        </w:rPr>
        <w:t>The</w:t>
      </w:r>
      <w:r w:rsidR="000332AD" w:rsidRPr="003910CE">
        <w:rPr>
          <w:rFonts w:eastAsia="Calibri"/>
        </w:rPr>
        <w:t xml:space="preserve"> Pre-Sub-Committee Response</w:t>
      </w:r>
      <w:r w:rsidR="007E1760" w:rsidRPr="003910CE">
        <w:rPr>
          <w:rFonts w:eastAsia="Calibri"/>
        </w:rPr>
        <w:t xml:space="preserve"> </w:t>
      </w:r>
      <w:r w:rsidR="000332AD" w:rsidRPr="003910CE">
        <w:rPr>
          <w:rFonts w:eastAsia="Calibri"/>
        </w:rPr>
        <w:t>(</w:t>
      </w:r>
      <w:r w:rsidR="007E1760" w:rsidRPr="003910CE">
        <w:t>PSCR</w:t>
      </w:r>
      <w:r w:rsidR="000332AD" w:rsidRPr="003910CE">
        <w:t>)</w:t>
      </w:r>
      <w:r w:rsidR="007E1760" w:rsidRPr="003910CE">
        <w:t xml:space="preserve"> maintained that CAL/BDP gel was a relevant proxy for CAL/BDP ointment, due to the PBAC previously considering the equi-effective dose is 1 gram gel to 1 gram ointment.</w:t>
      </w:r>
    </w:p>
    <w:p w14:paraId="429FFFB6" w14:textId="12D9EA7A" w:rsidR="00C05D97" w:rsidRPr="00300CA4" w:rsidRDefault="00A21E06" w:rsidP="00DE2991">
      <w:pPr>
        <w:pStyle w:val="ListParagraph"/>
        <w:spacing w:after="0"/>
        <w:ind w:left="1080"/>
        <w:rPr>
          <w:rFonts w:eastAsia="Calibri"/>
        </w:rPr>
      </w:pPr>
      <w:r w:rsidRPr="00300CA4">
        <w:rPr>
          <w:rFonts w:eastAsia="Calibri"/>
        </w:rPr>
        <w:t xml:space="preserve">The </w:t>
      </w:r>
      <w:r w:rsidR="00C05D97" w:rsidRPr="00300CA4">
        <w:rPr>
          <w:rFonts w:eastAsia="Calibri"/>
        </w:rPr>
        <w:t xml:space="preserve">MC2-01-C3 trial demonstrated similar efficacy between the treatment arms in terms of PGA success rate (29.6% vs. 26.7%). </w:t>
      </w:r>
      <w:r w:rsidR="00E97EAC" w:rsidRPr="003910CE">
        <w:rPr>
          <w:rFonts w:eastAsia="Calibri"/>
        </w:rPr>
        <w:t xml:space="preserve">The PSCR stated that the MC2-01-C3 trial </w:t>
      </w:r>
      <w:r w:rsidR="0053332D" w:rsidRPr="003910CE">
        <w:rPr>
          <w:rFonts w:eastAsia="Calibri"/>
        </w:rPr>
        <w:t xml:space="preserve">was a small study and was designed to demonstrate equivalent safety outcomes between CAL/BDP cream and ointment. It claimed that the </w:t>
      </w:r>
      <w:r w:rsidR="004E0968" w:rsidRPr="003910CE">
        <w:rPr>
          <w:rFonts w:eastAsia="Calibri"/>
        </w:rPr>
        <w:t>small sample size was not large enough to evaluate superior efficacy between treatments, and that superior efficacy of CAL/BDP cream is demonstrated in the MC2-01-C2 and MC2-01-C7 trials.</w:t>
      </w:r>
    </w:p>
    <w:p w14:paraId="0F21B699" w14:textId="4D050537" w:rsidR="00C05D97" w:rsidRPr="003910CE" w:rsidRDefault="00C05D97" w:rsidP="00DE2991">
      <w:pPr>
        <w:pStyle w:val="ListParagraph"/>
        <w:spacing w:after="0"/>
        <w:ind w:left="1080"/>
        <w:rPr>
          <w:rFonts w:eastAsia="Calibri"/>
        </w:rPr>
      </w:pPr>
      <w:r w:rsidRPr="00300CA4">
        <w:rPr>
          <w:rFonts w:eastAsia="Calibri"/>
        </w:rPr>
        <w:t>While CAL/BDP cream showed statistically significant</w:t>
      </w:r>
      <w:r w:rsidR="00674C11" w:rsidRPr="00300CA4">
        <w:rPr>
          <w:rFonts w:eastAsia="Calibri"/>
        </w:rPr>
        <w:t xml:space="preserve"> greater</w:t>
      </w:r>
      <w:r w:rsidRPr="00300CA4">
        <w:rPr>
          <w:rFonts w:eastAsia="Calibri"/>
        </w:rPr>
        <w:t xml:space="preserve"> treatment convenience in MC2-01-C3 using the PTCS, </w:t>
      </w:r>
      <w:r w:rsidR="00B11693" w:rsidRPr="00300CA4">
        <w:rPr>
          <w:rFonts w:eastAsia="Calibri"/>
        </w:rPr>
        <w:t>the PTCS was developed by the sponsor (MC2 Therapeutics) and this instrument</w:t>
      </w:r>
      <w:r w:rsidR="00674C11" w:rsidRPr="00300CA4">
        <w:rPr>
          <w:rFonts w:eastAsia="Calibri"/>
        </w:rPr>
        <w:t xml:space="preserve"> has</w:t>
      </w:r>
      <w:r w:rsidR="00B11693" w:rsidRPr="00300CA4">
        <w:rPr>
          <w:rFonts w:eastAsia="Calibri"/>
        </w:rPr>
        <w:t xml:space="preserve"> </w:t>
      </w:r>
      <w:r w:rsidRPr="00300CA4">
        <w:rPr>
          <w:rFonts w:eastAsia="Calibri"/>
        </w:rPr>
        <w:t>several limitations, including low internal consistency and lack of external validity</w:t>
      </w:r>
      <w:r w:rsidR="006317AF" w:rsidRPr="00300CA4">
        <w:rPr>
          <w:rFonts w:eastAsia="Calibri"/>
        </w:rPr>
        <w:t xml:space="preserve">, as outlined in paragraph </w:t>
      </w:r>
      <w:r w:rsidR="006317AF" w:rsidRPr="00300CA4">
        <w:rPr>
          <w:rFonts w:eastAsia="Calibri"/>
        </w:rPr>
        <w:fldChar w:fldCharType="begin" w:fldLock="1"/>
      </w:r>
      <w:r w:rsidR="006317AF" w:rsidRPr="00300CA4">
        <w:rPr>
          <w:rFonts w:eastAsia="Calibri"/>
        </w:rPr>
        <w:instrText xml:space="preserve"> REF _Ref196145635 \r \h </w:instrText>
      </w:r>
      <w:r w:rsidR="00300CA4">
        <w:rPr>
          <w:rFonts w:eastAsia="Calibri"/>
        </w:rPr>
        <w:instrText xml:space="preserve"> \* MERGEFORMAT </w:instrText>
      </w:r>
      <w:r w:rsidR="006317AF" w:rsidRPr="00300CA4">
        <w:rPr>
          <w:rFonts w:eastAsia="Calibri"/>
        </w:rPr>
      </w:r>
      <w:r w:rsidR="006317AF" w:rsidRPr="00300CA4">
        <w:rPr>
          <w:rFonts w:eastAsia="Calibri"/>
        </w:rPr>
        <w:fldChar w:fldCharType="separate"/>
      </w:r>
      <w:r w:rsidR="00EF5C10">
        <w:rPr>
          <w:rFonts w:eastAsia="Calibri"/>
        </w:rPr>
        <w:t>6.15</w:t>
      </w:r>
      <w:r w:rsidR="006317AF" w:rsidRPr="00300CA4">
        <w:rPr>
          <w:rFonts w:eastAsia="Calibri"/>
        </w:rPr>
        <w:fldChar w:fldCharType="end"/>
      </w:r>
      <w:r w:rsidR="006317AF" w:rsidRPr="00300CA4">
        <w:rPr>
          <w:rFonts w:eastAsia="Calibri"/>
        </w:rPr>
        <w:t>.</w:t>
      </w:r>
      <w:r w:rsidR="004155C5">
        <w:rPr>
          <w:rFonts w:eastAsia="Calibri"/>
          <w:i/>
          <w:iCs/>
        </w:rPr>
        <w:t xml:space="preserve"> </w:t>
      </w:r>
      <w:r w:rsidR="004155C5" w:rsidRPr="003910CE">
        <w:rPr>
          <w:rFonts w:eastAsia="Calibri"/>
        </w:rPr>
        <w:lastRenderedPageBreak/>
        <w:t xml:space="preserve">The PSCR </w:t>
      </w:r>
      <w:r w:rsidR="0060432B" w:rsidRPr="003910CE">
        <w:rPr>
          <w:rFonts w:eastAsia="Calibri"/>
        </w:rPr>
        <w:t xml:space="preserve">claimed a literature review was undertaken, which reported that patients often find </w:t>
      </w:r>
      <w:r w:rsidR="000A3B66" w:rsidRPr="003910CE">
        <w:rPr>
          <w:rFonts w:eastAsia="Calibri"/>
        </w:rPr>
        <w:t xml:space="preserve">use </w:t>
      </w:r>
      <w:r w:rsidR="0060432B" w:rsidRPr="003910CE">
        <w:rPr>
          <w:rFonts w:eastAsia="Calibri"/>
        </w:rPr>
        <w:t xml:space="preserve">of ointment to be messy, </w:t>
      </w:r>
      <w:r w:rsidR="004126AF" w:rsidRPr="003910CE">
        <w:rPr>
          <w:rFonts w:eastAsia="Calibri"/>
        </w:rPr>
        <w:t xml:space="preserve">and </w:t>
      </w:r>
      <w:r w:rsidR="00914C97" w:rsidRPr="003910CE">
        <w:rPr>
          <w:rFonts w:eastAsia="Calibri"/>
        </w:rPr>
        <w:t xml:space="preserve">there were </w:t>
      </w:r>
      <w:r w:rsidR="004126AF" w:rsidRPr="003910CE">
        <w:rPr>
          <w:rFonts w:eastAsia="Calibri"/>
        </w:rPr>
        <w:t xml:space="preserve">concerns about its impact on adherence. Compliance studies found that poor adherence to topical treatments for psoriasis </w:t>
      </w:r>
      <w:r w:rsidR="00C84490" w:rsidRPr="003910CE">
        <w:rPr>
          <w:rFonts w:eastAsia="Calibri"/>
        </w:rPr>
        <w:t xml:space="preserve">can </w:t>
      </w:r>
      <w:r w:rsidR="00EA0519" w:rsidRPr="003910CE">
        <w:rPr>
          <w:rFonts w:eastAsia="Calibri"/>
        </w:rPr>
        <w:t>contribute to poor treatment outcomes</w:t>
      </w:r>
      <w:r w:rsidR="00607834" w:rsidRPr="003910CE">
        <w:rPr>
          <w:rFonts w:eastAsia="Calibri"/>
        </w:rPr>
        <w:t>,</w:t>
      </w:r>
      <w:r w:rsidR="00EA0519" w:rsidRPr="003910CE">
        <w:rPr>
          <w:rStyle w:val="FootnoteReference"/>
          <w:rFonts w:eastAsia="Calibri"/>
        </w:rPr>
        <w:footnoteReference w:id="9"/>
      </w:r>
      <w:r w:rsidR="00607834" w:rsidRPr="003910CE">
        <w:rPr>
          <w:rFonts w:eastAsia="Calibri"/>
        </w:rPr>
        <w:t xml:space="preserve"> and patients generally prefer light, moisturising and quickly absorbing forms over ointment </w:t>
      </w:r>
      <w:r w:rsidR="002E45EA" w:rsidRPr="003910CE">
        <w:rPr>
          <w:rFonts w:eastAsia="Calibri"/>
        </w:rPr>
        <w:t>for ease of use and cosmetic acceptability.</w:t>
      </w:r>
      <w:r w:rsidR="002E0419" w:rsidRPr="003910CE">
        <w:rPr>
          <w:rFonts w:eastAsia="Calibri"/>
        </w:rPr>
        <w:t xml:space="preserve"> The PSCR stated that a literature review found an absence of a validated patient questionnaire</w:t>
      </w:r>
      <w:r w:rsidR="00806EBE" w:rsidRPr="003910CE">
        <w:rPr>
          <w:rFonts w:eastAsia="Calibri"/>
        </w:rPr>
        <w:t xml:space="preserve"> specific for evaluat</w:t>
      </w:r>
      <w:r w:rsidR="00E36E79" w:rsidRPr="003910CE">
        <w:rPr>
          <w:rFonts w:eastAsia="Calibri"/>
        </w:rPr>
        <w:t>ing</w:t>
      </w:r>
      <w:r w:rsidR="00806EBE" w:rsidRPr="003910CE">
        <w:rPr>
          <w:rFonts w:eastAsia="Calibri"/>
        </w:rPr>
        <w:t xml:space="preserve"> psoriasis treatment convenience, and the PTCS was therefore developed. </w:t>
      </w:r>
      <w:r w:rsidR="006C1EFC" w:rsidRPr="003910CE">
        <w:rPr>
          <w:rFonts w:eastAsia="Calibri"/>
        </w:rPr>
        <w:t>The PSCR claimed that developing the PTCS followed</w:t>
      </w:r>
      <w:r w:rsidR="00E60679">
        <w:rPr>
          <w:rFonts w:eastAsia="Calibri"/>
        </w:rPr>
        <w:t xml:space="preserve"> Food and Drug Administration</w:t>
      </w:r>
      <w:r w:rsidR="006C1EFC" w:rsidRPr="003910CE">
        <w:rPr>
          <w:rFonts w:eastAsia="Calibri"/>
        </w:rPr>
        <w:t xml:space="preserve"> </w:t>
      </w:r>
      <w:r w:rsidR="00E60679">
        <w:rPr>
          <w:rFonts w:eastAsia="Calibri"/>
        </w:rPr>
        <w:t>(</w:t>
      </w:r>
      <w:r w:rsidR="006C1EFC" w:rsidRPr="003910CE">
        <w:rPr>
          <w:rFonts w:eastAsia="Calibri"/>
        </w:rPr>
        <w:t>FDA</w:t>
      </w:r>
      <w:r w:rsidR="00E60679">
        <w:rPr>
          <w:rFonts w:eastAsia="Calibri"/>
        </w:rPr>
        <w:t>)</w:t>
      </w:r>
      <w:r w:rsidR="006C1EFC" w:rsidRPr="003910CE">
        <w:rPr>
          <w:rFonts w:eastAsia="Calibri"/>
        </w:rPr>
        <w:t xml:space="preserve"> guidance on</w:t>
      </w:r>
      <w:r w:rsidR="003E3993" w:rsidRPr="003910CE">
        <w:rPr>
          <w:rFonts w:eastAsia="Calibri"/>
        </w:rPr>
        <w:t xml:space="preserve"> patient-reported outcome</w:t>
      </w:r>
      <w:r w:rsidR="006C1EFC" w:rsidRPr="003910CE">
        <w:rPr>
          <w:rFonts w:eastAsia="Calibri"/>
        </w:rPr>
        <w:t xml:space="preserve"> </w:t>
      </w:r>
      <w:r w:rsidR="003E3993" w:rsidRPr="003910CE">
        <w:rPr>
          <w:rFonts w:eastAsia="Calibri"/>
        </w:rPr>
        <w:t>(</w:t>
      </w:r>
      <w:r w:rsidR="006C1EFC" w:rsidRPr="003910CE">
        <w:rPr>
          <w:rFonts w:eastAsia="Calibri"/>
        </w:rPr>
        <w:t>PRO</w:t>
      </w:r>
      <w:r w:rsidR="003E3993" w:rsidRPr="003910CE">
        <w:rPr>
          <w:rFonts w:eastAsia="Calibri"/>
        </w:rPr>
        <w:t>)</w:t>
      </w:r>
      <w:r w:rsidR="006C1EFC" w:rsidRPr="003910CE">
        <w:rPr>
          <w:rFonts w:eastAsia="Calibri"/>
        </w:rPr>
        <w:t xml:space="preserve"> validation </w:t>
      </w:r>
      <w:r w:rsidR="00E263F5" w:rsidRPr="003910CE">
        <w:rPr>
          <w:rFonts w:eastAsia="Calibri"/>
        </w:rPr>
        <w:t>and the International Society of Pharmacoeconomics and Outcomes Research (ISPOR) on good practice.</w:t>
      </w:r>
      <w:r w:rsidR="001A0351" w:rsidRPr="003910CE">
        <w:rPr>
          <w:rFonts w:eastAsia="Calibri"/>
        </w:rPr>
        <w:t xml:space="preserve"> The PSCR claimed that </w:t>
      </w:r>
      <w:r w:rsidR="004C2582" w:rsidRPr="003910CE">
        <w:rPr>
          <w:rFonts w:eastAsia="Calibri"/>
        </w:rPr>
        <w:t xml:space="preserve">analysis of the validity of the instrument showed a modest to good relative effect size </w:t>
      </w:r>
      <w:r w:rsidR="005254D3" w:rsidRPr="003910CE">
        <w:rPr>
          <w:rFonts w:eastAsia="Calibri"/>
        </w:rPr>
        <w:t>and high sensitivity to detect treatment differences.</w:t>
      </w:r>
    </w:p>
    <w:p w14:paraId="1B66B804" w14:textId="5337DFD9" w:rsidR="00C05D97" w:rsidRPr="00300CA4" w:rsidRDefault="00C05D97" w:rsidP="00DE2991">
      <w:pPr>
        <w:pStyle w:val="ListParagraph"/>
        <w:spacing w:after="0"/>
        <w:ind w:left="1080"/>
        <w:rPr>
          <w:rFonts w:eastAsia="Calibri"/>
        </w:rPr>
      </w:pPr>
      <w:r w:rsidRPr="00300CA4">
        <w:rPr>
          <w:rFonts w:eastAsia="Calibri"/>
        </w:rPr>
        <w:t>MC2-01-C2 and MC2-01-C7 trials were designed to demonstrate non-inferiority rather than superiority. Therefore, the approach of inferring superiority based on the lower bound of the 95% confidence interval being greater than zero was not appropriate, as superiority should be pre-specified and formally tested.</w:t>
      </w:r>
      <w:r w:rsidR="00856188">
        <w:rPr>
          <w:rFonts w:eastAsia="Calibri"/>
        </w:rPr>
        <w:t xml:space="preserve"> </w:t>
      </w:r>
      <w:r w:rsidR="00856188" w:rsidRPr="003910CE">
        <w:rPr>
          <w:rFonts w:eastAsia="Calibri"/>
        </w:rPr>
        <w:t xml:space="preserve">The PSCR  </w:t>
      </w:r>
      <w:r w:rsidR="00804959" w:rsidRPr="003910CE">
        <w:rPr>
          <w:rFonts w:eastAsia="Calibri"/>
        </w:rPr>
        <w:t>acknowledged that in MC2-01-C</w:t>
      </w:r>
      <w:r w:rsidR="00130826" w:rsidRPr="003910CE">
        <w:rPr>
          <w:rFonts w:eastAsia="Calibri"/>
        </w:rPr>
        <w:t>7 superiority was not achieved</w:t>
      </w:r>
      <w:r w:rsidR="009F20A0" w:rsidRPr="003910CE">
        <w:rPr>
          <w:rFonts w:eastAsia="Calibri"/>
        </w:rPr>
        <w:t xml:space="preserve"> and that the differen</w:t>
      </w:r>
      <w:r w:rsidR="00BF1F03" w:rsidRPr="003910CE">
        <w:rPr>
          <w:rFonts w:eastAsia="Calibri"/>
        </w:rPr>
        <w:t>ce</w:t>
      </w:r>
      <w:r w:rsidR="009F20A0" w:rsidRPr="003910CE">
        <w:rPr>
          <w:rFonts w:eastAsia="Calibri"/>
        </w:rPr>
        <w:t xml:space="preserve"> in treatment success rate for PGA showing statistical significance to the advantage of CAL/BDP cream was ou</w:t>
      </w:r>
      <w:r w:rsidR="001B571D" w:rsidRPr="003910CE">
        <w:rPr>
          <w:rFonts w:eastAsia="Calibri"/>
        </w:rPr>
        <w:t>tside the confirmatory testing hierarchy. The PSCR</w:t>
      </w:r>
      <w:r w:rsidR="002850A2">
        <w:rPr>
          <w:rFonts w:eastAsia="Calibri"/>
        </w:rPr>
        <w:t xml:space="preserve"> and pre-PBAC response </w:t>
      </w:r>
      <w:r w:rsidR="001B571D" w:rsidRPr="003910CE">
        <w:rPr>
          <w:rFonts w:eastAsia="Calibri"/>
        </w:rPr>
        <w:t xml:space="preserve">maintained that in MC2-01-C2 </w:t>
      </w:r>
      <w:r w:rsidR="00787B9F" w:rsidRPr="003910CE">
        <w:rPr>
          <w:rFonts w:eastAsia="Calibri"/>
        </w:rPr>
        <w:t xml:space="preserve">the difference in PGA treatment success rate </w:t>
      </w:r>
      <w:r w:rsidR="00750AF4" w:rsidRPr="003910CE">
        <w:rPr>
          <w:rFonts w:eastAsia="Calibri"/>
        </w:rPr>
        <w:t>between cream and gel demonstrated statistical significance at the 0.05 level</w:t>
      </w:r>
      <w:r w:rsidR="00A10184" w:rsidRPr="003910CE">
        <w:rPr>
          <w:rFonts w:eastAsia="Calibri"/>
        </w:rPr>
        <w:t>, and argued that the cream was superior to gel across the range of plausible t</w:t>
      </w:r>
      <w:r w:rsidR="00ED393E" w:rsidRPr="003910CE">
        <w:rPr>
          <w:rFonts w:eastAsia="Calibri"/>
        </w:rPr>
        <w:t>rue treatment differences. The PSCR</w:t>
      </w:r>
      <w:r w:rsidR="002850A2">
        <w:rPr>
          <w:rFonts w:eastAsia="Calibri"/>
        </w:rPr>
        <w:t xml:space="preserve"> </w:t>
      </w:r>
      <w:r w:rsidR="000A07DD">
        <w:rPr>
          <w:rFonts w:eastAsia="Calibri"/>
        </w:rPr>
        <w:t>and pre-PBAC response</w:t>
      </w:r>
      <w:r w:rsidR="00ED393E" w:rsidRPr="003910CE">
        <w:rPr>
          <w:rFonts w:eastAsia="Calibri"/>
        </w:rPr>
        <w:t xml:space="preserve"> maintained that superiority of CAL/BDP cream compared to CAL/BDP gel has been demonstrated.</w:t>
      </w:r>
    </w:p>
    <w:p w14:paraId="4EAE4047" w14:textId="0C778543" w:rsidR="00C05D97" w:rsidRPr="00300CA4" w:rsidRDefault="00C05D97" w:rsidP="00DE2991">
      <w:pPr>
        <w:pStyle w:val="ListParagraph"/>
        <w:spacing w:after="0"/>
        <w:ind w:left="1080"/>
        <w:rPr>
          <w:rFonts w:eastAsia="Calibri"/>
        </w:rPr>
      </w:pPr>
      <w:r w:rsidRPr="00300CA4">
        <w:rPr>
          <w:rFonts w:eastAsia="Calibri"/>
        </w:rPr>
        <w:t xml:space="preserve">The proportion of missing data was not reported, and the methods used to handle missing data </w:t>
      </w:r>
      <w:r w:rsidR="008673CC" w:rsidRPr="00300CA4">
        <w:rPr>
          <w:rFonts w:eastAsia="Calibri"/>
        </w:rPr>
        <w:t xml:space="preserve">were </w:t>
      </w:r>
      <w:r w:rsidRPr="00300CA4">
        <w:rPr>
          <w:rFonts w:eastAsia="Calibri"/>
        </w:rPr>
        <w:t>inconsistent; thereby, the impact of potential bias remains unclear in MC2-01-C2 and MC2-01-C7 trials.</w:t>
      </w:r>
    </w:p>
    <w:p w14:paraId="4C6CA8C5" w14:textId="520722BB" w:rsidR="006317AF" w:rsidRPr="008D7433" w:rsidRDefault="00C05D97" w:rsidP="008D7433">
      <w:pPr>
        <w:pStyle w:val="ListParagraph"/>
        <w:ind w:left="1080"/>
        <w:rPr>
          <w:rFonts w:eastAsia="Calibri"/>
        </w:rPr>
      </w:pPr>
      <w:r w:rsidRPr="00300CA4">
        <w:rPr>
          <w:rFonts w:eastAsia="Calibri"/>
        </w:rPr>
        <w:t>The findings in these trial</w:t>
      </w:r>
      <w:r w:rsidR="0016652C" w:rsidRPr="00300CA4">
        <w:rPr>
          <w:rFonts w:eastAsia="Calibri"/>
        </w:rPr>
        <w:t>s</w:t>
      </w:r>
      <w:r w:rsidRPr="00300CA4">
        <w:rPr>
          <w:rFonts w:eastAsia="Calibri"/>
        </w:rPr>
        <w:t xml:space="preserve"> may have been confounded by </w:t>
      </w:r>
      <w:r w:rsidR="008673CC" w:rsidRPr="00300CA4">
        <w:rPr>
          <w:rFonts w:eastAsia="Calibri"/>
        </w:rPr>
        <w:t xml:space="preserve">a </w:t>
      </w:r>
      <w:r w:rsidRPr="00300CA4">
        <w:rPr>
          <w:rFonts w:eastAsia="Calibri"/>
        </w:rPr>
        <w:t>higher mean amount of drug used in the CAL/BDP cream group</w:t>
      </w:r>
      <w:r w:rsidR="008673CC" w:rsidRPr="00300CA4">
        <w:rPr>
          <w:rFonts w:eastAsia="Calibri"/>
        </w:rPr>
        <w:t>s</w:t>
      </w:r>
      <w:r w:rsidRPr="00300CA4">
        <w:rPr>
          <w:rFonts w:eastAsia="Calibri"/>
        </w:rPr>
        <w:t xml:space="preserve"> compared to the comparator arm</w:t>
      </w:r>
      <w:r w:rsidR="008673CC" w:rsidRPr="00300CA4">
        <w:rPr>
          <w:rFonts w:eastAsia="Calibri"/>
        </w:rPr>
        <w:t>s</w:t>
      </w:r>
      <w:r w:rsidRPr="00300CA4">
        <w:rPr>
          <w:rFonts w:eastAsia="Calibri"/>
        </w:rPr>
        <w:t>.</w:t>
      </w:r>
      <w:r w:rsidRPr="003910CE">
        <w:rPr>
          <w:rFonts w:eastAsia="Calibri"/>
        </w:rPr>
        <w:t xml:space="preserve"> </w:t>
      </w:r>
      <w:r w:rsidR="006D22D1" w:rsidRPr="003910CE">
        <w:rPr>
          <w:rFonts w:eastAsia="Calibri"/>
        </w:rPr>
        <w:t xml:space="preserve">The PSCR </w:t>
      </w:r>
      <w:r w:rsidR="00BE2029" w:rsidRPr="003910CE">
        <w:rPr>
          <w:rFonts w:eastAsia="Calibri"/>
        </w:rPr>
        <w:t xml:space="preserve">claimed that additional analyses </w:t>
      </w:r>
      <w:r w:rsidR="00145428" w:rsidRPr="003910CE">
        <w:rPr>
          <w:rFonts w:eastAsia="Calibri"/>
        </w:rPr>
        <w:t xml:space="preserve">for MC2-01-C2 and </w:t>
      </w:r>
      <w:r w:rsidR="00472306" w:rsidRPr="003910CE">
        <w:rPr>
          <w:rFonts w:eastAsia="Calibri"/>
        </w:rPr>
        <w:t>MC2-01-C7 trials w</w:t>
      </w:r>
      <w:r w:rsidR="00CC530E" w:rsidRPr="003910CE">
        <w:rPr>
          <w:rFonts w:eastAsia="Calibri"/>
        </w:rPr>
        <w:t xml:space="preserve">ere conducted to evaluate efficacy by amount of drug used, and that </w:t>
      </w:r>
      <w:r w:rsidR="00525441" w:rsidRPr="003910CE">
        <w:rPr>
          <w:rFonts w:eastAsia="Calibri"/>
        </w:rPr>
        <w:t>efficacy of CAL/BDP cream was higher than CAL/BDP gel efficacy regardless of the amount us</w:t>
      </w:r>
      <w:r w:rsidR="003B4BCB" w:rsidRPr="003910CE">
        <w:rPr>
          <w:rFonts w:eastAsia="Calibri"/>
        </w:rPr>
        <w:t>ed.</w:t>
      </w:r>
      <w:r w:rsidR="00522AC4" w:rsidRPr="003910CE">
        <w:rPr>
          <w:rFonts w:eastAsia="Calibri"/>
        </w:rPr>
        <w:t xml:space="preserve"> </w:t>
      </w:r>
      <w:r w:rsidR="004C48A3">
        <w:rPr>
          <w:rFonts w:eastAsia="Calibri"/>
        </w:rPr>
        <w:t xml:space="preserve">The pre-PBAC response </w:t>
      </w:r>
      <w:r w:rsidR="00730115">
        <w:rPr>
          <w:rFonts w:eastAsia="Calibri"/>
        </w:rPr>
        <w:t xml:space="preserve">referred to post-hoc analyses undertaken to compare </w:t>
      </w:r>
      <w:r w:rsidR="008E38BC">
        <w:rPr>
          <w:rFonts w:eastAsia="Calibri"/>
        </w:rPr>
        <w:t xml:space="preserve">the percentage change </w:t>
      </w:r>
      <w:r w:rsidR="007D5D93">
        <w:rPr>
          <w:rFonts w:eastAsia="Calibri"/>
        </w:rPr>
        <w:t xml:space="preserve">in BSA psoriatic involvement </w:t>
      </w:r>
      <w:r w:rsidR="00A677A9">
        <w:rPr>
          <w:rFonts w:eastAsia="Calibri"/>
        </w:rPr>
        <w:t xml:space="preserve">from baseline to </w:t>
      </w:r>
      <w:r w:rsidR="00A677A9">
        <w:rPr>
          <w:rFonts w:eastAsia="Calibri"/>
        </w:rPr>
        <w:lastRenderedPageBreak/>
        <w:t>week 8 for cream and active comparator in the MC2-01-C2 and MC2-01-C7 trials</w:t>
      </w:r>
      <w:r w:rsidR="001235F0">
        <w:rPr>
          <w:rFonts w:eastAsia="Calibri"/>
        </w:rPr>
        <w:t>,</w:t>
      </w:r>
      <w:r w:rsidR="00BB3921">
        <w:rPr>
          <w:rFonts w:eastAsia="Calibri"/>
        </w:rPr>
        <w:t xml:space="preserve"> based on the amount of drug used, to support its claim.</w:t>
      </w:r>
    </w:p>
    <w:p w14:paraId="040229A2" w14:textId="45CAB3E6" w:rsidR="00FD0C27" w:rsidRDefault="00FD0C27" w:rsidP="00B7760B">
      <w:pPr>
        <w:widowControl w:val="0"/>
        <w:numPr>
          <w:ilvl w:val="1"/>
          <w:numId w:val="1"/>
        </w:numPr>
        <w:spacing w:after="120"/>
        <w:ind w:left="720"/>
      </w:pPr>
      <w:r w:rsidRPr="008D7433">
        <w:t>Considering the results of non-inferiority in efficacy and safety outcomes between CAL/BDP cream and CAL/BDP gel in MC2-01-C2 and MC2-01-C7 trials,</w:t>
      </w:r>
      <w:r w:rsidR="00AE24E7" w:rsidRPr="008D7433">
        <w:t xml:space="preserve"> and assuming </w:t>
      </w:r>
      <w:r w:rsidR="00EC0059" w:rsidRPr="008D7433">
        <w:t xml:space="preserve">CAL/BDP gel and CAL/BDP ointment have </w:t>
      </w:r>
      <w:r w:rsidR="00FB7E12" w:rsidRPr="008D7433">
        <w:t>similar safety and efficacy,</w:t>
      </w:r>
      <w:r w:rsidRPr="008D7433">
        <w:t xml:space="preserve"> the efficacy and safety of CAL/BDP cream and CAL/BDP ointment are likely comparable.</w:t>
      </w:r>
    </w:p>
    <w:p w14:paraId="46F068EE" w14:textId="6E02B7FC" w:rsidR="00A604F3" w:rsidRPr="003910CE" w:rsidRDefault="00A604F3" w:rsidP="00B7760B">
      <w:pPr>
        <w:widowControl w:val="0"/>
        <w:numPr>
          <w:ilvl w:val="1"/>
          <w:numId w:val="1"/>
        </w:numPr>
        <w:spacing w:after="120"/>
        <w:ind w:left="720"/>
      </w:pPr>
      <w:r w:rsidRPr="003910CE">
        <w:t xml:space="preserve">The ESC </w:t>
      </w:r>
      <w:r w:rsidR="00390802" w:rsidRPr="003910CE">
        <w:t xml:space="preserve">considered there was a </w:t>
      </w:r>
      <w:r w:rsidR="00753A4F" w:rsidRPr="003910CE">
        <w:t xml:space="preserve">high risk of bias in </w:t>
      </w:r>
      <w:r w:rsidR="002A6AA2" w:rsidRPr="003910CE">
        <w:t xml:space="preserve">the </w:t>
      </w:r>
      <w:r w:rsidR="00753A4F" w:rsidRPr="003910CE">
        <w:t>MC2-01-C3</w:t>
      </w:r>
      <w:r w:rsidR="002A6AA2" w:rsidRPr="003910CE">
        <w:t>, MC2-01-C2 and MC2-01-C7 trials</w:t>
      </w:r>
      <w:r w:rsidR="00026AA2" w:rsidRPr="003910CE">
        <w:t xml:space="preserve">, and noted that </w:t>
      </w:r>
      <w:r w:rsidR="001F1B07" w:rsidRPr="003910CE">
        <w:t>MC2-01-C3 was a small study where the primary outcomes was the pharmacokinetic profile</w:t>
      </w:r>
      <w:r w:rsidR="002A6AA2" w:rsidRPr="003910CE">
        <w:t>.</w:t>
      </w:r>
      <w:r w:rsidR="002B688B" w:rsidRPr="003910CE">
        <w:t xml:space="preserve"> The ESC </w:t>
      </w:r>
      <w:r w:rsidR="003E7F46" w:rsidRPr="003910CE">
        <w:t>considered the findings for MC2-01-C2 and MC2-01-C7 trials demonstrated non-inferiority between the crea</w:t>
      </w:r>
      <w:r w:rsidR="00C56366" w:rsidRPr="003910CE">
        <w:t xml:space="preserve">m and the gel and considered the inference that the cream </w:t>
      </w:r>
      <w:r w:rsidR="0064436F" w:rsidRPr="003910CE">
        <w:t>has superior efficacy compared to the gel may not be statistically appropriate.</w:t>
      </w:r>
    </w:p>
    <w:p w14:paraId="0843C589" w14:textId="4AD7966D" w:rsidR="00E800A7" w:rsidRPr="00B7760B" w:rsidRDefault="00E800A7" w:rsidP="00B7760B">
      <w:pPr>
        <w:widowControl w:val="0"/>
        <w:numPr>
          <w:ilvl w:val="1"/>
          <w:numId w:val="1"/>
        </w:numPr>
        <w:spacing w:after="120"/>
        <w:ind w:left="720"/>
      </w:pPr>
      <w:r w:rsidRPr="00B7760B">
        <w:t>The ESC noted that the PTCS was developed by the sponsor</w:t>
      </w:r>
      <w:r w:rsidR="000C55F0" w:rsidRPr="00B7760B">
        <w:t xml:space="preserve"> and was </w:t>
      </w:r>
      <w:r w:rsidR="00872D6F" w:rsidRPr="00B7760B">
        <w:t>focused on the ease of use of the product</w:t>
      </w:r>
      <w:r w:rsidR="0076592C" w:rsidRPr="00B7760B">
        <w:t xml:space="preserve"> and feeling of the treatment (e.g. greasiness). The ESC</w:t>
      </w:r>
      <w:r w:rsidRPr="00B7760B">
        <w:t xml:space="preserve"> considered that while convenience is an important part of patient experience, it does not directly indicate adherence. The ESC considered that </w:t>
      </w:r>
      <w:r w:rsidR="00112D72" w:rsidRPr="00B7760B">
        <w:t xml:space="preserve">the claim that CAL/BDP cream was superior in terms of treatment convenience compared to CAL/BDP gel was uncertain, given </w:t>
      </w:r>
      <w:r w:rsidR="008B32AB" w:rsidRPr="00B7760B">
        <w:t>uncertainty in the clinical significance of the PTCS score.</w:t>
      </w:r>
    </w:p>
    <w:p w14:paraId="6C177D19" w14:textId="34822C5E" w:rsidR="000B005B" w:rsidRPr="003910CE" w:rsidRDefault="000B005B" w:rsidP="00B7760B">
      <w:pPr>
        <w:widowControl w:val="0"/>
        <w:numPr>
          <w:ilvl w:val="1"/>
          <w:numId w:val="1"/>
        </w:numPr>
        <w:spacing w:after="120"/>
        <w:ind w:left="720"/>
      </w:pPr>
      <w:r w:rsidRPr="003910CE">
        <w:t>The ESC considered there was insufficient evidence to support the claim that CAL/BDP cream had superior efficacy compared to CAL/BDP ointment.</w:t>
      </w:r>
    </w:p>
    <w:p w14:paraId="34D350DC" w14:textId="626D9EF0" w:rsidR="008B02D0" w:rsidRPr="008D7433" w:rsidRDefault="008B02D0" w:rsidP="00B7760B">
      <w:pPr>
        <w:widowControl w:val="0"/>
        <w:numPr>
          <w:ilvl w:val="1"/>
          <w:numId w:val="1"/>
        </w:numPr>
        <w:spacing w:after="120"/>
        <w:ind w:left="720"/>
        <w:rPr>
          <w:rFonts w:eastAsia="Calibri"/>
        </w:rPr>
      </w:pPr>
      <w:r w:rsidRPr="00B7760B">
        <w:t xml:space="preserve">The submission described CAL/BDP cream as non-inferior in terms of effectiveness and safety compared with CAL/BDP foam. </w:t>
      </w:r>
      <w:r w:rsidR="00940596" w:rsidRPr="00B7760B">
        <w:t xml:space="preserve">The </w:t>
      </w:r>
      <w:r w:rsidRPr="00B7760B">
        <w:t>claim</w:t>
      </w:r>
      <w:r w:rsidRPr="00B7760B" w:rsidDel="00940596">
        <w:t xml:space="preserve"> </w:t>
      </w:r>
      <w:r w:rsidR="00940596" w:rsidRPr="00B7760B">
        <w:t>for non-inferior effectiveness</w:t>
      </w:r>
      <w:r w:rsidR="00940596" w:rsidRPr="003910CE">
        <w:rPr>
          <w:rFonts w:eastAsia="Calibri"/>
        </w:rPr>
        <w:t xml:space="preserve"> was probably reasonable but is uncertain, and for non-inferior safety </w:t>
      </w:r>
      <w:r w:rsidR="009313E7">
        <w:rPr>
          <w:rFonts w:eastAsia="Calibri"/>
        </w:rPr>
        <w:t xml:space="preserve">was </w:t>
      </w:r>
      <w:r w:rsidRPr="003910CE">
        <w:rPr>
          <w:rFonts w:eastAsia="Calibri"/>
        </w:rPr>
        <w:t>uncertain because:</w:t>
      </w:r>
      <w:r w:rsidRPr="00940596">
        <w:rPr>
          <w:rFonts w:eastAsia="Calibri"/>
          <w:i/>
          <w:iCs/>
        </w:rPr>
        <w:t xml:space="preserve"> </w:t>
      </w:r>
    </w:p>
    <w:p w14:paraId="29D1E6A2" w14:textId="06F4E1CD" w:rsidR="008B02D0" w:rsidRPr="008D7433" w:rsidRDefault="008B02D0" w:rsidP="00DE2991">
      <w:pPr>
        <w:pStyle w:val="ListParagraph"/>
        <w:spacing w:after="0"/>
        <w:ind w:left="1080"/>
        <w:rPr>
          <w:rFonts w:eastAsia="Calibri"/>
        </w:rPr>
      </w:pPr>
      <w:r w:rsidRPr="008D7433">
        <w:rPr>
          <w:rFonts w:eastAsia="Calibri"/>
        </w:rPr>
        <w:t>No head-to-head trials comparing CAL/BDP cream with foam were available</w:t>
      </w:r>
      <w:r w:rsidR="00A557C2">
        <w:rPr>
          <w:rFonts w:eastAsia="Calibri"/>
        </w:rPr>
        <w:t>;</w:t>
      </w:r>
      <w:r w:rsidRPr="008D7433">
        <w:rPr>
          <w:rFonts w:eastAsia="Calibri"/>
        </w:rPr>
        <w:t xml:space="preserve"> instead, the submission relied on four published unanchored and anchored </w:t>
      </w:r>
      <w:r w:rsidR="00B50149" w:rsidRPr="008D7433">
        <w:rPr>
          <w:rFonts w:eastAsia="Calibri"/>
        </w:rPr>
        <w:t>ITC</w:t>
      </w:r>
      <w:r w:rsidRPr="008D7433">
        <w:rPr>
          <w:rFonts w:eastAsia="Calibri"/>
        </w:rPr>
        <w:t xml:space="preserve"> studies. </w:t>
      </w:r>
    </w:p>
    <w:p w14:paraId="74899F1A" w14:textId="40DE8B87" w:rsidR="008B02D0" w:rsidRDefault="008B02D0" w:rsidP="00DE2991">
      <w:pPr>
        <w:pStyle w:val="ListParagraph"/>
        <w:ind w:left="1080"/>
        <w:rPr>
          <w:rFonts w:eastAsia="Calibri"/>
        </w:rPr>
      </w:pPr>
      <w:r w:rsidRPr="008D7433">
        <w:rPr>
          <w:rFonts w:eastAsia="Calibri"/>
        </w:rPr>
        <w:t xml:space="preserve">Several limitations were identified across these studies, including </w:t>
      </w:r>
      <w:r w:rsidR="00E2415F" w:rsidRPr="008D7433">
        <w:rPr>
          <w:rFonts w:eastAsia="Calibri"/>
        </w:rPr>
        <w:t xml:space="preserve">heterogeneity among studies, </w:t>
      </w:r>
      <w:r w:rsidRPr="008D7433">
        <w:rPr>
          <w:rFonts w:eastAsia="Calibri"/>
        </w:rPr>
        <w:t xml:space="preserve">the exclusion of CAL/BDP foam trials from the anchored </w:t>
      </w:r>
      <w:r w:rsidR="00B50149" w:rsidRPr="008D7433">
        <w:rPr>
          <w:rFonts w:eastAsia="Calibri"/>
        </w:rPr>
        <w:t>ITCs</w:t>
      </w:r>
      <w:r w:rsidRPr="008D7433">
        <w:rPr>
          <w:rFonts w:eastAsia="Calibri"/>
        </w:rPr>
        <w:t xml:space="preserve"> due to the absence of a common comparator, </w:t>
      </w:r>
      <w:r w:rsidR="002B43D2" w:rsidRPr="008D7433">
        <w:rPr>
          <w:rFonts w:eastAsia="Calibri"/>
        </w:rPr>
        <w:t>and</w:t>
      </w:r>
      <w:r w:rsidRPr="008D7433">
        <w:rPr>
          <w:rFonts w:eastAsia="Calibri"/>
        </w:rPr>
        <w:t xml:space="preserve"> the use of different instruments to assess treatment satisfaction across </w:t>
      </w:r>
      <w:r w:rsidR="00950A2A" w:rsidRPr="008D7433">
        <w:rPr>
          <w:rFonts w:eastAsia="Calibri"/>
        </w:rPr>
        <w:t>treatment</w:t>
      </w:r>
      <w:r w:rsidRPr="008D7433">
        <w:rPr>
          <w:rFonts w:eastAsia="Calibri"/>
        </w:rPr>
        <w:t xml:space="preserve"> arms</w:t>
      </w:r>
      <w:r w:rsidR="00950A2A" w:rsidRPr="008D7433">
        <w:rPr>
          <w:rFonts w:eastAsia="Calibri"/>
        </w:rPr>
        <w:t>:</w:t>
      </w:r>
      <w:r w:rsidRPr="008D7433">
        <w:rPr>
          <w:rFonts w:eastAsia="Calibri"/>
        </w:rPr>
        <w:t xml:space="preserve"> PTCS in the CAL/BDP cream group and the TPUQ in the CAL/BDP foam group.</w:t>
      </w:r>
    </w:p>
    <w:p w14:paraId="0EF5EB91" w14:textId="601251B4" w:rsidR="00BA6F0E" w:rsidRPr="00B7760B" w:rsidRDefault="00D6128E" w:rsidP="00B7760B">
      <w:pPr>
        <w:widowControl w:val="0"/>
        <w:numPr>
          <w:ilvl w:val="1"/>
          <w:numId w:val="1"/>
        </w:numPr>
        <w:spacing w:after="120"/>
        <w:ind w:left="720"/>
      </w:pPr>
      <w:r w:rsidRPr="003910CE">
        <w:rPr>
          <w:rFonts w:eastAsia="Calibri"/>
        </w:rPr>
        <w:t xml:space="preserve">The </w:t>
      </w:r>
      <w:r w:rsidRPr="00B7760B">
        <w:t>ESC considered there</w:t>
      </w:r>
      <w:r w:rsidR="00AB3BD7" w:rsidRPr="00B7760B">
        <w:t xml:space="preserve"> were limitations in the studies </w:t>
      </w:r>
      <w:r w:rsidR="00001FF2" w:rsidRPr="00B7760B">
        <w:t>provided comparing CAL/BDP cream and CAL/BDP foam, and there was a lack of safety data comparing CAL/BDP cream with the foam.</w:t>
      </w:r>
    </w:p>
    <w:p w14:paraId="70C7CDA8" w14:textId="76CC3712" w:rsidR="002F3C1D" w:rsidRPr="003910CE" w:rsidRDefault="002F3C1D" w:rsidP="00B7760B">
      <w:pPr>
        <w:widowControl w:val="0"/>
        <w:numPr>
          <w:ilvl w:val="1"/>
          <w:numId w:val="1"/>
        </w:numPr>
        <w:spacing w:after="120"/>
        <w:ind w:left="720"/>
        <w:rPr>
          <w:rFonts w:eastAsia="Calibri"/>
        </w:rPr>
      </w:pPr>
      <w:r w:rsidRPr="00B7760B">
        <w:t xml:space="preserve">The PSCR </w:t>
      </w:r>
      <w:r w:rsidR="00EE2057" w:rsidRPr="00B7760B">
        <w:t>acknowledged that ITC</w:t>
      </w:r>
      <w:r w:rsidR="001905DA" w:rsidRPr="00B7760B">
        <w:t xml:space="preserve"> studies present a measure of uncertainty due to a lack of head-to-head studies, </w:t>
      </w:r>
      <w:r w:rsidR="000C716C" w:rsidRPr="00B7760B">
        <w:t>but argued that the submiss</w:t>
      </w:r>
      <w:r w:rsidR="000C716C" w:rsidRPr="00B7760B">
        <w:rPr>
          <w:snapToGrid w:val="0"/>
        </w:rPr>
        <w:t>ion presented a robust analysis of all available peer-reviewed, published ITCs</w:t>
      </w:r>
      <w:r w:rsidR="00974CFE" w:rsidRPr="00B7760B">
        <w:rPr>
          <w:snapToGrid w:val="0"/>
        </w:rPr>
        <w:t xml:space="preserve"> in the ab</w:t>
      </w:r>
      <w:r w:rsidR="00974CFE" w:rsidRPr="003910CE">
        <w:rPr>
          <w:rFonts w:eastAsia="Calibri"/>
        </w:rPr>
        <w:t xml:space="preserve">sence of head-to-head trials. The PSCR claimed that anchored matching ITCs provide the most robust analysis </w:t>
      </w:r>
      <w:r w:rsidR="00974CFE" w:rsidRPr="003910CE">
        <w:rPr>
          <w:rFonts w:eastAsia="Calibri"/>
        </w:rPr>
        <w:lastRenderedPageBreak/>
        <w:t>of comparative efficacy in the absence of head-to-head trials</w:t>
      </w:r>
      <w:r w:rsidR="001C2BBE" w:rsidRPr="003910CE">
        <w:rPr>
          <w:rFonts w:eastAsia="Calibri"/>
        </w:rPr>
        <w:t xml:space="preserve">, and that </w:t>
      </w:r>
      <w:r w:rsidR="009E1ACA" w:rsidRPr="003910CE">
        <w:rPr>
          <w:rFonts w:eastAsia="Calibri"/>
        </w:rPr>
        <w:t>w</w:t>
      </w:r>
      <w:r w:rsidR="001C2BBE" w:rsidRPr="003910CE">
        <w:rPr>
          <w:rFonts w:eastAsia="Calibri"/>
        </w:rPr>
        <w:t>hen analysed using an anchored MAIC meth</w:t>
      </w:r>
      <w:r w:rsidR="00EC7606" w:rsidRPr="003910CE">
        <w:rPr>
          <w:rFonts w:eastAsia="Calibri"/>
        </w:rPr>
        <w:t>odology, CAL/BDP cream was shown to have equivalent efficacy to CAL/BDP foam</w:t>
      </w:r>
      <w:r w:rsidR="00B701A9" w:rsidRPr="003910CE">
        <w:rPr>
          <w:rFonts w:eastAsia="Calibri"/>
        </w:rPr>
        <w:t xml:space="preserve">, and the cream had higher treatment satisfaction. </w:t>
      </w:r>
      <w:r w:rsidR="00DE3A48" w:rsidRPr="003910CE">
        <w:rPr>
          <w:rFonts w:eastAsia="Calibri"/>
        </w:rPr>
        <w:t>The PSCR maintained that the evidence presented supports the claim that CAL/BDP cream has non-inferior efficacy and safety compared with CAL/BDP foam.</w:t>
      </w:r>
    </w:p>
    <w:p w14:paraId="0FB8B74C" w14:textId="1D4A230A" w:rsidR="00D47816" w:rsidRDefault="007D5831" w:rsidP="00B7760B">
      <w:pPr>
        <w:widowControl w:val="0"/>
        <w:numPr>
          <w:ilvl w:val="1"/>
          <w:numId w:val="1"/>
        </w:numPr>
        <w:spacing w:after="120"/>
        <w:ind w:left="720"/>
        <w:rPr>
          <w:rFonts w:eastAsia="Calibri"/>
        </w:rPr>
      </w:pPr>
      <w:r w:rsidRPr="00B7760B">
        <w:t>Overall</w:t>
      </w:r>
      <w:r w:rsidRPr="003910CE">
        <w:rPr>
          <w:rFonts w:eastAsia="Calibri"/>
        </w:rPr>
        <w:t>, t</w:t>
      </w:r>
      <w:r w:rsidR="00D47816" w:rsidRPr="003910CE">
        <w:rPr>
          <w:rFonts w:eastAsia="Calibri"/>
        </w:rPr>
        <w:t xml:space="preserve">he ESC considered </w:t>
      </w:r>
      <w:r w:rsidR="002167A5" w:rsidRPr="003910CE">
        <w:rPr>
          <w:rFonts w:eastAsia="Calibri"/>
        </w:rPr>
        <w:t>that CAL/BDP cream demonstrated non-inferior efficacy to both CAL/BDP ointment and foam.</w:t>
      </w:r>
    </w:p>
    <w:p w14:paraId="019FA64E" w14:textId="7375A417" w:rsidR="00D92D78" w:rsidRDefault="00D92D78" w:rsidP="0062223F">
      <w:pPr>
        <w:widowControl w:val="0"/>
        <w:numPr>
          <w:ilvl w:val="1"/>
          <w:numId w:val="1"/>
        </w:numPr>
        <w:spacing w:after="120"/>
        <w:ind w:left="720"/>
        <w:rPr>
          <w:rFonts w:asciiTheme="minorHAnsi" w:hAnsiTheme="minorHAnsi"/>
          <w:snapToGrid w:val="0"/>
          <w:szCs w:val="20"/>
        </w:rPr>
      </w:pPr>
      <w:bookmarkStart w:id="52"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w:t>
      </w:r>
      <w:r w:rsidR="0062223F">
        <w:rPr>
          <w:rFonts w:asciiTheme="minorHAnsi" w:hAnsiTheme="minorHAnsi"/>
          <w:snapToGrid w:val="0"/>
          <w:szCs w:val="20"/>
        </w:rPr>
        <w:t xml:space="preserve"> compared to CAL/BDP ointment</w:t>
      </w:r>
      <w:r w:rsidRPr="00CE42B4">
        <w:rPr>
          <w:rFonts w:asciiTheme="minorHAnsi" w:hAnsiTheme="minorHAnsi"/>
          <w:snapToGrid w:val="0"/>
          <w:szCs w:val="20"/>
        </w:rPr>
        <w:t xml:space="preserve"> was not adequately supported by the data.</w:t>
      </w:r>
      <w:r w:rsidR="0062223F">
        <w:rPr>
          <w:rFonts w:asciiTheme="minorHAnsi" w:hAnsiTheme="minorHAnsi"/>
          <w:snapToGrid w:val="0"/>
          <w:szCs w:val="20"/>
        </w:rPr>
        <w:t xml:space="preserve"> </w:t>
      </w:r>
      <w:r w:rsidRPr="0062223F">
        <w:rPr>
          <w:rFonts w:asciiTheme="minorHAnsi" w:hAnsiTheme="minorHAnsi"/>
          <w:snapToGrid w:val="0"/>
          <w:szCs w:val="20"/>
        </w:rPr>
        <w:t>The PBAC considered that the claim of non-inferior comparative safety</w:t>
      </w:r>
      <w:r w:rsidR="008F62F1">
        <w:rPr>
          <w:rFonts w:asciiTheme="minorHAnsi" w:hAnsiTheme="minorHAnsi"/>
          <w:snapToGrid w:val="0"/>
          <w:szCs w:val="20"/>
        </w:rPr>
        <w:t xml:space="preserve"> compared to CAL/BDP ointment</w:t>
      </w:r>
      <w:r w:rsidRPr="0062223F">
        <w:rPr>
          <w:rFonts w:asciiTheme="minorHAnsi" w:hAnsiTheme="minorHAnsi"/>
          <w:snapToGrid w:val="0"/>
          <w:szCs w:val="20"/>
        </w:rPr>
        <w:t xml:space="preserve"> was reasonable.</w:t>
      </w:r>
      <w:bookmarkEnd w:id="52"/>
    </w:p>
    <w:p w14:paraId="455C8693" w14:textId="77777777" w:rsidR="00433FE0" w:rsidRDefault="00D70FCF" w:rsidP="00B7760B">
      <w:pPr>
        <w:widowControl w:val="0"/>
        <w:numPr>
          <w:ilvl w:val="1"/>
          <w:numId w:val="1"/>
        </w:numPr>
        <w:spacing w:after="120"/>
        <w:ind w:left="720"/>
        <w:rPr>
          <w:lang w:eastAsia="en-US"/>
        </w:rPr>
      </w:pPr>
      <w:r w:rsidRPr="00D8553E">
        <w:rPr>
          <w:lang w:eastAsia="en-US"/>
        </w:rPr>
        <w:t xml:space="preserve">The </w:t>
      </w:r>
      <w:r w:rsidRPr="00D8553E">
        <w:t>PBAC</w:t>
      </w:r>
      <w:r w:rsidRPr="00D8553E">
        <w:rPr>
          <w:lang w:eastAsia="en-US"/>
        </w:rPr>
        <w:t xml:space="preserve"> considered that the claim of non-inferior comparative effectiveness</w:t>
      </w:r>
      <w:r w:rsidR="008F62F1">
        <w:rPr>
          <w:lang w:eastAsia="en-US"/>
        </w:rPr>
        <w:t xml:space="preserve"> and safety compared to CAL/BDP foam</w:t>
      </w:r>
      <w:r w:rsidRPr="00D8553E">
        <w:rPr>
          <w:lang w:eastAsia="en-US"/>
        </w:rPr>
        <w:t xml:space="preserve"> was reasonable.</w:t>
      </w:r>
      <w:r w:rsidR="00293531">
        <w:rPr>
          <w:lang w:eastAsia="en-US"/>
        </w:rPr>
        <w:t xml:space="preserve"> </w:t>
      </w:r>
      <w:bookmarkStart w:id="53" w:name="_Toc22897645"/>
      <w:bookmarkStart w:id="54" w:name="_Toc198632861"/>
    </w:p>
    <w:p w14:paraId="74A1172E" w14:textId="1369B743" w:rsidR="00B60939" w:rsidRPr="00C9624D" w:rsidRDefault="00B60939" w:rsidP="00E9094A">
      <w:pPr>
        <w:pStyle w:val="4-SubsectionHeading"/>
      </w:pPr>
      <w:r w:rsidRPr="00C9624D">
        <w:t>Economic analysis</w:t>
      </w:r>
      <w:bookmarkEnd w:id="53"/>
      <w:bookmarkEnd w:id="54"/>
      <w:r w:rsidR="00491B3A" w:rsidRPr="00C9624D">
        <w:t xml:space="preserve"> </w:t>
      </w:r>
    </w:p>
    <w:p w14:paraId="6AEBEFA2" w14:textId="795DC6C6" w:rsidR="009663AB" w:rsidRDefault="009663AB" w:rsidP="00B7760B">
      <w:pPr>
        <w:widowControl w:val="0"/>
        <w:numPr>
          <w:ilvl w:val="1"/>
          <w:numId w:val="1"/>
        </w:numPr>
        <w:spacing w:after="120"/>
        <w:ind w:left="720"/>
      </w:pPr>
      <w:r w:rsidRPr="009509BD">
        <w:t xml:space="preserve">The submission presented a </w:t>
      </w:r>
      <w:r w:rsidR="003C006C">
        <w:t xml:space="preserve">cost-minimisation approach. The key components are shown in </w:t>
      </w:r>
      <w:r w:rsidR="003C006C">
        <w:fldChar w:fldCharType="begin" w:fldLock="1"/>
      </w:r>
      <w:r w:rsidR="003C006C">
        <w:instrText xml:space="preserve"> REF _Ref195524900 \h </w:instrText>
      </w:r>
      <w:r w:rsidR="003C006C">
        <w:fldChar w:fldCharType="separate"/>
      </w:r>
      <w:r w:rsidR="00AA3192">
        <w:t xml:space="preserve">Table </w:t>
      </w:r>
      <w:r w:rsidR="00AA3192">
        <w:rPr>
          <w:noProof/>
        </w:rPr>
        <w:t>13</w:t>
      </w:r>
      <w:r w:rsidR="003C006C">
        <w:fldChar w:fldCharType="end"/>
      </w:r>
      <w:r w:rsidR="003C006C">
        <w:t>.</w:t>
      </w:r>
      <w:r w:rsidRPr="009509BD">
        <w:t xml:space="preserve"> </w:t>
      </w:r>
    </w:p>
    <w:p w14:paraId="60974803" w14:textId="0D331F2B" w:rsidR="003C006C" w:rsidRDefault="003C006C" w:rsidP="003C006C">
      <w:pPr>
        <w:pStyle w:val="Caption"/>
      </w:pPr>
      <w:bookmarkStart w:id="55" w:name="_Ref195524900"/>
      <w:r>
        <w:t xml:space="preserve">Table </w:t>
      </w:r>
      <w:r w:rsidR="00AA3192">
        <w:fldChar w:fldCharType="begin" w:fldLock="1"/>
      </w:r>
      <w:r w:rsidR="00AA3192">
        <w:instrText xml:space="preserve"> SEQ Table \* ARABIC </w:instrText>
      </w:r>
      <w:r w:rsidR="00AA3192">
        <w:fldChar w:fldCharType="separate"/>
      </w:r>
      <w:r w:rsidR="00AA3192">
        <w:rPr>
          <w:noProof/>
        </w:rPr>
        <w:t>13</w:t>
      </w:r>
      <w:r w:rsidR="00AA3192">
        <w:rPr>
          <w:noProof/>
        </w:rPr>
        <w:fldChar w:fldCharType="end"/>
      </w:r>
      <w:bookmarkEnd w:id="55"/>
      <w:r>
        <w:t xml:space="preserve">: </w:t>
      </w:r>
      <w:r w:rsidRPr="003C006C">
        <w:t>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components and assumptions of the cost-minimisation approach"/>
      </w:tblPr>
      <w:tblGrid>
        <w:gridCol w:w="2660"/>
        <w:gridCol w:w="6520"/>
      </w:tblGrid>
      <w:tr w:rsidR="003C006C" w:rsidRPr="00431E55" w14:paraId="35669AE3" w14:textId="77777777" w:rsidTr="002675DC">
        <w:tc>
          <w:tcPr>
            <w:tcW w:w="2660" w:type="dxa"/>
            <w:vAlign w:val="center"/>
          </w:tcPr>
          <w:p w14:paraId="5D95E6E4" w14:textId="77777777" w:rsidR="003C006C" w:rsidRPr="00431E55" w:rsidRDefault="003C006C" w:rsidP="002675DC">
            <w:pPr>
              <w:pStyle w:val="In-tableHeading"/>
            </w:pPr>
            <w:r>
              <w:t>Component</w:t>
            </w:r>
          </w:p>
        </w:tc>
        <w:tc>
          <w:tcPr>
            <w:tcW w:w="6520" w:type="dxa"/>
            <w:vAlign w:val="center"/>
          </w:tcPr>
          <w:p w14:paraId="5AC79331" w14:textId="77777777" w:rsidR="003C006C" w:rsidRPr="00431E55" w:rsidRDefault="003C006C" w:rsidP="002675DC">
            <w:pPr>
              <w:pStyle w:val="In-tableHeading"/>
            </w:pPr>
            <w:r>
              <w:t>Claim or assumption</w:t>
            </w:r>
          </w:p>
        </w:tc>
      </w:tr>
      <w:tr w:rsidR="003C006C" w14:paraId="6A8BBCE2" w14:textId="77777777" w:rsidTr="002675DC">
        <w:tc>
          <w:tcPr>
            <w:tcW w:w="2660" w:type="dxa"/>
            <w:vAlign w:val="center"/>
          </w:tcPr>
          <w:p w14:paraId="3C50D95F" w14:textId="77777777" w:rsidR="003C006C" w:rsidRDefault="003C006C" w:rsidP="002675DC">
            <w:pPr>
              <w:pStyle w:val="TableText0"/>
            </w:pPr>
            <w:r>
              <w:t>Therapeutic claim: effectiveness</w:t>
            </w:r>
          </w:p>
        </w:tc>
        <w:tc>
          <w:tcPr>
            <w:tcW w:w="6520" w:type="dxa"/>
            <w:vAlign w:val="center"/>
          </w:tcPr>
          <w:p w14:paraId="04AFE25D" w14:textId="4138693C" w:rsidR="003C006C" w:rsidRDefault="003C006C" w:rsidP="002675DC">
            <w:pPr>
              <w:pStyle w:val="TableText0"/>
            </w:pPr>
            <w:r>
              <w:t xml:space="preserve">Based on evidence presented in Section 2, effectiveness is assumed to be </w:t>
            </w:r>
            <w:r w:rsidRPr="0066550B">
              <w:t>non</w:t>
            </w:r>
            <w:r>
              <w:t>-</w:t>
            </w:r>
            <w:r w:rsidRPr="0066550B">
              <w:t>inferior to CAL/BDP foam and superior to CAL/BDP ointment</w:t>
            </w:r>
            <w:r w:rsidR="00916A53">
              <w:t>.</w:t>
            </w:r>
          </w:p>
        </w:tc>
      </w:tr>
      <w:tr w:rsidR="003C006C" w14:paraId="287FB4E6" w14:textId="77777777" w:rsidTr="002675DC">
        <w:tc>
          <w:tcPr>
            <w:tcW w:w="2660" w:type="dxa"/>
            <w:vAlign w:val="center"/>
          </w:tcPr>
          <w:p w14:paraId="0DDA25A9" w14:textId="77777777" w:rsidR="003C006C" w:rsidRDefault="003C006C" w:rsidP="002675DC">
            <w:pPr>
              <w:pStyle w:val="TableText0"/>
            </w:pPr>
            <w:r>
              <w:t>Therapeutic claim: safety</w:t>
            </w:r>
          </w:p>
        </w:tc>
        <w:tc>
          <w:tcPr>
            <w:tcW w:w="6520" w:type="dxa"/>
            <w:vAlign w:val="center"/>
          </w:tcPr>
          <w:p w14:paraId="04E38C08" w14:textId="1C4D8560" w:rsidR="003C006C" w:rsidRDefault="003C006C" w:rsidP="002675DC">
            <w:pPr>
              <w:pStyle w:val="TableText0"/>
            </w:pPr>
            <w:r>
              <w:t xml:space="preserve">Based on evidence presented in Section 2, safety is assumed to be </w:t>
            </w:r>
            <w:r w:rsidRPr="0066550B">
              <w:t>non</w:t>
            </w:r>
            <w:r>
              <w:t>-</w:t>
            </w:r>
            <w:r w:rsidRPr="0066550B">
              <w:t xml:space="preserve">inferior to </w:t>
            </w:r>
            <w:r>
              <w:t xml:space="preserve">both </w:t>
            </w:r>
            <w:r w:rsidRPr="0066550B">
              <w:t>CAL/BDP foam and CAL/BDP ointment</w:t>
            </w:r>
            <w:r w:rsidR="00916A53">
              <w:t>.</w:t>
            </w:r>
          </w:p>
        </w:tc>
      </w:tr>
      <w:tr w:rsidR="003C006C" w14:paraId="4717D6A6" w14:textId="77777777" w:rsidTr="002675DC">
        <w:tc>
          <w:tcPr>
            <w:tcW w:w="2660" w:type="dxa"/>
            <w:vAlign w:val="center"/>
          </w:tcPr>
          <w:p w14:paraId="464B928D" w14:textId="77777777" w:rsidR="003C006C" w:rsidRDefault="003C006C" w:rsidP="002675DC">
            <w:pPr>
              <w:pStyle w:val="TableText0"/>
            </w:pPr>
            <w:r>
              <w:t>Evidence base</w:t>
            </w:r>
          </w:p>
        </w:tc>
        <w:tc>
          <w:tcPr>
            <w:tcW w:w="6520" w:type="dxa"/>
            <w:vAlign w:val="center"/>
          </w:tcPr>
          <w:p w14:paraId="5C421180" w14:textId="12644FEC" w:rsidR="003C006C" w:rsidRPr="0076025E" w:rsidRDefault="00A71EA0" w:rsidP="002675DC">
            <w:pPr>
              <w:pStyle w:val="TableText0"/>
            </w:pPr>
            <w:r w:rsidRPr="0076025E">
              <w:t>A d</w:t>
            </w:r>
            <w:r w:rsidR="003C006C" w:rsidRPr="0076025E">
              <w:t>irect randomised trial versus CAL/BDP ointment</w:t>
            </w:r>
          </w:p>
          <w:p w14:paraId="6DA63304" w14:textId="00C65C17" w:rsidR="003C006C" w:rsidRPr="0076025E" w:rsidRDefault="003C006C" w:rsidP="002675DC">
            <w:pPr>
              <w:pStyle w:val="TableText0"/>
            </w:pPr>
            <w:r w:rsidRPr="0076025E">
              <w:t>Direct randomised trials versus CAL/BDP gel, as a proxy to ointment</w:t>
            </w:r>
            <w:r w:rsidR="0076025E" w:rsidRPr="0076025E">
              <w:t>*</w:t>
            </w:r>
          </w:p>
          <w:p w14:paraId="1C00004A" w14:textId="77777777" w:rsidR="003C006C" w:rsidRPr="0076025E" w:rsidRDefault="003C006C" w:rsidP="002675DC">
            <w:pPr>
              <w:pStyle w:val="TableText0"/>
            </w:pPr>
            <w:r w:rsidRPr="0076025E">
              <w:t>Indirect treatment comparison of randomised trials versus CAL/BDP foam.</w:t>
            </w:r>
          </w:p>
        </w:tc>
      </w:tr>
      <w:tr w:rsidR="003C006C" w14:paraId="067370BB" w14:textId="77777777" w:rsidTr="002675DC">
        <w:tc>
          <w:tcPr>
            <w:tcW w:w="2660" w:type="dxa"/>
            <w:vAlign w:val="center"/>
          </w:tcPr>
          <w:p w14:paraId="789267E2" w14:textId="77777777" w:rsidR="003C006C" w:rsidRDefault="003C006C" w:rsidP="002675DC">
            <w:pPr>
              <w:pStyle w:val="TableText0"/>
            </w:pPr>
            <w:r>
              <w:t>Equi-effective doses</w:t>
            </w:r>
          </w:p>
        </w:tc>
        <w:tc>
          <w:tcPr>
            <w:tcW w:w="6520" w:type="dxa"/>
            <w:vAlign w:val="center"/>
          </w:tcPr>
          <w:p w14:paraId="23A8312E" w14:textId="77777777" w:rsidR="003C006C" w:rsidRDefault="003C006C" w:rsidP="002675DC">
            <w:pPr>
              <w:pStyle w:val="TableText0"/>
            </w:pPr>
            <w:r w:rsidRPr="0066550B">
              <w:t xml:space="preserve">Cost-minimisation for the proposed medicine </w:t>
            </w:r>
            <w:r>
              <w:t>was</w:t>
            </w:r>
            <w:r w:rsidRPr="0066550B">
              <w:t xml:space="preserve"> conducted on a gram-for-gram basis as a 50/50 split between CAL/BDP foam and CAL/BDP ointment.</w:t>
            </w:r>
          </w:p>
        </w:tc>
      </w:tr>
      <w:tr w:rsidR="003C006C" w14:paraId="18A42209" w14:textId="77777777" w:rsidTr="002675DC">
        <w:tc>
          <w:tcPr>
            <w:tcW w:w="2660" w:type="dxa"/>
            <w:vAlign w:val="center"/>
          </w:tcPr>
          <w:p w14:paraId="15B86032" w14:textId="77777777" w:rsidR="003C006C" w:rsidRDefault="003C006C" w:rsidP="002675DC">
            <w:pPr>
              <w:pStyle w:val="TableText0"/>
            </w:pPr>
            <w:r>
              <w:t>Direct medicine costs</w:t>
            </w:r>
          </w:p>
        </w:tc>
        <w:tc>
          <w:tcPr>
            <w:tcW w:w="6520" w:type="dxa"/>
            <w:vAlign w:val="center"/>
          </w:tcPr>
          <w:p w14:paraId="5D4F22B9" w14:textId="344418E8" w:rsidR="003C006C" w:rsidRPr="005A0D2B" w:rsidRDefault="003C006C" w:rsidP="002675DC">
            <w:pPr>
              <w:pStyle w:val="TableText0"/>
            </w:pPr>
            <w:r w:rsidRPr="005A0D2B">
              <w:t>CAL/BDP, 0.05% foam 60</w:t>
            </w:r>
            <w:r w:rsidR="00CA38F4" w:rsidRPr="005A0D2B">
              <w:t> </w:t>
            </w:r>
            <w:r w:rsidRPr="005A0D2B">
              <w:t>g</w:t>
            </w:r>
            <w:r w:rsidR="00FF5A1F" w:rsidRPr="005A0D2B">
              <w:t>, 1 pack</w:t>
            </w:r>
            <w:r w:rsidRPr="005A0D2B">
              <w:t>: AEMP of $67.19</w:t>
            </w:r>
          </w:p>
          <w:p w14:paraId="3FF3F4C4" w14:textId="5C0517B2" w:rsidR="003C006C" w:rsidRPr="005A0D2B" w:rsidRDefault="003C006C" w:rsidP="002675DC">
            <w:pPr>
              <w:pStyle w:val="TableText0"/>
            </w:pPr>
            <w:r w:rsidRPr="005A0D2B">
              <w:t>CAL/BDP, 0.05% ointment 30</w:t>
            </w:r>
            <w:r w:rsidR="00CA38F4" w:rsidRPr="005A0D2B">
              <w:t> </w:t>
            </w:r>
            <w:r w:rsidRPr="005A0D2B">
              <w:t>g</w:t>
            </w:r>
            <w:r w:rsidR="00FF5A1F" w:rsidRPr="005A0D2B">
              <w:t>, 1 pack</w:t>
            </w:r>
            <w:r w:rsidRPr="005A0D2B">
              <w:t>: AEMP of $23.83</w:t>
            </w:r>
          </w:p>
          <w:p w14:paraId="0D01C9B7" w14:textId="58283374" w:rsidR="003C006C" w:rsidRPr="005A0D2B" w:rsidRDefault="003C006C" w:rsidP="002675DC">
            <w:pPr>
              <w:pStyle w:val="TableText0"/>
              <w:rPr>
                <w:i/>
                <w:iCs/>
              </w:rPr>
            </w:pPr>
            <w:r w:rsidRPr="005A0D2B">
              <w:t>CAL/BDP, 0.05% cream 60</w:t>
            </w:r>
            <w:r w:rsidR="00CA38F4" w:rsidRPr="005A0D2B">
              <w:t> </w:t>
            </w:r>
            <w:r w:rsidRPr="005A0D2B">
              <w:t>g</w:t>
            </w:r>
            <w:r w:rsidR="00FF5A1F" w:rsidRPr="005A0D2B">
              <w:t>, 1 pack</w:t>
            </w:r>
            <w:r w:rsidRPr="005A0D2B">
              <w:t>: Cost-minimised AEMP of $57.43</w:t>
            </w:r>
          </w:p>
        </w:tc>
      </w:tr>
      <w:tr w:rsidR="003C006C" w14:paraId="7F9024A0" w14:textId="77777777" w:rsidTr="002675DC">
        <w:tc>
          <w:tcPr>
            <w:tcW w:w="2660" w:type="dxa"/>
            <w:vAlign w:val="center"/>
          </w:tcPr>
          <w:p w14:paraId="6BBA81B8" w14:textId="77777777" w:rsidR="003C006C" w:rsidRDefault="003C006C" w:rsidP="002675DC">
            <w:pPr>
              <w:pStyle w:val="TableText0"/>
            </w:pPr>
            <w:r>
              <w:t>Other costs or cost offsets</w:t>
            </w:r>
          </w:p>
        </w:tc>
        <w:tc>
          <w:tcPr>
            <w:tcW w:w="6520" w:type="dxa"/>
            <w:vAlign w:val="center"/>
          </w:tcPr>
          <w:p w14:paraId="6D0F5080" w14:textId="77777777" w:rsidR="003C006C" w:rsidRDefault="003C006C" w:rsidP="002675DC">
            <w:pPr>
              <w:pStyle w:val="TableText0"/>
            </w:pPr>
            <w:r>
              <w:t>None</w:t>
            </w:r>
          </w:p>
        </w:tc>
      </w:tr>
    </w:tbl>
    <w:p w14:paraId="5EC445D9" w14:textId="77777777" w:rsidR="003C006C" w:rsidRDefault="003C006C" w:rsidP="003C006C">
      <w:pPr>
        <w:pStyle w:val="FooterTableFigure"/>
      </w:pPr>
      <w:r>
        <w:t xml:space="preserve">Source: Table 3-3, p135; Table 3-5, p137 </w:t>
      </w:r>
      <w:r w:rsidRPr="00D13A3E">
        <w:t xml:space="preserve">of the </w:t>
      </w:r>
      <w:r>
        <w:t>submission.</w:t>
      </w:r>
    </w:p>
    <w:p w14:paraId="2AB89165" w14:textId="1454F0D8" w:rsidR="003C006C" w:rsidRDefault="00076EFD" w:rsidP="003C006C">
      <w:pPr>
        <w:pStyle w:val="FooterTableFigure"/>
      </w:pPr>
      <w:r>
        <w:t xml:space="preserve">AEMP = approved ex-manufacturer price; </w:t>
      </w:r>
      <w:r w:rsidR="003C006C">
        <w:t xml:space="preserve">CAL/BDP = </w:t>
      </w:r>
      <w:r w:rsidR="003C006C" w:rsidRPr="0066550B">
        <w:t xml:space="preserve">calcipotriol </w:t>
      </w:r>
      <w:r w:rsidR="00B45B8B">
        <w:t>with</w:t>
      </w:r>
      <w:r w:rsidR="003C006C" w:rsidRPr="0066550B">
        <w:t xml:space="preserve"> betamethasone dipropionate</w:t>
      </w:r>
      <w:r w:rsidR="003822F4">
        <w:t>; g = gram.</w:t>
      </w:r>
    </w:p>
    <w:p w14:paraId="53F101BA" w14:textId="0A403D1F" w:rsidR="003C006C" w:rsidRPr="003C006C" w:rsidRDefault="0076025E" w:rsidP="003C006C">
      <w:pPr>
        <w:pStyle w:val="FooterTableFigure"/>
        <w:rPr>
          <w:i/>
          <w:iCs/>
        </w:rPr>
      </w:pPr>
      <w:r w:rsidRPr="0076025E">
        <w:t>*</w:t>
      </w:r>
      <w:r w:rsidR="003C006C" w:rsidRPr="0076025E">
        <w:t>added during evaluation</w:t>
      </w:r>
    </w:p>
    <w:p w14:paraId="063C3993" w14:textId="10E00C98" w:rsidR="009663AB" w:rsidRPr="00B7760B" w:rsidRDefault="00F4759A" w:rsidP="00B7760B">
      <w:pPr>
        <w:widowControl w:val="0"/>
        <w:numPr>
          <w:ilvl w:val="1"/>
          <w:numId w:val="1"/>
        </w:numPr>
        <w:spacing w:after="120"/>
        <w:ind w:left="720"/>
      </w:pPr>
      <w:r>
        <w:t xml:space="preserve">The submission stated that CAL/BDP cream will uptake </w:t>
      </w:r>
      <w:r w:rsidR="7FCE7B20">
        <w:t xml:space="preserve">a </w:t>
      </w:r>
      <w:r>
        <w:t>market share from both the CAL/BDP products</w:t>
      </w:r>
      <w:r w:rsidR="00427FC4">
        <w:t xml:space="preserve"> (foam and ointment)</w:t>
      </w:r>
      <w:r>
        <w:t xml:space="preserve"> listed on the PBS. As a result, t</w:t>
      </w:r>
      <w:r w:rsidR="00171005">
        <w:t xml:space="preserve">he submission proposed a 50/50 </w:t>
      </w:r>
      <w:r w:rsidR="007600ED">
        <w:t xml:space="preserve">cost-minimisation </w:t>
      </w:r>
      <w:r w:rsidR="00171005">
        <w:t>split between CAL/BDP foam and ointment on a gram-for-gram basis</w:t>
      </w:r>
      <w:r w:rsidR="00C92454">
        <w:t>. This was</w:t>
      </w:r>
      <w:r w:rsidR="00171005">
        <w:t xml:space="preserve"> </w:t>
      </w:r>
      <w:r>
        <w:t>informed by the</w:t>
      </w:r>
      <w:r w:rsidR="00171005">
        <w:t xml:space="preserve"> dispensed </w:t>
      </w:r>
      <w:r>
        <w:t xml:space="preserve">units from the PBS Item Statistics over six years, which indicated that </w:t>
      </w:r>
      <w:r w:rsidR="00171005">
        <w:t>CAL/BDP foam (11091R and 13520N</w:t>
      </w:r>
      <w:r w:rsidR="001A7E03">
        <w:t xml:space="preserve"> (</w:t>
      </w:r>
      <w:r w:rsidR="00BF3186">
        <w:t>60-day</w:t>
      </w:r>
      <w:r w:rsidR="001A7E03">
        <w:t xml:space="preserve"> maximum dispensed quantity listing)</w:t>
      </w:r>
      <w:r w:rsidR="00171005">
        <w:t xml:space="preserve">) </w:t>
      </w:r>
      <w:r>
        <w:t xml:space="preserve">accounted for </w:t>
      </w:r>
      <w:r w:rsidR="00B65191">
        <w:t xml:space="preserve">approximately </w:t>
      </w:r>
      <w:r>
        <w:t>56% of the PBS market share while</w:t>
      </w:r>
      <w:r w:rsidR="00171005">
        <w:t xml:space="preserve"> CAL/BDP ointment (9494Q and 13577N</w:t>
      </w:r>
      <w:r w:rsidR="00285F5A">
        <w:t xml:space="preserve"> (60</w:t>
      </w:r>
      <w:r w:rsidR="00BF3186">
        <w:t>-</w:t>
      </w:r>
      <w:r w:rsidR="00285F5A">
        <w:t>day maximum dispensed quantity listing)</w:t>
      </w:r>
      <w:r w:rsidR="00171005">
        <w:t>) comprised the remaining 44%.</w:t>
      </w:r>
      <w:r w:rsidR="001563B4" w:rsidRPr="008D7433">
        <w:t xml:space="preserve"> </w:t>
      </w:r>
      <w:r w:rsidR="008923E6" w:rsidRPr="008D7433">
        <w:t>Although</w:t>
      </w:r>
      <w:r w:rsidR="009C5A1B" w:rsidRPr="008D7433">
        <w:t xml:space="preserve"> the market share </w:t>
      </w:r>
      <w:r w:rsidR="008923E6" w:rsidRPr="008D7433">
        <w:t>is</w:t>
      </w:r>
      <w:r w:rsidR="009C5A1B" w:rsidRPr="008D7433">
        <w:t xml:space="preserve"> based on </w:t>
      </w:r>
      <w:r w:rsidR="000E0A0C" w:rsidRPr="008D7433">
        <w:t>PBS Item Statistics data</w:t>
      </w:r>
      <w:r w:rsidR="009C5895" w:rsidRPr="008D7433">
        <w:t xml:space="preserve">, </w:t>
      </w:r>
      <w:r w:rsidR="002B6411" w:rsidRPr="008D7433">
        <w:t xml:space="preserve">it </w:t>
      </w:r>
      <w:r w:rsidR="008923E6" w:rsidRPr="008D7433">
        <w:t>remains</w:t>
      </w:r>
      <w:r w:rsidR="002B6411" w:rsidRPr="008D7433">
        <w:t xml:space="preserve"> uncertain </w:t>
      </w:r>
      <w:r w:rsidR="008923E6" w:rsidRPr="008D7433">
        <w:t>whether</w:t>
      </w:r>
      <w:r w:rsidR="002B6411" w:rsidRPr="008D7433">
        <w:t xml:space="preserve"> CAL/BDP cream will </w:t>
      </w:r>
      <w:r w:rsidR="008923E6" w:rsidRPr="008D7433">
        <w:lastRenderedPageBreak/>
        <w:t>capture</w:t>
      </w:r>
      <w:r w:rsidR="002B6411" w:rsidRPr="008D7433">
        <w:t xml:space="preserve"> market share from foam or ointment</w:t>
      </w:r>
      <w:r w:rsidR="003D33C2" w:rsidRPr="008D7433">
        <w:t>, or what the proportions of market share from the foam or ointment would be</w:t>
      </w:r>
      <w:r w:rsidR="008923E6" w:rsidRPr="008D7433">
        <w:t>. The utilisation may be</w:t>
      </w:r>
      <w:r w:rsidR="001563B4" w:rsidRPr="008D7433">
        <w:t xml:space="preserve"> </w:t>
      </w:r>
      <w:r w:rsidR="00293AB5" w:rsidRPr="008D7433">
        <w:t>influenced by various factors such as patient preferences, clinician recommendation, product availability, and the site and size of psoriasis.</w:t>
      </w:r>
    </w:p>
    <w:p w14:paraId="2CFF3638" w14:textId="48406364" w:rsidR="00AB3A67" w:rsidRPr="00171005" w:rsidRDefault="00A86E8B" w:rsidP="00B7760B">
      <w:pPr>
        <w:widowControl w:val="0"/>
        <w:numPr>
          <w:ilvl w:val="1"/>
          <w:numId w:val="1"/>
        </w:numPr>
        <w:spacing w:after="120"/>
        <w:ind w:left="720"/>
      </w:pPr>
      <w:r w:rsidRPr="00171005">
        <w:t xml:space="preserve">The equi-effective doses </w:t>
      </w:r>
      <w:r w:rsidR="00F61C18" w:rsidRPr="00171005">
        <w:t>we</w:t>
      </w:r>
      <w:r w:rsidRPr="00171005">
        <w:t xml:space="preserve">re estimated </w:t>
      </w:r>
      <w:r w:rsidR="00AB3A67" w:rsidRPr="00171005">
        <w:t xml:space="preserve">by the submission </w:t>
      </w:r>
      <w:r w:rsidRPr="00171005">
        <w:t xml:space="preserve">as </w:t>
      </w:r>
      <w:r w:rsidR="00AB3A67" w:rsidRPr="00171005">
        <w:t>CAL/BDP cream 1 g</w:t>
      </w:r>
      <w:r w:rsidR="00A06BD6">
        <w:t>ram</w:t>
      </w:r>
      <w:r w:rsidR="00AB3A67" w:rsidRPr="00171005">
        <w:t xml:space="preserve"> </w:t>
      </w:r>
      <w:r w:rsidR="00050E7A">
        <w:t>to</w:t>
      </w:r>
      <w:r w:rsidR="00050E7A" w:rsidRPr="00171005">
        <w:t xml:space="preserve"> </w:t>
      </w:r>
      <w:r w:rsidR="00AB3A67" w:rsidRPr="00171005">
        <w:t>CAL/BDP foam 1 g</w:t>
      </w:r>
      <w:r w:rsidR="00A06BD6">
        <w:t>ram</w:t>
      </w:r>
      <w:r w:rsidR="00AB3A67" w:rsidRPr="00171005">
        <w:t xml:space="preserve"> or CAL/BDP ointment 1 g</w:t>
      </w:r>
      <w:r w:rsidR="00A06BD6">
        <w:t>ram</w:t>
      </w:r>
      <w:r w:rsidR="00AB3A67" w:rsidRPr="00171005">
        <w:t>.</w:t>
      </w:r>
    </w:p>
    <w:p w14:paraId="38A1287E" w14:textId="74AB9789" w:rsidR="00D120F8" w:rsidRPr="00B7760B" w:rsidDel="00F4759A" w:rsidRDefault="00A06BD6" w:rsidP="00B7760B">
      <w:pPr>
        <w:widowControl w:val="0"/>
        <w:numPr>
          <w:ilvl w:val="1"/>
          <w:numId w:val="1"/>
        </w:numPr>
        <w:spacing w:after="120"/>
        <w:ind w:left="720"/>
      </w:pPr>
      <w:r>
        <w:t>B</w:t>
      </w:r>
      <w:r w:rsidRPr="00D120F8">
        <w:t xml:space="preserve">ased </w:t>
      </w:r>
      <w:r w:rsidR="00F4759A" w:rsidRPr="00D120F8">
        <w:t>on their respective PIs, the dosing regimen for CAL/BDP cream is once daily with a recommended treatment period of up to 8 weeks, whereas for CAL/BDP foam and CAL/BDP ointment, the dosing regimen is also once daily but with a recommended treatment period of up to 4 weeks.</w:t>
      </w:r>
      <w:r w:rsidR="00F4759A" w:rsidRPr="00B7760B">
        <w:t xml:space="preserve"> </w:t>
      </w:r>
      <w:r w:rsidR="00F4759A" w:rsidRPr="008D7433">
        <w:t>While the submission acknowledged that the recommended treatment duration varied between the CAL/BDP products, it</w:t>
      </w:r>
      <w:r w:rsidR="00171005" w:rsidRPr="008D7433">
        <w:t xml:space="preserve"> did not account for the difference in duration of therapy </w:t>
      </w:r>
      <w:r w:rsidR="00F4759A" w:rsidRPr="008D7433">
        <w:t>when estimating the equi-effective doses</w:t>
      </w:r>
      <w:r w:rsidR="00171005" w:rsidRPr="008D7433">
        <w:t xml:space="preserve">. </w:t>
      </w:r>
    </w:p>
    <w:p w14:paraId="54083F04" w14:textId="38A0696B" w:rsidR="00A759DC" w:rsidRPr="008D7433" w:rsidRDefault="00D120F8" w:rsidP="00B7760B">
      <w:pPr>
        <w:widowControl w:val="0"/>
        <w:numPr>
          <w:ilvl w:val="1"/>
          <w:numId w:val="1"/>
        </w:numPr>
        <w:spacing w:after="120"/>
        <w:ind w:left="720"/>
      </w:pPr>
      <w:r w:rsidRPr="008D7433">
        <w:t xml:space="preserve">In clinical practice, patients may be treated beyond the recommended </w:t>
      </w:r>
      <w:r w:rsidR="007F41E2" w:rsidRPr="008D7433">
        <w:t xml:space="preserve">course </w:t>
      </w:r>
      <w:r w:rsidRPr="008D7433">
        <w:t>duration of 8 weeks for CAL/BDP cream and 4 weeks for CAL/BDP foam or ointment,</w:t>
      </w:r>
      <w:r w:rsidR="002C388C" w:rsidRPr="008D7433">
        <w:t xml:space="preserve"> </w:t>
      </w:r>
      <w:r w:rsidR="007A1A19" w:rsidRPr="008D7433">
        <w:t xml:space="preserve">or repeat the treatment course </w:t>
      </w:r>
      <w:r w:rsidR="002C388C" w:rsidRPr="008D7433">
        <w:t>multiple times,</w:t>
      </w:r>
      <w:r w:rsidRPr="008D7433">
        <w:t xml:space="preserve"> given that plaque psoriasis is a chronic condition. Additionally, patients who respond earlier to treatment may cease treatment prior to the </w:t>
      </w:r>
      <w:r w:rsidR="001C1F76" w:rsidRPr="008D7433">
        <w:t xml:space="preserve">maximum </w:t>
      </w:r>
      <w:r w:rsidRPr="008D7433">
        <w:t>recommended treatment duration.</w:t>
      </w:r>
      <w:r w:rsidR="0095366E" w:rsidRPr="008D7433">
        <w:t xml:space="preserve"> Different products have different recommendations for ongoing treatment (e.g. </w:t>
      </w:r>
      <w:proofErr w:type="spellStart"/>
      <w:r w:rsidR="0095366E" w:rsidRPr="008D7433">
        <w:t>Entsilar</w:t>
      </w:r>
      <w:proofErr w:type="spellEnd"/>
      <w:r w:rsidR="0095366E" w:rsidRPr="008D7433">
        <w:t xml:space="preserve"> </w:t>
      </w:r>
      <w:r w:rsidR="00205245" w:rsidRPr="008D7433">
        <w:t xml:space="preserve">foam spray PI recommends the foam be used for 4 weeks, </w:t>
      </w:r>
      <w:r w:rsidR="00DD5C39" w:rsidRPr="008D7433">
        <w:t xml:space="preserve">and patients who have responded to treatment </w:t>
      </w:r>
      <w:r w:rsidR="00215BED" w:rsidRPr="008D7433">
        <w:t xml:space="preserve">can use long-term maintenance treatment </w:t>
      </w:r>
      <w:r w:rsidR="00A13B2C" w:rsidRPr="008D7433">
        <w:t xml:space="preserve">applying foam twice weekly on two non-consecutive days; </w:t>
      </w:r>
      <w:proofErr w:type="spellStart"/>
      <w:r w:rsidR="00440B6C" w:rsidRPr="008D7433">
        <w:t>Daivobet</w:t>
      </w:r>
      <w:proofErr w:type="spellEnd"/>
      <w:r w:rsidR="002B461B" w:rsidRPr="00B7760B">
        <w:t>®</w:t>
      </w:r>
      <w:r w:rsidR="00440B6C" w:rsidRPr="008D7433">
        <w:t xml:space="preserve"> ointment PI reco</w:t>
      </w:r>
      <w:r w:rsidR="00D637ED" w:rsidRPr="008D7433">
        <w:t xml:space="preserve">mmends that treatment </w:t>
      </w:r>
      <w:r w:rsidR="003A3701" w:rsidRPr="008D7433">
        <w:t>‘</w:t>
      </w:r>
      <w:r w:rsidR="00D637ED" w:rsidRPr="008D7433">
        <w:t xml:space="preserve">should be intermittent for up to </w:t>
      </w:r>
      <w:r w:rsidR="003A3701" w:rsidRPr="008D7433">
        <w:t>one</w:t>
      </w:r>
      <w:r w:rsidR="00D637ED" w:rsidRPr="008D7433">
        <w:t xml:space="preserve"> year</w:t>
      </w:r>
      <w:r w:rsidR="003A3701" w:rsidRPr="008D7433">
        <w:t>…</w:t>
      </w:r>
      <w:r w:rsidR="00D637ED" w:rsidRPr="008D7433">
        <w:t xml:space="preserve"> </w:t>
      </w:r>
      <w:r w:rsidR="003A3701" w:rsidRPr="008D7433">
        <w:t>T</w:t>
      </w:r>
      <w:r w:rsidR="00D637ED" w:rsidRPr="008D7433">
        <w:t xml:space="preserve">reatment should be limited to four week periods with calcipotriol used alone for </w:t>
      </w:r>
      <w:r w:rsidR="003A3701" w:rsidRPr="008D7433">
        <w:t>one</w:t>
      </w:r>
      <w:r w:rsidR="00D637ED" w:rsidRPr="008D7433">
        <w:t xml:space="preserve"> month between periods of use of </w:t>
      </w:r>
      <w:proofErr w:type="spellStart"/>
      <w:r w:rsidR="00D637ED" w:rsidRPr="008D7433">
        <w:t>Daivobet</w:t>
      </w:r>
      <w:proofErr w:type="spellEnd"/>
      <w:r w:rsidR="003A3701" w:rsidRPr="008D7433">
        <w:t xml:space="preserve"> 50/500</w:t>
      </w:r>
      <w:r w:rsidR="00D637ED" w:rsidRPr="008D7433">
        <w:t xml:space="preserve"> ointment as needed</w:t>
      </w:r>
      <w:r w:rsidR="003A3701" w:rsidRPr="008D7433">
        <w:t>’</w:t>
      </w:r>
      <w:r w:rsidR="00D637ED" w:rsidRPr="008D7433">
        <w:t xml:space="preserve"> (</w:t>
      </w:r>
      <w:proofErr w:type="spellStart"/>
      <w:r w:rsidR="00D637ED" w:rsidRPr="008D7433">
        <w:t>Daivobet</w:t>
      </w:r>
      <w:proofErr w:type="spellEnd"/>
      <w:r w:rsidR="003A3701" w:rsidRPr="008D7433">
        <w:t xml:space="preserve"> Ointment PI)).</w:t>
      </w:r>
      <w:r w:rsidRPr="008D7433">
        <w:t xml:space="preserve"> </w:t>
      </w:r>
    </w:p>
    <w:p w14:paraId="383FC505" w14:textId="4D8541D9" w:rsidR="00D120F8" w:rsidRPr="008D7433" w:rsidRDefault="00D120F8" w:rsidP="00B7760B">
      <w:pPr>
        <w:widowControl w:val="0"/>
        <w:numPr>
          <w:ilvl w:val="1"/>
          <w:numId w:val="1"/>
        </w:numPr>
        <w:spacing w:after="120"/>
        <w:ind w:left="720"/>
      </w:pPr>
      <w:r w:rsidRPr="008D7433">
        <w:t>Patients may also adjust their usage according to the</w:t>
      </w:r>
      <w:r w:rsidR="00A759DC" w:rsidRPr="008D7433">
        <w:t>ir</w:t>
      </w:r>
      <w:r w:rsidRPr="008D7433">
        <w:t xml:space="preserve"> response to treatment and frequency of flare ups. The utilisation </w:t>
      </w:r>
      <w:r w:rsidR="003D7E70" w:rsidRPr="008D7433">
        <w:t xml:space="preserve">may </w:t>
      </w:r>
      <w:r w:rsidRPr="008D7433">
        <w:t>also</w:t>
      </w:r>
      <w:r w:rsidR="003D7E70" w:rsidRPr="008D7433">
        <w:t xml:space="preserve"> be</w:t>
      </w:r>
      <w:r w:rsidRPr="008D7433">
        <w:t xml:space="preserve"> affected by patients</w:t>
      </w:r>
      <w:r w:rsidR="003D7E70" w:rsidRPr="008D7433">
        <w:t>’</w:t>
      </w:r>
      <w:r w:rsidRPr="008D7433">
        <w:t xml:space="preserve"> preference</w:t>
      </w:r>
      <w:r w:rsidR="003D7E70" w:rsidRPr="008D7433">
        <w:t>s</w:t>
      </w:r>
      <w:r w:rsidRPr="008D7433">
        <w:t xml:space="preserve"> for certain formulations due to the site of psoriatic plaque, occlusive effect of the formulation, and extent of psoriasis. Therefore, the actual duration of treatment </w:t>
      </w:r>
      <w:r w:rsidR="009315FE" w:rsidRPr="008D7433">
        <w:t xml:space="preserve">and preference </w:t>
      </w:r>
      <w:r w:rsidR="00A4037C" w:rsidRPr="008D7433">
        <w:t xml:space="preserve">for </w:t>
      </w:r>
      <w:r w:rsidR="009315FE" w:rsidRPr="008D7433">
        <w:t>different</w:t>
      </w:r>
      <w:r w:rsidRPr="008D7433">
        <w:t xml:space="preserve"> CAL/BDP products in clinical practice remains uncertain.</w:t>
      </w:r>
    </w:p>
    <w:p w14:paraId="5BFCD703" w14:textId="15B2EFCA" w:rsidR="0036389B" w:rsidRPr="008D7433" w:rsidRDefault="00DD50E4" w:rsidP="00B7760B">
      <w:pPr>
        <w:widowControl w:val="0"/>
        <w:numPr>
          <w:ilvl w:val="1"/>
          <w:numId w:val="1"/>
        </w:numPr>
        <w:spacing w:after="120"/>
        <w:ind w:left="720"/>
      </w:pPr>
      <w:r w:rsidRPr="008D7433">
        <w:t>D</w:t>
      </w:r>
      <w:r w:rsidR="00D120F8" w:rsidRPr="008D7433">
        <w:t>uring the</w:t>
      </w:r>
      <w:r w:rsidRPr="008D7433">
        <w:t xml:space="preserve"> PBAC</w:t>
      </w:r>
      <w:r w:rsidR="00D120F8" w:rsidRPr="008D7433">
        <w:t xml:space="preserve"> consideration of C</w:t>
      </w:r>
      <w:r w:rsidRPr="008D7433">
        <w:t>AL</w:t>
      </w:r>
      <w:r w:rsidR="00D120F8" w:rsidRPr="008D7433">
        <w:t>/BDP gel</w:t>
      </w:r>
      <w:r w:rsidR="00A4037C" w:rsidRPr="008D7433">
        <w:t xml:space="preserve"> in November 2015</w:t>
      </w:r>
      <w:r w:rsidR="00D120F8" w:rsidRPr="008D7433">
        <w:t xml:space="preserve">, </w:t>
      </w:r>
      <w:r w:rsidR="00171005" w:rsidRPr="008D7433">
        <w:t xml:space="preserve">the PBAC </w:t>
      </w:r>
      <w:r w:rsidR="00D120F8" w:rsidRPr="008D7433">
        <w:t xml:space="preserve">deemed </w:t>
      </w:r>
      <w:r w:rsidR="00171005" w:rsidRPr="008D7433">
        <w:t>the approach of assuming a dose of 1</w:t>
      </w:r>
      <w:r w:rsidR="007600ED" w:rsidRPr="008D7433">
        <w:t xml:space="preserve"> </w:t>
      </w:r>
      <w:r w:rsidR="00171005" w:rsidRPr="008D7433">
        <w:t>g gel to 1</w:t>
      </w:r>
      <w:r w:rsidR="007600ED" w:rsidRPr="008D7433">
        <w:t xml:space="preserve"> </w:t>
      </w:r>
      <w:r w:rsidR="00171005" w:rsidRPr="008D7433">
        <w:t>g ointment appropriate (paragraph 6.30, calcipotriol with betamethasone dipropionate gel, PSD, November 2015 PBAC meeting), despite the</w:t>
      </w:r>
      <w:r w:rsidRPr="008D7433">
        <w:t xml:space="preserve"> </w:t>
      </w:r>
      <w:r w:rsidR="00171005" w:rsidRPr="008D7433">
        <w:t xml:space="preserve">difference in the treatment duration </w:t>
      </w:r>
      <w:r w:rsidRPr="008D7433">
        <w:t xml:space="preserve">between </w:t>
      </w:r>
      <w:r w:rsidR="00171005" w:rsidRPr="008D7433">
        <w:t>CAL/BDP gel (8 weeks) and ointment (4 weeks)</w:t>
      </w:r>
      <w:r w:rsidRPr="008D7433">
        <w:t>.</w:t>
      </w:r>
      <w:r w:rsidR="000E2989" w:rsidRPr="008D7433">
        <w:t xml:space="preserve"> </w:t>
      </w:r>
    </w:p>
    <w:p w14:paraId="5A5C6DD0" w14:textId="04865CD3" w:rsidR="000E2989" w:rsidRDefault="00DD50E4" w:rsidP="00B7760B">
      <w:pPr>
        <w:widowControl w:val="0"/>
        <w:numPr>
          <w:ilvl w:val="1"/>
          <w:numId w:val="1"/>
        </w:numPr>
        <w:spacing w:after="120"/>
        <w:ind w:left="720"/>
      </w:pPr>
      <w:r w:rsidRPr="008D7433">
        <w:t>However, during the PBAC consideration of CAL/BDP foam</w:t>
      </w:r>
      <w:r w:rsidR="00F26D75" w:rsidRPr="008D7433">
        <w:t xml:space="preserve"> in November 2016</w:t>
      </w:r>
      <w:r w:rsidRPr="008D7433">
        <w:t>, an economic model with a time horizon of 48 weeks was presented</w:t>
      </w:r>
      <w:r w:rsidR="000E2989" w:rsidRPr="008D7433">
        <w:t xml:space="preserve"> based on superior</w:t>
      </w:r>
      <w:r w:rsidR="000E2989" w:rsidRPr="00B7760B">
        <w:t xml:space="preserve"> </w:t>
      </w:r>
      <w:r w:rsidR="000E2989" w:rsidRPr="008D7433">
        <w:t>efficacy</w:t>
      </w:r>
      <w:r w:rsidR="0077547F" w:rsidRPr="008D7433">
        <w:t xml:space="preserve"> of CAL/BDP foam</w:t>
      </w:r>
      <w:r w:rsidR="000E2989" w:rsidRPr="008D7433">
        <w:t xml:space="preserve"> compared to CAL/BDP gel (paragraph </w:t>
      </w:r>
      <w:r w:rsidR="006E4625" w:rsidRPr="008D7433">
        <w:t xml:space="preserve">6.23 and </w:t>
      </w:r>
      <w:r w:rsidR="000E2989" w:rsidRPr="008D7433">
        <w:t>6.2</w:t>
      </w:r>
      <w:r w:rsidR="006E4625" w:rsidRPr="008D7433">
        <w:t>8</w:t>
      </w:r>
      <w:r w:rsidR="000E2989" w:rsidRPr="008D7433">
        <w:t>, calcipotriol with betamethasone dipropionate foam, PSD, November 2016 PBAC meeting)</w:t>
      </w:r>
      <w:r w:rsidRPr="008D7433">
        <w:t xml:space="preserve">, despite the difference in the treatment duration </w:t>
      </w:r>
      <w:r w:rsidR="000E2989" w:rsidRPr="008D7433">
        <w:t xml:space="preserve">of </w:t>
      </w:r>
      <w:r w:rsidRPr="008D7433">
        <w:t>CAL/BDP foam (</w:t>
      </w:r>
      <w:r w:rsidR="000E2989" w:rsidRPr="008D7433">
        <w:t>4</w:t>
      </w:r>
      <w:r w:rsidRPr="008D7433">
        <w:t xml:space="preserve"> weeks) </w:t>
      </w:r>
      <w:r w:rsidRPr="008D7433">
        <w:lastRenderedPageBreak/>
        <w:t xml:space="preserve">and </w:t>
      </w:r>
      <w:r w:rsidR="000E2989" w:rsidRPr="008D7433">
        <w:t xml:space="preserve">CAL/BDP </w:t>
      </w:r>
      <w:r w:rsidRPr="008D7433">
        <w:t>gel (</w:t>
      </w:r>
      <w:r w:rsidR="000E2989" w:rsidRPr="008D7433">
        <w:t>8</w:t>
      </w:r>
      <w:r w:rsidRPr="008D7433">
        <w:t xml:space="preserve"> weeks). </w:t>
      </w:r>
      <w:r w:rsidR="000E2989" w:rsidRPr="008D7433">
        <w:t>The ESC noted that if patients responded earlier to treatment, continuation of use might cease before the standard 4-week treatment period, potentially resulting in cost savings (paragraph 6.29, calcipotriol with betamethasone dipropionate foam, PSD, November 2016 PBAC meeting).</w:t>
      </w:r>
    </w:p>
    <w:p w14:paraId="3D83AC7D" w14:textId="3CEA7185" w:rsidR="000C1B78" w:rsidRPr="003910CE" w:rsidRDefault="00BD0109" w:rsidP="00B7760B">
      <w:pPr>
        <w:widowControl w:val="0"/>
        <w:numPr>
          <w:ilvl w:val="1"/>
          <w:numId w:val="1"/>
        </w:numPr>
        <w:spacing w:after="120"/>
        <w:ind w:left="720"/>
      </w:pPr>
      <w:r w:rsidRPr="003910CE">
        <w:t xml:space="preserve">The PSCR </w:t>
      </w:r>
      <w:r w:rsidR="00B76198" w:rsidRPr="003910CE">
        <w:t xml:space="preserve">argued that as psoriasis is a chronic condition, in clinical practice </w:t>
      </w:r>
      <w:r w:rsidR="00F15458" w:rsidRPr="003910CE">
        <w:t xml:space="preserve">duration of use of treatment may not always align with the standard recommended treatment duration. The PSCR </w:t>
      </w:r>
      <w:r w:rsidR="00785FCF" w:rsidRPr="003910CE">
        <w:t xml:space="preserve">claimed that patients using CAL/BDP cream may have improved adherence due to better acceptability and convenience, which will </w:t>
      </w:r>
      <w:r w:rsidR="00A02607" w:rsidRPr="003910CE">
        <w:t xml:space="preserve">hasten disease resolution and reduce usage overall. Patients may not require 8 weeks of </w:t>
      </w:r>
      <w:r w:rsidR="0004518A" w:rsidRPr="003910CE">
        <w:t xml:space="preserve">use if disease control is achieved earlier. </w:t>
      </w:r>
      <w:r w:rsidR="005D6E87" w:rsidRPr="003910CE">
        <w:t>However, this was not reflected in the MC2-01-C2 and MC2-01-C7 CSRs, where the overall amount of drug used was higher in the CAL/BDP cream group compared to the CAL/BDP gel group.</w:t>
      </w:r>
    </w:p>
    <w:p w14:paraId="1231AC0F" w14:textId="0AC3E15F" w:rsidR="00BD0109" w:rsidRPr="003910CE" w:rsidRDefault="0004518A" w:rsidP="00B7760B">
      <w:pPr>
        <w:widowControl w:val="0"/>
        <w:numPr>
          <w:ilvl w:val="1"/>
          <w:numId w:val="1"/>
        </w:numPr>
        <w:spacing w:after="120"/>
        <w:ind w:left="720"/>
      </w:pPr>
      <w:r w:rsidRPr="003910CE">
        <w:t>The PSCR</w:t>
      </w:r>
      <w:r w:rsidR="000C1B78" w:rsidRPr="003910CE">
        <w:t xml:space="preserve"> </w:t>
      </w:r>
      <w:r w:rsidRPr="003910CE">
        <w:t xml:space="preserve">further maintained that after initial treatment CAL/BDP cream </w:t>
      </w:r>
      <w:r w:rsidR="00A221F2" w:rsidRPr="003910CE">
        <w:t xml:space="preserve">will be used as maintenance treatment, which is consistent with other topical </w:t>
      </w:r>
      <w:r w:rsidR="009C4567" w:rsidRPr="003910CE">
        <w:t>products. The PSCR referred to the PBAC’s consideration of CAL/BDP gel in November</w:t>
      </w:r>
      <w:r w:rsidR="005A4FA3">
        <w:t> </w:t>
      </w:r>
      <w:r w:rsidR="009C4567" w:rsidRPr="003910CE">
        <w:t xml:space="preserve">2015, </w:t>
      </w:r>
      <w:r w:rsidR="00290AE7" w:rsidRPr="003910CE">
        <w:t>where it deemed the approach of assuming 1 g gel to 1 g ointment appropriate, despite the differences in treatment duration (8 weeks for gel and 4</w:t>
      </w:r>
      <w:r w:rsidR="007530FC">
        <w:t> </w:t>
      </w:r>
      <w:r w:rsidR="00290AE7" w:rsidRPr="003910CE">
        <w:t xml:space="preserve">weeks for ointment). </w:t>
      </w:r>
    </w:p>
    <w:p w14:paraId="3C686D9A" w14:textId="009373B7" w:rsidR="00B65D09" w:rsidRPr="008D7433" w:rsidRDefault="00D2785E" w:rsidP="00B7760B">
      <w:pPr>
        <w:widowControl w:val="0"/>
        <w:numPr>
          <w:ilvl w:val="1"/>
          <w:numId w:val="1"/>
        </w:numPr>
        <w:spacing w:after="120"/>
        <w:ind w:left="720"/>
      </w:pPr>
      <w:r w:rsidRPr="00D2785E">
        <w:t xml:space="preserve">Based on the clinical evidence presented by the submission, there was insufficient evidence to support a price premium over the least expensive PBS-listed CAL/BDP product (i.e., ointment) for the treatment of chronic plaque type psoriasis in adults. </w:t>
      </w:r>
    </w:p>
    <w:p w14:paraId="24D2305D" w14:textId="50C93F8D" w:rsidR="00171005" w:rsidRPr="00D20111" w:rsidRDefault="00D20111" w:rsidP="00B7760B">
      <w:pPr>
        <w:widowControl w:val="0"/>
        <w:numPr>
          <w:ilvl w:val="1"/>
          <w:numId w:val="1"/>
        </w:numPr>
        <w:spacing w:after="120"/>
        <w:ind w:left="720"/>
      </w:pPr>
      <w:r>
        <w:t>The cost-minimisation was presented based on drug acquisition cost only</w:t>
      </w:r>
      <w:r w:rsidR="00CF5BA7">
        <w:t>. N</w:t>
      </w:r>
      <w:r w:rsidR="00171005" w:rsidRPr="005F28B5">
        <w:t xml:space="preserve">o </w:t>
      </w:r>
      <w:r>
        <w:t>differences were assumed in the utilisation of other healthcare resources relating to administration of the drugs or management of AEs</w:t>
      </w:r>
      <w:r w:rsidR="005F28B5" w:rsidRPr="005F28B5">
        <w:t>.</w:t>
      </w:r>
      <w:r>
        <w:t xml:space="preserve"> </w:t>
      </w:r>
      <w:r w:rsidRPr="00DD6351">
        <w:t>This was reasonable.</w:t>
      </w:r>
      <w:r w:rsidRPr="00B7760B">
        <w:t xml:space="preserve"> </w:t>
      </w:r>
    </w:p>
    <w:p w14:paraId="2AAFFA3E" w14:textId="6CA9BEA0" w:rsidR="00AB3A67" w:rsidRPr="005F28B5" w:rsidRDefault="00AB3A67" w:rsidP="00B7760B">
      <w:pPr>
        <w:widowControl w:val="0"/>
        <w:numPr>
          <w:ilvl w:val="1"/>
          <w:numId w:val="1"/>
        </w:numPr>
        <w:spacing w:after="120"/>
        <w:ind w:left="720"/>
      </w:pPr>
      <w:bookmarkStart w:id="56" w:name="_Ref201658553"/>
      <w:r w:rsidRPr="005F28B5">
        <w:t xml:space="preserve">The results of the cost minimisation approach as presented in the submission are shown in </w:t>
      </w:r>
      <w:r w:rsidRPr="005F28B5">
        <w:fldChar w:fldCharType="begin" w:fldLock="1"/>
      </w:r>
      <w:r w:rsidRPr="005F28B5">
        <w:instrText xml:space="preserve"> REF _Ref195191212 \h </w:instrText>
      </w:r>
      <w:r w:rsidRPr="005F28B5">
        <w:fldChar w:fldCharType="separate"/>
      </w:r>
      <w:r w:rsidR="00AA3192" w:rsidRPr="005F28B5">
        <w:t xml:space="preserve">Table </w:t>
      </w:r>
      <w:r w:rsidR="00AA3192">
        <w:rPr>
          <w:noProof/>
        </w:rPr>
        <w:t>14</w:t>
      </w:r>
      <w:r w:rsidRPr="005F28B5">
        <w:fldChar w:fldCharType="end"/>
      </w:r>
      <w:r w:rsidRPr="005F28B5">
        <w:t>.</w:t>
      </w:r>
      <w:bookmarkEnd w:id="56"/>
    </w:p>
    <w:p w14:paraId="42C58D1E" w14:textId="143AF492" w:rsidR="00AB3A67" w:rsidRPr="005F28B5" w:rsidRDefault="00AB3A67" w:rsidP="00AB3A67">
      <w:pPr>
        <w:pStyle w:val="Caption"/>
        <w:rPr>
          <w:b w:val="0"/>
          <w:bCs w:val="0"/>
        </w:rPr>
      </w:pPr>
      <w:bookmarkStart w:id="57" w:name="_Ref195191212"/>
      <w:r w:rsidRPr="005F28B5">
        <w:t xml:space="preserve">Table </w:t>
      </w:r>
      <w:r w:rsidR="00AA3192">
        <w:fldChar w:fldCharType="begin" w:fldLock="1"/>
      </w:r>
      <w:r w:rsidR="00AA3192">
        <w:instrText xml:space="preserve"> SEQ Table \* ARABIC </w:instrText>
      </w:r>
      <w:r w:rsidR="00AA3192">
        <w:fldChar w:fldCharType="separate"/>
      </w:r>
      <w:r w:rsidR="00AA3192">
        <w:rPr>
          <w:noProof/>
        </w:rPr>
        <w:t>14</w:t>
      </w:r>
      <w:r w:rsidR="00AA3192">
        <w:rPr>
          <w:noProof/>
        </w:rPr>
        <w:fldChar w:fldCharType="end"/>
      </w:r>
      <w:bookmarkEnd w:id="57"/>
      <w:r w:rsidRPr="005F28B5">
        <w:t xml:space="preserve">: </w:t>
      </w:r>
      <w:r w:rsidRPr="005F28B5">
        <w:rPr>
          <w:rStyle w:val="CommentReference"/>
          <w:b/>
          <w:bCs w:val="0"/>
        </w:rPr>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the cost-minimisation approach"/>
      </w:tblPr>
      <w:tblGrid>
        <w:gridCol w:w="850"/>
        <w:gridCol w:w="2126"/>
        <w:gridCol w:w="2013"/>
        <w:gridCol w:w="2014"/>
        <w:gridCol w:w="2014"/>
      </w:tblGrid>
      <w:tr w:rsidR="005F28B5" w:rsidRPr="005F28B5" w14:paraId="3E137C18" w14:textId="77777777" w:rsidTr="00AB3A67">
        <w:tc>
          <w:tcPr>
            <w:tcW w:w="471" w:type="pct"/>
            <w:tcBorders>
              <w:top w:val="single" w:sz="4" w:space="0" w:color="auto"/>
              <w:left w:val="single" w:sz="4" w:space="0" w:color="auto"/>
              <w:bottom w:val="single" w:sz="4" w:space="0" w:color="auto"/>
              <w:right w:val="single" w:sz="4" w:space="0" w:color="auto"/>
            </w:tcBorders>
          </w:tcPr>
          <w:p w14:paraId="773347BA" w14:textId="62764FE5" w:rsidR="00AB3A67" w:rsidRPr="005F28B5" w:rsidRDefault="00AB3A67">
            <w:pPr>
              <w:pStyle w:val="In-tableHeading"/>
            </w:pPr>
          </w:p>
        </w:tc>
        <w:tc>
          <w:tcPr>
            <w:tcW w:w="1179" w:type="pct"/>
            <w:tcBorders>
              <w:top w:val="single" w:sz="4" w:space="0" w:color="auto"/>
              <w:left w:val="single" w:sz="4" w:space="0" w:color="auto"/>
              <w:bottom w:val="single" w:sz="4" w:space="0" w:color="auto"/>
              <w:right w:val="single" w:sz="4" w:space="0" w:color="auto"/>
            </w:tcBorders>
            <w:hideMark/>
          </w:tcPr>
          <w:p w14:paraId="0553902D" w14:textId="77777777" w:rsidR="00AB3A67" w:rsidRPr="005F28B5" w:rsidRDefault="00AB3A67">
            <w:pPr>
              <w:pStyle w:val="In-tableHeading"/>
            </w:pPr>
            <w:r w:rsidRPr="005F28B5">
              <w:t>Component</w:t>
            </w:r>
          </w:p>
        </w:tc>
        <w:tc>
          <w:tcPr>
            <w:tcW w:w="1116" w:type="pct"/>
            <w:tcBorders>
              <w:top w:val="single" w:sz="4" w:space="0" w:color="auto"/>
              <w:left w:val="single" w:sz="4" w:space="0" w:color="auto"/>
              <w:bottom w:val="single" w:sz="4" w:space="0" w:color="auto"/>
              <w:right w:val="single" w:sz="4" w:space="0" w:color="auto"/>
            </w:tcBorders>
            <w:hideMark/>
          </w:tcPr>
          <w:p w14:paraId="71CECD82" w14:textId="77777777" w:rsidR="00AB3A67" w:rsidRPr="005F28B5" w:rsidRDefault="00AB3A67">
            <w:pPr>
              <w:pStyle w:val="In-tableHeading"/>
              <w:jc w:val="center"/>
            </w:pPr>
            <w:r w:rsidRPr="005F28B5">
              <w:t>CAL/BDP foam</w:t>
            </w:r>
          </w:p>
        </w:tc>
        <w:tc>
          <w:tcPr>
            <w:tcW w:w="1117" w:type="pct"/>
            <w:tcBorders>
              <w:top w:val="single" w:sz="4" w:space="0" w:color="auto"/>
              <w:left w:val="single" w:sz="4" w:space="0" w:color="auto"/>
              <w:bottom w:val="single" w:sz="4" w:space="0" w:color="auto"/>
              <w:right w:val="single" w:sz="4" w:space="0" w:color="auto"/>
            </w:tcBorders>
            <w:hideMark/>
          </w:tcPr>
          <w:p w14:paraId="25AEF927" w14:textId="77777777" w:rsidR="00AB3A67" w:rsidRPr="005F28B5" w:rsidRDefault="00AB3A67">
            <w:pPr>
              <w:pStyle w:val="In-tableHeading"/>
              <w:jc w:val="center"/>
            </w:pPr>
            <w:r w:rsidRPr="005F28B5">
              <w:t>CAL/BDP ointment</w:t>
            </w:r>
          </w:p>
        </w:tc>
        <w:tc>
          <w:tcPr>
            <w:tcW w:w="1117" w:type="pct"/>
            <w:tcBorders>
              <w:top w:val="single" w:sz="4" w:space="0" w:color="auto"/>
              <w:left w:val="single" w:sz="4" w:space="0" w:color="auto"/>
              <w:bottom w:val="single" w:sz="4" w:space="0" w:color="auto"/>
              <w:right w:val="single" w:sz="4" w:space="0" w:color="auto"/>
            </w:tcBorders>
            <w:hideMark/>
          </w:tcPr>
          <w:p w14:paraId="449909A3" w14:textId="77777777" w:rsidR="00AB3A67" w:rsidRPr="005F28B5" w:rsidRDefault="00AB3A67">
            <w:pPr>
              <w:pStyle w:val="In-tableHeading"/>
              <w:jc w:val="center"/>
            </w:pPr>
            <w:r w:rsidRPr="005F28B5">
              <w:t>CAL/BDP cream</w:t>
            </w:r>
          </w:p>
        </w:tc>
      </w:tr>
      <w:tr w:rsidR="005F28B5" w:rsidRPr="005F28B5" w14:paraId="0F43646F" w14:textId="77777777" w:rsidTr="00AB3A67">
        <w:tc>
          <w:tcPr>
            <w:tcW w:w="471" w:type="pct"/>
            <w:tcBorders>
              <w:top w:val="single" w:sz="4" w:space="0" w:color="auto"/>
              <w:left w:val="single" w:sz="4" w:space="0" w:color="auto"/>
              <w:bottom w:val="single" w:sz="4" w:space="0" w:color="auto"/>
              <w:right w:val="single" w:sz="4" w:space="0" w:color="auto"/>
            </w:tcBorders>
            <w:hideMark/>
          </w:tcPr>
          <w:p w14:paraId="0C8C824F" w14:textId="6FE3E991" w:rsidR="00AB3A67" w:rsidRPr="00F54019" w:rsidRDefault="00AB3A67">
            <w:pPr>
              <w:pStyle w:val="TableText0"/>
            </w:pPr>
            <w:r w:rsidRPr="00F54019">
              <w:t>a</w:t>
            </w:r>
            <w:r w:rsidR="00E94F3B">
              <w:t>*</w:t>
            </w:r>
          </w:p>
        </w:tc>
        <w:tc>
          <w:tcPr>
            <w:tcW w:w="1179" w:type="pct"/>
            <w:tcBorders>
              <w:top w:val="single" w:sz="4" w:space="0" w:color="auto"/>
              <w:left w:val="single" w:sz="4" w:space="0" w:color="auto"/>
              <w:bottom w:val="single" w:sz="4" w:space="0" w:color="auto"/>
              <w:right w:val="single" w:sz="4" w:space="0" w:color="auto"/>
            </w:tcBorders>
            <w:hideMark/>
          </w:tcPr>
          <w:p w14:paraId="056FBF29" w14:textId="76A68514" w:rsidR="00AB3A67" w:rsidRPr="005F28B5" w:rsidRDefault="00AB3A67">
            <w:pPr>
              <w:pStyle w:val="TableText0"/>
            </w:pPr>
            <w:r w:rsidRPr="005F28B5">
              <w:t>DPMQ</w:t>
            </w:r>
          </w:p>
        </w:tc>
        <w:tc>
          <w:tcPr>
            <w:tcW w:w="1116" w:type="pct"/>
            <w:tcBorders>
              <w:top w:val="single" w:sz="4" w:space="0" w:color="auto"/>
              <w:left w:val="single" w:sz="4" w:space="0" w:color="auto"/>
              <w:bottom w:val="single" w:sz="4" w:space="0" w:color="auto"/>
              <w:right w:val="single" w:sz="4" w:space="0" w:color="auto"/>
            </w:tcBorders>
            <w:hideMark/>
          </w:tcPr>
          <w:p w14:paraId="2B052CB0" w14:textId="597EE5BC" w:rsidR="00AB3A67" w:rsidRPr="005F28B5" w:rsidRDefault="00D20111">
            <w:pPr>
              <w:pStyle w:val="TableText0"/>
              <w:jc w:val="center"/>
              <w:rPr>
                <w:vertAlign w:val="superscript"/>
              </w:rPr>
            </w:pPr>
            <w:r>
              <w:t>$</w:t>
            </w:r>
            <w:r w:rsidR="00AB3A67" w:rsidRPr="005F28B5">
              <w:t>85.70</w:t>
            </w:r>
            <w:r w:rsidR="00AB3A67" w:rsidRPr="005F28B5">
              <w:rPr>
                <w:vertAlign w:val="superscript"/>
              </w:rPr>
              <w:t>a</w:t>
            </w:r>
          </w:p>
          <w:p w14:paraId="00901689" w14:textId="40ADB5E3" w:rsidR="00AB3A67" w:rsidRPr="005F28B5" w:rsidRDefault="00D20111">
            <w:pPr>
              <w:pStyle w:val="TableText0"/>
              <w:jc w:val="center"/>
              <w:rPr>
                <w:vertAlign w:val="superscript"/>
              </w:rPr>
            </w:pPr>
            <w:r>
              <w:t>$</w:t>
            </w:r>
            <w:r w:rsidR="00AB3A67" w:rsidRPr="005F28B5">
              <w:t>160.17</w:t>
            </w:r>
            <w:r w:rsidR="00AB3A67" w:rsidRPr="005F28B5">
              <w:rPr>
                <w:vertAlign w:val="superscript"/>
              </w:rPr>
              <w:t>b</w:t>
            </w:r>
          </w:p>
        </w:tc>
        <w:tc>
          <w:tcPr>
            <w:tcW w:w="1117" w:type="pct"/>
            <w:tcBorders>
              <w:top w:val="single" w:sz="4" w:space="0" w:color="auto"/>
              <w:left w:val="single" w:sz="4" w:space="0" w:color="auto"/>
              <w:bottom w:val="single" w:sz="4" w:space="0" w:color="auto"/>
              <w:right w:val="single" w:sz="4" w:space="0" w:color="auto"/>
            </w:tcBorders>
            <w:hideMark/>
          </w:tcPr>
          <w:p w14:paraId="32BD3AE5" w14:textId="0AB01A91" w:rsidR="00AB3A67" w:rsidRPr="005F28B5" w:rsidRDefault="00D20111">
            <w:pPr>
              <w:pStyle w:val="TableText0"/>
              <w:jc w:val="center"/>
              <w:rPr>
                <w:vertAlign w:val="superscript"/>
              </w:rPr>
            </w:pPr>
            <w:r>
              <w:t>$</w:t>
            </w:r>
            <w:r w:rsidR="00AB3A67" w:rsidRPr="005F28B5">
              <w:t>39.08</w:t>
            </w:r>
            <w:r w:rsidR="00AB3A67" w:rsidRPr="005F28B5">
              <w:rPr>
                <w:vertAlign w:val="superscript"/>
              </w:rPr>
              <w:t>a</w:t>
            </w:r>
          </w:p>
          <w:p w14:paraId="208934B8" w14:textId="7E5D4E9D" w:rsidR="00AB3A67" w:rsidRPr="005F28B5" w:rsidRDefault="00D20111">
            <w:pPr>
              <w:pStyle w:val="TableText0"/>
              <w:jc w:val="center"/>
              <w:rPr>
                <w:vertAlign w:val="superscript"/>
              </w:rPr>
            </w:pPr>
            <w:r>
              <w:t>$</w:t>
            </w:r>
            <w:r w:rsidR="00AB3A67" w:rsidRPr="005F28B5">
              <w:t>64.71</w:t>
            </w:r>
            <w:r w:rsidR="00AB3A67" w:rsidRPr="005F28B5">
              <w:rPr>
                <w:vertAlign w:val="superscript"/>
              </w:rPr>
              <w:t>b</w:t>
            </w:r>
          </w:p>
        </w:tc>
        <w:tc>
          <w:tcPr>
            <w:tcW w:w="1117" w:type="pct"/>
            <w:tcBorders>
              <w:top w:val="single" w:sz="4" w:space="0" w:color="auto"/>
              <w:left w:val="single" w:sz="4" w:space="0" w:color="auto"/>
              <w:bottom w:val="single" w:sz="4" w:space="0" w:color="auto"/>
              <w:right w:val="single" w:sz="4" w:space="0" w:color="auto"/>
            </w:tcBorders>
            <w:hideMark/>
          </w:tcPr>
          <w:p w14:paraId="4AB8276F" w14:textId="4B4FD294" w:rsidR="00AB3A67" w:rsidRPr="008510D0" w:rsidRDefault="00D20111">
            <w:pPr>
              <w:pStyle w:val="TableText0"/>
              <w:jc w:val="center"/>
            </w:pPr>
            <w:r w:rsidRPr="008510D0">
              <w:t>$</w:t>
            </w:r>
            <w:r w:rsidR="00AB3A67" w:rsidRPr="008510D0">
              <w:t>75.21</w:t>
            </w:r>
            <w:r w:rsidR="00AB3A67" w:rsidRPr="008510D0">
              <w:rPr>
                <w:vertAlign w:val="superscript"/>
              </w:rPr>
              <w:t>a</w:t>
            </w:r>
          </w:p>
          <w:p w14:paraId="15CDB271" w14:textId="3F49F2A5" w:rsidR="00AB3A67" w:rsidRPr="008510D0" w:rsidRDefault="00D20111">
            <w:pPr>
              <w:pStyle w:val="TableText0"/>
              <w:jc w:val="center"/>
            </w:pPr>
            <w:r w:rsidRPr="008510D0">
              <w:t>$</w:t>
            </w:r>
            <w:r w:rsidR="00AB3A67" w:rsidRPr="008510D0">
              <w:t>138.13</w:t>
            </w:r>
            <w:r w:rsidR="00AB3A67" w:rsidRPr="008510D0">
              <w:rPr>
                <w:vertAlign w:val="superscript"/>
              </w:rPr>
              <w:t>b</w:t>
            </w:r>
          </w:p>
        </w:tc>
      </w:tr>
      <w:tr w:rsidR="005F28B5" w:rsidRPr="005F28B5" w14:paraId="0C91A2B4" w14:textId="77777777" w:rsidTr="00AB3A67">
        <w:tc>
          <w:tcPr>
            <w:tcW w:w="471" w:type="pct"/>
            <w:tcBorders>
              <w:top w:val="single" w:sz="4" w:space="0" w:color="auto"/>
              <w:left w:val="single" w:sz="4" w:space="0" w:color="auto"/>
              <w:bottom w:val="single" w:sz="4" w:space="0" w:color="auto"/>
              <w:right w:val="single" w:sz="4" w:space="0" w:color="auto"/>
            </w:tcBorders>
            <w:hideMark/>
          </w:tcPr>
          <w:p w14:paraId="27709F76" w14:textId="505621A1" w:rsidR="00AB3A67" w:rsidRPr="00F54019" w:rsidRDefault="00AB3A67">
            <w:pPr>
              <w:pStyle w:val="TableText0"/>
            </w:pPr>
            <w:r w:rsidRPr="00F54019">
              <w:t>b</w:t>
            </w:r>
            <w:r w:rsidR="00E94F3B">
              <w:t>*</w:t>
            </w:r>
          </w:p>
        </w:tc>
        <w:tc>
          <w:tcPr>
            <w:tcW w:w="1179" w:type="pct"/>
            <w:tcBorders>
              <w:top w:val="single" w:sz="4" w:space="0" w:color="auto"/>
              <w:left w:val="single" w:sz="4" w:space="0" w:color="auto"/>
              <w:bottom w:val="single" w:sz="4" w:space="0" w:color="auto"/>
              <w:right w:val="single" w:sz="4" w:space="0" w:color="auto"/>
            </w:tcBorders>
            <w:hideMark/>
          </w:tcPr>
          <w:p w14:paraId="26A240FE" w14:textId="6D4C35A4" w:rsidR="00AB3A67" w:rsidRPr="005F28B5" w:rsidRDefault="00AB3A67">
            <w:pPr>
              <w:pStyle w:val="TableText0"/>
            </w:pPr>
            <w:r w:rsidRPr="005F28B5">
              <w:t xml:space="preserve">AEMP </w:t>
            </w:r>
          </w:p>
        </w:tc>
        <w:tc>
          <w:tcPr>
            <w:tcW w:w="1116" w:type="pct"/>
            <w:tcBorders>
              <w:top w:val="single" w:sz="4" w:space="0" w:color="auto"/>
              <w:left w:val="single" w:sz="4" w:space="0" w:color="auto"/>
              <w:bottom w:val="single" w:sz="4" w:space="0" w:color="auto"/>
              <w:right w:val="single" w:sz="4" w:space="0" w:color="auto"/>
            </w:tcBorders>
            <w:hideMark/>
          </w:tcPr>
          <w:p w14:paraId="39A422EC" w14:textId="1CC44CCB" w:rsidR="00AB3A67" w:rsidRPr="005F28B5" w:rsidRDefault="00D20111">
            <w:pPr>
              <w:pStyle w:val="TableText0"/>
              <w:jc w:val="center"/>
            </w:pPr>
            <w:r>
              <w:t>$</w:t>
            </w:r>
            <w:r w:rsidR="00AB3A67" w:rsidRPr="005F28B5">
              <w:t>67.19</w:t>
            </w:r>
          </w:p>
        </w:tc>
        <w:tc>
          <w:tcPr>
            <w:tcW w:w="1117" w:type="pct"/>
            <w:tcBorders>
              <w:top w:val="single" w:sz="4" w:space="0" w:color="auto"/>
              <w:left w:val="single" w:sz="4" w:space="0" w:color="auto"/>
              <w:bottom w:val="single" w:sz="4" w:space="0" w:color="auto"/>
              <w:right w:val="single" w:sz="4" w:space="0" w:color="auto"/>
            </w:tcBorders>
            <w:hideMark/>
          </w:tcPr>
          <w:p w14:paraId="68DC789F" w14:textId="583169B1" w:rsidR="00AB3A67" w:rsidRPr="005F28B5" w:rsidRDefault="00D20111">
            <w:pPr>
              <w:pStyle w:val="TableText0"/>
              <w:jc w:val="center"/>
            </w:pPr>
            <w:r>
              <w:t>$</w:t>
            </w:r>
            <w:r w:rsidR="00AB3A67" w:rsidRPr="005F28B5">
              <w:t>23.83</w:t>
            </w:r>
          </w:p>
        </w:tc>
        <w:tc>
          <w:tcPr>
            <w:tcW w:w="1117" w:type="pct"/>
            <w:tcBorders>
              <w:top w:val="single" w:sz="4" w:space="0" w:color="auto"/>
              <w:left w:val="single" w:sz="4" w:space="0" w:color="auto"/>
              <w:bottom w:val="single" w:sz="4" w:space="0" w:color="auto"/>
              <w:right w:val="single" w:sz="4" w:space="0" w:color="auto"/>
            </w:tcBorders>
            <w:hideMark/>
          </w:tcPr>
          <w:p w14:paraId="6D0C5123" w14:textId="21A056B6" w:rsidR="00AB3A67" w:rsidRPr="008510D0" w:rsidRDefault="00D20111">
            <w:pPr>
              <w:pStyle w:val="TableText0"/>
              <w:jc w:val="center"/>
            </w:pPr>
            <w:r w:rsidRPr="008510D0">
              <w:t>$</w:t>
            </w:r>
            <w:r w:rsidR="00AB3A67" w:rsidRPr="008510D0">
              <w:t>57.43</w:t>
            </w:r>
          </w:p>
        </w:tc>
      </w:tr>
      <w:tr w:rsidR="005F28B5" w:rsidRPr="005F28B5" w14:paraId="33DA6F33" w14:textId="77777777" w:rsidTr="00AB3A67">
        <w:tc>
          <w:tcPr>
            <w:tcW w:w="471" w:type="pct"/>
            <w:tcBorders>
              <w:top w:val="single" w:sz="4" w:space="0" w:color="auto"/>
              <w:left w:val="single" w:sz="4" w:space="0" w:color="auto"/>
              <w:bottom w:val="single" w:sz="4" w:space="0" w:color="auto"/>
              <w:right w:val="single" w:sz="4" w:space="0" w:color="auto"/>
            </w:tcBorders>
            <w:hideMark/>
          </w:tcPr>
          <w:p w14:paraId="4A1B97F3" w14:textId="7A9000DE" w:rsidR="00AB3A67" w:rsidRPr="00F54019" w:rsidRDefault="00AB3A67">
            <w:pPr>
              <w:pStyle w:val="TableText0"/>
            </w:pPr>
            <w:r w:rsidRPr="00F54019">
              <w:t>c</w:t>
            </w:r>
            <w:r w:rsidR="00E94F3B">
              <w:t>*</w:t>
            </w:r>
          </w:p>
        </w:tc>
        <w:tc>
          <w:tcPr>
            <w:tcW w:w="1179" w:type="pct"/>
            <w:tcBorders>
              <w:top w:val="single" w:sz="4" w:space="0" w:color="auto"/>
              <w:left w:val="single" w:sz="4" w:space="0" w:color="auto"/>
              <w:bottom w:val="single" w:sz="4" w:space="0" w:color="auto"/>
              <w:right w:val="single" w:sz="4" w:space="0" w:color="auto"/>
            </w:tcBorders>
            <w:hideMark/>
          </w:tcPr>
          <w:p w14:paraId="1FA126D6" w14:textId="77777777" w:rsidR="00AB3A67" w:rsidRPr="005F28B5" w:rsidRDefault="00AB3A67">
            <w:pPr>
              <w:pStyle w:val="TableText0"/>
            </w:pPr>
            <w:r w:rsidRPr="005F28B5">
              <w:t>Pack size (g)</w:t>
            </w:r>
          </w:p>
        </w:tc>
        <w:tc>
          <w:tcPr>
            <w:tcW w:w="1116" w:type="pct"/>
            <w:tcBorders>
              <w:top w:val="single" w:sz="4" w:space="0" w:color="auto"/>
              <w:left w:val="single" w:sz="4" w:space="0" w:color="auto"/>
              <w:bottom w:val="single" w:sz="4" w:space="0" w:color="auto"/>
              <w:right w:val="single" w:sz="4" w:space="0" w:color="auto"/>
            </w:tcBorders>
            <w:hideMark/>
          </w:tcPr>
          <w:p w14:paraId="045BA641" w14:textId="77777777" w:rsidR="00AB3A67" w:rsidRPr="005F28B5" w:rsidRDefault="00AB3A67">
            <w:pPr>
              <w:pStyle w:val="TableText0"/>
              <w:jc w:val="center"/>
            </w:pPr>
            <w:r w:rsidRPr="005F28B5">
              <w:t>60</w:t>
            </w:r>
          </w:p>
        </w:tc>
        <w:tc>
          <w:tcPr>
            <w:tcW w:w="1117" w:type="pct"/>
            <w:tcBorders>
              <w:top w:val="single" w:sz="4" w:space="0" w:color="auto"/>
              <w:left w:val="single" w:sz="4" w:space="0" w:color="auto"/>
              <w:bottom w:val="single" w:sz="4" w:space="0" w:color="auto"/>
              <w:right w:val="single" w:sz="4" w:space="0" w:color="auto"/>
            </w:tcBorders>
            <w:hideMark/>
          </w:tcPr>
          <w:p w14:paraId="4B05BC2B" w14:textId="77777777" w:rsidR="00AB3A67" w:rsidRPr="005F28B5" w:rsidRDefault="00AB3A67">
            <w:pPr>
              <w:pStyle w:val="TableText0"/>
              <w:jc w:val="center"/>
            </w:pPr>
            <w:r w:rsidRPr="005F28B5">
              <w:t>30</w:t>
            </w:r>
          </w:p>
        </w:tc>
        <w:tc>
          <w:tcPr>
            <w:tcW w:w="1117" w:type="pct"/>
            <w:tcBorders>
              <w:top w:val="single" w:sz="4" w:space="0" w:color="auto"/>
              <w:left w:val="single" w:sz="4" w:space="0" w:color="auto"/>
              <w:bottom w:val="single" w:sz="4" w:space="0" w:color="auto"/>
              <w:right w:val="single" w:sz="4" w:space="0" w:color="auto"/>
            </w:tcBorders>
            <w:hideMark/>
          </w:tcPr>
          <w:p w14:paraId="36108C12" w14:textId="77777777" w:rsidR="00AB3A67" w:rsidRPr="008510D0" w:rsidRDefault="00AB3A67">
            <w:pPr>
              <w:pStyle w:val="TableText0"/>
              <w:jc w:val="center"/>
            </w:pPr>
            <w:r w:rsidRPr="008510D0">
              <w:t>60</w:t>
            </w:r>
          </w:p>
        </w:tc>
      </w:tr>
      <w:tr w:rsidR="005F28B5" w:rsidRPr="005F28B5" w14:paraId="77BB57C5" w14:textId="77777777" w:rsidTr="00AB3A67">
        <w:tc>
          <w:tcPr>
            <w:tcW w:w="471" w:type="pct"/>
            <w:tcBorders>
              <w:top w:val="single" w:sz="4" w:space="0" w:color="auto"/>
              <w:left w:val="single" w:sz="4" w:space="0" w:color="auto"/>
              <w:bottom w:val="single" w:sz="4" w:space="0" w:color="auto"/>
              <w:right w:val="single" w:sz="4" w:space="0" w:color="auto"/>
            </w:tcBorders>
            <w:hideMark/>
          </w:tcPr>
          <w:p w14:paraId="5DE8B724" w14:textId="1475CE30" w:rsidR="00AB3A67" w:rsidRPr="00F54019" w:rsidRDefault="00AB3A67">
            <w:pPr>
              <w:pStyle w:val="TableText0"/>
            </w:pPr>
            <w:r w:rsidRPr="00F54019">
              <w:t>d = b</w:t>
            </w:r>
            <w:r w:rsidR="008D3594">
              <w:t> </w:t>
            </w:r>
            <w:r w:rsidRPr="00F54019">
              <w:t>/</w:t>
            </w:r>
            <w:r w:rsidR="008D3594">
              <w:t> </w:t>
            </w:r>
            <w:r w:rsidRPr="00F54019">
              <w:t>c</w:t>
            </w:r>
            <w:r w:rsidR="00E94F3B">
              <w:t>*</w:t>
            </w:r>
          </w:p>
        </w:tc>
        <w:tc>
          <w:tcPr>
            <w:tcW w:w="1179" w:type="pct"/>
            <w:tcBorders>
              <w:top w:val="single" w:sz="4" w:space="0" w:color="auto"/>
              <w:left w:val="single" w:sz="4" w:space="0" w:color="auto"/>
              <w:bottom w:val="single" w:sz="4" w:space="0" w:color="auto"/>
              <w:right w:val="single" w:sz="4" w:space="0" w:color="auto"/>
            </w:tcBorders>
            <w:hideMark/>
          </w:tcPr>
          <w:p w14:paraId="43C6C216" w14:textId="1FB2CBA4" w:rsidR="00AB3A67" w:rsidRPr="005F28B5" w:rsidRDefault="00AB3A67">
            <w:pPr>
              <w:pStyle w:val="TableText0"/>
            </w:pPr>
            <w:r w:rsidRPr="005F28B5">
              <w:t xml:space="preserve">Cost per gram </w:t>
            </w:r>
          </w:p>
        </w:tc>
        <w:tc>
          <w:tcPr>
            <w:tcW w:w="1116" w:type="pct"/>
            <w:tcBorders>
              <w:top w:val="single" w:sz="4" w:space="0" w:color="auto"/>
              <w:left w:val="single" w:sz="4" w:space="0" w:color="auto"/>
              <w:bottom w:val="single" w:sz="4" w:space="0" w:color="auto"/>
              <w:right w:val="single" w:sz="4" w:space="0" w:color="auto"/>
            </w:tcBorders>
            <w:hideMark/>
          </w:tcPr>
          <w:p w14:paraId="3B108FF2" w14:textId="1F4C0726" w:rsidR="00AB3A67" w:rsidRPr="005F28B5" w:rsidRDefault="00D20111">
            <w:pPr>
              <w:pStyle w:val="TableText0"/>
              <w:jc w:val="center"/>
            </w:pPr>
            <w:r>
              <w:t>$</w:t>
            </w:r>
            <w:r w:rsidR="00AB3A67" w:rsidRPr="005F28B5">
              <w:t>1.12</w:t>
            </w:r>
          </w:p>
        </w:tc>
        <w:tc>
          <w:tcPr>
            <w:tcW w:w="1117" w:type="pct"/>
            <w:tcBorders>
              <w:top w:val="single" w:sz="4" w:space="0" w:color="auto"/>
              <w:left w:val="single" w:sz="4" w:space="0" w:color="auto"/>
              <w:bottom w:val="single" w:sz="4" w:space="0" w:color="auto"/>
              <w:right w:val="single" w:sz="4" w:space="0" w:color="auto"/>
            </w:tcBorders>
            <w:hideMark/>
          </w:tcPr>
          <w:p w14:paraId="056F1B79" w14:textId="62A9DD6D" w:rsidR="00AB3A67" w:rsidRPr="005F28B5" w:rsidRDefault="00D20111">
            <w:pPr>
              <w:pStyle w:val="TableText0"/>
              <w:jc w:val="center"/>
            </w:pPr>
            <w:r>
              <w:t>$</w:t>
            </w:r>
            <w:r w:rsidR="00AB3A67" w:rsidRPr="005F28B5">
              <w:t>0.79</w:t>
            </w:r>
          </w:p>
        </w:tc>
        <w:tc>
          <w:tcPr>
            <w:tcW w:w="1117" w:type="pct"/>
            <w:tcBorders>
              <w:top w:val="single" w:sz="4" w:space="0" w:color="auto"/>
              <w:left w:val="single" w:sz="4" w:space="0" w:color="auto"/>
              <w:bottom w:val="single" w:sz="4" w:space="0" w:color="auto"/>
              <w:right w:val="single" w:sz="4" w:space="0" w:color="auto"/>
            </w:tcBorders>
            <w:hideMark/>
          </w:tcPr>
          <w:p w14:paraId="127D9B4B" w14:textId="690D9439" w:rsidR="00AB3A67" w:rsidRPr="008510D0" w:rsidRDefault="00D20111">
            <w:pPr>
              <w:pStyle w:val="TableText0"/>
              <w:jc w:val="center"/>
            </w:pPr>
            <w:r w:rsidRPr="008510D0">
              <w:t>$</w:t>
            </w:r>
            <w:r w:rsidR="00AB3A67" w:rsidRPr="008510D0">
              <w:t>0.96</w:t>
            </w:r>
          </w:p>
        </w:tc>
      </w:tr>
      <w:tr w:rsidR="005F28B5" w:rsidRPr="005F28B5" w14:paraId="4CC60472" w14:textId="77777777" w:rsidTr="00AB3A67">
        <w:tc>
          <w:tcPr>
            <w:tcW w:w="471" w:type="pct"/>
            <w:tcBorders>
              <w:top w:val="single" w:sz="4" w:space="0" w:color="auto"/>
              <w:left w:val="single" w:sz="4" w:space="0" w:color="auto"/>
              <w:bottom w:val="single" w:sz="4" w:space="0" w:color="auto"/>
              <w:right w:val="single" w:sz="4" w:space="0" w:color="auto"/>
            </w:tcBorders>
          </w:tcPr>
          <w:p w14:paraId="6923245D" w14:textId="77777777" w:rsidR="00AB3A67" w:rsidRPr="005F28B5" w:rsidRDefault="00AB3A67">
            <w:pPr>
              <w:pStyle w:val="TableText0"/>
            </w:pPr>
          </w:p>
        </w:tc>
        <w:tc>
          <w:tcPr>
            <w:tcW w:w="1179" w:type="pct"/>
            <w:tcBorders>
              <w:top w:val="single" w:sz="4" w:space="0" w:color="auto"/>
              <w:left w:val="single" w:sz="4" w:space="0" w:color="auto"/>
              <w:bottom w:val="single" w:sz="4" w:space="0" w:color="auto"/>
              <w:right w:val="single" w:sz="4" w:space="0" w:color="auto"/>
            </w:tcBorders>
            <w:hideMark/>
          </w:tcPr>
          <w:p w14:paraId="0436F11C" w14:textId="293B1E2F" w:rsidR="00AB3A67" w:rsidRPr="005F28B5" w:rsidRDefault="00AB3A67">
            <w:pPr>
              <w:pStyle w:val="TableText0"/>
            </w:pPr>
            <w:r w:rsidRPr="005F28B5">
              <w:t>Average cost per gram</w:t>
            </w:r>
          </w:p>
        </w:tc>
        <w:tc>
          <w:tcPr>
            <w:tcW w:w="2233" w:type="pct"/>
            <w:gridSpan w:val="2"/>
            <w:tcBorders>
              <w:top w:val="single" w:sz="4" w:space="0" w:color="auto"/>
              <w:left w:val="single" w:sz="4" w:space="0" w:color="auto"/>
              <w:bottom w:val="single" w:sz="4" w:space="0" w:color="auto"/>
              <w:right w:val="single" w:sz="4" w:space="0" w:color="auto"/>
            </w:tcBorders>
            <w:hideMark/>
          </w:tcPr>
          <w:p w14:paraId="4ACC732C" w14:textId="1737152C" w:rsidR="00AB3A67" w:rsidRPr="005F28B5" w:rsidRDefault="00D20111">
            <w:pPr>
              <w:pStyle w:val="TableText0"/>
              <w:jc w:val="center"/>
            </w:pPr>
            <w:r>
              <w:t>$</w:t>
            </w:r>
            <w:r w:rsidR="00AB3A67" w:rsidRPr="005F28B5">
              <w:t>0.96</w:t>
            </w:r>
          </w:p>
        </w:tc>
        <w:tc>
          <w:tcPr>
            <w:tcW w:w="1117" w:type="pct"/>
            <w:tcBorders>
              <w:top w:val="single" w:sz="4" w:space="0" w:color="auto"/>
              <w:left w:val="single" w:sz="4" w:space="0" w:color="auto"/>
              <w:bottom w:val="single" w:sz="4" w:space="0" w:color="auto"/>
              <w:right w:val="single" w:sz="4" w:space="0" w:color="auto"/>
            </w:tcBorders>
            <w:hideMark/>
          </w:tcPr>
          <w:p w14:paraId="206B3B13" w14:textId="356E0F37" w:rsidR="00AB3A67" w:rsidRPr="008510D0" w:rsidRDefault="00D20111">
            <w:pPr>
              <w:pStyle w:val="TableText0"/>
              <w:jc w:val="center"/>
            </w:pPr>
            <w:r w:rsidRPr="008510D0">
              <w:t>$</w:t>
            </w:r>
            <w:r w:rsidR="00AB3A67" w:rsidRPr="008510D0">
              <w:t>0.96</w:t>
            </w:r>
          </w:p>
        </w:tc>
      </w:tr>
    </w:tbl>
    <w:p w14:paraId="63A55A43" w14:textId="0673C3AF" w:rsidR="00AB3A67" w:rsidRPr="005F28B5" w:rsidRDefault="00AB3A67" w:rsidP="00AB3A67">
      <w:pPr>
        <w:pStyle w:val="FooterTableFigure"/>
      </w:pPr>
      <w:r w:rsidRPr="005F28B5">
        <w:t>Source: Table 3-4</w:t>
      </w:r>
      <w:r w:rsidR="002874BE">
        <w:t xml:space="preserve"> and</w:t>
      </w:r>
      <w:r w:rsidRPr="005F28B5">
        <w:t xml:space="preserve"> Table 3-5, p137 of the submission.</w:t>
      </w:r>
    </w:p>
    <w:p w14:paraId="598495CE" w14:textId="4B2EAA6F" w:rsidR="00AB3A67" w:rsidRPr="005F28B5" w:rsidRDefault="00AB3A67" w:rsidP="00AB3A67">
      <w:pPr>
        <w:pStyle w:val="FooterTableFigure"/>
      </w:pPr>
      <w:bookmarkStart w:id="58" w:name="_Hlk195097854"/>
      <w:r w:rsidRPr="005F28B5">
        <w:t xml:space="preserve">AEMP = approved ex-manufacturer price; CAL/BDP = calcipotriol </w:t>
      </w:r>
      <w:r w:rsidR="006F613B">
        <w:t>with</w:t>
      </w:r>
      <w:r w:rsidRPr="005F28B5">
        <w:t xml:space="preserve"> betamethasone dipropionate; DPMQ = dispensed price for maximum quantity</w:t>
      </w:r>
      <w:r w:rsidR="00503247">
        <w:t>; g = gram</w:t>
      </w:r>
      <w:r w:rsidRPr="005F28B5">
        <w:t>.</w:t>
      </w:r>
    </w:p>
    <w:p w14:paraId="4E73D507" w14:textId="7577A590" w:rsidR="00AB3A67" w:rsidRPr="005F28B5" w:rsidRDefault="00AB3A67" w:rsidP="00AB3A67">
      <w:pPr>
        <w:pStyle w:val="FooterTableFigure"/>
      </w:pPr>
      <w:r w:rsidRPr="005F28B5">
        <w:rPr>
          <w:vertAlign w:val="superscript"/>
        </w:rPr>
        <w:t>a</w:t>
      </w:r>
      <w:r w:rsidRPr="005F28B5">
        <w:t xml:space="preserve"> DPMQ based </w:t>
      </w:r>
      <w:bookmarkEnd w:id="58"/>
      <w:r w:rsidRPr="005F28B5">
        <w:t>on maximum quantity of one pack</w:t>
      </w:r>
      <w:r w:rsidR="002874BE">
        <w:t>.</w:t>
      </w:r>
    </w:p>
    <w:p w14:paraId="5BEAADFD" w14:textId="37E10C16" w:rsidR="009C4F0A" w:rsidRDefault="00AB3A67" w:rsidP="00AB3A67">
      <w:pPr>
        <w:pStyle w:val="FooterTableFigure"/>
      </w:pPr>
      <w:r w:rsidRPr="005F28B5">
        <w:rPr>
          <w:vertAlign w:val="superscript"/>
        </w:rPr>
        <w:t>b</w:t>
      </w:r>
      <w:r w:rsidRPr="005F28B5">
        <w:t xml:space="preserve"> DPMQ based on maximum quantity of two packs</w:t>
      </w:r>
      <w:r w:rsidR="003822F4">
        <w:t xml:space="preserve"> </w:t>
      </w:r>
      <w:r w:rsidR="003822F4" w:rsidRPr="003822F4">
        <w:t>(60 Day Maximum Dispensed Quantity)</w:t>
      </w:r>
      <w:r w:rsidR="002874BE">
        <w:t>.</w:t>
      </w:r>
    </w:p>
    <w:p w14:paraId="5112A682" w14:textId="21494F18" w:rsidR="00AB3A67" w:rsidRPr="009C4F0A" w:rsidRDefault="009C4F0A" w:rsidP="00AB3A67">
      <w:pPr>
        <w:pStyle w:val="FooterTableFigure"/>
      </w:pPr>
      <w:r w:rsidRPr="009C4F0A">
        <w:t>*</w:t>
      </w:r>
      <w:r w:rsidR="00AB3A67" w:rsidRPr="009C4F0A">
        <w:t>added during evaluation</w:t>
      </w:r>
    </w:p>
    <w:p w14:paraId="550DC5F3" w14:textId="6119CA98" w:rsidR="00AB3A67" w:rsidRPr="008510D0" w:rsidRDefault="00D20111" w:rsidP="00B7760B">
      <w:pPr>
        <w:widowControl w:val="0"/>
        <w:numPr>
          <w:ilvl w:val="1"/>
          <w:numId w:val="1"/>
        </w:numPr>
        <w:spacing w:after="120"/>
        <w:ind w:left="720"/>
      </w:pPr>
      <w:r>
        <w:t>B</w:t>
      </w:r>
      <w:r w:rsidRPr="00D20111">
        <w:t xml:space="preserve">ased on the cost-minimised </w:t>
      </w:r>
      <w:r w:rsidRPr="008510D0">
        <w:t>approved ex-manufacturer price (AEMP), t</w:t>
      </w:r>
      <w:r w:rsidR="00AB3A67" w:rsidRPr="008510D0">
        <w:t>he dispensed price for maximum quantity (DPMQ) for CAL/BDP cream was estimated to be $75.21 for a maximum quantity of 1 pack, and $138.13 for a maximum quantity of 2 packs</w:t>
      </w:r>
      <w:r w:rsidRPr="008510D0">
        <w:t>.</w:t>
      </w:r>
    </w:p>
    <w:p w14:paraId="2B841730" w14:textId="46BF86C2" w:rsidR="005F28B5" w:rsidRPr="008D7433" w:rsidRDefault="00D20111" w:rsidP="00B7760B">
      <w:pPr>
        <w:widowControl w:val="0"/>
        <w:numPr>
          <w:ilvl w:val="1"/>
          <w:numId w:val="1"/>
        </w:numPr>
        <w:spacing w:after="120"/>
        <w:ind w:left="720"/>
      </w:pPr>
      <w:r w:rsidRPr="008D7433">
        <w:lastRenderedPageBreak/>
        <w:fldChar w:fldCharType="begin" w:fldLock="1"/>
      </w:r>
      <w:r w:rsidRPr="008D7433">
        <w:instrText xml:space="preserve"> REF _Ref195613553 \h  \* MERGEFORMAT </w:instrText>
      </w:r>
      <w:r w:rsidRPr="008D7433">
        <w:fldChar w:fldCharType="separate"/>
      </w:r>
      <w:r w:rsidR="00AA3192" w:rsidRPr="008D7433">
        <w:t>Table 15</w:t>
      </w:r>
      <w:r w:rsidRPr="008D7433">
        <w:fldChar w:fldCharType="end"/>
      </w:r>
      <w:r w:rsidRPr="008D7433">
        <w:t xml:space="preserve"> presents the results of s</w:t>
      </w:r>
      <w:r w:rsidR="005F28B5" w:rsidRPr="008D7433">
        <w:t>ensitivity analyses conducted during the evaluation to estimate the impact of incorporating treatment duration in</w:t>
      </w:r>
      <w:r w:rsidRPr="008D7433">
        <w:t>to</w:t>
      </w:r>
      <w:r w:rsidR="005F28B5" w:rsidRPr="008D7433">
        <w:t xml:space="preserve"> equi-effective do</w:t>
      </w:r>
      <w:r w:rsidRPr="008D7433">
        <w:t>sing</w:t>
      </w:r>
      <w:r w:rsidR="005F28B5" w:rsidRPr="008D7433">
        <w:t xml:space="preserve">, as well as </w:t>
      </w:r>
      <w:r w:rsidRPr="008D7433">
        <w:t>to determine</w:t>
      </w:r>
      <w:r w:rsidR="005F28B5" w:rsidRPr="008D7433">
        <w:t xml:space="preserve"> the cost-minimised price based on lowest</w:t>
      </w:r>
      <w:r w:rsidRPr="008D7433">
        <w:t>-</w:t>
      </w:r>
      <w:r w:rsidR="005F28B5" w:rsidRPr="008D7433">
        <w:t>cost comparator,</w:t>
      </w:r>
      <w:r w:rsidRPr="008D7433">
        <w:t xml:space="preserve"> i.e., CAL/BDP ointment.</w:t>
      </w:r>
    </w:p>
    <w:p w14:paraId="5F481D3D" w14:textId="4E9FA677" w:rsidR="005F28B5" w:rsidRPr="004C3268" w:rsidRDefault="005F28B5" w:rsidP="005F28B5">
      <w:pPr>
        <w:pStyle w:val="Caption"/>
      </w:pPr>
      <w:bookmarkStart w:id="59" w:name="_Ref195613553"/>
      <w:r w:rsidRPr="004C3268">
        <w:t xml:space="preserve">Table </w:t>
      </w:r>
      <w:r w:rsidR="00AA3192">
        <w:fldChar w:fldCharType="begin" w:fldLock="1"/>
      </w:r>
      <w:r w:rsidR="00AA3192">
        <w:instrText xml:space="preserve"> SEQ Table \* ARABIC </w:instrText>
      </w:r>
      <w:r w:rsidR="00AA3192">
        <w:fldChar w:fldCharType="separate"/>
      </w:r>
      <w:r w:rsidR="00AA3192" w:rsidRPr="004C3268">
        <w:rPr>
          <w:noProof/>
        </w:rPr>
        <w:t>15</w:t>
      </w:r>
      <w:r w:rsidR="00AA3192">
        <w:rPr>
          <w:noProof/>
        </w:rPr>
        <w:fldChar w:fldCharType="end"/>
      </w:r>
      <w:bookmarkEnd w:id="59"/>
      <w:r w:rsidRPr="004C3268">
        <w:t>: Results of sensitivity analyses using published AEMP of CAL/BDP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Results of sensitivity analyses using published AEMP of CAL/BDP"/>
      </w:tblPr>
      <w:tblGrid>
        <w:gridCol w:w="3008"/>
        <w:gridCol w:w="3003"/>
        <w:gridCol w:w="3006"/>
      </w:tblGrid>
      <w:tr w:rsidR="005F28B5" w:rsidRPr="004C3268" w14:paraId="31C65AD0" w14:textId="77777777" w:rsidTr="002675DC">
        <w:trPr>
          <w:trHeight w:val="20"/>
        </w:trPr>
        <w:tc>
          <w:tcPr>
            <w:tcW w:w="1668" w:type="pct"/>
          </w:tcPr>
          <w:p w14:paraId="3EB824C7" w14:textId="77777777" w:rsidR="005F28B5" w:rsidRPr="004C3268" w:rsidRDefault="005F28B5" w:rsidP="002675DC">
            <w:pPr>
              <w:pStyle w:val="TableText0"/>
              <w:jc w:val="center"/>
              <w:rPr>
                <w:b/>
                <w:bCs w:val="0"/>
                <w:snapToGrid w:val="0"/>
                <w:lang w:val="en-US"/>
              </w:rPr>
            </w:pPr>
            <w:r w:rsidRPr="004C3268">
              <w:rPr>
                <w:b/>
                <w:bCs w:val="0"/>
                <w:snapToGrid w:val="0"/>
                <w:lang w:val="en-US"/>
              </w:rPr>
              <w:t>Component</w:t>
            </w:r>
          </w:p>
        </w:tc>
        <w:tc>
          <w:tcPr>
            <w:tcW w:w="1665" w:type="pct"/>
          </w:tcPr>
          <w:p w14:paraId="3967C14B" w14:textId="78094510" w:rsidR="005F28B5" w:rsidRPr="004C3268" w:rsidRDefault="005F28B5" w:rsidP="002675DC">
            <w:pPr>
              <w:pStyle w:val="TableText0"/>
              <w:jc w:val="center"/>
              <w:rPr>
                <w:b/>
                <w:bCs w:val="0"/>
                <w:snapToGrid w:val="0"/>
                <w:lang w:val="en-US"/>
              </w:rPr>
            </w:pPr>
            <w:r w:rsidRPr="004C3268">
              <w:rPr>
                <w:b/>
                <w:bCs w:val="0"/>
                <w:snapToGrid w:val="0"/>
                <w:lang w:val="en-US"/>
              </w:rPr>
              <w:t>C</w:t>
            </w:r>
            <w:r w:rsidRPr="004C3268">
              <w:rPr>
                <w:b/>
                <w:snapToGrid w:val="0"/>
                <w:lang w:val="en-US"/>
              </w:rPr>
              <w:t>AL/BDP cream 60</w:t>
            </w:r>
            <w:r w:rsidR="00EA0CB0">
              <w:rPr>
                <w:b/>
                <w:snapToGrid w:val="0"/>
                <w:lang w:val="en-US"/>
              </w:rPr>
              <w:t> </w:t>
            </w:r>
            <w:r w:rsidRPr="004C3268">
              <w:rPr>
                <w:b/>
                <w:snapToGrid w:val="0"/>
                <w:lang w:val="en-US"/>
              </w:rPr>
              <w:t>g</w:t>
            </w:r>
          </w:p>
        </w:tc>
        <w:tc>
          <w:tcPr>
            <w:tcW w:w="1667" w:type="pct"/>
          </w:tcPr>
          <w:p w14:paraId="5C6F380E" w14:textId="77777777" w:rsidR="005F28B5" w:rsidRPr="004C3268" w:rsidRDefault="005F28B5" w:rsidP="002675DC">
            <w:pPr>
              <w:pStyle w:val="TableText0"/>
              <w:jc w:val="center"/>
              <w:rPr>
                <w:b/>
                <w:bCs w:val="0"/>
                <w:snapToGrid w:val="0"/>
                <w:lang w:val="en-US"/>
              </w:rPr>
            </w:pPr>
            <w:r w:rsidRPr="004C3268">
              <w:rPr>
                <w:b/>
                <w:bCs w:val="0"/>
                <w:snapToGrid w:val="0"/>
                <w:lang w:val="en-US"/>
              </w:rPr>
              <w:t>Change from base case (%)</w:t>
            </w:r>
          </w:p>
        </w:tc>
      </w:tr>
      <w:tr w:rsidR="005F28B5" w:rsidRPr="004C3268" w14:paraId="29F90AC7" w14:textId="77777777" w:rsidTr="002675DC">
        <w:trPr>
          <w:trHeight w:val="20"/>
        </w:trPr>
        <w:tc>
          <w:tcPr>
            <w:tcW w:w="5000" w:type="pct"/>
            <w:gridSpan w:val="3"/>
          </w:tcPr>
          <w:p w14:paraId="21969C5B" w14:textId="77777777" w:rsidR="005F28B5" w:rsidRPr="008510D0" w:rsidRDefault="005F28B5" w:rsidP="002675DC">
            <w:pPr>
              <w:pStyle w:val="TableText0"/>
              <w:rPr>
                <w:b/>
                <w:bCs w:val="0"/>
                <w:snapToGrid w:val="0"/>
              </w:rPr>
            </w:pPr>
            <w:r w:rsidRPr="008510D0">
              <w:rPr>
                <w:b/>
                <w:bCs w:val="0"/>
                <w:snapToGrid w:val="0"/>
              </w:rPr>
              <w:t>Base case</w:t>
            </w:r>
          </w:p>
        </w:tc>
      </w:tr>
      <w:tr w:rsidR="005F28B5" w:rsidRPr="004C3268" w14:paraId="5B610A22" w14:textId="77777777" w:rsidTr="002675DC">
        <w:trPr>
          <w:trHeight w:val="20"/>
        </w:trPr>
        <w:tc>
          <w:tcPr>
            <w:tcW w:w="1668" w:type="pct"/>
          </w:tcPr>
          <w:p w14:paraId="521F4537" w14:textId="77777777" w:rsidR="005F28B5" w:rsidRPr="004C3268" w:rsidRDefault="005F28B5" w:rsidP="002675DC">
            <w:pPr>
              <w:pStyle w:val="TableText0"/>
              <w:rPr>
                <w:snapToGrid w:val="0"/>
              </w:rPr>
            </w:pPr>
            <w:r w:rsidRPr="004C3268">
              <w:rPr>
                <w:snapToGrid w:val="0"/>
              </w:rPr>
              <w:t>Cost per pack AEMP</w:t>
            </w:r>
          </w:p>
        </w:tc>
        <w:tc>
          <w:tcPr>
            <w:tcW w:w="1665" w:type="pct"/>
          </w:tcPr>
          <w:p w14:paraId="14AF2F6B" w14:textId="77777777" w:rsidR="005F28B5" w:rsidRPr="008510D0" w:rsidRDefault="005F28B5" w:rsidP="002675DC">
            <w:pPr>
              <w:pStyle w:val="TableText0"/>
              <w:jc w:val="center"/>
              <w:rPr>
                <w:snapToGrid w:val="0"/>
              </w:rPr>
            </w:pPr>
            <w:r w:rsidRPr="008510D0">
              <w:rPr>
                <w:snapToGrid w:val="0"/>
              </w:rPr>
              <w:t>$57.43</w:t>
            </w:r>
          </w:p>
        </w:tc>
        <w:tc>
          <w:tcPr>
            <w:tcW w:w="1667" w:type="pct"/>
          </w:tcPr>
          <w:p w14:paraId="1FBAC695" w14:textId="77777777" w:rsidR="005F28B5" w:rsidRPr="008510D0" w:rsidRDefault="005F28B5" w:rsidP="002675DC">
            <w:pPr>
              <w:pStyle w:val="TableText0"/>
              <w:jc w:val="center"/>
              <w:rPr>
                <w:snapToGrid w:val="0"/>
              </w:rPr>
            </w:pPr>
            <w:r w:rsidRPr="008510D0">
              <w:rPr>
                <w:snapToGrid w:val="0"/>
              </w:rPr>
              <w:t>-</w:t>
            </w:r>
          </w:p>
        </w:tc>
      </w:tr>
      <w:tr w:rsidR="005F28B5" w:rsidRPr="004C3268" w14:paraId="5E54B27E" w14:textId="77777777" w:rsidTr="002675DC">
        <w:trPr>
          <w:trHeight w:val="20"/>
        </w:trPr>
        <w:tc>
          <w:tcPr>
            <w:tcW w:w="1668" w:type="pct"/>
          </w:tcPr>
          <w:p w14:paraId="34CEA98C" w14:textId="77777777" w:rsidR="005F28B5" w:rsidRPr="004C3268" w:rsidRDefault="005F28B5" w:rsidP="002675DC">
            <w:pPr>
              <w:pStyle w:val="TableText0"/>
              <w:rPr>
                <w:snapToGrid w:val="0"/>
              </w:rPr>
            </w:pPr>
            <w:r w:rsidRPr="004C3268">
              <w:rPr>
                <w:snapToGrid w:val="0"/>
              </w:rPr>
              <w:t>DPMQ for 1 pack</w:t>
            </w:r>
          </w:p>
        </w:tc>
        <w:tc>
          <w:tcPr>
            <w:tcW w:w="1665" w:type="pct"/>
          </w:tcPr>
          <w:p w14:paraId="774B289D" w14:textId="77777777" w:rsidR="005F28B5" w:rsidRPr="008510D0" w:rsidRDefault="005F28B5" w:rsidP="002675DC">
            <w:pPr>
              <w:pStyle w:val="TableText0"/>
              <w:jc w:val="center"/>
              <w:rPr>
                <w:snapToGrid w:val="0"/>
              </w:rPr>
            </w:pPr>
            <w:r w:rsidRPr="008510D0">
              <w:rPr>
                <w:snapToGrid w:val="0"/>
              </w:rPr>
              <w:t>$75.21</w:t>
            </w:r>
          </w:p>
        </w:tc>
        <w:tc>
          <w:tcPr>
            <w:tcW w:w="1667" w:type="pct"/>
          </w:tcPr>
          <w:p w14:paraId="1961F730" w14:textId="77777777" w:rsidR="005F28B5" w:rsidRPr="008510D0" w:rsidRDefault="005F28B5" w:rsidP="002675DC">
            <w:pPr>
              <w:pStyle w:val="TableText0"/>
              <w:jc w:val="center"/>
              <w:rPr>
                <w:snapToGrid w:val="0"/>
              </w:rPr>
            </w:pPr>
            <w:r w:rsidRPr="008510D0">
              <w:rPr>
                <w:snapToGrid w:val="0"/>
              </w:rPr>
              <w:t>-</w:t>
            </w:r>
          </w:p>
        </w:tc>
      </w:tr>
      <w:tr w:rsidR="005F28B5" w:rsidRPr="004C3268" w14:paraId="7DD5861D" w14:textId="77777777" w:rsidTr="002675DC">
        <w:trPr>
          <w:trHeight w:val="20"/>
        </w:trPr>
        <w:tc>
          <w:tcPr>
            <w:tcW w:w="1668" w:type="pct"/>
          </w:tcPr>
          <w:p w14:paraId="7250859B" w14:textId="77777777" w:rsidR="005F28B5" w:rsidRPr="004C3268" w:rsidRDefault="005F28B5" w:rsidP="002675DC">
            <w:pPr>
              <w:pStyle w:val="TableText0"/>
              <w:rPr>
                <w:snapToGrid w:val="0"/>
              </w:rPr>
            </w:pPr>
            <w:r w:rsidRPr="004C3268">
              <w:rPr>
                <w:snapToGrid w:val="0"/>
              </w:rPr>
              <w:t>DPMQ for 2 packs</w:t>
            </w:r>
          </w:p>
        </w:tc>
        <w:tc>
          <w:tcPr>
            <w:tcW w:w="1665" w:type="pct"/>
          </w:tcPr>
          <w:p w14:paraId="1622727D" w14:textId="77777777" w:rsidR="005F28B5" w:rsidRPr="008510D0" w:rsidRDefault="005F28B5" w:rsidP="002675DC">
            <w:pPr>
              <w:pStyle w:val="TableText0"/>
              <w:jc w:val="center"/>
              <w:rPr>
                <w:snapToGrid w:val="0"/>
              </w:rPr>
            </w:pPr>
            <w:r w:rsidRPr="008510D0">
              <w:rPr>
                <w:snapToGrid w:val="0"/>
              </w:rPr>
              <w:t>$138.13</w:t>
            </w:r>
          </w:p>
        </w:tc>
        <w:tc>
          <w:tcPr>
            <w:tcW w:w="1667" w:type="pct"/>
          </w:tcPr>
          <w:p w14:paraId="428EDD88" w14:textId="77777777" w:rsidR="005F28B5" w:rsidRPr="008510D0" w:rsidRDefault="005F28B5" w:rsidP="002675DC">
            <w:pPr>
              <w:pStyle w:val="TableText0"/>
              <w:jc w:val="center"/>
              <w:rPr>
                <w:snapToGrid w:val="0"/>
              </w:rPr>
            </w:pPr>
            <w:r w:rsidRPr="008510D0">
              <w:rPr>
                <w:snapToGrid w:val="0"/>
              </w:rPr>
              <w:t>-</w:t>
            </w:r>
          </w:p>
        </w:tc>
      </w:tr>
      <w:tr w:rsidR="005F28B5" w:rsidRPr="004C3268" w14:paraId="6FFD3CAD" w14:textId="77777777" w:rsidTr="002675DC">
        <w:trPr>
          <w:trHeight w:val="20"/>
        </w:trPr>
        <w:tc>
          <w:tcPr>
            <w:tcW w:w="5000" w:type="pct"/>
            <w:gridSpan w:val="3"/>
          </w:tcPr>
          <w:p w14:paraId="03871354" w14:textId="75BA5713" w:rsidR="005F28B5" w:rsidRPr="008510D0" w:rsidRDefault="005F28B5" w:rsidP="002675DC">
            <w:pPr>
              <w:pStyle w:val="TableText0"/>
              <w:rPr>
                <w:b/>
                <w:bCs w:val="0"/>
                <w:snapToGrid w:val="0"/>
              </w:rPr>
            </w:pPr>
            <w:r w:rsidRPr="008510D0">
              <w:rPr>
                <w:b/>
                <w:bCs w:val="0"/>
                <w:snapToGrid w:val="0"/>
              </w:rPr>
              <w:t xml:space="preserve">Applying the treatment duration based on the </w:t>
            </w:r>
            <w:r w:rsidR="00915368" w:rsidRPr="008510D0">
              <w:rPr>
                <w:b/>
                <w:bCs w:val="0"/>
                <w:snapToGrid w:val="0"/>
              </w:rPr>
              <w:t xml:space="preserve">recommended treatment duration in </w:t>
            </w:r>
            <w:proofErr w:type="spellStart"/>
            <w:r w:rsidRPr="008510D0">
              <w:rPr>
                <w:b/>
                <w:bCs w:val="0"/>
                <w:snapToGrid w:val="0"/>
              </w:rPr>
              <w:t>PIs</w:t>
            </w:r>
            <w:r w:rsidR="00411790" w:rsidRPr="008510D0">
              <w:rPr>
                <w:b/>
                <w:bCs w:val="0"/>
                <w:snapToGrid w:val="0"/>
                <w:vertAlign w:val="superscript"/>
              </w:rPr>
              <w:t>a</w:t>
            </w:r>
            <w:proofErr w:type="spellEnd"/>
            <w:r w:rsidRPr="008510D0">
              <w:rPr>
                <w:b/>
                <w:bCs w:val="0"/>
                <w:snapToGrid w:val="0"/>
              </w:rPr>
              <w:t xml:space="preserve"> </w:t>
            </w:r>
          </w:p>
        </w:tc>
      </w:tr>
      <w:tr w:rsidR="005F28B5" w:rsidRPr="004C3268" w14:paraId="420F9169" w14:textId="77777777" w:rsidTr="002675DC">
        <w:trPr>
          <w:trHeight w:val="20"/>
        </w:trPr>
        <w:tc>
          <w:tcPr>
            <w:tcW w:w="1668" w:type="pct"/>
          </w:tcPr>
          <w:p w14:paraId="610DBDC5" w14:textId="77777777" w:rsidR="005F28B5" w:rsidRPr="004C3268" w:rsidRDefault="005F28B5" w:rsidP="002675DC">
            <w:pPr>
              <w:pStyle w:val="TableText0"/>
              <w:rPr>
                <w:snapToGrid w:val="0"/>
              </w:rPr>
            </w:pPr>
            <w:r w:rsidRPr="004C3268">
              <w:rPr>
                <w:snapToGrid w:val="0"/>
              </w:rPr>
              <w:t>Cost per pack AEMP</w:t>
            </w:r>
          </w:p>
        </w:tc>
        <w:tc>
          <w:tcPr>
            <w:tcW w:w="1665" w:type="pct"/>
          </w:tcPr>
          <w:p w14:paraId="67361165" w14:textId="77777777" w:rsidR="005F28B5" w:rsidRPr="008510D0" w:rsidRDefault="005F28B5" w:rsidP="002675DC">
            <w:pPr>
              <w:pStyle w:val="TableText0"/>
              <w:jc w:val="center"/>
              <w:rPr>
                <w:snapToGrid w:val="0"/>
                <w:color w:val="8DB3E2" w:themeColor="text2" w:themeTint="66"/>
              </w:rPr>
            </w:pPr>
            <w:r w:rsidRPr="008510D0">
              <w:rPr>
                <w:snapToGrid w:val="0"/>
              </w:rPr>
              <w:t>$28.71</w:t>
            </w:r>
          </w:p>
        </w:tc>
        <w:tc>
          <w:tcPr>
            <w:tcW w:w="1667" w:type="pct"/>
          </w:tcPr>
          <w:p w14:paraId="20463FF0" w14:textId="77777777" w:rsidR="005F28B5" w:rsidRPr="008510D0" w:rsidRDefault="005F28B5" w:rsidP="002675DC">
            <w:pPr>
              <w:pStyle w:val="TableText0"/>
              <w:jc w:val="center"/>
              <w:rPr>
                <w:snapToGrid w:val="0"/>
              </w:rPr>
            </w:pPr>
            <w:r w:rsidRPr="008510D0">
              <w:rPr>
                <w:snapToGrid w:val="0"/>
              </w:rPr>
              <w:t>-50.0%</w:t>
            </w:r>
          </w:p>
        </w:tc>
      </w:tr>
      <w:tr w:rsidR="005F28B5" w:rsidRPr="004C3268" w14:paraId="16B06CF1" w14:textId="77777777" w:rsidTr="002675DC">
        <w:trPr>
          <w:trHeight w:val="20"/>
        </w:trPr>
        <w:tc>
          <w:tcPr>
            <w:tcW w:w="1668" w:type="pct"/>
          </w:tcPr>
          <w:p w14:paraId="6A4A3DF6" w14:textId="77777777" w:rsidR="005F28B5" w:rsidRPr="004C3268" w:rsidRDefault="005F28B5" w:rsidP="002675DC">
            <w:pPr>
              <w:pStyle w:val="TableText0"/>
              <w:rPr>
                <w:snapToGrid w:val="0"/>
              </w:rPr>
            </w:pPr>
            <w:r w:rsidRPr="004C3268">
              <w:rPr>
                <w:snapToGrid w:val="0"/>
              </w:rPr>
              <w:t>DPMQ for 1 pack</w:t>
            </w:r>
          </w:p>
        </w:tc>
        <w:tc>
          <w:tcPr>
            <w:tcW w:w="1665" w:type="pct"/>
          </w:tcPr>
          <w:p w14:paraId="3D37F7E2" w14:textId="77777777" w:rsidR="005F28B5" w:rsidRPr="008510D0" w:rsidRDefault="005F28B5" w:rsidP="002675DC">
            <w:pPr>
              <w:pStyle w:val="TableText0"/>
              <w:jc w:val="center"/>
              <w:rPr>
                <w:snapToGrid w:val="0"/>
              </w:rPr>
            </w:pPr>
            <w:r w:rsidRPr="008510D0">
              <w:rPr>
                <w:snapToGrid w:val="0"/>
              </w:rPr>
              <w:t>$44.33</w:t>
            </w:r>
          </w:p>
        </w:tc>
        <w:tc>
          <w:tcPr>
            <w:tcW w:w="1667" w:type="pct"/>
          </w:tcPr>
          <w:p w14:paraId="272D7A10" w14:textId="77777777" w:rsidR="005F28B5" w:rsidRPr="008510D0" w:rsidRDefault="005F28B5" w:rsidP="002675DC">
            <w:pPr>
              <w:pStyle w:val="TableText0"/>
              <w:jc w:val="center"/>
              <w:rPr>
                <w:snapToGrid w:val="0"/>
              </w:rPr>
            </w:pPr>
            <w:r w:rsidRPr="008510D0">
              <w:rPr>
                <w:snapToGrid w:val="0"/>
              </w:rPr>
              <w:t>-41.1%</w:t>
            </w:r>
          </w:p>
        </w:tc>
      </w:tr>
      <w:tr w:rsidR="005F28B5" w:rsidRPr="004C3268" w14:paraId="31992E3B" w14:textId="77777777" w:rsidTr="002675DC">
        <w:trPr>
          <w:trHeight w:val="20"/>
        </w:trPr>
        <w:tc>
          <w:tcPr>
            <w:tcW w:w="1668" w:type="pct"/>
          </w:tcPr>
          <w:p w14:paraId="095004B7" w14:textId="77777777" w:rsidR="005F28B5" w:rsidRPr="004C3268" w:rsidRDefault="005F28B5" w:rsidP="002675DC">
            <w:pPr>
              <w:pStyle w:val="TableText0"/>
              <w:rPr>
                <w:snapToGrid w:val="0"/>
              </w:rPr>
            </w:pPr>
            <w:r w:rsidRPr="004C3268">
              <w:rPr>
                <w:snapToGrid w:val="0"/>
              </w:rPr>
              <w:t>DPMQ for 2 packs</w:t>
            </w:r>
          </w:p>
        </w:tc>
        <w:tc>
          <w:tcPr>
            <w:tcW w:w="1665" w:type="pct"/>
          </w:tcPr>
          <w:p w14:paraId="5DD18592" w14:textId="77777777" w:rsidR="005F28B5" w:rsidRPr="008510D0" w:rsidRDefault="005F28B5" w:rsidP="002675DC">
            <w:pPr>
              <w:pStyle w:val="TableText0"/>
              <w:jc w:val="center"/>
              <w:rPr>
                <w:snapToGrid w:val="0"/>
              </w:rPr>
            </w:pPr>
            <w:r w:rsidRPr="008510D0">
              <w:rPr>
                <w:snapToGrid w:val="0"/>
              </w:rPr>
              <w:t>$75.21</w:t>
            </w:r>
          </w:p>
        </w:tc>
        <w:tc>
          <w:tcPr>
            <w:tcW w:w="1667" w:type="pct"/>
          </w:tcPr>
          <w:p w14:paraId="49FE0882" w14:textId="47F4CC1E" w:rsidR="005F28B5" w:rsidRPr="008510D0" w:rsidRDefault="005F28B5" w:rsidP="002675DC">
            <w:pPr>
              <w:pStyle w:val="TableText0"/>
              <w:jc w:val="center"/>
              <w:rPr>
                <w:snapToGrid w:val="0"/>
              </w:rPr>
            </w:pPr>
            <w:r w:rsidRPr="008510D0">
              <w:rPr>
                <w:snapToGrid w:val="0"/>
              </w:rPr>
              <w:t>-45.65</w:t>
            </w:r>
            <w:r w:rsidR="007336D5" w:rsidRPr="008510D0">
              <w:rPr>
                <w:snapToGrid w:val="0"/>
              </w:rPr>
              <w:t>%</w:t>
            </w:r>
          </w:p>
        </w:tc>
      </w:tr>
      <w:tr w:rsidR="005F28B5" w:rsidRPr="004C3268" w14:paraId="037425E0" w14:textId="77777777" w:rsidTr="002675DC">
        <w:trPr>
          <w:trHeight w:val="45"/>
        </w:trPr>
        <w:tc>
          <w:tcPr>
            <w:tcW w:w="5000" w:type="pct"/>
            <w:gridSpan w:val="3"/>
          </w:tcPr>
          <w:p w14:paraId="5C8F6074" w14:textId="12CBFF64" w:rsidR="005F28B5" w:rsidRPr="004C3268" w:rsidRDefault="005F28B5" w:rsidP="002675DC">
            <w:pPr>
              <w:pStyle w:val="TableText0"/>
              <w:rPr>
                <w:b/>
                <w:bCs w:val="0"/>
                <w:snapToGrid w:val="0"/>
                <w:color w:val="8DB3E2" w:themeColor="text2" w:themeTint="66"/>
              </w:rPr>
            </w:pPr>
            <w:r w:rsidRPr="004C3268">
              <w:rPr>
                <w:b/>
                <w:bCs w:val="0"/>
                <w:snapToGrid w:val="0"/>
              </w:rPr>
              <w:t xml:space="preserve">Cost minimisation based on CAL/BDP ointment </w:t>
            </w:r>
            <w:proofErr w:type="spellStart"/>
            <w:r w:rsidR="00411790" w:rsidRPr="004C3268">
              <w:rPr>
                <w:b/>
                <w:bCs w:val="0"/>
                <w:snapToGrid w:val="0"/>
              </w:rPr>
              <w:t>alone</w:t>
            </w:r>
            <w:r w:rsidR="00411790" w:rsidRPr="004C3268">
              <w:rPr>
                <w:b/>
                <w:bCs w:val="0"/>
                <w:snapToGrid w:val="0"/>
                <w:vertAlign w:val="superscript"/>
              </w:rPr>
              <w:t>b</w:t>
            </w:r>
            <w:proofErr w:type="spellEnd"/>
            <w:r w:rsidR="001947CF" w:rsidRPr="004C3268">
              <w:rPr>
                <w:b/>
                <w:bCs w:val="0"/>
                <w:snapToGrid w:val="0"/>
              </w:rPr>
              <w:t xml:space="preserve"> and </w:t>
            </w:r>
            <w:r w:rsidR="00DC3836" w:rsidRPr="004C3268">
              <w:rPr>
                <w:b/>
                <w:bCs w:val="0"/>
                <w:snapToGrid w:val="0"/>
              </w:rPr>
              <w:t>similar treatment duration to CAL/BDP ointment</w:t>
            </w:r>
          </w:p>
        </w:tc>
      </w:tr>
      <w:tr w:rsidR="005F28B5" w:rsidRPr="004C3268" w14:paraId="19303053" w14:textId="77777777" w:rsidTr="002675DC">
        <w:trPr>
          <w:trHeight w:val="20"/>
        </w:trPr>
        <w:tc>
          <w:tcPr>
            <w:tcW w:w="1668" w:type="pct"/>
          </w:tcPr>
          <w:p w14:paraId="19DDACC9" w14:textId="77777777" w:rsidR="005F28B5" w:rsidRPr="004C3268" w:rsidRDefault="005F28B5" w:rsidP="002675DC">
            <w:pPr>
              <w:pStyle w:val="TableText0"/>
              <w:rPr>
                <w:snapToGrid w:val="0"/>
              </w:rPr>
            </w:pPr>
            <w:r w:rsidRPr="004C3268">
              <w:rPr>
                <w:snapToGrid w:val="0"/>
              </w:rPr>
              <w:t>Cost per pack AEMP</w:t>
            </w:r>
          </w:p>
        </w:tc>
        <w:tc>
          <w:tcPr>
            <w:tcW w:w="1665" w:type="pct"/>
          </w:tcPr>
          <w:p w14:paraId="683A6D83" w14:textId="77777777" w:rsidR="005F28B5" w:rsidRPr="004C3268" w:rsidRDefault="005F28B5" w:rsidP="002675DC">
            <w:pPr>
              <w:pStyle w:val="TableText0"/>
              <w:jc w:val="center"/>
              <w:rPr>
                <w:snapToGrid w:val="0"/>
              </w:rPr>
            </w:pPr>
            <w:r w:rsidRPr="004C3268">
              <w:rPr>
                <w:snapToGrid w:val="0"/>
              </w:rPr>
              <w:t>$47.66</w:t>
            </w:r>
          </w:p>
        </w:tc>
        <w:tc>
          <w:tcPr>
            <w:tcW w:w="1667" w:type="pct"/>
          </w:tcPr>
          <w:p w14:paraId="24883A45" w14:textId="77777777" w:rsidR="005F28B5" w:rsidRPr="004C3268" w:rsidRDefault="005F28B5" w:rsidP="002675DC">
            <w:pPr>
              <w:pStyle w:val="TableText0"/>
              <w:jc w:val="center"/>
              <w:rPr>
                <w:snapToGrid w:val="0"/>
              </w:rPr>
            </w:pPr>
            <w:r w:rsidRPr="004C3268">
              <w:rPr>
                <w:snapToGrid w:val="0"/>
              </w:rPr>
              <w:t>-17.0%</w:t>
            </w:r>
          </w:p>
        </w:tc>
      </w:tr>
      <w:tr w:rsidR="005F28B5" w:rsidRPr="004C3268" w14:paraId="40D5A298" w14:textId="77777777" w:rsidTr="002675DC">
        <w:trPr>
          <w:trHeight w:val="20"/>
        </w:trPr>
        <w:tc>
          <w:tcPr>
            <w:tcW w:w="1668" w:type="pct"/>
          </w:tcPr>
          <w:p w14:paraId="68BAB006" w14:textId="77777777" w:rsidR="005F28B5" w:rsidRPr="004C3268" w:rsidRDefault="005F28B5" w:rsidP="002675DC">
            <w:pPr>
              <w:pStyle w:val="TableText0"/>
              <w:rPr>
                <w:snapToGrid w:val="0"/>
              </w:rPr>
            </w:pPr>
            <w:r w:rsidRPr="004C3268">
              <w:rPr>
                <w:snapToGrid w:val="0"/>
              </w:rPr>
              <w:t>DPMQ for 1 pack</w:t>
            </w:r>
          </w:p>
        </w:tc>
        <w:tc>
          <w:tcPr>
            <w:tcW w:w="1665" w:type="pct"/>
          </w:tcPr>
          <w:p w14:paraId="5CFFC825" w14:textId="77777777" w:rsidR="005F28B5" w:rsidRPr="004C3268" w:rsidRDefault="005F28B5" w:rsidP="002675DC">
            <w:pPr>
              <w:pStyle w:val="TableText0"/>
              <w:jc w:val="center"/>
              <w:rPr>
                <w:snapToGrid w:val="0"/>
              </w:rPr>
            </w:pPr>
            <w:r w:rsidRPr="004C3268">
              <w:rPr>
                <w:snapToGrid w:val="0"/>
              </w:rPr>
              <w:t>$64.70</w:t>
            </w:r>
          </w:p>
        </w:tc>
        <w:tc>
          <w:tcPr>
            <w:tcW w:w="1667" w:type="pct"/>
          </w:tcPr>
          <w:p w14:paraId="5BAE17D8" w14:textId="77777777" w:rsidR="005F28B5" w:rsidRPr="004C3268" w:rsidRDefault="005F28B5" w:rsidP="002675DC">
            <w:pPr>
              <w:pStyle w:val="TableText0"/>
              <w:jc w:val="center"/>
              <w:rPr>
                <w:snapToGrid w:val="0"/>
              </w:rPr>
            </w:pPr>
            <w:r w:rsidRPr="004C3268">
              <w:rPr>
                <w:snapToGrid w:val="0"/>
              </w:rPr>
              <w:t>-14.0%</w:t>
            </w:r>
          </w:p>
        </w:tc>
      </w:tr>
      <w:tr w:rsidR="005F28B5" w:rsidRPr="004C3268" w14:paraId="3E81FA78" w14:textId="77777777" w:rsidTr="002675DC">
        <w:trPr>
          <w:trHeight w:val="20"/>
        </w:trPr>
        <w:tc>
          <w:tcPr>
            <w:tcW w:w="1668" w:type="pct"/>
          </w:tcPr>
          <w:p w14:paraId="5ECB74FD" w14:textId="77777777" w:rsidR="005F28B5" w:rsidRPr="004C3268" w:rsidRDefault="005F28B5" w:rsidP="002675DC">
            <w:pPr>
              <w:pStyle w:val="TableText0"/>
              <w:rPr>
                <w:snapToGrid w:val="0"/>
              </w:rPr>
            </w:pPr>
            <w:r w:rsidRPr="004C3268">
              <w:rPr>
                <w:snapToGrid w:val="0"/>
              </w:rPr>
              <w:t>DPMQ for 2 packs</w:t>
            </w:r>
          </w:p>
        </w:tc>
        <w:tc>
          <w:tcPr>
            <w:tcW w:w="1665" w:type="pct"/>
          </w:tcPr>
          <w:p w14:paraId="3E53EA99" w14:textId="77777777" w:rsidR="005F28B5" w:rsidRPr="004C3268" w:rsidRDefault="005F28B5" w:rsidP="002675DC">
            <w:pPr>
              <w:pStyle w:val="TableText0"/>
              <w:jc w:val="center"/>
              <w:rPr>
                <w:snapToGrid w:val="0"/>
              </w:rPr>
            </w:pPr>
            <w:r w:rsidRPr="004C3268">
              <w:rPr>
                <w:snapToGrid w:val="0"/>
              </w:rPr>
              <w:t>$116.07</w:t>
            </w:r>
          </w:p>
        </w:tc>
        <w:tc>
          <w:tcPr>
            <w:tcW w:w="1667" w:type="pct"/>
          </w:tcPr>
          <w:p w14:paraId="345BBD82" w14:textId="77777777" w:rsidR="005F28B5" w:rsidRPr="004C3268" w:rsidRDefault="005F28B5" w:rsidP="002675DC">
            <w:pPr>
              <w:pStyle w:val="TableText0"/>
              <w:jc w:val="center"/>
              <w:rPr>
                <w:snapToGrid w:val="0"/>
              </w:rPr>
            </w:pPr>
            <w:r w:rsidRPr="004C3268">
              <w:rPr>
                <w:snapToGrid w:val="0"/>
              </w:rPr>
              <w:t>-16.0%</w:t>
            </w:r>
          </w:p>
        </w:tc>
      </w:tr>
      <w:tr w:rsidR="006D4BD6" w:rsidRPr="004C3268" w14:paraId="125875A1" w14:textId="77777777" w:rsidTr="006D4BD6">
        <w:trPr>
          <w:trHeight w:val="20"/>
        </w:trPr>
        <w:tc>
          <w:tcPr>
            <w:tcW w:w="5000" w:type="pct"/>
            <w:gridSpan w:val="3"/>
          </w:tcPr>
          <w:p w14:paraId="36DE89C7" w14:textId="6E23C460" w:rsidR="006D4BD6" w:rsidRPr="004C3268" w:rsidRDefault="00882C86" w:rsidP="00144758">
            <w:pPr>
              <w:pStyle w:val="TableText0"/>
              <w:rPr>
                <w:b/>
                <w:bCs w:val="0"/>
                <w:snapToGrid w:val="0"/>
              </w:rPr>
            </w:pPr>
            <w:r w:rsidRPr="004C3268">
              <w:rPr>
                <w:b/>
                <w:bCs w:val="0"/>
                <w:snapToGrid w:val="0"/>
              </w:rPr>
              <w:t xml:space="preserve">Applying the treatment duration based on the </w:t>
            </w:r>
            <w:proofErr w:type="spellStart"/>
            <w:r w:rsidRPr="004C3268">
              <w:rPr>
                <w:b/>
                <w:bCs w:val="0"/>
                <w:snapToGrid w:val="0"/>
              </w:rPr>
              <w:t>PIs</w:t>
            </w:r>
            <w:r w:rsidR="00F735A7" w:rsidRPr="004C3268">
              <w:rPr>
                <w:b/>
                <w:bCs w:val="0"/>
                <w:snapToGrid w:val="0"/>
                <w:vertAlign w:val="superscript"/>
              </w:rPr>
              <w:t>a</w:t>
            </w:r>
            <w:proofErr w:type="spellEnd"/>
            <w:r w:rsidRPr="004C3268">
              <w:rPr>
                <w:b/>
                <w:bCs w:val="0"/>
                <w:snapToGrid w:val="0"/>
              </w:rPr>
              <w:t xml:space="preserve"> and </w:t>
            </w:r>
            <w:r w:rsidR="00411790" w:rsidRPr="004C3268">
              <w:rPr>
                <w:b/>
                <w:bCs w:val="0"/>
                <w:snapToGrid w:val="0"/>
              </w:rPr>
              <w:t xml:space="preserve">cost minimisation based on CAL/BDP ointment </w:t>
            </w:r>
            <w:proofErr w:type="spellStart"/>
            <w:r w:rsidR="00411790" w:rsidRPr="004C3268">
              <w:rPr>
                <w:b/>
                <w:bCs w:val="0"/>
                <w:snapToGrid w:val="0"/>
              </w:rPr>
              <w:t>alone</w:t>
            </w:r>
            <w:r w:rsidR="00F735A7" w:rsidRPr="004C3268">
              <w:rPr>
                <w:b/>
                <w:bCs w:val="0"/>
                <w:snapToGrid w:val="0"/>
                <w:vertAlign w:val="superscript"/>
              </w:rPr>
              <w:t>b</w:t>
            </w:r>
            <w:proofErr w:type="spellEnd"/>
          </w:p>
        </w:tc>
      </w:tr>
      <w:tr w:rsidR="009C7CDF" w:rsidRPr="004C3268" w14:paraId="77679521" w14:textId="77777777">
        <w:trPr>
          <w:trHeight w:val="20"/>
        </w:trPr>
        <w:tc>
          <w:tcPr>
            <w:tcW w:w="1668" w:type="pct"/>
          </w:tcPr>
          <w:p w14:paraId="6D84FB2D" w14:textId="74B35D41" w:rsidR="009C7CDF" w:rsidRPr="004C3268" w:rsidRDefault="009C7CDF" w:rsidP="009C7CDF">
            <w:pPr>
              <w:pStyle w:val="TableText0"/>
              <w:rPr>
                <w:snapToGrid w:val="0"/>
                <w:highlight w:val="yellow"/>
              </w:rPr>
            </w:pPr>
            <w:r w:rsidRPr="004C3268">
              <w:rPr>
                <w:snapToGrid w:val="0"/>
              </w:rPr>
              <w:t>Cost per pack AEMP</w:t>
            </w:r>
          </w:p>
        </w:tc>
        <w:tc>
          <w:tcPr>
            <w:tcW w:w="1665" w:type="pct"/>
          </w:tcPr>
          <w:p w14:paraId="21A4E011" w14:textId="5F9F3D2C" w:rsidR="009C7CDF" w:rsidRPr="004C3268" w:rsidRDefault="009C7CDF" w:rsidP="009C7CDF">
            <w:pPr>
              <w:pStyle w:val="TableText0"/>
              <w:jc w:val="center"/>
              <w:rPr>
                <w:snapToGrid w:val="0"/>
              </w:rPr>
            </w:pPr>
            <w:r w:rsidRPr="004C3268">
              <w:rPr>
                <w:snapToGrid w:val="0"/>
              </w:rPr>
              <w:t>$</w:t>
            </w:r>
            <w:r w:rsidR="00125EBD" w:rsidRPr="004C3268">
              <w:rPr>
                <w:snapToGrid w:val="0"/>
              </w:rPr>
              <w:t>23.83</w:t>
            </w:r>
          </w:p>
        </w:tc>
        <w:tc>
          <w:tcPr>
            <w:tcW w:w="1667" w:type="pct"/>
          </w:tcPr>
          <w:p w14:paraId="4D34A33F" w14:textId="6FD71D20" w:rsidR="00A427A1" w:rsidRPr="004C3268" w:rsidRDefault="00A427A1" w:rsidP="00A427A1">
            <w:pPr>
              <w:pStyle w:val="TableText0"/>
              <w:jc w:val="center"/>
              <w:rPr>
                <w:snapToGrid w:val="0"/>
              </w:rPr>
            </w:pPr>
            <w:r w:rsidRPr="004C3268">
              <w:rPr>
                <w:snapToGrid w:val="0"/>
              </w:rPr>
              <w:t>-58.5%</w:t>
            </w:r>
          </w:p>
        </w:tc>
      </w:tr>
      <w:tr w:rsidR="009C7CDF" w:rsidRPr="004C3268" w14:paraId="620758FC" w14:textId="77777777">
        <w:trPr>
          <w:trHeight w:val="20"/>
        </w:trPr>
        <w:tc>
          <w:tcPr>
            <w:tcW w:w="1668" w:type="pct"/>
          </w:tcPr>
          <w:p w14:paraId="6048E9C1" w14:textId="200D889E" w:rsidR="009C7CDF" w:rsidRPr="004C3268" w:rsidRDefault="009C7CDF" w:rsidP="009C7CDF">
            <w:pPr>
              <w:pStyle w:val="TableText0"/>
              <w:rPr>
                <w:snapToGrid w:val="0"/>
                <w:highlight w:val="yellow"/>
              </w:rPr>
            </w:pPr>
            <w:r w:rsidRPr="004C3268">
              <w:rPr>
                <w:snapToGrid w:val="0"/>
              </w:rPr>
              <w:t>DPMQ for 1 pack</w:t>
            </w:r>
          </w:p>
        </w:tc>
        <w:tc>
          <w:tcPr>
            <w:tcW w:w="1665" w:type="pct"/>
          </w:tcPr>
          <w:p w14:paraId="683C6EB2" w14:textId="7D18005B" w:rsidR="009C7CDF" w:rsidRPr="004C3268" w:rsidRDefault="00125EBD" w:rsidP="009C7CDF">
            <w:pPr>
              <w:pStyle w:val="TableText0"/>
              <w:jc w:val="center"/>
              <w:rPr>
                <w:snapToGrid w:val="0"/>
              </w:rPr>
            </w:pPr>
            <w:r w:rsidRPr="004C3268">
              <w:rPr>
                <w:snapToGrid w:val="0"/>
              </w:rPr>
              <w:t>$39.08</w:t>
            </w:r>
          </w:p>
        </w:tc>
        <w:tc>
          <w:tcPr>
            <w:tcW w:w="1667" w:type="pct"/>
          </w:tcPr>
          <w:p w14:paraId="716F9DD8" w14:textId="678DAFC3" w:rsidR="009C7CDF" w:rsidRPr="004C3268" w:rsidRDefault="00555137" w:rsidP="009C7CDF">
            <w:pPr>
              <w:pStyle w:val="TableText0"/>
              <w:jc w:val="center"/>
              <w:rPr>
                <w:snapToGrid w:val="0"/>
              </w:rPr>
            </w:pPr>
            <w:r w:rsidRPr="004C3268">
              <w:rPr>
                <w:snapToGrid w:val="0"/>
              </w:rPr>
              <w:t>-48.0%</w:t>
            </w:r>
          </w:p>
        </w:tc>
      </w:tr>
      <w:tr w:rsidR="009C7CDF" w:rsidRPr="004C3268" w14:paraId="691AA61A" w14:textId="77777777">
        <w:trPr>
          <w:trHeight w:val="20"/>
        </w:trPr>
        <w:tc>
          <w:tcPr>
            <w:tcW w:w="1668" w:type="pct"/>
          </w:tcPr>
          <w:p w14:paraId="7B943225" w14:textId="423EE57F" w:rsidR="009C7CDF" w:rsidRPr="004C3268" w:rsidRDefault="009C7CDF" w:rsidP="009C7CDF">
            <w:pPr>
              <w:pStyle w:val="TableText0"/>
              <w:rPr>
                <w:snapToGrid w:val="0"/>
                <w:highlight w:val="yellow"/>
              </w:rPr>
            </w:pPr>
            <w:r w:rsidRPr="004C3268">
              <w:rPr>
                <w:snapToGrid w:val="0"/>
              </w:rPr>
              <w:t>DPMQ for 2 packs</w:t>
            </w:r>
          </w:p>
        </w:tc>
        <w:tc>
          <w:tcPr>
            <w:tcW w:w="1665" w:type="pct"/>
          </w:tcPr>
          <w:p w14:paraId="7F54BDF5" w14:textId="43F10CAF" w:rsidR="009C7CDF" w:rsidRPr="004C3268" w:rsidRDefault="00125EBD" w:rsidP="009C7CDF">
            <w:pPr>
              <w:pStyle w:val="TableText0"/>
              <w:jc w:val="center"/>
              <w:rPr>
                <w:snapToGrid w:val="0"/>
              </w:rPr>
            </w:pPr>
            <w:r w:rsidRPr="004C3268">
              <w:rPr>
                <w:snapToGrid w:val="0"/>
              </w:rPr>
              <w:t>$64.71</w:t>
            </w:r>
          </w:p>
        </w:tc>
        <w:tc>
          <w:tcPr>
            <w:tcW w:w="1667" w:type="pct"/>
          </w:tcPr>
          <w:p w14:paraId="71085E68" w14:textId="40788757" w:rsidR="009C7CDF" w:rsidRPr="004C3268" w:rsidRDefault="00555137" w:rsidP="009C7CDF">
            <w:pPr>
              <w:pStyle w:val="TableText0"/>
              <w:jc w:val="center"/>
              <w:rPr>
                <w:snapToGrid w:val="0"/>
              </w:rPr>
            </w:pPr>
            <w:r w:rsidRPr="004C3268">
              <w:rPr>
                <w:snapToGrid w:val="0"/>
              </w:rPr>
              <w:t>-53.2%</w:t>
            </w:r>
          </w:p>
        </w:tc>
      </w:tr>
    </w:tbl>
    <w:p w14:paraId="1740F146" w14:textId="77777777" w:rsidR="005F28B5" w:rsidRPr="004C3268" w:rsidRDefault="005F28B5" w:rsidP="005F28B5">
      <w:pPr>
        <w:pStyle w:val="TableFigureFooter"/>
      </w:pPr>
      <w:r w:rsidRPr="004C3268">
        <w:t>Source: Calculated during evaluation</w:t>
      </w:r>
    </w:p>
    <w:p w14:paraId="3174D3DC" w14:textId="0A4AF601" w:rsidR="005F28B5" w:rsidRPr="004C3268" w:rsidRDefault="005F28B5" w:rsidP="005F28B5">
      <w:pPr>
        <w:pStyle w:val="TableFigureFooter"/>
      </w:pPr>
      <w:r w:rsidRPr="004C3268">
        <w:t xml:space="preserve">AEMP = approved ex-manufacturer price; CAL/BDP = calcipotriol </w:t>
      </w:r>
      <w:r w:rsidR="00F4369C">
        <w:t>with</w:t>
      </w:r>
      <w:r w:rsidRPr="004C3268">
        <w:t xml:space="preserve"> betamethasone dipropionate; DPMQ = dispensed price for maximum quantity</w:t>
      </w:r>
      <w:r w:rsidR="00915368" w:rsidRPr="004C3268">
        <w:t xml:space="preserve">; </w:t>
      </w:r>
      <w:r w:rsidR="009D51B4" w:rsidRPr="004C3268">
        <w:t xml:space="preserve">g = gram; </w:t>
      </w:r>
      <w:r w:rsidR="00915368" w:rsidRPr="004C3268">
        <w:t>PI = Product Information</w:t>
      </w:r>
      <w:r w:rsidR="009D51B4" w:rsidRPr="004C3268">
        <w:t>; RCT = randomised controlled trial</w:t>
      </w:r>
      <w:r w:rsidRPr="004C3268">
        <w:t>.</w:t>
      </w:r>
    </w:p>
    <w:p w14:paraId="4B116B61" w14:textId="73B18B54" w:rsidR="00411790" w:rsidRPr="004C3268" w:rsidRDefault="005F28B5" w:rsidP="005F28B5">
      <w:pPr>
        <w:pStyle w:val="TableFigureFooter"/>
      </w:pPr>
      <w:r w:rsidRPr="004C3268">
        <w:rPr>
          <w:vertAlign w:val="superscript"/>
        </w:rPr>
        <w:t>a</w:t>
      </w:r>
      <w:r w:rsidRPr="004C3268">
        <w:t xml:space="preserve"> </w:t>
      </w:r>
      <w:r w:rsidR="00411790" w:rsidRPr="004C3268">
        <w:t>Based on the respective P</w:t>
      </w:r>
      <w:r w:rsidR="00915368" w:rsidRPr="004C3268">
        <w:t>Is</w:t>
      </w:r>
      <w:r w:rsidR="00411790" w:rsidRPr="004C3268">
        <w:t xml:space="preserve">, the recommended treatment period with CAL/BDP cream </w:t>
      </w:r>
      <w:r w:rsidR="00555137" w:rsidRPr="004C3268">
        <w:t xml:space="preserve">is </w:t>
      </w:r>
      <w:r w:rsidR="00411790" w:rsidRPr="004C3268">
        <w:t>up to 8 weeks</w:t>
      </w:r>
      <w:r w:rsidR="00555137" w:rsidRPr="004C3268">
        <w:t xml:space="preserve">, </w:t>
      </w:r>
      <w:r w:rsidR="00411790" w:rsidRPr="004C3268">
        <w:t xml:space="preserve">and </w:t>
      </w:r>
      <w:r w:rsidR="00555137" w:rsidRPr="004C3268">
        <w:t xml:space="preserve">with CAL/BDP foam or ointment is </w:t>
      </w:r>
      <w:r w:rsidR="00411790" w:rsidRPr="004C3268">
        <w:t>up to 4 weeks</w:t>
      </w:r>
      <w:r w:rsidR="00555137" w:rsidRPr="004C3268">
        <w:t>.</w:t>
      </w:r>
    </w:p>
    <w:p w14:paraId="69F0790F" w14:textId="4735D7C7" w:rsidR="005F28B5" w:rsidRPr="004C3268" w:rsidRDefault="00411790" w:rsidP="005F28B5">
      <w:pPr>
        <w:pStyle w:val="TableFigureFooter"/>
      </w:pPr>
      <w:r w:rsidRPr="004C3268">
        <w:rPr>
          <w:vertAlign w:val="superscript"/>
        </w:rPr>
        <w:t>b</w:t>
      </w:r>
      <w:r w:rsidRPr="004C3268">
        <w:t xml:space="preserve"> </w:t>
      </w:r>
      <w:r w:rsidR="005F28B5" w:rsidRPr="004C3268">
        <w:t>Based on the non-inferior effectiveness demonstrated in RCTs (MC2-01-C2 and MC2-01-C7) of CAL/BDP cream versus gel, and assuming a</w:t>
      </w:r>
      <w:r w:rsidR="009D51B4" w:rsidRPr="004C3268">
        <w:t>n equivalent</w:t>
      </w:r>
      <w:r w:rsidR="005F28B5" w:rsidRPr="004C3268">
        <w:t xml:space="preserve"> dose of 1</w:t>
      </w:r>
      <w:r w:rsidR="00FE4C8F" w:rsidRPr="004C3268">
        <w:t> </w:t>
      </w:r>
      <w:r w:rsidR="005F28B5" w:rsidRPr="004C3268">
        <w:t>g gel to 1</w:t>
      </w:r>
      <w:r w:rsidR="00FE4C8F" w:rsidRPr="004C3268">
        <w:t> </w:t>
      </w:r>
      <w:r w:rsidR="005F28B5" w:rsidRPr="004C3268">
        <w:t>g ointment was appropriate (paragraph 6.30, calcipotriol with betamethasone dipropionate gel, PSD, November 2015 PBAC meeting).</w:t>
      </w:r>
    </w:p>
    <w:p w14:paraId="609C60E7" w14:textId="782615FD" w:rsidR="00B65D09" w:rsidRPr="008510D0" w:rsidRDefault="00B65D09" w:rsidP="00B7760B">
      <w:pPr>
        <w:widowControl w:val="0"/>
        <w:numPr>
          <w:ilvl w:val="1"/>
          <w:numId w:val="1"/>
        </w:numPr>
        <w:spacing w:after="120"/>
        <w:ind w:left="720"/>
      </w:pPr>
      <w:r w:rsidRPr="004C3268">
        <w:t xml:space="preserve">The sensitivity analyses showed </w:t>
      </w:r>
      <w:r w:rsidRPr="008510D0">
        <w:t xml:space="preserve">that applying the </w:t>
      </w:r>
      <w:r w:rsidR="0047486E" w:rsidRPr="008510D0">
        <w:t xml:space="preserve">recommended </w:t>
      </w:r>
      <w:r w:rsidRPr="008510D0">
        <w:t>treatment duration</w:t>
      </w:r>
      <w:r w:rsidR="0047486E" w:rsidRPr="008510D0">
        <w:t xml:space="preserve"> for CAL/BDP products,</w:t>
      </w:r>
      <w:r w:rsidRPr="008510D0">
        <w:t xml:space="preserve"> based on the</w:t>
      </w:r>
      <w:r w:rsidR="0047486E" w:rsidRPr="008510D0">
        <w:t>ir respective</w:t>
      </w:r>
      <w:r w:rsidRPr="008510D0">
        <w:t xml:space="preserve"> PIs, </w:t>
      </w:r>
      <w:r w:rsidR="0047486E" w:rsidRPr="008510D0">
        <w:t xml:space="preserve">resulted in a 50% reduction in the cost-minimised AEMP of CAL/BDP cream. Additionally, cost-minimisation to </w:t>
      </w:r>
      <w:r w:rsidRPr="008510D0">
        <w:t>CAL/BDP ointment alone</w:t>
      </w:r>
      <w:r w:rsidR="0047486E" w:rsidRPr="008510D0">
        <w:t>, the lowest cost-comparator,</w:t>
      </w:r>
      <w:r w:rsidRPr="008510D0">
        <w:t xml:space="preserve"> </w:t>
      </w:r>
      <w:r w:rsidR="0047486E" w:rsidRPr="008510D0">
        <w:t xml:space="preserve">resulted in a 17% reduction in the cost-minimised AEMP of </w:t>
      </w:r>
      <w:r w:rsidRPr="008510D0">
        <w:t xml:space="preserve">CAL/BDP cream. </w:t>
      </w:r>
      <w:r w:rsidR="002F4C11" w:rsidRPr="008510D0">
        <w:t>By considering both</w:t>
      </w:r>
      <w:r w:rsidR="00660CDA" w:rsidRPr="008510D0">
        <w:t xml:space="preserve"> </w:t>
      </w:r>
      <w:r w:rsidR="00262D83" w:rsidRPr="008510D0">
        <w:t>recommended treatment duration based on PIs and cost-minimisation to CAL/BDP ointment alone</w:t>
      </w:r>
      <w:r w:rsidR="007E2197" w:rsidRPr="008510D0">
        <w:t>, the cost-minimised AEMP for CAL/BDP cream reduced by 58.5%.</w:t>
      </w:r>
      <w:r w:rsidR="0081253A" w:rsidRPr="008510D0">
        <w:t xml:space="preserve"> The ESC noted that </w:t>
      </w:r>
      <w:r w:rsidR="001E601B" w:rsidRPr="008510D0">
        <w:t>estimated costs of CAL/BDP cream is significant</w:t>
      </w:r>
      <w:r w:rsidR="00FD5414" w:rsidRPr="008510D0">
        <w:t>ly affected based on the recommended treatment duration.</w:t>
      </w:r>
    </w:p>
    <w:p w14:paraId="74BC3279" w14:textId="54DD7AEC" w:rsidR="00C1161A" w:rsidRPr="003910CE" w:rsidRDefault="00C1161A" w:rsidP="00B7760B">
      <w:pPr>
        <w:widowControl w:val="0"/>
        <w:numPr>
          <w:ilvl w:val="1"/>
          <w:numId w:val="1"/>
        </w:numPr>
        <w:spacing w:after="120"/>
        <w:ind w:left="720"/>
      </w:pPr>
      <w:r w:rsidRPr="003910CE">
        <w:t xml:space="preserve">The PSCR </w:t>
      </w:r>
      <w:r w:rsidR="006431DB" w:rsidRPr="003910CE">
        <w:t>stated that the sponsor is willing to negotiate on the proposed AEMP</w:t>
      </w:r>
      <w:r w:rsidR="00667E9B" w:rsidRPr="003910CE">
        <w:t xml:space="preserve"> so that there is an appropriate impact to the health budget, and would like </w:t>
      </w:r>
      <w:r w:rsidR="000B0C82" w:rsidRPr="003910CE">
        <w:t>patients to</w:t>
      </w:r>
      <w:r w:rsidR="005676AE" w:rsidRPr="003910CE">
        <w:t xml:space="preserve"> have</w:t>
      </w:r>
      <w:r w:rsidR="000B0C82" w:rsidRPr="003910CE">
        <w:t xml:space="preserve"> access</w:t>
      </w:r>
      <w:r w:rsidR="005676AE" w:rsidRPr="003910CE">
        <w:t xml:space="preserve"> to</w:t>
      </w:r>
      <w:r w:rsidR="000B0C82" w:rsidRPr="003910CE">
        <w:t xml:space="preserve"> CAL/BDP cream in a timely manner.</w:t>
      </w:r>
    </w:p>
    <w:p w14:paraId="472842D7" w14:textId="5EAF8789" w:rsidR="00C25D9C" w:rsidRDefault="00C25D9C" w:rsidP="00BB732D">
      <w:pPr>
        <w:pStyle w:val="4-SubsectionHeading"/>
      </w:pPr>
      <w:bookmarkStart w:id="60" w:name="_Toc22897646"/>
      <w:bookmarkStart w:id="61" w:name="_Toc198632862"/>
      <w:r w:rsidRPr="002C2775">
        <w:t>Drug cost/patient/</w:t>
      </w:r>
      <w:bookmarkEnd w:id="60"/>
      <w:r w:rsidR="00B65D09">
        <w:t>course</w:t>
      </w:r>
      <w:bookmarkEnd w:id="61"/>
    </w:p>
    <w:p w14:paraId="553E7F06" w14:textId="0EDCBAAA" w:rsidR="00B65D09" w:rsidRPr="008510D0" w:rsidRDefault="00B65D09" w:rsidP="00B7760B">
      <w:pPr>
        <w:widowControl w:val="0"/>
        <w:numPr>
          <w:ilvl w:val="1"/>
          <w:numId w:val="1"/>
        </w:numPr>
        <w:spacing w:after="120"/>
        <w:ind w:left="720"/>
      </w:pPr>
      <w:bookmarkStart w:id="62" w:name="_Ref104805102"/>
      <w:r w:rsidRPr="004C3268">
        <w:t xml:space="preserve">The drug cost per patient per course </w:t>
      </w:r>
      <w:r w:rsidR="00FC67C3" w:rsidRPr="004C3268">
        <w:t xml:space="preserve">for CAL/BDP cream </w:t>
      </w:r>
      <w:r w:rsidR="3AB291F0" w:rsidRPr="004C3268">
        <w:t>depend</w:t>
      </w:r>
      <w:r w:rsidR="1B84F180" w:rsidRPr="004C3268">
        <w:t>s</w:t>
      </w:r>
      <w:r w:rsidRPr="004C3268">
        <w:t xml:space="preserve"> on the area affected and the duration of use. However, using the maximum </w:t>
      </w:r>
      <w:r w:rsidR="00644621" w:rsidRPr="004C3268">
        <w:t xml:space="preserve">weekly </w:t>
      </w:r>
      <w:r w:rsidRPr="004C3268">
        <w:t>dose of 100</w:t>
      </w:r>
      <w:r w:rsidR="00644621" w:rsidRPr="004C3268">
        <w:t xml:space="preserve"> </w:t>
      </w:r>
      <w:r w:rsidRPr="004C3268">
        <w:t>g over 8 weeks</w:t>
      </w:r>
      <w:r w:rsidR="00D035E7" w:rsidRPr="004C3268">
        <w:t xml:space="preserve"> </w:t>
      </w:r>
      <w:r w:rsidR="003D34EF" w:rsidRPr="004C3268">
        <w:t>(treatment duration as per the PI</w:t>
      </w:r>
      <w:r w:rsidR="00D035E7" w:rsidRPr="004C3268">
        <w:t>)</w:t>
      </w:r>
      <w:r w:rsidRPr="004C3268">
        <w:t xml:space="preserve">, </w:t>
      </w:r>
      <w:r w:rsidR="00644621" w:rsidRPr="004C3268">
        <w:t xml:space="preserve">a total of 14 packs of CAL/BDP cream 60 g </w:t>
      </w:r>
      <w:r w:rsidR="00CB04A3" w:rsidRPr="004C3268">
        <w:lastRenderedPageBreak/>
        <w:t xml:space="preserve">will be </w:t>
      </w:r>
      <w:r w:rsidR="00644621" w:rsidRPr="004C3268">
        <w:t>required</w:t>
      </w:r>
      <w:r w:rsidR="00CB04A3" w:rsidRPr="004C3268">
        <w:t xml:space="preserve">, resulting in </w:t>
      </w:r>
      <w:r w:rsidR="00644621" w:rsidRPr="004C3268">
        <w:t xml:space="preserve">total drug cost per patient per course </w:t>
      </w:r>
      <w:r w:rsidR="00CB04A3" w:rsidRPr="008510D0">
        <w:t xml:space="preserve">of </w:t>
      </w:r>
      <w:r w:rsidR="00644621" w:rsidRPr="008510D0">
        <w:t>$</w:t>
      </w:r>
      <w:r w:rsidR="0038676E" w:rsidRPr="008510D0">
        <w:t>1,052.94</w:t>
      </w:r>
      <w:r w:rsidR="00644621" w:rsidRPr="008510D0">
        <w:t xml:space="preserve"> (</w:t>
      </w:r>
      <w:r w:rsidR="00E80A14" w:rsidRPr="008510D0">
        <w:t xml:space="preserve">DPMQ </w:t>
      </w:r>
      <w:r w:rsidR="00326190" w:rsidRPr="008510D0">
        <w:t>of</w:t>
      </w:r>
      <w:r w:rsidR="00E80A14" w:rsidRPr="008510D0">
        <w:t xml:space="preserve"> </w:t>
      </w:r>
      <w:r w:rsidR="00644621" w:rsidRPr="008510D0">
        <w:t>$</w:t>
      </w:r>
      <w:r w:rsidR="00971532" w:rsidRPr="008510D0">
        <w:t>75.21</w:t>
      </w:r>
      <w:r w:rsidR="007056DC" w:rsidRPr="008510D0">
        <w:t xml:space="preserve"> </w:t>
      </w:r>
      <w:r w:rsidR="00971532" w:rsidRPr="008510D0">
        <w:t>x</w:t>
      </w:r>
      <w:r w:rsidR="00CB04A3" w:rsidRPr="008510D0">
        <w:t xml:space="preserve"> </w:t>
      </w:r>
      <w:r w:rsidR="00971532" w:rsidRPr="008510D0">
        <w:t>14</w:t>
      </w:r>
      <w:r w:rsidR="00CB04A3" w:rsidRPr="008510D0">
        <w:t xml:space="preserve"> packs</w:t>
      </w:r>
      <w:r w:rsidR="00644621" w:rsidRPr="008510D0">
        <w:t>).</w:t>
      </w:r>
    </w:p>
    <w:p w14:paraId="4713855C" w14:textId="6760E7B7" w:rsidR="00A93226" w:rsidRPr="004C3268" w:rsidRDefault="00BD15AE" w:rsidP="00B7760B">
      <w:pPr>
        <w:widowControl w:val="0"/>
        <w:numPr>
          <w:ilvl w:val="1"/>
          <w:numId w:val="1"/>
        </w:numPr>
        <w:spacing w:after="120"/>
        <w:ind w:left="720"/>
      </w:pPr>
      <w:r w:rsidRPr="004C3268">
        <w:t xml:space="preserve">The drug cost per patient </w:t>
      </w:r>
      <w:r w:rsidR="004D04C5" w:rsidRPr="004C3268">
        <w:t>per course for the lowest cost CAL/BDP product currently listed on PBS, that is CAL/</w:t>
      </w:r>
      <w:r w:rsidR="001E351E" w:rsidRPr="004C3268">
        <w:t xml:space="preserve">BDP </w:t>
      </w:r>
      <w:r w:rsidR="004D04C5" w:rsidRPr="004C3268">
        <w:t xml:space="preserve">ointment </w:t>
      </w:r>
      <w:r w:rsidR="008D5281" w:rsidRPr="004C3268">
        <w:t>30 g</w:t>
      </w:r>
      <w:r w:rsidR="004236BA" w:rsidRPr="004C3268">
        <w:t xml:space="preserve">, </w:t>
      </w:r>
      <w:r w:rsidR="000946D3" w:rsidRPr="004C3268">
        <w:t>is $</w:t>
      </w:r>
      <w:r w:rsidR="005E24B5" w:rsidRPr="004C3268">
        <w:t>547.</w:t>
      </w:r>
      <w:r w:rsidR="00FD5107" w:rsidRPr="004C3268">
        <w:t>12</w:t>
      </w:r>
      <w:r w:rsidR="000946D3" w:rsidRPr="004C3268">
        <w:t xml:space="preserve"> (</w:t>
      </w:r>
      <w:r w:rsidR="00710C19" w:rsidRPr="004C3268">
        <w:t xml:space="preserve">DPMQ </w:t>
      </w:r>
      <w:r w:rsidR="000E14E0" w:rsidRPr="004C3268">
        <w:t xml:space="preserve">of </w:t>
      </w:r>
      <w:r w:rsidR="000946D3" w:rsidRPr="004C3268">
        <w:t>$</w:t>
      </w:r>
      <w:r w:rsidR="000E14E0" w:rsidRPr="004C3268">
        <w:t>39.0</w:t>
      </w:r>
      <w:r w:rsidR="004028F5" w:rsidRPr="004C3268">
        <w:t>8</w:t>
      </w:r>
      <w:r w:rsidR="000946D3" w:rsidRPr="004C3268">
        <w:t xml:space="preserve"> </w:t>
      </w:r>
      <w:r w:rsidR="00240B41" w:rsidRPr="004C3268">
        <w:t xml:space="preserve">and a total of </w:t>
      </w:r>
      <w:r w:rsidR="00267E6D" w:rsidRPr="004C3268">
        <w:t>14</w:t>
      </w:r>
      <w:r w:rsidR="005E24B5" w:rsidRPr="004C3268">
        <w:t xml:space="preserve"> </w:t>
      </w:r>
      <w:r w:rsidR="000946D3" w:rsidRPr="004C3268">
        <w:t>pa</w:t>
      </w:r>
      <w:r w:rsidR="00E45620" w:rsidRPr="004C3268">
        <w:t>cks</w:t>
      </w:r>
      <w:r w:rsidR="00240B41" w:rsidRPr="004C3268">
        <w:t xml:space="preserve"> required</w:t>
      </w:r>
      <w:r w:rsidR="00E45620" w:rsidRPr="004C3268">
        <w:t>)</w:t>
      </w:r>
      <w:r w:rsidR="00E130F3" w:rsidRPr="004C3268">
        <w:t>,</w:t>
      </w:r>
      <w:r w:rsidR="00E45620" w:rsidRPr="004C3268">
        <w:t xml:space="preserve"> </w:t>
      </w:r>
      <w:r w:rsidR="004236BA" w:rsidRPr="004C3268">
        <w:t xml:space="preserve">based on the maximum weekly dose of 100 g over </w:t>
      </w:r>
      <w:r w:rsidR="00665D03" w:rsidRPr="004C3268">
        <w:t>4</w:t>
      </w:r>
      <w:r w:rsidR="007223B2">
        <w:t> </w:t>
      </w:r>
      <w:r w:rsidR="00665D03" w:rsidRPr="004C3268">
        <w:t>weeks</w:t>
      </w:r>
      <w:r w:rsidR="00D035E7" w:rsidRPr="004C3268">
        <w:t xml:space="preserve"> </w:t>
      </w:r>
      <w:r w:rsidR="003D34EF" w:rsidRPr="004C3268">
        <w:t>(treatment duration as per the PI).</w:t>
      </w:r>
    </w:p>
    <w:p w14:paraId="6B22C4F7" w14:textId="0A08982D" w:rsidR="009C30A9" w:rsidRPr="004C3268" w:rsidRDefault="009C30A9" w:rsidP="00B7760B">
      <w:pPr>
        <w:widowControl w:val="0"/>
        <w:numPr>
          <w:ilvl w:val="1"/>
          <w:numId w:val="1"/>
        </w:numPr>
        <w:spacing w:after="120"/>
        <w:ind w:left="720"/>
      </w:pPr>
      <w:r w:rsidRPr="004C3268">
        <w:t>The drug cost per patient per course for CAL/</w:t>
      </w:r>
      <w:r w:rsidR="001E351E" w:rsidRPr="004C3268">
        <w:t xml:space="preserve">BDP </w:t>
      </w:r>
      <w:r w:rsidRPr="004C3268">
        <w:t>foam 60 g, is $</w:t>
      </w:r>
      <w:r w:rsidR="00A834F1" w:rsidRPr="004C3268">
        <w:t>599.90</w:t>
      </w:r>
      <w:r w:rsidRPr="004C3268">
        <w:t xml:space="preserve"> (DPMQ for </w:t>
      </w:r>
      <w:r w:rsidR="00D85135" w:rsidRPr="004C3268">
        <w:t xml:space="preserve">one </w:t>
      </w:r>
      <w:r w:rsidR="00BC71AB" w:rsidRPr="004C3268">
        <w:t>pack of</w:t>
      </w:r>
      <w:r w:rsidR="00D85135" w:rsidRPr="004C3268">
        <w:t xml:space="preserve"> $</w:t>
      </w:r>
      <w:r w:rsidR="006760F7" w:rsidRPr="004C3268">
        <w:t xml:space="preserve">85.70 </w:t>
      </w:r>
      <w:r w:rsidR="00BC71AB" w:rsidRPr="004C3268">
        <w:t>x</w:t>
      </w:r>
      <w:r w:rsidR="00691C3C" w:rsidRPr="004C3268">
        <w:t xml:space="preserve"> </w:t>
      </w:r>
      <w:r w:rsidRPr="004C3268">
        <w:t>7 packs), based on the maximum weekly dose of 100 g over 4 weeks</w:t>
      </w:r>
      <w:r w:rsidR="00D035E7" w:rsidRPr="004C3268">
        <w:t xml:space="preserve"> </w:t>
      </w:r>
      <w:r w:rsidR="003D34EF" w:rsidRPr="004C3268">
        <w:t>(treatment duration as per the PI).</w:t>
      </w:r>
    </w:p>
    <w:p w14:paraId="268768EF" w14:textId="5918D38C" w:rsidR="00B60939" w:rsidRPr="00C9624D" w:rsidRDefault="00B60939" w:rsidP="002B05A1">
      <w:pPr>
        <w:pStyle w:val="4-SubsectionHeading"/>
      </w:pPr>
      <w:bookmarkStart w:id="63" w:name="_Toc22897647"/>
      <w:bookmarkStart w:id="64" w:name="_Toc198632863"/>
      <w:bookmarkEnd w:id="62"/>
      <w:r w:rsidRPr="00C9624D">
        <w:t>Estimated PBS usage &amp; financial implications</w:t>
      </w:r>
      <w:bookmarkEnd w:id="63"/>
      <w:bookmarkEnd w:id="64"/>
    </w:p>
    <w:p w14:paraId="4755D1B1" w14:textId="0391EF6D" w:rsidR="003C2516" w:rsidRPr="00B7760B" w:rsidRDefault="00C25D9C" w:rsidP="00B7760B">
      <w:pPr>
        <w:widowControl w:val="0"/>
        <w:numPr>
          <w:ilvl w:val="1"/>
          <w:numId w:val="1"/>
        </w:numPr>
        <w:spacing w:after="120"/>
        <w:ind w:left="720"/>
      </w:pPr>
      <w:r w:rsidRPr="00BC3F32">
        <w:rPr>
          <w:color w:val="000000" w:themeColor="text1"/>
        </w:rPr>
        <w:t xml:space="preserve">This </w:t>
      </w:r>
      <w:r w:rsidRPr="00B7760B">
        <w:t xml:space="preserve">submission </w:t>
      </w:r>
      <w:r w:rsidR="00021E8E" w:rsidRPr="00B7760B">
        <w:t>was not</w:t>
      </w:r>
      <w:r w:rsidR="00D23D11" w:rsidRPr="00B7760B">
        <w:t xml:space="preserve"> </w:t>
      </w:r>
      <w:r w:rsidRPr="00B7760B">
        <w:t>considered by DUSC.</w:t>
      </w:r>
      <w:r w:rsidR="00BC591F" w:rsidRPr="00B7760B">
        <w:t xml:space="preserve"> </w:t>
      </w:r>
    </w:p>
    <w:p w14:paraId="1ACA4CB9" w14:textId="3E5222E7" w:rsidR="003C2516" w:rsidRPr="00380C48" w:rsidRDefault="003C2516" w:rsidP="00B7760B">
      <w:pPr>
        <w:widowControl w:val="0"/>
        <w:numPr>
          <w:ilvl w:val="1"/>
          <w:numId w:val="1"/>
        </w:numPr>
        <w:spacing w:after="120"/>
        <w:ind w:left="720"/>
      </w:pPr>
      <w:r w:rsidRPr="00380C48">
        <w:t xml:space="preserve">The submission applied a market share approach to estimate the utilisation and financial impact of listing CAL/BDP cream for the treatment of plaque psoriasis. Key inputs and sources are presented in </w:t>
      </w:r>
      <w:r w:rsidRPr="00380C48">
        <w:fldChar w:fldCharType="begin" w:fldLock="1"/>
      </w:r>
      <w:r w:rsidRPr="00380C48">
        <w:instrText xml:space="preserve"> REF _Ref104805262 \h  \* MERGEFORMAT </w:instrText>
      </w:r>
      <w:r w:rsidRPr="00380C48">
        <w:fldChar w:fldCharType="separate"/>
      </w:r>
      <w:r w:rsidR="00AA3192" w:rsidRPr="00380C48">
        <w:t xml:space="preserve">Table </w:t>
      </w:r>
      <w:r w:rsidR="00AA3192">
        <w:t>16</w:t>
      </w:r>
      <w:r w:rsidRPr="00380C48">
        <w:fldChar w:fldCharType="end"/>
      </w:r>
      <w:r w:rsidRPr="00380C48">
        <w:t>.</w:t>
      </w:r>
    </w:p>
    <w:p w14:paraId="3393BCE7" w14:textId="60AD78D9" w:rsidR="00E42F73" w:rsidRPr="00380C48" w:rsidRDefault="00E16AD8" w:rsidP="00E16AD8">
      <w:pPr>
        <w:pStyle w:val="Caption"/>
        <w:rPr>
          <w:rStyle w:val="CommentReference"/>
          <w:b/>
          <w:szCs w:val="24"/>
        </w:rPr>
      </w:pPr>
      <w:bookmarkStart w:id="65" w:name="_Ref104805262"/>
      <w:r w:rsidRPr="00380C48">
        <w:lastRenderedPageBreak/>
        <w:t xml:space="preserve">Table </w:t>
      </w:r>
      <w:r w:rsidR="00AA3192">
        <w:fldChar w:fldCharType="begin" w:fldLock="1"/>
      </w:r>
      <w:r w:rsidR="00AA3192">
        <w:instrText xml:space="preserve"> SEQ Table \* ARABIC </w:instrText>
      </w:r>
      <w:r w:rsidR="00AA3192">
        <w:fldChar w:fldCharType="separate"/>
      </w:r>
      <w:r w:rsidR="00AA3192">
        <w:rPr>
          <w:noProof/>
        </w:rPr>
        <w:t>16</w:t>
      </w:r>
      <w:r w:rsidR="00AA3192">
        <w:rPr>
          <w:noProof/>
        </w:rPr>
        <w:fldChar w:fldCharType="end"/>
      </w:r>
      <w:bookmarkEnd w:id="65"/>
      <w:r w:rsidRPr="00380C48">
        <w:t>:</w:t>
      </w:r>
      <w:r w:rsidR="00E42F73" w:rsidRPr="00380C48">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inputs for financial estimates"/>
      </w:tblPr>
      <w:tblGrid>
        <w:gridCol w:w="1262"/>
        <w:gridCol w:w="1710"/>
        <w:gridCol w:w="2269"/>
        <w:gridCol w:w="3776"/>
      </w:tblGrid>
      <w:tr w:rsidR="00380C48" w:rsidRPr="00380C48" w14:paraId="7AFD013A" w14:textId="77777777" w:rsidTr="007B711F">
        <w:trPr>
          <w:tblHeader/>
        </w:trPr>
        <w:tc>
          <w:tcPr>
            <w:tcW w:w="700" w:type="pct"/>
            <w:vAlign w:val="center"/>
          </w:tcPr>
          <w:p w14:paraId="45C2C4CE" w14:textId="370E9AAB" w:rsidR="003C2516" w:rsidRPr="00380C48" w:rsidRDefault="003C2516" w:rsidP="007925DF">
            <w:pPr>
              <w:pStyle w:val="In-tableHeading"/>
            </w:pPr>
            <w:r w:rsidRPr="00380C48">
              <w:t>Parameter</w:t>
            </w:r>
          </w:p>
        </w:tc>
        <w:tc>
          <w:tcPr>
            <w:tcW w:w="948" w:type="pct"/>
            <w:vAlign w:val="center"/>
          </w:tcPr>
          <w:p w14:paraId="5C04F956" w14:textId="281907B8" w:rsidR="003C2516" w:rsidRPr="00380C48" w:rsidRDefault="003C2516" w:rsidP="007925DF">
            <w:pPr>
              <w:pStyle w:val="In-tableHeading"/>
            </w:pPr>
            <w:r w:rsidRPr="00380C48">
              <w:t>Value applied</w:t>
            </w:r>
          </w:p>
        </w:tc>
        <w:tc>
          <w:tcPr>
            <w:tcW w:w="1258" w:type="pct"/>
          </w:tcPr>
          <w:p w14:paraId="7F4DBBCB" w14:textId="40371DF1" w:rsidR="003C2516" w:rsidRPr="00380C48" w:rsidRDefault="003C2516" w:rsidP="007925DF">
            <w:pPr>
              <w:pStyle w:val="In-tableHeading"/>
            </w:pPr>
            <w:r w:rsidRPr="00380C48">
              <w:t>Source</w:t>
            </w:r>
          </w:p>
        </w:tc>
        <w:tc>
          <w:tcPr>
            <w:tcW w:w="2094" w:type="pct"/>
            <w:vAlign w:val="center"/>
          </w:tcPr>
          <w:p w14:paraId="45DE44AA" w14:textId="27F8652A" w:rsidR="003C2516" w:rsidRPr="00380C48" w:rsidRDefault="003C2516" w:rsidP="007925DF">
            <w:pPr>
              <w:pStyle w:val="In-tableHeading"/>
            </w:pPr>
            <w:r w:rsidRPr="00380C48">
              <w:t>Comment</w:t>
            </w:r>
          </w:p>
        </w:tc>
      </w:tr>
      <w:tr w:rsidR="00380C48" w:rsidRPr="00380C48" w14:paraId="4BEF206D" w14:textId="77777777" w:rsidTr="007B711F">
        <w:tc>
          <w:tcPr>
            <w:tcW w:w="700" w:type="pct"/>
            <w:vAlign w:val="center"/>
          </w:tcPr>
          <w:p w14:paraId="5724F53F" w14:textId="21433425" w:rsidR="003C2516" w:rsidRPr="00380C48" w:rsidRDefault="003C2516" w:rsidP="003C2516">
            <w:pPr>
              <w:pStyle w:val="TableText0"/>
              <w:rPr>
                <w:lang w:val="en-US"/>
              </w:rPr>
            </w:pPr>
            <w:r w:rsidRPr="00380C48">
              <w:rPr>
                <w:lang w:val="en-US"/>
              </w:rPr>
              <w:t>PBS+RPBS units dispensed for CAL/BDP foam</w:t>
            </w:r>
          </w:p>
        </w:tc>
        <w:tc>
          <w:tcPr>
            <w:tcW w:w="948" w:type="pct"/>
            <w:vAlign w:val="center"/>
          </w:tcPr>
          <w:p w14:paraId="78F29946" w14:textId="40A19195" w:rsidR="003C2516" w:rsidRPr="00380C48" w:rsidRDefault="003C2516" w:rsidP="003C2516">
            <w:pPr>
              <w:pStyle w:val="TableText0"/>
              <w:rPr>
                <w:lang w:val="en-US"/>
              </w:rPr>
            </w:pPr>
            <w:r w:rsidRPr="00380C48">
              <w:rPr>
                <w:lang w:val="en-US"/>
              </w:rPr>
              <w:t xml:space="preserve">2019: </w:t>
            </w:r>
            <w:r w:rsidR="00770501" w:rsidRPr="00770501">
              <w:rPr>
                <w:color w:val="000000"/>
                <w:spacing w:val="53"/>
                <w:shd w:val="solid" w:color="000000" w:fill="000000"/>
                <w:fitText w:val="330" w:id="-632124928"/>
                <w:lang w:val="en-US"/>
                <w14:textFill>
                  <w14:solidFill>
                    <w14:srgbClr w14:val="000000">
                      <w14:alpha w14:val="100000"/>
                    </w14:srgbClr>
                  </w14:solidFill>
                </w14:textFill>
              </w:rPr>
              <w:t>|||</w:t>
            </w:r>
            <w:r w:rsidR="00770501" w:rsidRPr="00770501">
              <w:rPr>
                <w:color w:val="000000"/>
                <w:spacing w:val="1"/>
                <w:shd w:val="solid" w:color="000000" w:fill="000000"/>
                <w:fitText w:val="330" w:id="-632124928"/>
                <w:lang w:val="en-US"/>
                <w14:textFill>
                  <w14:solidFill>
                    <w14:srgbClr w14:val="000000">
                      <w14:alpha w14:val="100000"/>
                    </w14:srgbClr>
                  </w14:solidFill>
                </w14:textFill>
              </w:rPr>
              <w:t>|</w:t>
            </w:r>
            <w:r w:rsidR="0082317B">
              <w:rPr>
                <w:vertAlign w:val="superscript"/>
                <w:lang w:val="en-US"/>
              </w:rPr>
              <w:t>1</w:t>
            </w:r>
            <w:r w:rsidRPr="00380C48">
              <w:rPr>
                <w:lang w:val="en-US"/>
              </w:rPr>
              <w:t xml:space="preserve"> </w:t>
            </w:r>
          </w:p>
          <w:p w14:paraId="0DEF04B3" w14:textId="12279202" w:rsidR="003C2516" w:rsidRPr="00380C48" w:rsidRDefault="003C2516" w:rsidP="003C2516">
            <w:pPr>
              <w:pStyle w:val="TableText0"/>
              <w:rPr>
                <w:lang w:val="en-US"/>
              </w:rPr>
            </w:pPr>
            <w:r w:rsidRPr="00380C48">
              <w:rPr>
                <w:lang w:val="en-US"/>
              </w:rPr>
              <w:t xml:space="preserve">2020: </w:t>
            </w:r>
            <w:r w:rsidR="00770501" w:rsidRPr="00770501">
              <w:rPr>
                <w:color w:val="000000"/>
                <w:spacing w:val="53"/>
                <w:shd w:val="solid" w:color="000000" w:fill="000000"/>
                <w:fitText w:val="330" w:id="-632124927"/>
                <w:lang w:val="en-US"/>
                <w14:textFill>
                  <w14:solidFill>
                    <w14:srgbClr w14:val="000000">
                      <w14:alpha w14:val="100000"/>
                    </w14:srgbClr>
                  </w14:solidFill>
                </w14:textFill>
              </w:rPr>
              <w:t>|||</w:t>
            </w:r>
            <w:r w:rsidR="00770501" w:rsidRPr="00770501">
              <w:rPr>
                <w:color w:val="000000"/>
                <w:spacing w:val="1"/>
                <w:shd w:val="solid" w:color="000000" w:fill="000000"/>
                <w:fitText w:val="330" w:id="-632124927"/>
                <w:lang w:val="en-US"/>
                <w14:textFill>
                  <w14:solidFill>
                    <w14:srgbClr w14:val="000000">
                      <w14:alpha w14:val="100000"/>
                    </w14:srgbClr>
                  </w14:solidFill>
                </w14:textFill>
              </w:rPr>
              <w:t>|</w:t>
            </w:r>
            <w:r w:rsidR="00905F48">
              <w:rPr>
                <w:vertAlign w:val="superscript"/>
                <w:lang w:val="en-US"/>
              </w:rPr>
              <w:t>2</w:t>
            </w:r>
            <w:r w:rsidRPr="00380C48">
              <w:rPr>
                <w:lang w:val="en-US"/>
              </w:rPr>
              <w:t xml:space="preserve"> </w:t>
            </w:r>
          </w:p>
          <w:p w14:paraId="2593FAA8" w14:textId="4A6E7480" w:rsidR="003C2516" w:rsidRPr="00A40C9C" w:rsidRDefault="003C2516" w:rsidP="003C2516">
            <w:pPr>
              <w:pStyle w:val="TableText0"/>
              <w:rPr>
                <w:vertAlign w:val="superscript"/>
                <w:lang w:val="en-US"/>
              </w:rPr>
            </w:pPr>
            <w:r w:rsidRPr="00380C48">
              <w:rPr>
                <w:lang w:val="en-US"/>
              </w:rPr>
              <w:t xml:space="preserve">2021: </w:t>
            </w:r>
            <w:r w:rsidR="00770501" w:rsidRPr="00770501">
              <w:rPr>
                <w:color w:val="000000"/>
                <w:spacing w:val="53"/>
                <w:shd w:val="solid" w:color="000000" w:fill="000000"/>
                <w:fitText w:val="330" w:id="-632124926"/>
                <w:lang w:val="en-US"/>
                <w14:textFill>
                  <w14:solidFill>
                    <w14:srgbClr w14:val="000000">
                      <w14:alpha w14:val="100000"/>
                    </w14:srgbClr>
                  </w14:solidFill>
                </w14:textFill>
              </w:rPr>
              <w:t>|||</w:t>
            </w:r>
            <w:r w:rsidR="00770501" w:rsidRPr="00770501">
              <w:rPr>
                <w:color w:val="000000"/>
                <w:spacing w:val="1"/>
                <w:shd w:val="solid" w:color="000000" w:fill="000000"/>
                <w:fitText w:val="330" w:id="-632124926"/>
                <w:lang w:val="en-US"/>
                <w14:textFill>
                  <w14:solidFill>
                    <w14:srgbClr w14:val="000000">
                      <w14:alpha w14:val="100000"/>
                    </w14:srgbClr>
                  </w14:solidFill>
                </w14:textFill>
              </w:rPr>
              <w:t>|</w:t>
            </w:r>
            <w:r w:rsidR="00A40C9C">
              <w:rPr>
                <w:vertAlign w:val="superscript"/>
                <w:lang w:val="en-US"/>
              </w:rPr>
              <w:t>3</w:t>
            </w:r>
          </w:p>
          <w:p w14:paraId="3903B847" w14:textId="279FAAF4" w:rsidR="003C2516" w:rsidRPr="00380C48" w:rsidRDefault="003C2516" w:rsidP="003C2516">
            <w:pPr>
              <w:pStyle w:val="TableText0"/>
              <w:rPr>
                <w:lang w:val="en-US"/>
              </w:rPr>
            </w:pPr>
            <w:r w:rsidRPr="00380C48">
              <w:rPr>
                <w:lang w:val="en-US"/>
              </w:rPr>
              <w:t xml:space="preserve">2022: </w:t>
            </w:r>
            <w:r w:rsidR="00770501" w:rsidRPr="00770501">
              <w:rPr>
                <w:color w:val="000000"/>
                <w:spacing w:val="53"/>
                <w:shd w:val="solid" w:color="000000" w:fill="000000"/>
                <w:fitText w:val="330" w:id="-632124925"/>
                <w:lang w:val="en-US"/>
                <w14:textFill>
                  <w14:solidFill>
                    <w14:srgbClr w14:val="000000">
                      <w14:alpha w14:val="100000"/>
                    </w14:srgbClr>
                  </w14:solidFill>
                </w14:textFill>
              </w:rPr>
              <w:t>|||</w:t>
            </w:r>
            <w:r w:rsidR="00770501" w:rsidRPr="00770501">
              <w:rPr>
                <w:color w:val="000000"/>
                <w:spacing w:val="1"/>
                <w:shd w:val="solid" w:color="000000" w:fill="000000"/>
                <w:fitText w:val="330" w:id="-632124925"/>
                <w:lang w:val="en-US"/>
                <w14:textFill>
                  <w14:solidFill>
                    <w14:srgbClr w14:val="000000">
                      <w14:alpha w14:val="100000"/>
                    </w14:srgbClr>
                  </w14:solidFill>
                </w14:textFill>
              </w:rPr>
              <w:t>|</w:t>
            </w:r>
            <w:r w:rsidR="00A40C9C">
              <w:rPr>
                <w:vertAlign w:val="superscript"/>
                <w:lang w:val="en-US"/>
              </w:rPr>
              <w:t>3</w:t>
            </w:r>
          </w:p>
          <w:p w14:paraId="5EC14CF0" w14:textId="11AD543C" w:rsidR="003C2516" w:rsidRPr="00380C48" w:rsidRDefault="003C2516" w:rsidP="003C2516">
            <w:pPr>
              <w:pStyle w:val="TableText0"/>
              <w:rPr>
                <w:lang w:val="en-US"/>
              </w:rPr>
            </w:pPr>
            <w:r w:rsidRPr="00380C48">
              <w:rPr>
                <w:lang w:val="en-US"/>
              </w:rPr>
              <w:t xml:space="preserve">2023: </w:t>
            </w:r>
            <w:r w:rsidR="00770501" w:rsidRPr="00770501">
              <w:rPr>
                <w:color w:val="000000"/>
                <w:spacing w:val="53"/>
                <w:shd w:val="solid" w:color="000000" w:fill="000000"/>
                <w:fitText w:val="330" w:id="-632124924"/>
                <w:lang w:val="en-US"/>
                <w14:textFill>
                  <w14:solidFill>
                    <w14:srgbClr w14:val="000000">
                      <w14:alpha w14:val="100000"/>
                    </w14:srgbClr>
                  </w14:solidFill>
                </w14:textFill>
              </w:rPr>
              <w:t>|||</w:t>
            </w:r>
            <w:r w:rsidR="00770501" w:rsidRPr="00770501">
              <w:rPr>
                <w:color w:val="000000"/>
                <w:spacing w:val="1"/>
                <w:shd w:val="solid" w:color="000000" w:fill="000000"/>
                <w:fitText w:val="330" w:id="-632124924"/>
                <w:lang w:val="en-US"/>
                <w14:textFill>
                  <w14:solidFill>
                    <w14:srgbClr w14:val="000000">
                      <w14:alpha w14:val="100000"/>
                    </w14:srgbClr>
                  </w14:solidFill>
                </w14:textFill>
              </w:rPr>
              <w:t>|</w:t>
            </w:r>
            <w:r w:rsidR="00A40C9C">
              <w:rPr>
                <w:vertAlign w:val="superscript"/>
                <w:lang w:val="en-US"/>
              </w:rPr>
              <w:t>3</w:t>
            </w:r>
            <w:r w:rsidRPr="00380C48">
              <w:rPr>
                <w:lang w:val="en-US"/>
              </w:rPr>
              <w:t xml:space="preserve"> </w:t>
            </w:r>
          </w:p>
          <w:p w14:paraId="2974F923" w14:textId="61E5EE66" w:rsidR="003C2516" w:rsidRPr="00380C48" w:rsidRDefault="003C2516" w:rsidP="003C2516">
            <w:pPr>
              <w:pStyle w:val="TableText0"/>
              <w:rPr>
                <w:lang w:val="en-US"/>
              </w:rPr>
            </w:pPr>
            <w:r w:rsidRPr="00380C48">
              <w:rPr>
                <w:lang w:val="en-US"/>
              </w:rPr>
              <w:t xml:space="preserve">2024: </w:t>
            </w:r>
            <w:r w:rsidR="00770501" w:rsidRPr="00770501">
              <w:rPr>
                <w:color w:val="000000"/>
                <w:spacing w:val="53"/>
                <w:shd w:val="solid" w:color="000000" w:fill="000000"/>
                <w:fitText w:val="330" w:id="-632124923"/>
                <w:lang w:val="en-US"/>
                <w14:textFill>
                  <w14:solidFill>
                    <w14:srgbClr w14:val="000000">
                      <w14:alpha w14:val="100000"/>
                    </w14:srgbClr>
                  </w14:solidFill>
                </w14:textFill>
              </w:rPr>
              <w:t>|||</w:t>
            </w:r>
            <w:r w:rsidR="00770501" w:rsidRPr="00770501">
              <w:rPr>
                <w:color w:val="000000"/>
                <w:spacing w:val="1"/>
                <w:shd w:val="solid" w:color="000000" w:fill="000000"/>
                <w:fitText w:val="330" w:id="-632124923"/>
                <w:lang w:val="en-US"/>
                <w14:textFill>
                  <w14:solidFill>
                    <w14:srgbClr w14:val="000000">
                      <w14:alpha w14:val="100000"/>
                    </w14:srgbClr>
                  </w14:solidFill>
                </w14:textFill>
              </w:rPr>
              <w:t>|</w:t>
            </w:r>
            <w:r w:rsidR="00A40C9C">
              <w:rPr>
                <w:vertAlign w:val="superscript"/>
                <w:lang w:val="en-US"/>
              </w:rPr>
              <w:t>3</w:t>
            </w:r>
          </w:p>
        </w:tc>
        <w:tc>
          <w:tcPr>
            <w:tcW w:w="1258" w:type="pct"/>
          </w:tcPr>
          <w:p w14:paraId="481DEBF4" w14:textId="774C5D7E" w:rsidR="003C2516" w:rsidRPr="00380C48" w:rsidRDefault="003C2516" w:rsidP="003C2516">
            <w:pPr>
              <w:tabs>
                <w:tab w:val="left" w:pos="527"/>
              </w:tabs>
              <w:jc w:val="left"/>
              <w:rPr>
                <w:rFonts w:ascii="Arial Narrow" w:eastAsiaTheme="majorEastAsia" w:hAnsi="Arial Narrow" w:cstheme="majorBidi"/>
                <w:bCs/>
                <w:sz w:val="20"/>
                <w:lang w:val="en-US"/>
              </w:rPr>
            </w:pPr>
            <w:r w:rsidRPr="00380C48">
              <w:rPr>
                <w:rFonts w:ascii="Arial Narrow" w:eastAsiaTheme="majorEastAsia" w:hAnsi="Arial Narrow" w:cstheme="majorBidi"/>
                <w:bCs/>
                <w:sz w:val="20"/>
                <w:lang w:val="en-US"/>
              </w:rPr>
              <w:t>Based on PBS utilisation data for CAL/BDP foam (11091R, 13520N)</w:t>
            </w:r>
          </w:p>
        </w:tc>
        <w:tc>
          <w:tcPr>
            <w:tcW w:w="2094" w:type="pct"/>
          </w:tcPr>
          <w:p w14:paraId="078672CF" w14:textId="7BDFB21E" w:rsidR="003C2516" w:rsidRPr="004C3268" w:rsidRDefault="003C2516" w:rsidP="003C2516">
            <w:pPr>
              <w:pStyle w:val="TableText0"/>
              <w:rPr>
                <w:lang w:val="en-US"/>
              </w:rPr>
            </w:pPr>
            <w:r w:rsidRPr="004C3268">
              <w:rPr>
                <w:lang w:val="en-US"/>
              </w:rPr>
              <w:t>This was appropriate.</w:t>
            </w:r>
          </w:p>
        </w:tc>
      </w:tr>
      <w:tr w:rsidR="00380C48" w:rsidRPr="00380C48" w14:paraId="273D05F4" w14:textId="77777777" w:rsidTr="007B711F">
        <w:tc>
          <w:tcPr>
            <w:tcW w:w="700" w:type="pct"/>
          </w:tcPr>
          <w:p w14:paraId="0152C8AA" w14:textId="305854F1" w:rsidR="003C2516" w:rsidRPr="00380C48" w:rsidRDefault="003C2516" w:rsidP="003C2516">
            <w:pPr>
              <w:pStyle w:val="TableText0"/>
              <w:rPr>
                <w:lang w:val="en-US"/>
              </w:rPr>
            </w:pPr>
            <w:r w:rsidRPr="00380C48">
              <w:t xml:space="preserve">PBS+RPBS units dispensed for CAL/BDP ointment </w:t>
            </w:r>
          </w:p>
        </w:tc>
        <w:tc>
          <w:tcPr>
            <w:tcW w:w="948" w:type="pct"/>
          </w:tcPr>
          <w:p w14:paraId="73CD63D4" w14:textId="5350C354" w:rsidR="003C2516" w:rsidRPr="00380C48" w:rsidRDefault="003C2516" w:rsidP="003C2516">
            <w:pPr>
              <w:pStyle w:val="TableText0"/>
              <w:rPr>
                <w:lang w:val="en-US"/>
              </w:rPr>
            </w:pPr>
            <w:r w:rsidRPr="00380C48">
              <w:rPr>
                <w:lang w:val="en-US"/>
              </w:rPr>
              <w:t xml:space="preserve">2019: </w:t>
            </w:r>
            <w:r w:rsidR="00770501" w:rsidRPr="00770501">
              <w:rPr>
                <w:color w:val="000000"/>
                <w:spacing w:val="53"/>
                <w:shd w:val="solid" w:color="000000" w:fill="000000"/>
                <w:fitText w:val="330" w:id="-632124922"/>
                <w:lang w:val="en-US"/>
                <w14:textFill>
                  <w14:solidFill>
                    <w14:srgbClr w14:val="000000">
                      <w14:alpha w14:val="100000"/>
                    </w14:srgbClr>
                  </w14:solidFill>
                </w14:textFill>
              </w:rPr>
              <w:t>|||</w:t>
            </w:r>
            <w:r w:rsidR="00770501" w:rsidRPr="00770501">
              <w:rPr>
                <w:color w:val="000000"/>
                <w:spacing w:val="1"/>
                <w:shd w:val="solid" w:color="000000" w:fill="000000"/>
                <w:fitText w:val="330" w:id="-632124922"/>
                <w:lang w:val="en-US"/>
                <w14:textFill>
                  <w14:solidFill>
                    <w14:srgbClr w14:val="000000">
                      <w14:alpha w14:val="100000"/>
                    </w14:srgbClr>
                  </w14:solidFill>
                </w14:textFill>
              </w:rPr>
              <w:t>|</w:t>
            </w:r>
            <w:r w:rsidR="007D4D5B">
              <w:rPr>
                <w:vertAlign w:val="superscript"/>
                <w:lang w:val="en-US"/>
              </w:rPr>
              <w:t>4</w:t>
            </w:r>
          </w:p>
          <w:p w14:paraId="297BBB65" w14:textId="3BA97B8E" w:rsidR="003C2516" w:rsidRPr="00380C48" w:rsidRDefault="003C2516" w:rsidP="003C2516">
            <w:pPr>
              <w:pStyle w:val="TableText0"/>
              <w:rPr>
                <w:lang w:val="en-US"/>
              </w:rPr>
            </w:pPr>
            <w:r w:rsidRPr="00380C48">
              <w:rPr>
                <w:lang w:val="en-US"/>
              </w:rPr>
              <w:t xml:space="preserve">2020: </w:t>
            </w:r>
            <w:r w:rsidR="00770501" w:rsidRPr="00770501">
              <w:rPr>
                <w:color w:val="000000"/>
                <w:spacing w:val="53"/>
                <w:shd w:val="solid" w:color="000000" w:fill="000000"/>
                <w:fitText w:val="330" w:id="-632124921"/>
                <w:lang w:val="en-US"/>
                <w14:textFill>
                  <w14:solidFill>
                    <w14:srgbClr w14:val="000000">
                      <w14:alpha w14:val="100000"/>
                    </w14:srgbClr>
                  </w14:solidFill>
                </w14:textFill>
              </w:rPr>
              <w:t>|||</w:t>
            </w:r>
            <w:r w:rsidR="00770501" w:rsidRPr="00770501">
              <w:rPr>
                <w:color w:val="000000"/>
                <w:spacing w:val="1"/>
                <w:shd w:val="solid" w:color="000000" w:fill="000000"/>
                <w:fitText w:val="330" w:id="-632124921"/>
                <w:lang w:val="en-US"/>
                <w14:textFill>
                  <w14:solidFill>
                    <w14:srgbClr w14:val="000000">
                      <w14:alpha w14:val="100000"/>
                    </w14:srgbClr>
                  </w14:solidFill>
                </w14:textFill>
              </w:rPr>
              <w:t>|</w:t>
            </w:r>
            <w:r w:rsidR="007D4D5B">
              <w:rPr>
                <w:vertAlign w:val="superscript"/>
                <w:lang w:val="en-US"/>
              </w:rPr>
              <w:t>4</w:t>
            </w:r>
            <w:r w:rsidRPr="00380C48">
              <w:rPr>
                <w:lang w:val="en-US"/>
              </w:rPr>
              <w:t xml:space="preserve"> </w:t>
            </w:r>
          </w:p>
          <w:p w14:paraId="0AD0E371" w14:textId="565026C9" w:rsidR="003C2516" w:rsidRPr="00380C48" w:rsidRDefault="003C2516" w:rsidP="003C2516">
            <w:pPr>
              <w:pStyle w:val="TableText0"/>
              <w:rPr>
                <w:lang w:val="en-US"/>
              </w:rPr>
            </w:pPr>
            <w:r w:rsidRPr="00380C48">
              <w:rPr>
                <w:lang w:val="en-US"/>
              </w:rPr>
              <w:t xml:space="preserve">2021: </w:t>
            </w:r>
            <w:r w:rsidR="00770501" w:rsidRPr="00770501">
              <w:rPr>
                <w:color w:val="000000"/>
                <w:spacing w:val="53"/>
                <w:shd w:val="solid" w:color="000000" w:fill="000000"/>
                <w:fitText w:val="330" w:id="-632124920"/>
                <w:lang w:val="en-US"/>
                <w14:textFill>
                  <w14:solidFill>
                    <w14:srgbClr w14:val="000000">
                      <w14:alpha w14:val="100000"/>
                    </w14:srgbClr>
                  </w14:solidFill>
                </w14:textFill>
              </w:rPr>
              <w:t>|||</w:t>
            </w:r>
            <w:r w:rsidR="00770501" w:rsidRPr="00770501">
              <w:rPr>
                <w:color w:val="000000"/>
                <w:spacing w:val="1"/>
                <w:shd w:val="solid" w:color="000000" w:fill="000000"/>
                <w:fitText w:val="330" w:id="-632124920"/>
                <w:lang w:val="en-US"/>
                <w14:textFill>
                  <w14:solidFill>
                    <w14:srgbClr w14:val="000000">
                      <w14:alpha w14:val="100000"/>
                    </w14:srgbClr>
                  </w14:solidFill>
                </w14:textFill>
              </w:rPr>
              <w:t>|</w:t>
            </w:r>
            <w:r w:rsidR="007D4D5B">
              <w:rPr>
                <w:vertAlign w:val="superscript"/>
                <w:lang w:val="en-US"/>
              </w:rPr>
              <w:t>2</w:t>
            </w:r>
            <w:r w:rsidRPr="00380C48">
              <w:rPr>
                <w:lang w:val="en-US"/>
              </w:rPr>
              <w:t xml:space="preserve"> </w:t>
            </w:r>
          </w:p>
          <w:p w14:paraId="0AB2200D" w14:textId="46206950" w:rsidR="003C2516" w:rsidRPr="00380C48" w:rsidRDefault="003C2516" w:rsidP="003C2516">
            <w:pPr>
              <w:pStyle w:val="TableText0"/>
              <w:rPr>
                <w:lang w:val="en-US"/>
              </w:rPr>
            </w:pPr>
            <w:r w:rsidRPr="00380C48">
              <w:rPr>
                <w:lang w:val="en-US"/>
              </w:rPr>
              <w:t xml:space="preserve">2022: </w:t>
            </w:r>
            <w:r w:rsidR="00770501" w:rsidRPr="00770501">
              <w:rPr>
                <w:color w:val="000000"/>
                <w:spacing w:val="53"/>
                <w:shd w:val="solid" w:color="000000" w:fill="000000"/>
                <w:fitText w:val="330" w:id="-632124919"/>
                <w:lang w:val="en-US"/>
                <w14:textFill>
                  <w14:solidFill>
                    <w14:srgbClr w14:val="000000">
                      <w14:alpha w14:val="100000"/>
                    </w14:srgbClr>
                  </w14:solidFill>
                </w14:textFill>
              </w:rPr>
              <w:t>|||</w:t>
            </w:r>
            <w:r w:rsidR="00770501" w:rsidRPr="00770501">
              <w:rPr>
                <w:color w:val="000000"/>
                <w:spacing w:val="1"/>
                <w:shd w:val="solid" w:color="000000" w:fill="000000"/>
                <w:fitText w:val="330" w:id="-632124919"/>
                <w:lang w:val="en-US"/>
                <w14:textFill>
                  <w14:solidFill>
                    <w14:srgbClr w14:val="000000">
                      <w14:alpha w14:val="100000"/>
                    </w14:srgbClr>
                  </w14:solidFill>
                </w14:textFill>
              </w:rPr>
              <w:t>|</w:t>
            </w:r>
            <w:r w:rsidR="007D4D5B">
              <w:rPr>
                <w:vertAlign w:val="superscript"/>
                <w:lang w:val="en-US"/>
              </w:rPr>
              <w:t>2</w:t>
            </w:r>
            <w:r w:rsidRPr="00380C48">
              <w:rPr>
                <w:lang w:val="en-US"/>
              </w:rPr>
              <w:t xml:space="preserve"> </w:t>
            </w:r>
          </w:p>
          <w:p w14:paraId="6E843676" w14:textId="096F20F8" w:rsidR="003C2516" w:rsidRPr="00380C48" w:rsidRDefault="003C2516" w:rsidP="003C2516">
            <w:pPr>
              <w:pStyle w:val="TableText0"/>
              <w:rPr>
                <w:lang w:val="en-US"/>
              </w:rPr>
            </w:pPr>
            <w:r w:rsidRPr="00380C48">
              <w:rPr>
                <w:lang w:val="en-US"/>
              </w:rPr>
              <w:t xml:space="preserve">2023: </w:t>
            </w:r>
            <w:r w:rsidR="00770501" w:rsidRPr="00770501">
              <w:rPr>
                <w:color w:val="000000"/>
                <w:spacing w:val="53"/>
                <w:shd w:val="solid" w:color="000000" w:fill="000000"/>
                <w:fitText w:val="330" w:id="-632124918"/>
                <w:lang w:val="en-US"/>
                <w14:textFill>
                  <w14:solidFill>
                    <w14:srgbClr w14:val="000000">
                      <w14:alpha w14:val="100000"/>
                    </w14:srgbClr>
                  </w14:solidFill>
                </w14:textFill>
              </w:rPr>
              <w:t>|||</w:t>
            </w:r>
            <w:r w:rsidR="00770501" w:rsidRPr="00770501">
              <w:rPr>
                <w:color w:val="000000"/>
                <w:spacing w:val="1"/>
                <w:shd w:val="solid" w:color="000000" w:fill="000000"/>
                <w:fitText w:val="330" w:id="-632124918"/>
                <w:lang w:val="en-US"/>
                <w14:textFill>
                  <w14:solidFill>
                    <w14:srgbClr w14:val="000000">
                      <w14:alpha w14:val="100000"/>
                    </w14:srgbClr>
                  </w14:solidFill>
                </w14:textFill>
              </w:rPr>
              <w:t>|</w:t>
            </w:r>
            <w:r w:rsidR="007D4D5B">
              <w:rPr>
                <w:vertAlign w:val="superscript"/>
                <w:lang w:val="en-US"/>
              </w:rPr>
              <w:t>3</w:t>
            </w:r>
          </w:p>
          <w:p w14:paraId="5FE8DC6D" w14:textId="6D116428" w:rsidR="003C2516" w:rsidRPr="00380C48" w:rsidRDefault="003C2516" w:rsidP="003C2516">
            <w:pPr>
              <w:pStyle w:val="TableText0"/>
              <w:rPr>
                <w:lang w:val="en-US"/>
              </w:rPr>
            </w:pPr>
            <w:r w:rsidRPr="00380C48">
              <w:rPr>
                <w:lang w:val="en-US"/>
              </w:rPr>
              <w:t xml:space="preserve">2024: </w:t>
            </w:r>
            <w:r w:rsidR="00770501" w:rsidRPr="00770501">
              <w:rPr>
                <w:color w:val="000000"/>
                <w:spacing w:val="53"/>
                <w:shd w:val="solid" w:color="000000" w:fill="000000"/>
                <w:fitText w:val="330" w:id="-632124917"/>
                <w:lang w:val="en-US"/>
                <w14:textFill>
                  <w14:solidFill>
                    <w14:srgbClr w14:val="000000">
                      <w14:alpha w14:val="100000"/>
                    </w14:srgbClr>
                  </w14:solidFill>
                </w14:textFill>
              </w:rPr>
              <w:t>|||</w:t>
            </w:r>
            <w:r w:rsidR="00770501" w:rsidRPr="00770501">
              <w:rPr>
                <w:color w:val="000000"/>
                <w:spacing w:val="1"/>
                <w:shd w:val="solid" w:color="000000" w:fill="000000"/>
                <w:fitText w:val="330" w:id="-632124917"/>
                <w:lang w:val="en-US"/>
                <w14:textFill>
                  <w14:solidFill>
                    <w14:srgbClr w14:val="000000">
                      <w14:alpha w14:val="100000"/>
                    </w14:srgbClr>
                  </w14:solidFill>
                </w14:textFill>
              </w:rPr>
              <w:t>|</w:t>
            </w:r>
            <w:r w:rsidR="007D4D5B">
              <w:rPr>
                <w:vertAlign w:val="superscript"/>
                <w:lang w:val="en-US"/>
              </w:rPr>
              <w:t>3</w:t>
            </w:r>
          </w:p>
        </w:tc>
        <w:tc>
          <w:tcPr>
            <w:tcW w:w="1258" w:type="pct"/>
          </w:tcPr>
          <w:p w14:paraId="5F63477B" w14:textId="4FC120B5" w:rsidR="003C2516" w:rsidRPr="00380C48" w:rsidRDefault="003C2516" w:rsidP="003C2516">
            <w:pPr>
              <w:pStyle w:val="TableText0"/>
              <w:rPr>
                <w:i/>
                <w:lang w:val="en-US"/>
              </w:rPr>
            </w:pPr>
            <w:r w:rsidRPr="00380C48">
              <w:t>Based on PBS utilisation data for CAL/BDP ointment (9494Q, 13577N)</w:t>
            </w:r>
          </w:p>
        </w:tc>
        <w:tc>
          <w:tcPr>
            <w:tcW w:w="2094" w:type="pct"/>
          </w:tcPr>
          <w:p w14:paraId="035D240F" w14:textId="3F10AAAD" w:rsidR="003C2516" w:rsidRPr="004C3268" w:rsidRDefault="003C2516" w:rsidP="003C2516">
            <w:pPr>
              <w:pStyle w:val="TableText0"/>
              <w:rPr>
                <w:lang w:val="en-US"/>
              </w:rPr>
            </w:pPr>
            <w:r w:rsidRPr="004C3268">
              <w:t>This was appropriate.</w:t>
            </w:r>
          </w:p>
        </w:tc>
      </w:tr>
      <w:tr w:rsidR="00596632" w:rsidRPr="00380C48" w14:paraId="549BCF77" w14:textId="77777777" w:rsidTr="007B711F">
        <w:tc>
          <w:tcPr>
            <w:tcW w:w="700" w:type="pct"/>
          </w:tcPr>
          <w:p w14:paraId="14EEFCBC" w14:textId="2A47DC02" w:rsidR="00596632" w:rsidRPr="00380C48" w:rsidRDefault="00596632" w:rsidP="009F0E7F">
            <w:pPr>
              <w:pStyle w:val="TableText0"/>
            </w:pPr>
            <w:r>
              <w:t>Annual growth</w:t>
            </w:r>
            <w:r w:rsidRPr="003A1FC1">
              <w:t xml:space="preserve"> </w:t>
            </w:r>
          </w:p>
        </w:tc>
        <w:tc>
          <w:tcPr>
            <w:tcW w:w="948" w:type="pct"/>
          </w:tcPr>
          <w:p w14:paraId="21CFFD96" w14:textId="77777777" w:rsidR="00596632" w:rsidRPr="003205ED" w:rsidRDefault="00596632" w:rsidP="00596632">
            <w:pPr>
              <w:pStyle w:val="TableText0"/>
            </w:pPr>
            <w:r w:rsidRPr="003205ED">
              <w:t>CAL/BDP foam: 11.36%</w:t>
            </w:r>
          </w:p>
          <w:p w14:paraId="2F626F12" w14:textId="43403A8F" w:rsidR="00596632" w:rsidRPr="003205ED" w:rsidRDefault="00596632" w:rsidP="00596632">
            <w:pPr>
              <w:pStyle w:val="TableText0"/>
            </w:pPr>
            <w:r w:rsidRPr="003205ED">
              <w:t>CAL/BDP ointment: 5.91%</w:t>
            </w:r>
          </w:p>
        </w:tc>
        <w:tc>
          <w:tcPr>
            <w:tcW w:w="1258" w:type="pct"/>
          </w:tcPr>
          <w:p w14:paraId="6E4BD6E9" w14:textId="47357262" w:rsidR="00596632" w:rsidRPr="003205ED" w:rsidRDefault="00596632" w:rsidP="00596632">
            <w:pPr>
              <w:pStyle w:val="TableText0"/>
            </w:pPr>
            <w:r w:rsidRPr="003205ED">
              <w:t>Based on the 5-year linear trendlines of units of CAL/BDP foam and ointment dispensed in year</w:t>
            </w:r>
            <w:r w:rsidR="009D51B4" w:rsidRPr="003205ED">
              <w:t>s</w:t>
            </w:r>
            <w:r w:rsidRPr="003205ED">
              <w:t xml:space="preserve"> 2019-2024</w:t>
            </w:r>
          </w:p>
        </w:tc>
        <w:tc>
          <w:tcPr>
            <w:tcW w:w="2094" w:type="pct"/>
          </w:tcPr>
          <w:p w14:paraId="6E808C85" w14:textId="687A978B" w:rsidR="00596632" w:rsidRPr="003205ED" w:rsidRDefault="00596632" w:rsidP="00596632">
            <w:pPr>
              <w:pStyle w:val="TableText0"/>
            </w:pPr>
            <w:r w:rsidRPr="008510D0">
              <w:t>The approach was reasonable; however, the annual growth calculated during the evaluation, using the 5-year linear trendlines equation presented in the submission, were 11.75% for CAL/BDP foam and 7.23% for CAL/BDP ointment.</w:t>
            </w:r>
            <w:r w:rsidR="00E429CA" w:rsidRPr="008510D0">
              <w:t xml:space="preserve"> Based on the revised Budget Impact Model provided by the sponsor, the annual growth rates were revised to 12.62% and 7.21%.</w:t>
            </w:r>
          </w:p>
        </w:tc>
      </w:tr>
      <w:tr w:rsidR="00596632" w:rsidRPr="00380C48" w14:paraId="72C9FBDD" w14:textId="77777777" w:rsidTr="007B711F">
        <w:tc>
          <w:tcPr>
            <w:tcW w:w="700" w:type="pct"/>
          </w:tcPr>
          <w:p w14:paraId="2FBBDC67" w14:textId="72AE8D19" w:rsidR="00596632" w:rsidRPr="00380C48" w:rsidRDefault="00596632" w:rsidP="00596632">
            <w:pPr>
              <w:pStyle w:val="TableText0"/>
              <w:rPr>
                <w:lang w:val="en-US"/>
              </w:rPr>
            </w:pPr>
            <w:r w:rsidRPr="00380C48">
              <w:t>Market share</w:t>
            </w:r>
          </w:p>
        </w:tc>
        <w:tc>
          <w:tcPr>
            <w:tcW w:w="948" w:type="pct"/>
          </w:tcPr>
          <w:p w14:paraId="550316FC" w14:textId="30B4E7B7" w:rsidR="00596632" w:rsidRPr="00380C48" w:rsidRDefault="00770501" w:rsidP="00596632">
            <w:pPr>
              <w:pStyle w:val="TableText0"/>
              <w:rPr>
                <w:lang w:val="en-US"/>
              </w:rPr>
            </w:pPr>
            <w:r w:rsidRPr="00770501">
              <w:rPr>
                <w:color w:val="000000"/>
                <w:spacing w:val="53"/>
                <w:shd w:val="solid" w:color="000000" w:fill="000000"/>
                <w:fitText w:val="330" w:id="-632124916"/>
                <w14:textFill>
                  <w14:solidFill>
                    <w14:srgbClr w14:val="000000">
                      <w14:alpha w14:val="100000"/>
                    </w14:srgbClr>
                  </w14:solidFill>
                </w14:textFill>
              </w:rPr>
              <w:t>|||</w:t>
            </w:r>
            <w:r w:rsidRPr="00770501">
              <w:rPr>
                <w:color w:val="000000"/>
                <w:spacing w:val="1"/>
                <w:shd w:val="solid" w:color="000000" w:fill="000000"/>
                <w:fitText w:val="330" w:id="-632124916"/>
                <w14:textFill>
                  <w14:solidFill>
                    <w14:srgbClr w14:val="000000">
                      <w14:alpha w14:val="100000"/>
                    </w14:srgbClr>
                  </w14:solidFill>
                </w14:textFill>
              </w:rPr>
              <w:t>|</w:t>
            </w:r>
            <w:r w:rsidR="00596632" w:rsidRPr="00380C48">
              <w:t xml:space="preserve">% of the CAL/BDP foam and ointment each in Year 1, increasing </w:t>
            </w:r>
            <w:r w:rsidR="00596632" w:rsidRPr="008F5877">
              <w:t xml:space="preserve">to </w:t>
            </w:r>
            <w:r w:rsidRPr="00770501">
              <w:rPr>
                <w:color w:val="000000"/>
                <w:spacing w:val="53"/>
                <w:shd w:val="solid" w:color="000000" w:fill="000000"/>
                <w:fitText w:val="330" w:id="-632124915"/>
                <w14:textFill>
                  <w14:solidFill>
                    <w14:srgbClr w14:val="000000">
                      <w14:alpha w14:val="100000"/>
                    </w14:srgbClr>
                  </w14:solidFill>
                </w14:textFill>
              </w:rPr>
              <w:t>|||</w:t>
            </w:r>
            <w:r w:rsidRPr="00770501">
              <w:rPr>
                <w:color w:val="000000"/>
                <w:spacing w:val="1"/>
                <w:shd w:val="solid" w:color="000000" w:fill="000000"/>
                <w:fitText w:val="330" w:id="-632124915"/>
                <w14:textFill>
                  <w14:solidFill>
                    <w14:srgbClr w14:val="000000">
                      <w14:alpha w14:val="100000"/>
                    </w14:srgbClr>
                  </w14:solidFill>
                </w14:textFill>
              </w:rPr>
              <w:t>|</w:t>
            </w:r>
            <w:r w:rsidR="00596632" w:rsidRPr="008F5877">
              <w:t>% by Year 4.</w:t>
            </w:r>
          </w:p>
        </w:tc>
        <w:tc>
          <w:tcPr>
            <w:tcW w:w="1258" w:type="pct"/>
          </w:tcPr>
          <w:p w14:paraId="448BA1D7" w14:textId="4431D73D" w:rsidR="00596632" w:rsidRPr="00380C48" w:rsidRDefault="00596632" w:rsidP="00596632">
            <w:pPr>
              <w:pStyle w:val="TableText0"/>
              <w:rPr>
                <w:i/>
                <w:lang w:val="en-US"/>
              </w:rPr>
            </w:pPr>
            <w:r w:rsidRPr="00380C48">
              <w:t xml:space="preserve">Based on the </w:t>
            </w:r>
            <w:r w:rsidR="009D51B4">
              <w:t>s</w:t>
            </w:r>
            <w:r w:rsidRPr="00380C48">
              <w:t>ponsor’s assumption using internal forecast and international market share data</w:t>
            </w:r>
          </w:p>
        </w:tc>
        <w:tc>
          <w:tcPr>
            <w:tcW w:w="2094" w:type="pct"/>
          </w:tcPr>
          <w:p w14:paraId="7295AAE5" w14:textId="211680B6" w:rsidR="00596632" w:rsidRPr="004C3268" w:rsidRDefault="00596632" w:rsidP="00596632">
            <w:pPr>
              <w:pStyle w:val="TableText0"/>
              <w:rPr>
                <w:lang w:val="en-US"/>
              </w:rPr>
            </w:pPr>
            <w:r w:rsidRPr="004C3268">
              <w:t xml:space="preserve">This was uncertain </w:t>
            </w:r>
            <w:r w:rsidR="00376F2D" w:rsidRPr="004C3268">
              <w:t xml:space="preserve">as the uptake of CAL/BDP cream could be influenced by various factors such as patient preferences, clinician recommendation, product availability, and the site and size of psoriasis. Furthermore, the uptake rates </w:t>
            </w:r>
            <w:r w:rsidRPr="004C3268">
              <w:t xml:space="preserve">differed from the </w:t>
            </w:r>
            <w:r w:rsidR="00D06DCD" w:rsidRPr="004C3268">
              <w:t>IMS data provided by the submission.</w:t>
            </w:r>
            <w:r w:rsidRPr="004C3268">
              <w:t xml:space="preserve"> </w:t>
            </w:r>
          </w:p>
        </w:tc>
      </w:tr>
      <w:tr w:rsidR="00596632" w:rsidRPr="00380C48" w14:paraId="512A8938" w14:textId="77777777" w:rsidTr="007B711F">
        <w:tc>
          <w:tcPr>
            <w:tcW w:w="700" w:type="pct"/>
          </w:tcPr>
          <w:p w14:paraId="6E8AD75C" w14:textId="77777777" w:rsidR="00596632" w:rsidRPr="00380C48" w:rsidRDefault="00596632" w:rsidP="00596632">
            <w:pPr>
              <w:pStyle w:val="TableText0"/>
            </w:pPr>
            <w:r w:rsidRPr="00380C48">
              <w:t>CAL/BDP</w:t>
            </w:r>
          </w:p>
          <w:p w14:paraId="1F4C70A3" w14:textId="5F74E2F9" w:rsidR="00596632" w:rsidRPr="00380C48" w:rsidRDefault="00596632" w:rsidP="00596632">
            <w:pPr>
              <w:pStyle w:val="TableText0"/>
              <w:rPr>
                <w:lang w:val="en-US"/>
              </w:rPr>
            </w:pPr>
            <w:r w:rsidRPr="00380C48">
              <w:t>cream 60 g</w:t>
            </w:r>
          </w:p>
        </w:tc>
        <w:tc>
          <w:tcPr>
            <w:tcW w:w="948" w:type="pct"/>
          </w:tcPr>
          <w:p w14:paraId="3DCA8386" w14:textId="77777777" w:rsidR="00596632" w:rsidRPr="008510D0" w:rsidRDefault="00596632" w:rsidP="00596632">
            <w:pPr>
              <w:pStyle w:val="TableText0"/>
            </w:pPr>
            <w:r w:rsidRPr="008510D0">
              <w:t>AEMP: $57.43</w:t>
            </w:r>
          </w:p>
          <w:p w14:paraId="572FE7B1" w14:textId="1D248825" w:rsidR="00596632" w:rsidRPr="008510D0" w:rsidRDefault="00596632" w:rsidP="00596632">
            <w:pPr>
              <w:pStyle w:val="TableText0"/>
            </w:pPr>
            <w:r w:rsidRPr="008510D0">
              <w:t>DPMQ:</w:t>
            </w:r>
          </w:p>
          <w:p w14:paraId="63D854BB" w14:textId="77777777" w:rsidR="00596632" w:rsidRPr="008510D0" w:rsidRDefault="00596632" w:rsidP="00596632">
            <w:pPr>
              <w:pStyle w:val="TableText0"/>
            </w:pPr>
            <w:r w:rsidRPr="008510D0">
              <w:t>$75.21 (max qty=1)</w:t>
            </w:r>
          </w:p>
          <w:p w14:paraId="5289CDB1" w14:textId="7D376531" w:rsidR="00596632" w:rsidRPr="008510D0" w:rsidRDefault="00596632" w:rsidP="00596632">
            <w:pPr>
              <w:pStyle w:val="TableText0"/>
              <w:rPr>
                <w:lang w:val="en-US"/>
              </w:rPr>
            </w:pPr>
            <w:r w:rsidRPr="008510D0">
              <w:t>$138.13 (max qty=2)</w:t>
            </w:r>
          </w:p>
        </w:tc>
        <w:tc>
          <w:tcPr>
            <w:tcW w:w="1258" w:type="pct"/>
          </w:tcPr>
          <w:p w14:paraId="340D0F23" w14:textId="61C76452" w:rsidR="00596632" w:rsidRPr="008510D0" w:rsidRDefault="00596632" w:rsidP="00596632">
            <w:pPr>
              <w:pStyle w:val="TableText0"/>
              <w:rPr>
                <w:i/>
                <w:lang w:val="en-US"/>
              </w:rPr>
            </w:pPr>
            <w:r w:rsidRPr="008510D0">
              <w:t>Cost-minimised price as presented in economic analysis</w:t>
            </w:r>
          </w:p>
        </w:tc>
        <w:tc>
          <w:tcPr>
            <w:tcW w:w="2094" w:type="pct"/>
          </w:tcPr>
          <w:p w14:paraId="0BA4ED26" w14:textId="54E5DFAC" w:rsidR="00596632" w:rsidRPr="008510D0" w:rsidRDefault="00596632" w:rsidP="00596632">
            <w:pPr>
              <w:pStyle w:val="TableText0"/>
              <w:rPr>
                <w:lang w:val="en-US"/>
              </w:rPr>
            </w:pPr>
            <w:r w:rsidRPr="008510D0">
              <w:t xml:space="preserve">This was proposed by the </w:t>
            </w:r>
            <w:r w:rsidR="009D51B4" w:rsidRPr="008510D0">
              <w:t>s</w:t>
            </w:r>
            <w:r w:rsidRPr="008510D0">
              <w:t>ponsor based on a CMA using 50/50 split between CAL/BDP foam and ointment on a gram-to-gram basis.</w:t>
            </w:r>
          </w:p>
        </w:tc>
      </w:tr>
      <w:tr w:rsidR="00596632" w:rsidRPr="00380C48" w14:paraId="18F4FF1F" w14:textId="77777777" w:rsidTr="007B711F">
        <w:tc>
          <w:tcPr>
            <w:tcW w:w="700" w:type="pct"/>
          </w:tcPr>
          <w:p w14:paraId="4EBBF4C6" w14:textId="77777777" w:rsidR="00596632" w:rsidRPr="00380C48" w:rsidRDefault="00596632" w:rsidP="00596632">
            <w:pPr>
              <w:pStyle w:val="TableText0"/>
            </w:pPr>
            <w:r w:rsidRPr="00380C48">
              <w:t>CAL/BDP</w:t>
            </w:r>
          </w:p>
          <w:p w14:paraId="09A388E2" w14:textId="6B5ACD77" w:rsidR="00596632" w:rsidRPr="00380C48" w:rsidRDefault="00596632" w:rsidP="00596632">
            <w:pPr>
              <w:pStyle w:val="TableText0"/>
              <w:rPr>
                <w:lang w:val="en-US"/>
              </w:rPr>
            </w:pPr>
            <w:r w:rsidRPr="00380C48">
              <w:t>foam 60</w:t>
            </w:r>
            <w:r w:rsidR="00F54E4D">
              <w:t> </w:t>
            </w:r>
            <w:r w:rsidRPr="00380C48">
              <w:t>g</w:t>
            </w:r>
          </w:p>
        </w:tc>
        <w:tc>
          <w:tcPr>
            <w:tcW w:w="948" w:type="pct"/>
          </w:tcPr>
          <w:p w14:paraId="7BA7D33F" w14:textId="77777777" w:rsidR="00596632" w:rsidRPr="00380C48" w:rsidRDefault="00596632" w:rsidP="00596632">
            <w:pPr>
              <w:pStyle w:val="TableText0"/>
            </w:pPr>
            <w:r w:rsidRPr="00380C48">
              <w:t>Published DPMQ: $85.70 (max qty=1)</w:t>
            </w:r>
          </w:p>
          <w:p w14:paraId="61C6F202" w14:textId="706002BB" w:rsidR="00596632" w:rsidRPr="00380C48" w:rsidRDefault="00596632" w:rsidP="00596632">
            <w:pPr>
              <w:pStyle w:val="TableText0"/>
              <w:rPr>
                <w:lang w:val="en-US"/>
              </w:rPr>
            </w:pPr>
            <w:r w:rsidRPr="00380C48">
              <w:t>$160.17 (max qty=2)</w:t>
            </w:r>
          </w:p>
        </w:tc>
        <w:tc>
          <w:tcPr>
            <w:tcW w:w="1258" w:type="pct"/>
          </w:tcPr>
          <w:p w14:paraId="2E55C109" w14:textId="77777777" w:rsidR="00596632" w:rsidRPr="00380C48" w:rsidRDefault="00596632" w:rsidP="00596632">
            <w:pPr>
              <w:pStyle w:val="TableText0"/>
              <w:keepNext w:val="0"/>
            </w:pPr>
            <w:r w:rsidRPr="00380C48">
              <w:t>PBS item:</w:t>
            </w:r>
          </w:p>
          <w:p w14:paraId="2ADB4EE9" w14:textId="77777777" w:rsidR="00596632" w:rsidRPr="00380C48" w:rsidRDefault="00596632" w:rsidP="00596632">
            <w:pPr>
              <w:pStyle w:val="TableText0"/>
            </w:pPr>
            <w:r w:rsidRPr="00380C48">
              <w:t>11091R</w:t>
            </w:r>
          </w:p>
          <w:p w14:paraId="4FE402EF" w14:textId="3A6F15EA" w:rsidR="00596632" w:rsidRPr="00380C48" w:rsidRDefault="00596632" w:rsidP="00596632">
            <w:pPr>
              <w:pStyle w:val="TableText0"/>
              <w:rPr>
                <w:i/>
                <w:lang w:val="en-US"/>
              </w:rPr>
            </w:pPr>
            <w:r w:rsidRPr="00380C48">
              <w:t>13520N</w:t>
            </w:r>
          </w:p>
        </w:tc>
        <w:tc>
          <w:tcPr>
            <w:tcW w:w="2094" w:type="pct"/>
          </w:tcPr>
          <w:p w14:paraId="283F2180" w14:textId="52A8809B" w:rsidR="00596632" w:rsidRPr="004C3268" w:rsidRDefault="00596632" w:rsidP="00596632">
            <w:pPr>
              <w:pStyle w:val="TableText0"/>
              <w:rPr>
                <w:lang w:val="en-US"/>
              </w:rPr>
            </w:pPr>
            <w:r w:rsidRPr="004C3268">
              <w:t>This was appropriate.</w:t>
            </w:r>
          </w:p>
        </w:tc>
      </w:tr>
      <w:tr w:rsidR="00596632" w:rsidRPr="00380C48" w14:paraId="0C865763" w14:textId="77777777" w:rsidTr="007B711F">
        <w:tc>
          <w:tcPr>
            <w:tcW w:w="700" w:type="pct"/>
          </w:tcPr>
          <w:p w14:paraId="49D0440C" w14:textId="375B54C5" w:rsidR="00596632" w:rsidRPr="00380C48" w:rsidRDefault="00596632" w:rsidP="00596632">
            <w:pPr>
              <w:pStyle w:val="TableText0"/>
              <w:rPr>
                <w:lang w:val="en-US"/>
              </w:rPr>
            </w:pPr>
            <w:r w:rsidRPr="00380C48">
              <w:t>CAL/BDP ointment 30</w:t>
            </w:r>
            <w:r w:rsidR="00F54E4D">
              <w:t> </w:t>
            </w:r>
            <w:r w:rsidRPr="00380C48">
              <w:t>g</w:t>
            </w:r>
          </w:p>
        </w:tc>
        <w:tc>
          <w:tcPr>
            <w:tcW w:w="948" w:type="pct"/>
          </w:tcPr>
          <w:p w14:paraId="220E83A8" w14:textId="77777777" w:rsidR="00596632" w:rsidRPr="00380C48" w:rsidRDefault="00596632" w:rsidP="00596632">
            <w:pPr>
              <w:pStyle w:val="TableText0"/>
            </w:pPr>
            <w:r w:rsidRPr="00380C48">
              <w:t>Published DPMQ: $39.08 (max qty=1)</w:t>
            </w:r>
          </w:p>
          <w:p w14:paraId="55CF5673" w14:textId="21DD806D" w:rsidR="00596632" w:rsidRPr="00380C48" w:rsidRDefault="00596632" w:rsidP="00596632">
            <w:pPr>
              <w:pStyle w:val="TableText0"/>
              <w:rPr>
                <w:lang w:val="en-US"/>
              </w:rPr>
            </w:pPr>
            <w:r w:rsidRPr="00380C48">
              <w:t>$64.71 (max qty=2)</w:t>
            </w:r>
          </w:p>
        </w:tc>
        <w:tc>
          <w:tcPr>
            <w:tcW w:w="1258" w:type="pct"/>
          </w:tcPr>
          <w:p w14:paraId="49949882" w14:textId="77777777" w:rsidR="00596632" w:rsidRPr="00380C48" w:rsidRDefault="00596632" w:rsidP="00596632">
            <w:pPr>
              <w:pStyle w:val="TableText0"/>
            </w:pPr>
            <w:r w:rsidRPr="00380C48">
              <w:t>PBS item:</w:t>
            </w:r>
          </w:p>
          <w:p w14:paraId="64AB94EE" w14:textId="77777777" w:rsidR="00596632" w:rsidRPr="00380C48" w:rsidRDefault="00596632" w:rsidP="00596632">
            <w:pPr>
              <w:pStyle w:val="TableText0"/>
            </w:pPr>
            <w:r w:rsidRPr="00380C48">
              <w:t>9494Q</w:t>
            </w:r>
          </w:p>
          <w:p w14:paraId="45138276" w14:textId="257D6945" w:rsidR="00596632" w:rsidRPr="00380C48" w:rsidRDefault="00596632" w:rsidP="00596632">
            <w:pPr>
              <w:pStyle w:val="TableText0"/>
              <w:rPr>
                <w:i/>
                <w:lang w:val="en-US"/>
              </w:rPr>
            </w:pPr>
            <w:r w:rsidRPr="00380C48">
              <w:t>13577N</w:t>
            </w:r>
          </w:p>
        </w:tc>
        <w:tc>
          <w:tcPr>
            <w:tcW w:w="2094" w:type="pct"/>
          </w:tcPr>
          <w:p w14:paraId="0E346EAB" w14:textId="573C4ABD" w:rsidR="00596632" w:rsidRPr="004C3268" w:rsidRDefault="00596632" w:rsidP="00596632">
            <w:pPr>
              <w:pStyle w:val="TableText0"/>
              <w:rPr>
                <w:lang w:val="en-US"/>
              </w:rPr>
            </w:pPr>
            <w:r w:rsidRPr="004C3268">
              <w:t>This was appropriate.</w:t>
            </w:r>
          </w:p>
        </w:tc>
      </w:tr>
    </w:tbl>
    <w:p w14:paraId="44F6D5CB" w14:textId="77777777" w:rsidR="003C2516" w:rsidRPr="00380C48" w:rsidRDefault="003C2516" w:rsidP="003C2516">
      <w:pPr>
        <w:rPr>
          <w:rFonts w:ascii="Arial Narrow" w:hAnsi="Arial Narrow"/>
          <w:snapToGrid w:val="0"/>
          <w:sz w:val="18"/>
          <w:szCs w:val="22"/>
        </w:rPr>
      </w:pPr>
      <w:r w:rsidRPr="00380C48">
        <w:rPr>
          <w:rFonts w:ascii="Arial Narrow" w:hAnsi="Arial Narrow"/>
          <w:snapToGrid w:val="0"/>
          <w:sz w:val="18"/>
          <w:szCs w:val="22"/>
        </w:rPr>
        <w:t xml:space="preserve">Source: Table 4-2, pp141-142; Table 4-3, p142; Table 4-6, p143; Table 4-9, p145; Section 4.2, pp141-143 of the submission. </w:t>
      </w:r>
    </w:p>
    <w:p w14:paraId="4C74B1E6" w14:textId="78CC3B35" w:rsidR="003C2516" w:rsidRDefault="00380C48" w:rsidP="003C2516">
      <w:pPr>
        <w:rPr>
          <w:rFonts w:ascii="Arial Narrow" w:hAnsi="Arial Narrow"/>
          <w:snapToGrid w:val="0"/>
          <w:sz w:val="18"/>
          <w:szCs w:val="22"/>
        </w:rPr>
      </w:pPr>
      <w:r w:rsidRPr="00380C48">
        <w:rPr>
          <w:rFonts w:ascii="Arial Narrow" w:hAnsi="Arial Narrow"/>
          <w:snapToGrid w:val="0"/>
          <w:sz w:val="18"/>
          <w:szCs w:val="22"/>
        </w:rPr>
        <w:t xml:space="preserve">AEMP = approved ex-manufacturer price; </w:t>
      </w:r>
      <w:r w:rsidR="003C2516" w:rsidRPr="00380C48">
        <w:rPr>
          <w:rFonts w:ascii="Arial Narrow" w:hAnsi="Arial Narrow"/>
          <w:snapToGrid w:val="0"/>
          <w:sz w:val="18"/>
          <w:szCs w:val="22"/>
        </w:rPr>
        <w:t xml:space="preserve">CAL/BDP = </w:t>
      </w:r>
      <w:r w:rsidR="001C4E34" w:rsidRPr="00380C48">
        <w:rPr>
          <w:rFonts w:ascii="Arial Narrow" w:hAnsi="Arial Narrow"/>
          <w:snapToGrid w:val="0"/>
          <w:sz w:val="18"/>
          <w:szCs w:val="22"/>
        </w:rPr>
        <w:t>calcipotri</w:t>
      </w:r>
      <w:r w:rsidR="001C4E34">
        <w:rPr>
          <w:rFonts w:ascii="Arial Narrow" w:hAnsi="Arial Narrow"/>
          <w:snapToGrid w:val="0"/>
          <w:sz w:val="18"/>
          <w:szCs w:val="22"/>
        </w:rPr>
        <w:t>ol</w:t>
      </w:r>
      <w:r w:rsidR="001C4E34" w:rsidRPr="00380C48">
        <w:rPr>
          <w:rFonts w:ascii="Arial Narrow" w:hAnsi="Arial Narrow"/>
          <w:snapToGrid w:val="0"/>
          <w:sz w:val="18"/>
          <w:szCs w:val="22"/>
        </w:rPr>
        <w:t xml:space="preserve"> </w:t>
      </w:r>
      <w:r w:rsidR="00AA2DC1">
        <w:rPr>
          <w:rFonts w:ascii="Arial Narrow" w:hAnsi="Arial Narrow"/>
          <w:snapToGrid w:val="0"/>
          <w:sz w:val="18"/>
          <w:szCs w:val="22"/>
        </w:rPr>
        <w:t>with</w:t>
      </w:r>
      <w:r w:rsidR="003C2516" w:rsidRPr="00380C48">
        <w:rPr>
          <w:rFonts w:ascii="Arial Narrow" w:hAnsi="Arial Narrow"/>
          <w:snapToGrid w:val="0"/>
          <w:sz w:val="18"/>
          <w:szCs w:val="22"/>
        </w:rPr>
        <w:t xml:space="preserve"> betamethasone dipropionate; CMA = cost-minimisation analysis; DPMQ = Dispensed Price for Maximum Quantity; </w:t>
      </w:r>
      <w:r w:rsidR="009D51B4">
        <w:rPr>
          <w:rFonts w:ascii="Arial Narrow" w:hAnsi="Arial Narrow"/>
          <w:snapToGrid w:val="0"/>
          <w:sz w:val="18"/>
          <w:szCs w:val="22"/>
        </w:rPr>
        <w:t xml:space="preserve">g =gram; </w:t>
      </w:r>
      <w:r w:rsidR="003C2516" w:rsidRPr="00380C48">
        <w:rPr>
          <w:rFonts w:ascii="Arial Narrow" w:hAnsi="Arial Narrow"/>
          <w:snapToGrid w:val="0"/>
          <w:sz w:val="18"/>
          <w:szCs w:val="22"/>
        </w:rPr>
        <w:t>max qty = maximum quantity; PBS = Pharmaceutical Benefits Scheme; RPBS</w:t>
      </w:r>
      <w:r w:rsidR="00687859">
        <w:rPr>
          <w:rFonts w:ascii="Arial Narrow" w:hAnsi="Arial Narrow"/>
          <w:snapToGrid w:val="0"/>
          <w:sz w:val="18"/>
          <w:szCs w:val="22"/>
        </w:rPr>
        <w:t> </w:t>
      </w:r>
      <w:r w:rsidR="003C2516" w:rsidRPr="00380C48">
        <w:rPr>
          <w:rFonts w:ascii="Arial Narrow" w:hAnsi="Arial Narrow"/>
          <w:snapToGrid w:val="0"/>
          <w:sz w:val="18"/>
          <w:szCs w:val="22"/>
        </w:rPr>
        <w:t>=</w:t>
      </w:r>
      <w:r w:rsidR="00687859">
        <w:rPr>
          <w:rFonts w:ascii="Arial Narrow" w:hAnsi="Arial Narrow"/>
          <w:snapToGrid w:val="0"/>
          <w:sz w:val="18"/>
          <w:szCs w:val="22"/>
        </w:rPr>
        <w:t> </w:t>
      </w:r>
      <w:r w:rsidR="003C2516" w:rsidRPr="00380C48">
        <w:rPr>
          <w:rFonts w:ascii="Arial Narrow" w:hAnsi="Arial Narrow"/>
          <w:snapToGrid w:val="0"/>
          <w:sz w:val="18"/>
          <w:szCs w:val="22"/>
        </w:rPr>
        <w:t>Repatriation Pharmaceutical Benefits Scheme.</w:t>
      </w:r>
    </w:p>
    <w:p w14:paraId="46318841" w14:textId="77777777" w:rsidR="00C01D08" w:rsidRDefault="00C01D08" w:rsidP="00C01D08">
      <w:pPr>
        <w:pStyle w:val="TableFigureFooter"/>
        <w:rPr>
          <w:i/>
          <w:iCs/>
        </w:rPr>
      </w:pPr>
      <w:r w:rsidRPr="00254077">
        <w:rPr>
          <w:i/>
          <w:iCs/>
        </w:rPr>
        <w:t>The redacted values correspond to the following ranges:</w:t>
      </w:r>
    </w:p>
    <w:p w14:paraId="7574E75B" w14:textId="1B87C446" w:rsidR="00C01D08" w:rsidRDefault="00C01D08" w:rsidP="00C01D08">
      <w:pPr>
        <w:pStyle w:val="TableFigureFooter"/>
        <w:rPr>
          <w:i/>
          <w:iCs/>
        </w:rPr>
      </w:pPr>
      <w:r w:rsidRPr="00C01D08">
        <w:rPr>
          <w:i/>
          <w:iCs/>
          <w:vertAlign w:val="superscript"/>
        </w:rPr>
        <w:t>1</w:t>
      </w:r>
      <w:r w:rsidR="002F2079">
        <w:rPr>
          <w:i/>
          <w:iCs/>
          <w:vertAlign w:val="superscript"/>
        </w:rPr>
        <w:t xml:space="preserve"> </w:t>
      </w:r>
      <w:r w:rsidR="007360BB">
        <w:rPr>
          <w:i/>
          <w:iCs/>
        </w:rPr>
        <w:t>70,000 to &lt; 80,000</w:t>
      </w:r>
    </w:p>
    <w:p w14:paraId="293AB718" w14:textId="352A721B" w:rsidR="00905F48" w:rsidRDefault="00905F48" w:rsidP="00C01D08">
      <w:pPr>
        <w:pStyle w:val="TableFigureFooter"/>
        <w:rPr>
          <w:i/>
          <w:iCs/>
        </w:rPr>
      </w:pPr>
      <w:r w:rsidRPr="00905F48">
        <w:rPr>
          <w:i/>
          <w:iCs/>
          <w:vertAlign w:val="superscript"/>
        </w:rPr>
        <w:t>2</w:t>
      </w:r>
      <w:r w:rsidR="002F2079">
        <w:rPr>
          <w:i/>
          <w:iCs/>
          <w:vertAlign w:val="superscript"/>
        </w:rPr>
        <w:t xml:space="preserve"> </w:t>
      </w:r>
      <w:r>
        <w:rPr>
          <w:i/>
          <w:iCs/>
        </w:rPr>
        <w:t>80,000 to &lt; 90,000</w:t>
      </w:r>
    </w:p>
    <w:p w14:paraId="2EC04978" w14:textId="2F0A32B6" w:rsidR="00905F48" w:rsidRDefault="00A40C9C" w:rsidP="00C01D08">
      <w:pPr>
        <w:pStyle w:val="TableFigureFooter"/>
        <w:rPr>
          <w:i/>
          <w:iCs/>
        </w:rPr>
      </w:pPr>
      <w:r>
        <w:rPr>
          <w:vertAlign w:val="superscript"/>
          <w:lang w:val="en-US"/>
        </w:rPr>
        <w:t>3</w:t>
      </w:r>
      <w:r w:rsidR="002F2079">
        <w:rPr>
          <w:vertAlign w:val="superscript"/>
          <w:lang w:val="en-US"/>
        </w:rPr>
        <w:t xml:space="preserve"> </w:t>
      </w:r>
      <w:r w:rsidRPr="00A40C9C">
        <w:rPr>
          <w:i/>
          <w:iCs/>
          <w:lang w:val="en-US"/>
        </w:rPr>
        <w:t xml:space="preserve">100,000 </w:t>
      </w:r>
      <w:r>
        <w:rPr>
          <w:i/>
          <w:iCs/>
        </w:rPr>
        <w:t>to &lt; 200,000</w:t>
      </w:r>
    </w:p>
    <w:p w14:paraId="7B81D4DC" w14:textId="711D433A" w:rsidR="00A40C9C" w:rsidRPr="00C01D08" w:rsidRDefault="00A40C9C" w:rsidP="00C01D08">
      <w:pPr>
        <w:pStyle w:val="TableFigureFooter"/>
        <w:rPr>
          <w:i/>
          <w:iCs/>
        </w:rPr>
      </w:pPr>
      <w:r>
        <w:rPr>
          <w:vertAlign w:val="superscript"/>
          <w:lang w:val="en-US"/>
        </w:rPr>
        <w:t>4</w:t>
      </w:r>
      <w:r w:rsidR="002F2079">
        <w:rPr>
          <w:vertAlign w:val="superscript"/>
          <w:lang w:val="en-US"/>
        </w:rPr>
        <w:t xml:space="preserve"> </w:t>
      </w:r>
      <w:r w:rsidR="007D4D5B">
        <w:rPr>
          <w:i/>
          <w:iCs/>
          <w:lang w:val="en-US"/>
        </w:rPr>
        <w:t>9</w:t>
      </w:r>
      <w:r w:rsidRPr="00A40C9C">
        <w:rPr>
          <w:i/>
          <w:iCs/>
          <w:lang w:val="en-US"/>
        </w:rPr>
        <w:t xml:space="preserve">0,000 </w:t>
      </w:r>
      <w:r>
        <w:rPr>
          <w:i/>
          <w:iCs/>
        </w:rPr>
        <w:t xml:space="preserve">to &lt; </w:t>
      </w:r>
      <w:r w:rsidR="007D4D5B">
        <w:rPr>
          <w:i/>
          <w:iCs/>
        </w:rPr>
        <w:t>1</w:t>
      </w:r>
      <w:r>
        <w:rPr>
          <w:i/>
          <w:iCs/>
        </w:rPr>
        <w:t>00,000</w:t>
      </w:r>
    </w:p>
    <w:p w14:paraId="4F70ACCB" w14:textId="77777777" w:rsidR="00BC3F32" w:rsidRPr="00380C48" w:rsidRDefault="00BC3F32" w:rsidP="00BC3F32">
      <w:pPr>
        <w:rPr>
          <w:snapToGrid w:val="0"/>
        </w:rPr>
      </w:pPr>
    </w:p>
    <w:p w14:paraId="68163DBF" w14:textId="19298DDF" w:rsidR="00BC3F32" w:rsidRPr="008F5877" w:rsidRDefault="00BC3F32" w:rsidP="00B7760B">
      <w:pPr>
        <w:widowControl w:val="0"/>
        <w:numPr>
          <w:ilvl w:val="1"/>
          <w:numId w:val="1"/>
        </w:numPr>
        <w:spacing w:after="120"/>
        <w:ind w:left="720"/>
        <w:rPr>
          <w:i/>
          <w:iCs/>
        </w:rPr>
      </w:pPr>
      <w:r>
        <w:t xml:space="preserve">The submission used utilisation data from the PBS Item Statistics to estimate the market size and growth of CAL/BDP products, and </w:t>
      </w:r>
      <w:r w:rsidRPr="008F5877">
        <w:t>used International Market Share</w:t>
      </w:r>
      <w:r w:rsidR="00D670AC" w:rsidRPr="008F5877">
        <w:t xml:space="preserve"> </w:t>
      </w:r>
      <w:r w:rsidRPr="008F5877">
        <w:t>(IMS)</w:t>
      </w:r>
      <w:r w:rsidR="00D670AC" w:rsidRPr="008F5877">
        <w:t xml:space="preserve"> data and internal forecasting</w:t>
      </w:r>
      <w:r w:rsidRPr="008F5877">
        <w:t xml:space="preserve"> to estimate the market share for CAL/BDP cream.</w:t>
      </w:r>
      <w:r w:rsidR="0087206B" w:rsidRPr="008F5877">
        <w:t xml:space="preserve"> </w:t>
      </w:r>
    </w:p>
    <w:p w14:paraId="33AE5EC1" w14:textId="31A2AD70" w:rsidR="00055D6A" w:rsidRPr="00B83470" w:rsidRDefault="00055D6A" w:rsidP="000C5173">
      <w:pPr>
        <w:widowControl w:val="0"/>
        <w:numPr>
          <w:ilvl w:val="1"/>
          <w:numId w:val="1"/>
        </w:numPr>
        <w:spacing w:after="120"/>
        <w:ind w:left="720"/>
      </w:pPr>
      <w:bookmarkStart w:id="66" w:name="_Hlk195609422"/>
      <w:r w:rsidRPr="008F5877">
        <w:t xml:space="preserve">The submission estimated average annual growth rates </w:t>
      </w:r>
      <w:r w:rsidR="00D670AC" w:rsidRPr="008F5877">
        <w:t xml:space="preserve">of 11.36% </w:t>
      </w:r>
      <w:r w:rsidRPr="008F5877">
        <w:t>for</w:t>
      </w:r>
      <w:r w:rsidRPr="00055D6A">
        <w:t xml:space="preserve"> CAL/BDP foam </w:t>
      </w:r>
      <w:r w:rsidRPr="008F5877">
        <w:lastRenderedPageBreak/>
        <w:t xml:space="preserve">and </w:t>
      </w:r>
      <w:r w:rsidR="00D670AC" w:rsidRPr="008F5877">
        <w:t xml:space="preserve">5.91% for </w:t>
      </w:r>
      <w:r w:rsidRPr="008F5877">
        <w:t xml:space="preserve">CAL/BDP ointment, based on 5-year linear trendlines using PBS/RPBS utilisation data </w:t>
      </w:r>
      <w:r w:rsidR="00D670AC" w:rsidRPr="008F5877">
        <w:t>from</w:t>
      </w:r>
      <w:r w:rsidRPr="008F5877">
        <w:t xml:space="preserve"> 2019-2024. While th</w:t>
      </w:r>
      <w:r w:rsidR="00D670AC" w:rsidRPr="008F5877">
        <w:t>is</w:t>
      </w:r>
      <w:r w:rsidRPr="008F5877">
        <w:t xml:space="preserve"> approach was reasonable, the annual growth rates </w:t>
      </w:r>
      <w:r w:rsidRPr="00B83470">
        <w:t>calculated during the evaluation, using the 5-year linear trendlines equations presented in the Budget Impact Model worksheet</w:t>
      </w:r>
      <w:r w:rsidR="00D670AC" w:rsidRPr="00B83470">
        <w:t xml:space="preserve"> (Attachment</w:t>
      </w:r>
      <w:r w:rsidR="00F3596F" w:rsidRPr="00B83470">
        <w:t> </w:t>
      </w:r>
      <w:r w:rsidR="00D670AC" w:rsidRPr="00B83470">
        <w:t xml:space="preserve">9 to the submission) </w:t>
      </w:r>
      <w:r w:rsidRPr="00B83470">
        <w:t>were slightly higher</w:t>
      </w:r>
      <w:r w:rsidR="00D670AC" w:rsidRPr="00B83470">
        <w:t>,</w:t>
      </w:r>
      <w:r w:rsidRPr="00B83470">
        <w:t xml:space="preserve"> at 11.75% for CAL/BDP foam and 7.23% for CAL/BDP ointment.</w:t>
      </w:r>
      <w:r w:rsidR="007246B0" w:rsidRPr="00B83470">
        <w:t xml:space="preserve"> The sponsor subsequently provided a revised Budget Impact </w:t>
      </w:r>
      <w:r w:rsidR="00AE0AF0" w:rsidRPr="00B83470">
        <w:t>Model</w:t>
      </w:r>
      <w:r w:rsidR="007E5F5F" w:rsidRPr="00B83470">
        <w:t xml:space="preserve"> correcting </w:t>
      </w:r>
      <w:r w:rsidR="00001947" w:rsidRPr="00B83470">
        <w:t>an error in the initial Budget Impact Model and reflected PBS Item Statistics,</w:t>
      </w:r>
      <w:r w:rsidR="007246B0" w:rsidRPr="00B83470">
        <w:t xml:space="preserve"> which indicated that the annual growth rates for CAL/BDP foam and ointment were 12.62% and 7.21%, respectively.</w:t>
      </w:r>
    </w:p>
    <w:p w14:paraId="01BBECF3" w14:textId="28524A13" w:rsidR="00852895" w:rsidRDefault="00D670AC" w:rsidP="000C5173">
      <w:pPr>
        <w:widowControl w:val="0"/>
        <w:numPr>
          <w:ilvl w:val="1"/>
          <w:numId w:val="1"/>
        </w:numPr>
        <w:spacing w:after="120"/>
        <w:ind w:left="720"/>
      </w:pPr>
      <w:bookmarkStart w:id="67" w:name="_Ref201248149"/>
      <w:bookmarkEnd w:id="66"/>
      <w:r w:rsidRPr="008F5877">
        <w:t>The submission assumed that CAL/BDP cream will capture market share equally from CAL/BDP foam and CAL/BDP ointment, based on their current market share of 5</w:t>
      </w:r>
      <w:r w:rsidR="00A24A75" w:rsidRPr="008F5877">
        <w:t>6</w:t>
      </w:r>
      <w:r w:rsidRPr="008F5877">
        <w:t>% and 4</w:t>
      </w:r>
      <w:r w:rsidR="00A24A75" w:rsidRPr="008F5877">
        <w:t>4</w:t>
      </w:r>
      <w:r w:rsidRPr="008F5877">
        <w:t xml:space="preserve">%, respectively. </w:t>
      </w:r>
      <w:r w:rsidR="004A56CB" w:rsidRPr="008F5877">
        <w:t>Furthermore, t</w:t>
      </w:r>
      <w:r w:rsidR="00055D6A" w:rsidRPr="008F5877">
        <w:t>he submission projected th</w:t>
      </w:r>
      <w:r w:rsidR="004A56CB" w:rsidRPr="008F5877">
        <w:t>at</w:t>
      </w:r>
      <w:r w:rsidR="00055D6A" w:rsidRPr="008F5877">
        <w:t xml:space="preserve"> market share for CAL/BDP cream to be </w:t>
      </w:r>
      <w:r w:rsidR="00770501" w:rsidRPr="00770501">
        <w:rPr>
          <w:color w:val="000000"/>
          <w:w w:val="61"/>
          <w:shd w:val="solid" w:color="000000" w:fill="000000"/>
          <w:fitText w:val="472" w:id="-632124672"/>
          <w14:textFill>
            <w14:solidFill>
              <w14:srgbClr w14:val="000000">
                <w14:alpha w14:val="100000"/>
              </w14:srgbClr>
            </w14:solidFill>
          </w14:textFill>
        </w:rPr>
        <w:t>|||  ||</w:t>
      </w:r>
      <w:r w:rsidR="00770501" w:rsidRPr="00770501">
        <w:rPr>
          <w:color w:val="000000"/>
          <w:spacing w:val="2"/>
          <w:w w:val="61"/>
          <w:shd w:val="solid" w:color="000000" w:fill="000000"/>
          <w:fitText w:val="472" w:id="-632124672"/>
          <w14:textFill>
            <w14:solidFill>
              <w14:srgbClr w14:val="000000">
                <w14:alpha w14:val="100000"/>
              </w14:srgbClr>
            </w14:solidFill>
          </w14:textFill>
        </w:rPr>
        <w:t>|</w:t>
      </w:r>
      <w:r w:rsidR="00055D6A" w:rsidRPr="008F5877">
        <w:t>% in Year 1</w:t>
      </w:r>
      <w:r w:rsidR="004A56CB" w:rsidRPr="008F5877">
        <w:t>,</w:t>
      </w:r>
      <w:r w:rsidR="00055D6A" w:rsidRPr="008F5877">
        <w:t xml:space="preserve"> increas</w:t>
      </w:r>
      <w:r w:rsidR="004A56CB" w:rsidRPr="008F5877">
        <w:t>ing</w:t>
      </w:r>
      <w:r w:rsidR="00055D6A" w:rsidRPr="008F5877">
        <w:t xml:space="preserve"> to </w:t>
      </w:r>
      <w:r w:rsidR="00770501" w:rsidRPr="00770501">
        <w:rPr>
          <w:color w:val="000000"/>
          <w:w w:val="60"/>
          <w:shd w:val="solid" w:color="000000" w:fill="000000"/>
          <w:fitText w:val="466" w:id="-632124671"/>
          <w14:textFill>
            <w14:solidFill>
              <w14:srgbClr w14:val="000000">
                <w14:alpha w14:val="100000"/>
              </w14:srgbClr>
            </w14:solidFill>
          </w14:textFill>
        </w:rPr>
        <w:t>|||  ||</w:t>
      </w:r>
      <w:r w:rsidR="00770501" w:rsidRPr="00770501">
        <w:rPr>
          <w:color w:val="000000"/>
          <w:spacing w:val="2"/>
          <w:w w:val="60"/>
          <w:shd w:val="solid" w:color="000000" w:fill="000000"/>
          <w:fitText w:val="466" w:id="-632124671"/>
          <w14:textFill>
            <w14:solidFill>
              <w14:srgbClr w14:val="000000">
                <w14:alpha w14:val="100000"/>
              </w14:srgbClr>
            </w14:solidFill>
          </w14:textFill>
        </w:rPr>
        <w:t>|</w:t>
      </w:r>
      <w:r w:rsidR="00055D6A" w:rsidRPr="008F5877">
        <w:t>% by Year 4</w:t>
      </w:r>
      <w:r w:rsidR="004A56CB" w:rsidRPr="008F5877">
        <w:t xml:space="preserve">, driven </w:t>
      </w:r>
      <w:r w:rsidR="004A56CB" w:rsidRPr="00B83470">
        <w:t>by superior patient adherence and treatment satisfaction outcomes</w:t>
      </w:r>
      <w:r w:rsidR="00055D6A" w:rsidRPr="00B83470">
        <w:t>.</w:t>
      </w:r>
      <w:r w:rsidR="00700B8A" w:rsidRPr="00B83470">
        <w:t xml:space="preserve"> The assumption of equal substitution</w:t>
      </w:r>
      <w:r w:rsidR="00E14E52" w:rsidRPr="00B83470">
        <w:t xml:space="preserve"> and uptake rates </w:t>
      </w:r>
      <w:r w:rsidR="00700B8A" w:rsidRPr="00B83470">
        <w:t>of CAL/BDP products</w:t>
      </w:r>
      <w:r w:rsidR="00E14E52" w:rsidRPr="00B83470">
        <w:t xml:space="preserve"> </w:t>
      </w:r>
      <w:r w:rsidR="00700B8A" w:rsidRPr="00B83470">
        <w:t xml:space="preserve">was uncertain, </w:t>
      </w:r>
      <w:r w:rsidR="00E14E52" w:rsidRPr="00B83470">
        <w:t>as</w:t>
      </w:r>
      <w:r w:rsidR="00700B8A" w:rsidRPr="00B83470">
        <w:t xml:space="preserve"> t</w:t>
      </w:r>
      <w:r w:rsidR="004A56CB" w:rsidRPr="00B83470">
        <w:t>he uptake of</w:t>
      </w:r>
      <w:r w:rsidR="004A56CB" w:rsidRPr="008F5877">
        <w:t xml:space="preserve"> CAL/BDP cream could be</w:t>
      </w:r>
      <w:r w:rsidR="00E14E52" w:rsidRPr="008F5877">
        <w:t xml:space="preserve"> influenced</w:t>
      </w:r>
      <w:r w:rsidR="004A56CB" w:rsidRPr="008F5877">
        <w:t xml:space="preserve"> by various factors such as patient preferences, </w:t>
      </w:r>
      <w:r w:rsidR="00700B8A" w:rsidRPr="008F5877">
        <w:t xml:space="preserve">clinician recommendation, </w:t>
      </w:r>
      <w:r w:rsidR="004A56CB" w:rsidRPr="008F5877">
        <w:t xml:space="preserve">product availability, and the site </w:t>
      </w:r>
      <w:r w:rsidR="00700B8A" w:rsidRPr="008F5877">
        <w:t xml:space="preserve">and size </w:t>
      </w:r>
      <w:r w:rsidR="004A56CB" w:rsidRPr="008F5877">
        <w:t xml:space="preserve">of psoriasis. </w:t>
      </w:r>
      <w:r w:rsidR="00E14E52" w:rsidRPr="008F5877">
        <w:t>Furthermore, the uptake rates differed from the IMS data provided by the submission</w:t>
      </w:r>
      <w:r w:rsidR="00A91761" w:rsidRPr="008F5877">
        <w:t>.</w:t>
      </w:r>
      <w:r w:rsidR="00E14E52" w:rsidRPr="008F5877">
        <w:t xml:space="preserve"> </w:t>
      </w:r>
      <w:r w:rsidR="00DC4A97" w:rsidRPr="008F5877">
        <w:t>The uptake rates for CAL/BDP</w:t>
      </w:r>
      <w:r w:rsidR="00DC4A97" w:rsidRPr="00A02615">
        <w:t xml:space="preserve"> cream ranged from </w:t>
      </w:r>
      <w:r w:rsidR="00770501" w:rsidRPr="00770501">
        <w:rPr>
          <w:color w:val="000000"/>
          <w:w w:val="61"/>
          <w:shd w:val="solid" w:color="000000" w:fill="000000"/>
          <w:fitText w:val="472" w:id="-632124670"/>
          <w14:textFill>
            <w14:solidFill>
              <w14:srgbClr w14:val="000000">
                <w14:alpha w14:val="100000"/>
              </w14:srgbClr>
            </w14:solidFill>
          </w14:textFill>
        </w:rPr>
        <w:t>|||  ||</w:t>
      </w:r>
      <w:r w:rsidR="00770501" w:rsidRPr="00770501">
        <w:rPr>
          <w:color w:val="000000"/>
          <w:spacing w:val="2"/>
          <w:w w:val="61"/>
          <w:shd w:val="solid" w:color="000000" w:fill="000000"/>
          <w:fitText w:val="472" w:id="-632124670"/>
          <w14:textFill>
            <w14:solidFill>
              <w14:srgbClr w14:val="000000">
                <w14:alpha w14:val="100000"/>
              </w14:srgbClr>
            </w14:solidFill>
          </w14:textFill>
        </w:rPr>
        <w:t>|</w:t>
      </w:r>
      <w:r w:rsidR="00DC4A97" w:rsidRPr="00A02615">
        <w:t xml:space="preserve">% to </w:t>
      </w:r>
      <w:r w:rsidR="00770501" w:rsidRPr="00770501">
        <w:rPr>
          <w:color w:val="000000"/>
          <w:w w:val="61"/>
          <w:shd w:val="solid" w:color="000000" w:fill="000000"/>
          <w:fitText w:val="472" w:id="-632124669"/>
          <w14:textFill>
            <w14:solidFill>
              <w14:srgbClr w14:val="000000">
                <w14:alpha w14:val="100000"/>
              </w14:srgbClr>
            </w14:solidFill>
          </w14:textFill>
        </w:rPr>
        <w:t>|||  ||</w:t>
      </w:r>
      <w:r w:rsidR="00770501" w:rsidRPr="00770501">
        <w:rPr>
          <w:color w:val="000000"/>
          <w:spacing w:val="2"/>
          <w:w w:val="61"/>
          <w:shd w:val="solid" w:color="000000" w:fill="000000"/>
          <w:fitText w:val="472" w:id="-632124669"/>
          <w14:textFill>
            <w14:solidFill>
              <w14:srgbClr w14:val="000000">
                <w14:alpha w14:val="100000"/>
              </w14:srgbClr>
            </w14:solidFill>
          </w14:textFill>
        </w:rPr>
        <w:t>|</w:t>
      </w:r>
      <w:r w:rsidR="00DC4A97" w:rsidRPr="00A02615">
        <w:t xml:space="preserve">% over 3 years in markets with CAL/BDP cream, gel, foam and ointment, based on the </w:t>
      </w:r>
      <w:r w:rsidR="00880FDF">
        <w:t>s</w:t>
      </w:r>
      <w:r w:rsidR="00DC4A97">
        <w:t>ponsor’s</w:t>
      </w:r>
      <w:r w:rsidR="00DC4A97" w:rsidRPr="00A02615">
        <w:t xml:space="preserve"> international market share data (Attachment 10 to the submission).</w:t>
      </w:r>
      <w:bookmarkEnd w:id="67"/>
      <w:r w:rsidR="00DC4A97" w:rsidRPr="00A02615">
        <w:t xml:space="preserve"> </w:t>
      </w:r>
    </w:p>
    <w:p w14:paraId="464B5B47" w14:textId="15E5F097" w:rsidR="00E25754" w:rsidRPr="003910CE" w:rsidRDefault="00E25754" w:rsidP="000C5173">
      <w:pPr>
        <w:widowControl w:val="0"/>
        <w:numPr>
          <w:ilvl w:val="1"/>
          <w:numId w:val="1"/>
        </w:numPr>
        <w:spacing w:after="120"/>
        <w:ind w:left="720"/>
      </w:pPr>
      <w:r w:rsidRPr="003910CE">
        <w:t>The PSCR agreed that the uptake in mark</w:t>
      </w:r>
      <w:r w:rsidR="00F84E0F" w:rsidRPr="003910CE">
        <w:t>et share of the different CAL/BDP products is likely to be influenced by several factors</w:t>
      </w:r>
      <w:r w:rsidR="0086178B" w:rsidRPr="003910CE">
        <w:t>.</w:t>
      </w:r>
      <w:r w:rsidR="00627EAF" w:rsidRPr="003910CE">
        <w:t xml:space="preserve"> The PSCR provided an e</w:t>
      </w:r>
      <w:r w:rsidR="00826B5B" w:rsidRPr="003910CE">
        <w:t>xample of the closest equivalent market overseas</w:t>
      </w:r>
      <w:r w:rsidR="007E08DE" w:rsidRPr="003910CE">
        <w:t xml:space="preserve"> where the introduction of CAL/BDP cream impacted the market share of both CAL/BDP ointment and foam equally</w:t>
      </w:r>
      <w:r w:rsidR="00063BA1" w:rsidRPr="003910CE">
        <w:t>.</w:t>
      </w:r>
    </w:p>
    <w:p w14:paraId="26FB6670" w14:textId="69FE1B17" w:rsidR="00B505C8" w:rsidRPr="001514F6" w:rsidRDefault="009663AB" w:rsidP="000C5173">
      <w:pPr>
        <w:widowControl w:val="0"/>
        <w:numPr>
          <w:ilvl w:val="1"/>
          <w:numId w:val="1"/>
        </w:numPr>
        <w:spacing w:after="120"/>
        <w:ind w:left="720"/>
      </w:pPr>
      <w:r w:rsidRPr="001514F6">
        <w:t xml:space="preserve">The estimated financial implications of listing CAL/BDP cream are presented in </w:t>
      </w:r>
      <w:r w:rsidR="00E16AD8" w:rsidRPr="001514F6">
        <w:fldChar w:fldCharType="begin" w:fldLock="1"/>
      </w:r>
      <w:r w:rsidR="00E16AD8" w:rsidRPr="001514F6">
        <w:instrText xml:space="preserve"> REF _Ref104805295 \h  \* MERGEFORMAT </w:instrText>
      </w:r>
      <w:r w:rsidR="00E16AD8" w:rsidRPr="001514F6">
        <w:fldChar w:fldCharType="separate"/>
      </w:r>
      <w:r w:rsidR="00AA3192" w:rsidRPr="001514F6">
        <w:t xml:space="preserve">Table </w:t>
      </w:r>
      <w:r w:rsidR="00AA3192">
        <w:t>17</w:t>
      </w:r>
      <w:r w:rsidR="00E16AD8" w:rsidRPr="001514F6">
        <w:fldChar w:fldCharType="end"/>
      </w:r>
      <w:r w:rsidRPr="001514F6">
        <w:t>.</w:t>
      </w:r>
      <w:r w:rsidR="00164DDF">
        <w:t xml:space="preserve"> </w:t>
      </w:r>
      <w:r w:rsidR="00164DDF" w:rsidRPr="003910CE">
        <w:t>Estimated financial implications based on the revised Budget Impact model provided by the sponsor are p</w:t>
      </w:r>
      <w:r w:rsidR="00AE0AF0" w:rsidRPr="003910CE">
        <w:t>resented in Table 18.</w:t>
      </w:r>
    </w:p>
    <w:p w14:paraId="38EC053C" w14:textId="4FBCB09A" w:rsidR="00C25D9C" w:rsidRPr="001514F6" w:rsidRDefault="00E16AD8" w:rsidP="00E16AD8">
      <w:pPr>
        <w:pStyle w:val="Caption"/>
      </w:pPr>
      <w:bookmarkStart w:id="68" w:name="_Ref104805295"/>
      <w:r w:rsidRPr="001514F6">
        <w:lastRenderedPageBreak/>
        <w:t xml:space="preserve">Table </w:t>
      </w:r>
      <w:r w:rsidR="00AA3192">
        <w:fldChar w:fldCharType="begin" w:fldLock="1"/>
      </w:r>
      <w:r w:rsidR="00AA3192">
        <w:instrText xml:space="preserve"> SEQ Table \* ARABIC </w:instrText>
      </w:r>
      <w:r w:rsidR="00AA3192">
        <w:fldChar w:fldCharType="separate"/>
      </w:r>
      <w:r w:rsidR="00AA3192">
        <w:rPr>
          <w:noProof/>
        </w:rPr>
        <w:t>17</w:t>
      </w:r>
      <w:r w:rsidR="00AA3192">
        <w:rPr>
          <w:noProof/>
        </w:rPr>
        <w:fldChar w:fldCharType="end"/>
      </w:r>
      <w:bookmarkEnd w:id="68"/>
      <w:r w:rsidRPr="001514F6">
        <w:t>:</w:t>
      </w:r>
      <w:r w:rsidR="002A2F50" w:rsidRPr="001514F6">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405"/>
        <w:gridCol w:w="1102"/>
        <w:gridCol w:w="1102"/>
        <w:gridCol w:w="1102"/>
        <w:gridCol w:w="1102"/>
        <w:gridCol w:w="1102"/>
        <w:gridCol w:w="1102"/>
      </w:tblGrid>
      <w:tr w:rsidR="001514F6" w:rsidRPr="00ED75F7" w14:paraId="43A2A3A1" w14:textId="77777777" w:rsidTr="008A3158">
        <w:trPr>
          <w:tblHeader/>
        </w:trPr>
        <w:tc>
          <w:tcPr>
            <w:tcW w:w="1334" w:type="pct"/>
            <w:vAlign w:val="center"/>
          </w:tcPr>
          <w:p w14:paraId="0A4E41E1" w14:textId="77777777" w:rsidR="00385A9D" w:rsidRPr="00ED75F7" w:rsidRDefault="00385A9D" w:rsidP="00606FBA">
            <w:pPr>
              <w:pStyle w:val="In-tableHeading"/>
              <w:jc w:val="center"/>
              <w:rPr>
                <w:szCs w:val="20"/>
              </w:rPr>
            </w:pPr>
          </w:p>
        </w:tc>
        <w:tc>
          <w:tcPr>
            <w:tcW w:w="611" w:type="pct"/>
            <w:vAlign w:val="center"/>
          </w:tcPr>
          <w:p w14:paraId="77420B6F" w14:textId="77777777" w:rsidR="00385A9D" w:rsidRPr="00ED75F7" w:rsidRDefault="00385A9D" w:rsidP="00606FBA">
            <w:pPr>
              <w:pStyle w:val="In-tableHeading"/>
              <w:jc w:val="center"/>
              <w:rPr>
                <w:szCs w:val="20"/>
              </w:rPr>
            </w:pPr>
            <w:r w:rsidRPr="00ED75F7">
              <w:rPr>
                <w:szCs w:val="20"/>
              </w:rPr>
              <w:t>Year 1</w:t>
            </w:r>
          </w:p>
        </w:tc>
        <w:tc>
          <w:tcPr>
            <w:tcW w:w="611" w:type="pct"/>
            <w:vAlign w:val="center"/>
          </w:tcPr>
          <w:p w14:paraId="3BBD9218" w14:textId="77777777" w:rsidR="00385A9D" w:rsidRPr="00ED75F7" w:rsidRDefault="00385A9D" w:rsidP="00606FBA">
            <w:pPr>
              <w:pStyle w:val="In-tableHeading"/>
              <w:jc w:val="center"/>
              <w:rPr>
                <w:szCs w:val="20"/>
              </w:rPr>
            </w:pPr>
            <w:r w:rsidRPr="00ED75F7">
              <w:rPr>
                <w:szCs w:val="20"/>
              </w:rPr>
              <w:t>Year 2</w:t>
            </w:r>
          </w:p>
        </w:tc>
        <w:tc>
          <w:tcPr>
            <w:tcW w:w="611" w:type="pct"/>
            <w:vAlign w:val="center"/>
          </w:tcPr>
          <w:p w14:paraId="729A646E" w14:textId="77777777" w:rsidR="00385A9D" w:rsidRPr="00ED75F7" w:rsidRDefault="00385A9D" w:rsidP="00606FBA">
            <w:pPr>
              <w:pStyle w:val="In-tableHeading"/>
              <w:jc w:val="center"/>
              <w:rPr>
                <w:szCs w:val="20"/>
              </w:rPr>
            </w:pPr>
            <w:r w:rsidRPr="00ED75F7">
              <w:rPr>
                <w:szCs w:val="20"/>
              </w:rPr>
              <w:t>Year 3</w:t>
            </w:r>
          </w:p>
        </w:tc>
        <w:tc>
          <w:tcPr>
            <w:tcW w:w="611" w:type="pct"/>
            <w:vAlign w:val="center"/>
          </w:tcPr>
          <w:p w14:paraId="280BB544" w14:textId="77777777" w:rsidR="00385A9D" w:rsidRPr="00ED75F7" w:rsidRDefault="00385A9D" w:rsidP="00606FBA">
            <w:pPr>
              <w:pStyle w:val="In-tableHeading"/>
              <w:jc w:val="center"/>
              <w:rPr>
                <w:szCs w:val="20"/>
              </w:rPr>
            </w:pPr>
            <w:r w:rsidRPr="00ED75F7">
              <w:rPr>
                <w:szCs w:val="20"/>
              </w:rPr>
              <w:t>Year 4</w:t>
            </w:r>
          </w:p>
        </w:tc>
        <w:tc>
          <w:tcPr>
            <w:tcW w:w="611" w:type="pct"/>
            <w:vAlign w:val="center"/>
          </w:tcPr>
          <w:p w14:paraId="6435BB5B" w14:textId="77777777" w:rsidR="00385A9D" w:rsidRPr="00ED75F7" w:rsidRDefault="00385A9D" w:rsidP="00606FBA">
            <w:pPr>
              <w:pStyle w:val="In-tableHeading"/>
              <w:jc w:val="center"/>
              <w:rPr>
                <w:szCs w:val="20"/>
              </w:rPr>
            </w:pPr>
            <w:r w:rsidRPr="00ED75F7">
              <w:rPr>
                <w:szCs w:val="20"/>
              </w:rPr>
              <w:t>Year 5</w:t>
            </w:r>
          </w:p>
        </w:tc>
        <w:tc>
          <w:tcPr>
            <w:tcW w:w="611" w:type="pct"/>
          </w:tcPr>
          <w:p w14:paraId="7C618119" w14:textId="77777777" w:rsidR="00385A9D" w:rsidRPr="00ED75F7" w:rsidRDefault="00385A9D" w:rsidP="00606FBA">
            <w:pPr>
              <w:pStyle w:val="In-tableHeading"/>
              <w:jc w:val="center"/>
              <w:rPr>
                <w:szCs w:val="20"/>
              </w:rPr>
            </w:pPr>
            <w:r w:rsidRPr="00ED75F7">
              <w:rPr>
                <w:szCs w:val="20"/>
              </w:rPr>
              <w:t>Year 6</w:t>
            </w:r>
          </w:p>
        </w:tc>
      </w:tr>
      <w:tr w:rsidR="001514F6" w:rsidRPr="00ED75F7" w14:paraId="3C519059" w14:textId="77777777" w:rsidTr="009C3A3A">
        <w:tc>
          <w:tcPr>
            <w:tcW w:w="5000" w:type="pct"/>
            <w:gridSpan w:val="7"/>
            <w:vAlign w:val="center"/>
          </w:tcPr>
          <w:p w14:paraId="516C2197" w14:textId="77777777" w:rsidR="00385A9D" w:rsidRPr="00ED75F7" w:rsidRDefault="00385A9D" w:rsidP="00606FBA">
            <w:pPr>
              <w:pStyle w:val="In-tableHeading"/>
              <w:rPr>
                <w:bCs/>
                <w:szCs w:val="20"/>
              </w:rPr>
            </w:pPr>
            <w:r w:rsidRPr="00ED75F7">
              <w:rPr>
                <w:bCs/>
                <w:szCs w:val="20"/>
              </w:rPr>
              <w:t>Estimated extent of use</w:t>
            </w:r>
          </w:p>
        </w:tc>
      </w:tr>
      <w:tr w:rsidR="001514F6" w:rsidRPr="00ED75F7" w14:paraId="1CEE4D09" w14:textId="77777777" w:rsidTr="009663AB">
        <w:tc>
          <w:tcPr>
            <w:tcW w:w="1334" w:type="pct"/>
            <w:vAlign w:val="center"/>
          </w:tcPr>
          <w:p w14:paraId="229A1EDF" w14:textId="0AE5596B" w:rsidR="009663AB" w:rsidRPr="00ED75F7" w:rsidRDefault="009663AB" w:rsidP="009663AB">
            <w:pPr>
              <w:pStyle w:val="TableText0"/>
              <w:rPr>
                <w:rFonts w:ascii="Times" w:hAnsi="Times"/>
                <w:szCs w:val="20"/>
              </w:rPr>
            </w:pPr>
            <w:r w:rsidRPr="00ED75F7">
              <w:rPr>
                <w:szCs w:val="20"/>
              </w:rPr>
              <w:t>Number of scripts dispensed for CAL/BDP cream</w:t>
            </w:r>
          </w:p>
        </w:tc>
        <w:tc>
          <w:tcPr>
            <w:tcW w:w="611" w:type="pct"/>
            <w:vAlign w:val="center"/>
          </w:tcPr>
          <w:p w14:paraId="0D9F25C2" w14:textId="2D279688" w:rsidR="009663AB" w:rsidRPr="00ED75F7" w:rsidRDefault="00770501" w:rsidP="009663AB">
            <w:pPr>
              <w:pStyle w:val="TableText0"/>
              <w:jc w:val="center"/>
              <w:rPr>
                <w:szCs w:val="20"/>
              </w:rPr>
            </w:pPr>
            <w:r w:rsidRPr="00770501">
              <w:rPr>
                <w:color w:val="000000"/>
                <w:spacing w:val="53"/>
                <w:szCs w:val="20"/>
                <w:shd w:val="solid" w:color="000000" w:fill="000000"/>
                <w:fitText w:val="330" w:id="-632124668"/>
                <w14:textFill>
                  <w14:solidFill>
                    <w14:srgbClr w14:val="000000">
                      <w14:alpha w14:val="100000"/>
                    </w14:srgbClr>
                  </w14:solidFill>
                </w14:textFill>
              </w:rPr>
              <w:t>|||</w:t>
            </w:r>
            <w:r w:rsidRPr="00770501">
              <w:rPr>
                <w:color w:val="000000"/>
                <w:spacing w:val="1"/>
                <w:szCs w:val="20"/>
                <w:shd w:val="solid" w:color="000000" w:fill="000000"/>
                <w:fitText w:val="330" w:id="-632124668"/>
                <w14:textFill>
                  <w14:solidFill>
                    <w14:srgbClr w14:val="000000">
                      <w14:alpha w14:val="100000"/>
                    </w14:srgbClr>
                  </w14:solidFill>
                </w14:textFill>
              </w:rPr>
              <w:t>|</w:t>
            </w:r>
            <w:r w:rsidR="00203D7F" w:rsidRPr="00203D7F">
              <w:rPr>
                <w:szCs w:val="20"/>
                <w:vertAlign w:val="superscript"/>
              </w:rPr>
              <w:t>1</w:t>
            </w:r>
          </w:p>
        </w:tc>
        <w:tc>
          <w:tcPr>
            <w:tcW w:w="611" w:type="pct"/>
            <w:vAlign w:val="center"/>
          </w:tcPr>
          <w:p w14:paraId="2D7847AA" w14:textId="2CD81459" w:rsidR="009663AB" w:rsidRPr="00F11063" w:rsidRDefault="00770501" w:rsidP="009663AB">
            <w:pPr>
              <w:pStyle w:val="TableText0"/>
              <w:jc w:val="center"/>
              <w:rPr>
                <w:szCs w:val="20"/>
                <w:vertAlign w:val="superscript"/>
              </w:rPr>
            </w:pPr>
            <w:r w:rsidRPr="00770501">
              <w:rPr>
                <w:color w:val="000000"/>
                <w:spacing w:val="53"/>
                <w:szCs w:val="20"/>
                <w:shd w:val="solid" w:color="000000" w:fill="000000"/>
                <w:fitText w:val="330" w:id="-632124667"/>
                <w14:textFill>
                  <w14:solidFill>
                    <w14:srgbClr w14:val="000000">
                      <w14:alpha w14:val="100000"/>
                    </w14:srgbClr>
                  </w14:solidFill>
                </w14:textFill>
              </w:rPr>
              <w:t>|||</w:t>
            </w:r>
            <w:r w:rsidRPr="00770501">
              <w:rPr>
                <w:color w:val="000000"/>
                <w:spacing w:val="1"/>
                <w:szCs w:val="20"/>
                <w:shd w:val="solid" w:color="000000" w:fill="000000"/>
                <w:fitText w:val="330" w:id="-632124667"/>
                <w14:textFill>
                  <w14:solidFill>
                    <w14:srgbClr w14:val="000000">
                      <w14:alpha w14:val="100000"/>
                    </w14:srgbClr>
                  </w14:solidFill>
                </w14:textFill>
              </w:rPr>
              <w:t>|</w:t>
            </w:r>
            <w:r w:rsidR="00F11063">
              <w:rPr>
                <w:szCs w:val="20"/>
                <w:vertAlign w:val="superscript"/>
              </w:rPr>
              <w:t>2</w:t>
            </w:r>
          </w:p>
        </w:tc>
        <w:tc>
          <w:tcPr>
            <w:tcW w:w="611" w:type="pct"/>
            <w:vAlign w:val="center"/>
          </w:tcPr>
          <w:p w14:paraId="7A620378" w14:textId="467EE541" w:rsidR="009663AB" w:rsidRPr="00F11063" w:rsidRDefault="00770501" w:rsidP="009663AB">
            <w:pPr>
              <w:pStyle w:val="TableText0"/>
              <w:jc w:val="center"/>
              <w:rPr>
                <w:szCs w:val="20"/>
                <w:vertAlign w:val="superscript"/>
              </w:rPr>
            </w:pPr>
            <w:r w:rsidRPr="00770501">
              <w:rPr>
                <w:color w:val="000000"/>
                <w:spacing w:val="53"/>
                <w:szCs w:val="20"/>
                <w:shd w:val="solid" w:color="000000" w:fill="000000"/>
                <w:fitText w:val="330" w:id="-632124666"/>
                <w14:textFill>
                  <w14:solidFill>
                    <w14:srgbClr w14:val="000000">
                      <w14:alpha w14:val="100000"/>
                    </w14:srgbClr>
                  </w14:solidFill>
                </w14:textFill>
              </w:rPr>
              <w:t>|||</w:t>
            </w:r>
            <w:r w:rsidRPr="00770501">
              <w:rPr>
                <w:color w:val="000000"/>
                <w:spacing w:val="1"/>
                <w:szCs w:val="20"/>
                <w:shd w:val="solid" w:color="000000" w:fill="000000"/>
                <w:fitText w:val="330" w:id="-632124666"/>
                <w14:textFill>
                  <w14:solidFill>
                    <w14:srgbClr w14:val="000000">
                      <w14:alpha w14:val="100000"/>
                    </w14:srgbClr>
                  </w14:solidFill>
                </w14:textFill>
              </w:rPr>
              <w:t>|</w:t>
            </w:r>
            <w:r w:rsidR="00F11063">
              <w:rPr>
                <w:szCs w:val="20"/>
                <w:vertAlign w:val="superscript"/>
              </w:rPr>
              <w:t>3</w:t>
            </w:r>
          </w:p>
        </w:tc>
        <w:tc>
          <w:tcPr>
            <w:tcW w:w="611" w:type="pct"/>
            <w:vAlign w:val="center"/>
          </w:tcPr>
          <w:p w14:paraId="1D2C1413" w14:textId="6B482A45" w:rsidR="009663AB" w:rsidRPr="00AC2C97" w:rsidRDefault="00770501" w:rsidP="009663AB">
            <w:pPr>
              <w:pStyle w:val="TableText0"/>
              <w:jc w:val="center"/>
              <w:rPr>
                <w:szCs w:val="20"/>
                <w:vertAlign w:val="superscript"/>
              </w:rPr>
            </w:pPr>
            <w:r w:rsidRPr="00770501">
              <w:rPr>
                <w:color w:val="000000"/>
                <w:spacing w:val="53"/>
                <w:szCs w:val="20"/>
                <w:shd w:val="solid" w:color="000000" w:fill="000000"/>
                <w:fitText w:val="330" w:id="-632124665"/>
                <w14:textFill>
                  <w14:solidFill>
                    <w14:srgbClr w14:val="000000">
                      <w14:alpha w14:val="100000"/>
                    </w14:srgbClr>
                  </w14:solidFill>
                </w14:textFill>
              </w:rPr>
              <w:t>|||</w:t>
            </w:r>
            <w:r w:rsidRPr="00770501">
              <w:rPr>
                <w:color w:val="000000"/>
                <w:spacing w:val="1"/>
                <w:szCs w:val="20"/>
                <w:shd w:val="solid" w:color="000000" w:fill="000000"/>
                <w:fitText w:val="330" w:id="-632124665"/>
                <w14:textFill>
                  <w14:solidFill>
                    <w14:srgbClr w14:val="000000">
                      <w14:alpha w14:val="100000"/>
                    </w14:srgbClr>
                  </w14:solidFill>
                </w14:textFill>
              </w:rPr>
              <w:t>|</w:t>
            </w:r>
            <w:r w:rsidR="00AC2C97">
              <w:rPr>
                <w:szCs w:val="20"/>
                <w:vertAlign w:val="superscript"/>
              </w:rPr>
              <w:t>4</w:t>
            </w:r>
          </w:p>
        </w:tc>
        <w:tc>
          <w:tcPr>
            <w:tcW w:w="611" w:type="pct"/>
            <w:vAlign w:val="center"/>
          </w:tcPr>
          <w:p w14:paraId="3F0ACB95" w14:textId="68C17547" w:rsidR="009663AB" w:rsidRPr="00A23E22" w:rsidRDefault="00770501" w:rsidP="009663AB">
            <w:pPr>
              <w:pStyle w:val="TableText0"/>
              <w:jc w:val="center"/>
              <w:rPr>
                <w:szCs w:val="20"/>
                <w:vertAlign w:val="superscript"/>
              </w:rPr>
            </w:pPr>
            <w:r w:rsidRPr="00770501">
              <w:rPr>
                <w:color w:val="000000"/>
                <w:spacing w:val="53"/>
                <w:szCs w:val="20"/>
                <w:shd w:val="solid" w:color="000000" w:fill="000000"/>
                <w:fitText w:val="330" w:id="-632124664"/>
                <w14:textFill>
                  <w14:solidFill>
                    <w14:srgbClr w14:val="000000">
                      <w14:alpha w14:val="100000"/>
                    </w14:srgbClr>
                  </w14:solidFill>
                </w14:textFill>
              </w:rPr>
              <w:t>|||</w:t>
            </w:r>
            <w:r w:rsidRPr="00770501">
              <w:rPr>
                <w:color w:val="000000"/>
                <w:spacing w:val="1"/>
                <w:szCs w:val="20"/>
                <w:shd w:val="solid" w:color="000000" w:fill="000000"/>
                <w:fitText w:val="330" w:id="-632124664"/>
                <w14:textFill>
                  <w14:solidFill>
                    <w14:srgbClr w14:val="000000">
                      <w14:alpha w14:val="100000"/>
                    </w14:srgbClr>
                  </w14:solidFill>
                </w14:textFill>
              </w:rPr>
              <w:t>|</w:t>
            </w:r>
            <w:r w:rsidR="00A23E22">
              <w:rPr>
                <w:szCs w:val="20"/>
                <w:vertAlign w:val="superscript"/>
              </w:rPr>
              <w:t>5</w:t>
            </w:r>
          </w:p>
        </w:tc>
        <w:tc>
          <w:tcPr>
            <w:tcW w:w="611" w:type="pct"/>
            <w:vAlign w:val="center"/>
          </w:tcPr>
          <w:p w14:paraId="1C30F331" w14:textId="51B19107" w:rsidR="009663AB" w:rsidRPr="00A23E22" w:rsidRDefault="00770501" w:rsidP="009663AB">
            <w:pPr>
              <w:pStyle w:val="TableText0"/>
              <w:jc w:val="center"/>
              <w:rPr>
                <w:szCs w:val="20"/>
                <w:vertAlign w:val="superscript"/>
              </w:rPr>
            </w:pPr>
            <w:r w:rsidRPr="00770501">
              <w:rPr>
                <w:color w:val="000000"/>
                <w:spacing w:val="53"/>
                <w:szCs w:val="20"/>
                <w:shd w:val="solid" w:color="000000" w:fill="000000"/>
                <w:fitText w:val="330" w:id="-632124663"/>
                <w14:textFill>
                  <w14:solidFill>
                    <w14:srgbClr w14:val="000000">
                      <w14:alpha w14:val="100000"/>
                    </w14:srgbClr>
                  </w14:solidFill>
                </w14:textFill>
              </w:rPr>
              <w:t>|||</w:t>
            </w:r>
            <w:r w:rsidRPr="00770501">
              <w:rPr>
                <w:color w:val="000000"/>
                <w:spacing w:val="1"/>
                <w:szCs w:val="20"/>
                <w:shd w:val="solid" w:color="000000" w:fill="000000"/>
                <w:fitText w:val="330" w:id="-632124663"/>
                <w14:textFill>
                  <w14:solidFill>
                    <w14:srgbClr w14:val="000000">
                      <w14:alpha w14:val="100000"/>
                    </w14:srgbClr>
                  </w14:solidFill>
                </w14:textFill>
              </w:rPr>
              <w:t>|</w:t>
            </w:r>
            <w:r w:rsidR="00A23E22">
              <w:rPr>
                <w:szCs w:val="20"/>
                <w:vertAlign w:val="superscript"/>
              </w:rPr>
              <w:t>5</w:t>
            </w:r>
          </w:p>
        </w:tc>
      </w:tr>
      <w:tr w:rsidR="009F3783" w:rsidRPr="00ED75F7" w14:paraId="04795BA4" w14:textId="77777777" w:rsidTr="003F179A">
        <w:tc>
          <w:tcPr>
            <w:tcW w:w="5000" w:type="pct"/>
            <w:gridSpan w:val="7"/>
            <w:vAlign w:val="center"/>
          </w:tcPr>
          <w:p w14:paraId="66D7EBAE" w14:textId="3EEF32F8" w:rsidR="009F3783" w:rsidRPr="00ED75F7" w:rsidRDefault="003F179A" w:rsidP="003F179A">
            <w:pPr>
              <w:pStyle w:val="TableText0"/>
              <w:rPr>
                <w:szCs w:val="20"/>
              </w:rPr>
            </w:pPr>
            <w:r w:rsidRPr="00ED75F7">
              <w:rPr>
                <w:b/>
                <w:bCs w:val="0"/>
                <w:szCs w:val="20"/>
              </w:rPr>
              <w:t>Estimated change in script volume</w:t>
            </w:r>
          </w:p>
        </w:tc>
      </w:tr>
      <w:tr w:rsidR="009D5E8D" w:rsidRPr="00ED75F7" w14:paraId="6C3C681F" w14:textId="77777777" w:rsidTr="00391C49">
        <w:tc>
          <w:tcPr>
            <w:tcW w:w="1334" w:type="pct"/>
            <w:vAlign w:val="center"/>
          </w:tcPr>
          <w:p w14:paraId="2CE7D941" w14:textId="032C9F3A" w:rsidR="009F3783" w:rsidRPr="00ED75F7" w:rsidRDefault="003F179A" w:rsidP="00DB3A9D">
            <w:pPr>
              <w:pStyle w:val="TableText0"/>
              <w:rPr>
                <w:szCs w:val="20"/>
              </w:rPr>
            </w:pPr>
            <w:r w:rsidRPr="00ED75F7">
              <w:rPr>
                <w:szCs w:val="20"/>
              </w:rPr>
              <w:t>CAL/BDP, 0.05% foam</w:t>
            </w:r>
          </w:p>
        </w:tc>
        <w:tc>
          <w:tcPr>
            <w:tcW w:w="611" w:type="pct"/>
            <w:vAlign w:val="center"/>
          </w:tcPr>
          <w:p w14:paraId="5586518D" w14:textId="16434207" w:rsidR="009F3783" w:rsidRPr="005E538E" w:rsidRDefault="00E77AB7" w:rsidP="009663AB">
            <w:pPr>
              <w:pStyle w:val="TableText0"/>
              <w:jc w:val="center"/>
              <w:rPr>
                <w:szCs w:val="20"/>
              </w:rPr>
            </w:pPr>
            <w:r w:rsidRPr="005E538E">
              <w:rPr>
                <w:szCs w:val="20"/>
              </w:rPr>
              <w:t>-</w:t>
            </w:r>
            <w:r w:rsidR="00770501" w:rsidRPr="00770501">
              <w:rPr>
                <w:color w:val="000000"/>
                <w:spacing w:val="51"/>
                <w:szCs w:val="20"/>
                <w:shd w:val="solid" w:color="000000" w:fill="000000"/>
                <w:fitText w:val="324" w:id="-632124662"/>
                <w14:textFill>
                  <w14:solidFill>
                    <w14:srgbClr w14:val="000000">
                      <w14:alpha w14:val="100000"/>
                    </w14:srgbClr>
                  </w14:solidFill>
                </w14:textFill>
              </w:rPr>
              <w:t>|||</w:t>
            </w:r>
            <w:r w:rsidR="00770501" w:rsidRPr="00770501">
              <w:rPr>
                <w:color w:val="000000"/>
                <w:spacing w:val="1"/>
                <w:szCs w:val="20"/>
                <w:shd w:val="solid" w:color="000000" w:fill="000000"/>
                <w:fitText w:val="324" w:id="-632124662"/>
                <w14:textFill>
                  <w14:solidFill>
                    <w14:srgbClr w14:val="000000">
                      <w14:alpha w14:val="100000"/>
                    </w14:srgbClr>
                  </w14:solidFill>
                </w14:textFill>
              </w:rPr>
              <w:t>|</w:t>
            </w:r>
            <w:r w:rsidR="00047810" w:rsidRPr="00047810">
              <w:rPr>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37E3E" w14:textId="02EA59AB" w:rsidR="009F3783" w:rsidRPr="005E538E" w:rsidRDefault="00F969E0" w:rsidP="009663AB">
            <w:pPr>
              <w:pStyle w:val="TableText0"/>
              <w:jc w:val="center"/>
              <w:rPr>
                <w:szCs w:val="20"/>
              </w:rPr>
            </w:pPr>
            <w:r w:rsidRPr="005E538E">
              <w:rPr>
                <w:rFonts w:cs="Calibri"/>
                <w:szCs w:val="20"/>
                <w:lang w:val="en-US"/>
              </w:rPr>
              <w:t>-</w:t>
            </w:r>
            <w:r w:rsidR="00770501" w:rsidRPr="00770501">
              <w:rPr>
                <w:rFonts w:cs="Calibri"/>
                <w:color w:val="000000"/>
                <w:spacing w:val="51"/>
                <w:szCs w:val="20"/>
                <w:shd w:val="solid" w:color="000000" w:fill="000000"/>
                <w:fitText w:val="324" w:id="-632124661"/>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1"/>
                <w:lang w:val="en-US"/>
                <w14:textFill>
                  <w14:solidFill>
                    <w14:srgbClr w14:val="000000">
                      <w14:alpha w14:val="100000"/>
                    </w14:srgbClr>
                  </w14:solidFill>
                </w14:textFill>
              </w:rPr>
              <w:t>|</w:t>
            </w:r>
            <w:r w:rsidR="00047810" w:rsidRPr="00047810">
              <w:rPr>
                <w:rFonts w:cs="Calibri"/>
                <w:szCs w:val="20"/>
                <w:vertAlign w:val="superscript"/>
                <w:lang w:val="en-US"/>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ED934" w14:textId="41A4D76A" w:rsidR="009F3783" w:rsidRPr="005E538E" w:rsidRDefault="00F969E0" w:rsidP="009663AB">
            <w:pPr>
              <w:pStyle w:val="TableText0"/>
              <w:jc w:val="center"/>
              <w:rPr>
                <w:szCs w:val="20"/>
              </w:rPr>
            </w:pPr>
            <w:r w:rsidRPr="005E538E">
              <w:rPr>
                <w:rFonts w:cs="Calibri"/>
                <w:szCs w:val="20"/>
                <w:lang w:val="en-US"/>
              </w:rPr>
              <w:t>-</w:t>
            </w:r>
            <w:r w:rsidR="00770501" w:rsidRPr="00770501">
              <w:rPr>
                <w:rFonts w:cs="Calibri"/>
                <w:color w:val="000000"/>
                <w:spacing w:val="51"/>
                <w:szCs w:val="20"/>
                <w:shd w:val="solid" w:color="000000" w:fill="000000"/>
                <w:fitText w:val="324" w:id="-632124660"/>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0"/>
                <w:lang w:val="en-US"/>
                <w14:textFill>
                  <w14:solidFill>
                    <w14:srgbClr w14:val="000000">
                      <w14:alpha w14:val="100000"/>
                    </w14:srgbClr>
                  </w14:solidFill>
                </w14:textFill>
              </w:rPr>
              <w:t>|</w:t>
            </w:r>
            <w:r w:rsidR="00047810" w:rsidRPr="00047810">
              <w:rPr>
                <w:rFonts w:cs="Calibri"/>
                <w:szCs w:val="20"/>
                <w:vertAlign w:val="superscript"/>
                <w:lang w:val="en-US"/>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F8113" w14:textId="5D060EC7" w:rsidR="009F3783" w:rsidRPr="005E538E" w:rsidRDefault="00F969E0" w:rsidP="009663AB">
            <w:pPr>
              <w:pStyle w:val="TableText0"/>
              <w:jc w:val="center"/>
              <w:rPr>
                <w:szCs w:val="20"/>
              </w:rPr>
            </w:pPr>
            <w:r w:rsidRPr="005E538E">
              <w:rPr>
                <w:rFonts w:cs="Calibri"/>
                <w:szCs w:val="20"/>
                <w:lang w:val="en-US"/>
              </w:rPr>
              <w:t>-</w:t>
            </w:r>
            <w:r w:rsidR="00770501" w:rsidRPr="00770501">
              <w:rPr>
                <w:rFonts w:cs="Calibri"/>
                <w:color w:val="000000"/>
                <w:spacing w:val="51"/>
                <w:szCs w:val="20"/>
                <w:shd w:val="solid" w:color="000000" w:fill="000000"/>
                <w:fitText w:val="324" w:id="-632124659"/>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59"/>
                <w:lang w:val="en-US"/>
                <w14:textFill>
                  <w14:solidFill>
                    <w14:srgbClr w14:val="000000">
                      <w14:alpha w14:val="100000"/>
                    </w14:srgbClr>
                  </w14:solidFill>
                </w14:textFill>
              </w:rPr>
              <w:t>|</w:t>
            </w:r>
            <w:r w:rsidR="00047810" w:rsidRPr="00047810">
              <w:rPr>
                <w:rFonts w:cs="Calibri"/>
                <w:szCs w:val="20"/>
                <w:vertAlign w:val="superscript"/>
                <w:lang w:val="en-US"/>
              </w:rPr>
              <w:t>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77FEE" w14:textId="070382E8" w:rsidR="009F3783" w:rsidRPr="005E538E" w:rsidRDefault="00F969E0" w:rsidP="009663AB">
            <w:pPr>
              <w:pStyle w:val="TableText0"/>
              <w:jc w:val="center"/>
              <w:rPr>
                <w:szCs w:val="20"/>
              </w:rPr>
            </w:pPr>
            <w:r w:rsidRPr="005E538E">
              <w:rPr>
                <w:rFonts w:cs="Calibri"/>
                <w:szCs w:val="20"/>
                <w:lang w:val="en-US"/>
              </w:rPr>
              <w:t>-</w:t>
            </w:r>
            <w:r w:rsidR="00770501" w:rsidRPr="00770501">
              <w:rPr>
                <w:rFonts w:cs="Calibri"/>
                <w:color w:val="000000"/>
                <w:spacing w:val="51"/>
                <w:szCs w:val="20"/>
                <w:shd w:val="solid" w:color="000000" w:fill="000000"/>
                <w:fitText w:val="324" w:id="-632124658"/>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58"/>
                <w:lang w:val="en-US"/>
                <w14:textFill>
                  <w14:solidFill>
                    <w14:srgbClr w14:val="000000">
                      <w14:alpha w14:val="100000"/>
                    </w14:srgbClr>
                  </w14:solidFill>
                </w14:textFill>
              </w:rPr>
              <w:t>|</w:t>
            </w:r>
            <w:r w:rsidR="00047810" w:rsidRPr="00047810">
              <w:rPr>
                <w:rFonts w:cs="Calibri"/>
                <w:szCs w:val="20"/>
                <w:vertAlign w:val="superscript"/>
                <w:lang w:val="en-US"/>
              </w:rPr>
              <w:t>4</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B8FB" w14:textId="52F15437" w:rsidR="009F3783" w:rsidRPr="004F19D9"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57"/>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57"/>
                <w:lang w:val="en-US"/>
                <w14:textFill>
                  <w14:solidFill>
                    <w14:srgbClr w14:val="000000">
                      <w14:alpha w14:val="100000"/>
                    </w14:srgbClr>
                  </w14:solidFill>
                </w14:textFill>
              </w:rPr>
              <w:t>|</w:t>
            </w:r>
            <w:r w:rsidR="004F19D9">
              <w:rPr>
                <w:rFonts w:cs="Calibri"/>
                <w:szCs w:val="20"/>
                <w:vertAlign w:val="superscript"/>
                <w:lang w:val="en-US"/>
              </w:rPr>
              <w:t>9</w:t>
            </w:r>
          </w:p>
        </w:tc>
      </w:tr>
      <w:tr w:rsidR="009D5E8D" w:rsidRPr="00ED75F7" w14:paraId="76225DF9" w14:textId="77777777" w:rsidTr="00391C49">
        <w:tc>
          <w:tcPr>
            <w:tcW w:w="1334" w:type="pct"/>
            <w:vAlign w:val="center"/>
          </w:tcPr>
          <w:p w14:paraId="346A95A9" w14:textId="79DA15E9" w:rsidR="003F179A" w:rsidRPr="00ED75F7" w:rsidRDefault="003F179A" w:rsidP="00DB3A9D">
            <w:pPr>
              <w:pStyle w:val="TableText0"/>
              <w:rPr>
                <w:szCs w:val="20"/>
              </w:rPr>
            </w:pPr>
            <w:r w:rsidRPr="00ED75F7">
              <w:rPr>
                <w:szCs w:val="20"/>
              </w:rPr>
              <w:t>CAL/BDP, 0.05% ointment</w:t>
            </w:r>
          </w:p>
        </w:tc>
        <w:tc>
          <w:tcPr>
            <w:tcW w:w="611" w:type="pct"/>
            <w:vAlign w:val="center"/>
          </w:tcPr>
          <w:p w14:paraId="77FC367A" w14:textId="51D2B3B5" w:rsidR="003F179A" w:rsidRPr="004F19D9" w:rsidRDefault="00E77AB7" w:rsidP="009663AB">
            <w:pPr>
              <w:pStyle w:val="TableText0"/>
              <w:jc w:val="center"/>
              <w:rPr>
                <w:szCs w:val="20"/>
                <w:vertAlign w:val="superscript"/>
              </w:rPr>
            </w:pPr>
            <w:r w:rsidRPr="005E538E">
              <w:rPr>
                <w:szCs w:val="20"/>
              </w:rPr>
              <w:t>-</w:t>
            </w:r>
            <w:r w:rsidR="00770501" w:rsidRPr="00770501">
              <w:rPr>
                <w:color w:val="000000"/>
                <w:spacing w:val="51"/>
                <w:szCs w:val="20"/>
                <w:shd w:val="solid" w:color="000000" w:fill="000000"/>
                <w:fitText w:val="324" w:id="-632124656"/>
                <w14:textFill>
                  <w14:solidFill>
                    <w14:srgbClr w14:val="000000">
                      <w14:alpha w14:val="100000"/>
                    </w14:srgbClr>
                  </w14:solidFill>
                </w14:textFill>
              </w:rPr>
              <w:t>|||</w:t>
            </w:r>
            <w:r w:rsidR="00770501" w:rsidRPr="00770501">
              <w:rPr>
                <w:color w:val="000000"/>
                <w:spacing w:val="1"/>
                <w:szCs w:val="20"/>
                <w:shd w:val="solid" w:color="000000" w:fill="000000"/>
                <w:fitText w:val="324" w:id="-632124656"/>
                <w14:textFill>
                  <w14:solidFill>
                    <w14:srgbClr w14:val="000000">
                      <w14:alpha w14:val="100000"/>
                    </w14:srgbClr>
                  </w14:solidFill>
                </w14:textFill>
              </w:rPr>
              <w:t>|</w:t>
            </w:r>
            <w:r w:rsidR="004F19D9">
              <w:rPr>
                <w:szCs w:val="20"/>
                <w:vertAlign w:val="superscript"/>
              </w:rPr>
              <w:t>6</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2EE78" w14:textId="6D9A5627" w:rsidR="003F179A" w:rsidRPr="004F19D9"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72"/>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72"/>
                <w:lang w:val="en-US"/>
                <w14:textFill>
                  <w14:solidFill>
                    <w14:srgbClr w14:val="000000">
                      <w14:alpha w14:val="100000"/>
                    </w14:srgbClr>
                  </w14:solidFill>
                </w14:textFill>
              </w:rPr>
              <w:t>|</w:t>
            </w:r>
            <w:r w:rsidR="004F19D9">
              <w:rPr>
                <w:rFonts w:cs="Calibri"/>
                <w:szCs w:val="20"/>
                <w:vertAlign w:val="superscript"/>
                <w:lang w:val="en-US"/>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326B8" w14:textId="5148A64F" w:rsidR="003F179A" w:rsidRPr="005A188B"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71"/>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71"/>
                <w:lang w:val="en-US"/>
                <w14:textFill>
                  <w14:solidFill>
                    <w14:srgbClr w14:val="000000">
                      <w14:alpha w14:val="100000"/>
                    </w14:srgbClr>
                  </w14:solidFill>
                </w14:textFill>
              </w:rPr>
              <w:t>|</w:t>
            </w:r>
            <w:r w:rsidR="005A188B">
              <w:rPr>
                <w:rFonts w:cs="Calibri"/>
                <w:szCs w:val="20"/>
                <w:vertAlign w:val="superscript"/>
                <w:lang w:val="en-US"/>
              </w:rPr>
              <w:t>10</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1325F" w14:textId="56644259" w:rsidR="003F179A" w:rsidRPr="005A188B"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70"/>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70"/>
                <w:lang w:val="en-US"/>
                <w14:textFill>
                  <w14:solidFill>
                    <w14:srgbClr w14:val="000000">
                      <w14:alpha w14:val="100000"/>
                    </w14:srgbClr>
                  </w14:solidFill>
                </w14:textFill>
              </w:rPr>
              <w:t>|</w:t>
            </w:r>
            <w:r w:rsidR="005A188B">
              <w:rPr>
                <w:rFonts w:cs="Calibri"/>
                <w:szCs w:val="20"/>
                <w:vertAlign w:val="superscript"/>
                <w:lang w:val="en-US"/>
              </w:rPr>
              <w:t>2</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60B9A" w14:textId="7A09EE4B" w:rsidR="003F179A" w:rsidRPr="005A188B"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9"/>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9"/>
                <w:lang w:val="en-US"/>
                <w14:textFill>
                  <w14:solidFill>
                    <w14:srgbClr w14:val="000000">
                      <w14:alpha w14:val="100000"/>
                    </w14:srgbClr>
                  </w14:solidFill>
                </w14:textFill>
              </w:rPr>
              <w:t>|</w:t>
            </w:r>
            <w:r w:rsidR="00B970A1">
              <w:rPr>
                <w:rFonts w:cs="Calibri"/>
                <w:szCs w:val="20"/>
                <w:vertAlign w:val="superscript"/>
                <w:lang w:val="en-US"/>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E96B" w14:textId="55239F57" w:rsidR="003F179A" w:rsidRPr="00B970A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8"/>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8"/>
                <w:lang w:val="en-US"/>
                <w14:textFill>
                  <w14:solidFill>
                    <w14:srgbClr w14:val="000000">
                      <w14:alpha w14:val="100000"/>
                    </w14:srgbClr>
                  </w14:solidFill>
                </w14:textFill>
              </w:rPr>
              <w:t>|</w:t>
            </w:r>
            <w:r w:rsidR="00B970A1">
              <w:rPr>
                <w:rFonts w:cs="Calibri"/>
                <w:szCs w:val="20"/>
                <w:vertAlign w:val="superscript"/>
                <w:lang w:val="en-US"/>
              </w:rPr>
              <w:t>8</w:t>
            </w:r>
          </w:p>
        </w:tc>
      </w:tr>
      <w:tr w:rsidR="009D5E8D" w:rsidRPr="00ED75F7" w14:paraId="644AD5D6" w14:textId="77777777" w:rsidTr="00391C49">
        <w:tc>
          <w:tcPr>
            <w:tcW w:w="1334" w:type="pct"/>
            <w:vAlign w:val="center"/>
          </w:tcPr>
          <w:p w14:paraId="490A90F8" w14:textId="6CFEC44A" w:rsidR="003A505C" w:rsidRPr="00ED75F7" w:rsidRDefault="003A505C" w:rsidP="00DB3A9D">
            <w:pPr>
              <w:pStyle w:val="TableText0"/>
              <w:rPr>
                <w:szCs w:val="20"/>
              </w:rPr>
            </w:pPr>
            <w:r w:rsidRPr="00ED75F7">
              <w:rPr>
                <w:szCs w:val="20"/>
              </w:rPr>
              <w:t>Aggregate volumes of sc</w:t>
            </w:r>
            <w:r w:rsidR="0021421D" w:rsidRPr="00ED75F7">
              <w:rPr>
                <w:szCs w:val="20"/>
              </w:rPr>
              <w:t>ripts</w:t>
            </w:r>
          </w:p>
        </w:tc>
        <w:tc>
          <w:tcPr>
            <w:tcW w:w="611" w:type="pct"/>
            <w:vAlign w:val="center"/>
          </w:tcPr>
          <w:p w14:paraId="3568646B" w14:textId="3858B060" w:rsidR="003A505C" w:rsidRPr="00B970A1" w:rsidRDefault="00E77AB7" w:rsidP="009663AB">
            <w:pPr>
              <w:pStyle w:val="TableText0"/>
              <w:jc w:val="center"/>
              <w:rPr>
                <w:szCs w:val="20"/>
                <w:vertAlign w:val="superscript"/>
              </w:rPr>
            </w:pPr>
            <w:r w:rsidRPr="005E538E">
              <w:rPr>
                <w:szCs w:val="20"/>
              </w:rPr>
              <w:t>-</w:t>
            </w:r>
            <w:r w:rsidR="00770501" w:rsidRPr="00770501">
              <w:rPr>
                <w:color w:val="000000"/>
                <w:spacing w:val="51"/>
                <w:szCs w:val="20"/>
                <w:shd w:val="solid" w:color="000000" w:fill="000000"/>
                <w:fitText w:val="324" w:id="-632124667"/>
                <w14:textFill>
                  <w14:solidFill>
                    <w14:srgbClr w14:val="000000">
                      <w14:alpha w14:val="100000"/>
                    </w14:srgbClr>
                  </w14:solidFill>
                </w14:textFill>
              </w:rPr>
              <w:t>|||</w:t>
            </w:r>
            <w:r w:rsidR="00770501" w:rsidRPr="00770501">
              <w:rPr>
                <w:color w:val="000000"/>
                <w:spacing w:val="1"/>
                <w:szCs w:val="20"/>
                <w:shd w:val="solid" w:color="000000" w:fill="000000"/>
                <w:fitText w:val="324" w:id="-632124667"/>
                <w14:textFill>
                  <w14:solidFill>
                    <w14:srgbClr w14:val="000000">
                      <w14:alpha w14:val="100000"/>
                    </w14:srgbClr>
                  </w14:solidFill>
                </w14:textFill>
              </w:rPr>
              <w:t>|</w:t>
            </w:r>
            <w:r w:rsidR="00B970A1">
              <w:rPr>
                <w:szCs w:val="20"/>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12D0C" w14:textId="0B4FC7AC" w:rsidR="003A505C" w:rsidRPr="0006510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6"/>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6"/>
                <w:lang w:val="en-US"/>
                <w14:textFill>
                  <w14:solidFill>
                    <w14:srgbClr w14:val="000000">
                      <w14:alpha w14:val="100000"/>
                    </w14:srgbClr>
                  </w14:solidFill>
                </w14:textFill>
              </w:rPr>
              <w:t>|</w:t>
            </w:r>
            <w:r w:rsidR="00065101">
              <w:rPr>
                <w:rFonts w:cs="Calibri"/>
                <w:szCs w:val="20"/>
                <w:vertAlign w:val="superscript"/>
                <w:lang w:val="en-US"/>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9E679" w14:textId="7F1EBE14" w:rsidR="003A505C" w:rsidRPr="0006510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5"/>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5"/>
                <w:lang w:val="en-US"/>
                <w14:textFill>
                  <w14:solidFill>
                    <w14:srgbClr w14:val="000000">
                      <w14:alpha w14:val="100000"/>
                    </w14:srgbClr>
                  </w14:solidFill>
                </w14:textFill>
              </w:rPr>
              <w:t>|</w:t>
            </w:r>
            <w:r w:rsidR="00065101">
              <w:rPr>
                <w:rFonts w:cs="Calibri"/>
                <w:szCs w:val="20"/>
                <w:vertAlign w:val="superscript"/>
                <w:lang w:val="en-US"/>
              </w:rPr>
              <w:t>9</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B83E1" w14:textId="5A592810" w:rsidR="003A505C" w:rsidRPr="0006510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4"/>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4"/>
                <w:lang w:val="en-US"/>
                <w14:textFill>
                  <w14:solidFill>
                    <w14:srgbClr w14:val="000000">
                      <w14:alpha w14:val="100000"/>
                    </w14:srgbClr>
                  </w14:solidFill>
                </w14:textFill>
              </w:rPr>
              <w:t>|</w:t>
            </w:r>
            <w:r w:rsidR="00065101" w:rsidRPr="00065101">
              <w:rPr>
                <w:rFonts w:cs="Calibri"/>
                <w:szCs w:val="20"/>
                <w:vertAlign w:val="superscript"/>
                <w:lang w:val="en-US"/>
              </w:rPr>
              <w:t>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E76" w14:textId="2591AAE4" w:rsidR="003A505C" w:rsidRPr="0006510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3"/>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3"/>
                <w:lang w:val="en-US"/>
                <w14:textFill>
                  <w14:solidFill>
                    <w14:srgbClr w14:val="000000">
                      <w14:alpha w14:val="100000"/>
                    </w14:srgbClr>
                  </w14:solidFill>
                </w14:textFill>
              </w:rPr>
              <w:t>|</w:t>
            </w:r>
            <w:r w:rsidR="00065101">
              <w:rPr>
                <w:rFonts w:cs="Calibri"/>
                <w:szCs w:val="20"/>
                <w:vertAlign w:val="superscript"/>
                <w:lang w:val="en-US"/>
              </w:rPr>
              <w:t>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078E5" w14:textId="5CEBE7E3" w:rsidR="003A505C" w:rsidRPr="00065101" w:rsidRDefault="00F969E0" w:rsidP="009663AB">
            <w:pPr>
              <w:pStyle w:val="TableText0"/>
              <w:jc w:val="center"/>
              <w:rPr>
                <w:szCs w:val="20"/>
                <w:vertAlign w:val="superscript"/>
              </w:rPr>
            </w:pPr>
            <w:r w:rsidRPr="005E538E">
              <w:rPr>
                <w:rFonts w:cs="Calibri"/>
                <w:szCs w:val="20"/>
                <w:lang w:val="en-US"/>
              </w:rPr>
              <w:t>-</w:t>
            </w:r>
            <w:r w:rsidR="00770501" w:rsidRPr="00770501">
              <w:rPr>
                <w:rFonts w:cs="Calibri"/>
                <w:color w:val="000000"/>
                <w:spacing w:val="51"/>
                <w:szCs w:val="20"/>
                <w:shd w:val="solid" w:color="000000" w:fill="000000"/>
                <w:fitText w:val="324" w:id="-632124662"/>
                <w:lang w:val="en-US"/>
                <w14:textFill>
                  <w14:solidFill>
                    <w14:srgbClr w14:val="000000">
                      <w14:alpha w14:val="100000"/>
                    </w14:srgbClr>
                  </w14:solidFill>
                </w14:textFill>
              </w:rPr>
              <w:t>|||</w:t>
            </w:r>
            <w:r w:rsidR="00770501" w:rsidRPr="00770501">
              <w:rPr>
                <w:rFonts w:cs="Calibri"/>
                <w:color w:val="000000"/>
                <w:spacing w:val="1"/>
                <w:szCs w:val="20"/>
                <w:shd w:val="solid" w:color="000000" w:fill="000000"/>
                <w:fitText w:val="324" w:id="-632124662"/>
                <w:lang w:val="en-US"/>
                <w14:textFill>
                  <w14:solidFill>
                    <w14:srgbClr w14:val="000000">
                      <w14:alpha w14:val="100000"/>
                    </w14:srgbClr>
                  </w14:solidFill>
                </w14:textFill>
              </w:rPr>
              <w:t>|</w:t>
            </w:r>
            <w:r w:rsidR="00065101">
              <w:rPr>
                <w:rFonts w:cs="Calibri"/>
                <w:szCs w:val="20"/>
                <w:vertAlign w:val="superscript"/>
                <w:lang w:val="en-US"/>
              </w:rPr>
              <w:t>5</w:t>
            </w:r>
          </w:p>
        </w:tc>
      </w:tr>
      <w:tr w:rsidR="00B85EF3" w:rsidRPr="00ED75F7" w14:paraId="22366DCB" w14:textId="77777777" w:rsidTr="00824652">
        <w:tc>
          <w:tcPr>
            <w:tcW w:w="5000" w:type="pct"/>
            <w:gridSpan w:val="7"/>
            <w:tcBorders>
              <w:right w:val="single" w:sz="4" w:space="0" w:color="auto"/>
            </w:tcBorders>
            <w:vAlign w:val="center"/>
          </w:tcPr>
          <w:p w14:paraId="2F747843" w14:textId="5C3977EF" w:rsidR="00B85EF3" w:rsidRPr="00ED75F7" w:rsidRDefault="00824652" w:rsidP="00824652">
            <w:pPr>
              <w:pStyle w:val="TableText0"/>
              <w:rPr>
                <w:rFonts w:cs="Calibri"/>
                <w:color w:val="FF0000"/>
                <w:szCs w:val="20"/>
                <w:lang w:val="en-US"/>
              </w:rPr>
            </w:pPr>
            <w:r w:rsidRPr="00ED75F7">
              <w:rPr>
                <w:b/>
                <w:bCs w:val="0"/>
                <w:szCs w:val="20"/>
              </w:rPr>
              <w:t xml:space="preserve">Estimated patient copayments </w:t>
            </w:r>
          </w:p>
        </w:tc>
      </w:tr>
      <w:tr w:rsidR="009D5E8D" w:rsidRPr="00ED75F7" w14:paraId="632F4AEC" w14:textId="77777777" w:rsidTr="000E2C30">
        <w:tc>
          <w:tcPr>
            <w:tcW w:w="1334" w:type="pct"/>
            <w:vAlign w:val="center"/>
          </w:tcPr>
          <w:p w14:paraId="0BA562EA" w14:textId="55DB277A" w:rsidR="00B85EF3" w:rsidRPr="00ED75F7" w:rsidRDefault="00CB6871" w:rsidP="00CB6871">
            <w:pPr>
              <w:pStyle w:val="TableText0"/>
              <w:rPr>
                <w:szCs w:val="20"/>
              </w:rPr>
            </w:pPr>
            <w:r w:rsidRPr="00ED75F7">
              <w:rPr>
                <w:szCs w:val="20"/>
              </w:rPr>
              <w:t>Cos</w:t>
            </w:r>
            <w:r w:rsidR="00997AC9" w:rsidRPr="00ED75F7">
              <w:rPr>
                <w:szCs w:val="20"/>
              </w:rPr>
              <w:t>t of copayment</w:t>
            </w:r>
            <w:r w:rsidR="00164719" w:rsidRPr="00ED75F7">
              <w:rPr>
                <w:szCs w:val="20"/>
              </w:rPr>
              <w:t>s</w:t>
            </w:r>
            <w:r w:rsidR="00C92825" w:rsidRPr="00ED75F7">
              <w:rPr>
                <w:b/>
                <w:bCs w:val="0"/>
                <w:szCs w:val="20"/>
              </w:rPr>
              <w:t xml:space="preserve"> </w:t>
            </w:r>
            <w:r w:rsidR="00C92825" w:rsidRPr="00ED75F7">
              <w:rPr>
                <w:szCs w:val="20"/>
              </w:rPr>
              <w:t>for CAL/BDP foam and ointment</w:t>
            </w:r>
          </w:p>
        </w:tc>
        <w:tc>
          <w:tcPr>
            <w:tcW w:w="611" w:type="pct"/>
            <w:tcBorders>
              <w:bottom w:val="single" w:sz="4" w:space="0" w:color="auto"/>
            </w:tcBorders>
            <w:vAlign w:val="center"/>
          </w:tcPr>
          <w:p w14:paraId="62D05005" w14:textId="3FFF6DDD" w:rsidR="00B85EF3" w:rsidRPr="00065101" w:rsidRDefault="00824652" w:rsidP="00F969E0">
            <w:pPr>
              <w:pStyle w:val="TableText0"/>
              <w:jc w:val="center"/>
              <w:rPr>
                <w:szCs w:val="20"/>
                <w:vertAlign w:val="superscript"/>
              </w:rPr>
            </w:pPr>
            <w:r w:rsidRPr="00ED75F7">
              <w:rPr>
                <w:szCs w:val="20"/>
              </w:rPr>
              <w:t>$</w:t>
            </w:r>
            <w:r w:rsidR="00770501" w:rsidRPr="00770501">
              <w:rPr>
                <w:color w:val="000000"/>
                <w:spacing w:val="51"/>
                <w:szCs w:val="20"/>
                <w:shd w:val="solid" w:color="000000" w:fill="000000"/>
                <w:fitText w:val="324" w:id="-632124661"/>
                <w14:textFill>
                  <w14:solidFill>
                    <w14:srgbClr w14:val="000000">
                      <w14:alpha w14:val="100000"/>
                    </w14:srgbClr>
                  </w14:solidFill>
                </w14:textFill>
              </w:rPr>
              <w:t>|||</w:t>
            </w:r>
            <w:r w:rsidR="00770501" w:rsidRPr="00770501">
              <w:rPr>
                <w:color w:val="000000"/>
                <w:spacing w:val="1"/>
                <w:szCs w:val="20"/>
                <w:shd w:val="solid" w:color="000000" w:fill="000000"/>
                <w:fitText w:val="324" w:id="-632124661"/>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AC5AD" w14:textId="29DF30A5" w:rsidR="00B85EF3" w:rsidRPr="00ED75F7" w:rsidRDefault="00824652" w:rsidP="00F969E0">
            <w:pPr>
              <w:pStyle w:val="TableText0"/>
              <w:jc w:val="center"/>
              <w:rPr>
                <w:szCs w:val="20"/>
              </w:rPr>
            </w:pPr>
            <w:r w:rsidRPr="00ED75F7">
              <w:rPr>
                <w:szCs w:val="20"/>
              </w:rPr>
              <w:t>$</w:t>
            </w:r>
            <w:r w:rsidR="00770501" w:rsidRPr="00770501">
              <w:rPr>
                <w:color w:val="000000"/>
                <w:spacing w:val="51"/>
                <w:szCs w:val="20"/>
                <w:shd w:val="solid" w:color="000000" w:fill="000000"/>
                <w:fitText w:val="324" w:id="-632124660"/>
                <w14:textFill>
                  <w14:solidFill>
                    <w14:srgbClr w14:val="000000">
                      <w14:alpha w14:val="100000"/>
                    </w14:srgbClr>
                  </w14:solidFill>
                </w14:textFill>
              </w:rPr>
              <w:t>|||</w:t>
            </w:r>
            <w:r w:rsidR="00770501" w:rsidRPr="00770501">
              <w:rPr>
                <w:color w:val="000000"/>
                <w:spacing w:val="1"/>
                <w:szCs w:val="20"/>
                <w:shd w:val="solid" w:color="000000" w:fill="000000"/>
                <w:fitText w:val="324" w:id="-632124660"/>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E7357" w14:textId="48CF4A9C" w:rsidR="00B85EF3" w:rsidRPr="00ED75F7" w:rsidRDefault="00824652" w:rsidP="00F969E0">
            <w:pPr>
              <w:pStyle w:val="TableText0"/>
              <w:jc w:val="center"/>
              <w:rPr>
                <w:szCs w:val="20"/>
              </w:rPr>
            </w:pPr>
            <w:r w:rsidRPr="00ED75F7">
              <w:rPr>
                <w:szCs w:val="20"/>
              </w:rPr>
              <w:t>$</w:t>
            </w:r>
            <w:r w:rsidR="00770501" w:rsidRPr="00770501">
              <w:rPr>
                <w:color w:val="000000"/>
                <w:spacing w:val="51"/>
                <w:szCs w:val="20"/>
                <w:shd w:val="solid" w:color="000000" w:fill="000000"/>
                <w:fitText w:val="324" w:id="-632124659"/>
                <w14:textFill>
                  <w14:solidFill>
                    <w14:srgbClr w14:val="000000">
                      <w14:alpha w14:val="100000"/>
                    </w14:srgbClr>
                  </w14:solidFill>
                </w14:textFill>
              </w:rPr>
              <w:t>|||</w:t>
            </w:r>
            <w:r w:rsidR="00770501" w:rsidRPr="00770501">
              <w:rPr>
                <w:color w:val="000000"/>
                <w:spacing w:val="1"/>
                <w:szCs w:val="20"/>
                <w:shd w:val="solid" w:color="000000" w:fill="000000"/>
                <w:fitText w:val="324" w:id="-632124659"/>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B7CE3" w14:textId="6C710589" w:rsidR="00B85EF3" w:rsidRPr="00ED75F7" w:rsidRDefault="00824652" w:rsidP="00F969E0">
            <w:pPr>
              <w:pStyle w:val="TableText0"/>
              <w:jc w:val="center"/>
              <w:rPr>
                <w:szCs w:val="20"/>
              </w:rPr>
            </w:pPr>
            <w:r w:rsidRPr="00ED75F7">
              <w:rPr>
                <w:szCs w:val="20"/>
              </w:rPr>
              <w:t>$</w:t>
            </w:r>
            <w:r w:rsidR="00770501" w:rsidRPr="00770501">
              <w:rPr>
                <w:color w:val="000000"/>
                <w:spacing w:val="51"/>
                <w:szCs w:val="20"/>
                <w:shd w:val="solid" w:color="000000" w:fill="000000"/>
                <w:fitText w:val="324" w:id="-632124658"/>
                <w14:textFill>
                  <w14:solidFill>
                    <w14:srgbClr w14:val="000000">
                      <w14:alpha w14:val="100000"/>
                    </w14:srgbClr>
                  </w14:solidFill>
                </w14:textFill>
              </w:rPr>
              <w:t>|||</w:t>
            </w:r>
            <w:r w:rsidR="00770501" w:rsidRPr="00770501">
              <w:rPr>
                <w:color w:val="000000"/>
                <w:spacing w:val="1"/>
                <w:szCs w:val="20"/>
                <w:shd w:val="solid" w:color="000000" w:fill="000000"/>
                <w:fitText w:val="324" w:id="-632124658"/>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2F7B7" w14:textId="3BC26D52" w:rsidR="00B85EF3" w:rsidRPr="00ED75F7" w:rsidRDefault="00824652" w:rsidP="00F969E0">
            <w:pPr>
              <w:pStyle w:val="TableText0"/>
              <w:jc w:val="center"/>
              <w:rPr>
                <w:szCs w:val="20"/>
              </w:rPr>
            </w:pPr>
            <w:r w:rsidRPr="00ED75F7">
              <w:rPr>
                <w:szCs w:val="20"/>
              </w:rPr>
              <w:t>$</w:t>
            </w:r>
            <w:r w:rsidR="00770501" w:rsidRPr="00770501">
              <w:rPr>
                <w:color w:val="000000"/>
                <w:spacing w:val="51"/>
                <w:szCs w:val="20"/>
                <w:shd w:val="solid" w:color="000000" w:fill="000000"/>
                <w:fitText w:val="324" w:id="-632124657"/>
                <w14:textFill>
                  <w14:solidFill>
                    <w14:srgbClr w14:val="000000">
                      <w14:alpha w14:val="100000"/>
                    </w14:srgbClr>
                  </w14:solidFill>
                </w14:textFill>
              </w:rPr>
              <w:t>|||</w:t>
            </w:r>
            <w:r w:rsidR="00770501" w:rsidRPr="00770501">
              <w:rPr>
                <w:color w:val="000000"/>
                <w:spacing w:val="1"/>
                <w:szCs w:val="20"/>
                <w:shd w:val="solid" w:color="000000" w:fill="000000"/>
                <w:fitText w:val="324" w:id="-632124657"/>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CDB" w14:textId="69799E10" w:rsidR="00B85EF3" w:rsidRPr="00ED75F7" w:rsidRDefault="00824652" w:rsidP="00F969E0">
            <w:pPr>
              <w:pStyle w:val="TableText0"/>
              <w:jc w:val="center"/>
              <w:rPr>
                <w:szCs w:val="20"/>
              </w:rPr>
            </w:pPr>
            <w:r w:rsidRPr="00ED75F7">
              <w:rPr>
                <w:szCs w:val="20"/>
              </w:rPr>
              <w:t>$</w:t>
            </w:r>
            <w:r w:rsidR="00770501" w:rsidRPr="00770501">
              <w:rPr>
                <w:color w:val="000000"/>
                <w:spacing w:val="51"/>
                <w:szCs w:val="20"/>
                <w:shd w:val="solid" w:color="000000" w:fill="000000"/>
                <w:fitText w:val="324" w:id="-632124656"/>
                <w14:textFill>
                  <w14:solidFill>
                    <w14:srgbClr w14:val="000000">
                      <w14:alpha w14:val="100000"/>
                    </w14:srgbClr>
                  </w14:solidFill>
                </w14:textFill>
              </w:rPr>
              <w:t>|||</w:t>
            </w:r>
            <w:r w:rsidR="00770501" w:rsidRPr="00770501">
              <w:rPr>
                <w:color w:val="000000"/>
                <w:spacing w:val="1"/>
                <w:szCs w:val="20"/>
                <w:shd w:val="solid" w:color="000000" w:fill="000000"/>
                <w:fitText w:val="324" w:id="-632124656"/>
                <w14:textFill>
                  <w14:solidFill>
                    <w14:srgbClr w14:val="000000">
                      <w14:alpha w14:val="100000"/>
                    </w14:srgbClr>
                  </w14:solidFill>
                </w14:textFill>
              </w:rPr>
              <w:t>|</w:t>
            </w:r>
            <w:r w:rsidR="00065101">
              <w:rPr>
                <w:szCs w:val="20"/>
                <w:vertAlign w:val="superscript"/>
              </w:rPr>
              <w:t>11</w:t>
            </w:r>
          </w:p>
        </w:tc>
      </w:tr>
      <w:tr w:rsidR="000E2C30" w:rsidRPr="00ED75F7" w14:paraId="0AD4EAAA" w14:textId="77777777" w:rsidTr="000E2C30">
        <w:tc>
          <w:tcPr>
            <w:tcW w:w="1334" w:type="pct"/>
            <w:vAlign w:val="center"/>
          </w:tcPr>
          <w:p w14:paraId="07C43C8E" w14:textId="6B123C16" w:rsidR="000E2C30" w:rsidRPr="00ED75F7" w:rsidRDefault="000E2C30" w:rsidP="000E2C30">
            <w:pPr>
              <w:pStyle w:val="TableText0"/>
              <w:rPr>
                <w:szCs w:val="20"/>
              </w:rPr>
            </w:pPr>
            <w:r w:rsidRPr="00ED75F7">
              <w:rPr>
                <w:szCs w:val="20"/>
              </w:rPr>
              <w:t>Cost of copayments for CAL/BDP cream</w:t>
            </w:r>
          </w:p>
        </w:tc>
        <w:tc>
          <w:tcPr>
            <w:tcW w:w="611" w:type="pct"/>
            <w:tcBorders>
              <w:top w:val="single" w:sz="4" w:space="0" w:color="auto"/>
              <w:left w:val="nil"/>
              <w:bottom w:val="nil"/>
              <w:right w:val="single" w:sz="4" w:space="0" w:color="auto"/>
            </w:tcBorders>
            <w:vAlign w:val="center"/>
          </w:tcPr>
          <w:p w14:paraId="0E53B5D5" w14:textId="675E52E5"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72"/>
                <w14:textFill>
                  <w14:solidFill>
                    <w14:srgbClr w14:val="000000">
                      <w14:alpha w14:val="100000"/>
                    </w14:srgbClr>
                  </w14:solidFill>
                </w14:textFill>
              </w:rPr>
              <w:t>|||</w:t>
            </w:r>
            <w:r w:rsidR="00770501" w:rsidRPr="00770501">
              <w:rPr>
                <w:color w:val="000000"/>
                <w:spacing w:val="1"/>
                <w:szCs w:val="20"/>
                <w:shd w:val="solid" w:color="000000" w:fill="000000"/>
                <w:fitText w:val="330" w:id="-632124672"/>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nil"/>
              <w:right w:val="single" w:sz="4" w:space="0" w:color="auto"/>
            </w:tcBorders>
            <w:vAlign w:val="center"/>
          </w:tcPr>
          <w:p w14:paraId="3C736BBB" w14:textId="25DC6165"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71"/>
                <w14:textFill>
                  <w14:solidFill>
                    <w14:srgbClr w14:val="000000">
                      <w14:alpha w14:val="100000"/>
                    </w14:srgbClr>
                  </w14:solidFill>
                </w14:textFill>
              </w:rPr>
              <w:t>|||</w:t>
            </w:r>
            <w:r w:rsidR="00770501" w:rsidRPr="00770501">
              <w:rPr>
                <w:color w:val="000000"/>
                <w:spacing w:val="1"/>
                <w:szCs w:val="20"/>
                <w:shd w:val="solid" w:color="000000" w:fill="000000"/>
                <w:fitText w:val="330" w:id="-632124671"/>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nil"/>
              <w:right w:val="single" w:sz="4" w:space="0" w:color="auto"/>
            </w:tcBorders>
            <w:vAlign w:val="center"/>
          </w:tcPr>
          <w:p w14:paraId="32F8C1BC" w14:textId="0C2BEF93"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70"/>
                <w14:textFill>
                  <w14:solidFill>
                    <w14:srgbClr w14:val="000000">
                      <w14:alpha w14:val="100000"/>
                    </w14:srgbClr>
                  </w14:solidFill>
                </w14:textFill>
              </w:rPr>
              <w:t>|||</w:t>
            </w:r>
            <w:r w:rsidR="00770501" w:rsidRPr="00770501">
              <w:rPr>
                <w:color w:val="000000"/>
                <w:spacing w:val="1"/>
                <w:szCs w:val="20"/>
                <w:shd w:val="solid" w:color="000000" w:fill="000000"/>
                <w:fitText w:val="330" w:id="-632124670"/>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nil"/>
              <w:right w:val="single" w:sz="4" w:space="0" w:color="auto"/>
            </w:tcBorders>
            <w:vAlign w:val="center"/>
          </w:tcPr>
          <w:p w14:paraId="0C2D0E89" w14:textId="0A9E4594"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69"/>
                <w14:textFill>
                  <w14:solidFill>
                    <w14:srgbClr w14:val="000000">
                      <w14:alpha w14:val="100000"/>
                    </w14:srgbClr>
                  </w14:solidFill>
                </w14:textFill>
              </w:rPr>
              <w:t>|||</w:t>
            </w:r>
            <w:r w:rsidR="00770501" w:rsidRPr="00770501">
              <w:rPr>
                <w:color w:val="000000"/>
                <w:spacing w:val="1"/>
                <w:szCs w:val="20"/>
                <w:shd w:val="solid" w:color="000000" w:fill="000000"/>
                <w:fitText w:val="330" w:id="-632124669"/>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nil"/>
              <w:right w:val="single" w:sz="4" w:space="0" w:color="auto"/>
            </w:tcBorders>
            <w:vAlign w:val="center"/>
          </w:tcPr>
          <w:p w14:paraId="37934AF4" w14:textId="18AA29C3"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68"/>
                <w14:textFill>
                  <w14:solidFill>
                    <w14:srgbClr w14:val="000000">
                      <w14:alpha w14:val="100000"/>
                    </w14:srgbClr>
                  </w14:solidFill>
                </w14:textFill>
              </w:rPr>
              <w:t>|||</w:t>
            </w:r>
            <w:r w:rsidR="00770501" w:rsidRPr="00770501">
              <w:rPr>
                <w:color w:val="000000"/>
                <w:spacing w:val="1"/>
                <w:szCs w:val="20"/>
                <w:shd w:val="solid" w:color="000000" w:fill="000000"/>
                <w:fitText w:val="330" w:id="-632124668"/>
                <w14:textFill>
                  <w14:solidFill>
                    <w14:srgbClr w14:val="000000">
                      <w14:alpha w14:val="100000"/>
                    </w14:srgbClr>
                  </w14:solidFill>
                </w14:textFill>
              </w:rPr>
              <w:t>|</w:t>
            </w:r>
            <w:r w:rsidR="00065101">
              <w:rPr>
                <w:szCs w:val="20"/>
                <w:vertAlign w:val="superscript"/>
              </w:rPr>
              <w:t>11</w:t>
            </w:r>
          </w:p>
        </w:tc>
        <w:tc>
          <w:tcPr>
            <w:tcW w:w="611" w:type="pct"/>
            <w:tcBorders>
              <w:top w:val="single" w:sz="4" w:space="0" w:color="auto"/>
              <w:left w:val="single" w:sz="4" w:space="0" w:color="auto"/>
              <w:bottom w:val="nil"/>
              <w:right w:val="single" w:sz="4" w:space="0" w:color="auto"/>
            </w:tcBorders>
            <w:vAlign w:val="center"/>
          </w:tcPr>
          <w:p w14:paraId="28AF3A6C" w14:textId="00EFB644" w:rsidR="000E2C30" w:rsidRPr="00ED75F7" w:rsidRDefault="000E2C30" w:rsidP="000E2C30">
            <w:pPr>
              <w:pStyle w:val="TableText0"/>
              <w:jc w:val="center"/>
              <w:rPr>
                <w:szCs w:val="20"/>
              </w:rPr>
            </w:pPr>
            <w:r w:rsidRPr="00ED75F7">
              <w:rPr>
                <w:szCs w:val="20"/>
              </w:rPr>
              <w:t>-$</w:t>
            </w:r>
            <w:r w:rsidR="00770501" w:rsidRPr="00770501">
              <w:rPr>
                <w:color w:val="000000"/>
                <w:spacing w:val="53"/>
                <w:szCs w:val="20"/>
                <w:shd w:val="solid" w:color="000000" w:fill="000000"/>
                <w:fitText w:val="330" w:id="-632124667"/>
                <w14:textFill>
                  <w14:solidFill>
                    <w14:srgbClr w14:val="000000">
                      <w14:alpha w14:val="100000"/>
                    </w14:srgbClr>
                  </w14:solidFill>
                </w14:textFill>
              </w:rPr>
              <w:t>|||</w:t>
            </w:r>
            <w:r w:rsidR="00770501" w:rsidRPr="00770501">
              <w:rPr>
                <w:color w:val="000000"/>
                <w:spacing w:val="1"/>
                <w:szCs w:val="20"/>
                <w:shd w:val="solid" w:color="000000" w:fill="000000"/>
                <w:fitText w:val="330" w:id="-632124667"/>
                <w14:textFill>
                  <w14:solidFill>
                    <w14:srgbClr w14:val="000000">
                      <w14:alpha w14:val="100000"/>
                    </w14:srgbClr>
                  </w14:solidFill>
                </w14:textFill>
              </w:rPr>
              <w:t>|</w:t>
            </w:r>
            <w:r w:rsidR="00065101">
              <w:rPr>
                <w:szCs w:val="20"/>
                <w:vertAlign w:val="superscript"/>
              </w:rPr>
              <w:t>11</w:t>
            </w:r>
          </w:p>
        </w:tc>
      </w:tr>
      <w:tr w:rsidR="001514F6" w:rsidRPr="00ED75F7" w14:paraId="1E699D47" w14:textId="77777777" w:rsidTr="009C3A3A">
        <w:tc>
          <w:tcPr>
            <w:tcW w:w="5000" w:type="pct"/>
            <w:gridSpan w:val="7"/>
            <w:vAlign w:val="center"/>
          </w:tcPr>
          <w:p w14:paraId="7D0E0884" w14:textId="43AA17E8" w:rsidR="00385A9D" w:rsidRPr="00ED75F7" w:rsidRDefault="00385A9D" w:rsidP="00606FBA">
            <w:pPr>
              <w:pStyle w:val="In-tableHeading"/>
              <w:rPr>
                <w:szCs w:val="20"/>
              </w:rPr>
            </w:pPr>
            <w:r w:rsidRPr="00ED75F7">
              <w:rPr>
                <w:szCs w:val="20"/>
              </w:rPr>
              <w:t xml:space="preserve">Estimated financial implications of </w:t>
            </w:r>
            <w:r w:rsidR="009663AB" w:rsidRPr="00ED75F7">
              <w:rPr>
                <w:szCs w:val="20"/>
              </w:rPr>
              <w:t>CAL/BDP cream</w:t>
            </w:r>
          </w:p>
        </w:tc>
      </w:tr>
      <w:tr w:rsidR="001514F6" w:rsidRPr="00ED75F7" w14:paraId="4B4ACF1A" w14:textId="77777777" w:rsidTr="009663AB">
        <w:tc>
          <w:tcPr>
            <w:tcW w:w="1334" w:type="pct"/>
            <w:vAlign w:val="center"/>
          </w:tcPr>
          <w:p w14:paraId="467993BD" w14:textId="618A57F1" w:rsidR="009663AB" w:rsidRPr="00ED75F7" w:rsidRDefault="009663AB" w:rsidP="009663AB">
            <w:pPr>
              <w:pStyle w:val="TableText0"/>
              <w:rPr>
                <w:szCs w:val="20"/>
              </w:rPr>
            </w:pPr>
            <w:r w:rsidRPr="00ED75F7">
              <w:rPr>
                <w:szCs w:val="20"/>
              </w:rPr>
              <w:t>Cost to PBS/RPBS less copayments</w:t>
            </w:r>
          </w:p>
        </w:tc>
        <w:tc>
          <w:tcPr>
            <w:tcW w:w="611" w:type="pct"/>
            <w:vAlign w:val="center"/>
          </w:tcPr>
          <w:p w14:paraId="4125A2B6" w14:textId="38D0E0FB" w:rsidR="009663AB" w:rsidRPr="00ED75F7" w:rsidRDefault="009663AB" w:rsidP="009663AB">
            <w:pPr>
              <w:pStyle w:val="TableText0"/>
              <w:jc w:val="center"/>
              <w:rPr>
                <w:szCs w:val="20"/>
              </w:rPr>
            </w:pPr>
            <w:r w:rsidRPr="00ED75F7">
              <w:rPr>
                <w:szCs w:val="20"/>
              </w:rPr>
              <w:t>$</w:t>
            </w:r>
            <w:r w:rsidR="00770501" w:rsidRPr="00770501">
              <w:rPr>
                <w:color w:val="000000"/>
                <w:spacing w:val="51"/>
                <w:szCs w:val="20"/>
                <w:shd w:val="solid" w:color="000000" w:fill="000000"/>
                <w:fitText w:val="324" w:id="-632124666"/>
                <w14:textFill>
                  <w14:solidFill>
                    <w14:srgbClr w14:val="000000">
                      <w14:alpha w14:val="100000"/>
                    </w14:srgbClr>
                  </w14:solidFill>
                </w14:textFill>
              </w:rPr>
              <w:t>|||</w:t>
            </w:r>
            <w:r w:rsidR="00770501" w:rsidRPr="00770501">
              <w:rPr>
                <w:color w:val="000000"/>
                <w:spacing w:val="1"/>
                <w:szCs w:val="20"/>
                <w:shd w:val="solid" w:color="000000" w:fill="000000"/>
                <w:fitText w:val="324" w:id="-632124666"/>
                <w14:textFill>
                  <w14:solidFill>
                    <w14:srgbClr w14:val="000000">
                      <w14:alpha w14:val="100000"/>
                    </w14:srgbClr>
                  </w14:solidFill>
                </w14:textFill>
              </w:rPr>
              <w:t>|</w:t>
            </w:r>
            <w:r w:rsidR="00065101">
              <w:rPr>
                <w:szCs w:val="20"/>
                <w:vertAlign w:val="superscript"/>
              </w:rPr>
              <w:t>11</w:t>
            </w:r>
          </w:p>
        </w:tc>
        <w:tc>
          <w:tcPr>
            <w:tcW w:w="611" w:type="pct"/>
            <w:vAlign w:val="center"/>
          </w:tcPr>
          <w:p w14:paraId="5BDFECEB" w14:textId="40DE34B1" w:rsidR="009663AB" w:rsidRPr="00ED75F7" w:rsidRDefault="009663AB" w:rsidP="009663AB">
            <w:pPr>
              <w:pStyle w:val="TableText0"/>
              <w:jc w:val="center"/>
              <w:rPr>
                <w:szCs w:val="20"/>
              </w:rPr>
            </w:pPr>
            <w:r w:rsidRPr="00ED75F7">
              <w:rPr>
                <w:szCs w:val="20"/>
              </w:rPr>
              <w:t>$</w:t>
            </w:r>
            <w:r w:rsidR="00770501" w:rsidRPr="00770501">
              <w:rPr>
                <w:color w:val="000000"/>
                <w:spacing w:val="51"/>
                <w:szCs w:val="20"/>
                <w:shd w:val="solid" w:color="000000" w:fill="000000"/>
                <w:fitText w:val="324" w:id="-632124665"/>
                <w14:textFill>
                  <w14:solidFill>
                    <w14:srgbClr w14:val="000000">
                      <w14:alpha w14:val="100000"/>
                    </w14:srgbClr>
                  </w14:solidFill>
                </w14:textFill>
              </w:rPr>
              <w:t>|||</w:t>
            </w:r>
            <w:r w:rsidR="00770501" w:rsidRPr="00770501">
              <w:rPr>
                <w:color w:val="000000"/>
                <w:spacing w:val="1"/>
                <w:szCs w:val="20"/>
                <w:shd w:val="solid" w:color="000000" w:fill="000000"/>
                <w:fitText w:val="324" w:id="-632124665"/>
                <w14:textFill>
                  <w14:solidFill>
                    <w14:srgbClr w14:val="000000">
                      <w14:alpha w14:val="100000"/>
                    </w14:srgbClr>
                  </w14:solidFill>
                </w14:textFill>
              </w:rPr>
              <w:t>|</w:t>
            </w:r>
            <w:r w:rsidR="00065101">
              <w:rPr>
                <w:szCs w:val="20"/>
                <w:vertAlign w:val="superscript"/>
              </w:rPr>
              <w:t>11</w:t>
            </w:r>
          </w:p>
        </w:tc>
        <w:tc>
          <w:tcPr>
            <w:tcW w:w="611" w:type="pct"/>
            <w:vAlign w:val="center"/>
          </w:tcPr>
          <w:p w14:paraId="3890D42E" w14:textId="752F153F" w:rsidR="009663AB" w:rsidRPr="00ED75F7" w:rsidRDefault="009663AB" w:rsidP="009663AB">
            <w:pPr>
              <w:pStyle w:val="TableText0"/>
              <w:jc w:val="center"/>
              <w:rPr>
                <w:szCs w:val="20"/>
              </w:rPr>
            </w:pPr>
            <w:r w:rsidRPr="00ED75F7">
              <w:rPr>
                <w:szCs w:val="20"/>
              </w:rPr>
              <w:t>$</w:t>
            </w:r>
            <w:r w:rsidR="00770501" w:rsidRPr="00770501">
              <w:rPr>
                <w:color w:val="000000"/>
                <w:spacing w:val="51"/>
                <w:szCs w:val="20"/>
                <w:shd w:val="solid" w:color="000000" w:fill="000000"/>
                <w:fitText w:val="324" w:id="-632124664"/>
                <w14:textFill>
                  <w14:solidFill>
                    <w14:srgbClr w14:val="000000">
                      <w14:alpha w14:val="100000"/>
                    </w14:srgbClr>
                  </w14:solidFill>
                </w14:textFill>
              </w:rPr>
              <w:t>|||</w:t>
            </w:r>
            <w:r w:rsidR="00770501" w:rsidRPr="00770501">
              <w:rPr>
                <w:color w:val="000000"/>
                <w:spacing w:val="1"/>
                <w:szCs w:val="20"/>
                <w:shd w:val="solid" w:color="000000" w:fill="000000"/>
                <w:fitText w:val="324" w:id="-632124664"/>
                <w14:textFill>
                  <w14:solidFill>
                    <w14:srgbClr w14:val="000000">
                      <w14:alpha w14:val="100000"/>
                    </w14:srgbClr>
                  </w14:solidFill>
                </w14:textFill>
              </w:rPr>
              <w:t>|</w:t>
            </w:r>
            <w:r w:rsidR="00065101">
              <w:rPr>
                <w:szCs w:val="20"/>
                <w:vertAlign w:val="superscript"/>
              </w:rPr>
              <w:t>11</w:t>
            </w:r>
          </w:p>
        </w:tc>
        <w:tc>
          <w:tcPr>
            <w:tcW w:w="611" w:type="pct"/>
            <w:vAlign w:val="center"/>
          </w:tcPr>
          <w:p w14:paraId="2728B643" w14:textId="3B547827"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1"/>
                <w:szCs w:val="20"/>
                <w:shd w:val="solid" w:color="000000" w:fill="000000"/>
                <w:fitText w:val="324" w:id="-632124663"/>
                <w14:textFill>
                  <w14:solidFill>
                    <w14:srgbClr w14:val="000000">
                      <w14:alpha w14:val="100000"/>
                    </w14:srgbClr>
                  </w14:solidFill>
                </w14:textFill>
              </w:rPr>
              <w:t>|||</w:t>
            </w:r>
            <w:r w:rsidR="00770501" w:rsidRPr="00770501">
              <w:rPr>
                <w:color w:val="000000"/>
                <w:spacing w:val="1"/>
                <w:szCs w:val="20"/>
                <w:shd w:val="solid" w:color="000000" w:fill="000000"/>
                <w:fitText w:val="324" w:id="-632124663"/>
                <w14:textFill>
                  <w14:solidFill>
                    <w14:srgbClr w14:val="000000">
                      <w14:alpha w14:val="100000"/>
                    </w14:srgbClr>
                  </w14:solidFill>
                </w14:textFill>
              </w:rPr>
              <w:t>|</w:t>
            </w:r>
            <w:r w:rsidR="00065101">
              <w:rPr>
                <w:szCs w:val="20"/>
                <w:vertAlign w:val="superscript"/>
              </w:rPr>
              <w:t>11</w:t>
            </w:r>
          </w:p>
        </w:tc>
        <w:tc>
          <w:tcPr>
            <w:tcW w:w="611" w:type="pct"/>
            <w:vAlign w:val="center"/>
          </w:tcPr>
          <w:p w14:paraId="5FE5021A" w14:textId="2EF62586"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1"/>
                <w:szCs w:val="20"/>
                <w:shd w:val="solid" w:color="000000" w:fill="000000"/>
                <w:fitText w:val="324" w:id="-632124662"/>
                <w14:textFill>
                  <w14:solidFill>
                    <w14:srgbClr w14:val="000000">
                      <w14:alpha w14:val="100000"/>
                    </w14:srgbClr>
                  </w14:solidFill>
                </w14:textFill>
              </w:rPr>
              <w:t>|||</w:t>
            </w:r>
            <w:r w:rsidR="00770501" w:rsidRPr="00770501">
              <w:rPr>
                <w:color w:val="000000"/>
                <w:spacing w:val="1"/>
                <w:szCs w:val="20"/>
                <w:shd w:val="solid" w:color="000000" w:fill="000000"/>
                <w:fitText w:val="324" w:id="-632124662"/>
                <w14:textFill>
                  <w14:solidFill>
                    <w14:srgbClr w14:val="000000">
                      <w14:alpha w14:val="100000"/>
                    </w14:srgbClr>
                  </w14:solidFill>
                </w14:textFill>
              </w:rPr>
              <w:t>|</w:t>
            </w:r>
            <w:r w:rsidR="00065101">
              <w:rPr>
                <w:szCs w:val="20"/>
                <w:vertAlign w:val="superscript"/>
              </w:rPr>
              <w:t>11</w:t>
            </w:r>
          </w:p>
        </w:tc>
        <w:tc>
          <w:tcPr>
            <w:tcW w:w="611" w:type="pct"/>
            <w:vAlign w:val="center"/>
          </w:tcPr>
          <w:p w14:paraId="6F8E9082" w14:textId="6C36D578"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1"/>
                <w:szCs w:val="20"/>
                <w:shd w:val="solid" w:color="000000" w:fill="000000"/>
                <w:fitText w:val="324" w:id="-632124661"/>
                <w14:textFill>
                  <w14:solidFill>
                    <w14:srgbClr w14:val="000000">
                      <w14:alpha w14:val="100000"/>
                    </w14:srgbClr>
                  </w14:solidFill>
                </w14:textFill>
              </w:rPr>
              <w:t>|||</w:t>
            </w:r>
            <w:r w:rsidR="00770501" w:rsidRPr="00770501">
              <w:rPr>
                <w:color w:val="000000"/>
                <w:spacing w:val="1"/>
                <w:szCs w:val="20"/>
                <w:shd w:val="solid" w:color="000000" w:fill="000000"/>
                <w:fitText w:val="324" w:id="-632124661"/>
                <w14:textFill>
                  <w14:solidFill>
                    <w14:srgbClr w14:val="000000">
                      <w14:alpha w14:val="100000"/>
                    </w14:srgbClr>
                  </w14:solidFill>
                </w14:textFill>
              </w:rPr>
              <w:t>|</w:t>
            </w:r>
            <w:r w:rsidR="00065101">
              <w:rPr>
                <w:szCs w:val="20"/>
                <w:vertAlign w:val="superscript"/>
              </w:rPr>
              <w:t>11</w:t>
            </w:r>
          </w:p>
        </w:tc>
      </w:tr>
      <w:tr w:rsidR="001514F6" w:rsidRPr="00ED75F7" w14:paraId="344AC0E2" w14:textId="77777777" w:rsidTr="009C3A3A">
        <w:tc>
          <w:tcPr>
            <w:tcW w:w="5000" w:type="pct"/>
            <w:gridSpan w:val="7"/>
            <w:vAlign w:val="center"/>
          </w:tcPr>
          <w:p w14:paraId="0FF7E64D" w14:textId="7D3BC213" w:rsidR="00385A9D" w:rsidRPr="00ED75F7" w:rsidRDefault="00385A9D" w:rsidP="00606FBA">
            <w:pPr>
              <w:pStyle w:val="TableText0"/>
              <w:rPr>
                <w:b/>
                <w:bCs w:val="0"/>
                <w:szCs w:val="20"/>
              </w:rPr>
            </w:pPr>
            <w:r w:rsidRPr="00ED75F7">
              <w:rPr>
                <w:b/>
                <w:bCs w:val="0"/>
                <w:szCs w:val="20"/>
              </w:rPr>
              <w:t xml:space="preserve">Estimated financial implications for </w:t>
            </w:r>
            <w:r w:rsidR="009663AB" w:rsidRPr="00ED75F7">
              <w:rPr>
                <w:b/>
                <w:bCs w:val="0"/>
                <w:szCs w:val="20"/>
              </w:rPr>
              <w:t>CAL/BDP foam and ointment</w:t>
            </w:r>
          </w:p>
        </w:tc>
      </w:tr>
      <w:tr w:rsidR="001514F6" w:rsidRPr="00ED75F7" w14:paraId="0CE077D9" w14:textId="77777777" w:rsidTr="009663AB">
        <w:tc>
          <w:tcPr>
            <w:tcW w:w="1334" w:type="pct"/>
            <w:vAlign w:val="center"/>
          </w:tcPr>
          <w:p w14:paraId="40F6A2C5" w14:textId="135CB323" w:rsidR="009663AB" w:rsidRPr="00ED75F7" w:rsidRDefault="009663AB" w:rsidP="009663AB">
            <w:pPr>
              <w:pStyle w:val="TableText0"/>
              <w:rPr>
                <w:szCs w:val="20"/>
              </w:rPr>
            </w:pPr>
            <w:r w:rsidRPr="00ED75F7">
              <w:rPr>
                <w:szCs w:val="20"/>
              </w:rPr>
              <w:t>Cost to PBS/RPBS less copayments</w:t>
            </w:r>
          </w:p>
        </w:tc>
        <w:tc>
          <w:tcPr>
            <w:tcW w:w="611" w:type="pct"/>
            <w:vAlign w:val="center"/>
          </w:tcPr>
          <w:p w14:paraId="50CF2446" w14:textId="7990C5C1"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60"/>
                <w14:textFill>
                  <w14:solidFill>
                    <w14:srgbClr w14:val="000000">
                      <w14:alpha w14:val="100000"/>
                    </w14:srgbClr>
                  </w14:solidFill>
                </w14:textFill>
              </w:rPr>
              <w:t>|||</w:t>
            </w:r>
            <w:r w:rsidR="00770501" w:rsidRPr="00770501">
              <w:rPr>
                <w:color w:val="000000"/>
                <w:spacing w:val="1"/>
                <w:szCs w:val="20"/>
                <w:shd w:val="solid" w:color="000000" w:fill="000000"/>
                <w:fitText w:val="330" w:id="-632124660"/>
                <w14:textFill>
                  <w14:solidFill>
                    <w14:srgbClr w14:val="000000">
                      <w14:alpha w14:val="100000"/>
                    </w14:srgbClr>
                  </w14:solidFill>
                </w14:textFill>
              </w:rPr>
              <w:t>|</w:t>
            </w:r>
            <w:r w:rsidR="00065101">
              <w:rPr>
                <w:szCs w:val="20"/>
                <w:vertAlign w:val="superscript"/>
              </w:rPr>
              <w:t>11</w:t>
            </w:r>
          </w:p>
        </w:tc>
        <w:tc>
          <w:tcPr>
            <w:tcW w:w="611" w:type="pct"/>
            <w:vAlign w:val="center"/>
          </w:tcPr>
          <w:p w14:paraId="35AF80ED" w14:textId="3A4CD12C"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59"/>
                <w14:textFill>
                  <w14:solidFill>
                    <w14:srgbClr w14:val="000000">
                      <w14:alpha w14:val="100000"/>
                    </w14:srgbClr>
                  </w14:solidFill>
                </w14:textFill>
              </w:rPr>
              <w:t>|||</w:t>
            </w:r>
            <w:r w:rsidR="00770501" w:rsidRPr="00770501">
              <w:rPr>
                <w:color w:val="000000"/>
                <w:spacing w:val="1"/>
                <w:szCs w:val="20"/>
                <w:shd w:val="solid" w:color="000000" w:fill="000000"/>
                <w:fitText w:val="330" w:id="-632124659"/>
                <w14:textFill>
                  <w14:solidFill>
                    <w14:srgbClr w14:val="000000">
                      <w14:alpha w14:val="100000"/>
                    </w14:srgbClr>
                  </w14:solidFill>
                </w14:textFill>
              </w:rPr>
              <w:t>|</w:t>
            </w:r>
            <w:r w:rsidR="00065101">
              <w:rPr>
                <w:szCs w:val="20"/>
                <w:vertAlign w:val="superscript"/>
              </w:rPr>
              <w:t>11</w:t>
            </w:r>
          </w:p>
        </w:tc>
        <w:tc>
          <w:tcPr>
            <w:tcW w:w="611" w:type="pct"/>
            <w:vAlign w:val="center"/>
          </w:tcPr>
          <w:p w14:paraId="28F1C25D" w14:textId="2131F85E"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58"/>
                <w14:textFill>
                  <w14:solidFill>
                    <w14:srgbClr w14:val="000000">
                      <w14:alpha w14:val="100000"/>
                    </w14:srgbClr>
                  </w14:solidFill>
                </w14:textFill>
              </w:rPr>
              <w:t>|||</w:t>
            </w:r>
            <w:r w:rsidR="00770501" w:rsidRPr="00770501">
              <w:rPr>
                <w:color w:val="000000"/>
                <w:spacing w:val="1"/>
                <w:szCs w:val="20"/>
                <w:shd w:val="solid" w:color="000000" w:fill="000000"/>
                <w:fitText w:val="330" w:id="-632124658"/>
                <w14:textFill>
                  <w14:solidFill>
                    <w14:srgbClr w14:val="000000">
                      <w14:alpha w14:val="100000"/>
                    </w14:srgbClr>
                  </w14:solidFill>
                </w14:textFill>
              </w:rPr>
              <w:t>|</w:t>
            </w:r>
            <w:r w:rsidR="00065101">
              <w:rPr>
                <w:szCs w:val="20"/>
                <w:vertAlign w:val="superscript"/>
              </w:rPr>
              <w:t>11</w:t>
            </w:r>
          </w:p>
        </w:tc>
        <w:tc>
          <w:tcPr>
            <w:tcW w:w="611" w:type="pct"/>
            <w:vAlign w:val="center"/>
          </w:tcPr>
          <w:p w14:paraId="5DBA4173" w14:textId="5A4CFF61"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57"/>
                <w14:textFill>
                  <w14:solidFill>
                    <w14:srgbClr w14:val="000000">
                      <w14:alpha w14:val="100000"/>
                    </w14:srgbClr>
                  </w14:solidFill>
                </w14:textFill>
              </w:rPr>
              <w:t>|||</w:t>
            </w:r>
            <w:r w:rsidR="00770501" w:rsidRPr="00770501">
              <w:rPr>
                <w:color w:val="000000"/>
                <w:spacing w:val="1"/>
                <w:szCs w:val="20"/>
                <w:shd w:val="solid" w:color="000000" w:fill="000000"/>
                <w:fitText w:val="330" w:id="-632124657"/>
                <w14:textFill>
                  <w14:solidFill>
                    <w14:srgbClr w14:val="000000">
                      <w14:alpha w14:val="100000"/>
                    </w14:srgbClr>
                  </w14:solidFill>
                </w14:textFill>
              </w:rPr>
              <w:t>|</w:t>
            </w:r>
            <w:r w:rsidR="00065101">
              <w:rPr>
                <w:szCs w:val="20"/>
                <w:vertAlign w:val="superscript"/>
              </w:rPr>
              <w:t>11</w:t>
            </w:r>
          </w:p>
        </w:tc>
        <w:tc>
          <w:tcPr>
            <w:tcW w:w="611" w:type="pct"/>
            <w:vAlign w:val="center"/>
          </w:tcPr>
          <w:p w14:paraId="4D6DC68C" w14:textId="43C5940E"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56"/>
                <w14:textFill>
                  <w14:solidFill>
                    <w14:srgbClr w14:val="000000">
                      <w14:alpha w14:val="100000"/>
                    </w14:srgbClr>
                  </w14:solidFill>
                </w14:textFill>
              </w:rPr>
              <w:t>|||</w:t>
            </w:r>
            <w:r w:rsidR="00770501" w:rsidRPr="00770501">
              <w:rPr>
                <w:color w:val="000000"/>
                <w:spacing w:val="1"/>
                <w:szCs w:val="20"/>
                <w:shd w:val="solid" w:color="000000" w:fill="000000"/>
                <w:fitText w:val="330" w:id="-632124656"/>
                <w14:textFill>
                  <w14:solidFill>
                    <w14:srgbClr w14:val="000000">
                      <w14:alpha w14:val="100000"/>
                    </w14:srgbClr>
                  </w14:solidFill>
                </w14:textFill>
              </w:rPr>
              <w:t>|</w:t>
            </w:r>
            <w:r w:rsidR="00065101">
              <w:rPr>
                <w:szCs w:val="20"/>
                <w:vertAlign w:val="superscript"/>
              </w:rPr>
              <w:t>11</w:t>
            </w:r>
          </w:p>
        </w:tc>
        <w:tc>
          <w:tcPr>
            <w:tcW w:w="611" w:type="pct"/>
            <w:vAlign w:val="center"/>
          </w:tcPr>
          <w:p w14:paraId="0766C6AC" w14:textId="4230795B"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72"/>
                <w14:textFill>
                  <w14:solidFill>
                    <w14:srgbClr w14:val="000000">
                      <w14:alpha w14:val="100000"/>
                    </w14:srgbClr>
                  </w14:solidFill>
                </w14:textFill>
              </w:rPr>
              <w:t>|||</w:t>
            </w:r>
            <w:r w:rsidR="00770501" w:rsidRPr="00770501">
              <w:rPr>
                <w:color w:val="000000"/>
                <w:spacing w:val="1"/>
                <w:szCs w:val="20"/>
                <w:shd w:val="solid" w:color="000000" w:fill="000000"/>
                <w:fitText w:val="330" w:id="-632124672"/>
                <w14:textFill>
                  <w14:solidFill>
                    <w14:srgbClr w14:val="000000">
                      <w14:alpha w14:val="100000"/>
                    </w14:srgbClr>
                  </w14:solidFill>
                </w14:textFill>
              </w:rPr>
              <w:t>|</w:t>
            </w:r>
            <w:r w:rsidR="00065101">
              <w:rPr>
                <w:szCs w:val="20"/>
                <w:vertAlign w:val="superscript"/>
              </w:rPr>
              <w:t>11</w:t>
            </w:r>
          </w:p>
        </w:tc>
      </w:tr>
      <w:tr w:rsidR="001514F6" w:rsidRPr="00ED75F7" w14:paraId="4FA07BD8" w14:textId="77777777" w:rsidTr="009C3A3A">
        <w:tc>
          <w:tcPr>
            <w:tcW w:w="5000" w:type="pct"/>
            <w:gridSpan w:val="7"/>
            <w:vAlign w:val="center"/>
          </w:tcPr>
          <w:p w14:paraId="1A627EA0" w14:textId="78913E6C" w:rsidR="00385A9D" w:rsidRPr="00ED75F7" w:rsidRDefault="00385A9D" w:rsidP="00606FBA">
            <w:pPr>
              <w:pStyle w:val="In-tableHeading"/>
              <w:rPr>
                <w:szCs w:val="20"/>
              </w:rPr>
            </w:pPr>
            <w:r w:rsidRPr="00ED75F7">
              <w:rPr>
                <w:szCs w:val="20"/>
              </w:rPr>
              <w:t xml:space="preserve">Net financial implications </w:t>
            </w:r>
          </w:p>
        </w:tc>
      </w:tr>
      <w:tr w:rsidR="001514F6" w:rsidRPr="00ED75F7" w14:paraId="3F33D4C6" w14:textId="77777777" w:rsidTr="002675DC">
        <w:tc>
          <w:tcPr>
            <w:tcW w:w="1334" w:type="pct"/>
            <w:vAlign w:val="center"/>
          </w:tcPr>
          <w:p w14:paraId="5ABBDE64" w14:textId="77777777" w:rsidR="009663AB" w:rsidRPr="00ED75F7" w:rsidRDefault="009663AB" w:rsidP="009663AB">
            <w:pPr>
              <w:pStyle w:val="TableText0"/>
              <w:rPr>
                <w:szCs w:val="20"/>
              </w:rPr>
            </w:pPr>
            <w:r w:rsidRPr="00ED75F7">
              <w:rPr>
                <w:szCs w:val="20"/>
              </w:rPr>
              <w:t>Net cost to PBS/RPBS</w:t>
            </w:r>
          </w:p>
        </w:tc>
        <w:tc>
          <w:tcPr>
            <w:tcW w:w="611" w:type="pct"/>
          </w:tcPr>
          <w:p w14:paraId="744F82C2" w14:textId="6F704247"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71"/>
                <w14:textFill>
                  <w14:solidFill>
                    <w14:srgbClr w14:val="000000">
                      <w14:alpha w14:val="100000"/>
                    </w14:srgbClr>
                  </w14:solidFill>
                </w14:textFill>
              </w:rPr>
              <w:t>|||</w:t>
            </w:r>
            <w:r w:rsidR="00770501" w:rsidRPr="00770501">
              <w:rPr>
                <w:color w:val="000000"/>
                <w:spacing w:val="1"/>
                <w:szCs w:val="20"/>
                <w:shd w:val="solid" w:color="000000" w:fill="000000"/>
                <w:fitText w:val="330" w:id="-632124671"/>
                <w14:textFill>
                  <w14:solidFill>
                    <w14:srgbClr w14:val="000000">
                      <w14:alpha w14:val="100000"/>
                    </w14:srgbClr>
                  </w14:solidFill>
                </w14:textFill>
              </w:rPr>
              <w:t>|</w:t>
            </w:r>
            <w:r w:rsidR="00065101">
              <w:rPr>
                <w:szCs w:val="20"/>
                <w:vertAlign w:val="superscript"/>
              </w:rPr>
              <w:t>11</w:t>
            </w:r>
          </w:p>
        </w:tc>
        <w:tc>
          <w:tcPr>
            <w:tcW w:w="611" w:type="pct"/>
          </w:tcPr>
          <w:p w14:paraId="295843EA" w14:textId="06388AD1"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70"/>
                <w14:textFill>
                  <w14:solidFill>
                    <w14:srgbClr w14:val="000000">
                      <w14:alpha w14:val="100000"/>
                    </w14:srgbClr>
                  </w14:solidFill>
                </w14:textFill>
              </w:rPr>
              <w:t>|||</w:t>
            </w:r>
            <w:r w:rsidR="00770501" w:rsidRPr="00770501">
              <w:rPr>
                <w:color w:val="000000"/>
                <w:spacing w:val="1"/>
                <w:szCs w:val="20"/>
                <w:shd w:val="solid" w:color="000000" w:fill="000000"/>
                <w:fitText w:val="330" w:id="-632124670"/>
                <w14:textFill>
                  <w14:solidFill>
                    <w14:srgbClr w14:val="000000">
                      <w14:alpha w14:val="100000"/>
                    </w14:srgbClr>
                  </w14:solidFill>
                </w14:textFill>
              </w:rPr>
              <w:t>|</w:t>
            </w:r>
            <w:r w:rsidR="00065101">
              <w:rPr>
                <w:szCs w:val="20"/>
                <w:vertAlign w:val="superscript"/>
              </w:rPr>
              <w:t>11</w:t>
            </w:r>
          </w:p>
        </w:tc>
        <w:tc>
          <w:tcPr>
            <w:tcW w:w="611" w:type="pct"/>
          </w:tcPr>
          <w:p w14:paraId="3A32302A" w14:textId="587B6D49"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69"/>
                <w14:textFill>
                  <w14:solidFill>
                    <w14:srgbClr w14:val="000000">
                      <w14:alpha w14:val="100000"/>
                    </w14:srgbClr>
                  </w14:solidFill>
                </w14:textFill>
              </w:rPr>
              <w:t>|||</w:t>
            </w:r>
            <w:r w:rsidR="00770501" w:rsidRPr="00770501">
              <w:rPr>
                <w:color w:val="000000"/>
                <w:spacing w:val="1"/>
                <w:szCs w:val="20"/>
                <w:shd w:val="solid" w:color="000000" w:fill="000000"/>
                <w:fitText w:val="330" w:id="-632124669"/>
                <w14:textFill>
                  <w14:solidFill>
                    <w14:srgbClr w14:val="000000">
                      <w14:alpha w14:val="100000"/>
                    </w14:srgbClr>
                  </w14:solidFill>
                </w14:textFill>
              </w:rPr>
              <w:t>|</w:t>
            </w:r>
            <w:r w:rsidR="00065101">
              <w:rPr>
                <w:szCs w:val="20"/>
                <w:vertAlign w:val="superscript"/>
              </w:rPr>
              <w:t>11</w:t>
            </w:r>
          </w:p>
        </w:tc>
        <w:tc>
          <w:tcPr>
            <w:tcW w:w="611" w:type="pct"/>
          </w:tcPr>
          <w:p w14:paraId="326E9207" w14:textId="46C2CA03"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68"/>
                <w14:textFill>
                  <w14:solidFill>
                    <w14:srgbClr w14:val="000000">
                      <w14:alpha w14:val="100000"/>
                    </w14:srgbClr>
                  </w14:solidFill>
                </w14:textFill>
              </w:rPr>
              <w:t>|||</w:t>
            </w:r>
            <w:r w:rsidR="00770501" w:rsidRPr="00770501">
              <w:rPr>
                <w:color w:val="000000"/>
                <w:spacing w:val="1"/>
                <w:szCs w:val="20"/>
                <w:shd w:val="solid" w:color="000000" w:fill="000000"/>
                <w:fitText w:val="330" w:id="-632124668"/>
                <w14:textFill>
                  <w14:solidFill>
                    <w14:srgbClr w14:val="000000">
                      <w14:alpha w14:val="100000"/>
                    </w14:srgbClr>
                  </w14:solidFill>
                </w14:textFill>
              </w:rPr>
              <w:t>|</w:t>
            </w:r>
            <w:r w:rsidR="00065101">
              <w:rPr>
                <w:szCs w:val="20"/>
                <w:vertAlign w:val="superscript"/>
              </w:rPr>
              <w:t>11</w:t>
            </w:r>
          </w:p>
        </w:tc>
        <w:tc>
          <w:tcPr>
            <w:tcW w:w="611" w:type="pct"/>
          </w:tcPr>
          <w:p w14:paraId="56E4D70E" w14:textId="07EA8A63"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67"/>
                <w14:textFill>
                  <w14:solidFill>
                    <w14:srgbClr w14:val="000000">
                      <w14:alpha w14:val="100000"/>
                    </w14:srgbClr>
                  </w14:solidFill>
                </w14:textFill>
              </w:rPr>
              <w:t>|||</w:t>
            </w:r>
            <w:r w:rsidR="00770501" w:rsidRPr="00770501">
              <w:rPr>
                <w:color w:val="000000"/>
                <w:spacing w:val="1"/>
                <w:szCs w:val="20"/>
                <w:shd w:val="solid" w:color="000000" w:fill="000000"/>
                <w:fitText w:val="330" w:id="-632124667"/>
                <w14:textFill>
                  <w14:solidFill>
                    <w14:srgbClr w14:val="000000">
                      <w14:alpha w14:val="100000"/>
                    </w14:srgbClr>
                  </w14:solidFill>
                </w14:textFill>
              </w:rPr>
              <w:t>|</w:t>
            </w:r>
            <w:r w:rsidR="00065101">
              <w:rPr>
                <w:szCs w:val="20"/>
                <w:vertAlign w:val="superscript"/>
              </w:rPr>
              <w:t>11</w:t>
            </w:r>
          </w:p>
        </w:tc>
        <w:tc>
          <w:tcPr>
            <w:tcW w:w="611" w:type="pct"/>
          </w:tcPr>
          <w:p w14:paraId="241B1CFD" w14:textId="2D759473" w:rsidR="009663AB" w:rsidRPr="00065101" w:rsidRDefault="009663AB" w:rsidP="009663AB">
            <w:pPr>
              <w:pStyle w:val="TableText0"/>
              <w:jc w:val="center"/>
              <w:rPr>
                <w:szCs w:val="20"/>
                <w:highlight w:val="darkGray"/>
              </w:rPr>
            </w:pPr>
            <w:r w:rsidRPr="00065101">
              <w:rPr>
                <w:szCs w:val="20"/>
              </w:rPr>
              <w:t>-$</w:t>
            </w:r>
            <w:r w:rsidR="00770501" w:rsidRPr="00770501">
              <w:rPr>
                <w:color w:val="000000"/>
                <w:spacing w:val="53"/>
                <w:szCs w:val="20"/>
                <w:shd w:val="solid" w:color="000000" w:fill="000000"/>
                <w:fitText w:val="330" w:id="-632124666"/>
                <w14:textFill>
                  <w14:solidFill>
                    <w14:srgbClr w14:val="000000">
                      <w14:alpha w14:val="100000"/>
                    </w14:srgbClr>
                  </w14:solidFill>
                </w14:textFill>
              </w:rPr>
              <w:t>|||</w:t>
            </w:r>
            <w:r w:rsidR="00770501" w:rsidRPr="00770501">
              <w:rPr>
                <w:color w:val="000000"/>
                <w:spacing w:val="1"/>
                <w:szCs w:val="20"/>
                <w:shd w:val="solid" w:color="000000" w:fill="000000"/>
                <w:fitText w:val="330" w:id="-632124666"/>
                <w14:textFill>
                  <w14:solidFill>
                    <w14:srgbClr w14:val="000000">
                      <w14:alpha w14:val="100000"/>
                    </w14:srgbClr>
                  </w14:solidFill>
                </w14:textFill>
              </w:rPr>
              <w:t>|</w:t>
            </w:r>
            <w:r w:rsidR="00065101">
              <w:rPr>
                <w:szCs w:val="20"/>
                <w:vertAlign w:val="superscript"/>
              </w:rPr>
              <w:t>11</w:t>
            </w:r>
          </w:p>
        </w:tc>
      </w:tr>
    </w:tbl>
    <w:p w14:paraId="195E1D5A" w14:textId="7CDF2791" w:rsidR="009663AB" w:rsidRPr="001514F6" w:rsidRDefault="009663AB" w:rsidP="009663AB">
      <w:pPr>
        <w:pStyle w:val="FooterTableFigure"/>
      </w:pPr>
      <w:r w:rsidRPr="001514F6">
        <w:t>Source: Table 4-7, p144</w:t>
      </w:r>
      <w:r w:rsidR="00F969E0">
        <w:t>; Table 4-10, p145;</w:t>
      </w:r>
      <w:r w:rsidRPr="001514F6">
        <w:t xml:space="preserve"> </w:t>
      </w:r>
      <w:r w:rsidR="00863B23">
        <w:t>Table 4-11, p146;</w:t>
      </w:r>
      <w:r w:rsidRPr="001514F6">
        <w:t xml:space="preserve"> Table 4-12, p147 of the submission</w:t>
      </w:r>
      <w:r w:rsidR="009C20A5">
        <w:t xml:space="preserve">; and </w:t>
      </w:r>
      <w:r w:rsidR="004A78BD" w:rsidRPr="004A78BD">
        <w:t xml:space="preserve">Attachment 9 – </w:t>
      </w:r>
      <w:proofErr w:type="spellStart"/>
      <w:r w:rsidR="004A78BD" w:rsidRPr="004A78BD">
        <w:t>Wynzora</w:t>
      </w:r>
      <w:proofErr w:type="spellEnd"/>
      <w:r w:rsidR="004A78BD" w:rsidRPr="004A78BD">
        <w:t xml:space="preserve"> BIM.xlsx (‘</w:t>
      </w:r>
      <w:r w:rsidR="004A78BD">
        <w:t>3</w:t>
      </w:r>
      <w:r w:rsidR="004A78BD" w:rsidRPr="004A78BD">
        <w:t xml:space="preserve">b. Impact – </w:t>
      </w:r>
      <w:r w:rsidR="00B256AD">
        <w:t>proposed</w:t>
      </w:r>
      <w:r w:rsidR="004A78BD" w:rsidRPr="004A78BD">
        <w:t xml:space="preserve"> (pub)’)</w:t>
      </w:r>
      <w:r w:rsidRPr="001514F6">
        <w:t>.</w:t>
      </w:r>
    </w:p>
    <w:p w14:paraId="78BBCB3B" w14:textId="4AFA61A4" w:rsidR="009663AB" w:rsidRDefault="009663AB" w:rsidP="00640B01">
      <w:pPr>
        <w:pStyle w:val="FooterTableFigure"/>
        <w:spacing w:after="0"/>
      </w:pPr>
      <w:bookmarkStart w:id="69" w:name="_Hlk195537476"/>
      <w:r w:rsidRPr="001514F6">
        <w:t>CAL/BDP = calcipotri</w:t>
      </w:r>
      <w:r w:rsidR="009D51B4">
        <w:t>ol</w:t>
      </w:r>
      <w:r w:rsidRPr="001514F6">
        <w:t xml:space="preserve"> </w:t>
      </w:r>
      <w:r w:rsidR="009D51B4">
        <w:t>with</w:t>
      </w:r>
      <w:r w:rsidR="009D51B4" w:rsidRPr="001514F6">
        <w:t xml:space="preserve"> </w:t>
      </w:r>
      <w:r w:rsidRPr="001514F6">
        <w:t>betamethasone dipropionate</w:t>
      </w:r>
      <w:bookmarkEnd w:id="69"/>
      <w:r w:rsidRPr="001514F6">
        <w:t>; PBS = Pharmaceutical Benefits Scheme; RPBS = Repatriation Pharmaceutical Benefits Scheme.</w:t>
      </w:r>
    </w:p>
    <w:p w14:paraId="0AFBB1EC" w14:textId="77777777" w:rsidR="00F6235E" w:rsidRDefault="00F6235E" w:rsidP="00F6235E">
      <w:pPr>
        <w:pStyle w:val="TableFigureFooter"/>
        <w:keepNext/>
        <w:spacing w:after="0"/>
        <w:contextualSpacing w:val="0"/>
        <w:rPr>
          <w:i/>
        </w:rPr>
      </w:pPr>
      <w:r w:rsidRPr="00F6235E">
        <w:rPr>
          <w:i/>
        </w:rPr>
        <w:t>The redacted values correspond to the following ranges:</w:t>
      </w:r>
    </w:p>
    <w:p w14:paraId="7695C7FC" w14:textId="0935FD0A" w:rsidR="00203D7F" w:rsidRDefault="00203D7F" w:rsidP="00203D7F">
      <w:pPr>
        <w:pStyle w:val="TableFigureFooter"/>
        <w:rPr>
          <w:i/>
          <w:iCs/>
        </w:rPr>
      </w:pPr>
      <w:r>
        <w:rPr>
          <w:i/>
          <w:iCs/>
          <w:vertAlign w:val="superscript"/>
        </w:rPr>
        <w:t xml:space="preserve">1 </w:t>
      </w:r>
      <w:r w:rsidRPr="005C6998">
        <w:rPr>
          <w:i/>
          <w:iCs/>
        </w:rPr>
        <w:t>10,000 to &lt; 20,000</w:t>
      </w:r>
    </w:p>
    <w:p w14:paraId="789128B6" w14:textId="77777777" w:rsidR="00F11063" w:rsidRDefault="00F11063" w:rsidP="00F11063">
      <w:pPr>
        <w:pStyle w:val="TableFigureFooter"/>
        <w:rPr>
          <w:i/>
          <w:iCs/>
        </w:rPr>
      </w:pPr>
      <w:r>
        <w:rPr>
          <w:i/>
          <w:iCs/>
          <w:vertAlign w:val="superscript"/>
        </w:rPr>
        <w:t xml:space="preserve">2 </w:t>
      </w:r>
      <w:r>
        <w:rPr>
          <w:i/>
          <w:iCs/>
        </w:rPr>
        <w:t>40</w:t>
      </w:r>
      <w:r w:rsidRPr="005C6998">
        <w:rPr>
          <w:i/>
          <w:iCs/>
        </w:rPr>
        <w:t xml:space="preserve">,000 to &lt; </w:t>
      </w:r>
      <w:r>
        <w:rPr>
          <w:i/>
          <w:iCs/>
        </w:rPr>
        <w:t>5</w:t>
      </w:r>
      <w:r w:rsidRPr="005C6998">
        <w:rPr>
          <w:i/>
          <w:iCs/>
        </w:rPr>
        <w:t>0,000</w:t>
      </w:r>
    </w:p>
    <w:p w14:paraId="177B1055" w14:textId="0AA8FFBC" w:rsidR="00F11063" w:rsidRDefault="00F11063" w:rsidP="00F11063">
      <w:pPr>
        <w:pStyle w:val="TableFigureFooter"/>
        <w:rPr>
          <w:i/>
          <w:iCs/>
        </w:rPr>
      </w:pPr>
      <w:r>
        <w:rPr>
          <w:i/>
          <w:iCs/>
          <w:vertAlign w:val="superscript"/>
        </w:rPr>
        <w:t xml:space="preserve">3 </w:t>
      </w:r>
      <w:r w:rsidR="00AC2C97">
        <w:rPr>
          <w:i/>
          <w:iCs/>
        </w:rPr>
        <w:t>7</w:t>
      </w:r>
      <w:r>
        <w:rPr>
          <w:i/>
          <w:iCs/>
        </w:rPr>
        <w:t>0</w:t>
      </w:r>
      <w:r w:rsidRPr="005C6998">
        <w:rPr>
          <w:i/>
          <w:iCs/>
        </w:rPr>
        <w:t xml:space="preserve">,000 to &lt; </w:t>
      </w:r>
      <w:r w:rsidR="00AC2C97">
        <w:rPr>
          <w:i/>
          <w:iCs/>
        </w:rPr>
        <w:t>8</w:t>
      </w:r>
      <w:r w:rsidRPr="005C6998">
        <w:rPr>
          <w:i/>
          <w:iCs/>
        </w:rPr>
        <w:t>0,000</w:t>
      </w:r>
    </w:p>
    <w:p w14:paraId="6F66C31F" w14:textId="5F6AF6A9" w:rsidR="00AC2C97" w:rsidRDefault="00AC2C97" w:rsidP="00AC2C97">
      <w:pPr>
        <w:pStyle w:val="TableFigureFooter"/>
        <w:rPr>
          <w:i/>
          <w:iCs/>
        </w:rPr>
      </w:pPr>
      <w:r>
        <w:rPr>
          <w:i/>
          <w:iCs/>
          <w:vertAlign w:val="superscript"/>
        </w:rPr>
        <w:t xml:space="preserve">4 </w:t>
      </w:r>
      <w:r>
        <w:rPr>
          <w:i/>
          <w:iCs/>
        </w:rPr>
        <w:t>80</w:t>
      </w:r>
      <w:r w:rsidRPr="005C6998">
        <w:rPr>
          <w:i/>
          <w:iCs/>
        </w:rPr>
        <w:t xml:space="preserve">,000 to &lt; </w:t>
      </w:r>
      <w:r>
        <w:rPr>
          <w:i/>
          <w:iCs/>
        </w:rPr>
        <w:t>9</w:t>
      </w:r>
      <w:r w:rsidRPr="005C6998">
        <w:rPr>
          <w:i/>
          <w:iCs/>
        </w:rPr>
        <w:t>0,000</w:t>
      </w:r>
    </w:p>
    <w:p w14:paraId="57BDC958" w14:textId="42968B09" w:rsidR="00A23E22" w:rsidRDefault="00A23E22" w:rsidP="00AC2C97">
      <w:pPr>
        <w:pStyle w:val="TableFigureFooter"/>
        <w:rPr>
          <w:i/>
          <w:iCs/>
        </w:rPr>
      </w:pPr>
      <w:r w:rsidRPr="00A23E22">
        <w:rPr>
          <w:i/>
          <w:iCs/>
          <w:vertAlign w:val="superscript"/>
        </w:rPr>
        <w:t>5</w:t>
      </w:r>
      <w:r>
        <w:rPr>
          <w:i/>
          <w:iCs/>
        </w:rPr>
        <w:t xml:space="preserve"> </w:t>
      </w:r>
      <w:r w:rsidRPr="00A86FCC">
        <w:rPr>
          <w:i/>
          <w:iCs/>
        </w:rPr>
        <w:t>100,000 to &lt; 200,000</w:t>
      </w:r>
    </w:p>
    <w:p w14:paraId="00E230B1" w14:textId="5FFF02A8" w:rsidR="00A23E22" w:rsidRDefault="00A23E22" w:rsidP="00AC2C97">
      <w:pPr>
        <w:pStyle w:val="TableFigureFooter"/>
        <w:rPr>
          <w:i/>
          <w:iCs/>
        </w:rPr>
      </w:pPr>
      <w:r w:rsidRPr="00047810">
        <w:rPr>
          <w:i/>
          <w:iCs/>
          <w:vertAlign w:val="superscript"/>
        </w:rPr>
        <w:t>6</w:t>
      </w:r>
      <w:r w:rsidR="00047810">
        <w:rPr>
          <w:i/>
          <w:iCs/>
        </w:rPr>
        <w:t xml:space="preserve"> 5,000 to &lt; 10,000</w:t>
      </w:r>
    </w:p>
    <w:p w14:paraId="2645AA7A" w14:textId="1B658E94" w:rsidR="00A23E22" w:rsidRDefault="00A23E22" w:rsidP="00AC2C97">
      <w:pPr>
        <w:pStyle w:val="TableFigureFooter"/>
        <w:rPr>
          <w:i/>
          <w:iCs/>
        </w:rPr>
      </w:pPr>
      <w:r w:rsidRPr="00047810">
        <w:rPr>
          <w:i/>
          <w:iCs/>
          <w:vertAlign w:val="superscript"/>
        </w:rPr>
        <w:t>7</w:t>
      </w:r>
      <w:r w:rsidR="00047810">
        <w:rPr>
          <w:i/>
          <w:iCs/>
        </w:rPr>
        <w:t xml:space="preserve"> 20,000 to &lt; 30,000</w:t>
      </w:r>
    </w:p>
    <w:p w14:paraId="759AB81C" w14:textId="29EDC7BF" w:rsidR="00047810" w:rsidRDefault="00047810" w:rsidP="00047810">
      <w:pPr>
        <w:pStyle w:val="TableFigureFooter"/>
        <w:rPr>
          <w:i/>
          <w:iCs/>
        </w:rPr>
      </w:pPr>
      <w:r w:rsidRPr="00047810">
        <w:rPr>
          <w:i/>
          <w:iCs/>
          <w:vertAlign w:val="superscript"/>
        </w:rPr>
        <w:t>8</w:t>
      </w:r>
      <w:r>
        <w:rPr>
          <w:i/>
          <w:iCs/>
        </w:rPr>
        <w:t xml:space="preserve"> 50,000 to &lt; 60,000</w:t>
      </w:r>
      <w:r>
        <w:rPr>
          <w:i/>
          <w:iCs/>
          <w:vertAlign w:val="superscript"/>
        </w:rPr>
        <w:t>9</w:t>
      </w:r>
      <w:r>
        <w:rPr>
          <w:i/>
          <w:iCs/>
        </w:rPr>
        <w:t xml:space="preserve"> </w:t>
      </w:r>
      <w:r w:rsidR="004F19D9">
        <w:rPr>
          <w:i/>
          <w:iCs/>
        </w:rPr>
        <w:t>9</w:t>
      </w:r>
      <w:r>
        <w:rPr>
          <w:i/>
          <w:iCs/>
        </w:rPr>
        <w:t xml:space="preserve">0,000 to &lt; </w:t>
      </w:r>
      <w:r w:rsidR="004F19D9">
        <w:rPr>
          <w:i/>
          <w:iCs/>
        </w:rPr>
        <w:t>10</w:t>
      </w:r>
      <w:r>
        <w:rPr>
          <w:i/>
          <w:iCs/>
        </w:rPr>
        <w:t>0,000</w:t>
      </w:r>
    </w:p>
    <w:p w14:paraId="57E52DF0" w14:textId="6194CE02" w:rsidR="004F19D9" w:rsidRDefault="004F19D9" w:rsidP="00047810">
      <w:pPr>
        <w:pStyle w:val="TableFigureFooter"/>
        <w:rPr>
          <w:i/>
          <w:iCs/>
        </w:rPr>
      </w:pPr>
      <w:r w:rsidRPr="005A188B">
        <w:rPr>
          <w:i/>
          <w:iCs/>
          <w:vertAlign w:val="superscript"/>
        </w:rPr>
        <w:t>10</w:t>
      </w:r>
      <w:r>
        <w:rPr>
          <w:i/>
          <w:iCs/>
        </w:rPr>
        <w:t xml:space="preserve"> </w:t>
      </w:r>
      <w:r w:rsidR="005A188B">
        <w:rPr>
          <w:i/>
          <w:iCs/>
        </w:rPr>
        <w:t>30,000 to &lt;40,000</w:t>
      </w:r>
    </w:p>
    <w:p w14:paraId="59437A1F" w14:textId="08DAD246" w:rsidR="00F6235E" w:rsidRPr="00F6235E" w:rsidRDefault="00065101" w:rsidP="00F6235E">
      <w:pPr>
        <w:pStyle w:val="TableFigureFooter"/>
        <w:keepNext/>
        <w:spacing w:after="0"/>
        <w:contextualSpacing w:val="0"/>
        <w:rPr>
          <w:i/>
        </w:rPr>
      </w:pPr>
      <w:r w:rsidRPr="00065101">
        <w:rPr>
          <w:i/>
          <w:iCs/>
          <w:vertAlign w:val="superscript"/>
        </w:rPr>
        <w:t>11</w:t>
      </w:r>
      <w:r>
        <w:rPr>
          <w:i/>
          <w:iCs/>
        </w:rPr>
        <w:t xml:space="preserve"> $0 to &lt;$10 million</w:t>
      </w:r>
    </w:p>
    <w:p w14:paraId="205B13A1" w14:textId="77777777" w:rsidR="00690315" w:rsidRDefault="00690315" w:rsidP="009663AB">
      <w:pPr>
        <w:pStyle w:val="FooterTableFigure"/>
      </w:pPr>
    </w:p>
    <w:p w14:paraId="38FB7F62" w14:textId="54213876" w:rsidR="00690315" w:rsidRPr="003910CE" w:rsidRDefault="00690315" w:rsidP="00065101">
      <w:pPr>
        <w:pStyle w:val="FooterTableFigure"/>
        <w:keepNext/>
        <w:rPr>
          <w:b/>
          <w:bCs/>
          <w:sz w:val="20"/>
          <w:szCs w:val="16"/>
        </w:rPr>
      </w:pPr>
      <w:r w:rsidRPr="003910CE">
        <w:rPr>
          <w:b/>
          <w:bCs/>
          <w:sz w:val="20"/>
          <w:szCs w:val="16"/>
        </w:rPr>
        <w:lastRenderedPageBreak/>
        <w:t>Table</w:t>
      </w:r>
      <w:r w:rsidR="00C26015">
        <w:rPr>
          <w:b/>
          <w:bCs/>
          <w:sz w:val="20"/>
          <w:szCs w:val="16"/>
        </w:rPr>
        <w:t xml:space="preserve"> </w:t>
      </w:r>
      <w:r w:rsidRPr="003910CE">
        <w:rPr>
          <w:b/>
          <w:bCs/>
          <w:sz w:val="20"/>
          <w:szCs w:val="16"/>
        </w:rPr>
        <w:t>18: Estimated use and financial implications based on revised Budget Impact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use and financial implications based on revised Budget Impact Model"/>
      </w:tblPr>
      <w:tblGrid>
        <w:gridCol w:w="2405"/>
        <w:gridCol w:w="1102"/>
        <w:gridCol w:w="1102"/>
        <w:gridCol w:w="1102"/>
        <w:gridCol w:w="1102"/>
        <w:gridCol w:w="1102"/>
        <w:gridCol w:w="1102"/>
      </w:tblGrid>
      <w:tr w:rsidR="00690315" w:rsidRPr="003910CE" w14:paraId="0C98BB99" w14:textId="77777777" w:rsidTr="00690315">
        <w:trPr>
          <w:tblHeader/>
        </w:trPr>
        <w:tc>
          <w:tcPr>
            <w:tcW w:w="1334" w:type="pct"/>
            <w:tcBorders>
              <w:top w:val="single" w:sz="4" w:space="0" w:color="auto"/>
              <w:left w:val="single" w:sz="4" w:space="0" w:color="auto"/>
              <w:bottom w:val="single" w:sz="4" w:space="0" w:color="auto"/>
              <w:right w:val="single" w:sz="4" w:space="0" w:color="auto"/>
            </w:tcBorders>
            <w:vAlign w:val="center"/>
          </w:tcPr>
          <w:p w14:paraId="2352A2DA" w14:textId="77777777" w:rsidR="00690315" w:rsidRPr="003910CE" w:rsidRDefault="00690315" w:rsidP="00065101">
            <w:pPr>
              <w:pStyle w:val="FooterTableFigure"/>
              <w:keepNext/>
              <w:spacing w:after="0"/>
              <w:rPr>
                <w:b/>
                <w:sz w:val="20"/>
                <w:szCs w:val="16"/>
                <w:lang w:val="en-US"/>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343E4D47"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55276C97"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2</w:t>
            </w:r>
          </w:p>
        </w:tc>
        <w:tc>
          <w:tcPr>
            <w:tcW w:w="611" w:type="pct"/>
            <w:tcBorders>
              <w:top w:val="single" w:sz="4" w:space="0" w:color="auto"/>
              <w:left w:val="single" w:sz="4" w:space="0" w:color="auto"/>
              <w:bottom w:val="single" w:sz="4" w:space="0" w:color="auto"/>
              <w:right w:val="single" w:sz="4" w:space="0" w:color="auto"/>
            </w:tcBorders>
            <w:vAlign w:val="center"/>
            <w:hideMark/>
          </w:tcPr>
          <w:p w14:paraId="647DC7DA"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3</w:t>
            </w:r>
          </w:p>
        </w:tc>
        <w:tc>
          <w:tcPr>
            <w:tcW w:w="611" w:type="pct"/>
            <w:tcBorders>
              <w:top w:val="single" w:sz="4" w:space="0" w:color="auto"/>
              <w:left w:val="single" w:sz="4" w:space="0" w:color="auto"/>
              <w:bottom w:val="single" w:sz="4" w:space="0" w:color="auto"/>
              <w:right w:val="single" w:sz="4" w:space="0" w:color="auto"/>
            </w:tcBorders>
            <w:vAlign w:val="center"/>
            <w:hideMark/>
          </w:tcPr>
          <w:p w14:paraId="4868DEB8"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4</w:t>
            </w:r>
          </w:p>
        </w:tc>
        <w:tc>
          <w:tcPr>
            <w:tcW w:w="611" w:type="pct"/>
            <w:tcBorders>
              <w:top w:val="single" w:sz="4" w:space="0" w:color="auto"/>
              <w:left w:val="single" w:sz="4" w:space="0" w:color="auto"/>
              <w:bottom w:val="single" w:sz="4" w:space="0" w:color="auto"/>
              <w:right w:val="single" w:sz="4" w:space="0" w:color="auto"/>
            </w:tcBorders>
            <w:vAlign w:val="center"/>
            <w:hideMark/>
          </w:tcPr>
          <w:p w14:paraId="7A352197"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5</w:t>
            </w:r>
          </w:p>
        </w:tc>
        <w:tc>
          <w:tcPr>
            <w:tcW w:w="611" w:type="pct"/>
            <w:tcBorders>
              <w:top w:val="single" w:sz="4" w:space="0" w:color="auto"/>
              <w:left w:val="single" w:sz="4" w:space="0" w:color="auto"/>
              <w:bottom w:val="single" w:sz="4" w:space="0" w:color="auto"/>
              <w:right w:val="single" w:sz="4" w:space="0" w:color="auto"/>
            </w:tcBorders>
            <w:hideMark/>
          </w:tcPr>
          <w:p w14:paraId="63569B82"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Year 6</w:t>
            </w:r>
          </w:p>
        </w:tc>
      </w:tr>
      <w:tr w:rsidR="00690315" w:rsidRPr="003910CE" w14:paraId="6ADACCE3"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A61893D" w14:textId="77777777" w:rsidR="00690315" w:rsidRPr="003910CE" w:rsidRDefault="00690315" w:rsidP="00065101">
            <w:pPr>
              <w:pStyle w:val="FooterTableFigure"/>
              <w:keepNext/>
              <w:spacing w:after="0"/>
              <w:rPr>
                <w:b/>
                <w:bCs/>
                <w:sz w:val="20"/>
                <w:szCs w:val="16"/>
                <w:lang w:val="en-US"/>
              </w:rPr>
            </w:pPr>
            <w:r w:rsidRPr="003910CE">
              <w:rPr>
                <w:b/>
                <w:bCs/>
                <w:sz w:val="20"/>
                <w:szCs w:val="16"/>
                <w:lang w:val="en-US"/>
              </w:rPr>
              <w:t>Estimated extent of use</w:t>
            </w:r>
          </w:p>
        </w:tc>
      </w:tr>
      <w:tr w:rsidR="00690315" w:rsidRPr="003910CE" w14:paraId="0737650D"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66F31799" w14:textId="77777777" w:rsidR="00690315" w:rsidRPr="003910CE" w:rsidRDefault="00690315" w:rsidP="00065101">
            <w:pPr>
              <w:pStyle w:val="FooterTableFigure"/>
              <w:keepNext/>
              <w:spacing w:after="0"/>
              <w:rPr>
                <w:sz w:val="20"/>
                <w:szCs w:val="16"/>
              </w:rPr>
            </w:pPr>
            <w:r w:rsidRPr="003910CE">
              <w:rPr>
                <w:sz w:val="20"/>
                <w:szCs w:val="16"/>
              </w:rPr>
              <w:t>Number of scripts dispensed for CAL/BDP cream</w:t>
            </w:r>
          </w:p>
        </w:tc>
        <w:tc>
          <w:tcPr>
            <w:tcW w:w="611" w:type="pct"/>
            <w:tcBorders>
              <w:top w:val="single" w:sz="4" w:space="0" w:color="auto"/>
              <w:left w:val="single" w:sz="4" w:space="0" w:color="auto"/>
              <w:bottom w:val="single" w:sz="4" w:space="0" w:color="auto"/>
              <w:right w:val="single" w:sz="4" w:space="0" w:color="auto"/>
            </w:tcBorders>
            <w:vAlign w:val="center"/>
            <w:hideMark/>
          </w:tcPr>
          <w:p w14:paraId="16DD4198" w14:textId="16507D87" w:rsidR="00690315" w:rsidRPr="00065101" w:rsidRDefault="00770501" w:rsidP="00065101">
            <w:pPr>
              <w:pStyle w:val="FooterTableFigure"/>
              <w:keepNext/>
              <w:spacing w:after="0"/>
              <w:rPr>
                <w:sz w:val="20"/>
                <w:szCs w:val="16"/>
                <w:vertAlign w:val="superscript"/>
              </w:rPr>
            </w:pPr>
            <w:r w:rsidRPr="00770501">
              <w:rPr>
                <w:color w:val="000000"/>
                <w:spacing w:val="9"/>
                <w:sz w:val="20"/>
                <w:szCs w:val="16"/>
                <w:shd w:val="solid" w:color="000000" w:fill="000000"/>
                <w:fitText w:val="310" w:id="-632124665"/>
                <w14:textFill>
                  <w14:solidFill>
                    <w14:srgbClr w14:val="000000">
                      <w14:alpha w14:val="100000"/>
                    </w14:srgbClr>
                  </w14:solidFill>
                </w14:textFill>
              </w:rPr>
              <w:t>||  |</w:t>
            </w:r>
            <w:r w:rsidRPr="00770501">
              <w:rPr>
                <w:color w:val="000000"/>
                <w:spacing w:val="4"/>
                <w:sz w:val="20"/>
                <w:szCs w:val="16"/>
                <w:shd w:val="solid" w:color="000000" w:fill="000000"/>
                <w:fitText w:val="310" w:id="-632124665"/>
                <w14:textFill>
                  <w14:solidFill>
                    <w14:srgbClr w14:val="000000">
                      <w14:alpha w14:val="100000"/>
                    </w14:srgbClr>
                  </w14:solidFill>
                </w14:textFill>
              </w:rPr>
              <w:t>|</w:t>
            </w:r>
            <w:r w:rsidR="00065101">
              <w:rPr>
                <w:sz w:val="20"/>
                <w:szCs w:val="16"/>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hideMark/>
          </w:tcPr>
          <w:p w14:paraId="412A251B" w14:textId="716B9E5A" w:rsidR="00690315" w:rsidRPr="0050093C" w:rsidRDefault="00770501" w:rsidP="00065101">
            <w:pPr>
              <w:pStyle w:val="FooterTableFigure"/>
              <w:keepNext/>
              <w:spacing w:after="0"/>
              <w:rPr>
                <w:sz w:val="20"/>
                <w:szCs w:val="16"/>
                <w:highlight w:val="darkGray"/>
                <w:vertAlign w:val="superscript"/>
              </w:rPr>
            </w:pPr>
            <w:r w:rsidRPr="00770501">
              <w:rPr>
                <w:color w:val="000000"/>
                <w:spacing w:val="9"/>
                <w:sz w:val="20"/>
                <w:szCs w:val="16"/>
                <w:shd w:val="solid" w:color="000000" w:fill="000000"/>
                <w:fitText w:val="310" w:id="-632124664"/>
                <w14:textFill>
                  <w14:solidFill>
                    <w14:srgbClr w14:val="000000">
                      <w14:alpha w14:val="100000"/>
                    </w14:srgbClr>
                  </w14:solidFill>
                </w14:textFill>
              </w:rPr>
              <w:t>||  |</w:t>
            </w:r>
            <w:r w:rsidRPr="00770501">
              <w:rPr>
                <w:color w:val="000000"/>
                <w:spacing w:val="4"/>
                <w:sz w:val="20"/>
                <w:szCs w:val="16"/>
                <w:shd w:val="solid" w:color="000000" w:fill="000000"/>
                <w:fitText w:val="310" w:id="-632124664"/>
                <w14:textFill>
                  <w14:solidFill>
                    <w14:srgbClr w14:val="000000">
                      <w14:alpha w14:val="100000"/>
                    </w14:srgbClr>
                  </w14:solidFill>
                </w14:textFill>
              </w:rPr>
              <w:t>|</w:t>
            </w:r>
            <w:r w:rsidR="0050093C" w:rsidRPr="001E6564">
              <w:rPr>
                <w:sz w:val="20"/>
                <w:szCs w:val="16"/>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08DE6231" w14:textId="6B98B178" w:rsidR="00690315" w:rsidRPr="0050093C" w:rsidRDefault="00770501" w:rsidP="00065101">
            <w:pPr>
              <w:pStyle w:val="FooterTableFigure"/>
              <w:keepNext/>
              <w:spacing w:after="0"/>
              <w:rPr>
                <w:sz w:val="20"/>
                <w:szCs w:val="16"/>
                <w:highlight w:val="darkGray"/>
                <w:vertAlign w:val="superscript"/>
              </w:rPr>
            </w:pPr>
            <w:r w:rsidRPr="00770501">
              <w:rPr>
                <w:color w:val="000000"/>
                <w:spacing w:val="9"/>
                <w:sz w:val="20"/>
                <w:szCs w:val="16"/>
                <w:shd w:val="solid" w:color="000000" w:fill="000000"/>
                <w:fitText w:val="310" w:id="-632124663"/>
                <w14:textFill>
                  <w14:solidFill>
                    <w14:srgbClr w14:val="000000">
                      <w14:alpha w14:val="100000"/>
                    </w14:srgbClr>
                  </w14:solidFill>
                </w14:textFill>
              </w:rPr>
              <w:t>||  |</w:t>
            </w:r>
            <w:r w:rsidRPr="00770501">
              <w:rPr>
                <w:color w:val="000000"/>
                <w:spacing w:val="4"/>
                <w:sz w:val="20"/>
                <w:szCs w:val="16"/>
                <w:shd w:val="solid" w:color="000000" w:fill="000000"/>
                <w:fitText w:val="310" w:id="-632124663"/>
                <w14:textFill>
                  <w14:solidFill>
                    <w14:srgbClr w14:val="000000">
                      <w14:alpha w14:val="100000"/>
                    </w14:srgbClr>
                  </w14:solidFill>
                </w14:textFill>
              </w:rPr>
              <w:t>|</w:t>
            </w:r>
            <w:r w:rsidR="0050093C" w:rsidRPr="001E6564">
              <w:rPr>
                <w:sz w:val="20"/>
                <w:szCs w:val="16"/>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699C0F" w14:textId="5B342FF8" w:rsidR="00690315" w:rsidRPr="003910CE" w:rsidRDefault="00770501" w:rsidP="00065101">
            <w:pPr>
              <w:pStyle w:val="FooterTableFigure"/>
              <w:keepNext/>
              <w:spacing w:after="0"/>
              <w:rPr>
                <w:sz w:val="20"/>
                <w:szCs w:val="16"/>
              </w:rPr>
            </w:pPr>
            <w:r w:rsidRPr="00770501">
              <w:rPr>
                <w:color w:val="000000"/>
                <w:spacing w:val="9"/>
                <w:sz w:val="20"/>
                <w:szCs w:val="16"/>
                <w:shd w:val="solid" w:color="000000" w:fill="000000"/>
                <w:fitText w:val="310" w:id="-632124662"/>
                <w14:textFill>
                  <w14:solidFill>
                    <w14:srgbClr w14:val="000000">
                      <w14:alpha w14:val="100000"/>
                    </w14:srgbClr>
                  </w14:solidFill>
                </w14:textFill>
              </w:rPr>
              <w:t>||  |</w:t>
            </w:r>
            <w:r w:rsidRPr="00770501">
              <w:rPr>
                <w:color w:val="000000"/>
                <w:spacing w:val="4"/>
                <w:sz w:val="20"/>
                <w:szCs w:val="16"/>
                <w:shd w:val="solid" w:color="000000" w:fill="000000"/>
                <w:fitText w:val="310" w:id="-632124662"/>
                <w14:textFill>
                  <w14:solidFill>
                    <w14:srgbClr w14:val="000000">
                      <w14:alpha w14:val="100000"/>
                    </w14:srgbClr>
                  </w14:solidFill>
                </w14:textFill>
              </w:rPr>
              <w:t>|</w:t>
            </w:r>
            <w:r w:rsidR="0050093C" w:rsidRPr="0050093C">
              <w:rPr>
                <w:sz w:val="20"/>
                <w:szCs w:val="16"/>
                <w:vertAlign w:val="superscript"/>
              </w:rPr>
              <w:t>4</w:t>
            </w:r>
          </w:p>
        </w:tc>
        <w:tc>
          <w:tcPr>
            <w:tcW w:w="611" w:type="pct"/>
            <w:tcBorders>
              <w:top w:val="single" w:sz="4" w:space="0" w:color="auto"/>
              <w:left w:val="single" w:sz="4" w:space="0" w:color="auto"/>
              <w:bottom w:val="single" w:sz="4" w:space="0" w:color="auto"/>
              <w:right w:val="single" w:sz="4" w:space="0" w:color="auto"/>
            </w:tcBorders>
            <w:vAlign w:val="center"/>
            <w:hideMark/>
          </w:tcPr>
          <w:p w14:paraId="2C94D660" w14:textId="1C0A1A50" w:rsidR="00690315" w:rsidRPr="0050093C" w:rsidRDefault="00770501" w:rsidP="00065101">
            <w:pPr>
              <w:pStyle w:val="FooterTableFigure"/>
              <w:keepNext/>
              <w:spacing w:after="0"/>
              <w:rPr>
                <w:sz w:val="20"/>
                <w:szCs w:val="16"/>
                <w:vertAlign w:val="superscript"/>
              </w:rPr>
            </w:pPr>
            <w:r w:rsidRPr="00770501">
              <w:rPr>
                <w:color w:val="000000"/>
                <w:spacing w:val="9"/>
                <w:sz w:val="20"/>
                <w:szCs w:val="16"/>
                <w:shd w:val="solid" w:color="000000" w:fill="000000"/>
                <w:fitText w:val="310" w:id="-632124661"/>
                <w14:textFill>
                  <w14:solidFill>
                    <w14:srgbClr w14:val="000000">
                      <w14:alpha w14:val="100000"/>
                    </w14:srgbClr>
                  </w14:solidFill>
                </w14:textFill>
              </w:rPr>
              <w:t>||  |</w:t>
            </w:r>
            <w:r w:rsidRPr="00770501">
              <w:rPr>
                <w:color w:val="000000"/>
                <w:spacing w:val="4"/>
                <w:sz w:val="20"/>
                <w:szCs w:val="16"/>
                <w:shd w:val="solid" w:color="000000" w:fill="000000"/>
                <w:fitText w:val="310" w:id="-632124661"/>
                <w14:textFill>
                  <w14:solidFill>
                    <w14:srgbClr w14:val="000000">
                      <w14:alpha w14:val="100000"/>
                    </w14:srgbClr>
                  </w14:solidFill>
                </w14:textFill>
              </w:rPr>
              <w:t>|</w:t>
            </w:r>
            <w:r w:rsidR="0050093C">
              <w:rPr>
                <w:sz w:val="20"/>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vAlign w:val="center"/>
            <w:hideMark/>
          </w:tcPr>
          <w:p w14:paraId="64F0DC11" w14:textId="608E8D4F" w:rsidR="00690315" w:rsidRPr="003910CE" w:rsidRDefault="00770501" w:rsidP="00065101">
            <w:pPr>
              <w:pStyle w:val="FooterTableFigure"/>
              <w:keepNext/>
              <w:spacing w:after="0"/>
              <w:rPr>
                <w:sz w:val="20"/>
                <w:szCs w:val="16"/>
              </w:rPr>
            </w:pPr>
            <w:r w:rsidRPr="00770501">
              <w:rPr>
                <w:color w:val="000000"/>
                <w:spacing w:val="9"/>
                <w:sz w:val="20"/>
                <w:szCs w:val="16"/>
                <w:shd w:val="solid" w:color="000000" w:fill="000000"/>
                <w:fitText w:val="310" w:id="-632124660"/>
                <w14:textFill>
                  <w14:solidFill>
                    <w14:srgbClr w14:val="000000">
                      <w14:alpha w14:val="100000"/>
                    </w14:srgbClr>
                  </w14:solidFill>
                </w14:textFill>
              </w:rPr>
              <w:t>||  |</w:t>
            </w:r>
            <w:r w:rsidRPr="00770501">
              <w:rPr>
                <w:color w:val="000000"/>
                <w:spacing w:val="4"/>
                <w:sz w:val="20"/>
                <w:szCs w:val="16"/>
                <w:shd w:val="solid" w:color="000000" w:fill="000000"/>
                <w:fitText w:val="310" w:id="-632124660"/>
                <w14:textFill>
                  <w14:solidFill>
                    <w14:srgbClr w14:val="000000">
                      <w14:alpha w14:val="100000"/>
                    </w14:srgbClr>
                  </w14:solidFill>
                </w14:textFill>
              </w:rPr>
              <w:t>|</w:t>
            </w:r>
            <w:r w:rsidR="0050093C" w:rsidRPr="0050093C">
              <w:rPr>
                <w:sz w:val="20"/>
                <w:szCs w:val="16"/>
                <w:vertAlign w:val="superscript"/>
              </w:rPr>
              <w:t>5</w:t>
            </w:r>
          </w:p>
        </w:tc>
      </w:tr>
      <w:tr w:rsidR="00690315" w:rsidRPr="003910CE" w14:paraId="06A9F63F"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32C5446" w14:textId="77777777" w:rsidR="00690315" w:rsidRPr="003910CE" w:rsidRDefault="00690315" w:rsidP="00065101">
            <w:pPr>
              <w:pStyle w:val="FooterTableFigure"/>
              <w:keepNext/>
              <w:spacing w:after="0"/>
              <w:rPr>
                <w:b/>
                <w:bCs/>
                <w:sz w:val="20"/>
                <w:szCs w:val="16"/>
              </w:rPr>
            </w:pPr>
            <w:r w:rsidRPr="003910CE">
              <w:rPr>
                <w:b/>
                <w:sz w:val="20"/>
                <w:szCs w:val="16"/>
              </w:rPr>
              <w:t>Estimated change in script volume</w:t>
            </w:r>
          </w:p>
        </w:tc>
      </w:tr>
      <w:tr w:rsidR="00690315" w:rsidRPr="003910CE" w14:paraId="1A308E55"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41588942" w14:textId="77777777" w:rsidR="00690315" w:rsidRPr="003910CE" w:rsidRDefault="00690315" w:rsidP="00065101">
            <w:pPr>
              <w:pStyle w:val="FooterTableFigure"/>
              <w:keepNext/>
              <w:spacing w:after="0"/>
              <w:rPr>
                <w:sz w:val="20"/>
                <w:szCs w:val="16"/>
              </w:rPr>
            </w:pPr>
            <w:r w:rsidRPr="003910CE">
              <w:rPr>
                <w:sz w:val="20"/>
                <w:szCs w:val="16"/>
              </w:rPr>
              <w:t>CAL/BDP, 0.05% foam</w:t>
            </w:r>
          </w:p>
        </w:tc>
        <w:tc>
          <w:tcPr>
            <w:tcW w:w="611" w:type="pct"/>
            <w:tcBorders>
              <w:top w:val="single" w:sz="4" w:space="0" w:color="auto"/>
              <w:left w:val="single" w:sz="4" w:space="0" w:color="auto"/>
              <w:bottom w:val="single" w:sz="4" w:space="0" w:color="auto"/>
              <w:right w:val="single" w:sz="4" w:space="0" w:color="auto"/>
            </w:tcBorders>
            <w:vAlign w:val="center"/>
            <w:hideMark/>
          </w:tcPr>
          <w:p w14:paraId="7C966F8E" w14:textId="3F496D20" w:rsidR="00690315" w:rsidRPr="0050093C"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59"/>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9"/>
                <w14:textFill>
                  <w14:solidFill>
                    <w14:srgbClr w14:val="000000">
                      <w14:alpha w14:val="100000"/>
                    </w14:srgbClr>
                  </w14:solidFill>
                </w14:textFill>
              </w:rPr>
              <w:t>|</w:t>
            </w:r>
            <w:r w:rsidR="0050093C">
              <w:rPr>
                <w:sz w:val="20"/>
                <w:szCs w:val="16"/>
                <w:vertAlign w:val="superscript"/>
              </w:rPr>
              <w:t>6</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29ED6" w14:textId="5EA9FA2D" w:rsidR="00690315" w:rsidRPr="0050093C" w:rsidRDefault="00690315" w:rsidP="00065101">
            <w:pPr>
              <w:pStyle w:val="FooterTableFigure"/>
              <w:keepNext/>
              <w:spacing w:after="0"/>
              <w:rPr>
                <w:sz w:val="20"/>
                <w:szCs w:val="16"/>
                <w:vertAlign w:val="superscript"/>
              </w:rPr>
            </w:pPr>
            <w:r w:rsidRPr="003910CE">
              <w:rPr>
                <w:sz w:val="20"/>
                <w:szCs w:val="16"/>
                <w:lang w:val="en-US"/>
              </w:rPr>
              <w:t>-</w:t>
            </w:r>
            <w:r w:rsidR="00770501" w:rsidRPr="00770501">
              <w:rPr>
                <w:color w:val="000000"/>
                <w:spacing w:val="9"/>
                <w:sz w:val="20"/>
                <w:szCs w:val="16"/>
                <w:shd w:val="solid" w:color="000000" w:fill="000000"/>
                <w:fitText w:val="310" w:id="-632124658"/>
                <w:lang w:val="en-US"/>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8"/>
                <w:lang w:val="en-US"/>
                <w14:textFill>
                  <w14:solidFill>
                    <w14:srgbClr w14:val="000000">
                      <w14:alpha w14:val="100000"/>
                    </w14:srgbClr>
                  </w14:solidFill>
                </w14:textFill>
              </w:rPr>
              <w:t>|</w:t>
            </w:r>
            <w:r w:rsidR="0050093C">
              <w:rPr>
                <w:sz w:val="20"/>
                <w:szCs w:val="16"/>
                <w:vertAlign w:val="superscript"/>
                <w:lang w:val="en-US"/>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D44225" w14:textId="234BEB9C" w:rsidR="00690315" w:rsidRPr="00190E8D" w:rsidRDefault="00690315" w:rsidP="00065101">
            <w:pPr>
              <w:pStyle w:val="FooterTableFigure"/>
              <w:keepNext/>
              <w:spacing w:after="0"/>
              <w:rPr>
                <w:sz w:val="20"/>
                <w:szCs w:val="16"/>
                <w:vertAlign w:val="superscript"/>
              </w:rPr>
            </w:pPr>
            <w:r w:rsidRPr="003910CE">
              <w:rPr>
                <w:sz w:val="20"/>
                <w:szCs w:val="16"/>
                <w:lang w:val="en-US"/>
              </w:rPr>
              <w:t>-</w:t>
            </w:r>
            <w:r w:rsidR="00770501" w:rsidRPr="00770501">
              <w:rPr>
                <w:color w:val="000000"/>
                <w:spacing w:val="9"/>
                <w:sz w:val="20"/>
                <w:szCs w:val="16"/>
                <w:shd w:val="solid" w:color="000000" w:fill="000000"/>
                <w:fitText w:val="310" w:id="-632124657"/>
                <w:lang w:val="en-US"/>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7"/>
                <w:lang w:val="en-US"/>
                <w14:textFill>
                  <w14:solidFill>
                    <w14:srgbClr w14:val="000000">
                      <w14:alpha w14:val="100000"/>
                    </w14:srgbClr>
                  </w14:solidFill>
                </w14:textFill>
              </w:rPr>
              <w:t>|</w:t>
            </w:r>
            <w:r w:rsidR="00190E8D">
              <w:rPr>
                <w:sz w:val="20"/>
                <w:szCs w:val="16"/>
                <w:vertAlign w:val="superscript"/>
                <w:lang w:val="en-US"/>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FA6D72" w14:textId="78767D70" w:rsidR="00690315" w:rsidRPr="00190E8D" w:rsidRDefault="00690315" w:rsidP="00065101">
            <w:pPr>
              <w:pStyle w:val="FooterTableFigure"/>
              <w:keepNext/>
              <w:spacing w:after="0"/>
              <w:rPr>
                <w:sz w:val="20"/>
                <w:szCs w:val="16"/>
                <w:vertAlign w:val="superscript"/>
              </w:rPr>
            </w:pPr>
            <w:r w:rsidRPr="003910CE">
              <w:rPr>
                <w:sz w:val="20"/>
                <w:szCs w:val="16"/>
                <w:lang w:val="en-US"/>
              </w:rPr>
              <w:t>-</w:t>
            </w:r>
            <w:r w:rsidR="00770501" w:rsidRPr="00770501">
              <w:rPr>
                <w:color w:val="000000"/>
                <w:spacing w:val="9"/>
                <w:sz w:val="20"/>
                <w:szCs w:val="16"/>
                <w:shd w:val="solid" w:color="000000" w:fill="000000"/>
                <w:fitText w:val="310" w:id="-632124656"/>
                <w:lang w:val="en-US"/>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6"/>
                <w:lang w:val="en-US"/>
                <w14:textFill>
                  <w14:solidFill>
                    <w14:srgbClr w14:val="000000">
                      <w14:alpha w14:val="100000"/>
                    </w14:srgbClr>
                  </w14:solidFill>
                </w14:textFill>
              </w:rPr>
              <w:t>|</w:t>
            </w:r>
            <w:r w:rsidR="00190E8D" w:rsidRPr="00190E8D">
              <w:rPr>
                <w:sz w:val="20"/>
                <w:szCs w:val="16"/>
                <w:vertAlign w:val="superscript"/>
                <w:lang w:val="en-US"/>
              </w:rPr>
              <w:t>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56664" w14:textId="5461A8C6" w:rsidR="00690315" w:rsidRPr="00190E8D" w:rsidRDefault="00690315" w:rsidP="00065101">
            <w:pPr>
              <w:pStyle w:val="FooterTableFigure"/>
              <w:keepNext/>
              <w:spacing w:after="0"/>
              <w:rPr>
                <w:sz w:val="20"/>
                <w:szCs w:val="16"/>
                <w:vertAlign w:val="superscript"/>
              </w:rPr>
            </w:pPr>
            <w:r w:rsidRPr="003910CE">
              <w:rPr>
                <w:sz w:val="20"/>
                <w:szCs w:val="16"/>
                <w:lang w:val="en-US"/>
              </w:rPr>
              <w:t>-</w:t>
            </w:r>
            <w:r w:rsidR="00770501" w:rsidRPr="00770501">
              <w:rPr>
                <w:color w:val="000000"/>
                <w:spacing w:val="9"/>
                <w:sz w:val="20"/>
                <w:szCs w:val="16"/>
                <w:shd w:val="solid" w:color="000000" w:fill="000000"/>
                <w:fitText w:val="310" w:id="-632124672"/>
                <w:lang w:val="en-US"/>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72"/>
                <w:lang w:val="en-US"/>
                <w14:textFill>
                  <w14:solidFill>
                    <w14:srgbClr w14:val="000000">
                      <w14:alpha w14:val="100000"/>
                    </w14:srgbClr>
                  </w14:solidFill>
                </w14:textFill>
              </w:rPr>
              <w:t>|</w:t>
            </w:r>
            <w:r w:rsidR="00190E8D">
              <w:rPr>
                <w:sz w:val="20"/>
                <w:szCs w:val="16"/>
                <w:vertAlign w:val="superscript"/>
                <w:lang w:val="en-US"/>
              </w:rPr>
              <w:t>9</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5B1BE" w14:textId="2CAC7B0F" w:rsidR="00690315" w:rsidRPr="00190E8D" w:rsidRDefault="00690315" w:rsidP="00065101">
            <w:pPr>
              <w:pStyle w:val="FooterTableFigure"/>
              <w:keepNext/>
              <w:spacing w:after="0"/>
              <w:rPr>
                <w:sz w:val="20"/>
                <w:szCs w:val="16"/>
                <w:vertAlign w:val="superscript"/>
              </w:rPr>
            </w:pPr>
            <w:r w:rsidRPr="003910CE">
              <w:rPr>
                <w:sz w:val="20"/>
                <w:szCs w:val="16"/>
                <w:lang w:val="en-US"/>
              </w:rPr>
              <w:t>-</w:t>
            </w:r>
            <w:r w:rsidR="00770501" w:rsidRPr="00770501">
              <w:rPr>
                <w:color w:val="000000"/>
                <w:spacing w:val="9"/>
                <w:sz w:val="20"/>
                <w:szCs w:val="16"/>
                <w:shd w:val="solid" w:color="000000" w:fill="000000"/>
                <w:fitText w:val="310" w:id="-632124671"/>
                <w:lang w:val="en-US"/>
                <w14:textFill>
                  <w14:solidFill>
                    <w14:srgbClr w14:val="000000">
                      <w14:alpha w14:val="100000"/>
                    </w14:srgbClr>
                  </w14:solidFill>
                </w14:textFill>
              </w:rPr>
              <w:t>||  ||</w:t>
            </w:r>
            <w:r w:rsidR="00190E8D">
              <w:rPr>
                <w:sz w:val="20"/>
                <w:szCs w:val="16"/>
                <w:vertAlign w:val="superscript"/>
                <w:lang w:val="en-US"/>
              </w:rPr>
              <w:t>10</w:t>
            </w:r>
          </w:p>
        </w:tc>
      </w:tr>
      <w:tr w:rsidR="00690315" w:rsidRPr="003910CE" w14:paraId="02B909ED"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53D11138" w14:textId="77777777" w:rsidR="00690315" w:rsidRPr="003910CE" w:rsidRDefault="00690315" w:rsidP="00065101">
            <w:pPr>
              <w:pStyle w:val="FooterTableFigure"/>
              <w:keepNext/>
              <w:spacing w:after="0"/>
              <w:rPr>
                <w:sz w:val="20"/>
                <w:szCs w:val="16"/>
              </w:rPr>
            </w:pPr>
            <w:r w:rsidRPr="003910CE">
              <w:rPr>
                <w:sz w:val="20"/>
                <w:szCs w:val="16"/>
              </w:rPr>
              <w:t>CAL/BDP, 0.05% ointment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68E6FFB" w14:textId="332B9FAC" w:rsidR="00690315" w:rsidRPr="00190E8D"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70"/>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70"/>
                <w14:textFill>
                  <w14:solidFill>
                    <w14:srgbClr w14:val="000000">
                      <w14:alpha w14:val="100000"/>
                    </w14:srgbClr>
                  </w14:solidFill>
                </w14:textFill>
              </w:rPr>
              <w:t>|</w:t>
            </w:r>
            <w:r w:rsidR="00190E8D">
              <w:rPr>
                <w:sz w:val="20"/>
                <w:szCs w:val="16"/>
                <w:vertAlign w:val="superscript"/>
              </w:rPr>
              <w:t>6</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AB377" w14:textId="57DEDC9C"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9"/>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9"/>
                <w14:textFill>
                  <w14:solidFill>
                    <w14:srgbClr w14:val="000000">
                      <w14:alpha w14:val="100000"/>
                    </w14:srgbClr>
                  </w14:solidFill>
                </w14:textFill>
              </w:rPr>
              <w:t>|</w:t>
            </w:r>
            <w:r w:rsidR="00C03470" w:rsidRPr="00C03470">
              <w:rPr>
                <w:sz w:val="20"/>
                <w:szCs w:val="16"/>
                <w:vertAlign w:val="superscript"/>
              </w:rPr>
              <w:t>12</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3E0C8" w14:textId="26B01B45" w:rsidR="00690315" w:rsidRPr="00C03470"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8"/>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8"/>
                <w14:textFill>
                  <w14:solidFill>
                    <w14:srgbClr w14:val="000000">
                      <w14:alpha w14:val="100000"/>
                    </w14:srgbClr>
                  </w14:solidFill>
                </w14:textFill>
              </w:rPr>
              <w:t>|</w:t>
            </w:r>
            <w:r w:rsidR="0063438B">
              <w:rPr>
                <w:sz w:val="20"/>
                <w:szCs w:val="16"/>
                <w:vertAlign w:val="superscript"/>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831891" w14:textId="7EFD9154" w:rsidR="00690315" w:rsidRPr="0063438B"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7"/>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7"/>
                <w14:textFill>
                  <w14:solidFill>
                    <w14:srgbClr w14:val="000000">
                      <w14:alpha w14:val="100000"/>
                    </w14:srgbClr>
                  </w14:solidFill>
                </w14:textFill>
              </w:rPr>
              <w:t>|</w:t>
            </w:r>
            <w:r w:rsidR="0063438B">
              <w:rPr>
                <w:sz w:val="20"/>
                <w:szCs w:val="16"/>
                <w:vertAlign w:val="superscript"/>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2708E" w14:textId="4D948089" w:rsidR="00690315" w:rsidRPr="0063438B"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6"/>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6"/>
                <w14:textFill>
                  <w14:solidFill>
                    <w14:srgbClr w14:val="000000">
                      <w14:alpha w14:val="100000"/>
                    </w14:srgbClr>
                  </w14:solidFill>
                </w14:textFill>
              </w:rPr>
              <w:t>|</w:t>
            </w:r>
            <w:r w:rsidR="0063438B">
              <w:rPr>
                <w:sz w:val="20"/>
                <w:szCs w:val="16"/>
                <w:vertAlign w:val="superscript"/>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4D76C" w14:textId="71BE3E84" w:rsidR="00690315" w:rsidRPr="0063438B"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5"/>
                <w14:textFill>
                  <w14:solidFill>
                    <w14:srgbClr w14:val="000000">
                      <w14:alpha w14:val="100000"/>
                    </w14:srgbClr>
                  </w14:solidFill>
                </w14:textFill>
              </w:rPr>
              <w:t>||  ||</w:t>
            </w:r>
            <w:r w:rsidR="0063438B">
              <w:rPr>
                <w:sz w:val="20"/>
                <w:szCs w:val="16"/>
                <w:vertAlign w:val="superscript"/>
              </w:rPr>
              <w:t>8</w:t>
            </w:r>
          </w:p>
        </w:tc>
      </w:tr>
      <w:tr w:rsidR="00690315" w:rsidRPr="003910CE" w14:paraId="4E827135"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0FBE8BB6" w14:textId="77777777" w:rsidR="00690315" w:rsidRPr="003910CE" w:rsidRDefault="00690315" w:rsidP="00065101">
            <w:pPr>
              <w:pStyle w:val="FooterTableFigure"/>
              <w:keepNext/>
              <w:spacing w:after="0"/>
              <w:rPr>
                <w:sz w:val="20"/>
                <w:szCs w:val="16"/>
              </w:rPr>
            </w:pPr>
            <w:r w:rsidRPr="003910CE">
              <w:rPr>
                <w:sz w:val="20"/>
                <w:szCs w:val="16"/>
              </w:rPr>
              <w:t>Aggregate volumes of scripts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1C028AF5" w14:textId="32132D4E" w:rsidR="00690315" w:rsidRPr="00921036"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4"/>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4"/>
                <w14:textFill>
                  <w14:solidFill>
                    <w14:srgbClr w14:val="000000">
                      <w14:alpha w14:val="100000"/>
                    </w14:srgbClr>
                  </w14:solidFill>
                </w14:textFill>
              </w:rPr>
              <w:t>|</w:t>
            </w:r>
            <w:r w:rsidR="00921036">
              <w:rPr>
                <w:sz w:val="20"/>
                <w:szCs w:val="16"/>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98836" w14:textId="6F988EDF" w:rsidR="00690315" w:rsidRPr="00921036"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3"/>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3"/>
                <w14:textFill>
                  <w14:solidFill>
                    <w14:srgbClr w14:val="000000">
                      <w14:alpha w14:val="100000"/>
                    </w14:srgbClr>
                  </w14:solidFill>
                </w14:textFill>
              </w:rPr>
              <w:t>|</w:t>
            </w:r>
            <w:r w:rsidR="00921036">
              <w:rPr>
                <w:sz w:val="20"/>
                <w:szCs w:val="16"/>
                <w:vertAlign w:val="superscript"/>
              </w:rPr>
              <w:t>8</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B43BB" w14:textId="18EDA495" w:rsidR="00690315" w:rsidRPr="00921036"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2"/>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2"/>
                <w14:textFill>
                  <w14:solidFill>
                    <w14:srgbClr w14:val="000000">
                      <w14:alpha w14:val="100000"/>
                    </w14:srgbClr>
                  </w14:solidFill>
                </w14:textFill>
              </w:rPr>
              <w:t>|</w:t>
            </w:r>
            <w:r w:rsidR="00921036">
              <w:rPr>
                <w:sz w:val="20"/>
                <w:szCs w:val="16"/>
                <w:vertAlign w:val="superscript"/>
              </w:rPr>
              <w:t>10</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214AE" w14:textId="101FFC49" w:rsidR="00690315" w:rsidRPr="00921036"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9"/>
                <w:sz w:val="20"/>
                <w:szCs w:val="16"/>
                <w:shd w:val="solid" w:color="000000" w:fill="000000"/>
                <w:fitText w:val="310" w:id="-632124661"/>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1"/>
                <w14:textFill>
                  <w14:solidFill>
                    <w14:srgbClr w14:val="000000">
                      <w14:alpha w14:val="100000"/>
                    </w14:srgbClr>
                  </w14:solidFill>
                </w14:textFill>
              </w:rPr>
              <w:t>|</w:t>
            </w:r>
            <w:r w:rsidR="00921036" w:rsidRPr="00921036">
              <w:rPr>
                <w:sz w:val="20"/>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03671" w14:textId="4CD5F387"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0"/>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0"/>
                <w14:textFill>
                  <w14:solidFill>
                    <w14:srgbClr w14:val="000000">
                      <w14:alpha w14:val="100000"/>
                    </w14:srgbClr>
                  </w14:solidFill>
                </w14:textFill>
              </w:rPr>
              <w:t>|</w:t>
            </w:r>
            <w:r w:rsidR="00921036" w:rsidRPr="00921036">
              <w:rPr>
                <w:sz w:val="20"/>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458815" w14:textId="7891E64D"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59"/>
                <w14:textFill>
                  <w14:solidFill>
                    <w14:srgbClr w14:val="000000">
                      <w14:alpha w14:val="100000"/>
                    </w14:srgbClr>
                  </w14:solidFill>
                </w14:textFill>
              </w:rPr>
              <w:t>||  ||</w:t>
            </w:r>
            <w:r w:rsidR="00921036" w:rsidRPr="00921036">
              <w:rPr>
                <w:sz w:val="20"/>
                <w:szCs w:val="16"/>
                <w:vertAlign w:val="superscript"/>
              </w:rPr>
              <w:t>5</w:t>
            </w:r>
          </w:p>
        </w:tc>
      </w:tr>
      <w:tr w:rsidR="00690315" w:rsidRPr="003910CE" w14:paraId="4AE527E1"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D3DE773" w14:textId="77777777" w:rsidR="00690315" w:rsidRPr="003910CE" w:rsidRDefault="00690315" w:rsidP="00065101">
            <w:pPr>
              <w:pStyle w:val="FooterTableFigure"/>
              <w:keepNext/>
              <w:spacing w:after="0"/>
              <w:rPr>
                <w:b/>
                <w:bCs/>
                <w:sz w:val="20"/>
                <w:szCs w:val="16"/>
                <w:lang w:val="en-US"/>
              </w:rPr>
            </w:pPr>
            <w:r w:rsidRPr="003910CE">
              <w:rPr>
                <w:b/>
                <w:sz w:val="20"/>
                <w:szCs w:val="16"/>
              </w:rPr>
              <w:t xml:space="preserve">Estimated patient copayments </w:t>
            </w:r>
          </w:p>
        </w:tc>
      </w:tr>
      <w:tr w:rsidR="00690315" w:rsidRPr="003910CE" w14:paraId="495A5A4C"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5437BB61" w14:textId="77777777" w:rsidR="00690315" w:rsidRPr="003910CE" w:rsidRDefault="00690315" w:rsidP="00065101">
            <w:pPr>
              <w:pStyle w:val="FooterTableFigure"/>
              <w:keepNext/>
              <w:spacing w:after="0"/>
              <w:rPr>
                <w:sz w:val="20"/>
                <w:szCs w:val="16"/>
              </w:rPr>
            </w:pPr>
            <w:r w:rsidRPr="003910CE">
              <w:rPr>
                <w:sz w:val="20"/>
                <w:szCs w:val="16"/>
              </w:rPr>
              <w:t>Cost of copayments for CAL/BDP foam and ointment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791C4D81" w14:textId="540D2B45" w:rsidR="00690315" w:rsidRPr="00921036" w:rsidRDefault="00690315" w:rsidP="00065101">
            <w:pPr>
              <w:pStyle w:val="FooterTableFigure"/>
              <w:keepNext/>
              <w:spacing w:after="0"/>
              <w:rPr>
                <w:sz w:val="20"/>
                <w:szCs w:val="16"/>
                <w:vertAlign w:val="superscript"/>
              </w:rPr>
            </w:pPr>
            <w:r w:rsidRPr="00921036">
              <w:rPr>
                <w:sz w:val="20"/>
                <w:szCs w:val="16"/>
              </w:rPr>
              <w:t>$</w:t>
            </w:r>
            <w:r w:rsidR="00770501" w:rsidRPr="00770501">
              <w:rPr>
                <w:color w:val="000000"/>
                <w:spacing w:val="9"/>
                <w:sz w:val="20"/>
                <w:szCs w:val="16"/>
                <w:shd w:val="solid" w:color="000000" w:fill="000000"/>
                <w:fitText w:val="310" w:id="-632124658"/>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8"/>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642D3" w14:textId="4649F791"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57"/>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7"/>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E8753" w14:textId="2C65BEF4"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56"/>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6"/>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A397F" w14:textId="575539FD"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72"/>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72"/>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C7568" w14:textId="49C0CB1E"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71"/>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71"/>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1006E" w14:textId="25F851AE"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70"/>
                <w14:textFill>
                  <w14:solidFill>
                    <w14:srgbClr w14:val="000000">
                      <w14:alpha w14:val="100000"/>
                    </w14:srgbClr>
                  </w14:solidFill>
                </w14:textFill>
              </w:rPr>
              <w:t>||  ||</w:t>
            </w:r>
            <w:r w:rsidR="00921036">
              <w:rPr>
                <w:sz w:val="20"/>
                <w:szCs w:val="16"/>
                <w:vertAlign w:val="superscript"/>
              </w:rPr>
              <w:t>13</w:t>
            </w:r>
          </w:p>
        </w:tc>
      </w:tr>
      <w:tr w:rsidR="00690315" w:rsidRPr="003910CE" w14:paraId="289C9E2A"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2A46E363" w14:textId="77777777" w:rsidR="00690315" w:rsidRPr="003910CE" w:rsidRDefault="00690315" w:rsidP="00065101">
            <w:pPr>
              <w:pStyle w:val="FooterTableFigure"/>
              <w:keepNext/>
              <w:spacing w:after="0"/>
              <w:rPr>
                <w:sz w:val="20"/>
                <w:szCs w:val="16"/>
              </w:rPr>
            </w:pPr>
            <w:r w:rsidRPr="003910CE">
              <w:rPr>
                <w:sz w:val="20"/>
                <w:szCs w:val="16"/>
              </w:rPr>
              <w:t>Cost of copayments for CAL/BDP cream</w:t>
            </w:r>
          </w:p>
        </w:tc>
        <w:tc>
          <w:tcPr>
            <w:tcW w:w="611" w:type="pct"/>
            <w:tcBorders>
              <w:top w:val="single" w:sz="4" w:space="0" w:color="auto"/>
              <w:left w:val="nil"/>
              <w:bottom w:val="nil"/>
              <w:right w:val="single" w:sz="4" w:space="0" w:color="auto"/>
            </w:tcBorders>
            <w:vAlign w:val="center"/>
            <w:hideMark/>
          </w:tcPr>
          <w:p w14:paraId="7C8E1544" w14:textId="0740CDF4"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9"/>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9"/>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nil"/>
              <w:right w:val="single" w:sz="4" w:space="0" w:color="auto"/>
            </w:tcBorders>
            <w:vAlign w:val="center"/>
            <w:hideMark/>
          </w:tcPr>
          <w:p w14:paraId="71D2DCC4" w14:textId="7A59A885"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8"/>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8"/>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nil"/>
              <w:right w:val="single" w:sz="4" w:space="0" w:color="auto"/>
            </w:tcBorders>
            <w:vAlign w:val="center"/>
            <w:hideMark/>
          </w:tcPr>
          <w:p w14:paraId="416C5033" w14:textId="5BCF31D9"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7"/>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7"/>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nil"/>
              <w:right w:val="single" w:sz="4" w:space="0" w:color="auto"/>
            </w:tcBorders>
            <w:vAlign w:val="center"/>
            <w:hideMark/>
          </w:tcPr>
          <w:p w14:paraId="734D9E40" w14:textId="6D411F1A"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6"/>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6"/>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nil"/>
              <w:right w:val="single" w:sz="4" w:space="0" w:color="auto"/>
            </w:tcBorders>
            <w:vAlign w:val="center"/>
            <w:hideMark/>
          </w:tcPr>
          <w:p w14:paraId="03BCE268" w14:textId="77D23042"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5"/>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5"/>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nil"/>
              <w:right w:val="single" w:sz="4" w:space="0" w:color="auto"/>
            </w:tcBorders>
            <w:vAlign w:val="center"/>
            <w:hideMark/>
          </w:tcPr>
          <w:p w14:paraId="00466BA7" w14:textId="062640E4"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4"/>
                <w14:textFill>
                  <w14:solidFill>
                    <w14:srgbClr w14:val="000000">
                      <w14:alpha w14:val="100000"/>
                    </w14:srgbClr>
                  </w14:solidFill>
                </w14:textFill>
              </w:rPr>
              <w:t>||  ||</w:t>
            </w:r>
            <w:r w:rsidR="00921036">
              <w:rPr>
                <w:sz w:val="20"/>
                <w:szCs w:val="16"/>
                <w:vertAlign w:val="superscript"/>
              </w:rPr>
              <w:t>13</w:t>
            </w:r>
          </w:p>
        </w:tc>
      </w:tr>
      <w:tr w:rsidR="00690315" w:rsidRPr="003910CE" w14:paraId="2DE1E0FD"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B6C8974"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Estimated financial implications of CAL/BDP cream</w:t>
            </w:r>
          </w:p>
        </w:tc>
      </w:tr>
      <w:tr w:rsidR="00690315" w:rsidRPr="003910CE" w14:paraId="13569E5B"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4D810614" w14:textId="77777777" w:rsidR="00690315" w:rsidRPr="003910CE" w:rsidRDefault="00690315" w:rsidP="00065101">
            <w:pPr>
              <w:pStyle w:val="FooterTableFigure"/>
              <w:keepNext/>
              <w:spacing w:after="0"/>
              <w:rPr>
                <w:sz w:val="20"/>
                <w:szCs w:val="16"/>
              </w:rPr>
            </w:pPr>
            <w:r w:rsidRPr="003910CE">
              <w:rPr>
                <w:sz w:val="20"/>
                <w:szCs w:val="16"/>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69D301A2" w14:textId="57D1EE71"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3"/>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3"/>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EF291EB" w14:textId="039E00A2"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2"/>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2"/>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1AD4DE0F" w14:textId="123F64E9"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1"/>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1"/>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3579853" w14:textId="5814F41B"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60"/>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60"/>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27B8ECF" w14:textId="4A0CAB39"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59"/>
                <w14:textFill>
                  <w14:solidFill>
                    <w14:srgbClr w14:val="000000">
                      <w14:alpha w14:val="100000"/>
                    </w14:srgbClr>
                  </w14:solidFill>
                </w14:textFill>
              </w:rPr>
              <w:t>||  |</w:t>
            </w:r>
            <w:r w:rsidR="00770501" w:rsidRPr="00770501">
              <w:rPr>
                <w:color w:val="000000"/>
                <w:spacing w:val="4"/>
                <w:sz w:val="20"/>
                <w:szCs w:val="16"/>
                <w:shd w:val="solid" w:color="000000" w:fill="000000"/>
                <w:fitText w:val="310" w:id="-632124659"/>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2248FB" w14:textId="3AC84AF1"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9"/>
                <w:sz w:val="20"/>
                <w:szCs w:val="16"/>
                <w:shd w:val="solid" w:color="000000" w:fill="000000"/>
                <w:fitText w:val="310" w:id="-632124658"/>
                <w14:textFill>
                  <w14:solidFill>
                    <w14:srgbClr w14:val="000000">
                      <w14:alpha w14:val="100000"/>
                    </w14:srgbClr>
                  </w14:solidFill>
                </w14:textFill>
              </w:rPr>
              <w:t>||  ||</w:t>
            </w:r>
            <w:r w:rsidR="00921036">
              <w:rPr>
                <w:sz w:val="20"/>
                <w:szCs w:val="16"/>
                <w:vertAlign w:val="superscript"/>
              </w:rPr>
              <w:t>13</w:t>
            </w:r>
          </w:p>
        </w:tc>
      </w:tr>
      <w:tr w:rsidR="00690315" w:rsidRPr="003910CE" w14:paraId="5EB195DD"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D05B304" w14:textId="77777777" w:rsidR="00690315" w:rsidRPr="003910CE" w:rsidRDefault="00690315" w:rsidP="00065101">
            <w:pPr>
              <w:pStyle w:val="FooterTableFigure"/>
              <w:keepNext/>
              <w:spacing w:after="0"/>
              <w:rPr>
                <w:b/>
                <w:sz w:val="20"/>
                <w:szCs w:val="16"/>
              </w:rPr>
            </w:pPr>
            <w:r w:rsidRPr="003910CE">
              <w:rPr>
                <w:b/>
                <w:sz w:val="20"/>
                <w:szCs w:val="16"/>
              </w:rPr>
              <w:t>Estimated financial implications for CAL/BDP foam and ointment</w:t>
            </w:r>
          </w:p>
        </w:tc>
      </w:tr>
      <w:tr w:rsidR="00690315" w:rsidRPr="003910CE" w14:paraId="2B25CF7D"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5DCF3166" w14:textId="77777777" w:rsidR="00690315" w:rsidRPr="003910CE" w:rsidRDefault="00690315" w:rsidP="00065101">
            <w:pPr>
              <w:pStyle w:val="FooterTableFigure"/>
              <w:keepNext/>
              <w:spacing w:after="0"/>
              <w:rPr>
                <w:sz w:val="20"/>
                <w:szCs w:val="16"/>
              </w:rPr>
            </w:pPr>
            <w:r w:rsidRPr="003910CE">
              <w:rPr>
                <w:sz w:val="20"/>
                <w:szCs w:val="16"/>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70A70865" w14:textId="586AC947"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57"/>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57"/>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2F9EB93" w14:textId="6C49793E"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56"/>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56"/>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8CF3AFF" w14:textId="1CA26980"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72"/>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72"/>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172540" w14:textId="624E8CB2"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71"/>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71"/>
                <w14:textFill>
                  <w14:solidFill>
                    <w14:srgbClr w14:val="000000">
                      <w14:alpha w14:val="100000"/>
                    </w14:srgbClr>
                  </w14:solidFill>
                </w14:textFill>
              </w:rPr>
              <w:t>|</w:t>
            </w:r>
            <w:r w:rsidR="00921036">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FFCCF36" w14:textId="28FC4AD0" w:rsidR="00690315" w:rsidRPr="00983FAF" w:rsidRDefault="00690315" w:rsidP="00065101">
            <w:pPr>
              <w:pStyle w:val="FooterTableFigure"/>
              <w:keepNext/>
              <w:spacing w:after="0"/>
              <w:rPr>
                <w:sz w:val="20"/>
                <w:szCs w:val="16"/>
                <w:vertAlign w:val="superscript"/>
              </w:rPr>
            </w:pPr>
            <w:r w:rsidRPr="003910CE">
              <w:rPr>
                <w:sz w:val="20"/>
                <w:szCs w:val="16"/>
              </w:rPr>
              <w:t>-$</w:t>
            </w:r>
            <w:r w:rsidR="00770501" w:rsidRPr="00770501">
              <w:rPr>
                <w:color w:val="000000"/>
                <w:spacing w:val="8"/>
                <w:sz w:val="20"/>
                <w:szCs w:val="16"/>
                <w:shd w:val="solid" w:color="000000" w:fill="000000"/>
                <w:fitText w:val="304" w:id="-632124670"/>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70"/>
                <w14:textFill>
                  <w14:solidFill>
                    <w14:srgbClr w14:val="000000">
                      <w14:alpha w14:val="100000"/>
                    </w14:srgbClr>
                  </w14:solidFill>
                </w14:textFill>
              </w:rPr>
              <w:t>|</w:t>
            </w:r>
            <w:r w:rsidR="00983FAF">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0A5FE9D" w14:textId="4D6BC2BD"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9"/>
                <w14:textFill>
                  <w14:solidFill>
                    <w14:srgbClr w14:val="000000">
                      <w14:alpha w14:val="100000"/>
                    </w14:srgbClr>
                  </w14:solidFill>
                </w14:textFill>
              </w:rPr>
              <w:t>||  ||</w:t>
            </w:r>
            <w:r w:rsidR="00983FAF">
              <w:rPr>
                <w:sz w:val="20"/>
                <w:szCs w:val="16"/>
                <w:vertAlign w:val="superscript"/>
              </w:rPr>
              <w:t>13</w:t>
            </w:r>
          </w:p>
        </w:tc>
      </w:tr>
      <w:tr w:rsidR="00690315" w:rsidRPr="003910CE" w14:paraId="5CCF035C" w14:textId="77777777" w:rsidTr="0069031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495AB06" w14:textId="77777777" w:rsidR="00690315" w:rsidRPr="003910CE" w:rsidRDefault="00690315" w:rsidP="00065101">
            <w:pPr>
              <w:pStyle w:val="FooterTableFigure"/>
              <w:keepNext/>
              <w:spacing w:after="0"/>
              <w:rPr>
                <w:b/>
                <w:sz w:val="20"/>
                <w:szCs w:val="16"/>
                <w:lang w:val="en-US"/>
              </w:rPr>
            </w:pPr>
            <w:r w:rsidRPr="003910CE">
              <w:rPr>
                <w:b/>
                <w:sz w:val="20"/>
                <w:szCs w:val="16"/>
                <w:lang w:val="en-US"/>
              </w:rPr>
              <w:t xml:space="preserve">Net financial implications </w:t>
            </w:r>
          </w:p>
        </w:tc>
      </w:tr>
      <w:tr w:rsidR="00690315" w:rsidRPr="003910CE" w14:paraId="240D9A85" w14:textId="77777777" w:rsidTr="00690315">
        <w:tc>
          <w:tcPr>
            <w:tcW w:w="1334" w:type="pct"/>
            <w:tcBorders>
              <w:top w:val="single" w:sz="4" w:space="0" w:color="auto"/>
              <w:left w:val="single" w:sz="4" w:space="0" w:color="auto"/>
              <w:bottom w:val="single" w:sz="4" w:space="0" w:color="auto"/>
              <w:right w:val="single" w:sz="4" w:space="0" w:color="auto"/>
            </w:tcBorders>
            <w:vAlign w:val="center"/>
            <w:hideMark/>
          </w:tcPr>
          <w:p w14:paraId="0CC0B5C5" w14:textId="77777777" w:rsidR="00690315" w:rsidRPr="003910CE" w:rsidRDefault="00690315" w:rsidP="00065101">
            <w:pPr>
              <w:pStyle w:val="FooterTableFigure"/>
              <w:keepNext/>
              <w:spacing w:after="0"/>
              <w:rPr>
                <w:sz w:val="20"/>
                <w:szCs w:val="16"/>
              </w:rPr>
            </w:pPr>
            <w:r w:rsidRPr="003910CE">
              <w:rPr>
                <w:sz w:val="20"/>
                <w:szCs w:val="16"/>
              </w:rPr>
              <w:t>Net cost to PBS/RPBS</w:t>
            </w:r>
          </w:p>
        </w:tc>
        <w:tc>
          <w:tcPr>
            <w:tcW w:w="611" w:type="pct"/>
            <w:tcBorders>
              <w:top w:val="single" w:sz="4" w:space="0" w:color="auto"/>
              <w:left w:val="single" w:sz="4" w:space="0" w:color="auto"/>
              <w:bottom w:val="single" w:sz="4" w:space="0" w:color="auto"/>
              <w:right w:val="single" w:sz="4" w:space="0" w:color="auto"/>
            </w:tcBorders>
            <w:hideMark/>
          </w:tcPr>
          <w:p w14:paraId="5809F5C5" w14:textId="66F23C9D"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8"/>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8"/>
                <w14:textFill>
                  <w14:solidFill>
                    <w14:srgbClr w14:val="000000">
                      <w14:alpha w14:val="100000"/>
                    </w14:srgbClr>
                  </w14:solidFill>
                </w14:textFill>
              </w:rPr>
              <w:t>|</w:t>
            </w:r>
            <w:r w:rsidR="00983FAF">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hideMark/>
          </w:tcPr>
          <w:p w14:paraId="1126710B" w14:textId="68813FBC"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7"/>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7"/>
                <w14:textFill>
                  <w14:solidFill>
                    <w14:srgbClr w14:val="000000">
                      <w14:alpha w14:val="100000"/>
                    </w14:srgbClr>
                  </w14:solidFill>
                </w14:textFill>
              </w:rPr>
              <w:t>|</w:t>
            </w:r>
            <w:r w:rsidR="00983FAF">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hideMark/>
          </w:tcPr>
          <w:p w14:paraId="0ACB6ABF" w14:textId="70F74E81"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6"/>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6"/>
                <w14:textFill>
                  <w14:solidFill>
                    <w14:srgbClr w14:val="000000">
                      <w14:alpha w14:val="100000"/>
                    </w14:srgbClr>
                  </w14:solidFill>
                </w14:textFill>
              </w:rPr>
              <w:t>|</w:t>
            </w:r>
            <w:r w:rsidR="00983FAF">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hideMark/>
          </w:tcPr>
          <w:p w14:paraId="38CADA42" w14:textId="28824818"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5"/>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5"/>
                <w14:textFill>
                  <w14:solidFill>
                    <w14:srgbClr w14:val="000000">
                      <w14:alpha w14:val="100000"/>
                    </w14:srgbClr>
                  </w14:solidFill>
                </w14:textFill>
              </w:rPr>
              <w:t>|</w:t>
            </w:r>
            <w:r w:rsidR="00983FAF">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hideMark/>
          </w:tcPr>
          <w:p w14:paraId="5923EAA5" w14:textId="51C604EE"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4"/>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4"/>
                <w14:textFill>
                  <w14:solidFill>
                    <w14:srgbClr w14:val="000000">
                      <w14:alpha w14:val="100000"/>
                    </w14:srgbClr>
                  </w14:solidFill>
                </w14:textFill>
              </w:rPr>
              <w:t>|</w:t>
            </w:r>
            <w:r w:rsidR="001C4C28">
              <w:rPr>
                <w:sz w:val="20"/>
                <w:szCs w:val="16"/>
                <w:vertAlign w:val="superscript"/>
              </w:rPr>
              <w:t>13</w:t>
            </w:r>
          </w:p>
        </w:tc>
        <w:tc>
          <w:tcPr>
            <w:tcW w:w="611" w:type="pct"/>
            <w:tcBorders>
              <w:top w:val="single" w:sz="4" w:space="0" w:color="auto"/>
              <w:left w:val="single" w:sz="4" w:space="0" w:color="auto"/>
              <w:bottom w:val="single" w:sz="4" w:space="0" w:color="auto"/>
              <w:right w:val="single" w:sz="4" w:space="0" w:color="auto"/>
            </w:tcBorders>
            <w:hideMark/>
          </w:tcPr>
          <w:p w14:paraId="51ED9F85" w14:textId="1F3753F7" w:rsidR="00690315" w:rsidRPr="003910CE" w:rsidRDefault="00690315" w:rsidP="00065101">
            <w:pPr>
              <w:pStyle w:val="FooterTableFigure"/>
              <w:keepNext/>
              <w:spacing w:after="0"/>
              <w:rPr>
                <w:sz w:val="20"/>
                <w:szCs w:val="16"/>
              </w:rPr>
            </w:pPr>
            <w:r w:rsidRPr="003910CE">
              <w:rPr>
                <w:sz w:val="20"/>
                <w:szCs w:val="16"/>
              </w:rPr>
              <w:t>-$</w:t>
            </w:r>
            <w:r w:rsidR="00770501" w:rsidRPr="00770501">
              <w:rPr>
                <w:color w:val="000000"/>
                <w:spacing w:val="8"/>
                <w:sz w:val="20"/>
                <w:szCs w:val="16"/>
                <w:shd w:val="solid" w:color="000000" w:fill="000000"/>
                <w:fitText w:val="304" w:id="-632124663"/>
                <w14:textFill>
                  <w14:solidFill>
                    <w14:srgbClr w14:val="000000">
                      <w14:alpha w14:val="100000"/>
                    </w14:srgbClr>
                  </w14:solidFill>
                </w14:textFill>
              </w:rPr>
              <w:t>||  |</w:t>
            </w:r>
            <w:r w:rsidR="00770501" w:rsidRPr="00770501">
              <w:rPr>
                <w:color w:val="000000"/>
                <w:spacing w:val="3"/>
                <w:sz w:val="20"/>
                <w:szCs w:val="16"/>
                <w:shd w:val="solid" w:color="000000" w:fill="000000"/>
                <w:fitText w:val="304" w:id="-632124663"/>
                <w14:textFill>
                  <w14:solidFill>
                    <w14:srgbClr w14:val="000000">
                      <w14:alpha w14:val="100000"/>
                    </w14:srgbClr>
                  </w14:solidFill>
                </w14:textFill>
              </w:rPr>
              <w:t>|</w:t>
            </w:r>
            <w:r w:rsidR="001C4C28">
              <w:rPr>
                <w:sz w:val="20"/>
                <w:szCs w:val="16"/>
                <w:vertAlign w:val="superscript"/>
              </w:rPr>
              <w:t>13</w:t>
            </w:r>
          </w:p>
        </w:tc>
      </w:tr>
    </w:tbl>
    <w:p w14:paraId="38ED94B1" w14:textId="77777777" w:rsidR="00690315" w:rsidRPr="003910CE" w:rsidRDefault="00690315" w:rsidP="00FC4A77">
      <w:pPr>
        <w:pStyle w:val="FooterTableFigure"/>
        <w:spacing w:after="0"/>
        <w:rPr>
          <w:bCs/>
          <w:szCs w:val="18"/>
        </w:rPr>
      </w:pPr>
      <w:r w:rsidRPr="003910CE">
        <w:rPr>
          <w:bCs/>
          <w:szCs w:val="18"/>
        </w:rPr>
        <w:t>Source: Updated Budget Impact Model from the sponsor.</w:t>
      </w:r>
    </w:p>
    <w:p w14:paraId="335D6CDD" w14:textId="75BC641F" w:rsidR="00065101" w:rsidRDefault="00690315" w:rsidP="00FC4A77">
      <w:pPr>
        <w:pStyle w:val="FooterTableFigure"/>
        <w:spacing w:after="0"/>
        <w:rPr>
          <w:bCs/>
          <w:szCs w:val="18"/>
        </w:rPr>
      </w:pPr>
      <w:r w:rsidRPr="003910CE">
        <w:rPr>
          <w:bCs/>
          <w:szCs w:val="18"/>
        </w:rPr>
        <w:t>CAL/BDP = calcipotriol with betamethasone dipropionate; PBS = Pharmaceutical Benefits Scheme; RPBS = Repatriation Pharmaceutical Benefits Scheme.</w:t>
      </w:r>
    </w:p>
    <w:p w14:paraId="3F006362" w14:textId="77777777" w:rsidR="00065101" w:rsidRDefault="00065101" w:rsidP="00065101">
      <w:pPr>
        <w:pStyle w:val="TableFigureFooter"/>
        <w:keepNext/>
        <w:spacing w:after="0"/>
        <w:contextualSpacing w:val="0"/>
        <w:rPr>
          <w:i/>
        </w:rPr>
      </w:pPr>
      <w:r w:rsidRPr="00F6235E">
        <w:rPr>
          <w:i/>
        </w:rPr>
        <w:t>The redacted values correspond to the following ranges:</w:t>
      </w:r>
    </w:p>
    <w:p w14:paraId="0CF17F2C" w14:textId="77777777" w:rsidR="00065101" w:rsidRDefault="00065101" w:rsidP="00065101">
      <w:pPr>
        <w:pStyle w:val="TableFigureFooter"/>
        <w:rPr>
          <w:i/>
          <w:iCs/>
        </w:rPr>
      </w:pPr>
      <w:r>
        <w:rPr>
          <w:i/>
          <w:iCs/>
          <w:vertAlign w:val="superscript"/>
        </w:rPr>
        <w:t xml:space="preserve">1 </w:t>
      </w:r>
      <w:r w:rsidRPr="005C6998">
        <w:rPr>
          <w:i/>
          <w:iCs/>
        </w:rPr>
        <w:t>10,000 to &lt; 20,000</w:t>
      </w:r>
    </w:p>
    <w:p w14:paraId="461E6FD0" w14:textId="77777777" w:rsidR="0050093C" w:rsidRDefault="0050093C" w:rsidP="0050093C">
      <w:pPr>
        <w:pStyle w:val="TableFigureFooter"/>
        <w:rPr>
          <w:i/>
          <w:iCs/>
        </w:rPr>
      </w:pPr>
      <w:r>
        <w:rPr>
          <w:i/>
          <w:iCs/>
          <w:vertAlign w:val="superscript"/>
        </w:rPr>
        <w:t xml:space="preserve">2 </w:t>
      </w:r>
      <w:r>
        <w:rPr>
          <w:i/>
          <w:iCs/>
        </w:rPr>
        <w:t>40</w:t>
      </w:r>
      <w:r w:rsidRPr="005C6998">
        <w:rPr>
          <w:i/>
          <w:iCs/>
        </w:rPr>
        <w:t xml:space="preserve">,000 to &lt; </w:t>
      </w:r>
      <w:r>
        <w:rPr>
          <w:i/>
          <w:iCs/>
        </w:rPr>
        <w:t>5</w:t>
      </w:r>
      <w:r w:rsidRPr="005C6998">
        <w:rPr>
          <w:i/>
          <w:iCs/>
        </w:rPr>
        <w:t>0,000</w:t>
      </w:r>
    </w:p>
    <w:p w14:paraId="18B46212" w14:textId="77777777" w:rsidR="0050093C" w:rsidRDefault="0050093C" w:rsidP="0050093C">
      <w:pPr>
        <w:pStyle w:val="TableFigureFooter"/>
        <w:rPr>
          <w:i/>
          <w:iCs/>
        </w:rPr>
      </w:pPr>
      <w:r>
        <w:rPr>
          <w:i/>
          <w:iCs/>
          <w:vertAlign w:val="superscript"/>
        </w:rPr>
        <w:t xml:space="preserve">3 </w:t>
      </w:r>
      <w:r>
        <w:rPr>
          <w:i/>
          <w:iCs/>
        </w:rPr>
        <w:t>70</w:t>
      </w:r>
      <w:r w:rsidRPr="005C6998">
        <w:rPr>
          <w:i/>
          <w:iCs/>
        </w:rPr>
        <w:t xml:space="preserve">,000 to &lt; </w:t>
      </w:r>
      <w:r>
        <w:rPr>
          <w:i/>
          <w:iCs/>
        </w:rPr>
        <w:t>8</w:t>
      </w:r>
      <w:r w:rsidRPr="005C6998">
        <w:rPr>
          <w:i/>
          <w:iCs/>
        </w:rPr>
        <w:t>0,000</w:t>
      </w:r>
    </w:p>
    <w:p w14:paraId="09DD0B9C" w14:textId="787DBCF6" w:rsidR="0050093C" w:rsidRDefault="0050093C" w:rsidP="0050093C">
      <w:pPr>
        <w:pStyle w:val="TableFigureFooter"/>
        <w:rPr>
          <w:i/>
          <w:iCs/>
        </w:rPr>
      </w:pPr>
      <w:r>
        <w:rPr>
          <w:i/>
          <w:iCs/>
          <w:vertAlign w:val="superscript"/>
        </w:rPr>
        <w:t>4</w:t>
      </w:r>
      <w:r>
        <w:rPr>
          <w:i/>
          <w:iCs/>
        </w:rPr>
        <w:t xml:space="preserve"> </w:t>
      </w:r>
      <w:r w:rsidRPr="00A86FCC">
        <w:rPr>
          <w:i/>
          <w:iCs/>
        </w:rPr>
        <w:t>100,000 to &lt; 200,000</w:t>
      </w:r>
    </w:p>
    <w:p w14:paraId="68100501" w14:textId="77777777" w:rsidR="0050093C" w:rsidRDefault="0050093C" w:rsidP="0050093C">
      <w:pPr>
        <w:pStyle w:val="TableFigureFooter"/>
        <w:rPr>
          <w:i/>
          <w:iCs/>
        </w:rPr>
      </w:pPr>
      <w:r w:rsidRPr="00A23E22">
        <w:rPr>
          <w:i/>
          <w:iCs/>
          <w:vertAlign w:val="superscript"/>
        </w:rPr>
        <w:t>5</w:t>
      </w:r>
      <w:r>
        <w:rPr>
          <w:i/>
          <w:iCs/>
        </w:rPr>
        <w:t xml:space="preserve"> </w:t>
      </w:r>
      <w:r w:rsidRPr="00A86FCC">
        <w:rPr>
          <w:i/>
          <w:iCs/>
        </w:rPr>
        <w:t>100,000 to &lt; 200,000</w:t>
      </w:r>
    </w:p>
    <w:p w14:paraId="1715099B" w14:textId="77777777" w:rsidR="0050093C" w:rsidRDefault="0050093C" w:rsidP="0050093C">
      <w:pPr>
        <w:pStyle w:val="TableFigureFooter"/>
        <w:rPr>
          <w:i/>
          <w:iCs/>
        </w:rPr>
      </w:pPr>
      <w:r w:rsidRPr="00047810">
        <w:rPr>
          <w:i/>
          <w:iCs/>
          <w:vertAlign w:val="superscript"/>
        </w:rPr>
        <w:t>6</w:t>
      </w:r>
      <w:r>
        <w:rPr>
          <w:i/>
          <w:iCs/>
        </w:rPr>
        <w:t xml:space="preserve"> 5,000 to &lt; 10,000</w:t>
      </w:r>
    </w:p>
    <w:p w14:paraId="4DDBB579" w14:textId="247C7625" w:rsidR="0050093C" w:rsidRDefault="0050093C" w:rsidP="0050093C">
      <w:pPr>
        <w:pStyle w:val="TableFigureFooter"/>
        <w:rPr>
          <w:i/>
          <w:iCs/>
        </w:rPr>
      </w:pPr>
      <w:r>
        <w:rPr>
          <w:i/>
          <w:iCs/>
          <w:vertAlign w:val="superscript"/>
        </w:rPr>
        <w:t>7</w:t>
      </w:r>
      <w:r>
        <w:rPr>
          <w:i/>
          <w:iCs/>
        </w:rPr>
        <w:t xml:space="preserve"> 30,000 to &lt;40,000</w:t>
      </w:r>
    </w:p>
    <w:p w14:paraId="1855B06E" w14:textId="77777777" w:rsidR="00190E8D" w:rsidRDefault="00190E8D" w:rsidP="00190E8D">
      <w:pPr>
        <w:pStyle w:val="TableFigureFooter"/>
        <w:rPr>
          <w:i/>
          <w:iCs/>
        </w:rPr>
      </w:pPr>
      <w:r w:rsidRPr="00047810">
        <w:rPr>
          <w:i/>
          <w:iCs/>
          <w:vertAlign w:val="superscript"/>
        </w:rPr>
        <w:t>8</w:t>
      </w:r>
      <w:r>
        <w:rPr>
          <w:i/>
          <w:iCs/>
        </w:rPr>
        <w:t xml:space="preserve"> 50,000 to &lt; 60,000</w:t>
      </w:r>
    </w:p>
    <w:p w14:paraId="470A79D0" w14:textId="2D7A4310" w:rsidR="0050093C" w:rsidRPr="00190E8D" w:rsidRDefault="00190E8D" w:rsidP="00065101">
      <w:pPr>
        <w:pStyle w:val="TableFigureFooter"/>
        <w:rPr>
          <w:i/>
          <w:iCs/>
          <w:vertAlign w:val="superscript"/>
        </w:rPr>
      </w:pPr>
      <w:r>
        <w:rPr>
          <w:i/>
          <w:iCs/>
          <w:vertAlign w:val="superscript"/>
        </w:rPr>
        <w:t xml:space="preserve">9 </w:t>
      </w:r>
      <w:r>
        <w:rPr>
          <w:i/>
          <w:iCs/>
        </w:rPr>
        <w:t>80</w:t>
      </w:r>
      <w:r w:rsidRPr="005C6998">
        <w:rPr>
          <w:i/>
          <w:iCs/>
        </w:rPr>
        <w:t xml:space="preserve">,000 to &lt; </w:t>
      </w:r>
      <w:r>
        <w:rPr>
          <w:i/>
          <w:iCs/>
        </w:rPr>
        <w:t>9</w:t>
      </w:r>
      <w:r w:rsidRPr="005C6998">
        <w:rPr>
          <w:i/>
          <w:iCs/>
        </w:rPr>
        <w:t>0,000</w:t>
      </w:r>
    </w:p>
    <w:p w14:paraId="4570ADF6" w14:textId="76261085" w:rsidR="00190E8D" w:rsidRDefault="00190E8D" w:rsidP="00190E8D">
      <w:pPr>
        <w:pStyle w:val="TableFigureFooter"/>
        <w:rPr>
          <w:i/>
          <w:iCs/>
        </w:rPr>
      </w:pPr>
      <w:r>
        <w:rPr>
          <w:i/>
          <w:iCs/>
          <w:vertAlign w:val="superscript"/>
        </w:rPr>
        <w:t xml:space="preserve">10 </w:t>
      </w:r>
      <w:r>
        <w:rPr>
          <w:i/>
          <w:iCs/>
        </w:rPr>
        <w:t>90,000 to &lt; 100,000</w:t>
      </w:r>
    </w:p>
    <w:p w14:paraId="24C4F010" w14:textId="60AAF9D8" w:rsidR="00921036" w:rsidRDefault="00C03470" w:rsidP="00190E8D">
      <w:pPr>
        <w:pStyle w:val="TableFigureFooter"/>
        <w:rPr>
          <w:i/>
          <w:iCs/>
        </w:rPr>
      </w:pPr>
      <w:r>
        <w:rPr>
          <w:i/>
          <w:iCs/>
          <w:vertAlign w:val="superscript"/>
        </w:rPr>
        <w:t xml:space="preserve">12 </w:t>
      </w:r>
      <w:r>
        <w:rPr>
          <w:i/>
          <w:iCs/>
        </w:rPr>
        <w:t>20,000 to &lt; 30,000</w:t>
      </w:r>
    </w:p>
    <w:p w14:paraId="00B250CB" w14:textId="5A5F4246" w:rsidR="00921036" w:rsidRPr="00921036" w:rsidRDefault="00921036" w:rsidP="00190E8D">
      <w:pPr>
        <w:pStyle w:val="TableFigureFooter"/>
        <w:rPr>
          <w:i/>
          <w:iCs/>
          <w:vertAlign w:val="superscript"/>
        </w:rPr>
      </w:pPr>
      <w:r>
        <w:rPr>
          <w:i/>
          <w:iCs/>
          <w:vertAlign w:val="superscript"/>
        </w:rPr>
        <w:t xml:space="preserve">13 </w:t>
      </w:r>
      <w:r>
        <w:rPr>
          <w:i/>
          <w:iCs/>
        </w:rPr>
        <w:t>$0 to &lt;$10 million</w:t>
      </w:r>
    </w:p>
    <w:p w14:paraId="7479E8CA" w14:textId="77777777" w:rsidR="00065101" w:rsidRPr="003910CE" w:rsidRDefault="00065101" w:rsidP="009663AB">
      <w:pPr>
        <w:pStyle w:val="FooterTableFigure"/>
        <w:rPr>
          <w:rStyle w:val="CommentReference"/>
          <w:b w:val="0"/>
          <w:bCs/>
          <w:sz w:val="18"/>
          <w:szCs w:val="18"/>
        </w:rPr>
      </w:pPr>
    </w:p>
    <w:p w14:paraId="3E16BC38" w14:textId="4B3E5C35" w:rsidR="00A23B18" w:rsidRDefault="000902D9" w:rsidP="000C5173">
      <w:pPr>
        <w:widowControl w:val="0"/>
        <w:numPr>
          <w:ilvl w:val="1"/>
          <w:numId w:val="1"/>
        </w:numPr>
        <w:spacing w:after="120"/>
        <w:ind w:left="720"/>
      </w:pPr>
      <w:r w:rsidRPr="001514F6">
        <w:t>The total cost</w:t>
      </w:r>
      <w:r w:rsidR="009663AB" w:rsidRPr="001514F6">
        <w:t xml:space="preserve"> saving</w:t>
      </w:r>
      <w:r w:rsidRPr="001514F6">
        <w:t xml:space="preserve"> to the PBS/RPBS of listing </w:t>
      </w:r>
      <w:r w:rsidR="009663AB" w:rsidRPr="001514F6">
        <w:t>CAL/BDP</w:t>
      </w:r>
      <w:r w:rsidR="004716D1">
        <w:t xml:space="preserve"> cream</w:t>
      </w:r>
      <w:r w:rsidR="009663AB" w:rsidRPr="001514F6">
        <w:t xml:space="preserve"> </w:t>
      </w:r>
      <w:r w:rsidRPr="001514F6">
        <w:t>wa</w:t>
      </w:r>
      <w:r w:rsidRPr="003910CE">
        <w:t xml:space="preserve">s estimated </w:t>
      </w:r>
      <w:r w:rsidR="00A05C32" w:rsidRPr="003910CE">
        <w:t>to be</w:t>
      </w:r>
      <w:r w:rsidRPr="003910CE">
        <w:t xml:space="preserve"> $</w:t>
      </w:r>
      <w:r w:rsidR="00E8074C" w:rsidRPr="00156233">
        <w:t>0 to &lt; $10 million</w:t>
      </w:r>
      <w:r w:rsidR="00E8074C" w:rsidRPr="004A5629">
        <w:rPr>
          <w:strike/>
        </w:rPr>
        <w:t xml:space="preserve"> </w:t>
      </w:r>
      <w:r w:rsidRPr="003910CE">
        <w:t>in Year 6, and a total of $</w:t>
      </w:r>
      <w:r w:rsidR="00E8074C" w:rsidRPr="00156233">
        <w:t>0 to &lt; $10 million</w:t>
      </w:r>
      <w:r w:rsidR="009663AB" w:rsidRPr="00FC4A77">
        <w:t xml:space="preserve"> </w:t>
      </w:r>
      <w:r w:rsidRPr="003910CE">
        <w:t>in the first 6 years of listing</w:t>
      </w:r>
      <w:r w:rsidR="006324B1" w:rsidRPr="003910CE">
        <w:t>, based on the revised Budget Impact Model provided by the sponsor (Table 18)</w:t>
      </w:r>
      <w:r w:rsidRPr="003910CE">
        <w:t xml:space="preserve">. </w:t>
      </w:r>
      <w:r w:rsidR="00E14E52" w:rsidRPr="00E14E52">
        <w:t xml:space="preserve">The submission stated that given the </w:t>
      </w:r>
      <w:r w:rsidR="00C076FF">
        <w:t>requested price for</w:t>
      </w:r>
      <w:r w:rsidR="00E14E52" w:rsidRPr="00E14E52">
        <w:t xml:space="preserve"> CAL/BDP cream has been cost-minimised to CAL/BDP foam and CAL/BDP ointment, substitution with CAL/BDP cream is expected to be cost neutral, if not cost saving, to the </w:t>
      </w:r>
      <w:r w:rsidR="00DE03DB">
        <w:t>PBS/RPBS</w:t>
      </w:r>
      <w:r w:rsidR="00E14E52" w:rsidRPr="00E14E52">
        <w:t>.</w:t>
      </w:r>
      <w:r w:rsidR="00E14E52" w:rsidRPr="00EE2223">
        <w:rPr>
          <w:i/>
          <w:iCs/>
        </w:rPr>
        <w:t xml:space="preserve"> </w:t>
      </w:r>
      <w:r w:rsidR="00EE2223" w:rsidRPr="00A02615">
        <w:t>The net cost</w:t>
      </w:r>
      <w:r w:rsidR="00DE03DB" w:rsidRPr="00A02615">
        <w:t xml:space="preserve"> impact</w:t>
      </w:r>
      <w:r w:rsidR="00EE2223" w:rsidRPr="00A02615">
        <w:t xml:space="preserve"> of listing CAL/BDP cream is uncertain as it depends on the market growth and changes in the uptake rate between CAL/BDP cream, foam, and ointment.</w:t>
      </w:r>
      <w:r w:rsidR="00553889">
        <w:t xml:space="preserve"> </w:t>
      </w:r>
    </w:p>
    <w:p w14:paraId="62514077" w14:textId="4E38D9BB" w:rsidR="00852895" w:rsidRPr="003910CE" w:rsidRDefault="00852895" w:rsidP="000C5173">
      <w:pPr>
        <w:widowControl w:val="0"/>
        <w:numPr>
          <w:ilvl w:val="1"/>
          <w:numId w:val="1"/>
        </w:numPr>
        <w:spacing w:after="120"/>
        <w:ind w:left="720"/>
      </w:pPr>
      <w:r w:rsidRPr="003910CE">
        <w:t xml:space="preserve">The ESC considered </w:t>
      </w:r>
      <w:r w:rsidR="007036A6" w:rsidRPr="003910CE">
        <w:t xml:space="preserve">the estimated financial implications to the PBS/RPBS was uncertain, </w:t>
      </w:r>
      <w:r w:rsidR="000C38A0" w:rsidRPr="003910CE">
        <w:t xml:space="preserve">and will depend on factors that impact the choice and uptake </w:t>
      </w:r>
      <w:r w:rsidR="00E45815" w:rsidRPr="003910CE">
        <w:t xml:space="preserve">of CAL/BDP cream, as outlined in paragraph </w:t>
      </w:r>
      <w:r w:rsidR="00765907">
        <w:fldChar w:fldCharType="begin" w:fldLock="1"/>
      </w:r>
      <w:r w:rsidR="00765907">
        <w:instrText xml:space="preserve"> REF _Ref201248149 \r \h </w:instrText>
      </w:r>
      <w:r w:rsidR="000C5173">
        <w:instrText xml:space="preserve"> \* MERGEFORMAT </w:instrText>
      </w:r>
      <w:r w:rsidR="00765907">
        <w:fldChar w:fldCharType="separate"/>
      </w:r>
      <w:r w:rsidR="00765907">
        <w:t>6.91</w:t>
      </w:r>
      <w:r w:rsidR="00765907">
        <w:fldChar w:fldCharType="end"/>
      </w:r>
      <w:r w:rsidR="004C3EBF" w:rsidRPr="003910CE">
        <w:fldChar w:fldCharType="begin" w:fldLock="1"/>
      </w:r>
      <w:r w:rsidR="004C3EBF" w:rsidRPr="003910CE">
        <w:instrText xml:space="preserve"> REF _Ref201248149 \r \h </w:instrText>
      </w:r>
      <w:r w:rsidR="003910CE">
        <w:instrText xml:space="preserve"> \* MERGEFORMAT </w:instrText>
      </w:r>
      <w:r w:rsidR="004C3EBF" w:rsidRPr="003910CE">
        <w:fldChar w:fldCharType="separate"/>
      </w:r>
      <w:r w:rsidR="004C3EBF" w:rsidRPr="003910CE">
        <w:fldChar w:fldCharType="end"/>
      </w:r>
      <w:r w:rsidR="004C3EBF" w:rsidRPr="003910CE">
        <w:t>.</w:t>
      </w:r>
    </w:p>
    <w:p w14:paraId="01683667" w14:textId="05551E47" w:rsidR="005F3767" w:rsidRDefault="001514F6" w:rsidP="000C5173">
      <w:pPr>
        <w:widowControl w:val="0"/>
        <w:numPr>
          <w:ilvl w:val="1"/>
          <w:numId w:val="1"/>
        </w:numPr>
        <w:spacing w:after="120"/>
        <w:ind w:left="720"/>
      </w:pPr>
      <w:bookmarkStart w:id="70" w:name="_Ref201248204"/>
      <w:r w:rsidRPr="00A02615">
        <w:lastRenderedPageBreak/>
        <w:t xml:space="preserve">Sensitivity analyses were conducted during the evaluation to assess the impact of </w:t>
      </w:r>
      <w:r w:rsidR="001D6AF4" w:rsidRPr="00A02615">
        <w:t>updated</w:t>
      </w:r>
      <w:r w:rsidR="00106C51" w:rsidRPr="00A02615">
        <w:t xml:space="preserve"> </w:t>
      </w:r>
      <w:r w:rsidRPr="00A02615">
        <w:t xml:space="preserve">market growth rates for CAL/BDP foam and ointment, </w:t>
      </w:r>
      <w:r w:rsidR="00106C51" w:rsidRPr="00A02615">
        <w:t xml:space="preserve">as well as </w:t>
      </w:r>
      <w:r w:rsidRPr="00A02615">
        <w:t xml:space="preserve">revising the market share based on the </w:t>
      </w:r>
      <w:r w:rsidR="00E14E52" w:rsidRPr="00A02615">
        <w:t>IMS</w:t>
      </w:r>
      <w:r w:rsidRPr="00A02615">
        <w:t xml:space="preserve"> data.</w:t>
      </w:r>
      <w:r w:rsidR="00E14E52" w:rsidRPr="00A02615">
        <w:t xml:space="preserve"> </w:t>
      </w:r>
      <w:r w:rsidR="00106C51" w:rsidRPr="00A02615">
        <w:t xml:space="preserve">Increasing the market growth for CAL/BDP foam and ointment </w:t>
      </w:r>
      <w:r w:rsidR="00106C51" w:rsidRPr="00826543">
        <w:t>to 11.75% from 11.36% and 7.23% from 5.91%, respectively</w:t>
      </w:r>
      <w:r w:rsidR="00106C51" w:rsidRPr="00A02615">
        <w:t xml:space="preserve">, </w:t>
      </w:r>
      <w:r w:rsidR="00D74CF7" w:rsidRPr="00A02615">
        <w:t>increased</w:t>
      </w:r>
      <w:r w:rsidR="00106C51" w:rsidRPr="00A02615">
        <w:t xml:space="preserve"> the cost savings by </w:t>
      </w:r>
      <w:r w:rsidR="00D74CF7" w:rsidRPr="00A02615">
        <w:t>3.5</w:t>
      </w:r>
      <w:r w:rsidR="00106C51" w:rsidRPr="00A02615">
        <w:t xml:space="preserve">%. Furthermore, </w:t>
      </w:r>
      <w:r w:rsidR="00DC4A97" w:rsidRPr="00A02615">
        <w:t>revising the</w:t>
      </w:r>
      <w:r w:rsidR="00106C51" w:rsidRPr="00A02615">
        <w:t xml:space="preserve"> market share for CAL/BDP cream based on the IMS data </w:t>
      </w:r>
      <w:r w:rsidR="00106C51" w:rsidRPr="00EA273E">
        <w:t xml:space="preserve">provided </w:t>
      </w:r>
      <w:r w:rsidR="00C11245" w:rsidRPr="00EA273E">
        <w:t xml:space="preserve">in </w:t>
      </w:r>
      <w:r w:rsidR="00106C51" w:rsidRPr="00EA273E">
        <w:t>the submission (</w:t>
      </w:r>
      <w:r w:rsidR="00770501" w:rsidRPr="00770501">
        <w:rPr>
          <w:color w:val="000000"/>
          <w:w w:val="61"/>
          <w:shd w:val="solid" w:color="000000" w:fill="000000"/>
          <w:fitText w:val="472" w:id="-632124662"/>
          <w14:textFill>
            <w14:solidFill>
              <w14:srgbClr w14:val="000000">
                <w14:alpha w14:val="100000"/>
              </w14:srgbClr>
            </w14:solidFill>
          </w14:textFill>
        </w:rPr>
        <w:t>|||  ||</w:t>
      </w:r>
      <w:r w:rsidR="00770501" w:rsidRPr="00770501">
        <w:rPr>
          <w:color w:val="000000"/>
          <w:spacing w:val="2"/>
          <w:w w:val="61"/>
          <w:shd w:val="solid" w:color="000000" w:fill="000000"/>
          <w:fitText w:val="472" w:id="-632124662"/>
          <w14:textFill>
            <w14:solidFill>
              <w14:srgbClr w14:val="000000">
                <w14:alpha w14:val="100000"/>
              </w14:srgbClr>
            </w14:solidFill>
          </w14:textFill>
        </w:rPr>
        <w:t>|</w:t>
      </w:r>
      <w:r w:rsidR="00174E50" w:rsidRPr="00EA273E">
        <w:t xml:space="preserve">% in Year 1, </w:t>
      </w:r>
      <w:r w:rsidR="00770501" w:rsidRPr="00770501">
        <w:rPr>
          <w:color w:val="000000"/>
          <w:w w:val="61"/>
          <w:shd w:val="solid" w:color="000000" w:fill="000000"/>
          <w:fitText w:val="472" w:id="-632124661"/>
          <w14:textFill>
            <w14:solidFill>
              <w14:srgbClr w14:val="000000">
                <w14:alpha w14:val="100000"/>
              </w14:srgbClr>
            </w14:solidFill>
          </w14:textFill>
        </w:rPr>
        <w:t>|||  ||</w:t>
      </w:r>
      <w:r w:rsidR="00770501" w:rsidRPr="00770501">
        <w:rPr>
          <w:color w:val="000000"/>
          <w:spacing w:val="2"/>
          <w:w w:val="61"/>
          <w:shd w:val="solid" w:color="000000" w:fill="000000"/>
          <w:fitText w:val="472" w:id="-632124661"/>
          <w14:textFill>
            <w14:solidFill>
              <w14:srgbClr w14:val="000000">
                <w14:alpha w14:val="100000"/>
              </w14:srgbClr>
            </w14:solidFill>
          </w14:textFill>
        </w:rPr>
        <w:t>|</w:t>
      </w:r>
      <w:r w:rsidR="00174E50" w:rsidRPr="00EA273E">
        <w:t xml:space="preserve">% in </w:t>
      </w:r>
      <w:r w:rsidR="009A40D5" w:rsidRPr="00EA273E">
        <w:t>Y</w:t>
      </w:r>
      <w:r w:rsidR="00174E50" w:rsidRPr="00EA273E">
        <w:t xml:space="preserve">ear 2, </w:t>
      </w:r>
      <w:r w:rsidR="00770501" w:rsidRPr="00F233D2">
        <w:rPr>
          <w:color w:val="000000"/>
          <w:w w:val="61"/>
          <w:shd w:val="solid" w:color="000000" w:fill="000000"/>
          <w:fitText w:val="472" w:id="-632124660"/>
          <w14:textFill>
            <w14:solidFill>
              <w14:srgbClr w14:val="000000">
                <w14:alpha w14:val="100000"/>
              </w14:srgbClr>
            </w14:solidFill>
          </w14:textFill>
        </w:rPr>
        <w:t>|||  ||</w:t>
      </w:r>
      <w:r w:rsidR="00770501" w:rsidRPr="00F233D2">
        <w:rPr>
          <w:color w:val="000000"/>
          <w:spacing w:val="2"/>
          <w:w w:val="61"/>
          <w:shd w:val="solid" w:color="000000" w:fill="000000"/>
          <w:fitText w:val="472" w:id="-632124660"/>
          <w14:textFill>
            <w14:solidFill>
              <w14:srgbClr w14:val="000000">
                <w14:alpha w14:val="100000"/>
              </w14:srgbClr>
            </w14:solidFill>
          </w14:textFill>
        </w:rPr>
        <w:t>|</w:t>
      </w:r>
      <w:r w:rsidR="00174E50" w:rsidRPr="00EA273E">
        <w:t>% in</w:t>
      </w:r>
      <w:r w:rsidR="00174E50" w:rsidRPr="00A02615">
        <w:t xml:space="preserve"> Year</w:t>
      </w:r>
      <w:r w:rsidR="00C11245" w:rsidRPr="00A02615">
        <w:t>s</w:t>
      </w:r>
      <w:r w:rsidR="00174E50" w:rsidRPr="00A02615">
        <w:t xml:space="preserve"> 3-6</w:t>
      </w:r>
      <w:r w:rsidR="00106C51" w:rsidRPr="00A02615">
        <w:t xml:space="preserve">), </w:t>
      </w:r>
      <w:r w:rsidR="00606A4D" w:rsidRPr="00A02615">
        <w:t>increased</w:t>
      </w:r>
      <w:r w:rsidR="00106C51" w:rsidRPr="00A02615">
        <w:t xml:space="preserve"> the cost savings by </w:t>
      </w:r>
      <w:r w:rsidR="00606A4D" w:rsidRPr="00A02615">
        <w:t>36.6</w:t>
      </w:r>
      <w:r w:rsidR="00106C51" w:rsidRPr="00A02615">
        <w:t>%.</w:t>
      </w:r>
      <w:bookmarkEnd w:id="70"/>
      <w:r w:rsidR="002B74E5">
        <w:t xml:space="preserve"> The pre-PBAC response reiterated its claim that CAL/BDP cream at the request</w:t>
      </w:r>
      <w:r w:rsidR="00F412FA">
        <w:t>ed pric</w:t>
      </w:r>
      <w:r w:rsidR="00FA72C7">
        <w:t>e</w:t>
      </w:r>
      <w:r w:rsidR="002B74E5">
        <w:t xml:space="preserve"> would result in cost savings to the Government, even when accounting for sensitivity analyses conducted</w:t>
      </w:r>
      <w:r w:rsidR="00411362">
        <w:t>, due to patients switching from the foam</w:t>
      </w:r>
      <w:r w:rsidR="00B950FA">
        <w:t>, which has a higher price than what is requested for the cream</w:t>
      </w:r>
      <w:r w:rsidR="002B74E5">
        <w:t>.</w:t>
      </w:r>
    </w:p>
    <w:p w14:paraId="3105DCD8" w14:textId="565FFDE6" w:rsidR="00541D02" w:rsidRDefault="005F3767" w:rsidP="0044486E">
      <w:pPr>
        <w:pStyle w:val="ListBullet"/>
        <w:numPr>
          <w:ilvl w:val="0"/>
          <w:numId w:val="0"/>
        </w:numPr>
        <w:rPr>
          <w:i/>
          <w:iCs/>
        </w:rPr>
      </w:pPr>
      <w:r>
        <w:tab/>
      </w:r>
      <w:r w:rsidRPr="005F3767">
        <w:rPr>
          <w:i/>
          <w:iCs/>
        </w:rPr>
        <w:t>For more detail on PBAC’s view, see section 7 PBAC outcome.</w:t>
      </w:r>
    </w:p>
    <w:p w14:paraId="6910664E" w14:textId="77777777" w:rsidR="00541D02" w:rsidRPr="0090150D" w:rsidRDefault="00541D02" w:rsidP="00541D02">
      <w:pPr>
        <w:pStyle w:val="2-SectionHeading"/>
        <w:numPr>
          <w:ilvl w:val="0"/>
          <w:numId w:val="1"/>
        </w:numPr>
      </w:pPr>
      <w:r w:rsidRPr="0090150D">
        <w:t>PBAC Outcome</w:t>
      </w:r>
    </w:p>
    <w:p w14:paraId="6F337B4F" w14:textId="5A8F86FA" w:rsidR="00FD4743" w:rsidRDefault="00FD4743"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recommended the listing of </w:t>
      </w:r>
      <w:r>
        <w:t>c</w:t>
      </w:r>
      <w:r w:rsidRPr="006063A4">
        <w:t xml:space="preserve">alcipotriol 0.005% </w:t>
      </w:r>
      <w:r>
        <w:t>with</w:t>
      </w:r>
      <w:r w:rsidRPr="006063A4">
        <w:t xml:space="preserve"> betamethasone (as dipropionate) 0.05% </w:t>
      </w:r>
      <w:r>
        <w:t>(</w:t>
      </w:r>
      <w:r w:rsidRPr="00683D49">
        <w:t>CAL/BDP</w:t>
      </w:r>
      <w:r>
        <w:t xml:space="preserve">) </w:t>
      </w:r>
      <w:r w:rsidRPr="006063A4">
        <w:t>cream</w:t>
      </w:r>
      <w:r>
        <w:t>, 60 g,</w:t>
      </w:r>
      <w:r w:rsidR="00DE754A">
        <w:t xml:space="preserve"> </w:t>
      </w:r>
      <w:r w:rsidR="001C6FFF">
        <w:t>as a General Schedule (Restricted Benefit) listing, for the treatment of chronic stable plaque type psoriasis vulgaris in patient</w:t>
      </w:r>
      <w:r w:rsidR="00CC0CC4">
        <w:t>s who have not adequately responded to potent topical corticosteroid monotherapy</w:t>
      </w:r>
      <w:r w:rsidR="00D74A1F">
        <w:t xml:space="preserve">, under the same circumstances as </w:t>
      </w:r>
      <w:r w:rsidR="000946D2">
        <w:t>CAL/BDP foam and ointment that are listed on the PBS</w:t>
      </w:r>
      <w:r w:rsidR="00CC0CC4">
        <w:t>.</w:t>
      </w:r>
    </w:p>
    <w:p w14:paraId="55DB3E7D" w14:textId="0BA1DD7A" w:rsidR="005B1180" w:rsidRDefault="000D14D6"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the nominated comparators, </w:t>
      </w:r>
      <w:r w:rsidR="0040007A">
        <w:rPr>
          <w:rFonts w:asciiTheme="minorHAnsi" w:hAnsiTheme="minorHAnsi"/>
          <w:snapToGrid w:val="0"/>
          <w:lang w:val="en-GB"/>
        </w:rPr>
        <w:t>CAL/BDP foam and ointment, to be appropriate</w:t>
      </w:r>
      <w:r w:rsidR="00643BD6">
        <w:rPr>
          <w:rFonts w:asciiTheme="minorHAnsi" w:hAnsiTheme="minorHAnsi"/>
          <w:snapToGrid w:val="0"/>
          <w:lang w:val="en-GB"/>
        </w:rPr>
        <w:t>, and</w:t>
      </w:r>
      <w:r w:rsidR="005B1180">
        <w:rPr>
          <w:rFonts w:asciiTheme="minorHAnsi" w:hAnsiTheme="minorHAnsi"/>
          <w:snapToGrid w:val="0"/>
          <w:lang w:val="en-GB"/>
        </w:rPr>
        <w:t xml:space="preserve"> noted that </w:t>
      </w:r>
      <w:r w:rsidR="0069795A">
        <w:rPr>
          <w:rFonts w:asciiTheme="minorHAnsi" w:hAnsiTheme="minorHAnsi"/>
          <w:snapToGrid w:val="0"/>
          <w:lang w:val="en-GB"/>
        </w:rPr>
        <w:t>CAL/BDP cream</w:t>
      </w:r>
      <w:r w:rsidR="005D017B">
        <w:rPr>
          <w:rFonts w:asciiTheme="minorHAnsi" w:hAnsiTheme="minorHAnsi"/>
          <w:snapToGrid w:val="0"/>
          <w:lang w:val="en-GB"/>
        </w:rPr>
        <w:t xml:space="preserve"> has the same place in therapy as CAL/BDP foam and ointment</w:t>
      </w:r>
      <w:r w:rsidR="00643BD6">
        <w:rPr>
          <w:rFonts w:asciiTheme="minorHAnsi" w:hAnsiTheme="minorHAnsi"/>
          <w:snapToGrid w:val="0"/>
          <w:lang w:val="en-GB"/>
        </w:rPr>
        <w:t>.</w:t>
      </w:r>
      <w:r w:rsidR="00B403A4">
        <w:rPr>
          <w:rFonts w:asciiTheme="minorHAnsi" w:hAnsiTheme="minorHAnsi"/>
          <w:snapToGrid w:val="0"/>
          <w:lang w:val="en-GB"/>
        </w:rPr>
        <w:t xml:space="preserve"> </w:t>
      </w:r>
      <w:r w:rsidR="00643BD6">
        <w:rPr>
          <w:rFonts w:asciiTheme="minorHAnsi" w:hAnsiTheme="minorHAnsi"/>
          <w:snapToGrid w:val="0"/>
          <w:lang w:val="en-GB"/>
        </w:rPr>
        <w:t xml:space="preserve">The PBAC </w:t>
      </w:r>
      <w:r w:rsidR="0093219A">
        <w:rPr>
          <w:rFonts w:asciiTheme="minorHAnsi" w:hAnsiTheme="minorHAnsi"/>
          <w:snapToGrid w:val="0"/>
          <w:lang w:val="en-GB"/>
        </w:rPr>
        <w:t>noted</w:t>
      </w:r>
      <w:r w:rsidR="00643BD6">
        <w:rPr>
          <w:rFonts w:asciiTheme="minorHAnsi" w:hAnsiTheme="minorHAnsi"/>
          <w:snapToGrid w:val="0"/>
          <w:lang w:val="en-GB"/>
        </w:rPr>
        <w:t xml:space="preserve"> CAL/BDP cream</w:t>
      </w:r>
      <w:r w:rsidR="0069795A">
        <w:rPr>
          <w:rFonts w:asciiTheme="minorHAnsi" w:hAnsiTheme="minorHAnsi"/>
          <w:snapToGrid w:val="0"/>
          <w:lang w:val="en-GB"/>
        </w:rPr>
        <w:t xml:space="preserve"> provides another option</w:t>
      </w:r>
      <w:r w:rsidR="006031C4">
        <w:rPr>
          <w:rFonts w:asciiTheme="minorHAnsi" w:hAnsiTheme="minorHAnsi"/>
          <w:snapToGrid w:val="0"/>
          <w:lang w:val="en-GB"/>
        </w:rPr>
        <w:t xml:space="preserve"> for patients requiring topical CAL/BDP</w:t>
      </w:r>
      <w:r w:rsidR="004C786C">
        <w:rPr>
          <w:rFonts w:asciiTheme="minorHAnsi" w:hAnsiTheme="minorHAnsi"/>
          <w:snapToGrid w:val="0"/>
          <w:lang w:val="en-GB"/>
        </w:rPr>
        <w:t xml:space="preserve">, and that the cream may be preferred by some </w:t>
      </w:r>
      <w:r w:rsidR="00C754CF">
        <w:rPr>
          <w:rFonts w:asciiTheme="minorHAnsi" w:hAnsiTheme="minorHAnsi"/>
          <w:snapToGrid w:val="0"/>
          <w:lang w:val="en-GB"/>
        </w:rPr>
        <w:t xml:space="preserve">patients </w:t>
      </w:r>
      <w:r w:rsidR="0017245A">
        <w:rPr>
          <w:rFonts w:asciiTheme="minorHAnsi" w:hAnsiTheme="minorHAnsi"/>
          <w:snapToGrid w:val="0"/>
          <w:lang w:val="en-GB"/>
        </w:rPr>
        <w:t>due to factors such a</w:t>
      </w:r>
      <w:r w:rsidR="003E6E0F">
        <w:rPr>
          <w:rFonts w:asciiTheme="minorHAnsi" w:hAnsiTheme="minorHAnsi"/>
          <w:snapToGrid w:val="0"/>
          <w:lang w:val="en-GB"/>
        </w:rPr>
        <w:t xml:space="preserve">s </w:t>
      </w:r>
      <w:r w:rsidR="000C3368">
        <w:rPr>
          <w:rFonts w:asciiTheme="minorHAnsi" w:hAnsiTheme="minorHAnsi"/>
          <w:snapToGrid w:val="0"/>
          <w:lang w:val="en-GB"/>
        </w:rPr>
        <w:t>being</w:t>
      </w:r>
      <w:r w:rsidR="0006320B">
        <w:rPr>
          <w:rFonts w:asciiTheme="minorHAnsi" w:hAnsiTheme="minorHAnsi"/>
          <w:snapToGrid w:val="0"/>
          <w:lang w:val="en-GB"/>
        </w:rPr>
        <w:t xml:space="preserve"> easier to apply than foam,</w:t>
      </w:r>
      <w:r w:rsidR="0022248F">
        <w:rPr>
          <w:rFonts w:asciiTheme="minorHAnsi" w:hAnsiTheme="minorHAnsi"/>
          <w:snapToGrid w:val="0"/>
          <w:lang w:val="en-GB"/>
        </w:rPr>
        <w:t xml:space="preserve"> lower risk of staining clothes</w:t>
      </w:r>
      <w:r w:rsidR="000B6D44">
        <w:rPr>
          <w:rFonts w:asciiTheme="minorHAnsi" w:hAnsiTheme="minorHAnsi"/>
          <w:snapToGrid w:val="0"/>
          <w:lang w:val="en-GB"/>
        </w:rPr>
        <w:t>, less mess,</w:t>
      </w:r>
      <w:r w:rsidR="0022248F">
        <w:rPr>
          <w:rFonts w:asciiTheme="minorHAnsi" w:hAnsiTheme="minorHAnsi"/>
          <w:snapToGrid w:val="0"/>
          <w:lang w:val="en-GB"/>
        </w:rPr>
        <w:t xml:space="preserve"> and a better feel on the skin</w:t>
      </w:r>
      <w:r w:rsidR="00421B52">
        <w:rPr>
          <w:rFonts w:asciiTheme="minorHAnsi" w:hAnsiTheme="minorHAnsi"/>
          <w:snapToGrid w:val="0"/>
          <w:lang w:val="en-GB"/>
        </w:rPr>
        <w:t xml:space="preserve"> (e.g. less greasiness)</w:t>
      </w:r>
      <w:r w:rsidR="0022248F">
        <w:rPr>
          <w:rFonts w:asciiTheme="minorHAnsi" w:hAnsiTheme="minorHAnsi"/>
          <w:snapToGrid w:val="0"/>
          <w:lang w:val="en-GB"/>
        </w:rPr>
        <w:t>.</w:t>
      </w:r>
    </w:p>
    <w:p w14:paraId="0FA161D2" w14:textId="09729669" w:rsidR="007D2725" w:rsidRDefault="000D4946"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w:t>
      </w:r>
      <w:r w:rsidR="000F5806">
        <w:rPr>
          <w:rFonts w:asciiTheme="minorHAnsi" w:hAnsiTheme="minorHAnsi"/>
          <w:snapToGrid w:val="0"/>
          <w:lang w:val="en-GB"/>
        </w:rPr>
        <w:t xml:space="preserve">the submission claimed CAL/BDP cream </w:t>
      </w:r>
      <w:r w:rsidR="005D2137">
        <w:rPr>
          <w:rFonts w:asciiTheme="minorHAnsi" w:hAnsiTheme="minorHAnsi"/>
          <w:snapToGrid w:val="0"/>
          <w:lang w:val="en-GB"/>
        </w:rPr>
        <w:t>had superior efficacy compared to CAL/BDP ointment. The PBAC considered th</w:t>
      </w:r>
      <w:r w:rsidR="00147E44">
        <w:rPr>
          <w:rFonts w:asciiTheme="minorHAnsi" w:hAnsiTheme="minorHAnsi"/>
          <w:snapToGrid w:val="0"/>
          <w:lang w:val="en-GB"/>
        </w:rPr>
        <w:t>is claim was not adequately supported by the evidence provided because the evidence was based on one head-to-head pharmacokinetic trial compar</w:t>
      </w:r>
      <w:r w:rsidR="00FB0088">
        <w:rPr>
          <w:rFonts w:asciiTheme="minorHAnsi" w:hAnsiTheme="minorHAnsi"/>
          <w:snapToGrid w:val="0"/>
          <w:lang w:val="en-GB"/>
        </w:rPr>
        <w:t xml:space="preserve">ing </w:t>
      </w:r>
      <w:r w:rsidR="00147E44">
        <w:rPr>
          <w:rFonts w:asciiTheme="minorHAnsi" w:hAnsiTheme="minorHAnsi"/>
          <w:snapToGrid w:val="0"/>
          <w:lang w:val="en-GB"/>
        </w:rPr>
        <w:t>the cream with ointment, and two non-inferiori</w:t>
      </w:r>
      <w:r w:rsidR="00E73F5B">
        <w:rPr>
          <w:rFonts w:asciiTheme="minorHAnsi" w:hAnsiTheme="minorHAnsi"/>
          <w:snapToGrid w:val="0"/>
          <w:lang w:val="en-GB"/>
        </w:rPr>
        <w:t>ty trial</w:t>
      </w:r>
      <w:r w:rsidR="0012193A">
        <w:rPr>
          <w:rFonts w:asciiTheme="minorHAnsi" w:hAnsiTheme="minorHAnsi"/>
          <w:snapToGrid w:val="0"/>
          <w:lang w:val="en-GB"/>
        </w:rPr>
        <w:t>s</w:t>
      </w:r>
      <w:r w:rsidR="00E73F5B">
        <w:rPr>
          <w:rFonts w:asciiTheme="minorHAnsi" w:hAnsiTheme="minorHAnsi"/>
          <w:snapToGrid w:val="0"/>
          <w:lang w:val="en-GB"/>
        </w:rPr>
        <w:t xml:space="preserve"> between CAL/BDP cream and gel (using gel as a proxy for ointment). </w:t>
      </w:r>
      <w:r w:rsidR="003E0A7C">
        <w:rPr>
          <w:rFonts w:asciiTheme="minorHAnsi" w:hAnsiTheme="minorHAnsi"/>
          <w:snapToGrid w:val="0"/>
          <w:lang w:val="en-GB"/>
        </w:rPr>
        <w:t xml:space="preserve">The head-to-head trial </w:t>
      </w:r>
      <w:r w:rsidR="00D25872">
        <w:rPr>
          <w:rFonts w:asciiTheme="minorHAnsi" w:hAnsiTheme="minorHAnsi"/>
          <w:snapToGrid w:val="0"/>
          <w:lang w:val="en-GB"/>
        </w:rPr>
        <w:t>demonstrated similarly efficacy between the cream and oint</w:t>
      </w:r>
      <w:r w:rsidR="00CB6328">
        <w:rPr>
          <w:rFonts w:asciiTheme="minorHAnsi" w:hAnsiTheme="minorHAnsi"/>
          <w:snapToGrid w:val="0"/>
          <w:lang w:val="en-GB"/>
        </w:rPr>
        <w:t xml:space="preserve">ment, and </w:t>
      </w:r>
      <w:r w:rsidR="00807BD3">
        <w:rPr>
          <w:rFonts w:asciiTheme="minorHAnsi" w:hAnsiTheme="minorHAnsi"/>
          <w:snapToGrid w:val="0"/>
          <w:lang w:val="en-GB"/>
        </w:rPr>
        <w:t xml:space="preserve">the </w:t>
      </w:r>
      <w:r w:rsidR="00D71847">
        <w:rPr>
          <w:rFonts w:asciiTheme="minorHAnsi" w:hAnsiTheme="minorHAnsi"/>
          <w:snapToGrid w:val="0"/>
          <w:lang w:val="en-GB"/>
        </w:rPr>
        <w:t>trials comparing the cream with gel were designed to demonstrate non-inferiority (</w:t>
      </w:r>
      <w:r w:rsidR="00020114">
        <w:rPr>
          <w:rFonts w:asciiTheme="minorHAnsi" w:hAnsiTheme="minorHAnsi"/>
          <w:snapToGrid w:val="0"/>
          <w:lang w:val="en-GB"/>
        </w:rPr>
        <w:t xml:space="preserve">rather than superiority). </w:t>
      </w:r>
    </w:p>
    <w:p w14:paraId="484F0DEF" w14:textId="7167A010" w:rsidR="00261603" w:rsidRDefault="00CB4B85" w:rsidP="2C3D3B2A">
      <w:pPr>
        <w:widowControl w:val="0"/>
        <w:numPr>
          <w:ilvl w:val="1"/>
          <w:numId w:val="1"/>
        </w:numPr>
        <w:spacing w:after="120"/>
        <w:ind w:left="720"/>
        <w:rPr>
          <w:rFonts w:asciiTheme="minorHAnsi" w:hAnsiTheme="minorHAnsi"/>
          <w:snapToGrid w:val="0"/>
          <w:lang w:val="en-GB"/>
        </w:rPr>
      </w:pPr>
      <w:r w:rsidRPr="2C3D3B2A">
        <w:rPr>
          <w:rFonts w:asciiTheme="minorHAnsi" w:hAnsiTheme="minorHAnsi"/>
          <w:snapToGrid w:val="0"/>
          <w:lang w:val="en-GB"/>
        </w:rPr>
        <w:t xml:space="preserve">The </w:t>
      </w:r>
      <w:r w:rsidR="00AA62EA" w:rsidRPr="2C3D3B2A">
        <w:rPr>
          <w:rFonts w:asciiTheme="minorHAnsi" w:hAnsiTheme="minorHAnsi"/>
          <w:snapToGrid w:val="0"/>
          <w:lang w:val="en-GB"/>
        </w:rPr>
        <w:t xml:space="preserve">PBAC considered that CAL/BDP cream </w:t>
      </w:r>
      <w:r w:rsidR="00364BDD" w:rsidRPr="2C3D3B2A">
        <w:rPr>
          <w:rFonts w:asciiTheme="minorHAnsi" w:hAnsiTheme="minorHAnsi"/>
          <w:snapToGrid w:val="0"/>
          <w:lang w:val="en-GB"/>
        </w:rPr>
        <w:t xml:space="preserve">had non-inferior comparative efficacy and safety compared to CAL/BDP ointment and CAL/BDP foam. </w:t>
      </w:r>
    </w:p>
    <w:p w14:paraId="28B5D3B5" w14:textId="7FAA8ACB" w:rsidR="00B160DA" w:rsidRDefault="00B160DA"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therefor</w:t>
      </w:r>
      <w:r w:rsidR="00195AB8">
        <w:rPr>
          <w:rFonts w:asciiTheme="minorHAnsi" w:hAnsiTheme="minorHAnsi"/>
          <w:snapToGrid w:val="0"/>
          <w:lang w:val="en-GB"/>
        </w:rPr>
        <w:t xml:space="preserve">e </w:t>
      </w:r>
      <w:r>
        <w:rPr>
          <w:rFonts w:asciiTheme="minorHAnsi" w:hAnsiTheme="minorHAnsi"/>
          <w:snapToGrid w:val="0"/>
          <w:lang w:val="en-GB"/>
        </w:rPr>
        <w:t xml:space="preserve">recommended listing </w:t>
      </w:r>
      <w:r w:rsidR="00243D3B">
        <w:rPr>
          <w:rFonts w:asciiTheme="minorHAnsi" w:hAnsiTheme="minorHAnsi"/>
          <w:snapToGrid w:val="0"/>
          <w:lang w:val="en-GB"/>
        </w:rPr>
        <w:t xml:space="preserve">CAL/BDP cream </w:t>
      </w:r>
      <w:r w:rsidR="00D30C90">
        <w:rPr>
          <w:rFonts w:asciiTheme="minorHAnsi" w:hAnsiTheme="minorHAnsi"/>
          <w:snapToGrid w:val="0"/>
          <w:lang w:val="en-GB"/>
        </w:rPr>
        <w:t xml:space="preserve">on a cost-minimisation basis to the lowest cost CAL/BDP formulation </w:t>
      </w:r>
      <w:r w:rsidR="00024C1A">
        <w:rPr>
          <w:rFonts w:asciiTheme="minorHAnsi" w:hAnsiTheme="minorHAnsi"/>
          <w:snapToGrid w:val="0"/>
          <w:lang w:val="en-GB"/>
        </w:rPr>
        <w:t xml:space="preserve">listed on the PBS (CAL/BDP ointment). </w:t>
      </w:r>
      <w:r w:rsidR="003778A4">
        <w:rPr>
          <w:rFonts w:asciiTheme="minorHAnsi" w:hAnsiTheme="minorHAnsi"/>
          <w:snapToGrid w:val="0"/>
          <w:lang w:val="en-GB"/>
        </w:rPr>
        <w:t xml:space="preserve">The PBAC </w:t>
      </w:r>
      <w:r w:rsidR="00140A86">
        <w:rPr>
          <w:rFonts w:asciiTheme="minorHAnsi" w:hAnsiTheme="minorHAnsi"/>
          <w:snapToGrid w:val="0"/>
          <w:lang w:val="en-GB"/>
        </w:rPr>
        <w:t xml:space="preserve">advised the equi-effective doses are </w:t>
      </w:r>
      <w:r w:rsidR="00240133">
        <w:rPr>
          <w:rFonts w:asciiTheme="minorHAnsi" w:hAnsiTheme="minorHAnsi"/>
          <w:snapToGrid w:val="0"/>
          <w:lang w:val="en-GB"/>
        </w:rPr>
        <w:t xml:space="preserve">1 gram CAL/BDP cream to 1 gram CAL/BDP foam and 1 gram CAL/BDP ointment. </w:t>
      </w:r>
    </w:p>
    <w:p w14:paraId="03240390" w14:textId="688A5006" w:rsidR="00E03EC7" w:rsidRDefault="00E03EC7"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lastRenderedPageBreak/>
        <w:t>The PBAC recommended</w:t>
      </w:r>
      <w:r w:rsidR="00293531">
        <w:rPr>
          <w:rFonts w:asciiTheme="minorHAnsi" w:hAnsiTheme="minorHAnsi"/>
          <w:snapToGrid w:val="0"/>
          <w:lang w:val="en-GB"/>
        </w:rPr>
        <w:t xml:space="preserve"> listing</w:t>
      </w:r>
      <w:r w:rsidR="009F6CAF">
        <w:rPr>
          <w:rFonts w:asciiTheme="minorHAnsi" w:hAnsiTheme="minorHAnsi"/>
          <w:snapToGrid w:val="0"/>
          <w:lang w:val="en-GB"/>
        </w:rPr>
        <w:t xml:space="preserve">s for CAL/BDP cream </w:t>
      </w:r>
      <w:r w:rsidR="000F1A0D">
        <w:rPr>
          <w:rFonts w:asciiTheme="minorHAnsi" w:hAnsiTheme="minorHAnsi"/>
          <w:snapToGrid w:val="0"/>
          <w:lang w:val="en-GB"/>
        </w:rPr>
        <w:t>consi</w:t>
      </w:r>
      <w:r w:rsidR="00875364">
        <w:rPr>
          <w:rFonts w:asciiTheme="minorHAnsi" w:hAnsiTheme="minorHAnsi"/>
          <w:snapToGrid w:val="0"/>
          <w:lang w:val="en-GB"/>
        </w:rPr>
        <w:t>stent with the PBS listings for CAL/BDP foam and ointment</w:t>
      </w:r>
      <w:r w:rsidR="00E50B40">
        <w:rPr>
          <w:rFonts w:asciiTheme="minorHAnsi" w:hAnsiTheme="minorHAnsi"/>
          <w:snapToGrid w:val="0"/>
          <w:lang w:val="en-GB"/>
        </w:rPr>
        <w:t xml:space="preserve">, and recommended listing </w:t>
      </w:r>
      <w:r w:rsidR="00A31773">
        <w:rPr>
          <w:rFonts w:asciiTheme="minorHAnsi" w:hAnsiTheme="minorHAnsi"/>
          <w:snapToGrid w:val="0"/>
          <w:lang w:val="en-GB"/>
        </w:rPr>
        <w:t xml:space="preserve">with a maximum quantity of 1 pack (60 g) and maximum of 1 repeat, and a </w:t>
      </w:r>
      <w:r w:rsidR="0032528A">
        <w:rPr>
          <w:rFonts w:asciiTheme="minorHAnsi" w:hAnsiTheme="minorHAnsi"/>
          <w:snapToGrid w:val="0"/>
          <w:lang w:val="en-GB"/>
        </w:rPr>
        <w:t>corresponding 60-day maximum dispensed quantity listing of 2 packs with 1 repeat</w:t>
      </w:r>
      <w:r w:rsidR="00875364">
        <w:rPr>
          <w:rFonts w:asciiTheme="minorHAnsi" w:hAnsiTheme="minorHAnsi"/>
          <w:snapToGrid w:val="0"/>
          <w:lang w:val="en-GB"/>
        </w:rPr>
        <w:t>.</w:t>
      </w:r>
    </w:p>
    <w:p w14:paraId="7F1B044F" w14:textId="49C3EE24" w:rsidR="00893CEA" w:rsidRDefault="00893CEA" w:rsidP="00893CEA">
      <w:pPr>
        <w:widowControl w:val="0"/>
        <w:numPr>
          <w:ilvl w:val="1"/>
          <w:numId w:val="1"/>
        </w:numPr>
        <w:spacing w:after="120"/>
        <w:ind w:left="7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Pr>
          <w:rFonts w:asciiTheme="minorHAnsi" w:hAnsiTheme="minorHAnsi"/>
          <w:bCs/>
          <w:snapToGrid w:val="0"/>
          <w:lang w:val="en-GB"/>
        </w:rPr>
        <w:t>CAL/BDP cream</w:t>
      </w:r>
      <w:r w:rsidRPr="00525B39">
        <w:rPr>
          <w:rFonts w:asciiTheme="minorHAnsi" w:hAnsiTheme="minorHAnsi"/>
          <w:bCs/>
          <w:snapToGrid w:val="0"/>
          <w:lang w:val="en-GB"/>
        </w:rPr>
        <w:t xml:space="preserve"> is suitable for presc</w:t>
      </w:r>
      <w:r>
        <w:rPr>
          <w:rFonts w:asciiTheme="minorHAnsi" w:hAnsiTheme="minorHAnsi"/>
          <w:bCs/>
          <w:snapToGrid w:val="0"/>
          <w:lang w:val="en-GB"/>
        </w:rPr>
        <w:t xml:space="preserve">ribing by nurse practitioners. </w:t>
      </w:r>
    </w:p>
    <w:p w14:paraId="56FC9480" w14:textId="62CCF6CF" w:rsidR="00B509BB" w:rsidRPr="00893CEA" w:rsidRDefault="00B509BB" w:rsidP="00893CEA">
      <w:pPr>
        <w:widowControl w:val="0"/>
        <w:numPr>
          <w:ilvl w:val="1"/>
          <w:numId w:val="1"/>
        </w:numPr>
        <w:spacing w:after="120"/>
        <w:ind w:left="720"/>
        <w:rPr>
          <w:rFonts w:asciiTheme="minorHAnsi" w:hAnsiTheme="minorHAnsi"/>
          <w:bCs/>
          <w:snapToGrid w:val="0"/>
          <w:lang w:val="en-GB"/>
        </w:rPr>
      </w:pPr>
      <w:r w:rsidRPr="00D8553E">
        <w:rPr>
          <w:rFonts w:asciiTheme="minorHAnsi" w:hAnsiTheme="minorHAnsi"/>
          <w:bCs/>
          <w:snapToGrid w:val="0"/>
          <w:lang w:val="en-GB"/>
        </w:rPr>
        <w:t xml:space="preserve">The PBAC recommended that the Early Supply Rule should apply. </w:t>
      </w:r>
    </w:p>
    <w:p w14:paraId="5268A6DB" w14:textId="4A9F871D" w:rsidR="00FC0C2A" w:rsidRDefault="00FC0C2A" w:rsidP="00541D02">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considered </w:t>
      </w:r>
      <w:r w:rsidR="00047035">
        <w:rPr>
          <w:rFonts w:asciiTheme="minorHAnsi" w:hAnsiTheme="minorHAnsi"/>
          <w:snapToGrid w:val="0"/>
          <w:lang w:val="en-GB"/>
        </w:rPr>
        <w:t xml:space="preserve">the financial estimates </w:t>
      </w:r>
      <w:r w:rsidR="003502ED">
        <w:rPr>
          <w:rFonts w:asciiTheme="minorHAnsi" w:hAnsiTheme="minorHAnsi"/>
          <w:snapToGrid w:val="0"/>
          <w:lang w:val="en-GB"/>
        </w:rPr>
        <w:t>to be likely reasonable, however noted there were uncertainties in the u</w:t>
      </w:r>
      <w:r w:rsidR="00C04190">
        <w:rPr>
          <w:rFonts w:asciiTheme="minorHAnsi" w:hAnsiTheme="minorHAnsi"/>
          <w:snapToGrid w:val="0"/>
          <w:lang w:val="en-GB"/>
        </w:rPr>
        <w:t xml:space="preserve">ptake of CAL/BDP cream and the </w:t>
      </w:r>
      <w:r w:rsidR="004A4DF0">
        <w:rPr>
          <w:rFonts w:asciiTheme="minorHAnsi" w:hAnsiTheme="minorHAnsi"/>
          <w:snapToGrid w:val="0"/>
          <w:lang w:val="en-GB"/>
        </w:rPr>
        <w:t xml:space="preserve">market share captured from CAL/BDP foam and ointment. The PBAC noted </w:t>
      </w:r>
      <w:r w:rsidR="00340F1E">
        <w:rPr>
          <w:rFonts w:asciiTheme="minorHAnsi" w:hAnsiTheme="minorHAnsi"/>
          <w:snapToGrid w:val="0"/>
          <w:lang w:val="en-GB"/>
        </w:rPr>
        <w:t xml:space="preserve">the uptake </w:t>
      </w:r>
      <w:r w:rsidR="00943BD3">
        <w:rPr>
          <w:rFonts w:asciiTheme="minorHAnsi" w:hAnsiTheme="minorHAnsi"/>
          <w:snapToGrid w:val="0"/>
          <w:lang w:val="en-GB"/>
        </w:rPr>
        <w:t>of CAL/BDP cream could be influence</w:t>
      </w:r>
      <w:r w:rsidR="009726BD">
        <w:rPr>
          <w:rFonts w:asciiTheme="minorHAnsi" w:hAnsiTheme="minorHAnsi"/>
          <w:snapToGrid w:val="0"/>
          <w:lang w:val="en-GB"/>
        </w:rPr>
        <w:t>d</w:t>
      </w:r>
      <w:r w:rsidR="00943BD3">
        <w:rPr>
          <w:rFonts w:asciiTheme="minorHAnsi" w:hAnsiTheme="minorHAnsi"/>
          <w:snapToGrid w:val="0"/>
          <w:lang w:val="en-GB"/>
        </w:rPr>
        <w:t xml:space="preserve"> by factors such as patient and prescriber preferences, product availability, and the site and size of psoriasis. </w:t>
      </w:r>
      <w:r w:rsidR="00C07D3E">
        <w:rPr>
          <w:rFonts w:asciiTheme="minorHAnsi" w:hAnsiTheme="minorHAnsi"/>
          <w:snapToGrid w:val="0"/>
          <w:lang w:val="en-GB"/>
        </w:rPr>
        <w:t xml:space="preserve">The PBAC </w:t>
      </w:r>
      <w:r w:rsidR="00C076D1">
        <w:rPr>
          <w:rFonts w:asciiTheme="minorHAnsi" w:hAnsiTheme="minorHAnsi"/>
          <w:snapToGrid w:val="0"/>
          <w:lang w:val="en-GB"/>
        </w:rPr>
        <w:t xml:space="preserve">noted that as CAL/BDP cream is recommended on a cost-minimisation basis to the lowest cost comparator, </w:t>
      </w:r>
      <w:r w:rsidR="00034FF0">
        <w:rPr>
          <w:rFonts w:asciiTheme="minorHAnsi" w:hAnsiTheme="minorHAnsi"/>
          <w:snapToGrid w:val="0"/>
          <w:lang w:val="en-GB"/>
        </w:rPr>
        <w:t xml:space="preserve">it will </w:t>
      </w:r>
      <w:r w:rsidR="00C07244">
        <w:rPr>
          <w:rFonts w:asciiTheme="minorHAnsi" w:hAnsiTheme="minorHAnsi"/>
          <w:snapToGrid w:val="0"/>
          <w:lang w:val="en-GB"/>
        </w:rPr>
        <w:t xml:space="preserve">at least be cost-neutral to the PBS/RPBS, and there may be a </w:t>
      </w:r>
      <w:r w:rsidR="00ED7931">
        <w:rPr>
          <w:rFonts w:asciiTheme="minorHAnsi" w:hAnsiTheme="minorHAnsi"/>
          <w:snapToGrid w:val="0"/>
          <w:lang w:val="en-GB"/>
        </w:rPr>
        <w:t xml:space="preserve">small </w:t>
      </w:r>
      <w:r w:rsidR="00C07244">
        <w:rPr>
          <w:rFonts w:asciiTheme="minorHAnsi" w:hAnsiTheme="minorHAnsi"/>
          <w:snapToGrid w:val="0"/>
          <w:lang w:val="en-GB"/>
        </w:rPr>
        <w:t>cost saving if CAL/BDP cream takes market share from CAL/BDP foam</w:t>
      </w:r>
      <w:r w:rsidR="00195A70">
        <w:rPr>
          <w:rFonts w:asciiTheme="minorHAnsi" w:hAnsiTheme="minorHAnsi"/>
          <w:snapToGrid w:val="0"/>
          <w:lang w:val="en-GB"/>
        </w:rPr>
        <w:t>,</w:t>
      </w:r>
      <w:r w:rsidR="00C07244">
        <w:rPr>
          <w:rFonts w:asciiTheme="minorHAnsi" w:hAnsiTheme="minorHAnsi"/>
          <w:snapToGrid w:val="0"/>
          <w:lang w:val="en-GB"/>
        </w:rPr>
        <w:t xml:space="preserve"> which is listed at a higher price.</w:t>
      </w:r>
    </w:p>
    <w:p w14:paraId="74009277" w14:textId="68B7E185" w:rsidR="00541D02" w:rsidRPr="00BF5F9F" w:rsidRDefault="00541D02" w:rsidP="00BF5F9F">
      <w:pPr>
        <w:widowControl w:val="0"/>
        <w:numPr>
          <w:ilvl w:val="1"/>
          <w:numId w:val="1"/>
        </w:numPr>
        <w:spacing w:after="120"/>
        <w:ind w:left="720"/>
        <w:rPr>
          <w:rFonts w:asciiTheme="minorHAnsi" w:hAnsiTheme="minorHAnsi"/>
          <w:snapToGrid w:val="0"/>
          <w:lang w:val="en-GB"/>
        </w:rPr>
      </w:pPr>
      <w:r w:rsidRPr="00BF5F9F">
        <w:rPr>
          <w:rFonts w:asciiTheme="minorHAnsi" w:hAnsiTheme="minorHAnsi"/>
          <w:snapToGrid w:val="0"/>
          <w:lang w:val="en-GB"/>
        </w:rPr>
        <w:t xml:space="preserve">The PBAC noted that its recommendation was on a cost-minimisation basis and advised that, because </w:t>
      </w:r>
      <w:r w:rsidR="009C3E0F" w:rsidRPr="00BF5F9F">
        <w:rPr>
          <w:rFonts w:asciiTheme="minorHAnsi" w:hAnsiTheme="minorHAnsi"/>
          <w:snapToGrid w:val="0"/>
          <w:lang w:val="en-GB"/>
        </w:rPr>
        <w:t xml:space="preserve">CAL/BDP cream </w:t>
      </w:r>
      <w:r w:rsidRPr="00BF5F9F">
        <w:rPr>
          <w:rFonts w:asciiTheme="minorHAnsi" w:hAnsiTheme="minorHAnsi"/>
          <w:snapToGrid w:val="0"/>
          <w:lang w:val="en-GB"/>
        </w:rPr>
        <w:t xml:space="preserve">is not expected to provide a substantial and clinically relevant improvement in efficacy, or reduction of toxicity, over </w:t>
      </w:r>
      <w:r w:rsidR="00471C00" w:rsidRPr="00BF5F9F">
        <w:rPr>
          <w:rFonts w:asciiTheme="minorHAnsi" w:hAnsiTheme="minorHAnsi"/>
          <w:snapToGrid w:val="0"/>
          <w:lang w:val="en-GB"/>
        </w:rPr>
        <w:t>CAL/BDP foam</w:t>
      </w:r>
      <w:r w:rsidR="00586403" w:rsidRPr="00BF5F9F">
        <w:rPr>
          <w:rFonts w:asciiTheme="minorHAnsi" w:hAnsiTheme="minorHAnsi"/>
          <w:snapToGrid w:val="0"/>
          <w:lang w:val="en-GB"/>
        </w:rPr>
        <w:t xml:space="preserve"> and ointment</w:t>
      </w:r>
      <w:r w:rsidR="00471C00" w:rsidRPr="00BF5F9F">
        <w:rPr>
          <w:rFonts w:asciiTheme="minorHAnsi" w:hAnsiTheme="minorHAnsi"/>
          <w:snapToGrid w:val="0"/>
          <w:lang w:val="en-GB"/>
        </w:rPr>
        <w:t>,</w:t>
      </w:r>
      <w:r w:rsidRPr="00BF5F9F">
        <w:rPr>
          <w:rFonts w:asciiTheme="minorHAnsi" w:hAnsiTheme="minorHAnsi"/>
          <w:snapToGrid w:val="0"/>
          <w:lang w:val="en-GB"/>
        </w:rPr>
        <w:t xml:space="preserve"> or not expected to address a high and urgent unmet clinical need given the presence of an alternative therapy, the criteria prescribed by the National Health (Pharmaceuticals and Vaccines – Cost Recovery) Regulations 2022 for Pricing Pathway A were not met.</w:t>
      </w:r>
    </w:p>
    <w:p w14:paraId="25ECF6E1" w14:textId="1797CB3F" w:rsidR="00541D02" w:rsidRPr="00AE74BE" w:rsidRDefault="00541D02" w:rsidP="00541D02">
      <w:pPr>
        <w:widowControl w:val="0"/>
        <w:numPr>
          <w:ilvl w:val="1"/>
          <w:numId w:val="1"/>
        </w:numPr>
        <w:spacing w:after="120"/>
        <w:ind w:left="7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F10879">
        <w:rPr>
          <w:rFonts w:asciiTheme="minorHAnsi" w:hAnsiTheme="minorHAnsi"/>
          <w:bCs/>
          <w:snapToGrid w:val="0"/>
          <w:lang w:val="en-GB"/>
        </w:rPr>
        <w:t xml:space="preserve"> as it received a positive recommendation.</w:t>
      </w:r>
    </w:p>
    <w:p w14:paraId="0EC7D1C2" w14:textId="77777777" w:rsidR="00541D02" w:rsidRPr="00525B39" w:rsidRDefault="00541D02" w:rsidP="00541D0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2C6C5E9" w14:textId="30363007" w:rsidR="00541D02" w:rsidRPr="00525B39" w:rsidRDefault="00541D02" w:rsidP="00541D02">
      <w:pPr>
        <w:rPr>
          <w:rFonts w:asciiTheme="minorHAnsi" w:hAnsiTheme="minorHAnsi"/>
          <w:bCs/>
          <w:snapToGrid w:val="0"/>
          <w:lang w:val="en-GB"/>
        </w:rPr>
      </w:pPr>
      <w:r w:rsidRPr="00525B39">
        <w:rPr>
          <w:rFonts w:asciiTheme="minorHAnsi" w:hAnsiTheme="minorHAnsi"/>
          <w:bCs/>
          <w:snapToGrid w:val="0"/>
          <w:lang w:val="en-GB"/>
        </w:rPr>
        <w:t>Recommended</w:t>
      </w:r>
    </w:p>
    <w:p w14:paraId="7DD92064" w14:textId="77777777" w:rsidR="00C85622" w:rsidRPr="00907671" w:rsidRDefault="00C85622" w:rsidP="00C85622">
      <w:pPr>
        <w:pStyle w:val="2-SectionHeading"/>
        <w:numPr>
          <w:ilvl w:val="0"/>
          <w:numId w:val="1"/>
        </w:numPr>
      </w:pPr>
      <w:r w:rsidRPr="00907671">
        <w:t>Recommended listing</w:t>
      </w:r>
    </w:p>
    <w:p w14:paraId="167D8E5D" w14:textId="5AD3A111" w:rsidR="00C85622" w:rsidRPr="00C540D8" w:rsidRDefault="00C85622" w:rsidP="0041254F">
      <w:pPr>
        <w:widowControl w:val="0"/>
        <w:numPr>
          <w:ilvl w:val="1"/>
          <w:numId w:val="1"/>
        </w:numPr>
        <w:spacing w:after="120"/>
        <w:ind w:left="720"/>
        <w:contextualSpacing/>
        <w:rPr>
          <w:rFonts w:asciiTheme="minorHAnsi" w:hAnsiTheme="minorHAnsi"/>
          <w:b/>
          <w:bCs/>
          <w:snapToGrid w:val="0"/>
        </w:rPr>
      </w:pPr>
      <w:r w:rsidRPr="0041254F">
        <w:rPr>
          <w:rFonts w:asciiTheme="minorHAnsi" w:hAnsiTheme="minorHAnsi"/>
          <w:bCs/>
          <w:snapToGrid w:val="0"/>
        </w:rPr>
        <w:t>Add new item:</w:t>
      </w:r>
    </w:p>
    <w:p w14:paraId="0C9F1935" w14:textId="77777777" w:rsidR="00C540D8" w:rsidRDefault="00C540D8" w:rsidP="00C540D8">
      <w:pPr>
        <w:widowControl w:val="0"/>
        <w:spacing w:after="120"/>
        <w:contextualSpacing/>
        <w:rPr>
          <w:rFonts w:asciiTheme="minorHAnsi" w:hAnsiTheme="minorHAnsi"/>
          <w:bCs/>
          <w:snapToGrid w:val="0"/>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971"/>
        <w:gridCol w:w="1107"/>
        <w:gridCol w:w="847"/>
        <w:gridCol w:w="706"/>
        <w:gridCol w:w="706"/>
        <w:gridCol w:w="1835"/>
      </w:tblGrid>
      <w:tr w:rsidR="00C540D8" w:rsidRPr="003D47CA" w14:paraId="3FAB66E2" w14:textId="77777777" w:rsidTr="007C3C42">
        <w:trPr>
          <w:cantSplit/>
          <w:trHeight w:val="471"/>
        </w:trPr>
        <w:tc>
          <w:tcPr>
            <w:tcW w:w="2163" w:type="pct"/>
            <w:gridSpan w:val="2"/>
          </w:tcPr>
          <w:p w14:paraId="7E7026AB" w14:textId="77777777" w:rsidR="00C540D8" w:rsidRPr="003D47CA" w:rsidRDefault="00C540D8" w:rsidP="007C3C42">
            <w:pPr>
              <w:keepNext/>
              <w:ind w:left="-57"/>
              <w:rPr>
                <w:rFonts w:ascii="Arial Narrow" w:hAnsi="Arial Narrow"/>
                <w:b/>
                <w:bCs/>
                <w:sz w:val="20"/>
                <w:szCs w:val="20"/>
              </w:rPr>
            </w:pPr>
            <w:r w:rsidRPr="003D47CA">
              <w:rPr>
                <w:rFonts w:ascii="Arial Narrow" w:hAnsi="Arial Narrow"/>
                <w:b/>
                <w:bCs/>
                <w:sz w:val="20"/>
                <w:szCs w:val="20"/>
              </w:rPr>
              <w:t>MEDICINAL PRODUCT</w:t>
            </w:r>
          </w:p>
          <w:p w14:paraId="2F886290" w14:textId="77777777" w:rsidR="00C540D8" w:rsidRPr="003D47CA" w:rsidRDefault="00C540D8" w:rsidP="007C3C42">
            <w:pPr>
              <w:keepNext/>
              <w:ind w:left="-57"/>
              <w:rPr>
                <w:rFonts w:ascii="Arial Narrow" w:hAnsi="Arial Narrow"/>
                <w:b/>
                <w:sz w:val="20"/>
                <w:szCs w:val="20"/>
              </w:rPr>
            </w:pPr>
            <w:r w:rsidRPr="003D47CA">
              <w:rPr>
                <w:rFonts w:ascii="Arial Narrow" w:hAnsi="Arial Narrow"/>
                <w:b/>
                <w:bCs/>
                <w:sz w:val="20"/>
                <w:szCs w:val="20"/>
              </w:rPr>
              <w:t>medicinal product pack</w:t>
            </w:r>
          </w:p>
        </w:tc>
        <w:tc>
          <w:tcPr>
            <w:tcW w:w="604" w:type="pct"/>
          </w:tcPr>
          <w:p w14:paraId="1E39EC48" w14:textId="77777777" w:rsidR="00C540D8" w:rsidRPr="003D47CA" w:rsidRDefault="00C540D8" w:rsidP="007C3C42">
            <w:pPr>
              <w:keepNext/>
              <w:ind w:left="-108"/>
              <w:jc w:val="center"/>
              <w:rPr>
                <w:rFonts w:ascii="Arial Narrow" w:hAnsi="Arial Narrow"/>
                <w:b/>
                <w:sz w:val="20"/>
                <w:szCs w:val="20"/>
              </w:rPr>
            </w:pPr>
            <w:r w:rsidRPr="003D47CA">
              <w:rPr>
                <w:rFonts w:ascii="Arial Narrow" w:hAnsi="Arial Narrow"/>
                <w:b/>
                <w:sz w:val="20"/>
                <w:szCs w:val="20"/>
              </w:rPr>
              <w:t>PBS item code</w:t>
            </w:r>
          </w:p>
        </w:tc>
        <w:tc>
          <w:tcPr>
            <w:tcW w:w="462" w:type="pct"/>
          </w:tcPr>
          <w:p w14:paraId="2F2A41F3" w14:textId="77777777" w:rsidR="00C540D8" w:rsidRPr="003D47CA" w:rsidRDefault="00C540D8" w:rsidP="007C3C42">
            <w:pPr>
              <w:keepNext/>
              <w:ind w:left="-108"/>
              <w:jc w:val="center"/>
              <w:rPr>
                <w:rFonts w:ascii="Arial Narrow" w:hAnsi="Arial Narrow"/>
                <w:b/>
                <w:sz w:val="20"/>
                <w:szCs w:val="20"/>
              </w:rPr>
            </w:pPr>
            <w:r w:rsidRPr="003D47CA">
              <w:rPr>
                <w:rFonts w:ascii="Arial Narrow" w:hAnsi="Arial Narrow"/>
                <w:b/>
                <w:sz w:val="20"/>
                <w:szCs w:val="20"/>
              </w:rPr>
              <w:t>Max. qty packs</w:t>
            </w:r>
          </w:p>
        </w:tc>
        <w:tc>
          <w:tcPr>
            <w:tcW w:w="385" w:type="pct"/>
          </w:tcPr>
          <w:p w14:paraId="0330DF2C" w14:textId="77777777" w:rsidR="00C540D8" w:rsidRPr="003D47CA" w:rsidRDefault="00C540D8" w:rsidP="007C3C42">
            <w:pPr>
              <w:keepNext/>
              <w:ind w:left="-108"/>
              <w:jc w:val="center"/>
              <w:rPr>
                <w:rFonts w:ascii="Arial Narrow" w:hAnsi="Arial Narrow"/>
                <w:b/>
                <w:sz w:val="20"/>
                <w:szCs w:val="20"/>
              </w:rPr>
            </w:pPr>
            <w:r w:rsidRPr="003D47CA">
              <w:rPr>
                <w:rFonts w:ascii="Arial Narrow" w:hAnsi="Arial Narrow"/>
                <w:b/>
                <w:sz w:val="20"/>
                <w:szCs w:val="20"/>
              </w:rPr>
              <w:t>Max. qty units</w:t>
            </w:r>
          </w:p>
        </w:tc>
        <w:tc>
          <w:tcPr>
            <w:tcW w:w="385" w:type="pct"/>
          </w:tcPr>
          <w:p w14:paraId="04EE50F0" w14:textId="77777777" w:rsidR="00C540D8" w:rsidRPr="003D47CA" w:rsidRDefault="00C540D8" w:rsidP="007C3C42">
            <w:pPr>
              <w:keepNext/>
              <w:ind w:left="-108"/>
              <w:jc w:val="center"/>
              <w:rPr>
                <w:rFonts w:ascii="Arial Narrow" w:hAnsi="Arial Narrow"/>
                <w:b/>
                <w:sz w:val="20"/>
                <w:szCs w:val="20"/>
              </w:rPr>
            </w:pPr>
            <w:r w:rsidRPr="003D47CA">
              <w:rPr>
                <w:rFonts w:ascii="Arial Narrow" w:hAnsi="Arial Narrow"/>
                <w:b/>
                <w:sz w:val="20"/>
                <w:szCs w:val="20"/>
              </w:rPr>
              <w:t>№.of</w:t>
            </w:r>
          </w:p>
          <w:p w14:paraId="45A3B246" w14:textId="77777777" w:rsidR="00C540D8" w:rsidRPr="003D47CA" w:rsidRDefault="00C540D8" w:rsidP="007C3C42">
            <w:pPr>
              <w:keepNext/>
              <w:ind w:left="-108"/>
              <w:jc w:val="center"/>
              <w:rPr>
                <w:rFonts w:ascii="Arial Narrow" w:hAnsi="Arial Narrow"/>
                <w:b/>
                <w:sz w:val="20"/>
                <w:szCs w:val="20"/>
              </w:rPr>
            </w:pPr>
            <w:r w:rsidRPr="003D47CA">
              <w:rPr>
                <w:rFonts w:ascii="Arial Narrow" w:hAnsi="Arial Narrow"/>
                <w:b/>
                <w:sz w:val="20"/>
                <w:szCs w:val="20"/>
              </w:rPr>
              <w:t>Rpts</w:t>
            </w:r>
          </w:p>
        </w:tc>
        <w:tc>
          <w:tcPr>
            <w:tcW w:w="1001" w:type="pct"/>
          </w:tcPr>
          <w:p w14:paraId="33FB02E9" w14:textId="77777777" w:rsidR="00C540D8" w:rsidRPr="003D47CA" w:rsidRDefault="00C540D8" w:rsidP="007C3C42">
            <w:pPr>
              <w:keepNext/>
              <w:rPr>
                <w:rFonts w:ascii="Arial Narrow" w:hAnsi="Arial Narrow"/>
                <w:b/>
                <w:sz w:val="20"/>
                <w:szCs w:val="20"/>
                <w:lang w:val="fr-FR"/>
              </w:rPr>
            </w:pPr>
            <w:r w:rsidRPr="003D47CA">
              <w:rPr>
                <w:rFonts w:ascii="Arial Narrow" w:hAnsi="Arial Narrow"/>
                <w:b/>
                <w:sz w:val="20"/>
                <w:szCs w:val="20"/>
              </w:rPr>
              <w:t>Available brands</w:t>
            </w:r>
          </w:p>
        </w:tc>
      </w:tr>
      <w:tr w:rsidR="00C540D8" w:rsidRPr="003D47CA" w14:paraId="09BC1CAE" w14:textId="77777777" w:rsidTr="007C3C42">
        <w:trPr>
          <w:cantSplit/>
          <w:trHeight w:val="224"/>
        </w:trPr>
        <w:tc>
          <w:tcPr>
            <w:tcW w:w="5000" w:type="pct"/>
            <w:gridSpan w:val="7"/>
          </w:tcPr>
          <w:p w14:paraId="2D96B575" w14:textId="77777777" w:rsidR="00C540D8" w:rsidRPr="003D47CA" w:rsidRDefault="00C540D8" w:rsidP="007C3C42">
            <w:pPr>
              <w:keepNext/>
              <w:ind w:left="-57"/>
              <w:rPr>
                <w:rFonts w:ascii="Arial Narrow" w:hAnsi="Arial Narrow"/>
                <w:sz w:val="20"/>
                <w:szCs w:val="20"/>
              </w:rPr>
            </w:pPr>
            <w:r w:rsidRPr="003D47CA">
              <w:rPr>
                <w:rFonts w:ascii="Arial Narrow" w:hAnsi="Arial Narrow"/>
                <w:sz w:val="20"/>
                <w:szCs w:val="20"/>
              </w:rPr>
              <w:t>CALCIPOTRIOL + BETAMETHASONE</w:t>
            </w:r>
          </w:p>
        </w:tc>
      </w:tr>
      <w:tr w:rsidR="00C540D8" w:rsidRPr="003D47CA" w14:paraId="60D41D77" w14:textId="77777777" w:rsidTr="007C3C42">
        <w:trPr>
          <w:cantSplit/>
          <w:trHeight w:val="347"/>
        </w:trPr>
        <w:tc>
          <w:tcPr>
            <w:tcW w:w="2163" w:type="pct"/>
            <w:gridSpan w:val="2"/>
          </w:tcPr>
          <w:p w14:paraId="10A4E427" w14:textId="77777777" w:rsidR="00C540D8" w:rsidRPr="003D47CA" w:rsidRDefault="00C540D8" w:rsidP="007C3C42">
            <w:pPr>
              <w:keepNext/>
              <w:rPr>
                <w:rFonts w:ascii="Arial Narrow" w:hAnsi="Arial Narrow"/>
                <w:sz w:val="20"/>
                <w:szCs w:val="20"/>
              </w:rPr>
            </w:pPr>
            <w:r w:rsidRPr="003D47CA">
              <w:rPr>
                <w:rFonts w:ascii="Arial Narrow" w:hAnsi="Arial Narrow"/>
                <w:sz w:val="20"/>
                <w:szCs w:val="20"/>
              </w:rPr>
              <w:t>calcipotriol 0.005% + betamethasone (as dipropionate) 0.05% cream, 60 g</w:t>
            </w:r>
          </w:p>
        </w:tc>
        <w:tc>
          <w:tcPr>
            <w:tcW w:w="604" w:type="pct"/>
          </w:tcPr>
          <w:p w14:paraId="20D174B3" w14:textId="77777777" w:rsidR="00C540D8" w:rsidRPr="003D47CA" w:rsidRDefault="00C540D8" w:rsidP="007C3C42">
            <w:pPr>
              <w:keepNext/>
              <w:jc w:val="center"/>
              <w:rPr>
                <w:rFonts w:ascii="Arial Narrow" w:hAnsi="Arial Narrow"/>
                <w:sz w:val="20"/>
                <w:szCs w:val="20"/>
              </w:rPr>
            </w:pPr>
            <w:r w:rsidRPr="003D47CA">
              <w:rPr>
                <w:rFonts w:ascii="Arial Narrow" w:hAnsi="Arial Narrow"/>
                <w:sz w:val="20"/>
                <w:szCs w:val="20"/>
              </w:rPr>
              <w:t>NEW (GE)</w:t>
            </w:r>
          </w:p>
        </w:tc>
        <w:tc>
          <w:tcPr>
            <w:tcW w:w="462" w:type="pct"/>
          </w:tcPr>
          <w:p w14:paraId="1E76CA46" w14:textId="77777777" w:rsidR="00C540D8" w:rsidRPr="003D47CA" w:rsidRDefault="00C540D8" w:rsidP="007C3C42">
            <w:pPr>
              <w:keepNext/>
              <w:jc w:val="center"/>
              <w:rPr>
                <w:rFonts w:ascii="Arial Narrow" w:hAnsi="Arial Narrow"/>
                <w:sz w:val="20"/>
                <w:szCs w:val="20"/>
              </w:rPr>
            </w:pPr>
            <w:r w:rsidRPr="003D47CA">
              <w:rPr>
                <w:rFonts w:ascii="Arial Narrow" w:hAnsi="Arial Narrow"/>
                <w:sz w:val="20"/>
                <w:szCs w:val="20"/>
              </w:rPr>
              <w:t>1</w:t>
            </w:r>
          </w:p>
        </w:tc>
        <w:tc>
          <w:tcPr>
            <w:tcW w:w="385" w:type="pct"/>
          </w:tcPr>
          <w:p w14:paraId="4E3AB1B3" w14:textId="77777777" w:rsidR="00C540D8" w:rsidRPr="003D47CA" w:rsidRDefault="00C540D8" w:rsidP="007C3C42">
            <w:pPr>
              <w:keepNext/>
              <w:jc w:val="center"/>
              <w:rPr>
                <w:rFonts w:ascii="Arial Narrow" w:hAnsi="Arial Narrow"/>
                <w:sz w:val="20"/>
                <w:szCs w:val="20"/>
              </w:rPr>
            </w:pPr>
            <w:r w:rsidRPr="003D47CA">
              <w:rPr>
                <w:rFonts w:ascii="Arial Narrow" w:hAnsi="Arial Narrow"/>
                <w:sz w:val="20"/>
                <w:szCs w:val="20"/>
              </w:rPr>
              <w:t>1</w:t>
            </w:r>
          </w:p>
        </w:tc>
        <w:tc>
          <w:tcPr>
            <w:tcW w:w="385" w:type="pct"/>
          </w:tcPr>
          <w:p w14:paraId="3CC00ACD" w14:textId="77777777" w:rsidR="00C540D8" w:rsidRPr="003D47CA" w:rsidRDefault="00C540D8" w:rsidP="007C3C42">
            <w:pPr>
              <w:keepNext/>
              <w:jc w:val="center"/>
              <w:rPr>
                <w:rFonts w:ascii="Arial Narrow" w:hAnsi="Arial Narrow"/>
                <w:sz w:val="20"/>
                <w:szCs w:val="20"/>
              </w:rPr>
            </w:pPr>
            <w:r w:rsidRPr="003D47CA">
              <w:rPr>
                <w:rFonts w:ascii="Arial Narrow" w:hAnsi="Arial Narrow"/>
                <w:sz w:val="20"/>
                <w:szCs w:val="20"/>
              </w:rPr>
              <w:t>1</w:t>
            </w:r>
          </w:p>
        </w:tc>
        <w:tc>
          <w:tcPr>
            <w:tcW w:w="1001" w:type="pct"/>
            <w:vAlign w:val="center"/>
          </w:tcPr>
          <w:p w14:paraId="2E6B2E18" w14:textId="77777777" w:rsidR="00C540D8" w:rsidRPr="003D47CA" w:rsidRDefault="00C540D8" w:rsidP="007C3C42">
            <w:pPr>
              <w:keepNext/>
              <w:rPr>
                <w:rFonts w:ascii="Arial Narrow" w:hAnsi="Arial Narrow"/>
                <w:sz w:val="20"/>
                <w:szCs w:val="20"/>
              </w:rPr>
            </w:pPr>
            <w:proofErr w:type="spellStart"/>
            <w:r w:rsidRPr="003D47CA">
              <w:rPr>
                <w:rFonts w:ascii="Arial Narrow" w:hAnsi="Arial Narrow"/>
                <w:sz w:val="20"/>
                <w:szCs w:val="20"/>
              </w:rPr>
              <w:t>Wynzora</w:t>
            </w:r>
            <w:proofErr w:type="spellEnd"/>
          </w:p>
        </w:tc>
      </w:tr>
      <w:tr w:rsidR="00C540D8" w:rsidRPr="003D47CA" w14:paraId="4B55C055" w14:textId="77777777" w:rsidTr="007C3C42">
        <w:trPr>
          <w:cantSplit/>
          <w:trHeight w:val="347"/>
        </w:trPr>
        <w:tc>
          <w:tcPr>
            <w:tcW w:w="5000" w:type="pct"/>
            <w:gridSpan w:val="7"/>
          </w:tcPr>
          <w:p w14:paraId="447B5AC3" w14:textId="77777777" w:rsidR="00C540D8" w:rsidRPr="003D47CA" w:rsidRDefault="00C540D8" w:rsidP="007C3C42">
            <w:pPr>
              <w:keepNext/>
              <w:rPr>
                <w:rFonts w:ascii="Arial Narrow" w:hAnsi="Arial Narrow"/>
                <w:sz w:val="20"/>
                <w:szCs w:val="20"/>
              </w:rPr>
            </w:pPr>
          </w:p>
        </w:tc>
      </w:tr>
      <w:tr w:rsidR="00C540D8" w:rsidRPr="003D47CA" w14:paraId="763E71D4" w14:textId="77777777" w:rsidTr="007C3C42">
        <w:trPr>
          <w:cantSplit/>
          <w:trHeight w:val="213"/>
        </w:trPr>
        <w:tc>
          <w:tcPr>
            <w:tcW w:w="5000" w:type="pct"/>
            <w:gridSpan w:val="7"/>
            <w:tcBorders>
              <w:top w:val="single" w:sz="4" w:space="0" w:color="auto"/>
              <w:left w:val="single" w:sz="4" w:space="0" w:color="auto"/>
              <w:bottom w:val="single" w:sz="4" w:space="0" w:color="auto"/>
              <w:right w:val="single" w:sz="4" w:space="0" w:color="auto"/>
            </w:tcBorders>
          </w:tcPr>
          <w:p w14:paraId="33C06062" w14:textId="77777777" w:rsidR="00C540D8" w:rsidRPr="003D47CA" w:rsidRDefault="00C540D8" w:rsidP="007C3C42">
            <w:pPr>
              <w:keepNext/>
              <w:rPr>
                <w:rFonts w:ascii="Arial Narrow" w:hAnsi="Arial Narrow"/>
                <w:b/>
                <w:bCs/>
                <w:sz w:val="20"/>
                <w:szCs w:val="20"/>
              </w:rPr>
            </w:pPr>
            <w:r w:rsidRPr="003D47CA">
              <w:rPr>
                <w:rFonts w:ascii="Arial Narrow" w:hAnsi="Arial Narrow"/>
                <w:b/>
                <w:bCs/>
                <w:sz w:val="20"/>
                <w:szCs w:val="20"/>
              </w:rPr>
              <w:t>Restriction Summary [NEW] / Treatment of Concept: [NEW]</w:t>
            </w:r>
          </w:p>
        </w:tc>
      </w:tr>
      <w:tr w:rsidR="00C540D8" w:rsidRPr="003D47CA" w14:paraId="073FE810" w14:textId="77777777" w:rsidTr="007C3C42">
        <w:tblPrEx>
          <w:tblCellMar>
            <w:top w:w="15" w:type="dxa"/>
            <w:left w:w="15" w:type="dxa"/>
            <w:bottom w:w="15" w:type="dxa"/>
            <w:right w:w="15" w:type="dxa"/>
          </w:tblCellMar>
        </w:tblPrEx>
        <w:trPr>
          <w:trHeight w:val="260"/>
        </w:trPr>
        <w:tc>
          <w:tcPr>
            <w:tcW w:w="542" w:type="pct"/>
            <w:vMerge w:val="restart"/>
            <w:tcBorders>
              <w:top w:val="single" w:sz="4" w:space="0" w:color="auto"/>
              <w:left w:val="single" w:sz="4" w:space="0" w:color="auto"/>
              <w:right w:val="single" w:sz="4" w:space="0" w:color="auto"/>
            </w:tcBorders>
          </w:tcPr>
          <w:p w14:paraId="54A1D73D" w14:textId="77777777" w:rsidR="00C540D8" w:rsidRPr="003D47CA" w:rsidRDefault="00C540D8" w:rsidP="007C3C42">
            <w:pPr>
              <w:jc w:val="center"/>
              <w:rPr>
                <w:rFonts w:ascii="Arial Narrow" w:hAnsi="Arial Narrow"/>
                <w:b/>
                <w:sz w:val="20"/>
                <w:szCs w:val="20"/>
              </w:rPr>
            </w:pPr>
            <w:r w:rsidRPr="003D47CA">
              <w:rPr>
                <w:rFonts w:ascii="Arial Narrow" w:hAnsi="Arial Narrow"/>
                <w:b/>
                <w:sz w:val="20"/>
                <w:szCs w:val="20"/>
              </w:rPr>
              <w:t>Concept ID</w:t>
            </w:r>
          </w:p>
          <w:p w14:paraId="5FCB1780" w14:textId="77777777" w:rsidR="00C540D8" w:rsidRPr="003D47CA" w:rsidRDefault="00C540D8" w:rsidP="007C3C42">
            <w:pPr>
              <w:jc w:val="center"/>
              <w:rPr>
                <w:rFonts w:ascii="Arial Narrow" w:hAnsi="Arial Narrow"/>
                <w:sz w:val="20"/>
                <w:szCs w:val="20"/>
              </w:rPr>
            </w:pPr>
            <w:r w:rsidRPr="003D47CA">
              <w:rPr>
                <w:rFonts w:ascii="Arial Narrow" w:hAnsi="Arial Narrow"/>
                <w:sz w:val="20"/>
                <w:szCs w:val="20"/>
              </w:rPr>
              <w:lastRenderedPageBreak/>
              <w:t>(for internal Dept. use)</w:t>
            </w:r>
          </w:p>
        </w:tc>
        <w:tc>
          <w:tcPr>
            <w:tcW w:w="4458" w:type="pct"/>
            <w:gridSpan w:val="6"/>
            <w:tcBorders>
              <w:top w:val="single" w:sz="4" w:space="0" w:color="auto"/>
              <w:left w:val="single" w:sz="4" w:space="0" w:color="auto"/>
              <w:bottom w:val="single" w:sz="4" w:space="0" w:color="auto"/>
              <w:right w:val="single" w:sz="4" w:space="0" w:color="auto"/>
            </w:tcBorders>
          </w:tcPr>
          <w:p w14:paraId="0D516943" w14:textId="77777777" w:rsidR="00C540D8" w:rsidRPr="003D47CA" w:rsidRDefault="00C540D8" w:rsidP="007C3C42">
            <w:pPr>
              <w:jc w:val="left"/>
              <w:rPr>
                <w:rFonts w:ascii="Arial Narrow" w:hAnsi="Arial Narrow"/>
                <w:sz w:val="20"/>
                <w:szCs w:val="20"/>
              </w:rPr>
            </w:pPr>
            <w:r w:rsidRPr="003D47CA">
              <w:rPr>
                <w:rFonts w:ascii="Arial Narrow" w:hAnsi="Arial Narrow"/>
                <w:b/>
                <w:sz w:val="20"/>
                <w:szCs w:val="20"/>
              </w:rPr>
              <w:lastRenderedPageBreak/>
              <w:t xml:space="preserve">Category / Program: </w:t>
            </w:r>
            <w:r w:rsidRPr="003D47CA">
              <w:rPr>
                <w:rFonts w:ascii="Arial Narrow" w:eastAsia="Calibri" w:hAnsi="Arial Narrow"/>
                <w:sz w:val="20"/>
                <w:szCs w:val="20"/>
              </w:rPr>
              <w:fldChar w:fldCharType="begin" w:fldLock="1">
                <w:ffData>
                  <w:name w:val="Check1"/>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GENERAL - General Schedule (Code GE) </w:t>
            </w:r>
          </w:p>
        </w:tc>
      </w:tr>
      <w:tr w:rsidR="00C540D8" w:rsidRPr="003D47CA" w14:paraId="08C0DFE1" w14:textId="77777777" w:rsidTr="007C3C42">
        <w:tblPrEx>
          <w:tblCellMar>
            <w:top w:w="15" w:type="dxa"/>
            <w:left w:w="15" w:type="dxa"/>
            <w:bottom w:w="15" w:type="dxa"/>
            <w:right w:w="15" w:type="dxa"/>
          </w:tblCellMar>
          <w:tblLook w:val="04A0" w:firstRow="1" w:lastRow="0" w:firstColumn="1" w:lastColumn="0" w:noHBand="0" w:noVBand="1"/>
        </w:tblPrEx>
        <w:trPr>
          <w:trHeight w:val="240"/>
        </w:trPr>
        <w:tc>
          <w:tcPr>
            <w:tcW w:w="542" w:type="pct"/>
            <w:vMerge/>
            <w:tcBorders>
              <w:left w:val="single" w:sz="4" w:space="0" w:color="auto"/>
              <w:right w:val="single" w:sz="4" w:space="0" w:color="auto"/>
            </w:tcBorders>
          </w:tcPr>
          <w:p w14:paraId="39B6748C" w14:textId="77777777" w:rsidR="00C540D8" w:rsidRPr="003D47CA" w:rsidRDefault="00C540D8" w:rsidP="007C3C42">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27A1E452" w14:textId="77777777" w:rsidR="00C540D8" w:rsidRPr="003D47CA" w:rsidRDefault="00C540D8" w:rsidP="007C3C42">
            <w:pPr>
              <w:rPr>
                <w:rFonts w:ascii="Arial Narrow" w:hAnsi="Arial Narrow"/>
                <w:b/>
                <w:sz w:val="20"/>
                <w:szCs w:val="20"/>
              </w:rPr>
            </w:pPr>
            <w:r w:rsidRPr="003D47CA">
              <w:rPr>
                <w:rFonts w:ascii="Arial Narrow" w:hAnsi="Arial Narrow"/>
                <w:b/>
                <w:sz w:val="20"/>
                <w:szCs w:val="20"/>
              </w:rPr>
              <w:t>Prescriber type:</w:t>
            </w:r>
            <w:r w:rsidRPr="003D47CA">
              <w:rPr>
                <w:rFonts w:ascii="Arial Narrow" w:hAnsi="Arial Narrow"/>
                <w:sz w:val="20"/>
                <w:szCs w:val="20"/>
              </w:rPr>
              <w:t xml:space="preserve">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 xml:space="preserve">Medical Practitioners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Nurse Practitioners</w:t>
            </w:r>
          </w:p>
        </w:tc>
      </w:tr>
      <w:tr w:rsidR="00C540D8" w:rsidRPr="003D47CA" w14:paraId="539B8978" w14:textId="77777777" w:rsidTr="007C3C42">
        <w:tblPrEx>
          <w:tblCellMar>
            <w:top w:w="15" w:type="dxa"/>
            <w:left w:w="15" w:type="dxa"/>
            <w:bottom w:w="15" w:type="dxa"/>
            <w:right w:w="15" w:type="dxa"/>
          </w:tblCellMar>
        </w:tblPrEx>
        <w:trPr>
          <w:trHeight w:val="254"/>
        </w:trPr>
        <w:tc>
          <w:tcPr>
            <w:tcW w:w="542" w:type="pct"/>
            <w:vMerge/>
            <w:tcBorders>
              <w:left w:val="single" w:sz="4" w:space="0" w:color="auto"/>
              <w:right w:val="single" w:sz="4" w:space="0" w:color="auto"/>
            </w:tcBorders>
          </w:tcPr>
          <w:p w14:paraId="6A597627" w14:textId="77777777" w:rsidR="00C540D8" w:rsidRPr="003D47CA" w:rsidRDefault="00C540D8" w:rsidP="007C3C42">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0516B7F3" w14:textId="77777777" w:rsidR="00C540D8" w:rsidRPr="003D47CA" w:rsidRDefault="00C540D8" w:rsidP="007C3C42">
            <w:pPr>
              <w:rPr>
                <w:rFonts w:ascii="Arial Narrow" w:eastAsia="Calibri" w:hAnsi="Arial Narrow"/>
                <w:color w:val="FF00FF"/>
                <w:sz w:val="20"/>
                <w:szCs w:val="20"/>
              </w:rPr>
            </w:pPr>
            <w:r w:rsidRPr="003D47CA">
              <w:rPr>
                <w:rFonts w:ascii="Arial Narrow" w:hAnsi="Arial Narrow"/>
                <w:b/>
                <w:sz w:val="20"/>
                <w:szCs w:val="20"/>
              </w:rPr>
              <w:t xml:space="preserve">Restriction type: </w:t>
            </w:r>
            <w:r w:rsidRPr="003D47CA">
              <w:rPr>
                <w:rFonts w:ascii="Arial Narrow" w:eastAsia="Calibri" w:hAnsi="Arial Narrow"/>
                <w:sz w:val="20"/>
                <w:szCs w:val="20"/>
              </w:rPr>
              <w:fldChar w:fldCharType="begin" w:fldLock="1">
                <w:ffData>
                  <w:name w:val=""/>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Restricted benefit</w:t>
            </w:r>
          </w:p>
        </w:tc>
      </w:tr>
      <w:tr w:rsidR="00C540D8" w:rsidRPr="003D47CA" w14:paraId="59D11601" w14:textId="77777777" w:rsidTr="007C3C42">
        <w:tblPrEx>
          <w:tblCellMar>
            <w:top w:w="15" w:type="dxa"/>
            <w:left w:w="15" w:type="dxa"/>
            <w:bottom w:w="15" w:type="dxa"/>
            <w:right w:w="15" w:type="dxa"/>
          </w:tblCellMar>
          <w:tblLook w:val="04A0" w:firstRow="1" w:lastRow="0" w:firstColumn="1" w:lastColumn="0" w:noHBand="0" w:noVBand="1"/>
        </w:tblPrEx>
        <w:trPr>
          <w:trHeight w:val="271"/>
        </w:trPr>
        <w:tc>
          <w:tcPr>
            <w:tcW w:w="542" w:type="pct"/>
            <w:tcBorders>
              <w:left w:val="single" w:sz="4" w:space="0" w:color="auto"/>
              <w:bottom w:val="single" w:sz="4" w:space="0" w:color="auto"/>
              <w:right w:val="single" w:sz="4" w:space="0" w:color="auto"/>
            </w:tcBorders>
            <w:vAlign w:val="center"/>
          </w:tcPr>
          <w:p w14:paraId="10F5902C" w14:textId="4C71050F" w:rsidR="00C540D8" w:rsidRPr="003D47CA" w:rsidRDefault="00C540D8" w:rsidP="007C3C42">
            <w:pPr>
              <w:jc w:val="cente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37A897B7" w14:textId="77777777" w:rsidR="00C540D8" w:rsidRPr="003D47CA" w:rsidRDefault="00C540D8" w:rsidP="007C3C42">
            <w:pPr>
              <w:pStyle w:val="NormalWeb"/>
              <w:textAlignment w:val="baseline"/>
              <w:rPr>
                <w:rFonts w:ascii="Arial Narrow" w:hAnsi="Arial Narrow" w:cs="Arial"/>
                <w:b/>
                <w:sz w:val="20"/>
                <w:szCs w:val="20"/>
              </w:rPr>
            </w:pPr>
            <w:r w:rsidRPr="003D47CA">
              <w:rPr>
                <w:rStyle w:val="Strong"/>
                <w:rFonts w:ascii="Arial Narrow" w:hAnsi="Arial Narrow" w:cs="Open Sans"/>
                <w:color w:val="333333"/>
                <w:sz w:val="20"/>
                <w:szCs w:val="20"/>
                <w:bdr w:val="none" w:sz="0" w:space="0" w:color="auto" w:frame="1"/>
              </w:rPr>
              <w:t xml:space="preserve">Indication: </w:t>
            </w:r>
            <w:r w:rsidRPr="003D47CA">
              <w:rPr>
                <w:rFonts w:ascii="Arial Narrow" w:hAnsi="Arial Narrow"/>
                <w:sz w:val="20"/>
                <w:szCs w:val="20"/>
              </w:rPr>
              <w:t>Chronic stable plaque type psoriasis vulgaris</w:t>
            </w:r>
          </w:p>
        </w:tc>
      </w:tr>
      <w:tr w:rsidR="00C540D8" w:rsidRPr="003D47CA" w14:paraId="55DDA395"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45460BFD" w14:textId="26DBEF63" w:rsidR="00C540D8" w:rsidRPr="003D47CA" w:rsidRDefault="00C540D8" w:rsidP="007C3C42">
            <w:pPr>
              <w:jc w:val="center"/>
              <w:rPr>
                <w:rFonts w:ascii="Arial Narrow" w:hAnsi="Arial Narrow" w:cs="Open Sans"/>
                <w:color w:val="333333"/>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2B46CAC5" w14:textId="77777777" w:rsidR="00C540D8" w:rsidRPr="003D47CA" w:rsidRDefault="00C540D8"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Style w:val="Strong"/>
                <w:rFonts w:ascii="Arial Narrow" w:hAnsi="Arial Narrow" w:cs="Open Sans"/>
                <w:color w:val="333333"/>
                <w:sz w:val="20"/>
                <w:szCs w:val="20"/>
                <w:bdr w:val="none" w:sz="0" w:space="0" w:color="auto" w:frame="1"/>
              </w:rPr>
              <w:t>Clinical criteria:</w:t>
            </w:r>
          </w:p>
        </w:tc>
      </w:tr>
      <w:tr w:rsidR="00C540D8" w:rsidRPr="003D47CA" w14:paraId="6AAE91EE"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32D977ED" w14:textId="5E7B61C2" w:rsidR="00C540D8" w:rsidRPr="003D47CA" w:rsidRDefault="00C540D8" w:rsidP="007C3C42">
            <w:pPr>
              <w:jc w:val="center"/>
              <w:rPr>
                <w:rFonts w:ascii="Arial Narrow" w:hAnsi="Arial Narrow" w:cs="Open Sans"/>
                <w:color w:val="333333"/>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5BDA8F0B" w14:textId="77777777" w:rsidR="00C540D8" w:rsidRPr="003D47CA" w:rsidRDefault="00C540D8"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Fonts w:ascii="Arial Narrow" w:hAnsi="Arial Narrow" w:cs="Open Sans"/>
                <w:color w:val="333333"/>
                <w:sz w:val="20"/>
                <w:szCs w:val="20"/>
              </w:rPr>
              <w:t>The condition must be inadequately controlled by potent topical corticosteroid monotherapy</w:t>
            </w:r>
            <w:r>
              <w:rPr>
                <w:rFonts w:ascii="Arial Narrow" w:hAnsi="Arial Narrow" w:cs="Open Sans"/>
                <w:color w:val="333333"/>
                <w:sz w:val="20"/>
                <w:szCs w:val="20"/>
              </w:rPr>
              <w:t>.</w:t>
            </w:r>
          </w:p>
        </w:tc>
      </w:tr>
    </w:tbl>
    <w:p w14:paraId="24CB663B" w14:textId="77777777" w:rsidR="00C540D8" w:rsidRDefault="00C540D8" w:rsidP="00C540D8">
      <w:pPr>
        <w:widowControl w:val="0"/>
        <w:spacing w:after="120"/>
        <w:contextualSpacing/>
        <w:rPr>
          <w:rFonts w:asciiTheme="minorHAnsi" w:hAnsiTheme="minorHAnsi"/>
          <w:b/>
          <w:bCs/>
          <w:snapToGrid w:val="0"/>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971"/>
        <w:gridCol w:w="1107"/>
        <w:gridCol w:w="847"/>
        <w:gridCol w:w="706"/>
        <w:gridCol w:w="706"/>
        <w:gridCol w:w="1835"/>
      </w:tblGrid>
      <w:tr w:rsidR="00C4152B" w:rsidRPr="003D47CA" w14:paraId="13F420B8" w14:textId="77777777" w:rsidTr="007C3C42">
        <w:trPr>
          <w:cantSplit/>
          <w:trHeight w:val="471"/>
        </w:trPr>
        <w:tc>
          <w:tcPr>
            <w:tcW w:w="2163" w:type="pct"/>
            <w:gridSpan w:val="2"/>
          </w:tcPr>
          <w:p w14:paraId="233A0F49" w14:textId="77777777" w:rsidR="00C4152B" w:rsidRPr="003D47CA" w:rsidRDefault="00C4152B" w:rsidP="007C3C42">
            <w:pPr>
              <w:keepNext/>
              <w:ind w:left="-57"/>
              <w:rPr>
                <w:rFonts w:ascii="Arial Narrow" w:hAnsi="Arial Narrow"/>
                <w:b/>
                <w:bCs/>
                <w:sz w:val="20"/>
                <w:szCs w:val="20"/>
              </w:rPr>
            </w:pPr>
            <w:r w:rsidRPr="003D47CA">
              <w:rPr>
                <w:rFonts w:ascii="Arial Narrow" w:hAnsi="Arial Narrow"/>
                <w:b/>
                <w:bCs/>
                <w:sz w:val="20"/>
                <w:szCs w:val="20"/>
              </w:rPr>
              <w:t>MEDICINAL PRODUCT</w:t>
            </w:r>
          </w:p>
          <w:p w14:paraId="05692E01" w14:textId="77777777" w:rsidR="00C4152B" w:rsidRPr="003D47CA" w:rsidRDefault="00C4152B" w:rsidP="007C3C42">
            <w:pPr>
              <w:keepNext/>
              <w:ind w:left="-57"/>
              <w:rPr>
                <w:rFonts w:ascii="Arial Narrow" w:hAnsi="Arial Narrow"/>
                <w:b/>
                <w:sz w:val="20"/>
                <w:szCs w:val="20"/>
              </w:rPr>
            </w:pPr>
            <w:r w:rsidRPr="003D47CA">
              <w:rPr>
                <w:rFonts w:ascii="Arial Narrow" w:hAnsi="Arial Narrow"/>
                <w:b/>
                <w:bCs/>
                <w:sz w:val="20"/>
                <w:szCs w:val="20"/>
              </w:rPr>
              <w:t>medicinal product pack</w:t>
            </w:r>
          </w:p>
        </w:tc>
        <w:tc>
          <w:tcPr>
            <w:tcW w:w="604" w:type="pct"/>
          </w:tcPr>
          <w:p w14:paraId="2F167E9B" w14:textId="77777777" w:rsidR="00C4152B" w:rsidRPr="003D47CA" w:rsidRDefault="00C4152B" w:rsidP="007C3C42">
            <w:pPr>
              <w:keepNext/>
              <w:ind w:left="-108"/>
              <w:jc w:val="center"/>
              <w:rPr>
                <w:rFonts w:ascii="Arial Narrow" w:hAnsi="Arial Narrow"/>
                <w:b/>
                <w:sz w:val="20"/>
                <w:szCs w:val="20"/>
              </w:rPr>
            </w:pPr>
            <w:r w:rsidRPr="003D47CA">
              <w:rPr>
                <w:rFonts w:ascii="Arial Narrow" w:hAnsi="Arial Narrow"/>
                <w:b/>
                <w:sz w:val="20"/>
                <w:szCs w:val="20"/>
              </w:rPr>
              <w:t>PBS item code</w:t>
            </w:r>
          </w:p>
        </w:tc>
        <w:tc>
          <w:tcPr>
            <w:tcW w:w="462" w:type="pct"/>
          </w:tcPr>
          <w:p w14:paraId="0D03DA87" w14:textId="77777777" w:rsidR="00C4152B" w:rsidRPr="003D47CA" w:rsidRDefault="00C4152B" w:rsidP="007C3C42">
            <w:pPr>
              <w:keepNext/>
              <w:ind w:left="-108"/>
              <w:jc w:val="center"/>
              <w:rPr>
                <w:rFonts w:ascii="Arial Narrow" w:hAnsi="Arial Narrow"/>
                <w:b/>
                <w:sz w:val="20"/>
                <w:szCs w:val="20"/>
              </w:rPr>
            </w:pPr>
            <w:r w:rsidRPr="003D47CA">
              <w:rPr>
                <w:rFonts w:ascii="Arial Narrow" w:hAnsi="Arial Narrow"/>
                <w:b/>
                <w:sz w:val="20"/>
                <w:szCs w:val="20"/>
              </w:rPr>
              <w:t>Max. qty packs</w:t>
            </w:r>
          </w:p>
        </w:tc>
        <w:tc>
          <w:tcPr>
            <w:tcW w:w="385" w:type="pct"/>
          </w:tcPr>
          <w:p w14:paraId="67E314D4" w14:textId="77777777" w:rsidR="00C4152B" w:rsidRPr="003D47CA" w:rsidRDefault="00C4152B" w:rsidP="007C3C42">
            <w:pPr>
              <w:keepNext/>
              <w:ind w:left="-108"/>
              <w:jc w:val="center"/>
              <w:rPr>
                <w:rFonts w:ascii="Arial Narrow" w:hAnsi="Arial Narrow"/>
                <w:b/>
                <w:sz w:val="20"/>
                <w:szCs w:val="20"/>
              </w:rPr>
            </w:pPr>
            <w:r w:rsidRPr="003D47CA">
              <w:rPr>
                <w:rFonts w:ascii="Arial Narrow" w:hAnsi="Arial Narrow"/>
                <w:b/>
                <w:sz w:val="20"/>
                <w:szCs w:val="20"/>
              </w:rPr>
              <w:t>Max. qty units</w:t>
            </w:r>
          </w:p>
        </w:tc>
        <w:tc>
          <w:tcPr>
            <w:tcW w:w="385" w:type="pct"/>
          </w:tcPr>
          <w:p w14:paraId="0DA2F42B" w14:textId="77777777" w:rsidR="00C4152B" w:rsidRPr="003D47CA" w:rsidRDefault="00C4152B" w:rsidP="007C3C42">
            <w:pPr>
              <w:keepNext/>
              <w:ind w:left="-108"/>
              <w:jc w:val="center"/>
              <w:rPr>
                <w:rFonts w:ascii="Arial Narrow" w:hAnsi="Arial Narrow"/>
                <w:b/>
                <w:sz w:val="20"/>
                <w:szCs w:val="20"/>
              </w:rPr>
            </w:pPr>
            <w:r w:rsidRPr="003D47CA">
              <w:rPr>
                <w:rFonts w:ascii="Arial Narrow" w:hAnsi="Arial Narrow"/>
                <w:b/>
                <w:sz w:val="20"/>
                <w:szCs w:val="20"/>
              </w:rPr>
              <w:t>№.of</w:t>
            </w:r>
          </w:p>
          <w:p w14:paraId="3F7DBF5B" w14:textId="77777777" w:rsidR="00C4152B" w:rsidRPr="003D47CA" w:rsidRDefault="00C4152B" w:rsidP="007C3C42">
            <w:pPr>
              <w:keepNext/>
              <w:ind w:left="-108"/>
              <w:jc w:val="center"/>
              <w:rPr>
                <w:rFonts w:ascii="Arial Narrow" w:hAnsi="Arial Narrow"/>
                <w:b/>
                <w:sz w:val="20"/>
                <w:szCs w:val="20"/>
              </w:rPr>
            </w:pPr>
            <w:r w:rsidRPr="003D47CA">
              <w:rPr>
                <w:rFonts w:ascii="Arial Narrow" w:hAnsi="Arial Narrow"/>
                <w:b/>
                <w:sz w:val="20"/>
                <w:szCs w:val="20"/>
              </w:rPr>
              <w:t>Rpts</w:t>
            </w:r>
          </w:p>
        </w:tc>
        <w:tc>
          <w:tcPr>
            <w:tcW w:w="1001" w:type="pct"/>
          </w:tcPr>
          <w:p w14:paraId="5622E691" w14:textId="77777777" w:rsidR="00C4152B" w:rsidRPr="003D47CA" w:rsidRDefault="00C4152B" w:rsidP="007C3C42">
            <w:pPr>
              <w:keepNext/>
              <w:rPr>
                <w:rFonts w:ascii="Arial Narrow" w:hAnsi="Arial Narrow"/>
                <w:b/>
                <w:sz w:val="20"/>
                <w:szCs w:val="20"/>
                <w:lang w:val="fr-FR"/>
              </w:rPr>
            </w:pPr>
            <w:r w:rsidRPr="003D47CA">
              <w:rPr>
                <w:rFonts w:ascii="Arial Narrow" w:hAnsi="Arial Narrow"/>
                <w:b/>
                <w:sz w:val="20"/>
                <w:szCs w:val="20"/>
              </w:rPr>
              <w:t>Available brands</w:t>
            </w:r>
          </w:p>
        </w:tc>
      </w:tr>
      <w:tr w:rsidR="00C4152B" w:rsidRPr="003D47CA" w14:paraId="3BE12D24" w14:textId="77777777" w:rsidTr="007C3C42">
        <w:trPr>
          <w:cantSplit/>
          <w:trHeight w:val="224"/>
        </w:trPr>
        <w:tc>
          <w:tcPr>
            <w:tcW w:w="5000" w:type="pct"/>
            <w:gridSpan w:val="7"/>
          </w:tcPr>
          <w:p w14:paraId="1797F6BB" w14:textId="77777777" w:rsidR="00C4152B" w:rsidRPr="003D47CA" w:rsidRDefault="00C4152B" w:rsidP="007C3C42">
            <w:pPr>
              <w:keepNext/>
              <w:ind w:left="-57"/>
              <w:rPr>
                <w:rFonts w:ascii="Arial Narrow" w:hAnsi="Arial Narrow"/>
                <w:sz w:val="20"/>
                <w:szCs w:val="20"/>
              </w:rPr>
            </w:pPr>
            <w:r w:rsidRPr="003D47CA">
              <w:rPr>
                <w:rFonts w:ascii="Arial Narrow" w:hAnsi="Arial Narrow"/>
                <w:sz w:val="20"/>
                <w:szCs w:val="20"/>
              </w:rPr>
              <w:t>CALCIPOTRIOL + BETAMETHASONE</w:t>
            </w:r>
          </w:p>
        </w:tc>
      </w:tr>
      <w:tr w:rsidR="00C4152B" w:rsidRPr="003D47CA" w14:paraId="4D7B0420" w14:textId="77777777" w:rsidTr="007C3C42">
        <w:trPr>
          <w:cantSplit/>
          <w:trHeight w:val="347"/>
        </w:trPr>
        <w:tc>
          <w:tcPr>
            <w:tcW w:w="2163" w:type="pct"/>
            <w:gridSpan w:val="2"/>
          </w:tcPr>
          <w:p w14:paraId="488D8350" w14:textId="77777777" w:rsidR="00C4152B" w:rsidRPr="003D47CA" w:rsidRDefault="00C4152B" w:rsidP="007C3C42">
            <w:pPr>
              <w:keepNext/>
              <w:rPr>
                <w:rFonts w:ascii="Arial Narrow" w:hAnsi="Arial Narrow"/>
                <w:sz w:val="20"/>
                <w:szCs w:val="20"/>
              </w:rPr>
            </w:pPr>
            <w:r w:rsidRPr="003D47CA">
              <w:rPr>
                <w:rFonts w:ascii="Arial Narrow" w:hAnsi="Arial Narrow"/>
                <w:sz w:val="20"/>
                <w:szCs w:val="20"/>
              </w:rPr>
              <w:t>calcipotriol 0.005% + betamethasone (as dipropionate) 0.05% cream, 60 g</w:t>
            </w:r>
          </w:p>
        </w:tc>
        <w:tc>
          <w:tcPr>
            <w:tcW w:w="604" w:type="pct"/>
          </w:tcPr>
          <w:p w14:paraId="77F3679B" w14:textId="77777777" w:rsidR="00C4152B" w:rsidRPr="003D47CA" w:rsidRDefault="00C4152B" w:rsidP="007C3C42">
            <w:pPr>
              <w:keepNext/>
              <w:jc w:val="center"/>
              <w:rPr>
                <w:rFonts w:ascii="Arial Narrow" w:hAnsi="Arial Narrow"/>
                <w:sz w:val="20"/>
                <w:szCs w:val="20"/>
              </w:rPr>
            </w:pPr>
            <w:r w:rsidRPr="003D47CA">
              <w:rPr>
                <w:rFonts w:ascii="Arial Narrow" w:hAnsi="Arial Narrow"/>
                <w:sz w:val="20"/>
                <w:szCs w:val="20"/>
              </w:rPr>
              <w:t>NEW (GE)</w:t>
            </w:r>
          </w:p>
        </w:tc>
        <w:tc>
          <w:tcPr>
            <w:tcW w:w="462" w:type="pct"/>
          </w:tcPr>
          <w:p w14:paraId="4FDA9374" w14:textId="77777777" w:rsidR="00C4152B" w:rsidRPr="003D47CA" w:rsidRDefault="00C4152B" w:rsidP="007C3C42">
            <w:pPr>
              <w:keepNext/>
              <w:jc w:val="center"/>
              <w:rPr>
                <w:rFonts w:ascii="Arial Narrow" w:hAnsi="Arial Narrow"/>
                <w:sz w:val="20"/>
                <w:szCs w:val="20"/>
              </w:rPr>
            </w:pPr>
            <w:r w:rsidRPr="003D47CA">
              <w:rPr>
                <w:rFonts w:ascii="Arial Narrow" w:hAnsi="Arial Narrow"/>
                <w:sz w:val="20"/>
                <w:szCs w:val="20"/>
              </w:rPr>
              <w:t>2</w:t>
            </w:r>
          </w:p>
        </w:tc>
        <w:tc>
          <w:tcPr>
            <w:tcW w:w="385" w:type="pct"/>
          </w:tcPr>
          <w:p w14:paraId="0F57A395" w14:textId="77777777" w:rsidR="00C4152B" w:rsidRPr="003D47CA" w:rsidRDefault="00C4152B" w:rsidP="007C3C42">
            <w:pPr>
              <w:keepNext/>
              <w:jc w:val="center"/>
              <w:rPr>
                <w:rFonts w:ascii="Arial Narrow" w:hAnsi="Arial Narrow"/>
                <w:sz w:val="20"/>
                <w:szCs w:val="20"/>
              </w:rPr>
            </w:pPr>
            <w:r w:rsidRPr="003D47CA">
              <w:rPr>
                <w:rFonts w:ascii="Arial Narrow" w:hAnsi="Arial Narrow"/>
                <w:sz w:val="20"/>
                <w:szCs w:val="20"/>
              </w:rPr>
              <w:t>2</w:t>
            </w:r>
          </w:p>
        </w:tc>
        <w:tc>
          <w:tcPr>
            <w:tcW w:w="385" w:type="pct"/>
          </w:tcPr>
          <w:p w14:paraId="302B47D2" w14:textId="77777777" w:rsidR="00C4152B" w:rsidRPr="003D47CA" w:rsidRDefault="00C4152B" w:rsidP="007C3C42">
            <w:pPr>
              <w:keepNext/>
              <w:jc w:val="center"/>
              <w:rPr>
                <w:rFonts w:ascii="Arial Narrow" w:hAnsi="Arial Narrow"/>
                <w:sz w:val="20"/>
                <w:szCs w:val="20"/>
              </w:rPr>
            </w:pPr>
            <w:r w:rsidRPr="003D47CA">
              <w:rPr>
                <w:rFonts w:ascii="Arial Narrow" w:hAnsi="Arial Narrow"/>
                <w:sz w:val="20"/>
                <w:szCs w:val="20"/>
              </w:rPr>
              <w:t>1</w:t>
            </w:r>
          </w:p>
        </w:tc>
        <w:tc>
          <w:tcPr>
            <w:tcW w:w="1001" w:type="pct"/>
            <w:vAlign w:val="center"/>
          </w:tcPr>
          <w:p w14:paraId="076F2214" w14:textId="77777777" w:rsidR="00C4152B" w:rsidRPr="003D47CA" w:rsidRDefault="00C4152B" w:rsidP="007C3C42">
            <w:pPr>
              <w:keepNext/>
              <w:rPr>
                <w:rFonts w:ascii="Arial Narrow" w:hAnsi="Arial Narrow"/>
                <w:sz w:val="20"/>
                <w:szCs w:val="20"/>
              </w:rPr>
            </w:pPr>
            <w:proofErr w:type="spellStart"/>
            <w:r w:rsidRPr="003D47CA">
              <w:rPr>
                <w:rFonts w:ascii="Arial Narrow" w:hAnsi="Arial Narrow"/>
                <w:sz w:val="20"/>
                <w:szCs w:val="20"/>
              </w:rPr>
              <w:t>Wynzora</w:t>
            </w:r>
            <w:proofErr w:type="spellEnd"/>
          </w:p>
        </w:tc>
      </w:tr>
      <w:tr w:rsidR="00C4152B" w:rsidRPr="003D47CA" w14:paraId="31FA42A1" w14:textId="77777777" w:rsidTr="007C3C42">
        <w:trPr>
          <w:cantSplit/>
          <w:trHeight w:val="347"/>
        </w:trPr>
        <w:tc>
          <w:tcPr>
            <w:tcW w:w="5000" w:type="pct"/>
            <w:gridSpan w:val="7"/>
          </w:tcPr>
          <w:p w14:paraId="035A1592" w14:textId="77777777" w:rsidR="00C4152B" w:rsidRPr="003D47CA" w:rsidRDefault="00C4152B" w:rsidP="007C3C42">
            <w:pPr>
              <w:keepNext/>
              <w:rPr>
                <w:rFonts w:ascii="Arial Narrow" w:hAnsi="Arial Narrow"/>
                <w:sz w:val="20"/>
                <w:szCs w:val="20"/>
              </w:rPr>
            </w:pPr>
          </w:p>
        </w:tc>
      </w:tr>
      <w:tr w:rsidR="00C4152B" w:rsidRPr="003D47CA" w14:paraId="30696862" w14:textId="77777777" w:rsidTr="007C3C42">
        <w:trPr>
          <w:cantSplit/>
          <w:trHeight w:val="145"/>
        </w:trPr>
        <w:tc>
          <w:tcPr>
            <w:tcW w:w="5000" w:type="pct"/>
            <w:gridSpan w:val="7"/>
            <w:tcBorders>
              <w:top w:val="single" w:sz="4" w:space="0" w:color="auto"/>
              <w:left w:val="single" w:sz="4" w:space="0" w:color="auto"/>
              <w:bottom w:val="single" w:sz="4" w:space="0" w:color="auto"/>
              <w:right w:val="single" w:sz="4" w:space="0" w:color="auto"/>
            </w:tcBorders>
          </w:tcPr>
          <w:p w14:paraId="68DAE3FE" w14:textId="77777777" w:rsidR="00C4152B" w:rsidRPr="003D47CA" w:rsidRDefault="00C4152B" w:rsidP="007C3C42">
            <w:pPr>
              <w:keepNext/>
              <w:rPr>
                <w:rFonts w:ascii="Arial Narrow" w:hAnsi="Arial Narrow"/>
                <w:b/>
                <w:bCs/>
                <w:sz w:val="20"/>
                <w:szCs w:val="20"/>
              </w:rPr>
            </w:pPr>
            <w:r w:rsidRPr="003D47CA">
              <w:rPr>
                <w:rFonts w:ascii="Arial Narrow" w:hAnsi="Arial Narrow"/>
                <w:b/>
                <w:bCs/>
                <w:sz w:val="20"/>
                <w:szCs w:val="20"/>
              </w:rPr>
              <w:t>Restriction Summary [NEW] / Treatment of Concept: [NEW]</w:t>
            </w:r>
          </w:p>
        </w:tc>
      </w:tr>
      <w:tr w:rsidR="00C4152B" w:rsidRPr="003D47CA" w14:paraId="7980DD3D" w14:textId="77777777" w:rsidTr="007C3C42">
        <w:tblPrEx>
          <w:tblCellMar>
            <w:top w:w="15" w:type="dxa"/>
            <w:left w:w="15" w:type="dxa"/>
            <w:bottom w:w="15" w:type="dxa"/>
            <w:right w:w="15" w:type="dxa"/>
          </w:tblCellMar>
        </w:tblPrEx>
        <w:trPr>
          <w:trHeight w:val="206"/>
        </w:trPr>
        <w:tc>
          <w:tcPr>
            <w:tcW w:w="542" w:type="pct"/>
            <w:vMerge w:val="restart"/>
            <w:tcBorders>
              <w:top w:val="single" w:sz="4" w:space="0" w:color="auto"/>
              <w:left w:val="single" w:sz="4" w:space="0" w:color="auto"/>
              <w:right w:val="single" w:sz="4" w:space="0" w:color="auto"/>
            </w:tcBorders>
          </w:tcPr>
          <w:p w14:paraId="56D63AA9" w14:textId="77777777" w:rsidR="00C4152B" w:rsidRPr="003D47CA" w:rsidRDefault="00C4152B" w:rsidP="007C3C42">
            <w:pPr>
              <w:rPr>
                <w:rFonts w:ascii="Arial Narrow" w:hAnsi="Arial Narrow"/>
                <w:i/>
                <w:sz w:val="20"/>
                <w:szCs w:val="20"/>
              </w:rPr>
            </w:pPr>
            <w:r w:rsidRPr="003D47CA">
              <w:rPr>
                <w:rFonts w:ascii="Arial Narrow" w:hAnsi="Arial Narrow"/>
                <w:b/>
                <w:sz w:val="20"/>
                <w:szCs w:val="20"/>
              </w:rPr>
              <w:t>Concept ID</w:t>
            </w:r>
          </w:p>
          <w:p w14:paraId="73955509" w14:textId="77777777" w:rsidR="00C4152B" w:rsidRPr="003D47CA" w:rsidRDefault="00C4152B" w:rsidP="007C3C42">
            <w:pPr>
              <w:jc w:val="center"/>
              <w:rPr>
                <w:rFonts w:ascii="Arial Narrow" w:hAnsi="Arial Narrow"/>
                <w:sz w:val="20"/>
                <w:szCs w:val="20"/>
              </w:rPr>
            </w:pPr>
            <w:r w:rsidRPr="003D47CA">
              <w:rPr>
                <w:rFonts w:ascii="Arial Narrow" w:hAnsi="Arial Narrow"/>
                <w:sz w:val="20"/>
                <w:szCs w:val="20"/>
              </w:rPr>
              <w:t>(for internal Dept. use)</w:t>
            </w:r>
          </w:p>
        </w:tc>
        <w:tc>
          <w:tcPr>
            <w:tcW w:w="4458" w:type="pct"/>
            <w:gridSpan w:val="6"/>
            <w:tcBorders>
              <w:top w:val="single" w:sz="4" w:space="0" w:color="auto"/>
              <w:left w:val="single" w:sz="4" w:space="0" w:color="auto"/>
              <w:bottom w:val="single" w:sz="4" w:space="0" w:color="auto"/>
              <w:right w:val="single" w:sz="4" w:space="0" w:color="auto"/>
            </w:tcBorders>
          </w:tcPr>
          <w:p w14:paraId="42EC2CD6" w14:textId="77777777" w:rsidR="00C4152B" w:rsidRPr="003D47CA" w:rsidRDefault="00C4152B" w:rsidP="007C3C42">
            <w:pPr>
              <w:rPr>
                <w:rFonts w:ascii="Arial Narrow" w:hAnsi="Arial Narrow"/>
                <w:sz w:val="20"/>
                <w:szCs w:val="20"/>
              </w:rPr>
            </w:pPr>
            <w:r w:rsidRPr="003D47CA">
              <w:rPr>
                <w:rFonts w:ascii="Arial Narrow" w:hAnsi="Arial Narrow"/>
                <w:b/>
                <w:sz w:val="20"/>
                <w:szCs w:val="20"/>
              </w:rPr>
              <w:t xml:space="preserve">Category / Program: </w:t>
            </w:r>
            <w:r w:rsidRPr="003D47CA">
              <w:rPr>
                <w:rFonts w:ascii="Arial Narrow" w:eastAsia="Calibri" w:hAnsi="Arial Narrow"/>
                <w:sz w:val="20"/>
                <w:szCs w:val="20"/>
              </w:rPr>
              <w:fldChar w:fldCharType="begin" w:fldLock="1">
                <w:ffData>
                  <w:name w:val="Check1"/>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GENERAL - General Schedule (Code GE)</w:t>
            </w:r>
          </w:p>
        </w:tc>
      </w:tr>
      <w:tr w:rsidR="00C4152B" w:rsidRPr="003D47CA" w14:paraId="7F49ED86" w14:textId="77777777" w:rsidTr="007C3C42">
        <w:tblPrEx>
          <w:tblCellMar>
            <w:top w:w="15" w:type="dxa"/>
            <w:left w:w="15" w:type="dxa"/>
            <w:bottom w:w="15" w:type="dxa"/>
            <w:right w:w="15" w:type="dxa"/>
          </w:tblCellMar>
          <w:tblLook w:val="04A0" w:firstRow="1" w:lastRow="0" w:firstColumn="1" w:lastColumn="0" w:noHBand="0" w:noVBand="1"/>
        </w:tblPrEx>
        <w:trPr>
          <w:trHeight w:val="240"/>
        </w:trPr>
        <w:tc>
          <w:tcPr>
            <w:tcW w:w="542" w:type="pct"/>
            <w:vMerge/>
            <w:tcBorders>
              <w:left w:val="single" w:sz="4" w:space="0" w:color="auto"/>
              <w:right w:val="single" w:sz="4" w:space="0" w:color="auto"/>
            </w:tcBorders>
          </w:tcPr>
          <w:p w14:paraId="5FB462A5" w14:textId="77777777" w:rsidR="00C4152B" w:rsidRPr="003D47CA" w:rsidRDefault="00C4152B" w:rsidP="007C3C42">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26394CF4" w14:textId="77777777" w:rsidR="00C4152B" w:rsidRPr="003D47CA" w:rsidRDefault="00C4152B" w:rsidP="007C3C42">
            <w:pPr>
              <w:rPr>
                <w:rFonts w:ascii="Arial Narrow" w:hAnsi="Arial Narrow"/>
                <w:b/>
                <w:sz w:val="20"/>
                <w:szCs w:val="20"/>
              </w:rPr>
            </w:pPr>
            <w:r w:rsidRPr="003D47CA">
              <w:rPr>
                <w:rFonts w:ascii="Arial Narrow" w:hAnsi="Arial Narrow"/>
                <w:b/>
                <w:sz w:val="20"/>
                <w:szCs w:val="20"/>
              </w:rPr>
              <w:t>Prescriber type:</w:t>
            </w:r>
            <w:r w:rsidRPr="003D47CA">
              <w:rPr>
                <w:rFonts w:ascii="Arial Narrow" w:hAnsi="Arial Narrow"/>
                <w:sz w:val="20"/>
                <w:szCs w:val="20"/>
              </w:rPr>
              <w:t xml:space="preserve">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 xml:space="preserve">Medical Practitioners </w:t>
            </w:r>
            <w:r w:rsidRPr="003D47CA">
              <w:rPr>
                <w:rFonts w:ascii="Arial Narrow" w:hAnsi="Arial Narrow"/>
                <w:sz w:val="20"/>
                <w:szCs w:val="20"/>
              </w:rPr>
              <w:fldChar w:fldCharType="begin" w:fldLock="1">
                <w:ffData>
                  <w:name w:val=""/>
                  <w:enabled/>
                  <w:calcOnExit w:val="0"/>
                  <w:checkBox>
                    <w:sizeAuto/>
                    <w:default w:val="1"/>
                  </w:checkBox>
                </w:ffData>
              </w:fldChar>
            </w:r>
            <w:r w:rsidRPr="003D47CA">
              <w:rPr>
                <w:rFonts w:ascii="Arial Narrow" w:hAnsi="Arial Narrow"/>
                <w:sz w:val="20"/>
                <w:szCs w:val="20"/>
              </w:rPr>
              <w:instrText xml:space="preserve"> FORMCHECKBOX </w:instrText>
            </w:r>
            <w:r w:rsidRPr="003D47CA">
              <w:rPr>
                <w:rFonts w:ascii="Arial Narrow" w:hAnsi="Arial Narrow"/>
                <w:sz w:val="20"/>
                <w:szCs w:val="20"/>
              </w:rPr>
            </w:r>
            <w:r w:rsidRPr="003D47CA">
              <w:rPr>
                <w:rFonts w:ascii="Arial Narrow" w:hAnsi="Arial Narrow"/>
                <w:sz w:val="20"/>
                <w:szCs w:val="20"/>
              </w:rPr>
              <w:fldChar w:fldCharType="separate"/>
            </w:r>
            <w:r w:rsidRPr="003D47CA">
              <w:rPr>
                <w:rFonts w:ascii="Arial Narrow" w:hAnsi="Arial Narrow"/>
                <w:sz w:val="20"/>
                <w:szCs w:val="20"/>
              </w:rPr>
              <w:fldChar w:fldCharType="end"/>
            </w:r>
            <w:r w:rsidRPr="003D47CA">
              <w:rPr>
                <w:rFonts w:ascii="Arial Narrow" w:hAnsi="Arial Narrow"/>
                <w:sz w:val="20"/>
                <w:szCs w:val="20"/>
              </w:rPr>
              <w:t>Nurse Practitioners</w:t>
            </w:r>
          </w:p>
        </w:tc>
      </w:tr>
      <w:tr w:rsidR="00C4152B" w:rsidRPr="003D47CA" w14:paraId="78CF0059" w14:textId="77777777" w:rsidTr="007C3C42">
        <w:tblPrEx>
          <w:tblCellMar>
            <w:top w:w="15" w:type="dxa"/>
            <w:left w:w="15" w:type="dxa"/>
            <w:bottom w:w="15" w:type="dxa"/>
            <w:right w:w="15" w:type="dxa"/>
          </w:tblCellMar>
          <w:tblLook w:val="04A0" w:firstRow="1" w:lastRow="0" w:firstColumn="1" w:lastColumn="0" w:noHBand="0" w:noVBand="1"/>
        </w:tblPrEx>
        <w:tc>
          <w:tcPr>
            <w:tcW w:w="542" w:type="pct"/>
            <w:vMerge/>
            <w:tcBorders>
              <w:left w:val="single" w:sz="4" w:space="0" w:color="auto"/>
              <w:right w:val="single" w:sz="4" w:space="0" w:color="auto"/>
            </w:tcBorders>
          </w:tcPr>
          <w:p w14:paraId="522A396C" w14:textId="77777777" w:rsidR="00C4152B" w:rsidRPr="003D47CA" w:rsidRDefault="00C4152B" w:rsidP="007C3C42">
            <w:pP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38E9B4EF" w14:textId="77777777" w:rsidR="00C4152B" w:rsidRPr="003D47CA" w:rsidRDefault="00C4152B" w:rsidP="007C3C42">
            <w:pPr>
              <w:rPr>
                <w:rFonts w:ascii="Arial Narrow" w:eastAsia="Calibri" w:hAnsi="Arial Narrow"/>
                <w:color w:val="FF00FF"/>
                <w:sz w:val="20"/>
                <w:szCs w:val="20"/>
              </w:rPr>
            </w:pPr>
            <w:r w:rsidRPr="003D47CA">
              <w:rPr>
                <w:rFonts w:ascii="Arial Narrow" w:hAnsi="Arial Narrow"/>
                <w:b/>
                <w:sz w:val="20"/>
                <w:szCs w:val="20"/>
              </w:rPr>
              <w:t xml:space="preserve">Restriction type: </w:t>
            </w:r>
            <w:r w:rsidRPr="003D47CA">
              <w:rPr>
                <w:rFonts w:ascii="Arial Narrow" w:eastAsia="Calibri" w:hAnsi="Arial Narrow"/>
                <w:sz w:val="20"/>
                <w:szCs w:val="20"/>
              </w:rPr>
              <w:fldChar w:fldCharType="begin" w:fldLock="1">
                <w:ffData>
                  <w:name w:val=""/>
                  <w:enabled/>
                  <w:calcOnExit w:val="0"/>
                  <w:checkBox>
                    <w:sizeAuto/>
                    <w:default w:val="1"/>
                  </w:checkBox>
                </w:ffData>
              </w:fldChar>
            </w:r>
            <w:r w:rsidRPr="003D47CA">
              <w:rPr>
                <w:rFonts w:ascii="Arial Narrow" w:eastAsia="Calibri" w:hAnsi="Arial Narrow"/>
                <w:sz w:val="20"/>
                <w:szCs w:val="20"/>
              </w:rPr>
              <w:instrText xml:space="preserve"> FORMCHECKBOX </w:instrText>
            </w:r>
            <w:r w:rsidRPr="003D47CA">
              <w:rPr>
                <w:rFonts w:ascii="Arial Narrow" w:eastAsia="Calibri" w:hAnsi="Arial Narrow"/>
                <w:sz w:val="20"/>
                <w:szCs w:val="20"/>
              </w:rPr>
            </w:r>
            <w:r w:rsidRPr="003D47CA">
              <w:rPr>
                <w:rFonts w:ascii="Arial Narrow" w:eastAsia="Calibri" w:hAnsi="Arial Narrow"/>
                <w:sz w:val="20"/>
                <w:szCs w:val="20"/>
              </w:rPr>
              <w:fldChar w:fldCharType="separate"/>
            </w:r>
            <w:r w:rsidRPr="003D47CA">
              <w:rPr>
                <w:rFonts w:ascii="Arial Narrow" w:eastAsia="Calibri" w:hAnsi="Arial Narrow"/>
                <w:sz w:val="20"/>
                <w:szCs w:val="20"/>
              </w:rPr>
              <w:fldChar w:fldCharType="end"/>
            </w:r>
            <w:r w:rsidRPr="003D47CA">
              <w:rPr>
                <w:rFonts w:ascii="Arial Narrow" w:eastAsia="Calibri" w:hAnsi="Arial Narrow"/>
                <w:sz w:val="20"/>
                <w:szCs w:val="20"/>
              </w:rPr>
              <w:t xml:space="preserve"> Restricted benefit</w:t>
            </w:r>
          </w:p>
        </w:tc>
      </w:tr>
      <w:tr w:rsidR="00C4152B" w:rsidRPr="003D47CA" w14:paraId="0DDE5E11"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bottom w:val="single" w:sz="4" w:space="0" w:color="auto"/>
              <w:right w:val="single" w:sz="4" w:space="0" w:color="auto"/>
            </w:tcBorders>
          </w:tcPr>
          <w:p w14:paraId="384D5A22" w14:textId="3E62438A" w:rsidR="00C4152B" w:rsidRPr="003D47CA" w:rsidRDefault="00C4152B" w:rsidP="007C3C42">
            <w:pPr>
              <w:jc w:val="cente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0A879150" w14:textId="77777777" w:rsidR="00C4152B" w:rsidRPr="003D47CA" w:rsidRDefault="00C4152B" w:rsidP="007C3C42">
            <w:pPr>
              <w:rPr>
                <w:rFonts w:ascii="Arial Narrow" w:hAnsi="Arial Narrow"/>
                <w:b/>
                <w:sz w:val="20"/>
                <w:szCs w:val="20"/>
              </w:rPr>
            </w:pPr>
            <w:r w:rsidRPr="003D47CA">
              <w:rPr>
                <w:rStyle w:val="Strong"/>
                <w:rFonts w:ascii="Arial Narrow" w:hAnsi="Arial Narrow" w:cs="Open Sans"/>
                <w:color w:val="333333"/>
                <w:sz w:val="20"/>
                <w:szCs w:val="20"/>
                <w:bdr w:val="none" w:sz="0" w:space="0" w:color="auto" w:frame="1"/>
              </w:rPr>
              <w:t xml:space="preserve">Indication: </w:t>
            </w:r>
            <w:r w:rsidRPr="003D47CA">
              <w:rPr>
                <w:rFonts w:ascii="Arial Narrow" w:hAnsi="Arial Narrow" w:cs="Open Sans"/>
                <w:color w:val="333333"/>
                <w:sz w:val="20"/>
                <w:szCs w:val="20"/>
              </w:rPr>
              <w:t>Chronic stable plaque type psoriasis vulgaris</w:t>
            </w:r>
          </w:p>
        </w:tc>
      </w:tr>
      <w:tr w:rsidR="00C4152B" w:rsidRPr="0056367C" w14:paraId="7C6D10B6"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26CB67E7" w14:textId="5AC5ECD5" w:rsidR="00C4152B" w:rsidRPr="0056367C" w:rsidRDefault="00C4152B" w:rsidP="007C3C42">
            <w:pPr>
              <w:jc w:val="cente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645DC575" w14:textId="77777777" w:rsidR="00C4152B" w:rsidRPr="0056367C" w:rsidRDefault="00C4152B" w:rsidP="007C3C42">
            <w:pPr>
              <w:rPr>
                <w:rFonts w:ascii="Arial Narrow" w:hAnsi="Arial Narrow"/>
                <w:b/>
                <w:sz w:val="20"/>
                <w:szCs w:val="20"/>
              </w:rPr>
            </w:pPr>
            <w:r w:rsidRPr="0056367C">
              <w:rPr>
                <w:rStyle w:val="Strong"/>
                <w:rFonts w:ascii="Arial Narrow" w:hAnsi="Arial Narrow" w:cs="Open Sans"/>
                <w:color w:val="333333"/>
                <w:sz w:val="20"/>
                <w:szCs w:val="20"/>
                <w:bdr w:val="none" w:sz="0" w:space="0" w:color="auto" w:frame="1"/>
              </w:rPr>
              <w:t>Clinical criteria:</w:t>
            </w:r>
          </w:p>
        </w:tc>
      </w:tr>
      <w:tr w:rsidR="00C4152B" w:rsidRPr="0056367C" w14:paraId="20D34B9F"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7F2715F1" w14:textId="761B9033" w:rsidR="00C4152B" w:rsidRPr="0056367C" w:rsidRDefault="00C4152B" w:rsidP="007C3C42">
            <w:pPr>
              <w:jc w:val="cente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1981BA43" w14:textId="77777777" w:rsidR="00C4152B" w:rsidRPr="0056367C" w:rsidRDefault="00C4152B" w:rsidP="007C3C42">
            <w:pPr>
              <w:rPr>
                <w:rFonts w:ascii="Arial Narrow" w:hAnsi="Arial Narrow"/>
                <w:b/>
                <w:sz w:val="20"/>
                <w:szCs w:val="20"/>
              </w:rPr>
            </w:pPr>
            <w:r w:rsidRPr="0056367C">
              <w:rPr>
                <w:rFonts w:ascii="Arial Narrow" w:hAnsi="Arial Narrow" w:cs="Open Sans"/>
                <w:color w:val="333333"/>
                <w:sz w:val="20"/>
                <w:szCs w:val="20"/>
              </w:rPr>
              <w:t>The condition must be stable for the prescriber to consider the listed maximum quantity of this medicine suitable for this patient,</w:t>
            </w:r>
          </w:p>
        </w:tc>
      </w:tr>
      <w:tr w:rsidR="00C4152B" w:rsidRPr="003D47CA" w14:paraId="6D3A8753"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6508DDD7" w14:textId="77777777" w:rsidR="00C4152B" w:rsidRPr="003D47CA" w:rsidRDefault="00C4152B" w:rsidP="007C3C42">
            <w:pPr>
              <w:jc w:val="center"/>
              <w:rPr>
                <w:rFonts w:ascii="Arial Narrow" w:hAnsi="Arial Narrow"/>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20335B19" w14:textId="77777777" w:rsidR="00C4152B" w:rsidRPr="003D47CA" w:rsidRDefault="00C4152B" w:rsidP="007C3C42">
            <w:pPr>
              <w:rPr>
                <w:rFonts w:ascii="Arial Narrow" w:hAnsi="Arial Narrow"/>
                <w:b/>
                <w:sz w:val="20"/>
                <w:szCs w:val="20"/>
              </w:rPr>
            </w:pPr>
            <w:r w:rsidRPr="003D47CA">
              <w:rPr>
                <w:rStyle w:val="Strong"/>
                <w:rFonts w:ascii="Arial Narrow" w:hAnsi="Arial Narrow" w:cs="Open Sans"/>
                <w:color w:val="333333"/>
                <w:sz w:val="20"/>
                <w:szCs w:val="20"/>
                <w:bdr w:val="none" w:sz="0" w:space="0" w:color="auto" w:frame="1"/>
              </w:rPr>
              <w:t>AND</w:t>
            </w:r>
          </w:p>
        </w:tc>
      </w:tr>
      <w:tr w:rsidR="00C4152B" w:rsidRPr="003D47CA" w14:paraId="285D7AF4"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796672A9" w14:textId="1A77F927" w:rsidR="00C4152B" w:rsidRPr="003D47CA" w:rsidRDefault="00C4152B" w:rsidP="007C3C42">
            <w:pPr>
              <w:jc w:val="center"/>
              <w:rPr>
                <w:rFonts w:ascii="Arial Narrow" w:hAnsi="Arial Narrow" w:cs="Open Sans"/>
                <w:color w:val="333333"/>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6A49B2CE" w14:textId="77777777" w:rsidR="00C4152B" w:rsidRPr="003D47CA" w:rsidRDefault="00C4152B"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Style w:val="Strong"/>
                <w:rFonts w:ascii="Arial Narrow" w:hAnsi="Arial Narrow" w:cs="Open Sans"/>
                <w:color w:val="333333"/>
                <w:sz w:val="20"/>
                <w:szCs w:val="20"/>
                <w:bdr w:val="none" w:sz="0" w:space="0" w:color="auto" w:frame="1"/>
              </w:rPr>
              <w:t>Clinical criteria:</w:t>
            </w:r>
          </w:p>
        </w:tc>
      </w:tr>
      <w:tr w:rsidR="00C4152B" w:rsidRPr="003D47CA" w14:paraId="3243D2AD" w14:textId="77777777" w:rsidTr="007C3C42">
        <w:tblPrEx>
          <w:tblCellMar>
            <w:top w:w="15" w:type="dxa"/>
            <w:left w:w="15" w:type="dxa"/>
            <w:bottom w:w="15" w:type="dxa"/>
            <w:right w:w="15" w:type="dxa"/>
          </w:tblCellMar>
          <w:tblLook w:val="04A0" w:firstRow="1" w:lastRow="0" w:firstColumn="1" w:lastColumn="0" w:noHBand="0" w:noVBand="1"/>
        </w:tblPrEx>
        <w:tc>
          <w:tcPr>
            <w:tcW w:w="542" w:type="pct"/>
            <w:tcBorders>
              <w:left w:val="single" w:sz="4" w:space="0" w:color="auto"/>
              <w:right w:val="single" w:sz="4" w:space="0" w:color="auto"/>
            </w:tcBorders>
          </w:tcPr>
          <w:p w14:paraId="2542AE9F" w14:textId="079E1421" w:rsidR="00C4152B" w:rsidRPr="003D47CA" w:rsidRDefault="00C4152B" w:rsidP="007C3C42">
            <w:pPr>
              <w:jc w:val="center"/>
              <w:rPr>
                <w:rFonts w:ascii="Arial Narrow" w:hAnsi="Arial Narrow" w:cs="Open Sans"/>
                <w:color w:val="333333"/>
                <w:sz w:val="20"/>
                <w:szCs w:val="20"/>
              </w:rPr>
            </w:pPr>
          </w:p>
        </w:tc>
        <w:tc>
          <w:tcPr>
            <w:tcW w:w="4458" w:type="pct"/>
            <w:gridSpan w:val="6"/>
            <w:tcBorders>
              <w:top w:val="single" w:sz="4" w:space="0" w:color="auto"/>
              <w:left w:val="single" w:sz="4" w:space="0" w:color="auto"/>
              <w:bottom w:val="single" w:sz="4" w:space="0" w:color="auto"/>
              <w:right w:val="single" w:sz="4" w:space="0" w:color="auto"/>
            </w:tcBorders>
          </w:tcPr>
          <w:p w14:paraId="0A31C449" w14:textId="77777777" w:rsidR="00C4152B" w:rsidRPr="003D47CA" w:rsidRDefault="00C4152B" w:rsidP="007C3C42">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3D47CA">
              <w:rPr>
                <w:rFonts w:ascii="Arial Narrow" w:hAnsi="Arial Narrow" w:cs="Open Sans"/>
                <w:color w:val="333333"/>
                <w:sz w:val="20"/>
                <w:szCs w:val="20"/>
              </w:rPr>
              <w:t>The condition must be inadequately controlled by potent topical corticosteroid monotherapy.</w:t>
            </w:r>
          </w:p>
        </w:tc>
      </w:tr>
    </w:tbl>
    <w:p w14:paraId="37A549C6" w14:textId="77777777" w:rsidR="008743FC" w:rsidRDefault="008743FC" w:rsidP="00C85622">
      <w:pPr>
        <w:spacing w:before="120"/>
        <w:rPr>
          <w:rFonts w:asciiTheme="minorHAnsi" w:hAnsiTheme="minorHAnsi"/>
          <w:bCs/>
          <w:snapToGrid w:val="0"/>
        </w:rPr>
      </w:pPr>
    </w:p>
    <w:p w14:paraId="533C997D" w14:textId="505F0578" w:rsidR="00222C71" w:rsidRDefault="00C85622" w:rsidP="00C4152B">
      <w:pPr>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r w:rsidR="00212434">
        <w:rPr>
          <w:rFonts w:asciiTheme="minorHAnsi" w:hAnsiTheme="minorHAnsi"/>
          <w:b/>
          <w:i/>
          <w:iCs/>
          <w:snapToGrid w:val="0"/>
          <w:lang w:val="en-GB"/>
        </w:rPr>
        <w:t>.</w:t>
      </w:r>
    </w:p>
    <w:p w14:paraId="1BD4C2E9" w14:textId="77777777" w:rsidR="00212434" w:rsidRDefault="00212434" w:rsidP="00212434">
      <w:pPr>
        <w:pStyle w:val="COMH1numbered"/>
        <w:numPr>
          <w:ilvl w:val="0"/>
          <w:numId w:val="0"/>
        </w:numPr>
        <w:ind w:left="720" w:hanging="720"/>
        <w:rPr>
          <w:bCs/>
          <w:lang w:val="en-GB"/>
        </w:rPr>
      </w:pPr>
      <w:r w:rsidRPr="00C07617">
        <w:t>9</w:t>
      </w:r>
      <w:r w:rsidRPr="00C07617">
        <w:tab/>
        <w:t>Context for Decision</w:t>
      </w:r>
    </w:p>
    <w:p w14:paraId="4C461725" w14:textId="77777777" w:rsidR="00212434" w:rsidRPr="00311EEF" w:rsidRDefault="00212434" w:rsidP="00212434">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F2D09E" w14:textId="77777777" w:rsidR="00212434" w:rsidRPr="00311EEF" w:rsidRDefault="00212434" w:rsidP="00212434">
      <w:pPr>
        <w:pStyle w:val="COMH1numbered"/>
        <w:numPr>
          <w:ilvl w:val="0"/>
          <w:numId w:val="0"/>
        </w:numPr>
        <w:ind w:left="720" w:hanging="720"/>
      </w:pPr>
      <w:r w:rsidRPr="00311EEF">
        <w:t>10</w:t>
      </w:r>
      <w:r>
        <w:tab/>
      </w:r>
      <w:r w:rsidRPr="00311EEF">
        <w:t>Sponsor’s Comment</w:t>
      </w:r>
    </w:p>
    <w:p w14:paraId="45B17247" w14:textId="61F2EDA3" w:rsidR="00951198" w:rsidRPr="00C07617" w:rsidRDefault="00951198" w:rsidP="00212434">
      <w:pPr>
        <w:spacing w:after="120"/>
        <w:ind w:left="720"/>
        <w:rPr>
          <w:rFonts w:asciiTheme="minorHAnsi" w:hAnsiTheme="minorHAnsi"/>
          <w:bCs/>
        </w:rPr>
      </w:pPr>
      <w:r w:rsidRPr="00D73043">
        <w:rPr>
          <w:rFonts w:asciiTheme="minorHAnsi" w:hAnsiTheme="minorHAnsi"/>
          <w:bCs/>
        </w:rPr>
        <w:t>The sponsor had no comment.</w:t>
      </w:r>
    </w:p>
    <w:p w14:paraId="3567B0B3" w14:textId="77777777" w:rsidR="00222C71" w:rsidRPr="00222C71" w:rsidRDefault="00222C71" w:rsidP="000C5173">
      <w:pPr>
        <w:spacing w:after="120"/>
        <w:ind w:left="720"/>
        <w:rPr>
          <w:rFonts w:asciiTheme="minorHAnsi" w:hAnsiTheme="minorHAnsi"/>
          <w:b/>
          <w:snapToGrid w:val="0"/>
          <w:lang w:val="en-GB"/>
        </w:rPr>
      </w:pPr>
    </w:p>
    <w:sectPr w:rsidR="00222C71" w:rsidRPr="00222C71"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1FC5" w14:textId="77777777" w:rsidR="008746DB" w:rsidRDefault="008746DB" w:rsidP="00124A51">
      <w:r>
        <w:separator/>
      </w:r>
    </w:p>
    <w:p w14:paraId="3F0A9F42" w14:textId="77777777" w:rsidR="008746DB" w:rsidRDefault="008746DB"/>
  </w:endnote>
  <w:endnote w:type="continuationSeparator" w:id="0">
    <w:p w14:paraId="4B1F791F" w14:textId="77777777" w:rsidR="008746DB" w:rsidRDefault="008746DB" w:rsidP="00124A51">
      <w:r>
        <w:continuationSeparator/>
      </w:r>
    </w:p>
    <w:p w14:paraId="11767F1E" w14:textId="77777777" w:rsidR="008746DB" w:rsidRDefault="008746DB"/>
  </w:endnote>
  <w:endnote w:type="continuationNotice" w:id="1">
    <w:p w14:paraId="7361B536" w14:textId="77777777" w:rsidR="008746DB" w:rsidRDefault="0087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7C9" w14:textId="4FDB2D7C" w:rsidR="00C3344E" w:rsidRDefault="009D56F6">
    <w:pPr>
      <w:pStyle w:val="Footer"/>
    </w:pPr>
    <w:r>
      <w:rPr>
        <w:noProof/>
      </w:rPr>
      <mc:AlternateContent>
        <mc:Choice Requires="wps">
          <w:drawing>
            <wp:anchor distT="0" distB="0" distL="0" distR="0" simplePos="0" relativeHeight="251658244" behindDoc="0" locked="0" layoutInCell="1" allowOverlap="1" wp14:anchorId="266CD107" wp14:editId="3B77AE54">
              <wp:simplePos x="635" y="635"/>
              <wp:positionH relativeFrom="page">
                <wp:align>center</wp:align>
              </wp:positionH>
              <wp:positionV relativeFrom="page">
                <wp:align>bottom</wp:align>
              </wp:positionV>
              <wp:extent cx="551815" cy="376555"/>
              <wp:effectExtent l="0" t="0" r="635" b="0"/>
              <wp:wrapNone/>
              <wp:docPr id="105036238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BB8BC3" w14:textId="08EDB3C6"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CD107"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FBB8BC3" w14:textId="08EDB3C6"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C96E" w14:textId="1917FAB7" w:rsidR="00A06D3E" w:rsidRDefault="009D56F6" w:rsidP="000D50A3">
    <w:pPr>
      <w:pStyle w:val="Footer"/>
      <w:jc w:val="center"/>
    </w:pPr>
    <w:r>
      <w:rPr>
        <w:noProof/>
      </w:rPr>
      <mc:AlternateContent>
        <mc:Choice Requires="wps">
          <w:drawing>
            <wp:anchor distT="0" distB="0" distL="0" distR="0" simplePos="0" relativeHeight="251658245" behindDoc="0" locked="0" layoutInCell="1" allowOverlap="1" wp14:anchorId="47F9FE8B" wp14:editId="33F68152">
              <wp:simplePos x="914400" y="9220200"/>
              <wp:positionH relativeFrom="page">
                <wp:align>center</wp:align>
              </wp:positionH>
              <wp:positionV relativeFrom="page">
                <wp:align>bottom</wp:align>
              </wp:positionV>
              <wp:extent cx="551815" cy="376555"/>
              <wp:effectExtent l="0" t="0" r="635" b="0"/>
              <wp:wrapNone/>
              <wp:docPr id="170904183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B5E4DF" w14:textId="1619FF74"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9FE8B"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DB5E4DF" w14:textId="1619FF74"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p>
  <w:sdt>
    <w:sdtPr>
      <w:id w:val="-420017370"/>
      <w:docPartObj>
        <w:docPartGallery w:val="Page Numbers (Bottom of Page)"/>
        <w:docPartUnique/>
      </w:docPartObj>
    </w:sdtPr>
    <w:sdtEndPr>
      <w:rPr>
        <w:noProof/>
      </w:rPr>
    </w:sdtEndPr>
    <w:sdtContent>
      <w:p w14:paraId="61B67816" w14:textId="6A4D87FC" w:rsidR="000D50A3" w:rsidRDefault="000D50A3" w:rsidP="000D50A3">
        <w:pPr>
          <w:pStyle w:val="Footer"/>
          <w:jc w:val="center"/>
        </w:pPr>
      </w:p>
      <w:p w14:paraId="37484CD3" w14:textId="26A34C65" w:rsidR="00D843F2" w:rsidRPr="007C1CD9" w:rsidRDefault="000D50A3" w:rsidP="000D50A3">
        <w:pPr>
          <w:pStyle w:val="Footer"/>
          <w:jc w:val="center"/>
        </w:pPr>
        <w:r w:rsidRPr="000D50A3">
          <w:rPr>
            <w:b/>
            <w:bCs/>
          </w:rPr>
          <w:fldChar w:fldCharType="begin"/>
        </w:r>
        <w:r w:rsidRPr="000D50A3">
          <w:rPr>
            <w:b/>
            <w:bCs/>
          </w:rPr>
          <w:instrText xml:space="preserve"> PAGE   \* MERGEFORMAT </w:instrText>
        </w:r>
        <w:r w:rsidRPr="000D50A3">
          <w:rPr>
            <w:b/>
            <w:bCs/>
          </w:rPr>
          <w:fldChar w:fldCharType="separate"/>
        </w:r>
        <w:r w:rsidRPr="000D50A3">
          <w:rPr>
            <w:b/>
            <w:bCs/>
            <w:noProof/>
          </w:rPr>
          <w:t>2</w:t>
        </w:r>
        <w:r w:rsidRPr="000D50A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EE22" w14:textId="6462E0D6" w:rsidR="00C3344E" w:rsidRDefault="009D56F6">
    <w:pPr>
      <w:pStyle w:val="Footer"/>
    </w:pPr>
    <w:r>
      <w:rPr>
        <w:noProof/>
      </w:rPr>
      <mc:AlternateContent>
        <mc:Choice Requires="wps">
          <w:drawing>
            <wp:anchor distT="0" distB="0" distL="0" distR="0" simplePos="0" relativeHeight="251658243" behindDoc="0" locked="0" layoutInCell="1" allowOverlap="1" wp14:anchorId="40585985" wp14:editId="40C1CAAB">
              <wp:simplePos x="635" y="635"/>
              <wp:positionH relativeFrom="page">
                <wp:align>center</wp:align>
              </wp:positionH>
              <wp:positionV relativeFrom="page">
                <wp:align>bottom</wp:align>
              </wp:positionV>
              <wp:extent cx="551815" cy="376555"/>
              <wp:effectExtent l="0" t="0" r="635" b="0"/>
              <wp:wrapNone/>
              <wp:docPr id="181014692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48D586" w14:textId="4034633A"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85985"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748D586" w14:textId="4034633A"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95C5" w14:textId="77777777" w:rsidR="008746DB" w:rsidRDefault="008746DB" w:rsidP="00124A51">
      <w:r>
        <w:separator/>
      </w:r>
    </w:p>
    <w:p w14:paraId="24E0589F" w14:textId="77777777" w:rsidR="008746DB" w:rsidRDefault="008746DB"/>
  </w:footnote>
  <w:footnote w:type="continuationSeparator" w:id="0">
    <w:p w14:paraId="22708297" w14:textId="77777777" w:rsidR="008746DB" w:rsidRDefault="008746DB" w:rsidP="00124A51">
      <w:r>
        <w:continuationSeparator/>
      </w:r>
    </w:p>
    <w:p w14:paraId="514EA1F6" w14:textId="77777777" w:rsidR="008746DB" w:rsidRDefault="008746DB"/>
  </w:footnote>
  <w:footnote w:type="continuationNotice" w:id="1">
    <w:p w14:paraId="62126DF7" w14:textId="77777777" w:rsidR="008746DB" w:rsidRDefault="008746DB"/>
  </w:footnote>
  <w:footnote w:id="2">
    <w:p w14:paraId="01584C67" w14:textId="3A74CD5D" w:rsidR="00602986" w:rsidRPr="00C3737B" w:rsidRDefault="00602986" w:rsidP="00B768B9">
      <w:pPr>
        <w:pStyle w:val="EndNoteBibliography"/>
        <w:spacing w:after="0"/>
        <w:rPr>
          <w:rFonts w:asciiTheme="minorHAnsi" w:hAnsiTheme="minorHAnsi" w:cstheme="minorHAnsi"/>
          <w:sz w:val="20"/>
          <w:szCs w:val="20"/>
        </w:rPr>
      </w:pPr>
      <w:r w:rsidRPr="00C3737B">
        <w:rPr>
          <w:rStyle w:val="FootnoteReference"/>
          <w:rFonts w:asciiTheme="minorHAnsi" w:hAnsiTheme="minorHAnsi" w:cstheme="minorHAnsi"/>
          <w:sz w:val="20"/>
          <w:szCs w:val="20"/>
        </w:rPr>
        <w:footnoteRef/>
      </w:r>
      <w:r w:rsidRPr="00C3737B">
        <w:rPr>
          <w:rFonts w:asciiTheme="minorHAnsi" w:hAnsiTheme="minorHAnsi" w:cstheme="minorHAnsi"/>
          <w:sz w:val="20"/>
          <w:szCs w:val="20"/>
        </w:rPr>
        <w:t xml:space="preserve"> </w:t>
      </w:r>
      <w:r w:rsidR="0068191A" w:rsidRPr="00C3737B">
        <w:rPr>
          <w:rFonts w:asciiTheme="minorHAnsi" w:hAnsiTheme="minorHAnsi" w:cstheme="minorHAnsi"/>
          <w:sz w:val="20"/>
          <w:szCs w:val="20"/>
        </w:rPr>
        <w:t>Parisi R., Iskandar</w:t>
      </w:r>
      <w:r w:rsidR="00993C30">
        <w:rPr>
          <w:rFonts w:asciiTheme="minorHAnsi" w:hAnsiTheme="minorHAnsi" w:cstheme="minorHAnsi"/>
          <w:sz w:val="20"/>
          <w:szCs w:val="20"/>
        </w:rPr>
        <w:t xml:space="preserve"> I.Y.K</w:t>
      </w:r>
      <w:r w:rsidR="0068191A" w:rsidRPr="00C3737B">
        <w:rPr>
          <w:rFonts w:asciiTheme="minorHAnsi" w:hAnsiTheme="minorHAnsi" w:cstheme="minorHAnsi"/>
          <w:sz w:val="20"/>
          <w:szCs w:val="20"/>
        </w:rPr>
        <w:t xml:space="preserve">, </w:t>
      </w:r>
      <w:proofErr w:type="spellStart"/>
      <w:r w:rsidR="0068191A" w:rsidRPr="00C3737B">
        <w:rPr>
          <w:rFonts w:asciiTheme="minorHAnsi" w:hAnsiTheme="minorHAnsi" w:cstheme="minorHAnsi"/>
          <w:sz w:val="20"/>
          <w:szCs w:val="20"/>
        </w:rPr>
        <w:t>Kontopantelis</w:t>
      </w:r>
      <w:proofErr w:type="spellEnd"/>
      <w:r w:rsidR="00993C30">
        <w:rPr>
          <w:rFonts w:asciiTheme="minorHAnsi" w:hAnsiTheme="minorHAnsi" w:cstheme="minorHAnsi"/>
          <w:sz w:val="20"/>
          <w:szCs w:val="20"/>
        </w:rPr>
        <w:t xml:space="preserve"> E</w:t>
      </w:r>
      <w:r w:rsidR="0068191A" w:rsidRPr="00C3737B">
        <w:rPr>
          <w:rFonts w:asciiTheme="minorHAnsi" w:hAnsiTheme="minorHAnsi" w:cstheme="minorHAnsi"/>
          <w:sz w:val="20"/>
          <w:szCs w:val="20"/>
        </w:rPr>
        <w:t xml:space="preserve">, </w:t>
      </w:r>
      <w:r w:rsidR="00993C30">
        <w:rPr>
          <w:rFonts w:asciiTheme="minorHAnsi" w:hAnsiTheme="minorHAnsi" w:cstheme="minorHAnsi"/>
          <w:sz w:val="20"/>
          <w:szCs w:val="20"/>
        </w:rPr>
        <w:t>et al,</w:t>
      </w:r>
      <w:r w:rsidR="00D43205">
        <w:rPr>
          <w:rFonts w:asciiTheme="minorHAnsi" w:hAnsiTheme="minorHAnsi" w:cstheme="minorHAnsi"/>
          <w:sz w:val="20"/>
          <w:szCs w:val="20"/>
        </w:rPr>
        <w:t xml:space="preserve"> </w:t>
      </w:r>
      <w:r w:rsidR="00993C30">
        <w:rPr>
          <w:rFonts w:asciiTheme="minorHAnsi" w:hAnsiTheme="minorHAnsi" w:cstheme="minorHAnsi"/>
          <w:sz w:val="20"/>
          <w:szCs w:val="20"/>
        </w:rPr>
        <w:t>(</w:t>
      </w:r>
      <w:r w:rsidR="0068191A" w:rsidRPr="00C3737B">
        <w:rPr>
          <w:rFonts w:asciiTheme="minorHAnsi" w:hAnsiTheme="minorHAnsi" w:cstheme="minorHAnsi"/>
          <w:sz w:val="20"/>
          <w:szCs w:val="20"/>
        </w:rPr>
        <w:t>2020)</w:t>
      </w:r>
      <w:r w:rsidR="00993C30">
        <w:rPr>
          <w:rFonts w:asciiTheme="minorHAnsi" w:hAnsiTheme="minorHAnsi" w:cstheme="minorHAnsi"/>
          <w:sz w:val="20"/>
          <w:szCs w:val="20"/>
        </w:rPr>
        <w:t>,</w:t>
      </w:r>
      <w:r w:rsidR="0068191A" w:rsidRPr="00C3737B">
        <w:rPr>
          <w:rFonts w:asciiTheme="minorHAnsi" w:hAnsiTheme="minorHAnsi" w:cstheme="minorHAnsi"/>
          <w:sz w:val="20"/>
          <w:szCs w:val="20"/>
        </w:rPr>
        <w:t xml:space="preserve"> </w:t>
      </w:r>
      <w:r w:rsidR="00993C30">
        <w:rPr>
          <w:rFonts w:asciiTheme="minorHAnsi" w:hAnsiTheme="minorHAnsi" w:cstheme="minorHAnsi"/>
          <w:sz w:val="20"/>
          <w:szCs w:val="20"/>
        </w:rPr>
        <w:t>‘</w:t>
      </w:r>
      <w:r w:rsidR="0068191A" w:rsidRPr="00C3737B">
        <w:rPr>
          <w:rFonts w:asciiTheme="minorHAnsi" w:hAnsiTheme="minorHAnsi" w:cstheme="minorHAnsi"/>
          <w:sz w:val="20"/>
          <w:szCs w:val="20"/>
        </w:rPr>
        <w:t>National, regional, and worldwide epidemiology of psoriasis: systematic analysis and modelling study</w:t>
      </w:r>
      <w:r w:rsidR="00993C30">
        <w:rPr>
          <w:rFonts w:asciiTheme="minorHAnsi" w:hAnsiTheme="minorHAnsi" w:cstheme="minorHAnsi"/>
          <w:sz w:val="20"/>
          <w:szCs w:val="20"/>
        </w:rPr>
        <w:t>’,</w:t>
      </w:r>
      <w:r w:rsidR="0068191A" w:rsidRPr="00C3737B">
        <w:rPr>
          <w:rFonts w:asciiTheme="minorHAnsi" w:hAnsiTheme="minorHAnsi" w:cstheme="minorHAnsi"/>
          <w:sz w:val="20"/>
          <w:szCs w:val="20"/>
        </w:rPr>
        <w:t xml:space="preserve"> </w:t>
      </w:r>
      <w:r w:rsidR="0068191A" w:rsidRPr="000B67A3">
        <w:rPr>
          <w:rFonts w:asciiTheme="minorHAnsi" w:hAnsiTheme="minorHAnsi" w:cstheme="minorHAnsi"/>
          <w:sz w:val="20"/>
          <w:szCs w:val="20"/>
        </w:rPr>
        <w:t>B</w:t>
      </w:r>
      <w:r w:rsidR="00993C30" w:rsidRPr="000B67A3">
        <w:rPr>
          <w:rFonts w:asciiTheme="minorHAnsi" w:hAnsiTheme="minorHAnsi" w:cstheme="minorHAnsi"/>
          <w:sz w:val="20"/>
          <w:szCs w:val="20"/>
        </w:rPr>
        <w:t>MJ</w:t>
      </w:r>
      <w:r w:rsidR="0068191A" w:rsidRPr="00C3737B">
        <w:rPr>
          <w:rFonts w:asciiTheme="minorHAnsi" w:hAnsiTheme="minorHAnsi" w:cstheme="minorHAnsi"/>
          <w:sz w:val="20"/>
          <w:szCs w:val="20"/>
        </w:rPr>
        <w:t xml:space="preserve"> </w:t>
      </w:r>
      <w:r w:rsidR="0068191A" w:rsidRPr="00A05D42">
        <w:rPr>
          <w:rFonts w:asciiTheme="minorHAnsi" w:hAnsiTheme="minorHAnsi" w:cstheme="minorHAnsi"/>
          <w:bCs/>
          <w:sz w:val="20"/>
          <w:szCs w:val="20"/>
        </w:rPr>
        <w:t>369:m1590.</w:t>
      </w:r>
    </w:p>
  </w:footnote>
  <w:footnote w:id="3">
    <w:p w14:paraId="4AFFF068" w14:textId="573E58B4" w:rsidR="00B768B9" w:rsidRPr="00B768B9" w:rsidRDefault="00B768B9" w:rsidP="00B768B9">
      <w:pPr>
        <w:pStyle w:val="EndNoteBibliography"/>
        <w:spacing w:after="0"/>
        <w:rPr>
          <w:rFonts w:asciiTheme="minorHAnsi" w:hAnsiTheme="minorHAnsi" w:cstheme="minorHAnsi"/>
          <w:noProof/>
          <w:sz w:val="20"/>
          <w:szCs w:val="20"/>
        </w:rPr>
      </w:pPr>
      <w:r w:rsidRPr="00C3737B">
        <w:rPr>
          <w:rStyle w:val="FootnoteReference"/>
          <w:rFonts w:asciiTheme="minorHAnsi" w:hAnsiTheme="minorHAnsi" w:cstheme="minorHAnsi"/>
          <w:sz w:val="20"/>
          <w:szCs w:val="20"/>
        </w:rPr>
        <w:footnoteRef/>
      </w:r>
      <w:r w:rsidRPr="00C3737B">
        <w:rPr>
          <w:rFonts w:asciiTheme="minorHAnsi" w:hAnsiTheme="minorHAnsi" w:cstheme="minorHAnsi"/>
          <w:sz w:val="20"/>
          <w:szCs w:val="20"/>
        </w:rPr>
        <w:t xml:space="preserve"> </w:t>
      </w:r>
      <w:r w:rsidR="00B913EC">
        <w:rPr>
          <w:rFonts w:asciiTheme="minorHAnsi" w:hAnsiTheme="minorHAnsi" w:cstheme="minorHAnsi"/>
          <w:sz w:val="20"/>
          <w:szCs w:val="20"/>
        </w:rPr>
        <w:t>Global Psoriasis Atlas,</w:t>
      </w:r>
      <w:r w:rsidRPr="00C3737B">
        <w:rPr>
          <w:rFonts w:asciiTheme="minorHAnsi" w:hAnsiTheme="minorHAnsi" w:cstheme="minorHAnsi"/>
          <w:sz w:val="20"/>
          <w:szCs w:val="20"/>
        </w:rPr>
        <w:t xml:space="preserve"> (2024)</w:t>
      </w:r>
      <w:r w:rsidR="00B913EC">
        <w:rPr>
          <w:rFonts w:asciiTheme="minorHAnsi" w:hAnsiTheme="minorHAnsi" w:cstheme="minorHAnsi"/>
          <w:sz w:val="20"/>
          <w:szCs w:val="20"/>
        </w:rPr>
        <w:t>,</w:t>
      </w:r>
      <w:r w:rsidRPr="00C3737B">
        <w:rPr>
          <w:rFonts w:asciiTheme="minorHAnsi" w:hAnsiTheme="minorHAnsi" w:cstheme="minorHAnsi"/>
          <w:sz w:val="20"/>
          <w:szCs w:val="20"/>
        </w:rPr>
        <w:t xml:space="preserve"> </w:t>
      </w:r>
      <w:r w:rsidR="000B67A3">
        <w:rPr>
          <w:rFonts w:asciiTheme="minorHAnsi" w:hAnsiTheme="minorHAnsi" w:cstheme="minorHAnsi"/>
          <w:sz w:val="20"/>
          <w:szCs w:val="20"/>
        </w:rPr>
        <w:t>‘</w:t>
      </w:r>
      <w:r w:rsidRPr="00C3737B">
        <w:rPr>
          <w:rFonts w:asciiTheme="minorHAnsi" w:hAnsiTheme="minorHAnsi" w:cstheme="minorHAnsi"/>
          <w:sz w:val="20"/>
          <w:szCs w:val="20"/>
        </w:rPr>
        <w:t>Prevalence Data Australia</w:t>
      </w:r>
      <w:r w:rsidR="00015C2C">
        <w:rPr>
          <w:rFonts w:asciiTheme="minorHAnsi" w:hAnsiTheme="minorHAnsi" w:cstheme="minorHAnsi"/>
          <w:sz w:val="20"/>
          <w:szCs w:val="20"/>
        </w:rPr>
        <w:t xml:space="preserve">’, available at </w:t>
      </w:r>
      <w:r w:rsidRPr="00C3737B">
        <w:rPr>
          <w:rFonts w:asciiTheme="minorHAnsi" w:hAnsiTheme="minorHAnsi" w:cstheme="minorHAnsi"/>
          <w:sz w:val="20"/>
          <w:szCs w:val="20"/>
        </w:rPr>
        <w:t xml:space="preserve"> </w:t>
      </w:r>
      <w:r w:rsidR="00015C2C" w:rsidRPr="00015C2C">
        <w:rPr>
          <w:rFonts w:asciiTheme="minorHAnsi" w:hAnsiTheme="minorHAnsi" w:cstheme="minorHAnsi"/>
          <w:sz w:val="20"/>
          <w:szCs w:val="20"/>
        </w:rPr>
        <w:t>www.globalpsoriasisatlas.org/en/</w:t>
      </w:r>
    </w:p>
  </w:footnote>
  <w:footnote w:id="4">
    <w:p w14:paraId="032554E7" w14:textId="075E7850" w:rsidR="00220F0F" w:rsidRPr="00220F0F" w:rsidRDefault="00220F0F" w:rsidP="00C3737B">
      <w:pPr>
        <w:pStyle w:val="EndNoteBibliography"/>
        <w:spacing w:after="0"/>
        <w:rPr>
          <w:rFonts w:asciiTheme="minorHAnsi" w:hAnsiTheme="minorHAnsi" w:cstheme="minorHAnsi"/>
          <w:noProof/>
          <w:sz w:val="20"/>
          <w:szCs w:val="20"/>
        </w:rPr>
      </w:pPr>
      <w:r w:rsidRPr="00C3737B">
        <w:rPr>
          <w:rStyle w:val="FootnoteReference"/>
          <w:rFonts w:asciiTheme="minorHAnsi" w:hAnsiTheme="minorHAnsi" w:cstheme="minorHAnsi"/>
          <w:sz w:val="20"/>
          <w:szCs w:val="20"/>
        </w:rPr>
        <w:footnoteRef/>
      </w:r>
      <w:r w:rsidRPr="00C3737B">
        <w:rPr>
          <w:rFonts w:asciiTheme="minorHAnsi" w:hAnsiTheme="minorHAnsi" w:cstheme="minorHAnsi"/>
          <w:sz w:val="20"/>
          <w:szCs w:val="20"/>
        </w:rPr>
        <w:t xml:space="preserve"> </w:t>
      </w:r>
      <w:r w:rsidRPr="00E47017">
        <w:rPr>
          <w:rFonts w:asciiTheme="minorHAnsi" w:hAnsiTheme="minorHAnsi" w:cstheme="minorHAnsi"/>
          <w:noProof/>
          <w:sz w:val="20"/>
          <w:szCs w:val="20"/>
        </w:rPr>
        <w:t>Armstrong A.W</w:t>
      </w:r>
      <w:r w:rsidR="00D826AB">
        <w:rPr>
          <w:rFonts w:asciiTheme="minorHAnsi" w:hAnsiTheme="minorHAnsi" w:cstheme="minorHAnsi"/>
          <w:noProof/>
          <w:sz w:val="20"/>
          <w:szCs w:val="20"/>
        </w:rPr>
        <w:t>.,</w:t>
      </w:r>
      <w:r w:rsidRPr="00E47017">
        <w:rPr>
          <w:rFonts w:asciiTheme="minorHAnsi" w:hAnsiTheme="minorHAnsi" w:cstheme="minorHAnsi"/>
          <w:noProof/>
          <w:sz w:val="20"/>
          <w:szCs w:val="20"/>
        </w:rPr>
        <w:t xml:space="preserve"> Read</w:t>
      </w:r>
      <w:r w:rsidR="006E4B66">
        <w:rPr>
          <w:rFonts w:asciiTheme="minorHAnsi" w:hAnsiTheme="minorHAnsi" w:cstheme="minorHAnsi"/>
          <w:noProof/>
          <w:sz w:val="20"/>
          <w:szCs w:val="20"/>
        </w:rPr>
        <w:t xml:space="preserve"> C.,</w:t>
      </w:r>
      <w:r w:rsidRPr="00E47017">
        <w:rPr>
          <w:rFonts w:asciiTheme="minorHAnsi" w:hAnsiTheme="minorHAnsi" w:cstheme="minorHAnsi"/>
          <w:noProof/>
          <w:sz w:val="20"/>
          <w:szCs w:val="20"/>
        </w:rPr>
        <w:t xml:space="preserve"> (2020)</w:t>
      </w:r>
      <w:r w:rsidR="006E4B66">
        <w:rPr>
          <w:rFonts w:asciiTheme="minorHAnsi" w:hAnsiTheme="minorHAnsi" w:cstheme="minorHAnsi"/>
          <w:noProof/>
          <w:sz w:val="20"/>
          <w:szCs w:val="20"/>
        </w:rPr>
        <w:t>,</w:t>
      </w:r>
      <w:r w:rsidRPr="00E47017">
        <w:rPr>
          <w:rFonts w:asciiTheme="minorHAnsi" w:hAnsiTheme="minorHAnsi" w:cstheme="minorHAnsi"/>
          <w:noProof/>
          <w:sz w:val="20"/>
          <w:szCs w:val="20"/>
        </w:rPr>
        <w:t xml:space="preserve"> </w:t>
      </w:r>
      <w:r w:rsidR="006E4B66">
        <w:rPr>
          <w:rFonts w:asciiTheme="minorHAnsi" w:hAnsiTheme="minorHAnsi" w:cstheme="minorHAnsi"/>
          <w:noProof/>
          <w:sz w:val="20"/>
          <w:szCs w:val="20"/>
        </w:rPr>
        <w:t>‘</w:t>
      </w:r>
      <w:r w:rsidRPr="00E47017">
        <w:rPr>
          <w:rFonts w:asciiTheme="minorHAnsi" w:hAnsiTheme="minorHAnsi" w:cstheme="minorHAnsi"/>
          <w:noProof/>
          <w:sz w:val="20"/>
          <w:szCs w:val="20"/>
        </w:rPr>
        <w:t>Pathophysiology, Clinical Presentation, and Treatment of Psoriasis: A Review</w:t>
      </w:r>
      <w:r w:rsidR="00873022">
        <w:rPr>
          <w:rFonts w:asciiTheme="minorHAnsi" w:hAnsiTheme="minorHAnsi" w:cstheme="minorHAnsi"/>
          <w:noProof/>
          <w:sz w:val="20"/>
          <w:szCs w:val="20"/>
        </w:rPr>
        <w:t>,’</w:t>
      </w:r>
      <w:r w:rsidRPr="00E47017">
        <w:rPr>
          <w:rFonts w:asciiTheme="minorHAnsi" w:hAnsiTheme="minorHAnsi" w:cstheme="minorHAnsi"/>
          <w:noProof/>
          <w:sz w:val="20"/>
          <w:szCs w:val="20"/>
        </w:rPr>
        <w:t xml:space="preserve"> </w:t>
      </w:r>
      <w:r w:rsidRPr="00FE3C6A">
        <w:rPr>
          <w:rFonts w:asciiTheme="minorHAnsi" w:hAnsiTheme="minorHAnsi" w:cstheme="minorHAnsi"/>
          <w:noProof/>
          <w:sz w:val="20"/>
          <w:szCs w:val="20"/>
        </w:rPr>
        <w:t>JAMA</w:t>
      </w:r>
      <w:r w:rsidRPr="005B0032">
        <w:rPr>
          <w:rFonts w:asciiTheme="minorHAnsi" w:hAnsiTheme="minorHAnsi" w:cstheme="minorHAnsi"/>
          <w:noProof/>
          <w:sz w:val="20"/>
          <w:szCs w:val="20"/>
        </w:rPr>
        <w:t xml:space="preserve"> 323(19)</w:t>
      </w:r>
      <w:r w:rsidR="005B0032" w:rsidRPr="005B0032">
        <w:rPr>
          <w:rFonts w:asciiTheme="minorHAnsi" w:hAnsiTheme="minorHAnsi" w:cstheme="minorHAnsi"/>
          <w:noProof/>
          <w:sz w:val="20"/>
          <w:szCs w:val="20"/>
        </w:rPr>
        <w:t xml:space="preserve"> pp</w:t>
      </w:r>
      <w:r w:rsidR="005B0032">
        <w:rPr>
          <w:rFonts w:asciiTheme="minorHAnsi" w:hAnsiTheme="minorHAnsi" w:cstheme="minorHAnsi"/>
          <w:noProof/>
          <w:sz w:val="20"/>
          <w:szCs w:val="20"/>
        </w:rPr>
        <w:t xml:space="preserve">. </w:t>
      </w:r>
      <w:r w:rsidRPr="00E47017">
        <w:rPr>
          <w:rFonts w:asciiTheme="minorHAnsi" w:hAnsiTheme="minorHAnsi" w:cstheme="minorHAnsi"/>
          <w:noProof/>
          <w:sz w:val="20"/>
          <w:szCs w:val="20"/>
        </w:rPr>
        <w:t>1945-1960.</w:t>
      </w:r>
    </w:p>
  </w:footnote>
  <w:footnote w:id="5">
    <w:p w14:paraId="6A49BA55" w14:textId="2BEB6393" w:rsidR="00C3737B" w:rsidRPr="00C3737B" w:rsidRDefault="00C3737B" w:rsidP="00C3737B">
      <w:pPr>
        <w:pStyle w:val="EndNoteBibliography"/>
        <w:spacing w:after="0"/>
        <w:rPr>
          <w:rFonts w:asciiTheme="minorHAnsi" w:hAnsiTheme="minorHAnsi" w:cstheme="minorHAnsi"/>
          <w:noProof/>
          <w:sz w:val="20"/>
          <w:szCs w:val="20"/>
        </w:rPr>
      </w:pPr>
      <w:r w:rsidRPr="00C3737B">
        <w:rPr>
          <w:rStyle w:val="FootnoteReference"/>
          <w:rFonts w:asciiTheme="minorHAnsi" w:hAnsiTheme="minorHAnsi" w:cstheme="minorHAnsi"/>
          <w:sz w:val="20"/>
          <w:szCs w:val="20"/>
        </w:rPr>
        <w:footnoteRef/>
      </w:r>
      <w:r w:rsidRPr="00C3737B">
        <w:rPr>
          <w:rFonts w:asciiTheme="minorHAnsi" w:hAnsiTheme="minorHAnsi" w:cstheme="minorHAnsi"/>
          <w:sz w:val="20"/>
          <w:szCs w:val="20"/>
        </w:rPr>
        <w:t xml:space="preserve"> </w:t>
      </w:r>
      <w:r w:rsidRPr="00C3737B">
        <w:rPr>
          <w:rFonts w:asciiTheme="minorHAnsi" w:hAnsiTheme="minorHAnsi" w:cstheme="minorHAnsi"/>
          <w:noProof/>
          <w:sz w:val="20"/>
          <w:szCs w:val="20"/>
        </w:rPr>
        <w:t>Rendon A.</w:t>
      </w:r>
      <w:r w:rsidR="00820141">
        <w:rPr>
          <w:rFonts w:asciiTheme="minorHAnsi" w:hAnsiTheme="minorHAnsi" w:cstheme="minorHAnsi"/>
          <w:noProof/>
          <w:sz w:val="20"/>
          <w:szCs w:val="20"/>
        </w:rPr>
        <w:t>,</w:t>
      </w:r>
      <w:r w:rsidRPr="00C3737B">
        <w:rPr>
          <w:rFonts w:asciiTheme="minorHAnsi" w:hAnsiTheme="minorHAnsi" w:cstheme="minorHAnsi"/>
          <w:noProof/>
          <w:sz w:val="20"/>
          <w:szCs w:val="20"/>
        </w:rPr>
        <w:t xml:space="preserve"> Schäkel</w:t>
      </w:r>
      <w:r w:rsidR="00820141">
        <w:rPr>
          <w:rFonts w:asciiTheme="minorHAnsi" w:hAnsiTheme="minorHAnsi" w:cstheme="minorHAnsi"/>
          <w:noProof/>
          <w:sz w:val="20"/>
          <w:szCs w:val="20"/>
        </w:rPr>
        <w:t xml:space="preserve"> K,</w:t>
      </w:r>
      <w:r w:rsidRPr="00C3737B">
        <w:rPr>
          <w:rFonts w:asciiTheme="minorHAnsi" w:hAnsiTheme="minorHAnsi" w:cstheme="minorHAnsi"/>
          <w:noProof/>
          <w:sz w:val="20"/>
          <w:szCs w:val="20"/>
        </w:rPr>
        <w:t xml:space="preserve"> (2019</w:t>
      </w:r>
      <w:r w:rsidR="00820141">
        <w:rPr>
          <w:rFonts w:asciiTheme="minorHAnsi" w:hAnsiTheme="minorHAnsi" w:cstheme="minorHAnsi"/>
          <w:noProof/>
          <w:sz w:val="20"/>
          <w:szCs w:val="20"/>
        </w:rPr>
        <w:t>),</w:t>
      </w:r>
      <w:r w:rsidRPr="00C3737B">
        <w:rPr>
          <w:rFonts w:asciiTheme="minorHAnsi" w:hAnsiTheme="minorHAnsi" w:cstheme="minorHAnsi"/>
          <w:noProof/>
          <w:sz w:val="20"/>
          <w:szCs w:val="20"/>
        </w:rPr>
        <w:t xml:space="preserve"> </w:t>
      </w:r>
      <w:r w:rsidR="00820141">
        <w:rPr>
          <w:rFonts w:asciiTheme="minorHAnsi" w:hAnsiTheme="minorHAnsi" w:cstheme="minorHAnsi"/>
          <w:noProof/>
          <w:sz w:val="20"/>
          <w:szCs w:val="20"/>
        </w:rPr>
        <w:t>‘</w:t>
      </w:r>
      <w:r w:rsidRPr="00C3737B">
        <w:rPr>
          <w:rFonts w:asciiTheme="minorHAnsi" w:hAnsiTheme="minorHAnsi" w:cstheme="minorHAnsi"/>
          <w:noProof/>
          <w:sz w:val="20"/>
          <w:szCs w:val="20"/>
        </w:rPr>
        <w:t>Psoriasis Pathogenesis and Treatment</w:t>
      </w:r>
      <w:r w:rsidR="00820141">
        <w:rPr>
          <w:rFonts w:asciiTheme="minorHAnsi" w:hAnsiTheme="minorHAnsi" w:cstheme="minorHAnsi"/>
          <w:noProof/>
          <w:sz w:val="20"/>
          <w:szCs w:val="20"/>
        </w:rPr>
        <w:t>’,</w:t>
      </w:r>
      <w:r w:rsidRPr="00C3737B">
        <w:rPr>
          <w:rFonts w:asciiTheme="minorHAnsi" w:hAnsiTheme="minorHAnsi" w:cstheme="minorHAnsi"/>
          <w:noProof/>
          <w:sz w:val="20"/>
          <w:szCs w:val="20"/>
        </w:rPr>
        <w:t xml:space="preserve"> </w:t>
      </w:r>
      <w:r w:rsidRPr="00FE3C6A">
        <w:rPr>
          <w:rFonts w:asciiTheme="minorHAnsi" w:hAnsiTheme="minorHAnsi" w:cstheme="minorHAnsi"/>
          <w:noProof/>
          <w:sz w:val="20"/>
          <w:szCs w:val="20"/>
        </w:rPr>
        <w:t>Int J Mol Sci</w:t>
      </w:r>
      <w:r w:rsidRPr="00C3737B">
        <w:rPr>
          <w:rFonts w:asciiTheme="minorHAnsi" w:hAnsiTheme="minorHAnsi" w:cstheme="minorHAnsi"/>
          <w:noProof/>
          <w:sz w:val="20"/>
          <w:szCs w:val="20"/>
        </w:rPr>
        <w:t xml:space="preserve"> </w:t>
      </w:r>
      <w:r w:rsidRPr="00214F4B">
        <w:rPr>
          <w:rFonts w:asciiTheme="minorHAnsi" w:hAnsiTheme="minorHAnsi" w:cstheme="minorHAnsi"/>
          <w:bCs/>
          <w:noProof/>
          <w:sz w:val="20"/>
          <w:szCs w:val="20"/>
        </w:rPr>
        <w:t>20(6)</w:t>
      </w:r>
      <w:r w:rsidR="00214F4B" w:rsidRPr="00214F4B">
        <w:rPr>
          <w:rFonts w:asciiTheme="minorHAnsi" w:hAnsiTheme="minorHAnsi" w:cstheme="minorHAnsi"/>
          <w:bCs/>
          <w:noProof/>
          <w:sz w:val="20"/>
          <w:szCs w:val="20"/>
        </w:rPr>
        <w:t>:1475</w:t>
      </w:r>
      <w:r w:rsidRPr="00C3737B">
        <w:rPr>
          <w:rFonts w:asciiTheme="minorHAnsi" w:hAnsiTheme="minorHAnsi" w:cstheme="minorHAnsi"/>
          <w:noProof/>
          <w:sz w:val="20"/>
          <w:szCs w:val="20"/>
        </w:rPr>
        <w:t>.</w:t>
      </w:r>
    </w:p>
  </w:footnote>
  <w:footnote w:id="6">
    <w:p w14:paraId="47B73B28" w14:textId="2020786D" w:rsidR="003F372B" w:rsidRDefault="003F372B" w:rsidP="003F372B">
      <w:pPr>
        <w:pStyle w:val="FootnoteText"/>
        <w:jc w:val="left"/>
      </w:pPr>
      <w:r>
        <w:rPr>
          <w:rStyle w:val="FootnoteReference"/>
        </w:rPr>
        <w:footnoteRef/>
      </w:r>
      <w:r>
        <w:t xml:space="preserve"> Therapeutic Guidelines, </w:t>
      </w:r>
      <w:r w:rsidR="001C6D07">
        <w:t>‘</w:t>
      </w:r>
      <w:r w:rsidR="00430ED6" w:rsidRPr="00430ED6">
        <w:t>Advice for managing psoriasis in primary care</w:t>
      </w:r>
      <w:r w:rsidR="001C6D07">
        <w:t>’</w:t>
      </w:r>
      <w:r w:rsidR="00BB695D">
        <w:t xml:space="preserve">, </w:t>
      </w:r>
      <w:r w:rsidR="00E67208">
        <w:t xml:space="preserve">published August </w:t>
      </w:r>
      <w:r w:rsidR="00AF54D3">
        <w:t>2022</w:t>
      </w:r>
      <w:r w:rsidR="00E67208" w:rsidRPr="00E67208">
        <w:t xml:space="preserve"> (</w:t>
      </w:r>
      <w:r w:rsidR="00077DD2">
        <w:t>a</w:t>
      </w:r>
      <w:r w:rsidR="00E67208" w:rsidRPr="00E67208">
        <w:t>mended February 2025)</w:t>
      </w:r>
      <w:r w:rsidR="00AF54D3">
        <w:t xml:space="preserve">, </w:t>
      </w:r>
      <w:r w:rsidR="00BB695D">
        <w:t xml:space="preserve">accessed </w:t>
      </w:r>
      <w:proofErr w:type="gramStart"/>
      <w:r w:rsidR="00BB695D">
        <w:t>on</w:t>
      </w:r>
      <w:proofErr w:type="gramEnd"/>
      <w:r w:rsidR="00BB695D">
        <w:t xml:space="preserve"> </w:t>
      </w:r>
      <w:r w:rsidR="00AF54D3">
        <w:t>A</w:t>
      </w:r>
      <w:r w:rsidR="00BB695D">
        <w:t>pril 2025,</w:t>
      </w:r>
      <w:r w:rsidR="00430ED6" w:rsidRPr="00430ED6">
        <w:t xml:space="preserve"> </w:t>
      </w:r>
      <w:r w:rsidR="00EB1ADB">
        <w:t xml:space="preserve">available at </w:t>
      </w:r>
      <w:hyperlink r:id="rId1" w:history="1">
        <w:r w:rsidR="00BD60F4" w:rsidRPr="00655085">
          <w:rPr>
            <w:rStyle w:val="Hyperlink"/>
            <w:color w:val="auto"/>
            <w:u w:val="none"/>
          </w:rPr>
          <w:t>https://app.tg.org.au/2ae0edf6-8508-4da1-a9d9-4012cb89c705</w:t>
        </w:r>
      </w:hyperlink>
      <w:r w:rsidR="00430ED6">
        <w:t xml:space="preserve"> </w:t>
      </w:r>
    </w:p>
  </w:footnote>
  <w:footnote w:id="7">
    <w:p w14:paraId="5F1719FF" w14:textId="4BF66494" w:rsidR="00EC7624" w:rsidRDefault="00EC7624">
      <w:pPr>
        <w:pStyle w:val="FootnoteText"/>
      </w:pPr>
      <w:r>
        <w:rPr>
          <w:rStyle w:val="FootnoteReference"/>
        </w:rPr>
        <w:footnoteRef/>
      </w:r>
      <w:r>
        <w:t xml:space="preserve"> </w:t>
      </w:r>
      <w:r w:rsidRPr="00EC7624">
        <w:t>Lebwohl M., Tyring</w:t>
      </w:r>
      <w:r>
        <w:t xml:space="preserve"> S.</w:t>
      </w:r>
      <w:r w:rsidRPr="00EC7624">
        <w:t>, Bukhalo</w:t>
      </w:r>
      <w:r>
        <w:t xml:space="preserve"> </w:t>
      </w:r>
      <w:r w:rsidRPr="00EC7624">
        <w:t xml:space="preserve">M., </w:t>
      </w:r>
      <w:r>
        <w:t>et al,</w:t>
      </w:r>
      <w:r w:rsidRPr="00EC7624">
        <w:t xml:space="preserve"> (2016)</w:t>
      </w:r>
      <w:r>
        <w:t>,</w:t>
      </w:r>
      <w:r w:rsidRPr="00EC7624">
        <w:t xml:space="preserve"> </w:t>
      </w:r>
      <w:r>
        <w:t>‘</w:t>
      </w:r>
      <w:r w:rsidRPr="00EC7624">
        <w:t xml:space="preserve">Fixed Combination Aerosol Foam Calcipotriene 0.005% (Cal) Plus Betamethasone Dipropionate 0.064% (BD) is More Efficacious than Cal or BD Aerosol Foam Alone for Psoriasis Vulgaris: A Randomized, Double-blind, </w:t>
      </w:r>
      <w:proofErr w:type="spellStart"/>
      <w:r w:rsidRPr="00EC7624">
        <w:t>Multicenter</w:t>
      </w:r>
      <w:proofErr w:type="spellEnd"/>
      <w:r w:rsidRPr="00EC7624">
        <w:t>, Three-arm, Phase 2 Study</w:t>
      </w:r>
      <w:r w:rsidR="009A0C04">
        <w:t>’,</w:t>
      </w:r>
      <w:r w:rsidRPr="00EC7624">
        <w:t xml:space="preserve"> J Clin </w:t>
      </w:r>
      <w:proofErr w:type="spellStart"/>
      <w:r w:rsidRPr="00EC7624">
        <w:t>Aesthet</w:t>
      </w:r>
      <w:proofErr w:type="spellEnd"/>
      <w:r w:rsidRPr="00EC7624">
        <w:t xml:space="preserve"> Dermatol 9(2): 34-41.</w:t>
      </w:r>
    </w:p>
  </w:footnote>
  <w:footnote w:id="8">
    <w:p w14:paraId="70ABE671" w14:textId="09796FC7" w:rsidR="00A374AE" w:rsidRDefault="00A374AE">
      <w:pPr>
        <w:pStyle w:val="FootnoteText"/>
      </w:pPr>
      <w:r>
        <w:rPr>
          <w:rStyle w:val="FootnoteReference"/>
        </w:rPr>
        <w:footnoteRef/>
      </w:r>
      <w:r w:rsidR="00BC3F32">
        <w:t xml:space="preserve"> </w:t>
      </w:r>
      <w:r w:rsidRPr="00A374AE">
        <w:t>The Australian College of Dermatologist (ACD), (2024)</w:t>
      </w:r>
      <w:r w:rsidR="00442CAE">
        <w:t>,</w:t>
      </w:r>
      <w:r w:rsidRPr="00A374AE">
        <w:t xml:space="preserve"> ‘ACD consensus adaptation – Treatment goals for moderate-to-severe psoriasis in paediatric and adult Australian patients’, accessed </w:t>
      </w:r>
      <w:r w:rsidR="00A41867">
        <w:t>on</w:t>
      </w:r>
      <w:r w:rsidRPr="00A374AE">
        <w:t xml:space="preserve"> March 2025</w:t>
      </w:r>
      <w:r w:rsidR="00A41867">
        <w:t>,</w:t>
      </w:r>
      <w:r w:rsidR="00442CAE">
        <w:t xml:space="preserve"> available at</w:t>
      </w:r>
      <w:r w:rsidRPr="00A374AE">
        <w:t xml:space="preserve"> </w:t>
      </w:r>
      <w:hyperlink r:id="rId2" w:history="1">
        <w:r w:rsidRPr="0033277E">
          <w:rPr>
            <w:rStyle w:val="Hyperlink"/>
            <w:color w:val="auto"/>
            <w:u w:val="none"/>
          </w:rPr>
          <w:t>www.dermcoll.edu.au/wp-content/uploads/2024/05/ACD-Consensus-Adaptation-Psoriasis-May-2024.pdf</w:t>
        </w:r>
      </w:hyperlink>
      <w:r w:rsidRPr="0033277E">
        <w:t xml:space="preserve"> </w:t>
      </w:r>
    </w:p>
  </w:footnote>
  <w:footnote w:id="9">
    <w:p w14:paraId="31E81A52" w14:textId="6CE1858A" w:rsidR="00EA0519" w:rsidRDefault="00EA0519">
      <w:pPr>
        <w:pStyle w:val="FootnoteText"/>
      </w:pPr>
      <w:r>
        <w:rPr>
          <w:rStyle w:val="FootnoteReference"/>
        </w:rPr>
        <w:footnoteRef/>
      </w:r>
      <w:r>
        <w:t xml:space="preserve"> Zivkovich AH, Feldman SR, (2009), ‘Are ointments better than other vehicles for corticosteroid treatment of psoriasis?’ J Drugs Dermatol </w:t>
      </w:r>
      <w:r w:rsidR="00AF1C00">
        <w:t>8(6):570-2.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B6AD" w14:textId="4D652F67" w:rsidR="00C3344E" w:rsidRDefault="009D56F6">
    <w:pPr>
      <w:pStyle w:val="Header"/>
    </w:pPr>
    <w:r>
      <w:rPr>
        <w:noProof/>
      </w:rPr>
      <mc:AlternateContent>
        <mc:Choice Requires="wps">
          <w:drawing>
            <wp:anchor distT="0" distB="0" distL="0" distR="0" simplePos="0" relativeHeight="251658241" behindDoc="0" locked="0" layoutInCell="1" allowOverlap="1" wp14:anchorId="3DD859B6" wp14:editId="6EAF68D0">
              <wp:simplePos x="635" y="635"/>
              <wp:positionH relativeFrom="page">
                <wp:align>center</wp:align>
              </wp:positionH>
              <wp:positionV relativeFrom="page">
                <wp:align>top</wp:align>
              </wp:positionV>
              <wp:extent cx="551815" cy="376555"/>
              <wp:effectExtent l="0" t="0" r="635" b="4445"/>
              <wp:wrapNone/>
              <wp:docPr id="14702130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B5A66A" w14:textId="45BDF1FF"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859B6"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B5A66A" w14:textId="45BDF1FF"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7DB8" w14:textId="28226E4D" w:rsidR="00E81553" w:rsidRDefault="009D56F6" w:rsidP="00E81553">
    <w:pPr>
      <w:tabs>
        <w:tab w:val="center" w:pos="4513"/>
        <w:tab w:val="right" w:pos="9026"/>
      </w:tabs>
      <w:spacing w:after="120"/>
      <w:contextualSpacing/>
      <w:jc w:val="cent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58242" behindDoc="0" locked="0" layoutInCell="1" allowOverlap="1" wp14:anchorId="14E2F3D5" wp14:editId="721997D1">
              <wp:simplePos x="914400" y="914400"/>
              <wp:positionH relativeFrom="page">
                <wp:align>center</wp:align>
              </wp:positionH>
              <wp:positionV relativeFrom="page">
                <wp:align>top</wp:align>
              </wp:positionV>
              <wp:extent cx="551815" cy="376555"/>
              <wp:effectExtent l="0" t="0" r="635" b="4445"/>
              <wp:wrapNone/>
              <wp:docPr id="10933094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102402" w14:textId="5B423E29"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2F3D5"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102402" w14:textId="5B423E29"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r>
      <w:rPr>
        <w:rFonts w:asciiTheme="minorHAnsi" w:hAnsiTheme="minorHAnsi"/>
        <w:i/>
        <w:color w:val="808080"/>
      </w:rPr>
      <w:t>Public Summary Document</w:t>
    </w:r>
    <w:r w:rsidR="00397D1A">
      <w:rPr>
        <w:rFonts w:asciiTheme="minorHAnsi" w:hAnsiTheme="minorHAnsi"/>
        <w:i/>
        <w:color w:val="808080"/>
      </w:rPr>
      <w:t xml:space="preserve"> – </w:t>
    </w:r>
    <w:r w:rsidR="00EB5EE6">
      <w:rPr>
        <w:rFonts w:asciiTheme="minorHAnsi" w:hAnsiTheme="minorHAnsi"/>
        <w:i/>
        <w:color w:val="808080"/>
      </w:rPr>
      <w:t>July</w:t>
    </w:r>
    <w:r w:rsidR="00D843F2">
      <w:rPr>
        <w:rFonts w:asciiTheme="minorHAnsi" w:hAnsiTheme="minorHAnsi"/>
        <w:i/>
        <w:color w:val="808080"/>
      </w:rPr>
      <w:t xml:space="preserve"> 202</w:t>
    </w:r>
    <w:r w:rsidR="00EB5EE6">
      <w:rPr>
        <w:rFonts w:asciiTheme="minorHAnsi" w:hAnsiTheme="minorHAnsi"/>
        <w:i/>
        <w:color w:val="808080"/>
      </w:rPr>
      <w:t>5</w:t>
    </w:r>
    <w:r w:rsidR="00D843F2">
      <w:rPr>
        <w:rFonts w:asciiTheme="minorHAnsi" w:hAnsiTheme="minorHAnsi"/>
        <w:i/>
        <w:color w:val="808080"/>
      </w:rPr>
      <w:t xml:space="preserve"> </w:t>
    </w:r>
    <w:r w:rsidR="00D843F2" w:rsidRPr="00195452">
      <w:rPr>
        <w:rFonts w:asciiTheme="minorHAnsi" w:hAnsiTheme="minorHAnsi"/>
        <w:i/>
        <w:color w:val="808080"/>
      </w:rPr>
      <w:t>PBAC Meeting</w:t>
    </w:r>
    <w:r w:rsidR="00E81553" w:rsidRPr="00E81553">
      <w:rPr>
        <w:rFonts w:asciiTheme="minorHAnsi" w:hAnsiTheme="minorHAnsi"/>
        <w:i/>
        <w:color w:val="808080"/>
      </w:rPr>
      <w:t xml:space="preserve"> </w:t>
    </w:r>
  </w:p>
  <w:p w14:paraId="03AF943B" w14:textId="4B207A15" w:rsidR="00D843F2" w:rsidRPr="008C7ECB" w:rsidRDefault="00D843F2" w:rsidP="00E8155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A471" w14:textId="03ECD1DA" w:rsidR="00C3344E" w:rsidRDefault="009D56F6">
    <w:pPr>
      <w:pStyle w:val="Header"/>
    </w:pPr>
    <w:r>
      <w:rPr>
        <w:noProof/>
      </w:rPr>
      <mc:AlternateContent>
        <mc:Choice Requires="wps">
          <w:drawing>
            <wp:anchor distT="0" distB="0" distL="0" distR="0" simplePos="0" relativeHeight="251658240" behindDoc="0" locked="0" layoutInCell="1" allowOverlap="1" wp14:anchorId="2F3B43F4" wp14:editId="52F522B1">
              <wp:simplePos x="635" y="635"/>
              <wp:positionH relativeFrom="page">
                <wp:align>center</wp:align>
              </wp:positionH>
              <wp:positionV relativeFrom="page">
                <wp:align>top</wp:align>
              </wp:positionV>
              <wp:extent cx="551815" cy="376555"/>
              <wp:effectExtent l="0" t="0" r="635" b="4445"/>
              <wp:wrapNone/>
              <wp:docPr id="94257924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40582F" w14:textId="3083D113" w:rsidR="009D56F6" w:rsidRPr="009D56F6" w:rsidRDefault="009D56F6" w:rsidP="009D56F6">
                          <w:pPr>
                            <w:rPr>
                              <w:rFonts w:eastAsia="Calibri" w:cs="Calibri"/>
                              <w:noProof/>
                              <w:color w:val="FF0000"/>
                            </w:rPr>
                          </w:pPr>
                          <w:r w:rsidRPr="009D56F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B43F4"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540582F" w14:textId="3083D113" w:rsidR="009D56F6" w:rsidRPr="009D56F6" w:rsidRDefault="009D56F6" w:rsidP="009D56F6">
                    <w:pPr>
                      <w:rPr>
                        <w:rFonts w:eastAsia="Calibri" w:cs="Calibri"/>
                        <w:noProof/>
                        <w:color w:val="FF0000"/>
                      </w:rPr>
                    </w:pPr>
                    <w:r w:rsidRPr="009D56F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AE9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82C95"/>
    <w:multiLevelType w:val="hybridMultilevel"/>
    <w:tmpl w:val="D69E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D145B9"/>
    <w:multiLevelType w:val="multilevel"/>
    <w:tmpl w:val="068A15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6A15C0"/>
    <w:multiLevelType w:val="multilevel"/>
    <w:tmpl w:val="68227DBA"/>
    <w:lvl w:ilvl="0">
      <w:start w:val="1"/>
      <w:numFmt w:val="decimal"/>
      <w:lvlText w:val="%1."/>
      <w:lvlJc w:val="left"/>
      <w:pPr>
        <w:tabs>
          <w:tab w:val="num" w:pos="720"/>
        </w:tabs>
        <w:ind w:left="720" w:hanging="360"/>
      </w:pPr>
      <w:rPr>
        <w:rFonts w:asciiTheme="minorHAnsi" w:eastAsiaTheme="minorHAnsi" w:hAnsiTheme="minorHAnsi" w:cstheme="minorHAnsi"/>
        <w:i w:val="0"/>
        <w:i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F61213"/>
    <w:multiLevelType w:val="hybridMultilevel"/>
    <w:tmpl w:val="C5504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5B74C54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996" w:hanging="720"/>
      </w:pPr>
      <w:rPr>
        <w:b w:val="0"/>
        <w:bCs w:val="0"/>
        <w:i w:val="0"/>
        <w:iCs w:val="0"/>
        <w:color w:val="auto"/>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28980418">
    <w:abstractNumId w:val="19"/>
  </w:num>
  <w:num w:numId="2" w16cid:durableId="3948033">
    <w:abstractNumId w:val="10"/>
  </w:num>
  <w:num w:numId="3" w16cid:durableId="1706633718">
    <w:abstractNumId w:val="11"/>
  </w:num>
  <w:num w:numId="4" w16cid:durableId="384062448">
    <w:abstractNumId w:val="0"/>
  </w:num>
  <w:num w:numId="5" w16cid:durableId="78067493">
    <w:abstractNumId w:val="19"/>
  </w:num>
  <w:num w:numId="6" w16cid:durableId="1122774068">
    <w:abstractNumId w:val="15"/>
  </w:num>
  <w:num w:numId="7" w16cid:durableId="1514997940">
    <w:abstractNumId w:val="3"/>
  </w:num>
  <w:num w:numId="8" w16cid:durableId="1110659526">
    <w:abstractNumId w:val="17"/>
  </w:num>
  <w:num w:numId="9" w16cid:durableId="1848211169">
    <w:abstractNumId w:val="9"/>
  </w:num>
  <w:num w:numId="10" w16cid:durableId="218589294">
    <w:abstractNumId w:val="7"/>
  </w:num>
  <w:num w:numId="11" w16cid:durableId="126240624">
    <w:abstractNumId w:val="16"/>
  </w:num>
  <w:num w:numId="12" w16cid:durableId="1569418770">
    <w:abstractNumId w:val="2"/>
  </w:num>
  <w:num w:numId="13" w16cid:durableId="705176722">
    <w:abstractNumId w:val="1"/>
  </w:num>
  <w:num w:numId="14" w16cid:durableId="1926569401">
    <w:abstractNumId w:val="6"/>
  </w:num>
  <w:num w:numId="15" w16cid:durableId="1979457665">
    <w:abstractNumId w:val="8"/>
  </w:num>
  <w:num w:numId="16" w16cid:durableId="2038313566">
    <w:abstractNumId w:val="5"/>
  </w:num>
  <w:num w:numId="17" w16cid:durableId="209997201">
    <w:abstractNumId w:val="18"/>
  </w:num>
  <w:num w:numId="18" w16cid:durableId="408699874">
    <w:abstractNumId w:val="13"/>
  </w:num>
  <w:num w:numId="19"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5167">
    <w:abstractNumId w:val="12"/>
  </w:num>
  <w:num w:numId="21" w16cid:durableId="341587399">
    <w:abstractNumId w:val="4"/>
  </w:num>
  <w:num w:numId="22" w16cid:durableId="1503468588">
    <w:abstractNumId w:val="19"/>
  </w:num>
  <w:num w:numId="23" w16cid:durableId="303897051">
    <w:abstractNumId w:val="19"/>
  </w:num>
  <w:num w:numId="24" w16cid:durableId="1430546181">
    <w:abstractNumId w:val="19"/>
  </w:num>
  <w:num w:numId="25" w16cid:durableId="273174928">
    <w:abstractNumId w:val="19"/>
  </w:num>
  <w:num w:numId="26" w16cid:durableId="661935929">
    <w:abstractNumId w:val="19"/>
  </w:num>
  <w:num w:numId="27" w16cid:durableId="250895881">
    <w:abstractNumId w:val="19"/>
  </w:num>
  <w:num w:numId="28" w16cid:durableId="1579628921">
    <w:abstractNumId w:val="19"/>
  </w:num>
  <w:num w:numId="29" w16cid:durableId="1637291878">
    <w:abstractNumId w:val="19"/>
  </w:num>
  <w:num w:numId="30" w16cid:durableId="199166968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097"/>
    <w:rsid w:val="0000110B"/>
    <w:rsid w:val="000015B6"/>
    <w:rsid w:val="00001947"/>
    <w:rsid w:val="00001B8C"/>
    <w:rsid w:val="00001D5F"/>
    <w:rsid w:val="00001FF2"/>
    <w:rsid w:val="0000200B"/>
    <w:rsid w:val="00002392"/>
    <w:rsid w:val="000028BE"/>
    <w:rsid w:val="000028C6"/>
    <w:rsid w:val="00002AEA"/>
    <w:rsid w:val="00003499"/>
    <w:rsid w:val="000039B7"/>
    <w:rsid w:val="0000440A"/>
    <w:rsid w:val="000044E9"/>
    <w:rsid w:val="00004D4A"/>
    <w:rsid w:val="000056A8"/>
    <w:rsid w:val="000056B9"/>
    <w:rsid w:val="0000579C"/>
    <w:rsid w:val="00005803"/>
    <w:rsid w:val="00005DBE"/>
    <w:rsid w:val="00006368"/>
    <w:rsid w:val="0000639A"/>
    <w:rsid w:val="000070AF"/>
    <w:rsid w:val="00007898"/>
    <w:rsid w:val="00007A81"/>
    <w:rsid w:val="00007FCF"/>
    <w:rsid w:val="00010EC2"/>
    <w:rsid w:val="00010F68"/>
    <w:rsid w:val="000110A8"/>
    <w:rsid w:val="00011CFB"/>
    <w:rsid w:val="00012679"/>
    <w:rsid w:val="0001271B"/>
    <w:rsid w:val="000131A8"/>
    <w:rsid w:val="00013247"/>
    <w:rsid w:val="0001327A"/>
    <w:rsid w:val="00013893"/>
    <w:rsid w:val="00014311"/>
    <w:rsid w:val="00014856"/>
    <w:rsid w:val="000149F7"/>
    <w:rsid w:val="00014F0C"/>
    <w:rsid w:val="0001502B"/>
    <w:rsid w:val="00015886"/>
    <w:rsid w:val="00015AA5"/>
    <w:rsid w:val="00015B56"/>
    <w:rsid w:val="00015C2C"/>
    <w:rsid w:val="00015DFC"/>
    <w:rsid w:val="000162EF"/>
    <w:rsid w:val="000163FC"/>
    <w:rsid w:val="0001710F"/>
    <w:rsid w:val="000179AC"/>
    <w:rsid w:val="00017C04"/>
    <w:rsid w:val="00020114"/>
    <w:rsid w:val="00020329"/>
    <w:rsid w:val="000207C9"/>
    <w:rsid w:val="00021790"/>
    <w:rsid w:val="000217CC"/>
    <w:rsid w:val="0002184D"/>
    <w:rsid w:val="00021964"/>
    <w:rsid w:val="00021B1B"/>
    <w:rsid w:val="00021E8E"/>
    <w:rsid w:val="00021F15"/>
    <w:rsid w:val="00022217"/>
    <w:rsid w:val="0002225F"/>
    <w:rsid w:val="00022D07"/>
    <w:rsid w:val="00023494"/>
    <w:rsid w:val="000235AE"/>
    <w:rsid w:val="00023763"/>
    <w:rsid w:val="000237B6"/>
    <w:rsid w:val="000243B5"/>
    <w:rsid w:val="000247E1"/>
    <w:rsid w:val="00024B69"/>
    <w:rsid w:val="00024C12"/>
    <w:rsid w:val="00024C1A"/>
    <w:rsid w:val="00024EB5"/>
    <w:rsid w:val="000250B0"/>
    <w:rsid w:val="00025163"/>
    <w:rsid w:val="0002567B"/>
    <w:rsid w:val="000257B8"/>
    <w:rsid w:val="00025996"/>
    <w:rsid w:val="00025A2C"/>
    <w:rsid w:val="00025D3C"/>
    <w:rsid w:val="00026AA2"/>
    <w:rsid w:val="000274B8"/>
    <w:rsid w:val="00027E4F"/>
    <w:rsid w:val="000304BD"/>
    <w:rsid w:val="00031B66"/>
    <w:rsid w:val="000324D4"/>
    <w:rsid w:val="000329BC"/>
    <w:rsid w:val="00033160"/>
    <w:rsid w:val="000332AD"/>
    <w:rsid w:val="00033863"/>
    <w:rsid w:val="00034C4E"/>
    <w:rsid w:val="00034FF0"/>
    <w:rsid w:val="00035807"/>
    <w:rsid w:val="000359E1"/>
    <w:rsid w:val="00035DC0"/>
    <w:rsid w:val="00035FF4"/>
    <w:rsid w:val="00036829"/>
    <w:rsid w:val="00036A4B"/>
    <w:rsid w:val="00036D0F"/>
    <w:rsid w:val="00037CA5"/>
    <w:rsid w:val="00040433"/>
    <w:rsid w:val="000405EE"/>
    <w:rsid w:val="000407C6"/>
    <w:rsid w:val="00040895"/>
    <w:rsid w:val="00040C6D"/>
    <w:rsid w:val="000410A0"/>
    <w:rsid w:val="0004125D"/>
    <w:rsid w:val="0004137C"/>
    <w:rsid w:val="00041A51"/>
    <w:rsid w:val="00041EED"/>
    <w:rsid w:val="00041FD3"/>
    <w:rsid w:val="00042394"/>
    <w:rsid w:val="00042A9A"/>
    <w:rsid w:val="00042FAB"/>
    <w:rsid w:val="000431F5"/>
    <w:rsid w:val="000435EE"/>
    <w:rsid w:val="000438AB"/>
    <w:rsid w:val="00043A61"/>
    <w:rsid w:val="00043C37"/>
    <w:rsid w:val="000449AD"/>
    <w:rsid w:val="00044BC8"/>
    <w:rsid w:val="00044E03"/>
    <w:rsid w:val="00045017"/>
    <w:rsid w:val="0004518A"/>
    <w:rsid w:val="000453FE"/>
    <w:rsid w:val="00045990"/>
    <w:rsid w:val="00045A2B"/>
    <w:rsid w:val="0004626C"/>
    <w:rsid w:val="0004698F"/>
    <w:rsid w:val="00046D64"/>
    <w:rsid w:val="00046DE9"/>
    <w:rsid w:val="00047035"/>
    <w:rsid w:val="0004720C"/>
    <w:rsid w:val="00047225"/>
    <w:rsid w:val="00047625"/>
    <w:rsid w:val="00047810"/>
    <w:rsid w:val="00047BAA"/>
    <w:rsid w:val="00047C73"/>
    <w:rsid w:val="00047C98"/>
    <w:rsid w:val="00047D08"/>
    <w:rsid w:val="00050177"/>
    <w:rsid w:val="000508C2"/>
    <w:rsid w:val="000509E6"/>
    <w:rsid w:val="00050E7A"/>
    <w:rsid w:val="00050EC2"/>
    <w:rsid w:val="00050F97"/>
    <w:rsid w:val="00051071"/>
    <w:rsid w:val="00051671"/>
    <w:rsid w:val="00051691"/>
    <w:rsid w:val="00051EE3"/>
    <w:rsid w:val="00052AC2"/>
    <w:rsid w:val="000536F2"/>
    <w:rsid w:val="000539D0"/>
    <w:rsid w:val="00054621"/>
    <w:rsid w:val="000546D7"/>
    <w:rsid w:val="00054765"/>
    <w:rsid w:val="00054A8D"/>
    <w:rsid w:val="00054D56"/>
    <w:rsid w:val="00054DA8"/>
    <w:rsid w:val="00055D6A"/>
    <w:rsid w:val="00056691"/>
    <w:rsid w:val="00056A3E"/>
    <w:rsid w:val="00056AA5"/>
    <w:rsid w:val="00056ECF"/>
    <w:rsid w:val="00056F8A"/>
    <w:rsid w:val="00060388"/>
    <w:rsid w:val="000604DF"/>
    <w:rsid w:val="00060BC3"/>
    <w:rsid w:val="00061456"/>
    <w:rsid w:val="00062324"/>
    <w:rsid w:val="0006250D"/>
    <w:rsid w:val="00062F62"/>
    <w:rsid w:val="000631C6"/>
    <w:rsid w:val="0006320B"/>
    <w:rsid w:val="00063BA1"/>
    <w:rsid w:val="000641C8"/>
    <w:rsid w:val="00064E56"/>
    <w:rsid w:val="00065101"/>
    <w:rsid w:val="000652F6"/>
    <w:rsid w:val="00065331"/>
    <w:rsid w:val="000653B5"/>
    <w:rsid w:val="00065A0D"/>
    <w:rsid w:val="00065B38"/>
    <w:rsid w:val="00065ED9"/>
    <w:rsid w:val="00065FB1"/>
    <w:rsid w:val="00066360"/>
    <w:rsid w:val="0006676A"/>
    <w:rsid w:val="0006683F"/>
    <w:rsid w:val="00066AF8"/>
    <w:rsid w:val="00066EDF"/>
    <w:rsid w:val="0006774E"/>
    <w:rsid w:val="00070471"/>
    <w:rsid w:val="000706DD"/>
    <w:rsid w:val="00071248"/>
    <w:rsid w:val="000718F4"/>
    <w:rsid w:val="000720B9"/>
    <w:rsid w:val="0007256B"/>
    <w:rsid w:val="00072955"/>
    <w:rsid w:val="00072BF2"/>
    <w:rsid w:val="000734D9"/>
    <w:rsid w:val="000737F7"/>
    <w:rsid w:val="00074579"/>
    <w:rsid w:val="00074982"/>
    <w:rsid w:val="00074FC0"/>
    <w:rsid w:val="0007637B"/>
    <w:rsid w:val="0007672F"/>
    <w:rsid w:val="0007690D"/>
    <w:rsid w:val="00076B54"/>
    <w:rsid w:val="00076EFD"/>
    <w:rsid w:val="000774F0"/>
    <w:rsid w:val="00077C4D"/>
    <w:rsid w:val="00077DD2"/>
    <w:rsid w:val="00080728"/>
    <w:rsid w:val="00080909"/>
    <w:rsid w:val="000812CA"/>
    <w:rsid w:val="00081BBF"/>
    <w:rsid w:val="00081E63"/>
    <w:rsid w:val="00082387"/>
    <w:rsid w:val="000823E1"/>
    <w:rsid w:val="0008258D"/>
    <w:rsid w:val="00082832"/>
    <w:rsid w:val="00082A27"/>
    <w:rsid w:val="000837D3"/>
    <w:rsid w:val="0008393C"/>
    <w:rsid w:val="00083C7D"/>
    <w:rsid w:val="00083E99"/>
    <w:rsid w:val="0008426D"/>
    <w:rsid w:val="0008443C"/>
    <w:rsid w:val="000845B8"/>
    <w:rsid w:val="00084988"/>
    <w:rsid w:val="00084FA8"/>
    <w:rsid w:val="000856C5"/>
    <w:rsid w:val="00085978"/>
    <w:rsid w:val="00085AD0"/>
    <w:rsid w:val="00085C31"/>
    <w:rsid w:val="00085FD2"/>
    <w:rsid w:val="00085FE0"/>
    <w:rsid w:val="00086750"/>
    <w:rsid w:val="00086CAF"/>
    <w:rsid w:val="0008712E"/>
    <w:rsid w:val="0008788A"/>
    <w:rsid w:val="000878E1"/>
    <w:rsid w:val="000902D9"/>
    <w:rsid w:val="0009048A"/>
    <w:rsid w:val="000906ED"/>
    <w:rsid w:val="00090C7E"/>
    <w:rsid w:val="0009102E"/>
    <w:rsid w:val="000911AC"/>
    <w:rsid w:val="00091443"/>
    <w:rsid w:val="000925C2"/>
    <w:rsid w:val="00092600"/>
    <w:rsid w:val="0009262B"/>
    <w:rsid w:val="00092774"/>
    <w:rsid w:val="00092E72"/>
    <w:rsid w:val="00092EED"/>
    <w:rsid w:val="000930FE"/>
    <w:rsid w:val="0009329B"/>
    <w:rsid w:val="00093310"/>
    <w:rsid w:val="000935DF"/>
    <w:rsid w:val="0009445C"/>
    <w:rsid w:val="000946D2"/>
    <w:rsid w:val="000946D3"/>
    <w:rsid w:val="0009482F"/>
    <w:rsid w:val="00094A25"/>
    <w:rsid w:val="00095200"/>
    <w:rsid w:val="00095515"/>
    <w:rsid w:val="000955C2"/>
    <w:rsid w:val="00095E48"/>
    <w:rsid w:val="00095EB2"/>
    <w:rsid w:val="00095EC4"/>
    <w:rsid w:val="00095FE5"/>
    <w:rsid w:val="000961EA"/>
    <w:rsid w:val="00096284"/>
    <w:rsid w:val="00096F84"/>
    <w:rsid w:val="00097113"/>
    <w:rsid w:val="000A03F2"/>
    <w:rsid w:val="000A07DD"/>
    <w:rsid w:val="000A0C17"/>
    <w:rsid w:val="000A0D9B"/>
    <w:rsid w:val="000A18DE"/>
    <w:rsid w:val="000A19DC"/>
    <w:rsid w:val="000A1B0B"/>
    <w:rsid w:val="000A1BC0"/>
    <w:rsid w:val="000A1CDC"/>
    <w:rsid w:val="000A1E29"/>
    <w:rsid w:val="000A2025"/>
    <w:rsid w:val="000A2656"/>
    <w:rsid w:val="000A2C7D"/>
    <w:rsid w:val="000A2F9E"/>
    <w:rsid w:val="000A3B66"/>
    <w:rsid w:val="000A3E0C"/>
    <w:rsid w:val="000A3E47"/>
    <w:rsid w:val="000A522B"/>
    <w:rsid w:val="000A52C8"/>
    <w:rsid w:val="000A53C0"/>
    <w:rsid w:val="000A53F7"/>
    <w:rsid w:val="000A568C"/>
    <w:rsid w:val="000A6039"/>
    <w:rsid w:val="000A6F10"/>
    <w:rsid w:val="000A7453"/>
    <w:rsid w:val="000A785A"/>
    <w:rsid w:val="000A7C26"/>
    <w:rsid w:val="000A7D08"/>
    <w:rsid w:val="000B005B"/>
    <w:rsid w:val="000B0121"/>
    <w:rsid w:val="000B02C9"/>
    <w:rsid w:val="000B055E"/>
    <w:rsid w:val="000B0670"/>
    <w:rsid w:val="000B0C82"/>
    <w:rsid w:val="000B0E75"/>
    <w:rsid w:val="000B104D"/>
    <w:rsid w:val="000B184E"/>
    <w:rsid w:val="000B1ACB"/>
    <w:rsid w:val="000B21D0"/>
    <w:rsid w:val="000B226B"/>
    <w:rsid w:val="000B2418"/>
    <w:rsid w:val="000B24A9"/>
    <w:rsid w:val="000B289E"/>
    <w:rsid w:val="000B2BC1"/>
    <w:rsid w:val="000B2DCB"/>
    <w:rsid w:val="000B3431"/>
    <w:rsid w:val="000B360E"/>
    <w:rsid w:val="000B395E"/>
    <w:rsid w:val="000B3F5F"/>
    <w:rsid w:val="000B4E16"/>
    <w:rsid w:val="000B55EA"/>
    <w:rsid w:val="000B5614"/>
    <w:rsid w:val="000B579D"/>
    <w:rsid w:val="000B5AA4"/>
    <w:rsid w:val="000B5BAE"/>
    <w:rsid w:val="000B5CE0"/>
    <w:rsid w:val="000B5F90"/>
    <w:rsid w:val="000B6193"/>
    <w:rsid w:val="000B62DD"/>
    <w:rsid w:val="000B62F3"/>
    <w:rsid w:val="000B65EB"/>
    <w:rsid w:val="000B67A3"/>
    <w:rsid w:val="000B6CAC"/>
    <w:rsid w:val="000B6CC2"/>
    <w:rsid w:val="000B6D44"/>
    <w:rsid w:val="000B6FF3"/>
    <w:rsid w:val="000B7320"/>
    <w:rsid w:val="000B7612"/>
    <w:rsid w:val="000B78AE"/>
    <w:rsid w:val="000C021D"/>
    <w:rsid w:val="000C037C"/>
    <w:rsid w:val="000C1829"/>
    <w:rsid w:val="000C1B78"/>
    <w:rsid w:val="000C1CEF"/>
    <w:rsid w:val="000C3368"/>
    <w:rsid w:val="000C38A0"/>
    <w:rsid w:val="000C3A1E"/>
    <w:rsid w:val="000C3AE6"/>
    <w:rsid w:val="000C3DF9"/>
    <w:rsid w:val="000C47EA"/>
    <w:rsid w:val="000C4CF2"/>
    <w:rsid w:val="000C4DC6"/>
    <w:rsid w:val="000C50B3"/>
    <w:rsid w:val="000C50B5"/>
    <w:rsid w:val="000C5173"/>
    <w:rsid w:val="000C546B"/>
    <w:rsid w:val="000C5547"/>
    <w:rsid w:val="000C55F0"/>
    <w:rsid w:val="000C57BC"/>
    <w:rsid w:val="000C59E5"/>
    <w:rsid w:val="000C5A3A"/>
    <w:rsid w:val="000C61EE"/>
    <w:rsid w:val="000C62BB"/>
    <w:rsid w:val="000C6371"/>
    <w:rsid w:val="000C6713"/>
    <w:rsid w:val="000C716C"/>
    <w:rsid w:val="000C72C8"/>
    <w:rsid w:val="000C758F"/>
    <w:rsid w:val="000C7B2D"/>
    <w:rsid w:val="000C7FBE"/>
    <w:rsid w:val="000D0209"/>
    <w:rsid w:val="000D04E4"/>
    <w:rsid w:val="000D0A9F"/>
    <w:rsid w:val="000D0BB7"/>
    <w:rsid w:val="000D114A"/>
    <w:rsid w:val="000D14D6"/>
    <w:rsid w:val="000D1BFC"/>
    <w:rsid w:val="000D1D5D"/>
    <w:rsid w:val="000D26FE"/>
    <w:rsid w:val="000D27AF"/>
    <w:rsid w:val="000D281A"/>
    <w:rsid w:val="000D2848"/>
    <w:rsid w:val="000D3214"/>
    <w:rsid w:val="000D326A"/>
    <w:rsid w:val="000D33F1"/>
    <w:rsid w:val="000D39A1"/>
    <w:rsid w:val="000D420A"/>
    <w:rsid w:val="000D43F7"/>
    <w:rsid w:val="000D4550"/>
    <w:rsid w:val="000D4946"/>
    <w:rsid w:val="000D49F7"/>
    <w:rsid w:val="000D4D79"/>
    <w:rsid w:val="000D4F27"/>
    <w:rsid w:val="000D50A3"/>
    <w:rsid w:val="000D51FB"/>
    <w:rsid w:val="000D527E"/>
    <w:rsid w:val="000D5549"/>
    <w:rsid w:val="000D5B11"/>
    <w:rsid w:val="000D5C38"/>
    <w:rsid w:val="000D5FDB"/>
    <w:rsid w:val="000D6288"/>
    <w:rsid w:val="000D6448"/>
    <w:rsid w:val="000D6859"/>
    <w:rsid w:val="000D6924"/>
    <w:rsid w:val="000D6C50"/>
    <w:rsid w:val="000D7C6E"/>
    <w:rsid w:val="000D7D33"/>
    <w:rsid w:val="000E0190"/>
    <w:rsid w:val="000E0465"/>
    <w:rsid w:val="000E0640"/>
    <w:rsid w:val="000E0A0C"/>
    <w:rsid w:val="000E135D"/>
    <w:rsid w:val="000E14E0"/>
    <w:rsid w:val="000E1D79"/>
    <w:rsid w:val="000E1D81"/>
    <w:rsid w:val="000E2989"/>
    <w:rsid w:val="000E2C30"/>
    <w:rsid w:val="000E376F"/>
    <w:rsid w:val="000E3A5A"/>
    <w:rsid w:val="000E4180"/>
    <w:rsid w:val="000E4983"/>
    <w:rsid w:val="000E4FCA"/>
    <w:rsid w:val="000E5CDB"/>
    <w:rsid w:val="000E613D"/>
    <w:rsid w:val="000E6477"/>
    <w:rsid w:val="000E6651"/>
    <w:rsid w:val="000E73AF"/>
    <w:rsid w:val="000F00BA"/>
    <w:rsid w:val="000F0D0B"/>
    <w:rsid w:val="000F1285"/>
    <w:rsid w:val="000F1385"/>
    <w:rsid w:val="000F1A0D"/>
    <w:rsid w:val="000F1E7B"/>
    <w:rsid w:val="000F1FE1"/>
    <w:rsid w:val="000F25E4"/>
    <w:rsid w:val="000F316A"/>
    <w:rsid w:val="000F3219"/>
    <w:rsid w:val="000F353B"/>
    <w:rsid w:val="000F3985"/>
    <w:rsid w:val="000F3C74"/>
    <w:rsid w:val="000F410E"/>
    <w:rsid w:val="000F4427"/>
    <w:rsid w:val="000F4BB8"/>
    <w:rsid w:val="000F4FA9"/>
    <w:rsid w:val="000F51D1"/>
    <w:rsid w:val="000F51D5"/>
    <w:rsid w:val="000F5309"/>
    <w:rsid w:val="000F53FB"/>
    <w:rsid w:val="000F5688"/>
    <w:rsid w:val="000F57A5"/>
    <w:rsid w:val="000F5806"/>
    <w:rsid w:val="000F59F9"/>
    <w:rsid w:val="000F5E78"/>
    <w:rsid w:val="000F5EF5"/>
    <w:rsid w:val="000F621A"/>
    <w:rsid w:val="000F6414"/>
    <w:rsid w:val="000F6FBD"/>
    <w:rsid w:val="000F7127"/>
    <w:rsid w:val="000F7695"/>
    <w:rsid w:val="000F777C"/>
    <w:rsid w:val="000F790F"/>
    <w:rsid w:val="000F7B54"/>
    <w:rsid w:val="001000B3"/>
    <w:rsid w:val="0010052D"/>
    <w:rsid w:val="00100654"/>
    <w:rsid w:val="00100F8A"/>
    <w:rsid w:val="001016AC"/>
    <w:rsid w:val="00101CF4"/>
    <w:rsid w:val="00101EEA"/>
    <w:rsid w:val="001021D7"/>
    <w:rsid w:val="00102368"/>
    <w:rsid w:val="00102434"/>
    <w:rsid w:val="00102CDB"/>
    <w:rsid w:val="001032D4"/>
    <w:rsid w:val="0010360E"/>
    <w:rsid w:val="00103E68"/>
    <w:rsid w:val="001040D8"/>
    <w:rsid w:val="0010452E"/>
    <w:rsid w:val="0010597A"/>
    <w:rsid w:val="00105AE2"/>
    <w:rsid w:val="00105BCB"/>
    <w:rsid w:val="00105C10"/>
    <w:rsid w:val="00105D71"/>
    <w:rsid w:val="001060C6"/>
    <w:rsid w:val="00106AA6"/>
    <w:rsid w:val="00106B80"/>
    <w:rsid w:val="00106C51"/>
    <w:rsid w:val="0010707B"/>
    <w:rsid w:val="00107348"/>
    <w:rsid w:val="001073F0"/>
    <w:rsid w:val="0010783D"/>
    <w:rsid w:val="00107C9F"/>
    <w:rsid w:val="0011032E"/>
    <w:rsid w:val="00110C9A"/>
    <w:rsid w:val="00111327"/>
    <w:rsid w:val="00111BB0"/>
    <w:rsid w:val="00112AF9"/>
    <w:rsid w:val="00112C61"/>
    <w:rsid w:val="00112D72"/>
    <w:rsid w:val="00112FC3"/>
    <w:rsid w:val="0011346C"/>
    <w:rsid w:val="0011348B"/>
    <w:rsid w:val="00113AA3"/>
    <w:rsid w:val="00113B66"/>
    <w:rsid w:val="00113D4C"/>
    <w:rsid w:val="00114317"/>
    <w:rsid w:val="00114432"/>
    <w:rsid w:val="00114566"/>
    <w:rsid w:val="00114E59"/>
    <w:rsid w:val="00115982"/>
    <w:rsid w:val="00115CFE"/>
    <w:rsid w:val="001160CD"/>
    <w:rsid w:val="00116333"/>
    <w:rsid w:val="00116436"/>
    <w:rsid w:val="00116C53"/>
    <w:rsid w:val="0012013E"/>
    <w:rsid w:val="00120477"/>
    <w:rsid w:val="001206F6"/>
    <w:rsid w:val="0012093D"/>
    <w:rsid w:val="0012134B"/>
    <w:rsid w:val="0012167B"/>
    <w:rsid w:val="00121799"/>
    <w:rsid w:val="0012193A"/>
    <w:rsid w:val="00121DDF"/>
    <w:rsid w:val="001222FC"/>
    <w:rsid w:val="00122CC8"/>
    <w:rsid w:val="00122E3F"/>
    <w:rsid w:val="001235F0"/>
    <w:rsid w:val="00123626"/>
    <w:rsid w:val="00123902"/>
    <w:rsid w:val="0012409B"/>
    <w:rsid w:val="0012433A"/>
    <w:rsid w:val="001243AD"/>
    <w:rsid w:val="00124A51"/>
    <w:rsid w:val="00125287"/>
    <w:rsid w:val="00125800"/>
    <w:rsid w:val="00125C14"/>
    <w:rsid w:val="00125D66"/>
    <w:rsid w:val="00125EBD"/>
    <w:rsid w:val="00126621"/>
    <w:rsid w:val="00126B1D"/>
    <w:rsid w:val="00126C40"/>
    <w:rsid w:val="00126FA5"/>
    <w:rsid w:val="001278C3"/>
    <w:rsid w:val="00127B3F"/>
    <w:rsid w:val="00127EAC"/>
    <w:rsid w:val="001301E9"/>
    <w:rsid w:val="00130826"/>
    <w:rsid w:val="00130A34"/>
    <w:rsid w:val="00130E29"/>
    <w:rsid w:val="00131015"/>
    <w:rsid w:val="00131263"/>
    <w:rsid w:val="00131283"/>
    <w:rsid w:val="00131430"/>
    <w:rsid w:val="00131D82"/>
    <w:rsid w:val="00132859"/>
    <w:rsid w:val="00132B22"/>
    <w:rsid w:val="00132BAB"/>
    <w:rsid w:val="001331BD"/>
    <w:rsid w:val="00133207"/>
    <w:rsid w:val="00133C4E"/>
    <w:rsid w:val="00133D36"/>
    <w:rsid w:val="00133F70"/>
    <w:rsid w:val="0013417B"/>
    <w:rsid w:val="00134213"/>
    <w:rsid w:val="0013463C"/>
    <w:rsid w:val="00134DFB"/>
    <w:rsid w:val="00135069"/>
    <w:rsid w:val="00135414"/>
    <w:rsid w:val="00135423"/>
    <w:rsid w:val="001358FA"/>
    <w:rsid w:val="00135F6A"/>
    <w:rsid w:val="0013610A"/>
    <w:rsid w:val="001365D9"/>
    <w:rsid w:val="0013685F"/>
    <w:rsid w:val="00136916"/>
    <w:rsid w:val="00136CCE"/>
    <w:rsid w:val="00136E6F"/>
    <w:rsid w:val="001371C7"/>
    <w:rsid w:val="00137645"/>
    <w:rsid w:val="00137ABE"/>
    <w:rsid w:val="0014015A"/>
    <w:rsid w:val="00140A86"/>
    <w:rsid w:val="00140E99"/>
    <w:rsid w:val="001417AB"/>
    <w:rsid w:val="00142677"/>
    <w:rsid w:val="001430CF"/>
    <w:rsid w:val="00143E97"/>
    <w:rsid w:val="00143F67"/>
    <w:rsid w:val="00144758"/>
    <w:rsid w:val="00144D6B"/>
    <w:rsid w:val="00145234"/>
    <w:rsid w:val="00145428"/>
    <w:rsid w:val="00145540"/>
    <w:rsid w:val="001456B0"/>
    <w:rsid w:val="00145B83"/>
    <w:rsid w:val="001467D9"/>
    <w:rsid w:val="00146B6A"/>
    <w:rsid w:val="00146D02"/>
    <w:rsid w:val="0014741F"/>
    <w:rsid w:val="00147892"/>
    <w:rsid w:val="00147947"/>
    <w:rsid w:val="00147E44"/>
    <w:rsid w:val="0014AC89"/>
    <w:rsid w:val="0015010D"/>
    <w:rsid w:val="00150CE7"/>
    <w:rsid w:val="00150F3B"/>
    <w:rsid w:val="001513A9"/>
    <w:rsid w:val="001514F6"/>
    <w:rsid w:val="00152487"/>
    <w:rsid w:val="00152AE8"/>
    <w:rsid w:val="00153300"/>
    <w:rsid w:val="0015338F"/>
    <w:rsid w:val="001542F9"/>
    <w:rsid w:val="0015440B"/>
    <w:rsid w:val="00154630"/>
    <w:rsid w:val="001547AB"/>
    <w:rsid w:val="001549A7"/>
    <w:rsid w:val="00154EB9"/>
    <w:rsid w:val="00154F7F"/>
    <w:rsid w:val="00154F9E"/>
    <w:rsid w:val="001563B4"/>
    <w:rsid w:val="00156B6A"/>
    <w:rsid w:val="00156F8F"/>
    <w:rsid w:val="00157130"/>
    <w:rsid w:val="001576B1"/>
    <w:rsid w:val="00157EA7"/>
    <w:rsid w:val="0016047B"/>
    <w:rsid w:val="00160715"/>
    <w:rsid w:val="00160905"/>
    <w:rsid w:val="00160A4C"/>
    <w:rsid w:val="00161592"/>
    <w:rsid w:val="001621CD"/>
    <w:rsid w:val="00162522"/>
    <w:rsid w:val="001626C5"/>
    <w:rsid w:val="00162913"/>
    <w:rsid w:val="001629FA"/>
    <w:rsid w:val="00162BB5"/>
    <w:rsid w:val="001631B9"/>
    <w:rsid w:val="001633A3"/>
    <w:rsid w:val="0016388F"/>
    <w:rsid w:val="00163EFF"/>
    <w:rsid w:val="00163F66"/>
    <w:rsid w:val="001640F2"/>
    <w:rsid w:val="00164719"/>
    <w:rsid w:val="0016478E"/>
    <w:rsid w:val="001647E4"/>
    <w:rsid w:val="00164DDF"/>
    <w:rsid w:val="00165EC4"/>
    <w:rsid w:val="00165FB9"/>
    <w:rsid w:val="001661FB"/>
    <w:rsid w:val="0016652C"/>
    <w:rsid w:val="00166620"/>
    <w:rsid w:val="00166DD6"/>
    <w:rsid w:val="001671A0"/>
    <w:rsid w:val="00167547"/>
    <w:rsid w:val="0016767F"/>
    <w:rsid w:val="00167A95"/>
    <w:rsid w:val="00167DFD"/>
    <w:rsid w:val="00167EB4"/>
    <w:rsid w:val="0017019D"/>
    <w:rsid w:val="00170314"/>
    <w:rsid w:val="00171005"/>
    <w:rsid w:val="0017120D"/>
    <w:rsid w:val="001712EA"/>
    <w:rsid w:val="001714D9"/>
    <w:rsid w:val="0017232A"/>
    <w:rsid w:val="0017245A"/>
    <w:rsid w:val="001724BE"/>
    <w:rsid w:val="00172DB2"/>
    <w:rsid w:val="001731E7"/>
    <w:rsid w:val="00173565"/>
    <w:rsid w:val="00173B07"/>
    <w:rsid w:val="00173FD2"/>
    <w:rsid w:val="001742E2"/>
    <w:rsid w:val="00174E50"/>
    <w:rsid w:val="00174F95"/>
    <w:rsid w:val="001751FA"/>
    <w:rsid w:val="00175E3A"/>
    <w:rsid w:val="00176278"/>
    <w:rsid w:val="0017667E"/>
    <w:rsid w:val="00176C73"/>
    <w:rsid w:val="00176C92"/>
    <w:rsid w:val="00176D07"/>
    <w:rsid w:val="00176DC7"/>
    <w:rsid w:val="00176F74"/>
    <w:rsid w:val="0017765F"/>
    <w:rsid w:val="00177C9E"/>
    <w:rsid w:val="00180729"/>
    <w:rsid w:val="00181130"/>
    <w:rsid w:val="0018145F"/>
    <w:rsid w:val="00181695"/>
    <w:rsid w:val="00181C10"/>
    <w:rsid w:val="00181D9C"/>
    <w:rsid w:val="00182BC0"/>
    <w:rsid w:val="00182C07"/>
    <w:rsid w:val="001834EE"/>
    <w:rsid w:val="001837FF"/>
    <w:rsid w:val="001844CE"/>
    <w:rsid w:val="00184B0E"/>
    <w:rsid w:val="00184EC3"/>
    <w:rsid w:val="001850EF"/>
    <w:rsid w:val="00185147"/>
    <w:rsid w:val="00185A28"/>
    <w:rsid w:val="00185D8C"/>
    <w:rsid w:val="001861F7"/>
    <w:rsid w:val="001864B9"/>
    <w:rsid w:val="001874E3"/>
    <w:rsid w:val="0018752F"/>
    <w:rsid w:val="00187BF5"/>
    <w:rsid w:val="001905DA"/>
    <w:rsid w:val="001907C7"/>
    <w:rsid w:val="00190B63"/>
    <w:rsid w:val="00190E8D"/>
    <w:rsid w:val="00190FA9"/>
    <w:rsid w:val="00191AB6"/>
    <w:rsid w:val="00192DC4"/>
    <w:rsid w:val="00193838"/>
    <w:rsid w:val="001947CF"/>
    <w:rsid w:val="00194AD8"/>
    <w:rsid w:val="00195222"/>
    <w:rsid w:val="00195452"/>
    <w:rsid w:val="00195921"/>
    <w:rsid w:val="00195A70"/>
    <w:rsid w:val="00195AB8"/>
    <w:rsid w:val="00195C05"/>
    <w:rsid w:val="00195C35"/>
    <w:rsid w:val="00195E44"/>
    <w:rsid w:val="00196DE6"/>
    <w:rsid w:val="0019753D"/>
    <w:rsid w:val="001975D8"/>
    <w:rsid w:val="0019795D"/>
    <w:rsid w:val="001A0351"/>
    <w:rsid w:val="001A04AE"/>
    <w:rsid w:val="001A0B76"/>
    <w:rsid w:val="001A12C8"/>
    <w:rsid w:val="001A141E"/>
    <w:rsid w:val="001A178E"/>
    <w:rsid w:val="001A17B4"/>
    <w:rsid w:val="001A190F"/>
    <w:rsid w:val="001A3A86"/>
    <w:rsid w:val="001A3EA2"/>
    <w:rsid w:val="001A4363"/>
    <w:rsid w:val="001A43A1"/>
    <w:rsid w:val="001A43FA"/>
    <w:rsid w:val="001A4753"/>
    <w:rsid w:val="001A47C5"/>
    <w:rsid w:val="001A49D0"/>
    <w:rsid w:val="001A49DA"/>
    <w:rsid w:val="001A4B1C"/>
    <w:rsid w:val="001A59FB"/>
    <w:rsid w:val="001A5D0D"/>
    <w:rsid w:val="001A5E14"/>
    <w:rsid w:val="001A5E9E"/>
    <w:rsid w:val="001A6354"/>
    <w:rsid w:val="001A6366"/>
    <w:rsid w:val="001A7009"/>
    <w:rsid w:val="001A7AE8"/>
    <w:rsid w:val="001A7BEE"/>
    <w:rsid w:val="001A7E03"/>
    <w:rsid w:val="001A7EF2"/>
    <w:rsid w:val="001A7F1B"/>
    <w:rsid w:val="001A7FBF"/>
    <w:rsid w:val="001B0155"/>
    <w:rsid w:val="001B01E6"/>
    <w:rsid w:val="001B0266"/>
    <w:rsid w:val="001B02A2"/>
    <w:rsid w:val="001B03AE"/>
    <w:rsid w:val="001B05E6"/>
    <w:rsid w:val="001B0735"/>
    <w:rsid w:val="001B1AB3"/>
    <w:rsid w:val="001B1C3A"/>
    <w:rsid w:val="001B204E"/>
    <w:rsid w:val="001B2372"/>
    <w:rsid w:val="001B23ED"/>
    <w:rsid w:val="001B2634"/>
    <w:rsid w:val="001B28B7"/>
    <w:rsid w:val="001B2CC0"/>
    <w:rsid w:val="001B3443"/>
    <w:rsid w:val="001B4314"/>
    <w:rsid w:val="001B44FB"/>
    <w:rsid w:val="001B4D20"/>
    <w:rsid w:val="001B5200"/>
    <w:rsid w:val="001B571D"/>
    <w:rsid w:val="001B62A2"/>
    <w:rsid w:val="001B6468"/>
    <w:rsid w:val="001B6691"/>
    <w:rsid w:val="001B69DB"/>
    <w:rsid w:val="001B6C89"/>
    <w:rsid w:val="001B75C9"/>
    <w:rsid w:val="001B75D7"/>
    <w:rsid w:val="001B7F84"/>
    <w:rsid w:val="001C105D"/>
    <w:rsid w:val="001C12F4"/>
    <w:rsid w:val="001C153D"/>
    <w:rsid w:val="001C1F76"/>
    <w:rsid w:val="001C2899"/>
    <w:rsid w:val="001C2A9B"/>
    <w:rsid w:val="001C2BBE"/>
    <w:rsid w:val="001C3DD6"/>
    <w:rsid w:val="001C4299"/>
    <w:rsid w:val="001C470E"/>
    <w:rsid w:val="001C4874"/>
    <w:rsid w:val="001C4C28"/>
    <w:rsid w:val="001C4DF5"/>
    <w:rsid w:val="001C4E0D"/>
    <w:rsid w:val="001C4E34"/>
    <w:rsid w:val="001C5218"/>
    <w:rsid w:val="001C541B"/>
    <w:rsid w:val="001C56B2"/>
    <w:rsid w:val="001C5F94"/>
    <w:rsid w:val="001C66A3"/>
    <w:rsid w:val="001C6D07"/>
    <w:rsid w:val="001C6E03"/>
    <w:rsid w:val="001C6E66"/>
    <w:rsid w:val="001C6FFF"/>
    <w:rsid w:val="001C7450"/>
    <w:rsid w:val="001C7517"/>
    <w:rsid w:val="001C7788"/>
    <w:rsid w:val="001D05F8"/>
    <w:rsid w:val="001D069B"/>
    <w:rsid w:val="001D0F40"/>
    <w:rsid w:val="001D1100"/>
    <w:rsid w:val="001D1391"/>
    <w:rsid w:val="001D1BF5"/>
    <w:rsid w:val="001D240A"/>
    <w:rsid w:val="001D25D7"/>
    <w:rsid w:val="001D2673"/>
    <w:rsid w:val="001D2B82"/>
    <w:rsid w:val="001D3309"/>
    <w:rsid w:val="001D35CC"/>
    <w:rsid w:val="001D3B40"/>
    <w:rsid w:val="001D3DED"/>
    <w:rsid w:val="001D50B2"/>
    <w:rsid w:val="001D53A5"/>
    <w:rsid w:val="001D5C86"/>
    <w:rsid w:val="001D5F3F"/>
    <w:rsid w:val="001D6AF4"/>
    <w:rsid w:val="001D6E7D"/>
    <w:rsid w:val="001D6F13"/>
    <w:rsid w:val="001D71F4"/>
    <w:rsid w:val="001D7645"/>
    <w:rsid w:val="001D7F50"/>
    <w:rsid w:val="001E00F1"/>
    <w:rsid w:val="001E0205"/>
    <w:rsid w:val="001E045D"/>
    <w:rsid w:val="001E0FD8"/>
    <w:rsid w:val="001E162F"/>
    <w:rsid w:val="001E1E86"/>
    <w:rsid w:val="001E238E"/>
    <w:rsid w:val="001E2483"/>
    <w:rsid w:val="001E2B1E"/>
    <w:rsid w:val="001E2CFF"/>
    <w:rsid w:val="001E2F24"/>
    <w:rsid w:val="001E30D4"/>
    <w:rsid w:val="001E34DF"/>
    <w:rsid w:val="001E351E"/>
    <w:rsid w:val="001E391C"/>
    <w:rsid w:val="001E3AD8"/>
    <w:rsid w:val="001E3FA7"/>
    <w:rsid w:val="001E48B2"/>
    <w:rsid w:val="001E4E47"/>
    <w:rsid w:val="001E5184"/>
    <w:rsid w:val="001E52EB"/>
    <w:rsid w:val="001E531A"/>
    <w:rsid w:val="001E56C6"/>
    <w:rsid w:val="001E5A7E"/>
    <w:rsid w:val="001E5CB4"/>
    <w:rsid w:val="001E601B"/>
    <w:rsid w:val="001E61D2"/>
    <w:rsid w:val="001E6358"/>
    <w:rsid w:val="001E6564"/>
    <w:rsid w:val="001E6C49"/>
    <w:rsid w:val="001E70E0"/>
    <w:rsid w:val="001E7116"/>
    <w:rsid w:val="001E7185"/>
    <w:rsid w:val="001E71E1"/>
    <w:rsid w:val="001E740C"/>
    <w:rsid w:val="001E7F32"/>
    <w:rsid w:val="001E7F98"/>
    <w:rsid w:val="001F1235"/>
    <w:rsid w:val="001F1AEA"/>
    <w:rsid w:val="001F1B07"/>
    <w:rsid w:val="001F1CB3"/>
    <w:rsid w:val="001F2167"/>
    <w:rsid w:val="001F2505"/>
    <w:rsid w:val="001F263B"/>
    <w:rsid w:val="001F284B"/>
    <w:rsid w:val="001F2C0D"/>
    <w:rsid w:val="001F2E56"/>
    <w:rsid w:val="001F38B5"/>
    <w:rsid w:val="001F3FB5"/>
    <w:rsid w:val="001F403F"/>
    <w:rsid w:val="001F4081"/>
    <w:rsid w:val="001F430C"/>
    <w:rsid w:val="001F44CD"/>
    <w:rsid w:val="001F5C20"/>
    <w:rsid w:val="001F60A3"/>
    <w:rsid w:val="001F68D3"/>
    <w:rsid w:val="001F7361"/>
    <w:rsid w:val="001F7C72"/>
    <w:rsid w:val="001F7D00"/>
    <w:rsid w:val="001F7EEF"/>
    <w:rsid w:val="001F7F05"/>
    <w:rsid w:val="00200D82"/>
    <w:rsid w:val="002011B0"/>
    <w:rsid w:val="002013DE"/>
    <w:rsid w:val="00201A8D"/>
    <w:rsid w:val="00201D6A"/>
    <w:rsid w:val="00201F67"/>
    <w:rsid w:val="002021D8"/>
    <w:rsid w:val="00202E2F"/>
    <w:rsid w:val="00203181"/>
    <w:rsid w:val="00203463"/>
    <w:rsid w:val="00203783"/>
    <w:rsid w:val="0020385F"/>
    <w:rsid w:val="00203D7F"/>
    <w:rsid w:val="00204B27"/>
    <w:rsid w:val="00205245"/>
    <w:rsid w:val="00205383"/>
    <w:rsid w:val="00205E45"/>
    <w:rsid w:val="002063E8"/>
    <w:rsid w:val="0020644B"/>
    <w:rsid w:val="002068A0"/>
    <w:rsid w:val="00207021"/>
    <w:rsid w:val="0020713E"/>
    <w:rsid w:val="0020732F"/>
    <w:rsid w:val="00207D00"/>
    <w:rsid w:val="00207E80"/>
    <w:rsid w:val="002105C1"/>
    <w:rsid w:val="00210BC3"/>
    <w:rsid w:val="00210FC0"/>
    <w:rsid w:val="00211623"/>
    <w:rsid w:val="002116FD"/>
    <w:rsid w:val="002116FF"/>
    <w:rsid w:val="0021183F"/>
    <w:rsid w:val="00211BB2"/>
    <w:rsid w:val="00211F3A"/>
    <w:rsid w:val="0021200E"/>
    <w:rsid w:val="00212169"/>
    <w:rsid w:val="00212434"/>
    <w:rsid w:val="0021275C"/>
    <w:rsid w:val="00212792"/>
    <w:rsid w:val="00213062"/>
    <w:rsid w:val="002134B4"/>
    <w:rsid w:val="00213C4D"/>
    <w:rsid w:val="00213EF5"/>
    <w:rsid w:val="0021421D"/>
    <w:rsid w:val="0021479B"/>
    <w:rsid w:val="002149AB"/>
    <w:rsid w:val="002149EB"/>
    <w:rsid w:val="00214F4B"/>
    <w:rsid w:val="002153A3"/>
    <w:rsid w:val="00215A53"/>
    <w:rsid w:val="00215BED"/>
    <w:rsid w:val="00215CD3"/>
    <w:rsid w:val="0021629D"/>
    <w:rsid w:val="002167A5"/>
    <w:rsid w:val="00216B7F"/>
    <w:rsid w:val="00216BD0"/>
    <w:rsid w:val="00216BF5"/>
    <w:rsid w:val="002171A7"/>
    <w:rsid w:val="00217E6E"/>
    <w:rsid w:val="00220001"/>
    <w:rsid w:val="00220071"/>
    <w:rsid w:val="00220B1F"/>
    <w:rsid w:val="00220F0F"/>
    <w:rsid w:val="00221B23"/>
    <w:rsid w:val="00221B9E"/>
    <w:rsid w:val="0022248F"/>
    <w:rsid w:val="002224E0"/>
    <w:rsid w:val="00222C71"/>
    <w:rsid w:val="002230F6"/>
    <w:rsid w:val="00223104"/>
    <w:rsid w:val="002233F7"/>
    <w:rsid w:val="00223A6A"/>
    <w:rsid w:val="00223B49"/>
    <w:rsid w:val="00223D5A"/>
    <w:rsid w:val="002245FC"/>
    <w:rsid w:val="00224DD4"/>
    <w:rsid w:val="002255DA"/>
    <w:rsid w:val="0022586D"/>
    <w:rsid w:val="00225FDC"/>
    <w:rsid w:val="00226A32"/>
    <w:rsid w:val="00226D03"/>
    <w:rsid w:val="002278A0"/>
    <w:rsid w:val="00227D8A"/>
    <w:rsid w:val="00230295"/>
    <w:rsid w:val="002302EB"/>
    <w:rsid w:val="00230995"/>
    <w:rsid w:val="002309CC"/>
    <w:rsid w:val="00230A17"/>
    <w:rsid w:val="00231393"/>
    <w:rsid w:val="002314A6"/>
    <w:rsid w:val="00231580"/>
    <w:rsid w:val="0023195D"/>
    <w:rsid w:val="00231BA9"/>
    <w:rsid w:val="00231C29"/>
    <w:rsid w:val="0023209F"/>
    <w:rsid w:val="00232321"/>
    <w:rsid w:val="00232510"/>
    <w:rsid w:val="00232625"/>
    <w:rsid w:val="00233204"/>
    <w:rsid w:val="002337C2"/>
    <w:rsid w:val="00233A10"/>
    <w:rsid w:val="00233BF9"/>
    <w:rsid w:val="00233C01"/>
    <w:rsid w:val="00233D7C"/>
    <w:rsid w:val="0023413C"/>
    <w:rsid w:val="0023458D"/>
    <w:rsid w:val="0023461B"/>
    <w:rsid w:val="002346F0"/>
    <w:rsid w:val="00234728"/>
    <w:rsid w:val="0023481A"/>
    <w:rsid w:val="0023518E"/>
    <w:rsid w:val="00235769"/>
    <w:rsid w:val="00235961"/>
    <w:rsid w:val="00235B8B"/>
    <w:rsid w:val="0023629D"/>
    <w:rsid w:val="00237255"/>
    <w:rsid w:val="00237FC3"/>
    <w:rsid w:val="00240133"/>
    <w:rsid w:val="00240690"/>
    <w:rsid w:val="00240B41"/>
    <w:rsid w:val="00241F4B"/>
    <w:rsid w:val="002424AF"/>
    <w:rsid w:val="00242D15"/>
    <w:rsid w:val="002439DC"/>
    <w:rsid w:val="00243D3B"/>
    <w:rsid w:val="002441D2"/>
    <w:rsid w:val="00244DC8"/>
    <w:rsid w:val="00244F76"/>
    <w:rsid w:val="002456DD"/>
    <w:rsid w:val="002458B2"/>
    <w:rsid w:val="002458BA"/>
    <w:rsid w:val="00245CE9"/>
    <w:rsid w:val="0024601B"/>
    <w:rsid w:val="0024636C"/>
    <w:rsid w:val="002467A4"/>
    <w:rsid w:val="00246AF9"/>
    <w:rsid w:val="00246D3B"/>
    <w:rsid w:val="00247925"/>
    <w:rsid w:val="00250703"/>
    <w:rsid w:val="00251006"/>
    <w:rsid w:val="002515CC"/>
    <w:rsid w:val="002520EA"/>
    <w:rsid w:val="002524D5"/>
    <w:rsid w:val="0025264C"/>
    <w:rsid w:val="002528B4"/>
    <w:rsid w:val="002531DE"/>
    <w:rsid w:val="002531F0"/>
    <w:rsid w:val="00253897"/>
    <w:rsid w:val="00253B1D"/>
    <w:rsid w:val="00253E57"/>
    <w:rsid w:val="0025427F"/>
    <w:rsid w:val="00254B1D"/>
    <w:rsid w:val="00254D01"/>
    <w:rsid w:val="00254DCF"/>
    <w:rsid w:val="0025534B"/>
    <w:rsid w:val="00255737"/>
    <w:rsid w:val="002557DD"/>
    <w:rsid w:val="002557FF"/>
    <w:rsid w:val="00255AA2"/>
    <w:rsid w:val="00255BB7"/>
    <w:rsid w:val="00255F38"/>
    <w:rsid w:val="00256096"/>
    <w:rsid w:val="00257241"/>
    <w:rsid w:val="00257332"/>
    <w:rsid w:val="002573C5"/>
    <w:rsid w:val="00257541"/>
    <w:rsid w:val="00257A39"/>
    <w:rsid w:val="00257AC4"/>
    <w:rsid w:val="00257BBE"/>
    <w:rsid w:val="002605A5"/>
    <w:rsid w:val="00260E76"/>
    <w:rsid w:val="00260FD7"/>
    <w:rsid w:val="00261603"/>
    <w:rsid w:val="00261EEF"/>
    <w:rsid w:val="00261FB3"/>
    <w:rsid w:val="00262A1A"/>
    <w:rsid w:val="00262A87"/>
    <w:rsid w:val="00262D83"/>
    <w:rsid w:val="0026398F"/>
    <w:rsid w:val="0026399B"/>
    <w:rsid w:val="00264D26"/>
    <w:rsid w:val="002651FC"/>
    <w:rsid w:val="00265B1A"/>
    <w:rsid w:val="00265D75"/>
    <w:rsid w:val="00266627"/>
    <w:rsid w:val="002666E9"/>
    <w:rsid w:val="0026697A"/>
    <w:rsid w:val="00267468"/>
    <w:rsid w:val="002675DC"/>
    <w:rsid w:val="00267642"/>
    <w:rsid w:val="00267AEA"/>
    <w:rsid w:val="00267E6D"/>
    <w:rsid w:val="00267F1A"/>
    <w:rsid w:val="0027003E"/>
    <w:rsid w:val="002700E6"/>
    <w:rsid w:val="00270EC7"/>
    <w:rsid w:val="00271224"/>
    <w:rsid w:val="00271A7C"/>
    <w:rsid w:val="00271BDD"/>
    <w:rsid w:val="0027252C"/>
    <w:rsid w:val="0027294B"/>
    <w:rsid w:val="00272CB6"/>
    <w:rsid w:val="00273152"/>
    <w:rsid w:val="00273C3F"/>
    <w:rsid w:val="00273EB4"/>
    <w:rsid w:val="00273FBE"/>
    <w:rsid w:val="00274637"/>
    <w:rsid w:val="00274682"/>
    <w:rsid w:val="00274C5F"/>
    <w:rsid w:val="00275158"/>
    <w:rsid w:val="002752E5"/>
    <w:rsid w:val="00275BCA"/>
    <w:rsid w:val="00275C5A"/>
    <w:rsid w:val="00276C2E"/>
    <w:rsid w:val="00276DF7"/>
    <w:rsid w:val="0027710B"/>
    <w:rsid w:val="00280118"/>
    <w:rsid w:val="00280334"/>
    <w:rsid w:val="00281014"/>
    <w:rsid w:val="00281586"/>
    <w:rsid w:val="0028203B"/>
    <w:rsid w:val="0028211B"/>
    <w:rsid w:val="0028240A"/>
    <w:rsid w:val="0028345A"/>
    <w:rsid w:val="002839BA"/>
    <w:rsid w:val="0028408D"/>
    <w:rsid w:val="00284A02"/>
    <w:rsid w:val="00284BC9"/>
    <w:rsid w:val="002850A2"/>
    <w:rsid w:val="00285BCE"/>
    <w:rsid w:val="00285D69"/>
    <w:rsid w:val="00285F5A"/>
    <w:rsid w:val="00285F62"/>
    <w:rsid w:val="00285F72"/>
    <w:rsid w:val="0028665D"/>
    <w:rsid w:val="0028687D"/>
    <w:rsid w:val="00286DDF"/>
    <w:rsid w:val="0028725A"/>
    <w:rsid w:val="002874BE"/>
    <w:rsid w:val="0028773F"/>
    <w:rsid w:val="00287853"/>
    <w:rsid w:val="00287D52"/>
    <w:rsid w:val="002907E9"/>
    <w:rsid w:val="00290A68"/>
    <w:rsid w:val="00290AE7"/>
    <w:rsid w:val="00290DD2"/>
    <w:rsid w:val="002919C5"/>
    <w:rsid w:val="00292271"/>
    <w:rsid w:val="002923D4"/>
    <w:rsid w:val="002924F1"/>
    <w:rsid w:val="002927D1"/>
    <w:rsid w:val="00293218"/>
    <w:rsid w:val="00293531"/>
    <w:rsid w:val="0029368F"/>
    <w:rsid w:val="00293AB5"/>
    <w:rsid w:val="00293CE2"/>
    <w:rsid w:val="00293E05"/>
    <w:rsid w:val="00294C92"/>
    <w:rsid w:val="00295CFB"/>
    <w:rsid w:val="002960CA"/>
    <w:rsid w:val="00296E55"/>
    <w:rsid w:val="002972DC"/>
    <w:rsid w:val="002974EB"/>
    <w:rsid w:val="0029763F"/>
    <w:rsid w:val="00297E07"/>
    <w:rsid w:val="002A08FB"/>
    <w:rsid w:val="002A10A9"/>
    <w:rsid w:val="002A14AB"/>
    <w:rsid w:val="002A172A"/>
    <w:rsid w:val="002A1953"/>
    <w:rsid w:val="002A1C72"/>
    <w:rsid w:val="002A2ADE"/>
    <w:rsid w:val="002A2BD1"/>
    <w:rsid w:val="002A2CBC"/>
    <w:rsid w:val="002A2DC9"/>
    <w:rsid w:val="002A2F50"/>
    <w:rsid w:val="002A32A3"/>
    <w:rsid w:val="002A3D00"/>
    <w:rsid w:val="002A4249"/>
    <w:rsid w:val="002A44C4"/>
    <w:rsid w:val="002A559E"/>
    <w:rsid w:val="002A5919"/>
    <w:rsid w:val="002A6029"/>
    <w:rsid w:val="002A680E"/>
    <w:rsid w:val="002A6954"/>
    <w:rsid w:val="002A6AA2"/>
    <w:rsid w:val="002A6D35"/>
    <w:rsid w:val="002A7493"/>
    <w:rsid w:val="002A7943"/>
    <w:rsid w:val="002B03FF"/>
    <w:rsid w:val="002B05A1"/>
    <w:rsid w:val="002B09A4"/>
    <w:rsid w:val="002B0E6B"/>
    <w:rsid w:val="002B0F1D"/>
    <w:rsid w:val="002B15C7"/>
    <w:rsid w:val="002B1818"/>
    <w:rsid w:val="002B1C1F"/>
    <w:rsid w:val="002B1F98"/>
    <w:rsid w:val="002B226F"/>
    <w:rsid w:val="002B22ED"/>
    <w:rsid w:val="002B2E0C"/>
    <w:rsid w:val="002B328D"/>
    <w:rsid w:val="002B3CF7"/>
    <w:rsid w:val="002B3F3E"/>
    <w:rsid w:val="002B4016"/>
    <w:rsid w:val="002B432F"/>
    <w:rsid w:val="002B43D2"/>
    <w:rsid w:val="002B44E3"/>
    <w:rsid w:val="002B461B"/>
    <w:rsid w:val="002B498D"/>
    <w:rsid w:val="002B5214"/>
    <w:rsid w:val="002B5CC7"/>
    <w:rsid w:val="002B5EA0"/>
    <w:rsid w:val="002B613F"/>
    <w:rsid w:val="002B62B3"/>
    <w:rsid w:val="002B6411"/>
    <w:rsid w:val="002B6439"/>
    <w:rsid w:val="002B6679"/>
    <w:rsid w:val="002B6754"/>
    <w:rsid w:val="002B688B"/>
    <w:rsid w:val="002B69BF"/>
    <w:rsid w:val="002B6CCE"/>
    <w:rsid w:val="002B74E5"/>
    <w:rsid w:val="002C036E"/>
    <w:rsid w:val="002C0773"/>
    <w:rsid w:val="002C089A"/>
    <w:rsid w:val="002C11A5"/>
    <w:rsid w:val="002C133F"/>
    <w:rsid w:val="002C167F"/>
    <w:rsid w:val="002C1BE5"/>
    <w:rsid w:val="002C2212"/>
    <w:rsid w:val="002C2510"/>
    <w:rsid w:val="002C25C4"/>
    <w:rsid w:val="002C2745"/>
    <w:rsid w:val="002C2775"/>
    <w:rsid w:val="002C27C1"/>
    <w:rsid w:val="002C2BBD"/>
    <w:rsid w:val="002C2CED"/>
    <w:rsid w:val="002C307E"/>
    <w:rsid w:val="002C353B"/>
    <w:rsid w:val="002C365F"/>
    <w:rsid w:val="002C36E3"/>
    <w:rsid w:val="002C388C"/>
    <w:rsid w:val="002C3B2A"/>
    <w:rsid w:val="002C4931"/>
    <w:rsid w:val="002C5099"/>
    <w:rsid w:val="002C5889"/>
    <w:rsid w:val="002C5FD8"/>
    <w:rsid w:val="002C6D7E"/>
    <w:rsid w:val="002C6FEC"/>
    <w:rsid w:val="002C6FFC"/>
    <w:rsid w:val="002C71CE"/>
    <w:rsid w:val="002C75B5"/>
    <w:rsid w:val="002C77A0"/>
    <w:rsid w:val="002C7FD6"/>
    <w:rsid w:val="002D012F"/>
    <w:rsid w:val="002D08F8"/>
    <w:rsid w:val="002D13F6"/>
    <w:rsid w:val="002D1BCD"/>
    <w:rsid w:val="002D3B6D"/>
    <w:rsid w:val="002D4D87"/>
    <w:rsid w:val="002D52C8"/>
    <w:rsid w:val="002D577C"/>
    <w:rsid w:val="002D5A28"/>
    <w:rsid w:val="002D5C0B"/>
    <w:rsid w:val="002D5F5A"/>
    <w:rsid w:val="002D669C"/>
    <w:rsid w:val="002D6AF1"/>
    <w:rsid w:val="002D7832"/>
    <w:rsid w:val="002D7B5D"/>
    <w:rsid w:val="002D7DC1"/>
    <w:rsid w:val="002D7F70"/>
    <w:rsid w:val="002D7FD5"/>
    <w:rsid w:val="002E0419"/>
    <w:rsid w:val="002E0738"/>
    <w:rsid w:val="002E0AB8"/>
    <w:rsid w:val="002E1071"/>
    <w:rsid w:val="002E15B9"/>
    <w:rsid w:val="002E18A4"/>
    <w:rsid w:val="002E1909"/>
    <w:rsid w:val="002E1FEB"/>
    <w:rsid w:val="002E2158"/>
    <w:rsid w:val="002E29DB"/>
    <w:rsid w:val="002E2CDA"/>
    <w:rsid w:val="002E302F"/>
    <w:rsid w:val="002E3480"/>
    <w:rsid w:val="002E45EA"/>
    <w:rsid w:val="002E4F02"/>
    <w:rsid w:val="002E5DC8"/>
    <w:rsid w:val="002E631F"/>
    <w:rsid w:val="002E6FF3"/>
    <w:rsid w:val="002E735C"/>
    <w:rsid w:val="002E7722"/>
    <w:rsid w:val="002E7822"/>
    <w:rsid w:val="002E7C2F"/>
    <w:rsid w:val="002F07BA"/>
    <w:rsid w:val="002F0DA9"/>
    <w:rsid w:val="002F1014"/>
    <w:rsid w:val="002F1E3B"/>
    <w:rsid w:val="002F2079"/>
    <w:rsid w:val="002F228D"/>
    <w:rsid w:val="002F2580"/>
    <w:rsid w:val="002F25F0"/>
    <w:rsid w:val="002F3483"/>
    <w:rsid w:val="002F38BE"/>
    <w:rsid w:val="002F3C1D"/>
    <w:rsid w:val="002F3C38"/>
    <w:rsid w:val="002F4107"/>
    <w:rsid w:val="002F41D7"/>
    <w:rsid w:val="002F4560"/>
    <w:rsid w:val="002F4668"/>
    <w:rsid w:val="002F49A6"/>
    <w:rsid w:val="002F4C11"/>
    <w:rsid w:val="002F519C"/>
    <w:rsid w:val="002F5C8C"/>
    <w:rsid w:val="002F643C"/>
    <w:rsid w:val="002F645A"/>
    <w:rsid w:val="002F71C0"/>
    <w:rsid w:val="002F74F1"/>
    <w:rsid w:val="002F7EFF"/>
    <w:rsid w:val="0030046A"/>
    <w:rsid w:val="003009C3"/>
    <w:rsid w:val="00300CA4"/>
    <w:rsid w:val="00300DE7"/>
    <w:rsid w:val="00301017"/>
    <w:rsid w:val="00301506"/>
    <w:rsid w:val="0030155F"/>
    <w:rsid w:val="003016F2"/>
    <w:rsid w:val="00301A73"/>
    <w:rsid w:val="00302115"/>
    <w:rsid w:val="00302348"/>
    <w:rsid w:val="003023D5"/>
    <w:rsid w:val="00302894"/>
    <w:rsid w:val="00302B71"/>
    <w:rsid w:val="003045BE"/>
    <w:rsid w:val="00304732"/>
    <w:rsid w:val="003047B5"/>
    <w:rsid w:val="00304A3A"/>
    <w:rsid w:val="00305503"/>
    <w:rsid w:val="0030587B"/>
    <w:rsid w:val="00305EBF"/>
    <w:rsid w:val="0030679C"/>
    <w:rsid w:val="00306830"/>
    <w:rsid w:val="00306D98"/>
    <w:rsid w:val="0030786C"/>
    <w:rsid w:val="00307A54"/>
    <w:rsid w:val="00307CF3"/>
    <w:rsid w:val="0031031A"/>
    <w:rsid w:val="00310981"/>
    <w:rsid w:val="0031104D"/>
    <w:rsid w:val="00311512"/>
    <w:rsid w:val="00311A65"/>
    <w:rsid w:val="00311D9B"/>
    <w:rsid w:val="00311DBD"/>
    <w:rsid w:val="0031224A"/>
    <w:rsid w:val="003124D9"/>
    <w:rsid w:val="00312594"/>
    <w:rsid w:val="00312A02"/>
    <w:rsid w:val="00312D0F"/>
    <w:rsid w:val="00312EC5"/>
    <w:rsid w:val="003135E4"/>
    <w:rsid w:val="00313D9D"/>
    <w:rsid w:val="003143E3"/>
    <w:rsid w:val="00314A1A"/>
    <w:rsid w:val="00314E6B"/>
    <w:rsid w:val="00315498"/>
    <w:rsid w:val="00315981"/>
    <w:rsid w:val="00315B80"/>
    <w:rsid w:val="003160F5"/>
    <w:rsid w:val="00316474"/>
    <w:rsid w:val="00316D3A"/>
    <w:rsid w:val="00316F26"/>
    <w:rsid w:val="003173FC"/>
    <w:rsid w:val="003205ED"/>
    <w:rsid w:val="003206E6"/>
    <w:rsid w:val="00320739"/>
    <w:rsid w:val="003207D1"/>
    <w:rsid w:val="00320E0D"/>
    <w:rsid w:val="00320EA4"/>
    <w:rsid w:val="00322107"/>
    <w:rsid w:val="00322355"/>
    <w:rsid w:val="003224B3"/>
    <w:rsid w:val="00322846"/>
    <w:rsid w:val="003229C7"/>
    <w:rsid w:val="00323251"/>
    <w:rsid w:val="00323BAC"/>
    <w:rsid w:val="00324345"/>
    <w:rsid w:val="00324395"/>
    <w:rsid w:val="00324F25"/>
    <w:rsid w:val="0032528A"/>
    <w:rsid w:val="00326190"/>
    <w:rsid w:val="00326928"/>
    <w:rsid w:val="00326CD6"/>
    <w:rsid w:val="00326DA7"/>
    <w:rsid w:val="00327023"/>
    <w:rsid w:val="003270E4"/>
    <w:rsid w:val="00327295"/>
    <w:rsid w:val="003274A7"/>
    <w:rsid w:val="00327E73"/>
    <w:rsid w:val="003302C3"/>
    <w:rsid w:val="003304CE"/>
    <w:rsid w:val="00330DAA"/>
    <w:rsid w:val="00330F5C"/>
    <w:rsid w:val="00331708"/>
    <w:rsid w:val="00331C5B"/>
    <w:rsid w:val="00331D1F"/>
    <w:rsid w:val="0033277E"/>
    <w:rsid w:val="0033334C"/>
    <w:rsid w:val="0033397C"/>
    <w:rsid w:val="00333A0F"/>
    <w:rsid w:val="00333A63"/>
    <w:rsid w:val="00333DAC"/>
    <w:rsid w:val="00335F14"/>
    <w:rsid w:val="00336109"/>
    <w:rsid w:val="003366C9"/>
    <w:rsid w:val="00336998"/>
    <w:rsid w:val="00336D7B"/>
    <w:rsid w:val="0033708A"/>
    <w:rsid w:val="003371B0"/>
    <w:rsid w:val="00337F1D"/>
    <w:rsid w:val="003400A0"/>
    <w:rsid w:val="00340DF1"/>
    <w:rsid w:val="00340E77"/>
    <w:rsid w:val="00340F1E"/>
    <w:rsid w:val="00340F48"/>
    <w:rsid w:val="00341859"/>
    <w:rsid w:val="00341D26"/>
    <w:rsid w:val="0034222E"/>
    <w:rsid w:val="003422D2"/>
    <w:rsid w:val="00342899"/>
    <w:rsid w:val="00342F45"/>
    <w:rsid w:val="00343090"/>
    <w:rsid w:val="00343355"/>
    <w:rsid w:val="0034381D"/>
    <w:rsid w:val="00345351"/>
    <w:rsid w:val="0034587D"/>
    <w:rsid w:val="00345F8E"/>
    <w:rsid w:val="00345FCC"/>
    <w:rsid w:val="00346DC6"/>
    <w:rsid w:val="00347049"/>
    <w:rsid w:val="003502ED"/>
    <w:rsid w:val="0035068A"/>
    <w:rsid w:val="00350810"/>
    <w:rsid w:val="0035146B"/>
    <w:rsid w:val="003514EC"/>
    <w:rsid w:val="003517F9"/>
    <w:rsid w:val="00351BA9"/>
    <w:rsid w:val="00351E5E"/>
    <w:rsid w:val="00352C4D"/>
    <w:rsid w:val="00352C61"/>
    <w:rsid w:val="00353808"/>
    <w:rsid w:val="003541A1"/>
    <w:rsid w:val="003546BB"/>
    <w:rsid w:val="00354C2F"/>
    <w:rsid w:val="00354C5F"/>
    <w:rsid w:val="00354F4A"/>
    <w:rsid w:val="00354F64"/>
    <w:rsid w:val="00355113"/>
    <w:rsid w:val="003555D3"/>
    <w:rsid w:val="00355630"/>
    <w:rsid w:val="0035598A"/>
    <w:rsid w:val="00355CB5"/>
    <w:rsid w:val="003561FA"/>
    <w:rsid w:val="0035620E"/>
    <w:rsid w:val="003568B3"/>
    <w:rsid w:val="003568F3"/>
    <w:rsid w:val="003575BE"/>
    <w:rsid w:val="003576A4"/>
    <w:rsid w:val="003602E3"/>
    <w:rsid w:val="00360345"/>
    <w:rsid w:val="00360604"/>
    <w:rsid w:val="003607AF"/>
    <w:rsid w:val="00360FA7"/>
    <w:rsid w:val="00361A05"/>
    <w:rsid w:val="00361F86"/>
    <w:rsid w:val="003624C4"/>
    <w:rsid w:val="00362FAA"/>
    <w:rsid w:val="003630DC"/>
    <w:rsid w:val="0036389B"/>
    <w:rsid w:val="00363B00"/>
    <w:rsid w:val="00363C1B"/>
    <w:rsid w:val="00363E0C"/>
    <w:rsid w:val="00363E16"/>
    <w:rsid w:val="00364BDD"/>
    <w:rsid w:val="0036546A"/>
    <w:rsid w:val="003654AC"/>
    <w:rsid w:val="003656BA"/>
    <w:rsid w:val="003704BD"/>
    <w:rsid w:val="003710CF"/>
    <w:rsid w:val="00371689"/>
    <w:rsid w:val="0037199E"/>
    <w:rsid w:val="00371C6A"/>
    <w:rsid w:val="00372616"/>
    <w:rsid w:val="00372738"/>
    <w:rsid w:val="0037358A"/>
    <w:rsid w:val="00373A12"/>
    <w:rsid w:val="003746FB"/>
    <w:rsid w:val="0037480F"/>
    <w:rsid w:val="00374961"/>
    <w:rsid w:val="00374EA2"/>
    <w:rsid w:val="003750F6"/>
    <w:rsid w:val="0037527B"/>
    <w:rsid w:val="00375C0B"/>
    <w:rsid w:val="003760FC"/>
    <w:rsid w:val="003761DF"/>
    <w:rsid w:val="00376361"/>
    <w:rsid w:val="003769CE"/>
    <w:rsid w:val="00376DD4"/>
    <w:rsid w:val="00376EC1"/>
    <w:rsid w:val="00376F2D"/>
    <w:rsid w:val="0037713A"/>
    <w:rsid w:val="003773ED"/>
    <w:rsid w:val="00377611"/>
    <w:rsid w:val="003777A2"/>
    <w:rsid w:val="003777DB"/>
    <w:rsid w:val="003778A4"/>
    <w:rsid w:val="00377D49"/>
    <w:rsid w:val="0038099E"/>
    <w:rsid w:val="00380C48"/>
    <w:rsid w:val="00381322"/>
    <w:rsid w:val="003818C2"/>
    <w:rsid w:val="00381B62"/>
    <w:rsid w:val="003822E2"/>
    <w:rsid w:val="003822F4"/>
    <w:rsid w:val="00382832"/>
    <w:rsid w:val="00382DE9"/>
    <w:rsid w:val="00383132"/>
    <w:rsid w:val="00383584"/>
    <w:rsid w:val="0038365C"/>
    <w:rsid w:val="0038369B"/>
    <w:rsid w:val="00383864"/>
    <w:rsid w:val="00383B78"/>
    <w:rsid w:val="0038458A"/>
    <w:rsid w:val="00384F33"/>
    <w:rsid w:val="003853A0"/>
    <w:rsid w:val="00385A9D"/>
    <w:rsid w:val="00385BD9"/>
    <w:rsid w:val="0038676E"/>
    <w:rsid w:val="003869B5"/>
    <w:rsid w:val="00387121"/>
    <w:rsid w:val="0038718E"/>
    <w:rsid w:val="003874A5"/>
    <w:rsid w:val="003874FC"/>
    <w:rsid w:val="00387E31"/>
    <w:rsid w:val="00390197"/>
    <w:rsid w:val="003902B1"/>
    <w:rsid w:val="00390802"/>
    <w:rsid w:val="00390AA4"/>
    <w:rsid w:val="00390BA3"/>
    <w:rsid w:val="003910CE"/>
    <w:rsid w:val="00391610"/>
    <w:rsid w:val="0039179C"/>
    <w:rsid w:val="0039192F"/>
    <w:rsid w:val="00391C49"/>
    <w:rsid w:val="00392618"/>
    <w:rsid w:val="00392B60"/>
    <w:rsid w:val="00392D2B"/>
    <w:rsid w:val="0039323D"/>
    <w:rsid w:val="00394408"/>
    <w:rsid w:val="00395403"/>
    <w:rsid w:val="00396768"/>
    <w:rsid w:val="00396896"/>
    <w:rsid w:val="00396FD0"/>
    <w:rsid w:val="00397432"/>
    <w:rsid w:val="00397D1A"/>
    <w:rsid w:val="003A035F"/>
    <w:rsid w:val="003A062A"/>
    <w:rsid w:val="003A0BF7"/>
    <w:rsid w:val="003A114D"/>
    <w:rsid w:val="003A1502"/>
    <w:rsid w:val="003A1A7A"/>
    <w:rsid w:val="003A1FBD"/>
    <w:rsid w:val="003A2346"/>
    <w:rsid w:val="003A2392"/>
    <w:rsid w:val="003A23C0"/>
    <w:rsid w:val="003A2831"/>
    <w:rsid w:val="003A295F"/>
    <w:rsid w:val="003A2A9E"/>
    <w:rsid w:val="003A2B3F"/>
    <w:rsid w:val="003A310D"/>
    <w:rsid w:val="003A3701"/>
    <w:rsid w:val="003A3CB6"/>
    <w:rsid w:val="003A3CC9"/>
    <w:rsid w:val="003A3E8B"/>
    <w:rsid w:val="003A3ED1"/>
    <w:rsid w:val="003A44DB"/>
    <w:rsid w:val="003A4C14"/>
    <w:rsid w:val="003A4C9C"/>
    <w:rsid w:val="003A4D4A"/>
    <w:rsid w:val="003A505C"/>
    <w:rsid w:val="003A53C2"/>
    <w:rsid w:val="003A568D"/>
    <w:rsid w:val="003A5719"/>
    <w:rsid w:val="003A59CA"/>
    <w:rsid w:val="003A5C6B"/>
    <w:rsid w:val="003A616A"/>
    <w:rsid w:val="003A6FCB"/>
    <w:rsid w:val="003A72E7"/>
    <w:rsid w:val="003A7D45"/>
    <w:rsid w:val="003A7F61"/>
    <w:rsid w:val="003B0252"/>
    <w:rsid w:val="003B3971"/>
    <w:rsid w:val="003B4BCB"/>
    <w:rsid w:val="003B4E08"/>
    <w:rsid w:val="003B55D1"/>
    <w:rsid w:val="003B57B4"/>
    <w:rsid w:val="003B5B61"/>
    <w:rsid w:val="003B5BFE"/>
    <w:rsid w:val="003B66E1"/>
    <w:rsid w:val="003B78F4"/>
    <w:rsid w:val="003C006C"/>
    <w:rsid w:val="003C02D8"/>
    <w:rsid w:val="003C0FFF"/>
    <w:rsid w:val="003C1654"/>
    <w:rsid w:val="003C1A26"/>
    <w:rsid w:val="003C2516"/>
    <w:rsid w:val="003C2B7B"/>
    <w:rsid w:val="003C302E"/>
    <w:rsid w:val="003C3421"/>
    <w:rsid w:val="003C3E78"/>
    <w:rsid w:val="003C50D1"/>
    <w:rsid w:val="003C532E"/>
    <w:rsid w:val="003C5542"/>
    <w:rsid w:val="003C59B8"/>
    <w:rsid w:val="003C59F5"/>
    <w:rsid w:val="003C604E"/>
    <w:rsid w:val="003C6476"/>
    <w:rsid w:val="003C6705"/>
    <w:rsid w:val="003C675B"/>
    <w:rsid w:val="003C680F"/>
    <w:rsid w:val="003C7238"/>
    <w:rsid w:val="003C7749"/>
    <w:rsid w:val="003C7C15"/>
    <w:rsid w:val="003C7D19"/>
    <w:rsid w:val="003C7D2F"/>
    <w:rsid w:val="003D07BC"/>
    <w:rsid w:val="003D08A8"/>
    <w:rsid w:val="003D0C5A"/>
    <w:rsid w:val="003D1254"/>
    <w:rsid w:val="003D1828"/>
    <w:rsid w:val="003D1916"/>
    <w:rsid w:val="003D19D1"/>
    <w:rsid w:val="003D1B8E"/>
    <w:rsid w:val="003D1C9C"/>
    <w:rsid w:val="003D1DE4"/>
    <w:rsid w:val="003D1E9A"/>
    <w:rsid w:val="003D2422"/>
    <w:rsid w:val="003D27FC"/>
    <w:rsid w:val="003D2C67"/>
    <w:rsid w:val="003D2D09"/>
    <w:rsid w:val="003D2E71"/>
    <w:rsid w:val="003D3149"/>
    <w:rsid w:val="003D33C2"/>
    <w:rsid w:val="003D34EF"/>
    <w:rsid w:val="003D39A1"/>
    <w:rsid w:val="003D3D3A"/>
    <w:rsid w:val="003D3FBF"/>
    <w:rsid w:val="003D440C"/>
    <w:rsid w:val="003D44B4"/>
    <w:rsid w:val="003D47BC"/>
    <w:rsid w:val="003D47CA"/>
    <w:rsid w:val="003D48FF"/>
    <w:rsid w:val="003D4A30"/>
    <w:rsid w:val="003D4E94"/>
    <w:rsid w:val="003D4F18"/>
    <w:rsid w:val="003D542D"/>
    <w:rsid w:val="003D5651"/>
    <w:rsid w:val="003D589C"/>
    <w:rsid w:val="003D5D23"/>
    <w:rsid w:val="003D5D39"/>
    <w:rsid w:val="003D6080"/>
    <w:rsid w:val="003D6560"/>
    <w:rsid w:val="003D69CE"/>
    <w:rsid w:val="003D7452"/>
    <w:rsid w:val="003D79BB"/>
    <w:rsid w:val="003D7C98"/>
    <w:rsid w:val="003D7D9D"/>
    <w:rsid w:val="003D7E70"/>
    <w:rsid w:val="003E014E"/>
    <w:rsid w:val="003E0543"/>
    <w:rsid w:val="003E06BB"/>
    <w:rsid w:val="003E0A7C"/>
    <w:rsid w:val="003E0E60"/>
    <w:rsid w:val="003E1A51"/>
    <w:rsid w:val="003E204C"/>
    <w:rsid w:val="003E213F"/>
    <w:rsid w:val="003E236E"/>
    <w:rsid w:val="003E2F6A"/>
    <w:rsid w:val="003E3694"/>
    <w:rsid w:val="003E3993"/>
    <w:rsid w:val="003E3F5B"/>
    <w:rsid w:val="003E437E"/>
    <w:rsid w:val="003E4666"/>
    <w:rsid w:val="003E4957"/>
    <w:rsid w:val="003E4FD9"/>
    <w:rsid w:val="003E5603"/>
    <w:rsid w:val="003E5A0B"/>
    <w:rsid w:val="003E5ABB"/>
    <w:rsid w:val="003E6A9B"/>
    <w:rsid w:val="003E6E0F"/>
    <w:rsid w:val="003E749E"/>
    <w:rsid w:val="003E7F46"/>
    <w:rsid w:val="003F0000"/>
    <w:rsid w:val="003F00F8"/>
    <w:rsid w:val="003F03F5"/>
    <w:rsid w:val="003F0559"/>
    <w:rsid w:val="003F0805"/>
    <w:rsid w:val="003F1078"/>
    <w:rsid w:val="003F179A"/>
    <w:rsid w:val="003F20DF"/>
    <w:rsid w:val="003F2A02"/>
    <w:rsid w:val="003F3718"/>
    <w:rsid w:val="003F372B"/>
    <w:rsid w:val="003F3F67"/>
    <w:rsid w:val="003F4156"/>
    <w:rsid w:val="003F4F1C"/>
    <w:rsid w:val="003F5108"/>
    <w:rsid w:val="003F5390"/>
    <w:rsid w:val="003F53DE"/>
    <w:rsid w:val="003F5ADF"/>
    <w:rsid w:val="003F6D84"/>
    <w:rsid w:val="003F7EB0"/>
    <w:rsid w:val="0040007A"/>
    <w:rsid w:val="00400427"/>
    <w:rsid w:val="00400B29"/>
    <w:rsid w:val="00401B75"/>
    <w:rsid w:val="00402144"/>
    <w:rsid w:val="0040238C"/>
    <w:rsid w:val="0040250E"/>
    <w:rsid w:val="00402812"/>
    <w:rsid w:val="00402867"/>
    <w:rsid w:val="004028F5"/>
    <w:rsid w:val="00402D7F"/>
    <w:rsid w:val="00402EFC"/>
    <w:rsid w:val="004032AA"/>
    <w:rsid w:val="00403CB2"/>
    <w:rsid w:val="0040487B"/>
    <w:rsid w:val="0040504B"/>
    <w:rsid w:val="004059F4"/>
    <w:rsid w:val="0040633B"/>
    <w:rsid w:val="00406CB4"/>
    <w:rsid w:val="00407013"/>
    <w:rsid w:val="0040707B"/>
    <w:rsid w:val="004070EE"/>
    <w:rsid w:val="004075C0"/>
    <w:rsid w:val="00407A5F"/>
    <w:rsid w:val="00407C18"/>
    <w:rsid w:val="00407FE5"/>
    <w:rsid w:val="004101B0"/>
    <w:rsid w:val="00410326"/>
    <w:rsid w:val="00410708"/>
    <w:rsid w:val="00410EC7"/>
    <w:rsid w:val="00410FA6"/>
    <w:rsid w:val="00411362"/>
    <w:rsid w:val="00411790"/>
    <w:rsid w:val="00411B39"/>
    <w:rsid w:val="00411DC0"/>
    <w:rsid w:val="00411E5E"/>
    <w:rsid w:val="00411EC7"/>
    <w:rsid w:val="0041254F"/>
    <w:rsid w:val="004126AF"/>
    <w:rsid w:val="004127A7"/>
    <w:rsid w:val="00412915"/>
    <w:rsid w:val="0041296B"/>
    <w:rsid w:val="00412A28"/>
    <w:rsid w:val="00413661"/>
    <w:rsid w:val="00413A1E"/>
    <w:rsid w:val="00413D3E"/>
    <w:rsid w:val="00413FD7"/>
    <w:rsid w:val="004141DD"/>
    <w:rsid w:val="004141E1"/>
    <w:rsid w:val="00414476"/>
    <w:rsid w:val="004144A0"/>
    <w:rsid w:val="00414B2B"/>
    <w:rsid w:val="00414C2E"/>
    <w:rsid w:val="00414EC3"/>
    <w:rsid w:val="004151CF"/>
    <w:rsid w:val="0041541C"/>
    <w:rsid w:val="004155C5"/>
    <w:rsid w:val="00415902"/>
    <w:rsid w:val="00415B64"/>
    <w:rsid w:val="00415D51"/>
    <w:rsid w:val="00415E83"/>
    <w:rsid w:val="00416364"/>
    <w:rsid w:val="00416934"/>
    <w:rsid w:val="00416AD7"/>
    <w:rsid w:val="00416DE7"/>
    <w:rsid w:val="00417407"/>
    <w:rsid w:val="00417E86"/>
    <w:rsid w:val="0042047F"/>
    <w:rsid w:val="00420AA6"/>
    <w:rsid w:val="00420B9F"/>
    <w:rsid w:val="00420E23"/>
    <w:rsid w:val="00420EC8"/>
    <w:rsid w:val="00421739"/>
    <w:rsid w:val="004217BB"/>
    <w:rsid w:val="004217EC"/>
    <w:rsid w:val="0042192C"/>
    <w:rsid w:val="00421AED"/>
    <w:rsid w:val="00421B52"/>
    <w:rsid w:val="00422260"/>
    <w:rsid w:val="004228DB"/>
    <w:rsid w:val="00422A1C"/>
    <w:rsid w:val="004230AE"/>
    <w:rsid w:val="004231E4"/>
    <w:rsid w:val="00423303"/>
    <w:rsid w:val="004236BA"/>
    <w:rsid w:val="00423DAE"/>
    <w:rsid w:val="0042413F"/>
    <w:rsid w:val="004242FB"/>
    <w:rsid w:val="0042478A"/>
    <w:rsid w:val="0042554F"/>
    <w:rsid w:val="00426706"/>
    <w:rsid w:val="004268FD"/>
    <w:rsid w:val="00426C28"/>
    <w:rsid w:val="00426F17"/>
    <w:rsid w:val="00427507"/>
    <w:rsid w:val="00427917"/>
    <w:rsid w:val="00427C80"/>
    <w:rsid w:val="00427D4E"/>
    <w:rsid w:val="00427FC4"/>
    <w:rsid w:val="00430866"/>
    <w:rsid w:val="00430B59"/>
    <w:rsid w:val="00430CD9"/>
    <w:rsid w:val="00430ED6"/>
    <w:rsid w:val="00430FF8"/>
    <w:rsid w:val="00431810"/>
    <w:rsid w:val="004319F8"/>
    <w:rsid w:val="00431E55"/>
    <w:rsid w:val="004321F6"/>
    <w:rsid w:val="00432CEF"/>
    <w:rsid w:val="00433044"/>
    <w:rsid w:val="00433B1B"/>
    <w:rsid w:val="00433FE0"/>
    <w:rsid w:val="00434088"/>
    <w:rsid w:val="0043540A"/>
    <w:rsid w:val="00435841"/>
    <w:rsid w:val="00435DF9"/>
    <w:rsid w:val="004362A8"/>
    <w:rsid w:val="004365B2"/>
    <w:rsid w:val="004367FB"/>
    <w:rsid w:val="00436AF5"/>
    <w:rsid w:val="00436F25"/>
    <w:rsid w:val="004373DF"/>
    <w:rsid w:val="004375B9"/>
    <w:rsid w:val="004378A0"/>
    <w:rsid w:val="00437D6C"/>
    <w:rsid w:val="00437ECA"/>
    <w:rsid w:val="004400DB"/>
    <w:rsid w:val="004403DB"/>
    <w:rsid w:val="004406F7"/>
    <w:rsid w:val="00440B6C"/>
    <w:rsid w:val="00440D03"/>
    <w:rsid w:val="004411A9"/>
    <w:rsid w:val="004416F4"/>
    <w:rsid w:val="00442132"/>
    <w:rsid w:val="00442574"/>
    <w:rsid w:val="004428D0"/>
    <w:rsid w:val="00442CAE"/>
    <w:rsid w:val="00442CDD"/>
    <w:rsid w:val="00442DE4"/>
    <w:rsid w:val="00444185"/>
    <w:rsid w:val="004443A7"/>
    <w:rsid w:val="0044442C"/>
    <w:rsid w:val="0044486E"/>
    <w:rsid w:val="0044569D"/>
    <w:rsid w:val="00445816"/>
    <w:rsid w:val="00445941"/>
    <w:rsid w:val="00445CBD"/>
    <w:rsid w:val="00445D83"/>
    <w:rsid w:val="00445E47"/>
    <w:rsid w:val="00445E76"/>
    <w:rsid w:val="00445F8B"/>
    <w:rsid w:val="004464EB"/>
    <w:rsid w:val="00446923"/>
    <w:rsid w:val="00446C8A"/>
    <w:rsid w:val="00446E9B"/>
    <w:rsid w:val="0044733D"/>
    <w:rsid w:val="0044784D"/>
    <w:rsid w:val="00447964"/>
    <w:rsid w:val="00447D26"/>
    <w:rsid w:val="00447DFC"/>
    <w:rsid w:val="00447E3F"/>
    <w:rsid w:val="00447FFA"/>
    <w:rsid w:val="00450E4A"/>
    <w:rsid w:val="0045139D"/>
    <w:rsid w:val="004515CA"/>
    <w:rsid w:val="0045172D"/>
    <w:rsid w:val="00451A03"/>
    <w:rsid w:val="00451A3E"/>
    <w:rsid w:val="00452880"/>
    <w:rsid w:val="004542AB"/>
    <w:rsid w:val="0045490D"/>
    <w:rsid w:val="00454923"/>
    <w:rsid w:val="00454B48"/>
    <w:rsid w:val="00454D05"/>
    <w:rsid w:val="00454D93"/>
    <w:rsid w:val="00455283"/>
    <w:rsid w:val="00455480"/>
    <w:rsid w:val="00455D45"/>
    <w:rsid w:val="00455FD1"/>
    <w:rsid w:val="00455FE7"/>
    <w:rsid w:val="00456224"/>
    <w:rsid w:val="0045694F"/>
    <w:rsid w:val="00457BA9"/>
    <w:rsid w:val="00457E66"/>
    <w:rsid w:val="004619CA"/>
    <w:rsid w:val="004622F8"/>
    <w:rsid w:val="0046235C"/>
    <w:rsid w:val="004623EC"/>
    <w:rsid w:val="00462E42"/>
    <w:rsid w:val="00462EAD"/>
    <w:rsid w:val="0046305D"/>
    <w:rsid w:val="004636A3"/>
    <w:rsid w:val="00463ACF"/>
    <w:rsid w:val="00463E06"/>
    <w:rsid w:val="00463E70"/>
    <w:rsid w:val="00464595"/>
    <w:rsid w:val="004647F1"/>
    <w:rsid w:val="00464FD6"/>
    <w:rsid w:val="0046520D"/>
    <w:rsid w:val="004658B5"/>
    <w:rsid w:val="00466314"/>
    <w:rsid w:val="00466C20"/>
    <w:rsid w:val="00467539"/>
    <w:rsid w:val="004707BA"/>
    <w:rsid w:val="0047154B"/>
    <w:rsid w:val="004716D1"/>
    <w:rsid w:val="0047192A"/>
    <w:rsid w:val="00471C00"/>
    <w:rsid w:val="00471EA5"/>
    <w:rsid w:val="00472018"/>
    <w:rsid w:val="00472306"/>
    <w:rsid w:val="00472806"/>
    <w:rsid w:val="00472A79"/>
    <w:rsid w:val="00472F7E"/>
    <w:rsid w:val="004731FD"/>
    <w:rsid w:val="00473AC1"/>
    <w:rsid w:val="00473F19"/>
    <w:rsid w:val="004742EC"/>
    <w:rsid w:val="0047486E"/>
    <w:rsid w:val="004749F7"/>
    <w:rsid w:val="00474B79"/>
    <w:rsid w:val="004752E0"/>
    <w:rsid w:val="00475C24"/>
    <w:rsid w:val="00475E22"/>
    <w:rsid w:val="004765DD"/>
    <w:rsid w:val="004765FB"/>
    <w:rsid w:val="0047663D"/>
    <w:rsid w:val="00476F5B"/>
    <w:rsid w:val="00476FC6"/>
    <w:rsid w:val="0047718D"/>
    <w:rsid w:val="00477263"/>
    <w:rsid w:val="00477552"/>
    <w:rsid w:val="004775A2"/>
    <w:rsid w:val="00477BC9"/>
    <w:rsid w:val="00477D4E"/>
    <w:rsid w:val="00480870"/>
    <w:rsid w:val="0048088E"/>
    <w:rsid w:val="00480D06"/>
    <w:rsid w:val="00480F2B"/>
    <w:rsid w:val="004811AF"/>
    <w:rsid w:val="00481368"/>
    <w:rsid w:val="00482720"/>
    <w:rsid w:val="004835E7"/>
    <w:rsid w:val="004837BC"/>
    <w:rsid w:val="00483EBC"/>
    <w:rsid w:val="0048516C"/>
    <w:rsid w:val="004859E1"/>
    <w:rsid w:val="00485A28"/>
    <w:rsid w:val="00485EB7"/>
    <w:rsid w:val="004867E2"/>
    <w:rsid w:val="00486DEB"/>
    <w:rsid w:val="004875D3"/>
    <w:rsid w:val="00487699"/>
    <w:rsid w:val="00487796"/>
    <w:rsid w:val="00487877"/>
    <w:rsid w:val="004900D9"/>
    <w:rsid w:val="00490700"/>
    <w:rsid w:val="00490A4E"/>
    <w:rsid w:val="00490B17"/>
    <w:rsid w:val="00490E48"/>
    <w:rsid w:val="00491B0C"/>
    <w:rsid w:val="00491B3A"/>
    <w:rsid w:val="0049297F"/>
    <w:rsid w:val="00492CFD"/>
    <w:rsid w:val="00493489"/>
    <w:rsid w:val="004941C7"/>
    <w:rsid w:val="00494207"/>
    <w:rsid w:val="00494A0F"/>
    <w:rsid w:val="00494DD5"/>
    <w:rsid w:val="00495A7D"/>
    <w:rsid w:val="00495C3B"/>
    <w:rsid w:val="00495C96"/>
    <w:rsid w:val="00496243"/>
    <w:rsid w:val="004962D2"/>
    <w:rsid w:val="00497437"/>
    <w:rsid w:val="00497807"/>
    <w:rsid w:val="00497D3F"/>
    <w:rsid w:val="004A0DA1"/>
    <w:rsid w:val="004A1273"/>
    <w:rsid w:val="004A13D6"/>
    <w:rsid w:val="004A142C"/>
    <w:rsid w:val="004A224D"/>
    <w:rsid w:val="004A234A"/>
    <w:rsid w:val="004A2739"/>
    <w:rsid w:val="004A304B"/>
    <w:rsid w:val="004A3AA5"/>
    <w:rsid w:val="004A4DF0"/>
    <w:rsid w:val="004A502B"/>
    <w:rsid w:val="004A52E9"/>
    <w:rsid w:val="004A5629"/>
    <w:rsid w:val="004A56CB"/>
    <w:rsid w:val="004A593E"/>
    <w:rsid w:val="004A6040"/>
    <w:rsid w:val="004A62D5"/>
    <w:rsid w:val="004A6597"/>
    <w:rsid w:val="004A65D6"/>
    <w:rsid w:val="004A68CF"/>
    <w:rsid w:val="004A69E8"/>
    <w:rsid w:val="004A7848"/>
    <w:rsid w:val="004A78BD"/>
    <w:rsid w:val="004A78C0"/>
    <w:rsid w:val="004A793B"/>
    <w:rsid w:val="004A7BD4"/>
    <w:rsid w:val="004B0203"/>
    <w:rsid w:val="004B17F4"/>
    <w:rsid w:val="004B1B09"/>
    <w:rsid w:val="004B1CB4"/>
    <w:rsid w:val="004B2340"/>
    <w:rsid w:val="004B237A"/>
    <w:rsid w:val="004B2435"/>
    <w:rsid w:val="004B29D9"/>
    <w:rsid w:val="004B2CC9"/>
    <w:rsid w:val="004B2D31"/>
    <w:rsid w:val="004B2F18"/>
    <w:rsid w:val="004B2FF9"/>
    <w:rsid w:val="004B3DDB"/>
    <w:rsid w:val="004B4243"/>
    <w:rsid w:val="004B44FD"/>
    <w:rsid w:val="004B450F"/>
    <w:rsid w:val="004B4B1F"/>
    <w:rsid w:val="004B4F7F"/>
    <w:rsid w:val="004B5069"/>
    <w:rsid w:val="004B592F"/>
    <w:rsid w:val="004B5C98"/>
    <w:rsid w:val="004B5CFC"/>
    <w:rsid w:val="004B60CF"/>
    <w:rsid w:val="004B6689"/>
    <w:rsid w:val="004B6F79"/>
    <w:rsid w:val="004B7157"/>
    <w:rsid w:val="004B774D"/>
    <w:rsid w:val="004B7960"/>
    <w:rsid w:val="004B7989"/>
    <w:rsid w:val="004B7B2D"/>
    <w:rsid w:val="004B7BC8"/>
    <w:rsid w:val="004C029C"/>
    <w:rsid w:val="004C0442"/>
    <w:rsid w:val="004C0B20"/>
    <w:rsid w:val="004C0CB6"/>
    <w:rsid w:val="004C0FAF"/>
    <w:rsid w:val="004C24DC"/>
    <w:rsid w:val="004C257E"/>
    <w:rsid w:val="004C2582"/>
    <w:rsid w:val="004C2AC2"/>
    <w:rsid w:val="004C3268"/>
    <w:rsid w:val="004C37C8"/>
    <w:rsid w:val="004C3A16"/>
    <w:rsid w:val="004C3B33"/>
    <w:rsid w:val="004C3EBF"/>
    <w:rsid w:val="004C3FC8"/>
    <w:rsid w:val="004C4467"/>
    <w:rsid w:val="004C4644"/>
    <w:rsid w:val="004C48A3"/>
    <w:rsid w:val="004C4AED"/>
    <w:rsid w:val="004C4D0E"/>
    <w:rsid w:val="004C534A"/>
    <w:rsid w:val="004C5369"/>
    <w:rsid w:val="004C584A"/>
    <w:rsid w:val="004C584B"/>
    <w:rsid w:val="004C59AF"/>
    <w:rsid w:val="004C6221"/>
    <w:rsid w:val="004C65B0"/>
    <w:rsid w:val="004C66F0"/>
    <w:rsid w:val="004C6FE0"/>
    <w:rsid w:val="004C786C"/>
    <w:rsid w:val="004C7A3B"/>
    <w:rsid w:val="004C7B5E"/>
    <w:rsid w:val="004C7D2B"/>
    <w:rsid w:val="004D04C5"/>
    <w:rsid w:val="004D087F"/>
    <w:rsid w:val="004D103A"/>
    <w:rsid w:val="004D2387"/>
    <w:rsid w:val="004D24EF"/>
    <w:rsid w:val="004D2AD5"/>
    <w:rsid w:val="004D2C2D"/>
    <w:rsid w:val="004D2C6F"/>
    <w:rsid w:val="004D33A7"/>
    <w:rsid w:val="004D4342"/>
    <w:rsid w:val="004D4501"/>
    <w:rsid w:val="004D54E7"/>
    <w:rsid w:val="004D56B9"/>
    <w:rsid w:val="004D5D4D"/>
    <w:rsid w:val="004D69B5"/>
    <w:rsid w:val="004D6AB0"/>
    <w:rsid w:val="004D7227"/>
    <w:rsid w:val="004D7B5E"/>
    <w:rsid w:val="004D7CB2"/>
    <w:rsid w:val="004D7D0D"/>
    <w:rsid w:val="004D7E81"/>
    <w:rsid w:val="004E0968"/>
    <w:rsid w:val="004E0E7F"/>
    <w:rsid w:val="004E0EB8"/>
    <w:rsid w:val="004E17D0"/>
    <w:rsid w:val="004E1820"/>
    <w:rsid w:val="004E18E9"/>
    <w:rsid w:val="004E20A2"/>
    <w:rsid w:val="004E23C8"/>
    <w:rsid w:val="004E2ADC"/>
    <w:rsid w:val="004E2C1B"/>
    <w:rsid w:val="004E3D50"/>
    <w:rsid w:val="004E3E85"/>
    <w:rsid w:val="004E43B2"/>
    <w:rsid w:val="004E450D"/>
    <w:rsid w:val="004E64C5"/>
    <w:rsid w:val="004E7234"/>
    <w:rsid w:val="004E7329"/>
    <w:rsid w:val="004E7670"/>
    <w:rsid w:val="004E7C96"/>
    <w:rsid w:val="004E7D51"/>
    <w:rsid w:val="004F0E58"/>
    <w:rsid w:val="004F19D9"/>
    <w:rsid w:val="004F1B4D"/>
    <w:rsid w:val="004F1D02"/>
    <w:rsid w:val="004F2252"/>
    <w:rsid w:val="004F2679"/>
    <w:rsid w:val="004F28C4"/>
    <w:rsid w:val="004F2BBF"/>
    <w:rsid w:val="004F2E50"/>
    <w:rsid w:val="004F2F21"/>
    <w:rsid w:val="004F31AF"/>
    <w:rsid w:val="004F3430"/>
    <w:rsid w:val="004F3DE5"/>
    <w:rsid w:val="004F43DF"/>
    <w:rsid w:val="004F455A"/>
    <w:rsid w:val="004F4B2E"/>
    <w:rsid w:val="004F542E"/>
    <w:rsid w:val="004F66D8"/>
    <w:rsid w:val="004F6913"/>
    <w:rsid w:val="004F7393"/>
    <w:rsid w:val="004F7530"/>
    <w:rsid w:val="004F7865"/>
    <w:rsid w:val="004F7F13"/>
    <w:rsid w:val="00500363"/>
    <w:rsid w:val="0050093C"/>
    <w:rsid w:val="00500B23"/>
    <w:rsid w:val="00500FF4"/>
    <w:rsid w:val="0050109C"/>
    <w:rsid w:val="00501161"/>
    <w:rsid w:val="00501508"/>
    <w:rsid w:val="0050174E"/>
    <w:rsid w:val="00501854"/>
    <w:rsid w:val="00501F55"/>
    <w:rsid w:val="0050219B"/>
    <w:rsid w:val="005023B0"/>
    <w:rsid w:val="005023C4"/>
    <w:rsid w:val="00502782"/>
    <w:rsid w:val="00502B67"/>
    <w:rsid w:val="005030B5"/>
    <w:rsid w:val="005031DE"/>
    <w:rsid w:val="00503247"/>
    <w:rsid w:val="00503C1D"/>
    <w:rsid w:val="00503E42"/>
    <w:rsid w:val="00503F17"/>
    <w:rsid w:val="00503F3A"/>
    <w:rsid w:val="00504295"/>
    <w:rsid w:val="00504470"/>
    <w:rsid w:val="00505EFE"/>
    <w:rsid w:val="0050603E"/>
    <w:rsid w:val="005068DC"/>
    <w:rsid w:val="00506928"/>
    <w:rsid w:val="00506994"/>
    <w:rsid w:val="00506C07"/>
    <w:rsid w:val="00506FB2"/>
    <w:rsid w:val="005073A3"/>
    <w:rsid w:val="005077EF"/>
    <w:rsid w:val="005101CF"/>
    <w:rsid w:val="0051026C"/>
    <w:rsid w:val="00510DFE"/>
    <w:rsid w:val="00510F51"/>
    <w:rsid w:val="00511AD5"/>
    <w:rsid w:val="00511DC7"/>
    <w:rsid w:val="0051211A"/>
    <w:rsid w:val="00512240"/>
    <w:rsid w:val="0051240C"/>
    <w:rsid w:val="00512F43"/>
    <w:rsid w:val="00513079"/>
    <w:rsid w:val="00513217"/>
    <w:rsid w:val="00513F8F"/>
    <w:rsid w:val="005142C5"/>
    <w:rsid w:val="005149DD"/>
    <w:rsid w:val="0051501B"/>
    <w:rsid w:val="00515062"/>
    <w:rsid w:val="005152B5"/>
    <w:rsid w:val="00515886"/>
    <w:rsid w:val="00516438"/>
    <w:rsid w:val="00516EA7"/>
    <w:rsid w:val="00516FE3"/>
    <w:rsid w:val="00520091"/>
    <w:rsid w:val="00520604"/>
    <w:rsid w:val="00520AA9"/>
    <w:rsid w:val="005211A3"/>
    <w:rsid w:val="0052123C"/>
    <w:rsid w:val="00521319"/>
    <w:rsid w:val="0052151A"/>
    <w:rsid w:val="005215C4"/>
    <w:rsid w:val="00521F34"/>
    <w:rsid w:val="00522AC4"/>
    <w:rsid w:val="00522BC8"/>
    <w:rsid w:val="00522FD4"/>
    <w:rsid w:val="0052340B"/>
    <w:rsid w:val="00523593"/>
    <w:rsid w:val="00523C28"/>
    <w:rsid w:val="005245CD"/>
    <w:rsid w:val="0052499A"/>
    <w:rsid w:val="00524DFA"/>
    <w:rsid w:val="00524F5C"/>
    <w:rsid w:val="00525441"/>
    <w:rsid w:val="005254D3"/>
    <w:rsid w:val="00526C5C"/>
    <w:rsid w:val="00527249"/>
    <w:rsid w:val="005278B1"/>
    <w:rsid w:val="00527FF0"/>
    <w:rsid w:val="00530478"/>
    <w:rsid w:val="00530631"/>
    <w:rsid w:val="00531143"/>
    <w:rsid w:val="0053176B"/>
    <w:rsid w:val="00531B5E"/>
    <w:rsid w:val="005321EC"/>
    <w:rsid w:val="0053332D"/>
    <w:rsid w:val="00533612"/>
    <w:rsid w:val="00533807"/>
    <w:rsid w:val="00533AA5"/>
    <w:rsid w:val="00533F4A"/>
    <w:rsid w:val="005341B3"/>
    <w:rsid w:val="00534D75"/>
    <w:rsid w:val="00534DAD"/>
    <w:rsid w:val="00534E84"/>
    <w:rsid w:val="00535019"/>
    <w:rsid w:val="00535272"/>
    <w:rsid w:val="005356AA"/>
    <w:rsid w:val="005356ED"/>
    <w:rsid w:val="0053672A"/>
    <w:rsid w:val="00536745"/>
    <w:rsid w:val="005367C5"/>
    <w:rsid w:val="00536BC1"/>
    <w:rsid w:val="00536F42"/>
    <w:rsid w:val="00537033"/>
    <w:rsid w:val="00537182"/>
    <w:rsid w:val="005374ED"/>
    <w:rsid w:val="0053776A"/>
    <w:rsid w:val="00537BDF"/>
    <w:rsid w:val="00537C3A"/>
    <w:rsid w:val="00537D31"/>
    <w:rsid w:val="00537F5F"/>
    <w:rsid w:val="005401E0"/>
    <w:rsid w:val="005409CB"/>
    <w:rsid w:val="00540A57"/>
    <w:rsid w:val="005412E0"/>
    <w:rsid w:val="00541D02"/>
    <w:rsid w:val="00541EDD"/>
    <w:rsid w:val="0054212A"/>
    <w:rsid w:val="00542385"/>
    <w:rsid w:val="00542635"/>
    <w:rsid w:val="00542743"/>
    <w:rsid w:val="00542C2D"/>
    <w:rsid w:val="0054324C"/>
    <w:rsid w:val="0054332B"/>
    <w:rsid w:val="00543406"/>
    <w:rsid w:val="00543A16"/>
    <w:rsid w:val="00544B50"/>
    <w:rsid w:val="00545434"/>
    <w:rsid w:val="0054556A"/>
    <w:rsid w:val="00545DC0"/>
    <w:rsid w:val="00545EC0"/>
    <w:rsid w:val="00546639"/>
    <w:rsid w:val="005467DB"/>
    <w:rsid w:val="0054690A"/>
    <w:rsid w:val="005469BD"/>
    <w:rsid w:val="00546B1D"/>
    <w:rsid w:val="005478BD"/>
    <w:rsid w:val="005479A8"/>
    <w:rsid w:val="005479E3"/>
    <w:rsid w:val="00547A81"/>
    <w:rsid w:val="005502BB"/>
    <w:rsid w:val="005511E1"/>
    <w:rsid w:val="0055142F"/>
    <w:rsid w:val="0055152A"/>
    <w:rsid w:val="00551663"/>
    <w:rsid w:val="005516B9"/>
    <w:rsid w:val="00551756"/>
    <w:rsid w:val="0055192F"/>
    <w:rsid w:val="00551985"/>
    <w:rsid w:val="00552050"/>
    <w:rsid w:val="00552AF5"/>
    <w:rsid w:val="00552BD3"/>
    <w:rsid w:val="00552E2F"/>
    <w:rsid w:val="005532A0"/>
    <w:rsid w:val="0055336D"/>
    <w:rsid w:val="00553889"/>
    <w:rsid w:val="005538DE"/>
    <w:rsid w:val="00553B68"/>
    <w:rsid w:val="00554BC8"/>
    <w:rsid w:val="00555109"/>
    <w:rsid w:val="00555137"/>
    <w:rsid w:val="0055601B"/>
    <w:rsid w:val="00556383"/>
    <w:rsid w:val="005563EE"/>
    <w:rsid w:val="0055670C"/>
    <w:rsid w:val="00556B35"/>
    <w:rsid w:val="00557159"/>
    <w:rsid w:val="0055741A"/>
    <w:rsid w:val="0056079C"/>
    <w:rsid w:val="00560DD8"/>
    <w:rsid w:val="0056108B"/>
    <w:rsid w:val="005611B7"/>
    <w:rsid w:val="005611EF"/>
    <w:rsid w:val="005618D4"/>
    <w:rsid w:val="00561913"/>
    <w:rsid w:val="00563099"/>
    <w:rsid w:val="005634FF"/>
    <w:rsid w:val="0056367C"/>
    <w:rsid w:val="005636C5"/>
    <w:rsid w:val="00563939"/>
    <w:rsid w:val="00563A23"/>
    <w:rsid w:val="00563F07"/>
    <w:rsid w:val="00563FDC"/>
    <w:rsid w:val="005642D3"/>
    <w:rsid w:val="00564867"/>
    <w:rsid w:val="00564D61"/>
    <w:rsid w:val="0056558B"/>
    <w:rsid w:val="0056587C"/>
    <w:rsid w:val="00565C79"/>
    <w:rsid w:val="00565DF0"/>
    <w:rsid w:val="0056634D"/>
    <w:rsid w:val="00566619"/>
    <w:rsid w:val="00566923"/>
    <w:rsid w:val="0056696F"/>
    <w:rsid w:val="0056699A"/>
    <w:rsid w:val="0056727A"/>
    <w:rsid w:val="00567676"/>
    <w:rsid w:val="005676AE"/>
    <w:rsid w:val="00567865"/>
    <w:rsid w:val="00567B41"/>
    <w:rsid w:val="00571255"/>
    <w:rsid w:val="0057128F"/>
    <w:rsid w:val="00571B0D"/>
    <w:rsid w:val="00572269"/>
    <w:rsid w:val="0057227A"/>
    <w:rsid w:val="0057244A"/>
    <w:rsid w:val="00572673"/>
    <w:rsid w:val="00572F26"/>
    <w:rsid w:val="005735A5"/>
    <w:rsid w:val="00573EA2"/>
    <w:rsid w:val="00573F6F"/>
    <w:rsid w:val="0057441D"/>
    <w:rsid w:val="00574525"/>
    <w:rsid w:val="005750C5"/>
    <w:rsid w:val="005752DE"/>
    <w:rsid w:val="00575424"/>
    <w:rsid w:val="00575D60"/>
    <w:rsid w:val="00575D8D"/>
    <w:rsid w:val="0057621A"/>
    <w:rsid w:val="00576972"/>
    <w:rsid w:val="00577248"/>
    <w:rsid w:val="00577AA7"/>
    <w:rsid w:val="005800CE"/>
    <w:rsid w:val="00580225"/>
    <w:rsid w:val="0058023E"/>
    <w:rsid w:val="005816ED"/>
    <w:rsid w:val="00581716"/>
    <w:rsid w:val="00582001"/>
    <w:rsid w:val="0058246F"/>
    <w:rsid w:val="00582E5E"/>
    <w:rsid w:val="00583309"/>
    <w:rsid w:val="0058361C"/>
    <w:rsid w:val="00583699"/>
    <w:rsid w:val="00584C1C"/>
    <w:rsid w:val="00585043"/>
    <w:rsid w:val="005850C3"/>
    <w:rsid w:val="005850E2"/>
    <w:rsid w:val="00585B05"/>
    <w:rsid w:val="00585CDD"/>
    <w:rsid w:val="00585D88"/>
    <w:rsid w:val="00586403"/>
    <w:rsid w:val="00587058"/>
    <w:rsid w:val="00587FBC"/>
    <w:rsid w:val="00590362"/>
    <w:rsid w:val="00590910"/>
    <w:rsid w:val="00590A90"/>
    <w:rsid w:val="00591004"/>
    <w:rsid w:val="00591957"/>
    <w:rsid w:val="00592A13"/>
    <w:rsid w:val="00592A28"/>
    <w:rsid w:val="00593107"/>
    <w:rsid w:val="005932F9"/>
    <w:rsid w:val="00593AE9"/>
    <w:rsid w:val="00594F40"/>
    <w:rsid w:val="00595347"/>
    <w:rsid w:val="0059543C"/>
    <w:rsid w:val="00595561"/>
    <w:rsid w:val="00595F35"/>
    <w:rsid w:val="00596307"/>
    <w:rsid w:val="00596373"/>
    <w:rsid w:val="005965EC"/>
    <w:rsid w:val="00596632"/>
    <w:rsid w:val="00596976"/>
    <w:rsid w:val="0059699C"/>
    <w:rsid w:val="00596E9E"/>
    <w:rsid w:val="005972D1"/>
    <w:rsid w:val="00597BF9"/>
    <w:rsid w:val="005A0623"/>
    <w:rsid w:val="005A0B32"/>
    <w:rsid w:val="005A0BC4"/>
    <w:rsid w:val="005A0C11"/>
    <w:rsid w:val="005A0D2B"/>
    <w:rsid w:val="005A1158"/>
    <w:rsid w:val="005A188B"/>
    <w:rsid w:val="005A1DFD"/>
    <w:rsid w:val="005A21D0"/>
    <w:rsid w:val="005A29AB"/>
    <w:rsid w:val="005A3048"/>
    <w:rsid w:val="005A309A"/>
    <w:rsid w:val="005A33F5"/>
    <w:rsid w:val="005A373D"/>
    <w:rsid w:val="005A424B"/>
    <w:rsid w:val="005A4394"/>
    <w:rsid w:val="005A45C4"/>
    <w:rsid w:val="005A4B6B"/>
    <w:rsid w:val="005A4BAB"/>
    <w:rsid w:val="005A4F7A"/>
    <w:rsid w:val="005A4FA3"/>
    <w:rsid w:val="005A5432"/>
    <w:rsid w:val="005A566E"/>
    <w:rsid w:val="005A5D1D"/>
    <w:rsid w:val="005A5F35"/>
    <w:rsid w:val="005A65F0"/>
    <w:rsid w:val="005A67C9"/>
    <w:rsid w:val="005A786A"/>
    <w:rsid w:val="005A7C92"/>
    <w:rsid w:val="005B0032"/>
    <w:rsid w:val="005B00A4"/>
    <w:rsid w:val="005B022D"/>
    <w:rsid w:val="005B037F"/>
    <w:rsid w:val="005B0541"/>
    <w:rsid w:val="005B096C"/>
    <w:rsid w:val="005B0B58"/>
    <w:rsid w:val="005B1180"/>
    <w:rsid w:val="005B1226"/>
    <w:rsid w:val="005B15DE"/>
    <w:rsid w:val="005B1993"/>
    <w:rsid w:val="005B1FD3"/>
    <w:rsid w:val="005B2698"/>
    <w:rsid w:val="005B351B"/>
    <w:rsid w:val="005B4039"/>
    <w:rsid w:val="005B41BB"/>
    <w:rsid w:val="005B4329"/>
    <w:rsid w:val="005B45DC"/>
    <w:rsid w:val="005B4D53"/>
    <w:rsid w:val="005B4E53"/>
    <w:rsid w:val="005B55E1"/>
    <w:rsid w:val="005B57B9"/>
    <w:rsid w:val="005B5857"/>
    <w:rsid w:val="005B5B0E"/>
    <w:rsid w:val="005B5DAE"/>
    <w:rsid w:val="005B6013"/>
    <w:rsid w:val="005B666D"/>
    <w:rsid w:val="005B72B7"/>
    <w:rsid w:val="005B76A8"/>
    <w:rsid w:val="005B7B14"/>
    <w:rsid w:val="005C07C3"/>
    <w:rsid w:val="005C19C4"/>
    <w:rsid w:val="005C1B83"/>
    <w:rsid w:val="005C1BA5"/>
    <w:rsid w:val="005C1C43"/>
    <w:rsid w:val="005C208F"/>
    <w:rsid w:val="005C25FF"/>
    <w:rsid w:val="005C2926"/>
    <w:rsid w:val="005C2D55"/>
    <w:rsid w:val="005C31B4"/>
    <w:rsid w:val="005C3213"/>
    <w:rsid w:val="005C3445"/>
    <w:rsid w:val="005C346B"/>
    <w:rsid w:val="005C3629"/>
    <w:rsid w:val="005C3B88"/>
    <w:rsid w:val="005C4040"/>
    <w:rsid w:val="005C42D1"/>
    <w:rsid w:val="005C4557"/>
    <w:rsid w:val="005C4804"/>
    <w:rsid w:val="005C540D"/>
    <w:rsid w:val="005C5ABC"/>
    <w:rsid w:val="005C70CB"/>
    <w:rsid w:val="005C763A"/>
    <w:rsid w:val="005C7763"/>
    <w:rsid w:val="005C78A9"/>
    <w:rsid w:val="005D017B"/>
    <w:rsid w:val="005D044D"/>
    <w:rsid w:val="005D077C"/>
    <w:rsid w:val="005D0ABD"/>
    <w:rsid w:val="005D0B6B"/>
    <w:rsid w:val="005D0D39"/>
    <w:rsid w:val="005D18AD"/>
    <w:rsid w:val="005D2137"/>
    <w:rsid w:val="005D2264"/>
    <w:rsid w:val="005D26B4"/>
    <w:rsid w:val="005D2CE6"/>
    <w:rsid w:val="005D323F"/>
    <w:rsid w:val="005D352B"/>
    <w:rsid w:val="005D3C9E"/>
    <w:rsid w:val="005D446E"/>
    <w:rsid w:val="005D4F6F"/>
    <w:rsid w:val="005D5025"/>
    <w:rsid w:val="005D52B7"/>
    <w:rsid w:val="005D532B"/>
    <w:rsid w:val="005D589A"/>
    <w:rsid w:val="005D60D8"/>
    <w:rsid w:val="005D6C80"/>
    <w:rsid w:val="005D6E87"/>
    <w:rsid w:val="005D79A0"/>
    <w:rsid w:val="005E0044"/>
    <w:rsid w:val="005E0140"/>
    <w:rsid w:val="005E0845"/>
    <w:rsid w:val="005E0BD3"/>
    <w:rsid w:val="005E136A"/>
    <w:rsid w:val="005E151B"/>
    <w:rsid w:val="005E16F2"/>
    <w:rsid w:val="005E1995"/>
    <w:rsid w:val="005E1A0A"/>
    <w:rsid w:val="005E1D66"/>
    <w:rsid w:val="005E24B5"/>
    <w:rsid w:val="005E27C5"/>
    <w:rsid w:val="005E2A3E"/>
    <w:rsid w:val="005E2BD3"/>
    <w:rsid w:val="005E3181"/>
    <w:rsid w:val="005E3481"/>
    <w:rsid w:val="005E36C9"/>
    <w:rsid w:val="005E3DFE"/>
    <w:rsid w:val="005E3EA8"/>
    <w:rsid w:val="005E3F91"/>
    <w:rsid w:val="005E4473"/>
    <w:rsid w:val="005E4829"/>
    <w:rsid w:val="005E4A4A"/>
    <w:rsid w:val="005E4ACD"/>
    <w:rsid w:val="005E5226"/>
    <w:rsid w:val="005E538E"/>
    <w:rsid w:val="005E55F6"/>
    <w:rsid w:val="005E5891"/>
    <w:rsid w:val="005E5D98"/>
    <w:rsid w:val="005E637B"/>
    <w:rsid w:val="005E6CBC"/>
    <w:rsid w:val="005E72FF"/>
    <w:rsid w:val="005E73C0"/>
    <w:rsid w:val="005F074B"/>
    <w:rsid w:val="005F07ED"/>
    <w:rsid w:val="005F0A79"/>
    <w:rsid w:val="005F0B16"/>
    <w:rsid w:val="005F0B4D"/>
    <w:rsid w:val="005F1076"/>
    <w:rsid w:val="005F13AA"/>
    <w:rsid w:val="005F22AB"/>
    <w:rsid w:val="005F26E4"/>
    <w:rsid w:val="005F2706"/>
    <w:rsid w:val="005F2781"/>
    <w:rsid w:val="005F28B5"/>
    <w:rsid w:val="005F29FC"/>
    <w:rsid w:val="005F35E7"/>
    <w:rsid w:val="005F3767"/>
    <w:rsid w:val="005F3C7A"/>
    <w:rsid w:val="005F4654"/>
    <w:rsid w:val="005F524D"/>
    <w:rsid w:val="005F5645"/>
    <w:rsid w:val="005F650A"/>
    <w:rsid w:val="005F6957"/>
    <w:rsid w:val="005F6A8F"/>
    <w:rsid w:val="005F6BB7"/>
    <w:rsid w:val="005F7183"/>
    <w:rsid w:val="005F7588"/>
    <w:rsid w:val="00600E54"/>
    <w:rsid w:val="00601BFC"/>
    <w:rsid w:val="00602594"/>
    <w:rsid w:val="00602980"/>
    <w:rsid w:val="00602986"/>
    <w:rsid w:val="006029F5"/>
    <w:rsid w:val="00602B39"/>
    <w:rsid w:val="00602C45"/>
    <w:rsid w:val="006031C4"/>
    <w:rsid w:val="0060347E"/>
    <w:rsid w:val="00603DB9"/>
    <w:rsid w:val="00604176"/>
    <w:rsid w:val="0060432B"/>
    <w:rsid w:val="00604459"/>
    <w:rsid w:val="0060474D"/>
    <w:rsid w:val="00604CA6"/>
    <w:rsid w:val="00606A4D"/>
    <w:rsid w:val="00606FBA"/>
    <w:rsid w:val="00606FF3"/>
    <w:rsid w:val="006070D4"/>
    <w:rsid w:val="00607486"/>
    <w:rsid w:val="00607669"/>
    <w:rsid w:val="006076F4"/>
    <w:rsid w:val="00607834"/>
    <w:rsid w:val="00607957"/>
    <w:rsid w:val="00607AFD"/>
    <w:rsid w:val="00607F78"/>
    <w:rsid w:val="00610CEE"/>
    <w:rsid w:val="00610CF0"/>
    <w:rsid w:val="0061171C"/>
    <w:rsid w:val="006117E8"/>
    <w:rsid w:val="006119CC"/>
    <w:rsid w:val="00611B12"/>
    <w:rsid w:val="00612ED1"/>
    <w:rsid w:val="00612EDE"/>
    <w:rsid w:val="00612F97"/>
    <w:rsid w:val="006130F1"/>
    <w:rsid w:val="006131FB"/>
    <w:rsid w:val="006132B6"/>
    <w:rsid w:val="0061345D"/>
    <w:rsid w:val="006142EC"/>
    <w:rsid w:val="00614A64"/>
    <w:rsid w:val="00614A87"/>
    <w:rsid w:val="00614B8A"/>
    <w:rsid w:val="00614BF7"/>
    <w:rsid w:val="0061523A"/>
    <w:rsid w:val="0061544A"/>
    <w:rsid w:val="0061549B"/>
    <w:rsid w:val="006159D7"/>
    <w:rsid w:val="00616802"/>
    <w:rsid w:val="0061796F"/>
    <w:rsid w:val="00617E12"/>
    <w:rsid w:val="00620C25"/>
    <w:rsid w:val="00620D6B"/>
    <w:rsid w:val="00621477"/>
    <w:rsid w:val="00621ADA"/>
    <w:rsid w:val="00621F08"/>
    <w:rsid w:val="00622205"/>
    <w:rsid w:val="0062223F"/>
    <w:rsid w:val="00622D61"/>
    <w:rsid w:val="006232CB"/>
    <w:rsid w:val="006233A0"/>
    <w:rsid w:val="0062357F"/>
    <w:rsid w:val="006236B0"/>
    <w:rsid w:val="00623F7B"/>
    <w:rsid w:val="00624BD4"/>
    <w:rsid w:val="00625527"/>
    <w:rsid w:val="006265A1"/>
    <w:rsid w:val="00626DEF"/>
    <w:rsid w:val="00626FFB"/>
    <w:rsid w:val="00627EAF"/>
    <w:rsid w:val="006300B5"/>
    <w:rsid w:val="006302D1"/>
    <w:rsid w:val="006303C3"/>
    <w:rsid w:val="00631121"/>
    <w:rsid w:val="006313C2"/>
    <w:rsid w:val="0063158F"/>
    <w:rsid w:val="00631684"/>
    <w:rsid w:val="006317AF"/>
    <w:rsid w:val="00631BF3"/>
    <w:rsid w:val="00631D05"/>
    <w:rsid w:val="00631D6B"/>
    <w:rsid w:val="006320C8"/>
    <w:rsid w:val="00632183"/>
    <w:rsid w:val="0063224F"/>
    <w:rsid w:val="006324B1"/>
    <w:rsid w:val="00632983"/>
    <w:rsid w:val="006330A1"/>
    <w:rsid w:val="00633189"/>
    <w:rsid w:val="00633A6B"/>
    <w:rsid w:val="0063438B"/>
    <w:rsid w:val="0063479F"/>
    <w:rsid w:val="006349B3"/>
    <w:rsid w:val="00634DAF"/>
    <w:rsid w:val="006353F0"/>
    <w:rsid w:val="006357B5"/>
    <w:rsid w:val="00635B6A"/>
    <w:rsid w:val="0063636D"/>
    <w:rsid w:val="006363AB"/>
    <w:rsid w:val="0063649D"/>
    <w:rsid w:val="006364A1"/>
    <w:rsid w:val="00636504"/>
    <w:rsid w:val="0063678E"/>
    <w:rsid w:val="0063683D"/>
    <w:rsid w:val="00637467"/>
    <w:rsid w:val="006375A2"/>
    <w:rsid w:val="006377CE"/>
    <w:rsid w:val="0063793C"/>
    <w:rsid w:val="00637BFD"/>
    <w:rsid w:val="00637C5C"/>
    <w:rsid w:val="00637DAA"/>
    <w:rsid w:val="006406B9"/>
    <w:rsid w:val="00640818"/>
    <w:rsid w:val="006408F8"/>
    <w:rsid w:val="00640B01"/>
    <w:rsid w:val="00641316"/>
    <w:rsid w:val="00641479"/>
    <w:rsid w:val="0064151A"/>
    <w:rsid w:val="00641871"/>
    <w:rsid w:val="00641C4E"/>
    <w:rsid w:val="00641FB3"/>
    <w:rsid w:val="0064264D"/>
    <w:rsid w:val="0064266A"/>
    <w:rsid w:val="006431DB"/>
    <w:rsid w:val="00643BD6"/>
    <w:rsid w:val="006442C8"/>
    <w:rsid w:val="006442ED"/>
    <w:rsid w:val="0064434C"/>
    <w:rsid w:val="0064436F"/>
    <w:rsid w:val="00644536"/>
    <w:rsid w:val="00644621"/>
    <w:rsid w:val="00645D10"/>
    <w:rsid w:val="006463B4"/>
    <w:rsid w:val="006463F1"/>
    <w:rsid w:val="0064693B"/>
    <w:rsid w:val="006469C3"/>
    <w:rsid w:val="006471CC"/>
    <w:rsid w:val="006472FE"/>
    <w:rsid w:val="00647A29"/>
    <w:rsid w:val="00647EEE"/>
    <w:rsid w:val="0065079F"/>
    <w:rsid w:val="006508B5"/>
    <w:rsid w:val="006511DF"/>
    <w:rsid w:val="00652A28"/>
    <w:rsid w:val="00652AE5"/>
    <w:rsid w:val="006536FB"/>
    <w:rsid w:val="00653774"/>
    <w:rsid w:val="0065379F"/>
    <w:rsid w:val="0065386D"/>
    <w:rsid w:val="00653FE2"/>
    <w:rsid w:val="00654237"/>
    <w:rsid w:val="00654E1E"/>
    <w:rsid w:val="00655085"/>
    <w:rsid w:val="00655702"/>
    <w:rsid w:val="00656188"/>
    <w:rsid w:val="00656373"/>
    <w:rsid w:val="00656888"/>
    <w:rsid w:val="006568CE"/>
    <w:rsid w:val="00656978"/>
    <w:rsid w:val="00656AAF"/>
    <w:rsid w:val="00656B72"/>
    <w:rsid w:val="00656D79"/>
    <w:rsid w:val="0065715A"/>
    <w:rsid w:val="00660CDA"/>
    <w:rsid w:val="006610F1"/>
    <w:rsid w:val="00661C6B"/>
    <w:rsid w:val="00661F8D"/>
    <w:rsid w:val="00661FC4"/>
    <w:rsid w:val="00662D3E"/>
    <w:rsid w:val="00662EE7"/>
    <w:rsid w:val="0066304F"/>
    <w:rsid w:val="006634CA"/>
    <w:rsid w:val="00663CC0"/>
    <w:rsid w:val="006659D3"/>
    <w:rsid w:val="00665B7D"/>
    <w:rsid w:val="00665CFB"/>
    <w:rsid w:val="00665D03"/>
    <w:rsid w:val="00666446"/>
    <w:rsid w:val="0066741A"/>
    <w:rsid w:val="00667BE3"/>
    <w:rsid w:val="00667E8F"/>
    <w:rsid w:val="00667E9B"/>
    <w:rsid w:val="00667F96"/>
    <w:rsid w:val="00670089"/>
    <w:rsid w:val="00670625"/>
    <w:rsid w:val="006708A3"/>
    <w:rsid w:val="00671004"/>
    <w:rsid w:val="00671855"/>
    <w:rsid w:val="006719DD"/>
    <w:rsid w:val="00672382"/>
    <w:rsid w:val="00672646"/>
    <w:rsid w:val="006728D1"/>
    <w:rsid w:val="006731C2"/>
    <w:rsid w:val="0067390D"/>
    <w:rsid w:val="00674C11"/>
    <w:rsid w:val="00674CB4"/>
    <w:rsid w:val="00674E42"/>
    <w:rsid w:val="00674F56"/>
    <w:rsid w:val="00675452"/>
    <w:rsid w:val="00675580"/>
    <w:rsid w:val="00675980"/>
    <w:rsid w:val="006760F7"/>
    <w:rsid w:val="006764C3"/>
    <w:rsid w:val="00676563"/>
    <w:rsid w:val="006802BA"/>
    <w:rsid w:val="006802EB"/>
    <w:rsid w:val="006808EE"/>
    <w:rsid w:val="0068097B"/>
    <w:rsid w:val="00680B64"/>
    <w:rsid w:val="006813F8"/>
    <w:rsid w:val="0068191A"/>
    <w:rsid w:val="00681970"/>
    <w:rsid w:val="00681CBC"/>
    <w:rsid w:val="00681DA9"/>
    <w:rsid w:val="00681E38"/>
    <w:rsid w:val="00681EC9"/>
    <w:rsid w:val="00682112"/>
    <w:rsid w:val="006826D0"/>
    <w:rsid w:val="00682734"/>
    <w:rsid w:val="00682A62"/>
    <w:rsid w:val="00682BA6"/>
    <w:rsid w:val="00683038"/>
    <w:rsid w:val="00683183"/>
    <w:rsid w:val="006836BD"/>
    <w:rsid w:val="00683C84"/>
    <w:rsid w:val="0068427D"/>
    <w:rsid w:val="00684DC0"/>
    <w:rsid w:val="00684FB6"/>
    <w:rsid w:val="0068505B"/>
    <w:rsid w:val="006856DC"/>
    <w:rsid w:val="006859D4"/>
    <w:rsid w:val="00685BB4"/>
    <w:rsid w:val="00685E37"/>
    <w:rsid w:val="0068624E"/>
    <w:rsid w:val="00686558"/>
    <w:rsid w:val="00686957"/>
    <w:rsid w:val="0068702D"/>
    <w:rsid w:val="006872BA"/>
    <w:rsid w:val="0068773F"/>
    <w:rsid w:val="00687859"/>
    <w:rsid w:val="00687AD5"/>
    <w:rsid w:val="00687AFA"/>
    <w:rsid w:val="00687BD9"/>
    <w:rsid w:val="0069006B"/>
    <w:rsid w:val="006900BE"/>
    <w:rsid w:val="00690315"/>
    <w:rsid w:val="00690795"/>
    <w:rsid w:val="00690879"/>
    <w:rsid w:val="00690E23"/>
    <w:rsid w:val="00691648"/>
    <w:rsid w:val="006917D7"/>
    <w:rsid w:val="00691C3C"/>
    <w:rsid w:val="00691FEA"/>
    <w:rsid w:val="006925C3"/>
    <w:rsid w:val="0069294A"/>
    <w:rsid w:val="00692BDB"/>
    <w:rsid w:val="00693093"/>
    <w:rsid w:val="00693549"/>
    <w:rsid w:val="00693637"/>
    <w:rsid w:val="00694185"/>
    <w:rsid w:val="0069434C"/>
    <w:rsid w:val="00694F44"/>
    <w:rsid w:val="0069553A"/>
    <w:rsid w:val="0069561C"/>
    <w:rsid w:val="006957B6"/>
    <w:rsid w:val="00695811"/>
    <w:rsid w:val="00696EF9"/>
    <w:rsid w:val="00696F51"/>
    <w:rsid w:val="006970EC"/>
    <w:rsid w:val="00697404"/>
    <w:rsid w:val="0069795A"/>
    <w:rsid w:val="006979A5"/>
    <w:rsid w:val="00697FC7"/>
    <w:rsid w:val="006A016F"/>
    <w:rsid w:val="006A0DF7"/>
    <w:rsid w:val="006A1411"/>
    <w:rsid w:val="006A1AFB"/>
    <w:rsid w:val="006A217F"/>
    <w:rsid w:val="006A27A3"/>
    <w:rsid w:val="006A2C27"/>
    <w:rsid w:val="006A2D57"/>
    <w:rsid w:val="006A2EE1"/>
    <w:rsid w:val="006A309A"/>
    <w:rsid w:val="006A3BC9"/>
    <w:rsid w:val="006A4321"/>
    <w:rsid w:val="006A43D9"/>
    <w:rsid w:val="006A48D5"/>
    <w:rsid w:val="006A4A5F"/>
    <w:rsid w:val="006A4B04"/>
    <w:rsid w:val="006A51D4"/>
    <w:rsid w:val="006A539E"/>
    <w:rsid w:val="006A5B40"/>
    <w:rsid w:val="006A6B2B"/>
    <w:rsid w:val="006A6B99"/>
    <w:rsid w:val="006A72B9"/>
    <w:rsid w:val="006A7A28"/>
    <w:rsid w:val="006A7E5F"/>
    <w:rsid w:val="006B00BA"/>
    <w:rsid w:val="006B0C17"/>
    <w:rsid w:val="006B1160"/>
    <w:rsid w:val="006B1C87"/>
    <w:rsid w:val="006B24EE"/>
    <w:rsid w:val="006B261B"/>
    <w:rsid w:val="006B275E"/>
    <w:rsid w:val="006B2C90"/>
    <w:rsid w:val="006B2DAA"/>
    <w:rsid w:val="006B34B6"/>
    <w:rsid w:val="006B35E6"/>
    <w:rsid w:val="006B37C6"/>
    <w:rsid w:val="006B3AE0"/>
    <w:rsid w:val="006B3D14"/>
    <w:rsid w:val="006B4107"/>
    <w:rsid w:val="006B465A"/>
    <w:rsid w:val="006B4B73"/>
    <w:rsid w:val="006B4F3B"/>
    <w:rsid w:val="006B57EE"/>
    <w:rsid w:val="006B5E9F"/>
    <w:rsid w:val="006B63E2"/>
    <w:rsid w:val="006B6650"/>
    <w:rsid w:val="006B6DD0"/>
    <w:rsid w:val="006B6FB1"/>
    <w:rsid w:val="006B7E1E"/>
    <w:rsid w:val="006C0399"/>
    <w:rsid w:val="006C0796"/>
    <w:rsid w:val="006C0921"/>
    <w:rsid w:val="006C142A"/>
    <w:rsid w:val="006C1EFC"/>
    <w:rsid w:val="006C2007"/>
    <w:rsid w:val="006C2257"/>
    <w:rsid w:val="006C22D2"/>
    <w:rsid w:val="006C2A8E"/>
    <w:rsid w:val="006C2C50"/>
    <w:rsid w:val="006C3255"/>
    <w:rsid w:val="006C35F4"/>
    <w:rsid w:val="006C3F26"/>
    <w:rsid w:val="006C43B3"/>
    <w:rsid w:val="006C49E9"/>
    <w:rsid w:val="006C503C"/>
    <w:rsid w:val="006C535D"/>
    <w:rsid w:val="006C73F0"/>
    <w:rsid w:val="006C790A"/>
    <w:rsid w:val="006D00A1"/>
    <w:rsid w:val="006D0D17"/>
    <w:rsid w:val="006D11EF"/>
    <w:rsid w:val="006D120E"/>
    <w:rsid w:val="006D132D"/>
    <w:rsid w:val="006D1847"/>
    <w:rsid w:val="006D1938"/>
    <w:rsid w:val="006D1F6D"/>
    <w:rsid w:val="006D22D1"/>
    <w:rsid w:val="006D2D2F"/>
    <w:rsid w:val="006D308A"/>
    <w:rsid w:val="006D30FF"/>
    <w:rsid w:val="006D3616"/>
    <w:rsid w:val="006D36D0"/>
    <w:rsid w:val="006D3C7D"/>
    <w:rsid w:val="006D3CCA"/>
    <w:rsid w:val="006D3ED2"/>
    <w:rsid w:val="006D4659"/>
    <w:rsid w:val="006D4BD6"/>
    <w:rsid w:val="006D4DCB"/>
    <w:rsid w:val="006D4E5A"/>
    <w:rsid w:val="006D56C4"/>
    <w:rsid w:val="006D56D4"/>
    <w:rsid w:val="006D5D5F"/>
    <w:rsid w:val="006D68FB"/>
    <w:rsid w:val="006D797F"/>
    <w:rsid w:val="006D79BC"/>
    <w:rsid w:val="006E01DA"/>
    <w:rsid w:val="006E0354"/>
    <w:rsid w:val="006E19B8"/>
    <w:rsid w:val="006E19BD"/>
    <w:rsid w:val="006E1A2F"/>
    <w:rsid w:val="006E2427"/>
    <w:rsid w:val="006E2564"/>
    <w:rsid w:val="006E2868"/>
    <w:rsid w:val="006E2C70"/>
    <w:rsid w:val="006E2F5C"/>
    <w:rsid w:val="006E305F"/>
    <w:rsid w:val="006E3146"/>
    <w:rsid w:val="006E379D"/>
    <w:rsid w:val="006E3D89"/>
    <w:rsid w:val="006E4625"/>
    <w:rsid w:val="006E48E4"/>
    <w:rsid w:val="006E4B66"/>
    <w:rsid w:val="006E4BCC"/>
    <w:rsid w:val="006E4FD3"/>
    <w:rsid w:val="006E52C2"/>
    <w:rsid w:val="006E5AAB"/>
    <w:rsid w:val="006E5B02"/>
    <w:rsid w:val="006E5B20"/>
    <w:rsid w:val="006E6AD8"/>
    <w:rsid w:val="006E6D0A"/>
    <w:rsid w:val="006E6F77"/>
    <w:rsid w:val="006E774D"/>
    <w:rsid w:val="006E7AA8"/>
    <w:rsid w:val="006E7DA2"/>
    <w:rsid w:val="006E7EC7"/>
    <w:rsid w:val="006F00B1"/>
    <w:rsid w:val="006F08FA"/>
    <w:rsid w:val="006F0E52"/>
    <w:rsid w:val="006F1320"/>
    <w:rsid w:val="006F1690"/>
    <w:rsid w:val="006F1998"/>
    <w:rsid w:val="006F1A2F"/>
    <w:rsid w:val="006F1C0B"/>
    <w:rsid w:val="006F28E5"/>
    <w:rsid w:val="006F2A5D"/>
    <w:rsid w:val="006F2F5C"/>
    <w:rsid w:val="006F306C"/>
    <w:rsid w:val="006F345E"/>
    <w:rsid w:val="006F48EA"/>
    <w:rsid w:val="006F5965"/>
    <w:rsid w:val="006F613B"/>
    <w:rsid w:val="006F63A5"/>
    <w:rsid w:val="006F63B4"/>
    <w:rsid w:val="006F6602"/>
    <w:rsid w:val="006F6911"/>
    <w:rsid w:val="006F76A3"/>
    <w:rsid w:val="007002D0"/>
    <w:rsid w:val="00700420"/>
    <w:rsid w:val="007004BA"/>
    <w:rsid w:val="00700B8A"/>
    <w:rsid w:val="00700E2B"/>
    <w:rsid w:val="0070111E"/>
    <w:rsid w:val="0070142B"/>
    <w:rsid w:val="00701589"/>
    <w:rsid w:val="00701A3F"/>
    <w:rsid w:val="00702344"/>
    <w:rsid w:val="00702622"/>
    <w:rsid w:val="0070276E"/>
    <w:rsid w:val="00702B40"/>
    <w:rsid w:val="00702CDC"/>
    <w:rsid w:val="00702F8F"/>
    <w:rsid w:val="007030C0"/>
    <w:rsid w:val="007030C1"/>
    <w:rsid w:val="007033B5"/>
    <w:rsid w:val="007036A6"/>
    <w:rsid w:val="007038A8"/>
    <w:rsid w:val="00703B16"/>
    <w:rsid w:val="00704179"/>
    <w:rsid w:val="007042EF"/>
    <w:rsid w:val="00704361"/>
    <w:rsid w:val="00704AD8"/>
    <w:rsid w:val="00704DC3"/>
    <w:rsid w:val="00704DD4"/>
    <w:rsid w:val="007051C3"/>
    <w:rsid w:val="007055E3"/>
    <w:rsid w:val="007056DC"/>
    <w:rsid w:val="00705F8A"/>
    <w:rsid w:val="007063D3"/>
    <w:rsid w:val="0070654D"/>
    <w:rsid w:val="00706F8E"/>
    <w:rsid w:val="00707217"/>
    <w:rsid w:val="007079FC"/>
    <w:rsid w:val="00707E55"/>
    <w:rsid w:val="00707F3D"/>
    <w:rsid w:val="00710338"/>
    <w:rsid w:val="00710C19"/>
    <w:rsid w:val="007119B6"/>
    <w:rsid w:val="00711A36"/>
    <w:rsid w:val="00712208"/>
    <w:rsid w:val="007125D3"/>
    <w:rsid w:val="007127AD"/>
    <w:rsid w:val="00712A6C"/>
    <w:rsid w:val="00713011"/>
    <w:rsid w:val="00713C3D"/>
    <w:rsid w:val="00714730"/>
    <w:rsid w:val="00714C26"/>
    <w:rsid w:val="00714CF5"/>
    <w:rsid w:val="00714E3D"/>
    <w:rsid w:val="00714F1D"/>
    <w:rsid w:val="0071504B"/>
    <w:rsid w:val="0071529C"/>
    <w:rsid w:val="00715505"/>
    <w:rsid w:val="0071584A"/>
    <w:rsid w:val="00715987"/>
    <w:rsid w:val="00716220"/>
    <w:rsid w:val="007163CE"/>
    <w:rsid w:val="007170DA"/>
    <w:rsid w:val="007172AD"/>
    <w:rsid w:val="00717546"/>
    <w:rsid w:val="00720105"/>
    <w:rsid w:val="007206FB"/>
    <w:rsid w:val="0072070F"/>
    <w:rsid w:val="007207BC"/>
    <w:rsid w:val="00720801"/>
    <w:rsid w:val="007209DB"/>
    <w:rsid w:val="00720FC1"/>
    <w:rsid w:val="00722079"/>
    <w:rsid w:val="007223B2"/>
    <w:rsid w:val="00722802"/>
    <w:rsid w:val="00722B1B"/>
    <w:rsid w:val="00723564"/>
    <w:rsid w:val="0072365E"/>
    <w:rsid w:val="00723786"/>
    <w:rsid w:val="007239F1"/>
    <w:rsid w:val="0072403F"/>
    <w:rsid w:val="0072416F"/>
    <w:rsid w:val="00724416"/>
    <w:rsid w:val="007246B0"/>
    <w:rsid w:val="00724B0E"/>
    <w:rsid w:val="00724CAD"/>
    <w:rsid w:val="00724FB1"/>
    <w:rsid w:val="0072544C"/>
    <w:rsid w:val="00725E35"/>
    <w:rsid w:val="00726225"/>
    <w:rsid w:val="00726407"/>
    <w:rsid w:val="0072773D"/>
    <w:rsid w:val="00727A4D"/>
    <w:rsid w:val="00727C94"/>
    <w:rsid w:val="00730115"/>
    <w:rsid w:val="00730A03"/>
    <w:rsid w:val="00731B0A"/>
    <w:rsid w:val="00731EAE"/>
    <w:rsid w:val="00732542"/>
    <w:rsid w:val="00733073"/>
    <w:rsid w:val="007336D5"/>
    <w:rsid w:val="00733FA6"/>
    <w:rsid w:val="00734351"/>
    <w:rsid w:val="00734A0A"/>
    <w:rsid w:val="00734C06"/>
    <w:rsid w:val="00735033"/>
    <w:rsid w:val="00735176"/>
    <w:rsid w:val="00735328"/>
    <w:rsid w:val="00735898"/>
    <w:rsid w:val="007360BB"/>
    <w:rsid w:val="007367D1"/>
    <w:rsid w:val="0073685B"/>
    <w:rsid w:val="00737181"/>
    <w:rsid w:val="007375AC"/>
    <w:rsid w:val="00740235"/>
    <w:rsid w:val="0074064A"/>
    <w:rsid w:val="00741F73"/>
    <w:rsid w:val="00742116"/>
    <w:rsid w:val="0074248B"/>
    <w:rsid w:val="00743907"/>
    <w:rsid w:val="007449BF"/>
    <w:rsid w:val="00744D57"/>
    <w:rsid w:val="007463FE"/>
    <w:rsid w:val="007469B8"/>
    <w:rsid w:val="00746B68"/>
    <w:rsid w:val="00746BC0"/>
    <w:rsid w:val="00747D3E"/>
    <w:rsid w:val="0075003F"/>
    <w:rsid w:val="00750AF4"/>
    <w:rsid w:val="007510B4"/>
    <w:rsid w:val="0075141B"/>
    <w:rsid w:val="007516DD"/>
    <w:rsid w:val="00751A53"/>
    <w:rsid w:val="00751BB0"/>
    <w:rsid w:val="00752142"/>
    <w:rsid w:val="007521EB"/>
    <w:rsid w:val="007523F9"/>
    <w:rsid w:val="00752CA6"/>
    <w:rsid w:val="00752F8F"/>
    <w:rsid w:val="007530FC"/>
    <w:rsid w:val="0075357E"/>
    <w:rsid w:val="00753A4F"/>
    <w:rsid w:val="00753B29"/>
    <w:rsid w:val="00753B32"/>
    <w:rsid w:val="00753CBA"/>
    <w:rsid w:val="00753EB9"/>
    <w:rsid w:val="00753F5B"/>
    <w:rsid w:val="007542BC"/>
    <w:rsid w:val="0075451C"/>
    <w:rsid w:val="00754772"/>
    <w:rsid w:val="00754E68"/>
    <w:rsid w:val="00754E93"/>
    <w:rsid w:val="007557BA"/>
    <w:rsid w:val="007562BC"/>
    <w:rsid w:val="007563EA"/>
    <w:rsid w:val="007564C5"/>
    <w:rsid w:val="00756698"/>
    <w:rsid w:val="007573E8"/>
    <w:rsid w:val="007575E3"/>
    <w:rsid w:val="007600ED"/>
    <w:rsid w:val="0076025E"/>
    <w:rsid w:val="0076034E"/>
    <w:rsid w:val="00760AB2"/>
    <w:rsid w:val="00760C4E"/>
    <w:rsid w:val="00760E16"/>
    <w:rsid w:val="00760F9E"/>
    <w:rsid w:val="007616E6"/>
    <w:rsid w:val="00761E60"/>
    <w:rsid w:val="00762243"/>
    <w:rsid w:val="007626E9"/>
    <w:rsid w:val="007627BE"/>
    <w:rsid w:val="00762AFB"/>
    <w:rsid w:val="00762E27"/>
    <w:rsid w:val="00764640"/>
    <w:rsid w:val="00764F03"/>
    <w:rsid w:val="00765907"/>
    <w:rsid w:val="0076592C"/>
    <w:rsid w:val="00765A14"/>
    <w:rsid w:val="00765B1A"/>
    <w:rsid w:val="00765D46"/>
    <w:rsid w:val="00765DC1"/>
    <w:rsid w:val="00766160"/>
    <w:rsid w:val="007665DE"/>
    <w:rsid w:val="007675E2"/>
    <w:rsid w:val="00770501"/>
    <w:rsid w:val="00770BBC"/>
    <w:rsid w:val="00770D6E"/>
    <w:rsid w:val="00771205"/>
    <w:rsid w:val="00771BE6"/>
    <w:rsid w:val="00771F2F"/>
    <w:rsid w:val="0077234B"/>
    <w:rsid w:val="00772DBD"/>
    <w:rsid w:val="00772FB4"/>
    <w:rsid w:val="00773443"/>
    <w:rsid w:val="007735AE"/>
    <w:rsid w:val="00773600"/>
    <w:rsid w:val="0077360B"/>
    <w:rsid w:val="0077534C"/>
    <w:rsid w:val="0077547F"/>
    <w:rsid w:val="00775DDC"/>
    <w:rsid w:val="0077639C"/>
    <w:rsid w:val="00776581"/>
    <w:rsid w:val="00776A18"/>
    <w:rsid w:val="0077730C"/>
    <w:rsid w:val="00777335"/>
    <w:rsid w:val="00780784"/>
    <w:rsid w:val="00780C1D"/>
    <w:rsid w:val="00780F70"/>
    <w:rsid w:val="00781045"/>
    <w:rsid w:val="0078193E"/>
    <w:rsid w:val="00781B79"/>
    <w:rsid w:val="00782B20"/>
    <w:rsid w:val="0078367A"/>
    <w:rsid w:val="007838AB"/>
    <w:rsid w:val="007843F2"/>
    <w:rsid w:val="007846FA"/>
    <w:rsid w:val="007850AA"/>
    <w:rsid w:val="007851B6"/>
    <w:rsid w:val="007859E3"/>
    <w:rsid w:val="00785A9F"/>
    <w:rsid w:val="00785FCF"/>
    <w:rsid w:val="007874D5"/>
    <w:rsid w:val="0078759B"/>
    <w:rsid w:val="00787B9F"/>
    <w:rsid w:val="00787C05"/>
    <w:rsid w:val="00790A22"/>
    <w:rsid w:val="00790D24"/>
    <w:rsid w:val="00791AE8"/>
    <w:rsid w:val="00791F2F"/>
    <w:rsid w:val="007925DF"/>
    <w:rsid w:val="00792653"/>
    <w:rsid w:val="007936D7"/>
    <w:rsid w:val="00793CD3"/>
    <w:rsid w:val="00793DF8"/>
    <w:rsid w:val="007940A4"/>
    <w:rsid w:val="0079428A"/>
    <w:rsid w:val="007944B2"/>
    <w:rsid w:val="0079463B"/>
    <w:rsid w:val="007955E3"/>
    <w:rsid w:val="007957C3"/>
    <w:rsid w:val="00795A6E"/>
    <w:rsid w:val="00795CF8"/>
    <w:rsid w:val="007960D9"/>
    <w:rsid w:val="00796174"/>
    <w:rsid w:val="0079653D"/>
    <w:rsid w:val="00796564"/>
    <w:rsid w:val="007978E6"/>
    <w:rsid w:val="007A043E"/>
    <w:rsid w:val="007A08AA"/>
    <w:rsid w:val="007A0940"/>
    <w:rsid w:val="007A0A12"/>
    <w:rsid w:val="007A0CE1"/>
    <w:rsid w:val="007A132D"/>
    <w:rsid w:val="007A1345"/>
    <w:rsid w:val="007A171B"/>
    <w:rsid w:val="007A175D"/>
    <w:rsid w:val="007A177A"/>
    <w:rsid w:val="007A1A19"/>
    <w:rsid w:val="007A1F10"/>
    <w:rsid w:val="007A2102"/>
    <w:rsid w:val="007A2A26"/>
    <w:rsid w:val="007A2D16"/>
    <w:rsid w:val="007A2DDB"/>
    <w:rsid w:val="007A3410"/>
    <w:rsid w:val="007A34B3"/>
    <w:rsid w:val="007A3518"/>
    <w:rsid w:val="007A49D2"/>
    <w:rsid w:val="007A5094"/>
    <w:rsid w:val="007A5480"/>
    <w:rsid w:val="007A5DF4"/>
    <w:rsid w:val="007A60AE"/>
    <w:rsid w:val="007A66AA"/>
    <w:rsid w:val="007A70BA"/>
    <w:rsid w:val="007A71CE"/>
    <w:rsid w:val="007A7819"/>
    <w:rsid w:val="007B00DF"/>
    <w:rsid w:val="007B05D0"/>
    <w:rsid w:val="007B0986"/>
    <w:rsid w:val="007B0C3C"/>
    <w:rsid w:val="007B0D68"/>
    <w:rsid w:val="007B1031"/>
    <w:rsid w:val="007B17A8"/>
    <w:rsid w:val="007B1FBA"/>
    <w:rsid w:val="007B1FED"/>
    <w:rsid w:val="007B2077"/>
    <w:rsid w:val="007B215D"/>
    <w:rsid w:val="007B251D"/>
    <w:rsid w:val="007B29C6"/>
    <w:rsid w:val="007B3466"/>
    <w:rsid w:val="007B3533"/>
    <w:rsid w:val="007B3740"/>
    <w:rsid w:val="007B49FE"/>
    <w:rsid w:val="007B4B64"/>
    <w:rsid w:val="007B4F58"/>
    <w:rsid w:val="007B528D"/>
    <w:rsid w:val="007B5862"/>
    <w:rsid w:val="007B5ACC"/>
    <w:rsid w:val="007B60E9"/>
    <w:rsid w:val="007B63CA"/>
    <w:rsid w:val="007B6608"/>
    <w:rsid w:val="007B711F"/>
    <w:rsid w:val="007B77D1"/>
    <w:rsid w:val="007B7A38"/>
    <w:rsid w:val="007C0334"/>
    <w:rsid w:val="007C07C7"/>
    <w:rsid w:val="007C08CE"/>
    <w:rsid w:val="007C10A1"/>
    <w:rsid w:val="007C10EC"/>
    <w:rsid w:val="007C19B7"/>
    <w:rsid w:val="007C1CD9"/>
    <w:rsid w:val="007C216B"/>
    <w:rsid w:val="007C2B4D"/>
    <w:rsid w:val="007C31B6"/>
    <w:rsid w:val="007C32EF"/>
    <w:rsid w:val="007C361D"/>
    <w:rsid w:val="007C4078"/>
    <w:rsid w:val="007C4146"/>
    <w:rsid w:val="007C453D"/>
    <w:rsid w:val="007C4589"/>
    <w:rsid w:val="007C4929"/>
    <w:rsid w:val="007C4B84"/>
    <w:rsid w:val="007C4DA6"/>
    <w:rsid w:val="007C519D"/>
    <w:rsid w:val="007C5B38"/>
    <w:rsid w:val="007C6668"/>
    <w:rsid w:val="007C6896"/>
    <w:rsid w:val="007C69B5"/>
    <w:rsid w:val="007C6A37"/>
    <w:rsid w:val="007C70FF"/>
    <w:rsid w:val="007C7888"/>
    <w:rsid w:val="007C7C25"/>
    <w:rsid w:val="007C7F09"/>
    <w:rsid w:val="007D004F"/>
    <w:rsid w:val="007D035F"/>
    <w:rsid w:val="007D06B2"/>
    <w:rsid w:val="007D06EF"/>
    <w:rsid w:val="007D0B38"/>
    <w:rsid w:val="007D11D1"/>
    <w:rsid w:val="007D16BD"/>
    <w:rsid w:val="007D1931"/>
    <w:rsid w:val="007D2040"/>
    <w:rsid w:val="007D25E9"/>
    <w:rsid w:val="007D2725"/>
    <w:rsid w:val="007D315D"/>
    <w:rsid w:val="007D33FE"/>
    <w:rsid w:val="007D49FB"/>
    <w:rsid w:val="007D4D5B"/>
    <w:rsid w:val="007D5440"/>
    <w:rsid w:val="007D5739"/>
    <w:rsid w:val="007D5831"/>
    <w:rsid w:val="007D58D1"/>
    <w:rsid w:val="007D5B39"/>
    <w:rsid w:val="007D5D93"/>
    <w:rsid w:val="007D5E89"/>
    <w:rsid w:val="007D65C0"/>
    <w:rsid w:val="007D69EB"/>
    <w:rsid w:val="007D6B65"/>
    <w:rsid w:val="007D6E57"/>
    <w:rsid w:val="007D728B"/>
    <w:rsid w:val="007D79A0"/>
    <w:rsid w:val="007E0174"/>
    <w:rsid w:val="007E03FB"/>
    <w:rsid w:val="007E0423"/>
    <w:rsid w:val="007E0744"/>
    <w:rsid w:val="007E08DE"/>
    <w:rsid w:val="007E128F"/>
    <w:rsid w:val="007E1348"/>
    <w:rsid w:val="007E1760"/>
    <w:rsid w:val="007E2197"/>
    <w:rsid w:val="007E2DD2"/>
    <w:rsid w:val="007E2DE9"/>
    <w:rsid w:val="007E3C1E"/>
    <w:rsid w:val="007E4106"/>
    <w:rsid w:val="007E5111"/>
    <w:rsid w:val="007E5697"/>
    <w:rsid w:val="007E5F5F"/>
    <w:rsid w:val="007E5F70"/>
    <w:rsid w:val="007E628B"/>
    <w:rsid w:val="007E63B9"/>
    <w:rsid w:val="007E66AF"/>
    <w:rsid w:val="007F00F4"/>
    <w:rsid w:val="007F0A61"/>
    <w:rsid w:val="007F0E7E"/>
    <w:rsid w:val="007F1017"/>
    <w:rsid w:val="007F1386"/>
    <w:rsid w:val="007F23BC"/>
    <w:rsid w:val="007F2845"/>
    <w:rsid w:val="007F3B2E"/>
    <w:rsid w:val="007F41E2"/>
    <w:rsid w:val="007F4A3F"/>
    <w:rsid w:val="007F4A61"/>
    <w:rsid w:val="007F5255"/>
    <w:rsid w:val="007F56CC"/>
    <w:rsid w:val="007F61C2"/>
    <w:rsid w:val="007F69E8"/>
    <w:rsid w:val="007F6BA2"/>
    <w:rsid w:val="007F6C96"/>
    <w:rsid w:val="007F6CE4"/>
    <w:rsid w:val="007F7AC7"/>
    <w:rsid w:val="007F7D14"/>
    <w:rsid w:val="00800D23"/>
    <w:rsid w:val="00800DA8"/>
    <w:rsid w:val="0080201E"/>
    <w:rsid w:val="00802103"/>
    <w:rsid w:val="008021E9"/>
    <w:rsid w:val="008025B5"/>
    <w:rsid w:val="0080266F"/>
    <w:rsid w:val="00802EAE"/>
    <w:rsid w:val="00802FB9"/>
    <w:rsid w:val="008033E8"/>
    <w:rsid w:val="0080357A"/>
    <w:rsid w:val="008038AD"/>
    <w:rsid w:val="00803BA7"/>
    <w:rsid w:val="00804959"/>
    <w:rsid w:val="00804F02"/>
    <w:rsid w:val="00805142"/>
    <w:rsid w:val="0080557D"/>
    <w:rsid w:val="00805A80"/>
    <w:rsid w:val="00805FCE"/>
    <w:rsid w:val="00806914"/>
    <w:rsid w:val="00806EBE"/>
    <w:rsid w:val="008070BF"/>
    <w:rsid w:val="008074CE"/>
    <w:rsid w:val="00807A8B"/>
    <w:rsid w:val="00807BD3"/>
    <w:rsid w:val="00810E22"/>
    <w:rsid w:val="00811304"/>
    <w:rsid w:val="00811351"/>
    <w:rsid w:val="00811383"/>
    <w:rsid w:val="00811C97"/>
    <w:rsid w:val="00812149"/>
    <w:rsid w:val="0081253A"/>
    <w:rsid w:val="0081261A"/>
    <w:rsid w:val="00812CAC"/>
    <w:rsid w:val="00813F92"/>
    <w:rsid w:val="00814B70"/>
    <w:rsid w:val="0081555B"/>
    <w:rsid w:val="00816361"/>
    <w:rsid w:val="008166EF"/>
    <w:rsid w:val="00816E86"/>
    <w:rsid w:val="00816EF4"/>
    <w:rsid w:val="00816F26"/>
    <w:rsid w:val="00816FEF"/>
    <w:rsid w:val="0081771A"/>
    <w:rsid w:val="00817A44"/>
    <w:rsid w:val="00820141"/>
    <w:rsid w:val="008207C4"/>
    <w:rsid w:val="008208E1"/>
    <w:rsid w:val="00820A8C"/>
    <w:rsid w:val="008215FB"/>
    <w:rsid w:val="008220CC"/>
    <w:rsid w:val="0082279D"/>
    <w:rsid w:val="00822C61"/>
    <w:rsid w:val="00823174"/>
    <w:rsid w:val="0082317B"/>
    <w:rsid w:val="00823189"/>
    <w:rsid w:val="00823AAD"/>
    <w:rsid w:val="00824652"/>
    <w:rsid w:val="008247B5"/>
    <w:rsid w:val="00824DD1"/>
    <w:rsid w:val="00825751"/>
    <w:rsid w:val="00825D2F"/>
    <w:rsid w:val="00825EE8"/>
    <w:rsid w:val="008264EB"/>
    <w:rsid w:val="00826543"/>
    <w:rsid w:val="008268CE"/>
    <w:rsid w:val="00826B5B"/>
    <w:rsid w:val="0082789E"/>
    <w:rsid w:val="00827C23"/>
    <w:rsid w:val="00827CB2"/>
    <w:rsid w:val="00827DB9"/>
    <w:rsid w:val="00830103"/>
    <w:rsid w:val="00830A1E"/>
    <w:rsid w:val="00830C4B"/>
    <w:rsid w:val="008316C6"/>
    <w:rsid w:val="00831863"/>
    <w:rsid w:val="00832220"/>
    <w:rsid w:val="00832AA3"/>
    <w:rsid w:val="00832ECE"/>
    <w:rsid w:val="00833B05"/>
    <w:rsid w:val="00833DD1"/>
    <w:rsid w:val="00835410"/>
    <w:rsid w:val="00835A9A"/>
    <w:rsid w:val="00835C77"/>
    <w:rsid w:val="00835C7B"/>
    <w:rsid w:val="00835C82"/>
    <w:rsid w:val="00836159"/>
    <w:rsid w:val="008362B4"/>
    <w:rsid w:val="00837DFD"/>
    <w:rsid w:val="008400DD"/>
    <w:rsid w:val="00840CA2"/>
    <w:rsid w:val="00840D20"/>
    <w:rsid w:val="00841365"/>
    <w:rsid w:val="00842271"/>
    <w:rsid w:val="0084270A"/>
    <w:rsid w:val="00842900"/>
    <w:rsid w:val="00842A56"/>
    <w:rsid w:val="0084374F"/>
    <w:rsid w:val="00843943"/>
    <w:rsid w:val="0084405C"/>
    <w:rsid w:val="00844066"/>
    <w:rsid w:val="00844A0F"/>
    <w:rsid w:val="00844A22"/>
    <w:rsid w:val="00844A7F"/>
    <w:rsid w:val="00844BE3"/>
    <w:rsid w:val="00844F72"/>
    <w:rsid w:val="00845D88"/>
    <w:rsid w:val="00845F5F"/>
    <w:rsid w:val="008474EE"/>
    <w:rsid w:val="00847703"/>
    <w:rsid w:val="00847DF5"/>
    <w:rsid w:val="008504C0"/>
    <w:rsid w:val="00850852"/>
    <w:rsid w:val="00850E91"/>
    <w:rsid w:val="008510D0"/>
    <w:rsid w:val="008512D1"/>
    <w:rsid w:val="008516B2"/>
    <w:rsid w:val="00851F83"/>
    <w:rsid w:val="0085207E"/>
    <w:rsid w:val="008521EE"/>
    <w:rsid w:val="00852566"/>
    <w:rsid w:val="00852726"/>
    <w:rsid w:val="00852895"/>
    <w:rsid w:val="00852948"/>
    <w:rsid w:val="0085309D"/>
    <w:rsid w:val="00853EA2"/>
    <w:rsid w:val="0085411E"/>
    <w:rsid w:val="008553AF"/>
    <w:rsid w:val="0085572E"/>
    <w:rsid w:val="00855874"/>
    <w:rsid w:val="00855FFF"/>
    <w:rsid w:val="00856188"/>
    <w:rsid w:val="008564E3"/>
    <w:rsid w:val="00856897"/>
    <w:rsid w:val="00856AA5"/>
    <w:rsid w:val="00856E9A"/>
    <w:rsid w:val="00857C1B"/>
    <w:rsid w:val="00860152"/>
    <w:rsid w:val="008604CB"/>
    <w:rsid w:val="0086065E"/>
    <w:rsid w:val="0086075D"/>
    <w:rsid w:val="00860DD9"/>
    <w:rsid w:val="00861340"/>
    <w:rsid w:val="0086178B"/>
    <w:rsid w:val="00861BCF"/>
    <w:rsid w:val="00862098"/>
    <w:rsid w:val="0086222A"/>
    <w:rsid w:val="00862472"/>
    <w:rsid w:val="00862502"/>
    <w:rsid w:val="00862A09"/>
    <w:rsid w:val="00862CC1"/>
    <w:rsid w:val="00862F2E"/>
    <w:rsid w:val="00863127"/>
    <w:rsid w:val="00863152"/>
    <w:rsid w:val="008634B1"/>
    <w:rsid w:val="00863B23"/>
    <w:rsid w:val="00863BF4"/>
    <w:rsid w:val="008642A7"/>
    <w:rsid w:val="008649BB"/>
    <w:rsid w:val="00864B21"/>
    <w:rsid w:val="00864D47"/>
    <w:rsid w:val="00865BAB"/>
    <w:rsid w:val="00865DA2"/>
    <w:rsid w:val="008660D4"/>
    <w:rsid w:val="0086638E"/>
    <w:rsid w:val="00866BA7"/>
    <w:rsid w:val="00866FA4"/>
    <w:rsid w:val="00867198"/>
    <w:rsid w:val="00867250"/>
    <w:rsid w:val="008673CC"/>
    <w:rsid w:val="00867C86"/>
    <w:rsid w:val="00870232"/>
    <w:rsid w:val="00870BF8"/>
    <w:rsid w:val="00871FA9"/>
    <w:rsid w:val="0087206B"/>
    <w:rsid w:val="008722F1"/>
    <w:rsid w:val="008725E1"/>
    <w:rsid w:val="008728E9"/>
    <w:rsid w:val="00872BCC"/>
    <w:rsid w:val="00872D6F"/>
    <w:rsid w:val="00873022"/>
    <w:rsid w:val="0087312E"/>
    <w:rsid w:val="0087314C"/>
    <w:rsid w:val="00873DF7"/>
    <w:rsid w:val="00873F16"/>
    <w:rsid w:val="008743FC"/>
    <w:rsid w:val="008746DB"/>
    <w:rsid w:val="00874839"/>
    <w:rsid w:val="00874E1A"/>
    <w:rsid w:val="00875364"/>
    <w:rsid w:val="00875669"/>
    <w:rsid w:val="0087595A"/>
    <w:rsid w:val="008769E9"/>
    <w:rsid w:val="00876ABE"/>
    <w:rsid w:val="00876EDF"/>
    <w:rsid w:val="00877389"/>
    <w:rsid w:val="00877801"/>
    <w:rsid w:val="00877A19"/>
    <w:rsid w:val="0088036F"/>
    <w:rsid w:val="008805C2"/>
    <w:rsid w:val="00880621"/>
    <w:rsid w:val="00880A02"/>
    <w:rsid w:val="00880FDF"/>
    <w:rsid w:val="00881131"/>
    <w:rsid w:val="00881208"/>
    <w:rsid w:val="00881348"/>
    <w:rsid w:val="00882834"/>
    <w:rsid w:val="00882874"/>
    <w:rsid w:val="0088288D"/>
    <w:rsid w:val="008829F9"/>
    <w:rsid w:val="00882C86"/>
    <w:rsid w:val="00882E3C"/>
    <w:rsid w:val="00882EFC"/>
    <w:rsid w:val="0088308A"/>
    <w:rsid w:val="00883787"/>
    <w:rsid w:val="00883D8F"/>
    <w:rsid w:val="008842DA"/>
    <w:rsid w:val="00884593"/>
    <w:rsid w:val="00884FB1"/>
    <w:rsid w:val="008855E4"/>
    <w:rsid w:val="00885652"/>
    <w:rsid w:val="00885965"/>
    <w:rsid w:val="00885B32"/>
    <w:rsid w:val="00886149"/>
    <w:rsid w:val="00886381"/>
    <w:rsid w:val="0088697C"/>
    <w:rsid w:val="00886A4E"/>
    <w:rsid w:val="00886CD2"/>
    <w:rsid w:val="00886EB4"/>
    <w:rsid w:val="0088711A"/>
    <w:rsid w:val="0088733F"/>
    <w:rsid w:val="008877C2"/>
    <w:rsid w:val="008901E4"/>
    <w:rsid w:val="0089077B"/>
    <w:rsid w:val="00890C9A"/>
    <w:rsid w:val="00890ED5"/>
    <w:rsid w:val="0089106A"/>
    <w:rsid w:val="00891B5A"/>
    <w:rsid w:val="00891D2F"/>
    <w:rsid w:val="00891E6F"/>
    <w:rsid w:val="00892016"/>
    <w:rsid w:val="008923E6"/>
    <w:rsid w:val="00892603"/>
    <w:rsid w:val="008926BA"/>
    <w:rsid w:val="0089275D"/>
    <w:rsid w:val="00892909"/>
    <w:rsid w:val="00892A36"/>
    <w:rsid w:val="00892AA0"/>
    <w:rsid w:val="00893239"/>
    <w:rsid w:val="00893CEA"/>
    <w:rsid w:val="008943B2"/>
    <w:rsid w:val="00894489"/>
    <w:rsid w:val="0089483C"/>
    <w:rsid w:val="0089494E"/>
    <w:rsid w:val="00894CD6"/>
    <w:rsid w:val="008963A5"/>
    <w:rsid w:val="0089683D"/>
    <w:rsid w:val="00896BB0"/>
    <w:rsid w:val="00896D5D"/>
    <w:rsid w:val="00896FAC"/>
    <w:rsid w:val="008973DF"/>
    <w:rsid w:val="0089757F"/>
    <w:rsid w:val="008978BB"/>
    <w:rsid w:val="008A09F1"/>
    <w:rsid w:val="008A0ABE"/>
    <w:rsid w:val="008A1ABC"/>
    <w:rsid w:val="008A2081"/>
    <w:rsid w:val="008A20DF"/>
    <w:rsid w:val="008A231A"/>
    <w:rsid w:val="008A3158"/>
    <w:rsid w:val="008A3363"/>
    <w:rsid w:val="008A3371"/>
    <w:rsid w:val="008A3758"/>
    <w:rsid w:val="008A3BEB"/>
    <w:rsid w:val="008A3C3E"/>
    <w:rsid w:val="008A3CBE"/>
    <w:rsid w:val="008A4307"/>
    <w:rsid w:val="008A4C00"/>
    <w:rsid w:val="008A6F72"/>
    <w:rsid w:val="008A72FC"/>
    <w:rsid w:val="008A77DC"/>
    <w:rsid w:val="008A784F"/>
    <w:rsid w:val="008A79DE"/>
    <w:rsid w:val="008A7D18"/>
    <w:rsid w:val="008B02D0"/>
    <w:rsid w:val="008B0D91"/>
    <w:rsid w:val="008B1580"/>
    <w:rsid w:val="008B1757"/>
    <w:rsid w:val="008B1BEA"/>
    <w:rsid w:val="008B1C33"/>
    <w:rsid w:val="008B2CA4"/>
    <w:rsid w:val="008B32AB"/>
    <w:rsid w:val="008B3679"/>
    <w:rsid w:val="008B411F"/>
    <w:rsid w:val="008B47D1"/>
    <w:rsid w:val="008B4B6F"/>
    <w:rsid w:val="008B64FC"/>
    <w:rsid w:val="008B67B9"/>
    <w:rsid w:val="008B6B05"/>
    <w:rsid w:val="008B7064"/>
    <w:rsid w:val="008B769B"/>
    <w:rsid w:val="008B7992"/>
    <w:rsid w:val="008B7D7E"/>
    <w:rsid w:val="008C04A7"/>
    <w:rsid w:val="008C119A"/>
    <w:rsid w:val="008C15CE"/>
    <w:rsid w:val="008C1789"/>
    <w:rsid w:val="008C1816"/>
    <w:rsid w:val="008C25A3"/>
    <w:rsid w:val="008C27FC"/>
    <w:rsid w:val="008C299A"/>
    <w:rsid w:val="008C2B03"/>
    <w:rsid w:val="008C2DED"/>
    <w:rsid w:val="008C2E5C"/>
    <w:rsid w:val="008C3117"/>
    <w:rsid w:val="008C3124"/>
    <w:rsid w:val="008C3790"/>
    <w:rsid w:val="008C4FA8"/>
    <w:rsid w:val="008C5117"/>
    <w:rsid w:val="008C52D6"/>
    <w:rsid w:val="008C5610"/>
    <w:rsid w:val="008C5739"/>
    <w:rsid w:val="008C5D95"/>
    <w:rsid w:val="008C61C6"/>
    <w:rsid w:val="008C6673"/>
    <w:rsid w:val="008C6C13"/>
    <w:rsid w:val="008C6C5B"/>
    <w:rsid w:val="008C71B0"/>
    <w:rsid w:val="008C7282"/>
    <w:rsid w:val="008C7622"/>
    <w:rsid w:val="008C7ECB"/>
    <w:rsid w:val="008D06D8"/>
    <w:rsid w:val="008D06E7"/>
    <w:rsid w:val="008D0EAC"/>
    <w:rsid w:val="008D15E2"/>
    <w:rsid w:val="008D164E"/>
    <w:rsid w:val="008D1B93"/>
    <w:rsid w:val="008D1D71"/>
    <w:rsid w:val="008D24C1"/>
    <w:rsid w:val="008D2738"/>
    <w:rsid w:val="008D28FA"/>
    <w:rsid w:val="008D2F67"/>
    <w:rsid w:val="008D3594"/>
    <w:rsid w:val="008D3916"/>
    <w:rsid w:val="008D3B86"/>
    <w:rsid w:val="008D3BEA"/>
    <w:rsid w:val="008D3D75"/>
    <w:rsid w:val="008D409A"/>
    <w:rsid w:val="008D4290"/>
    <w:rsid w:val="008D4365"/>
    <w:rsid w:val="008D43FD"/>
    <w:rsid w:val="008D4755"/>
    <w:rsid w:val="008D4A27"/>
    <w:rsid w:val="008D4C3D"/>
    <w:rsid w:val="008D5281"/>
    <w:rsid w:val="008D6379"/>
    <w:rsid w:val="008D68C0"/>
    <w:rsid w:val="008D6D42"/>
    <w:rsid w:val="008D7433"/>
    <w:rsid w:val="008D743C"/>
    <w:rsid w:val="008D7444"/>
    <w:rsid w:val="008D75E4"/>
    <w:rsid w:val="008D785A"/>
    <w:rsid w:val="008D7C97"/>
    <w:rsid w:val="008D7CE8"/>
    <w:rsid w:val="008D7D69"/>
    <w:rsid w:val="008E07F4"/>
    <w:rsid w:val="008E0D3C"/>
    <w:rsid w:val="008E1541"/>
    <w:rsid w:val="008E1897"/>
    <w:rsid w:val="008E18FB"/>
    <w:rsid w:val="008E1B9E"/>
    <w:rsid w:val="008E1DF5"/>
    <w:rsid w:val="008E1F24"/>
    <w:rsid w:val="008E2599"/>
    <w:rsid w:val="008E26CA"/>
    <w:rsid w:val="008E2B1A"/>
    <w:rsid w:val="008E3730"/>
    <w:rsid w:val="008E38BC"/>
    <w:rsid w:val="008E3CFB"/>
    <w:rsid w:val="008E3DB1"/>
    <w:rsid w:val="008E55AB"/>
    <w:rsid w:val="008E6122"/>
    <w:rsid w:val="008E7378"/>
    <w:rsid w:val="008E75EF"/>
    <w:rsid w:val="008E7BB2"/>
    <w:rsid w:val="008F086D"/>
    <w:rsid w:val="008F088F"/>
    <w:rsid w:val="008F09D2"/>
    <w:rsid w:val="008F0D16"/>
    <w:rsid w:val="008F0EB5"/>
    <w:rsid w:val="008F10E9"/>
    <w:rsid w:val="008F120A"/>
    <w:rsid w:val="008F1674"/>
    <w:rsid w:val="008F21C2"/>
    <w:rsid w:val="008F25C3"/>
    <w:rsid w:val="008F27E0"/>
    <w:rsid w:val="008F3217"/>
    <w:rsid w:val="008F3989"/>
    <w:rsid w:val="008F41E8"/>
    <w:rsid w:val="008F4364"/>
    <w:rsid w:val="008F4670"/>
    <w:rsid w:val="008F4818"/>
    <w:rsid w:val="008F48EB"/>
    <w:rsid w:val="008F4DD4"/>
    <w:rsid w:val="008F4F0B"/>
    <w:rsid w:val="008F50BE"/>
    <w:rsid w:val="008F515C"/>
    <w:rsid w:val="008F519C"/>
    <w:rsid w:val="008F5877"/>
    <w:rsid w:val="008F5ED4"/>
    <w:rsid w:val="008F62F1"/>
    <w:rsid w:val="008F6851"/>
    <w:rsid w:val="008F68FF"/>
    <w:rsid w:val="008F69EA"/>
    <w:rsid w:val="008F7227"/>
    <w:rsid w:val="008F7CB4"/>
    <w:rsid w:val="00900298"/>
    <w:rsid w:val="00900807"/>
    <w:rsid w:val="009012CF"/>
    <w:rsid w:val="009013E1"/>
    <w:rsid w:val="0090185B"/>
    <w:rsid w:val="00901B3C"/>
    <w:rsid w:val="009027AE"/>
    <w:rsid w:val="009029B1"/>
    <w:rsid w:val="00902AAC"/>
    <w:rsid w:val="00902B2D"/>
    <w:rsid w:val="00902D8E"/>
    <w:rsid w:val="009035BD"/>
    <w:rsid w:val="009038EB"/>
    <w:rsid w:val="00903D5A"/>
    <w:rsid w:val="0090403C"/>
    <w:rsid w:val="0090404B"/>
    <w:rsid w:val="009043C5"/>
    <w:rsid w:val="009046C4"/>
    <w:rsid w:val="009049DC"/>
    <w:rsid w:val="00904CF6"/>
    <w:rsid w:val="0090575B"/>
    <w:rsid w:val="00905B08"/>
    <w:rsid w:val="00905F48"/>
    <w:rsid w:val="009062A5"/>
    <w:rsid w:val="0090661B"/>
    <w:rsid w:val="00907699"/>
    <w:rsid w:val="0090779B"/>
    <w:rsid w:val="00907FBF"/>
    <w:rsid w:val="0091087B"/>
    <w:rsid w:val="00910D59"/>
    <w:rsid w:val="00910FA7"/>
    <w:rsid w:val="00911272"/>
    <w:rsid w:val="00911339"/>
    <w:rsid w:val="009118EF"/>
    <w:rsid w:val="009119BA"/>
    <w:rsid w:val="00912198"/>
    <w:rsid w:val="0091275B"/>
    <w:rsid w:val="00912952"/>
    <w:rsid w:val="00912B7C"/>
    <w:rsid w:val="009135D6"/>
    <w:rsid w:val="00913756"/>
    <w:rsid w:val="00913AFB"/>
    <w:rsid w:val="009142FB"/>
    <w:rsid w:val="0091442C"/>
    <w:rsid w:val="0091444C"/>
    <w:rsid w:val="00914C77"/>
    <w:rsid w:val="00914C97"/>
    <w:rsid w:val="00914FC5"/>
    <w:rsid w:val="00915368"/>
    <w:rsid w:val="0091560C"/>
    <w:rsid w:val="00915733"/>
    <w:rsid w:val="009157B2"/>
    <w:rsid w:val="0091587C"/>
    <w:rsid w:val="00915F99"/>
    <w:rsid w:val="00916A53"/>
    <w:rsid w:val="00916AC9"/>
    <w:rsid w:val="00916BA1"/>
    <w:rsid w:val="00916CBB"/>
    <w:rsid w:val="00917213"/>
    <w:rsid w:val="009173CB"/>
    <w:rsid w:val="0091761C"/>
    <w:rsid w:val="009201C5"/>
    <w:rsid w:val="009206C5"/>
    <w:rsid w:val="009209C8"/>
    <w:rsid w:val="00920C0F"/>
    <w:rsid w:val="00920F60"/>
    <w:rsid w:val="00921036"/>
    <w:rsid w:val="00921ACB"/>
    <w:rsid w:val="00922A99"/>
    <w:rsid w:val="00922FAB"/>
    <w:rsid w:val="00923364"/>
    <w:rsid w:val="00923596"/>
    <w:rsid w:val="0092369B"/>
    <w:rsid w:val="00923EDB"/>
    <w:rsid w:val="009240A0"/>
    <w:rsid w:val="00924DF0"/>
    <w:rsid w:val="0092501B"/>
    <w:rsid w:val="00925552"/>
    <w:rsid w:val="00926404"/>
    <w:rsid w:val="00926729"/>
    <w:rsid w:val="009269FA"/>
    <w:rsid w:val="009273DA"/>
    <w:rsid w:val="0092796F"/>
    <w:rsid w:val="0093021D"/>
    <w:rsid w:val="00931059"/>
    <w:rsid w:val="009313E7"/>
    <w:rsid w:val="009315FE"/>
    <w:rsid w:val="00931F4A"/>
    <w:rsid w:val="0093219A"/>
    <w:rsid w:val="009321D4"/>
    <w:rsid w:val="009322DB"/>
    <w:rsid w:val="009325C6"/>
    <w:rsid w:val="009335B0"/>
    <w:rsid w:val="0093381D"/>
    <w:rsid w:val="0093428F"/>
    <w:rsid w:val="009345E4"/>
    <w:rsid w:val="009345EF"/>
    <w:rsid w:val="00934988"/>
    <w:rsid w:val="00934A7E"/>
    <w:rsid w:val="0093584C"/>
    <w:rsid w:val="009359C6"/>
    <w:rsid w:val="00936DCA"/>
    <w:rsid w:val="00937089"/>
    <w:rsid w:val="00937EBB"/>
    <w:rsid w:val="00940521"/>
    <w:rsid w:val="00940596"/>
    <w:rsid w:val="009406FF"/>
    <w:rsid w:val="00940ABD"/>
    <w:rsid w:val="00940AEF"/>
    <w:rsid w:val="009418C5"/>
    <w:rsid w:val="00941A78"/>
    <w:rsid w:val="00941C13"/>
    <w:rsid w:val="00941F65"/>
    <w:rsid w:val="0094240B"/>
    <w:rsid w:val="009424C3"/>
    <w:rsid w:val="00942FEE"/>
    <w:rsid w:val="00943018"/>
    <w:rsid w:val="00943BD3"/>
    <w:rsid w:val="00943F6E"/>
    <w:rsid w:val="00944692"/>
    <w:rsid w:val="00944AFF"/>
    <w:rsid w:val="00944BAC"/>
    <w:rsid w:val="00944F84"/>
    <w:rsid w:val="00944F8A"/>
    <w:rsid w:val="009459E7"/>
    <w:rsid w:val="00945F8F"/>
    <w:rsid w:val="009460BE"/>
    <w:rsid w:val="009469E2"/>
    <w:rsid w:val="00946AC6"/>
    <w:rsid w:val="00946F61"/>
    <w:rsid w:val="00950922"/>
    <w:rsid w:val="00950976"/>
    <w:rsid w:val="009509BD"/>
    <w:rsid w:val="00950A2A"/>
    <w:rsid w:val="00950D6D"/>
    <w:rsid w:val="009510A2"/>
    <w:rsid w:val="00951198"/>
    <w:rsid w:val="009516CF"/>
    <w:rsid w:val="009518FC"/>
    <w:rsid w:val="00951AB8"/>
    <w:rsid w:val="009528F1"/>
    <w:rsid w:val="00952D5A"/>
    <w:rsid w:val="00952EEC"/>
    <w:rsid w:val="00952F03"/>
    <w:rsid w:val="00952F9D"/>
    <w:rsid w:val="00953257"/>
    <w:rsid w:val="0095366E"/>
    <w:rsid w:val="00953E67"/>
    <w:rsid w:val="0095416A"/>
    <w:rsid w:val="0095430C"/>
    <w:rsid w:val="0095439B"/>
    <w:rsid w:val="0095448A"/>
    <w:rsid w:val="0095474C"/>
    <w:rsid w:val="00954C79"/>
    <w:rsid w:val="00954DD3"/>
    <w:rsid w:val="00956110"/>
    <w:rsid w:val="009565B1"/>
    <w:rsid w:val="00956785"/>
    <w:rsid w:val="00957195"/>
    <w:rsid w:val="00957D92"/>
    <w:rsid w:val="00957F26"/>
    <w:rsid w:val="00961794"/>
    <w:rsid w:val="009617CE"/>
    <w:rsid w:val="00962287"/>
    <w:rsid w:val="00962669"/>
    <w:rsid w:val="00962CB9"/>
    <w:rsid w:val="00962FBB"/>
    <w:rsid w:val="00963AA6"/>
    <w:rsid w:val="009640F3"/>
    <w:rsid w:val="00964312"/>
    <w:rsid w:val="00964432"/>
    <w:rsid w:val="0096483C"/>
    <w:rsid w:val="00964918"/>
    <w:rsid w:val="00964E0F"/>
    <w:rsid w:val="00964F2B"/>
    <w:rsid w:val="0096584D"/>
    <w:rsid w:val="00965A7F"/>
    <w:rsid w:val="00965B8A"/>
    <w:rsid w:val="009663AB"/>
    <w:rsid w:val="009670A7"/>
    <w:rsid w:val="009671B0"/>
    <w:rsid w:val="00967CDC"/>
    <w:rsid w:val="00970626"/>
    <w:rsid w:val="0097071F"/>
    <w:rsid w:val="00970BF0"/>
    <w:rsid w:val="00970E14"/>
    <w:rsid w:val="00971532"/>
    <w:rsid w:val="009717AC"/>
    <w:rsid w:val="009717DC"/>
    <w:rsid w:val="00971AE2"/>
    <w:rsid w:val="00971B92"/>
    <w:rsid w:val="009721A5"/>
    <w:rsid w:val="009726BD"/>
    <w:rsid w:val="009729CA"/>
    <w:rsid w:val="00972A0B"/>
    <w:rsid w:val="00972B5C"/>
    <w:rsid w:val="00972BEF"/>
    <w:rsid w:val="00972CB4"/>
    <w:rsid w:val="00972DB6"/>
    <w:rsid w:val="00973E53"/>
    <w:rsid w:val="00973F24"/>
    <w:rsid w:val="00974432"/>
    <w:rsid w:val="009746DC"/>
    <w:rsid w:val="00974912"/>
    <w:rsid w:val="00974A63"/>
    <w:rsid w:val="00974CFE"/>
    <w:rsid w:val="009751C1"/>
    <w:rsid w:val="0097575E"/>
    <w:rsid w:val="009757D7"/>
    <w:rsid w:val="00975E3C"/>
    <w:rsid w:val="0097612D"/>
    <w:rsid w:val="009767D2"/>
    <w:rsid w:val="0097693D"/>
    <w:rsid w:val="00977AA3"/>
    <w:rsid w:val="00980A7B"/>
    <w:rsid w:val="009810B6"/>
    <w:rsid w:val="009811F1"/>
    <w:rsid w:val="0098187F"/>
    <w:rsid w:val="009823D1"/>
    <w:rsid w:val="0098266C"/>
    <w:rsid w:val="00982CC9"/>
    <w:rsid w:val="00982CF6"/>
    <w:rsid w:val="009830B0"/>
    <w:rsid w:val="009834D7"/>
    <w:rsid w:val="00983C93"/>
    <w:rsid w:val="00983E57"/>
    <w:rsid w:val="00983FAF"/>
    <w:rsid w:val="00984393"/>
    <w:rsid w:val="0098480E"/>
    <w:rsid w:val="00984AC7"/>
    <w:rsid w:val="0098567E"/>
    <w:rsid w:val="0098586D"/>
    <w:rsid w:val="00985A0F"/>
    <w:rsid w:val="00985BAE"/>
    <w:rsid w:val="00985DE2"/>
    <w:rsid w:val="00985FF9"/>
    <w:rsid w:val="00986030"/>
    <w:rsid w:val="00986229"/>
    <w:rsid w:val="0098675D"/>
    <w:rsid w:val="00986E4D"/>
    <w:rsid w:val="009873E0"/>
    <w:rsid w:val="00987634"/>
    <w:rsid w:val="009878AE"/>
    <w:rsid w:val="00987BA4"/>
    <w:rsid w:val="00987EE1"/>
    <w:rsid w:val="00990416"/>
    <w:rsid w:val="00990D08"/>
    <w:rsid w:val="00990DB7"/>
    <w:rsid w:val="009917B5"/>
    <w:rsid w:val="00992122"/>
    <w:rsid w:val="0099232E"/>
    <w:rsid w:val="009926E0"/>
    <w:rsid w:val="00993C30"/>
    <w:rsid w:val="009944FC"/>
    <w:rsid w:val="0099451E"/>
    <w:rsid w:val="00994D8D"/>
    <w:rsid w:val="00994E77"/>
    <w:rsid w:val="009956A8"/>
    <w:rsid w:val="00995DC1"/>
    <w:rsid w:val="0099609E"/>
    <w:rsid w:val="0099619C"/>
    <w:rsid w:val="00996B1A"/>
    <w:rsid w:val="009970CD"/>
    <w:rsid w:val="0099719C"/>
    <w:rsid w:val="0099736B"/>
    <w:rsid w:val="009976B4"/>
    <w:rsid w:val="00997AC9"/>
    <w:rsid w:val="00997F9C"/>
    <w:rsid w:val="009A07DF"/>
    <w:rsid w:val="009A0C04"/>
    <w:rsid w:val="009A170A"/>
    <w:rsid w:val="009A18F6"/>
    <w:rsid w:val="009A1AE2"/>
    <w:rsid w:val="009A1CEE"/>
    <w:rsid w:val="009A1D6C"/>
    <w:rsid w:val="009A2BEC"/>
    <w:rsid w:val="009A2DCC"/>
    <w:rsid w:val="009A40D5"/>
    <w:rsid w:val="009A4860"/>
    <w:rsid w:val="009A4E7A"/>
    <w:rsid w:val="009A4F8E"/>
    <w:rsid w:val="009A5985"/>
    <w:rsid w:val="009A5A68"/>
    <w:rsid w:val="009A5ABC"/>
    <w:rsid w:val="009A7F10"/>
    <w:rsid w:val="009B1747"/>
    <w:rsid w:val="009B18A8"/>
    <w:rsid w:val="009B2777"/>
    <w:rsid w:val="009B2A81"/>
    <w:rsid w:val="009B3E26"/>
    <w:rsid w:val="009B453D"/>
    <w:rsid w:val="009B4EDE"/>
    <w:rsid w:val="009B5092"/>
    <w:rsid w:val="009B536F"/>
    <w:rsid w:val="009B561F"/>
    <w:rsid w:val="009B5B0B"/>
    <w:rsid w:val="009B5DB8"/>
    <w:rsid w:val="009B5E17"/>
    <w:rsid w:val="009B5F6A"/>
    <w:rsid w:val="009B619A"/>
    <w:rsid w:val="009B6864"/>
    <w:rsid w:val="009B69D5"/>
    <w:rsid w:val="009B6FEF"/>
    <w:rsid w:val="009B71B6"/>
    <w:rsid w:val="009B7322"/>
    <w:rsid w:val="009B7FD3"/>
    <w:rsid w:val="009C041A"/>
    <w:rsid w:val="009C042C"/>
    <w:rsid w:val="009C0B88"/>
    <w:rsid w:val="009C0D90"/>
    <w:rsid w:val="009C10BA"/>
    <w:rsid w:val="009C1271"/>
    <w:rsid w:val="009C13FC"/>
    <w:rsid w:val="009C187F"/>
    <w:rsid w:val="009C1D41"/>
    <w:rsid w:val="009C2008"/>
    <w:rsid w:val="009C20A5"/>
    <w:rsid w:val="009C2367"/>
    <w:rsid w:val="009C291C"/>
    <w:rsid w:val="009C30A9"/>
    <w:rsid w:val="009C3706"/>
    <w:rsid w:val="009C38B1"/>
    <w:rsid w:val="009C3A3A"/>
    <w:rsid w:val="009C3B9E"/>
    <w:rsid w:val="009C3E0F"/>
    <w:rsid w:val="009C3EF7"/>
    <w:rsid w:val="009C42E8"/>
    <w:rsid w:val="009C4567"/>
    <w:rsid w:val="009C4712"/>
    <w:rsid w:val="009C4B6A"/>
    <w:rsid w:val="009C4B7C"/>
    <w:rsid w:val="009C4D46"/>
    <w:rsid w:val="009C4E8F"/>
    <w:rsid w:val="009C4F0A"/>
    <w:rsid w:val="009C5895"/>
    <w:rsid w:val="009C5A1B"/>
    <w:rsid w:val="009C6626"/>
    <w:rsid w:val="009C66C5"/>
    <w:rsid w:val="009C6792"/>
    <w:rsid w:val="009C6CEA"/>
    <w:rsid w:val="009C7106"/>
    <w:rsid w:val="009C7130"/>
    <w:rsid w:val="009C71A0"/>
    <w:rsid w:val="009C733A"/>
    <w:rsid w:val="009C7B85"/>
    <w:rsid w:val="009C7CDF"/>
    <w:rsid w:val="009D0254"/>
    <w:rsid w:val="009D0B17"/>
    <w:rsid w:val="009D1018"/>
    <w:rsid w:val="009D150E"/>
    <w:rsid w:val="009D1916"/>
    <w:rsid w:val="009D19ED"/>
    <w:rsid w:val="009D1A26"/>
    <w:rsid w:val="009D1A64"/>
    <w:rsid w:val="009D1EAE"/>
    <w:rsid w:val="009D2371"/>
    <w:rsid w:val="009D2D44"/>
    <w:rsid w:val="009D33C7"/>
    <w:rsid w:val="009D4240"/>
    <w:rsid w:val="009D4425"/>
    <w:rsid w:val="009D44B7"/>
    <w:rsid w:val="009D44C4"/>
    <w:rsid w:val="009D4977"/>
    <w:rsid w:val="009D4EAB"/>
    <w:rsid w:val="009D51B4"/>
    <w:rsid w:val="009D528A"/>
    <w:rsid w:val="009D56F6"/>
    <w:rsid w:val="009D5B91"/>
    <w:rsid w:val="009D5E8D"/>
    <w:rsid w:val="009D5E92"/>
    <w:rsid w:val="009D62FE"/>
    <w:rsid w:val="009D65DF"/>
    <w:rsid w:val="009D676C"/>
    <w:rsid w:val="009D706F"/>
    <w:rsid w:val="009D792E"/>
    <w:rsid w:val="009E009B"/>
    <w:rsid w:val="009E0A44"/>
    <w:rsid w:val="009E0C9F"/>
    <w:rsid w:val="009E0D06"/>
    <w:rsid w:val="009E0DFE"/>
    <w:rsid w:val="009E1444"/>
    <w:rsid w:val="009E1ACA"/>
    <w:rsid w:val="009E20D9"/>
    <w:rsid w:val="009E28CB"/>
    <w:rsid w:val="009E31F6"/>
    <w:rsid w:val="009E41B3"/>
    <w:rsid w:val="009E47B2"/>
    <w:rsid w:val="009E47BC"/>
    <w:rsid w:val="009E47DF"/>
    <w:rsid w:val="009E4A00"/>
    <w:rsid w:val="009E4B06"/>
    <w:rsid w:val="009E4C07"/>
    <w:rsid w:val="009E504A"/>
    <w:rsid w:val="009E5094"/>
    <w:rsid w:val="009E5200"/>
    <w:rsid w:val="009E6819"/>
    <w:rsid w:val="009E777F"/>
    <w:rsid w:val="009E7A25"/>
    <w:rsid w:val="009E7B38"/>
    <w:rsid w:val="009F0277"/>
    <w:rsid w:val="009F033E"/>
    <w:rsid w:val="009F0868"/>
    <w:rsid w:val="009F0E7F"/>
    <w:rsid w:val="009F115E"/>
    <w:rsid w:val="009F1528"/>
    <w:rsid w:val="009F1878"/>
    <w:rsid w:val="009F1B05"/>
    <w:rsid w:val="009F1D30"/>
    <w:rsid w:val="009F20A0"/>
    <w:rsid w:val="009F2CD6"/>
    <w:rsid w:val="009F3783"/>
    <w:rsid w:val="009F44F9"/>
    <w:rsid w:val="009F4B81"/>
    <w:rsid w:val="009F5586"/>
    <w:rsid w:val="009F5975"/>
    <w:rsid w:val="009F5CF2"/>
    <w:rsid w:val="009F5E8F"/>
    <w:rsid w:val="009F5EE5"/>
    <w:rsid w:val="009F6120"/>
    <w:rsid w:val="009F630F"/>
    <w:rsid w:val="009F64BE"/>
    <w:rsid w:val="009F6B97"/>
    <w:rsid w:val="009F6CAF"/>
    <w:rsid w:val="009F7350"/>
    <w:rsid w:val="009F74EA"/>
    <w:rsid w:val="009F7C24"/>
    <w:rsid w:val="00A002CA"/>
    <w:rsid w:val="00A0042B"/>
    <w:rsid w:val="00A005F7"/>
    <w:rsid w:val="00A00D76"/>
    <w:rsid w:val="00A00EFB"/>
    <w:rsid w:val="00A010EF"/>
    <w:rsid w:val="00A01184"/>
    <w:rsid w:val="00A01449"/>
    <w:rsid w:val="00A0156F"/>
    <w:rsid w:val="00A0215A"/>
    <w:rsid w:val="00A02607"/>
    <w:rsid w:val="00A02615"/>
    <w:rsid w:val="00A029F6"/>
    <w:rsid w:val="00A02BBA"/>
    <w:rsid w:val="00A02C0E"/>
    <w:rsid w:val="00A02D69"/>
    <w:rsid w:val="00A0308B"/>
    <w:rsid w:val="00A03753"/>
    <w:rsid w:val="00A037C2"/>
    <w:rsid w:val="00A03D43"/>
    <w:rsid w:val="00A03E5F"/>
    <w:rsid w:val="00A041A5"/>
    <w:rsid w:val="00A04210"/>
    <w:rsid w:val="00A04380"/>
    <w:rsid w:val="00A04786"/>
    <w:rsid w:val="00A04AAE"/>
    <w:rsid w:val="00A0509E"/>
    <w:rsid w:val="00A05472"/>
    <w:rsid w:val="00A05C32"/>
    <w:rsid w:val="00A05D42"/>
    <w:rsid w:val="00A060F9"/>
    <w:rsid w:val="00A063B8"/>
    <w:rsid w:val="00A0653F"/>
    <w:rsid w:val="00A067C8"/>
    <w:rsid w:val="00A06BD6"/>
    <w:rsid w:val="00A06D3E"/>
    <w:rsid w:val="00A07421"/>
    <w:rsid w:val="00A07816"/>
    <w:rsid w:val="00A10184"/>
    <w:rsid w:val="00A10D00"/>
    <w:rsid w:val="00A10DDF"/>
    <w:rsid w:val="00A11193"/>
    <w:rsid w:val="00A116EB"/>
    <w:rsid w:val="00A11CD0"/>
    <w:rsid w:val="00A11FEE"/>
    <w:rsid w:val="00A12852"/>
    <w:rsid w:val="00A13948"/>
    <w:rsid w:val="00A13B2C"/>
    <w:rsid w:val="00A141B9"/>
    <w:rsid w:val="00A14927"/>
    <w:rsid w:val="00A14F17"/>
    <w:rsid w:val="00A15182"/>
    <w:rsid w:val="00A1545B"/>
    <w:rsid w:val="00A1550E"/>
    <w:rsid w:val="00A1555B"/>
    <w:rsid w:val="00A155C5"/>
    <w:rsid w:val="00A169CC"/>
    <w:rsid w:val="00A16AD8"/>
    <w:rsid w:val="00A16AF1"/>
    <w:rsid w:val="00A16D7B"/>
    <w:rsid w:val="00A17596"/>
    <w:rsid w:val="00A17A79"/>
    <w:rsid w:val="00A20093"/>
    <w:rsid w:val="00A2021E"/>
    <w:rsid w:val="00A20619"/>
    <w:rsid w:val="00A21704"/>
    <w:rsid w:val="00A21B75"/>
    <w:rsid w:val="00A21C95"/>
    <w:rsid w:val="00A21CF3"/>
    <w:rsid w:val="00A21E06"/>
    <w:rsid w:val="00A221F2"/>
    <w:rsid w:val="00A226B0"/>
    <w:rsid w:val="00A22893"/>
    <w:rsid w:val="00A22A0D"/>
    <w:rsid w:val="00A23584"/>
    <w:rsid w:val="00A23B18"/>
    <w:rsid w:val="00A23E22"/>
    <w:rsid w:val="00A24435"/>
    <w:rsid w:val="00A24813"/>
    <w:rsid w:val="00A24A75"/>
    <w:rsid w:val="00A257D5"/>
    <w:rsid w:val="00A25838"/>
    <w:rsid w:val="00A25922"/>
    <w:rsid w:val="00A27AEA"/>
    <w:rsid w:val="00A27AEC"/>
    <w:rsid w:val="00A27ED1"/>
    <w:rsid w:val="00A27F22"/>
    <w:rsid w:val="00A31773"/>
    <w:rsid w:val="00A320DB"/>
    <w:rsid w:val="00A32917"/>
    <w:rsid w:val="00A32A31"/>
    <w:rsid w:val="00A32CC4"/>
    <w:rsid w:val="00A34604"/>
    <w:rsid w:val="00A349E2"/>
    <w:rsid w:val="00A34D6B"/>
    <w:rsid w:val="00A35C8A"/>
    <w:rsid w:val="00A35D16"/>
    <w:rsid w:val="00A37132"/>
    <w:rsid w:val="00A372A8"/>
    <w:rsid w:val="00A374AE"/>
    <w:rsid w:val="00A3777E"/>
    <w:rsid w:val="00A37BCD"/>
    <w:rsid w:val="00A40300"/>
    <w:rsid w:val="00A4037C"/>
    <w:rsid w:val="00A40C9C"/>
    <w:rsid w:val="00A40E67"/>
    <w:rsid w:val="00A41141"/>
    <w:rsid w:val="00A41546"/>
    <w:rsid w:val="00A41689"/>
    <w:rsid w:val="00A41867"/>
    <w:rsid w:val="00A41B44"/>
    <w:rsid w:val="00A421EB"/>
    <w:rsid w:val="00A42574"/>
    <w:rsid w:val="00A42592"/>
    <w:rsid w:val="00A427A1"/>
    <w:rsid w:val="00A43C59"/>
    <w:rsid w:val="00A4402F"/>
    <w:rsid w:val="00A4489C"/>
    <w:rsid w:val="00A44B6C"/>
    <w:rsid w:val="00A475D5"/>
    <w:rsid w:val="00A47767"/>
    <w:rsid w:val="00A47AB2"/>
    <w:rsid w:val="00A5008D"/>
    <w:rsid w:val="00A50177"/>
    <w:rsid w:val="00A5022A"/>
    <w:rsid w:val="00A50A6F"/>
    <w:rsid w:val="00A50EA1"/>
    <w:rsid w:val="00A50ECD"/>
    <w:rsid w:val="00A51349"/>
    <w:rsid w:val="00A518F3"/>
    <w:rsid w:val="00A51B18"/>
    <w:rsid w:val="00A520F3"/>
    <w:rsid w:val="00A52729"/>
    <w:rsid w:val="00A5303A"/>
    <w:rsid w:val="00A53270"/>
    <w:rsid w:val="00A53354"/>
    <w:rsid w:val="00A534FA"/>
    <w:rsid w:val="00A53675"/>
    <w:rsid w:val="00A53921"/>
    <w:rsid w:val="00A53C65"/>
    <w:rsid w:val="00A54F9C"/>
    <w:rsid w:val="00A5550D"/>
    <w:rsid w:val="00A55743"/>
    <w:rsid w:val="00A557C2"/>
    <w:rsid w:val="00A5636A"/>
    <w:rsid w:val="00A564D7"/>
    <w:rsid w:val="00A56B6A"/>
    <w:rsid w:val="00A57166"/>
    <w:rsid w:val="00A578DC"/>
    <w:rsid w:val="00A57BD1"/>
    <w:rsid w:val="00A57D26"/>
    <w:rsid w:val="00A604F3"/>
    <w:rsid w:val="00A60E4F"/>
    <w:rsid w:val="00A61C5A"/>
    <w:rsid w:val="00A61C75"/>
    <w:rsid w:val="00A630D2"/>
    <w:rsid w:val="00A6375A"/>
    <w:rsid w:val="00A637F5"/>
    <w:rsid w:val="00A63D8A"/>
    <w:rsid w:val="00A640E2"/>
    <w:rsid w:val="00A642BE"/>
    <w:rsid w:val="00A64D65"/>
    <w:rsid w:val="00A64F69"/>
    <w:rsid w:val="00A65A10"/>
    <w:rsid w:val="00A65ADC"/>
    <w:rsid w:val="00A65BEC"/>
    <w:rsid w:val="00A661A0"/>
    <w:rsid w:val="00A66555"/>
    <w:rsid w:val="00A6680D"/>
    <w:rsid w:val="00A6725B"/>
    <w:rsid w:val="00A673F1"/>
    <w:rsid w:val="00A67582"/>
    <w:rsid w:val="00A677A9"/>
    <w:rsid w:val="00A677AF"/>
    <w:rsid w:val="00A67D8C"/>
    <w:rsid w:val="00A7020D"/>
    <w:rsid w:val="00A7043E"/>
    <w:rsid w:val="00A70605"/>
    <w:rsid w:val="00A708A3"/>
    <w:rsid w:val="00A711D9"/>
    <w:rsid w:val="00A71ADC"/>
    <w:rsid w:val="00A71DCE"/>
    <w:rsid w:val="00A71E37"/>
    <w:rsid w:val="00A71EA0"/>
    <w:rsid w:val="00A72077"/>
    <w:rsid w:val="00A720C1"/>
    <w:rsid w:val="00A7264E"/>
    <w:rsid w:val="00A729F2"/>
    <w:rsid w:val="00A72B28"/>
    <w:rsid w:val="00A72FAB"/>
    <w:rsid w:val="00A73134"/>
    <w:rsid w:val="00A73428"/>
    <w:rsid w:val="00A7365A"/>
    <w:rsid w:val="00A7434E"/>
    <w:rsid w:val="00A749C6"/>
    <w:rsid w:val="00A7564C"/>
    <w:rsid w:val="00A757B6"/>
    <w:rsid w:val="00A759DC"/>
    <w:rsid w:val="00A759E7"/>
    <w:rsid w:val="00A76001"/>
    <w:rsid w:val="00A7641E"/>
    <w:rsid w:val="00A76448"/>
    <w:rsid w:val="00A77152"/>
    <w:rsid w:val="00A771FB"/>
    <w:rsid w:val="00A777B2"/>
    <w:rsid w:val="00A779BA"/>
    <w:rsid w:val="00A77D55"/>
    <w:rsid w:val="00A80169"/>
    <w:rsid w:val="00A80F07"/>
    <w:rsid w:val="00A81AC6"/>
    <w:rsid w:val="00A825D4"/>
    <w:rsid w:val="00A828F6"/>
    <w:rsid w:val="00A82A01"/>
    <w:rsid w:val="00A82B73"/>
    <w:rsid w:val="00A82E0F"/>
    <w:rsid w:val="00A830D6"/>
    <w:rsid w:val="00A83179"/>
    <w:rsid w:val="00A83418"/>
    <w:rsid w:val="00A834F1"/>
    <w:rsid w:val="00A839C8"/>
    <w:rsid w:val="00A84491"/>
    <w:rsid w:val="00A84A13"/>
    <w:rsid w:val="00A84B05"/>
    <w:rsid w:val="00A85135"/>
    <w:rsid w:val="00A852F2"/>
    <w:rsid w:val="00A86E8B"/>
    <w:rsid w:val="00A87164"/>
    <w:rsid w:val="00A871A9"/>
    <w:rsid w:val="00A87A43"/>
    <w:rsid w:val="00A87B72"/>
    <w:rsid w:val="00A902A3"/>
    <w:rsid w:val="00A90BEF"/>
    <w:rsid w:val="00A90FB3"/>
    <w:rsid w:val="00A913C8"/>
    <w:rsid w:val="00A91761"/>
    <w:rsid w:val="00A919E2"/>
    <w:rsid w:val="00A91A3B"/>
    <w:rsid w:val="00A92095"/>
    <w:rsid w:val="00A92AFC"/>
    <w:rsid w:val="00A93072"/>
    <w:rsid w:val="00A93226"/>
    <w:rsid w:val="00A932EE"/>
    <w:rsid w:val="00A938BD"/>
    <w:rsid w:val="00A93953"/>
    <w:rsid w:val="00A93D61"/>
    <w:rsid w:val="00A93FAE"/>
    <w:rsid w:val="00A9458F"/>
    <w:rsid w:val="00A948D1"/>
    <w:rsid w:val="00A94DBE"/>
    <w:rsid w:val="00A95142"/>
    <w:rsid w:val="00A959D8"/>
    <w:rsid w:val="00A959FB"/>
    <w:rsid w:val="00A9612B"/>
    <w:rsid w:val="00A977B5"/>
    <w:rsid w:val="00A97841"/>
    <w:rsid w:val="00A97CED"/>
    <w:rsid w:val="00AA0723"/>
    <w:rsid w:val="00AA113D"/>
    <w:rsid w:val="00AA114D"/>
    <w:rsid w:val="00AA2DC1"/>
    <w:rsid w:val="00AA3192"/>
    <w:rsid w:val="00AA32FA"/>
    <w:rsid w:val="00AA3402"/>
    <w:rsid w:val="00AA373F"/>
    <w:rsid w:val="00AA3A80"/>
    <w:rsid w:val="00AA48F3"/>
    <w:rsid w:val="00AA57E9"/>
    <w:rsid w:val="00AA62EA"/>
    <w:rsid w:val="00AA6758"/>
    <w:rsid w:val="00AA6BD5"/>
    <w:rsid w:val="00AA6BD8"/>
    <w:rsid w:val="00AA6C7D"/>
    <w:rsid w:val="00AA6EC2"/>
    <w:rsid w:val="00AA7321"/>
    <w:rsid w:val="00AA7AF3"/>
    <w:rsid w:val="00AA7E10"/>
    <w:rsid w:val="00AA7F48"/>
    <w:rsid w:val="00AA7FD6"/>
    <w:rsid w:val="00AB042A"/>
    <w:rsid w:val="00AB0716"/>
    <w:rsid w:val="00AB10CA"/>
    <w:rsid w:val="00AB11AD"/>
    <w:rsid w:val="00AB1288"/>
    <w:rsid w:val="00AB19EF"/>
    <w:rsid w:val="00AB1B10"/>
    <w:rsid w:val="00AB1D6E"/>
    <w:rsid w:val="00AB1D9A"/>
    <w:rsid w:val="00AB1E89"/>
    <w:rsid w:val="00AB1E9D"/>
    <w:rsid w:val="00AB1EBB"/>
    <w:rsid w:val="00AB233E"/>
    <w:rsid w:val="00AB2495"/>
    <w:rsid w:val="00AB24F6"/>
    <w:rsid w:val="00AB2747"/>
    <w:rsid w:val="00AB2D34"/>
    <w:rsid w:val="00AB3430"/>
    <w:rsid w:val="00AB3520"/>
    <w:rsid w:val="00AB37B9"/>
    <w:rsid w:val="00AB37CD"/>
    <w:rsid w:val="00AB387E"/>
    <w:rsid w:val="00AB3A31"/>
    <w:rsid w:val="00AB3A67"/>
    <w:rsid w:val="00AB3AC3"/>
    <w:rsid w:val="00AB3BD7"/>
    <w:rsid w:val="00AB413E"/>
    <w:rsid w:val="00AB44B4"/>
    <w:rsid w:val="00AB4AD1"/>
    <w:rsid w:val="00AB4C30"/>
    <w:rsid w:val="00AB5027"/>
    <w:rsid w:val="00AB53CB"/>
    <w:rsid w:val="00AB53F8"/>
    <w:rsid w:val="00AB5517"/>
    <w:rsid w:val="00AB5762"/>
    <w:rsid w:val="00AB5E07"/>
    <w:rsid w:val="00AB6BF2"/>
    <w:rsid w:val="00AB6D4C"/>
    <w:rsid w:val="00AB7606"/>
    <w:rsid w:val="00AB7C3D"/>
    <w:rsid w:val="00AB7CFA"/>
    <w:rsid w:val="00AC0A54"/>
    <w:rsid w:val="00AC11B2"/>
    <w:rsid w:val="00AC1210"/>
    <w:rsid w:val="00AC15E4"/>
    <w:rsid w:val="00AC1686"/>
    <w:rsid w:val="00AC2663"/>
    <w:rsid w:val="00AC2842"/>
    <w:rsid w:val="00AC2A8C"/>
    <w:rsid w:val="00AC2C97"/>
    <w:rsid w:val="00AC39EF"/>
    <w:rsid w:val="00AC4A6B"/>
    <w:rsid w:val="00AC4A8A"/>
    <w:rsid w:val="00AC4CAE"/>
    <w:rsid w:val="00AC4D5B"/>
    <w:rsid w:val="00AC506C"/>
    <w:rsid w:val="00AC58A4"/>
    <w:rsid w:val="00AC5B42"/>
    <w:rsid w:val="00AC5B48"/>
    <w:rsid w:val="00AC63DE"/>
    <w:rsid w:val="00AC64A3"/>
    <w:rsid w:val="00AC69E2"/>
    <w:rsid w:val="00AC78D9"/>
    <w:rsid w:val="00AC7AFE"/>
    <w:rsid w:val="00AD1450"/>
    <w:rsid w:val="00AD15E8"/>
    <w:rsid w:val="00AD2675"/>
    <w:rsid w:val="00AD2BB8"/>
    <w:rsid w:val="00AD2C25"/>
    <w:rsid w:val="00AD3385"/>
    <w:rsid w:val="00AD33FB"/>
    <w:rsid w:val="00AD356D"/>
    <w:rsid w:val="00AD37AA"/>
    <w:rsid w:val="00AD3AF2"/>
    <w:rsid w:val="00AD3B58"/>
    <w:rsid w:val="00AD4432"/>
    <w:rsid w:val="00AD44F1"/>
    <w:rsid w:val="00AD459B"/>
    <w:rsid w:val="00AD5868"/>
    <w:rsid w:val="00AD5AAE"/>
    <w:rsid w:val="00AD60AC"/>
    <w:rsid w:val="00AD6502"/>
    <w:rsid w:val="00AD740B"/>
    <w:rsid w:val="00AD7985"/>
    <w:rsid w:val="00AD7D58"/>
    <w:rsid w:val="00AE0026"/>
    <w:rsid w:val="00AE0695"/>
    <w:rsid w:val="00AE0AF0"/>
    <w:rsid w:val="00AE0C8E"/>
    <w:rsid w:val="00AE1014"/>
    <w:rsid w:val="00AE1248"/>
    <w:rsid w:val="00AE1B8B"/>
    <w:rsid w:val="00AE24E7"/>
    <w:rsid w:val="00AE2A6D"/>
    <w:rsid w:val="00AE2CD0"/>
    <w:rsid w:val="00AE2E6A"/>
    <w:rsid w:val="00AE3704"/>
    <w:rsid w:val="00AE375F"/>
    <w:rsid w:val="00AE3E7E"/>
    <w:rsid w:val="00AE4110"/>
    <w:rsid w:val="00AE525E"/>
    <w:rsid w:val="00AE5E74"/>
    <w:rsid w:val="00AE6023"/>
    <w:rsid w:val="00AE6624"/>
    <w:rsid w:val="00AE74BE"/>
    <w:rsid w:val="00AE7A67"/>
    <w:rsid w:val="00AE7B1A"/>
    <w:rsid w:val="00AE7E53"/>
    <w:rsid w:val="00AE7FA0"/>
    <w:rsid w:val="00AF0405"/>
    <w:rsid w:val="00AF05A8"/>
    <w:rsid w:val="00AF06A1"/>
    <w:rsid w:val="00AF0867"/>
    <w:rsid w:val="00AF1315"/>
    <w:rsid w:val="00AF148E"/>
    <w:rsid w:val="00AF1710"/>
    <w:rsid w:val="00AF19BF"/>
    <w:rsid w:val="00AF1B0F"/>
    <w:rsid w:val="00AF1C00"/>
    <w:rsid w:val="00AF1D48"/>
    <w:rsid w:val="00AF22B0"/>
    <w:rsid w:val="00AF283F"/>
    <w:rsid w:val="00AF2DA8"/>
    <w:rsid w:val="00AF2DC3"/>
    <w:rsid w:val="00AF379A"/>
    <w:rsid w:val="00AF38EA"/>
    <w:rsid w:val="00AF4B09"/>
    <w:rsid w:val="00AF4BDE"/>
    <w:rsid w:val="00AF52B5"/>
    <w:rsid w:val="00AF54D3"/>
    <w:rsid w:val="00AF55C9"/>
    <w:rsid w:val="00AF600E"/>
    <w:rsid w:val="00AF6384"/>
    <w:rsid w:val="00AF74E1"/>
    <w:rsid w:val="00B003A7"/>
    <w:rsid w:val="00B005CA"/>
    <w:rsid w:val="00B00770"/>
    <w:rsid w:val="00B00A51"/>
    <w:rsid w:val="00B01591"/>
    <w:rsid w:val="00B021E2"/>
    <w:rsid w:val="00B02A5D"/>
    <w:rsid w:val="00B02A69"/>
    <w:rsid w:val="00B02E73"/>
    <w:rsid w:val="00B02FCD"/>
    <w:rsid w:val="00B033E5"/>
    <w:rsid w:val="00B03A63"/>
    <w:rsid w:val="00B04389"/>
    <w:rsid w:val="00B05D45"/>
    <w:rsid w:val="00B0659C"/>
    <w:rsid w:val="00B07528"/>
    <w:rsid w:val="00B077CA"/>
    <w:rsid w:val="00B07C25"/>
    <w:rsid w:val="00B07F62"/>
    <w:rsid w:val="00B1034C"/>
    <w:rsid w:val="00B10995"/>
    <w:rsid w:val="00B11625"/>
    <w:rsid w:val="00B11693"/>
    <w:rsid w:val="00B11E49"/>
    <w:rsid w:val="00B12481"/>
    <w:rsid w:val="00B129A4"/>
    <w:rsid w:val="00B12BE9"/>
    <w:rsid w:val="00B13921"/>
    <w:rsid w:val="00B13C49"/>
    <w:rsid w:val="00B13E94"/>
    <w:rsid w:val="00B1424C"/>
    <w:rsid w:val="00B147EE"/>
    <w:rsid w:val="00B14C02"/>
    <w:rsid w:val="00B14DAD"/>
    <w:rsid w:val="00B14DD3"/>
    <w:rsid w:val="00B15E47"/>
    <w:rsid w:val="00B160DA"/>
    <w:rsid w:val="00B1697A"/>
    <w:rsid w:val="00B16A22"/>
    <w:rsid w:val="00B17EA7"/>
    <w:rsid w:val="00B201A4"/>
    <w:rsid w:val="00B201D1"/>
    <w:rsid w:val="00B20302"/>
    <w:rsid w:val="00B20569"/>
    <w:rsid w:val="00B213A6"/>
    <w:rsid w:val="00B22206"/>
    <w:rsid w:val="00B23310"/>
    <w:rsid w:val="00B23415"/>
    <w:rsid w:val="00B235B0"/>
    <w:rsid w:val="00B24DF6"/>
    <w:rsid w:val="00B256AD"/>
    <w:rsid w:val="00B25EEC"/>
    <w:rsid w:val="00B26F4B"/>
    <w:rsid w:val="00B27A61"/>
    <w:rsid w:val="00B3001C"/>
    <w:rsid w:val="00B30FEC"/>
    <w:rsid w:val="00B31B51"/>
    <w:rsid w:val="00B31EBA"/>
    <w:rsid w:val="00B333CC"/>
    <w:rsid w:val="00B335A8"/>
    <w:rsid w:val="00B33C41"/>
    <w:rsid w:val="00B342F8"/>
    <w:rsid w:val="00B3434F"/>
    <w:rsid w:val="00B344BA"/>
    <w:rsid w:val="00B34B19"/>
    <w:rsid w:val="00B34DFC"/>
    <w:rsid w:val="00B34F55"/>
    <w:rsid w:val="00B34FE2"/>
    <w:rsid w:val="00B35166"/>
    <w:rsid w:val="00B35316"/>
    <w:rsid w:val="00B35403"/>
    <w:rsid w:val="00B357D8"/>
    <w:rsid w:val="00B35B32"/>
    <w:rsid w:val="00B35B94"/>
    <w:rsid w:val="00B35D63"/>
    <w:rsid w:val="00B35DD0"/>
    <w:rsid w:val="00B360F4"/>
    <w:rsid w:val="00B363D1"/>
    <w:rsid w:val="00B36507"/>
    <w:rsid w:val="00B3671A"/>
    <w:rsid w:val="00B36A00"/>
    <w:rsid w:val="00B36C67"/>
    <w:rsid w:val="00B37650"/>
    <w:rsid w:val="00B3792B"/>
    <w:rsid w:val="00B37BF0"/>
    <w:rsid w:val="00B37BFC"/>
    <w:rsid w:val="00B40358"/>
    <w:rsid w:val="00B403A4"/>
    <w:rsid w:val="00B410C4"/>
    <w:rsid w:val="00B41407"/>
    <w:rsid w:val="00B41453"/>
    <w:rsid w:val="00B4148F"/>
    <w:rsid w:val="00B41614"/>
    <w:rsid w:val="00B42851"/>
    <w:rsid w:val="00B42910"/>
    <w:rsid w:val="00B42F80"/>
    <w:rsid w:val="00B435CB"/>
    <w:rsid w:val="00B4390C"/>
    <w:rsid w:val="00B43EBF"/>
    <w:rsid w:val="00B44308"/>
    <w:rsid w:val="00B44888"/>
    <w:rsid w:val="00B45212"/>
    <w:rsid w:val="00B45B8B"/>
    <w:rsid w:val="00B463D2"/>
    <w:rsid w:val="00B46510"/>
    <w:rsid w:val="00B465EC"/>
    <w:rsid w:val="00B467F5"/>
    <w:rsid w:val="00B4725B"/>
    <w:rsid w:val="00B50149"/>
    <w:rsid w:val="00B505C8"/>
    <w:rsid w:val="00B509BB"/>
    <w:rsid w:val="00B50DB8"/>
    <w:rsid w:val="00B51F58"/>
    <w:rsid w:val="00B52015"/>
    <w:rsid w:val="00B5274C"/>
    <w:rsid w:val="00B5280F"/>
    <w:rsid w:val="00B52822"/>
    <w:rsid w:val="00B53019"/>
    <w:rsid w:val="00B53654"/>
    <w:rsid w:val="00B53905"/>
    <w:rsid w:val="00B53C36"/>
    <w:rsid w:val="00B53C7C"/>
    <w:rsid w:val="00B546DB"/>
    <w:rsid w:val="00B54A4C"/>
    <w:rsid w:val="00B54B5B"/>
    <w:rsid w:val="00B54EE1"/>
    <w:rsid w:val="00B54F01"/>
    <w:rsid w:val="00B54FAC"/>
    <w:rsid w:val="00B55522"/>
    <w:rsid w:val="00B5562E"/>
    <w:rsid w:val="00B55862"/>
    <w:rsid w:val="00B55CB0"/>
    <w:rsid w:val="00B55D65"/>
    <w:rsid w:val="00B56104"/>
    <w:rsid w:val="00B56305"/>
    <w:rsid w:val="00B563A0"/>
    <w:rsid w:val="00B568D0"/>
    <w:rsid w:val="00B56936"/>
    <w:rsid w:val="00B57000"/>
    <w:rsid w:val="00B60939"/>
    <w:rsid w:val="00B60AFD"/>
    <w:rsid w:val="00B60C32"/>
    <w:rsid w:val="00B61396"/>
    <w:rsid w:val="00B619EF"/>
    <w:rsid w:val="00B6241E"/>
    <w:rsid w:val="00B62715"/>
    <w:rsid w:val="00B63012"/>
    <w:rsid w:val="00B630C1"/>
    <w:rsid w:val="00B63843"/>
    <w:rsid w:val="00B64A0E"/>
    <w:rsid w:val="00B6510D"/>
    <w:rsid w:val="00B65191"/>
    <w:rsid w:val="00B65611"/>
    <w:rsid w:val="00B65D09"/>
    <w:rsid w:val="00B660B5"/>
    <w:rsid w:val="00B67069"/>
    <w:rsid w:val="00B671F0"/>
    <w:rsid w:val="00B673C4"/>
    <w:rsid w:val="00B67C4C"/>
    <w:rsid w:val="00B67E1B"/>
    <w:rsid w:val="00B701A9"/>
    <w:rsid w:val="00B707CB"/>
    <w:rsid w:val="00B70DA4"/>
    <w:rsid w:val="00B70E8E"/>
    <w:rsid w:val="00B70F6F"/>
    <w:rsid w:val="00B7124D"/>
    <w:rsid w:val="00B71536"/>
    <w:rsid w:val="00B71D6C"/>
    <w:rsid w:val="00B7326B"/>
    <w:rsid w:val="00B732FF"/>
    <w:rsid w:val="00B73A8B"/>
    <w:rsid w:val="00B73D75"/>
    <w:rsid w:val="00B74396"/>
    <w:rsid w:val="00B746BF"/>
    <w:rsid w:val="00B74A18"/>
    <w:rsid w:val="00B750A0"/>
    <w:rsid w:val="00B7511F"/>
    <w:rsid w:val="00B757C1"/>
    <w:rsid w:val="00B75981"/>
    <w:rsid w:val="00B76198"/>
    <w:rsid w:val="00B768B9"/>
    <w:rsid w:val="00B76985"/>
    <w:rsid w:val="00B76C92"/>
    <w:rsid w:val="00B76F65"/>
    <w:rsid w:val="00B76F84"/>
    <w:rsid w:val="00B775D1"/>
    <w:rsid w:val="00B7760B"/>
    <w:rsid w:val="00B778C3"/>
    <w:rsid w:val="00B77E0E"/>
    <w:rsid w:val="00B77F1E"/>
    <w:rsid w:val="00B80AFE"/>
    <w:rsid w:val="00B80EFD"/>
    <w:rsid w:val="00B81286"/>
    <w:rsid w:val="00B8128B"/>
    <w:rsid w:val="00B81603"/>
    <w:rsid w:val="00B818A4"/>
    <w:rsid w:val="00B81FB2"/>
    <w:rsid w:val="00B8285B"/>
    <w:rsid w:val="00B82D26"/>
    <w:rsid w:val="00B8306B"/>
    <w:rsid w:val="00B833E4"/>
    <w:rsid w:val="00B83470"/>
    <w:rsid w:val="00B836D2"/>
    <w:rsid w:val="00B83739"/>
    <w:rsid w:val="00B83A71"/>
    <w:rsid w:val="00B83D40"/>
    <w:rsid w:val="00B840F5"/>
    <w:rsid w:val="00B84117"/>
    <w:rsid w:val="00B849A2"/>
    <w:rsid w:val="00B84B75"/>
    <w:rsid w:val="00B858F0"/>
    <w:rsid w:val="00B85AA2"/>
    <w:rsid w:val="00B85EF3"/>
    <w:rsid w:val="00B8649C"/>
    <w:rsid w:val="00B8695D"/>
    <w:rsid w:val="00B869AB"/>
    <w:rsid w:val="00B86D16"/>
    <w:rsid w:val="00B86E92"/>
    <w:rsid w:val="00B8784B"/>
    <w:rsid w:val="00B87F0A"/>
    <w:rsid w:val="00B90151"/>
    <w:rsid w:val="00B903D0"/>
    <w:rsid w:val="00B903D2"/>
    <w:rsid w:val="00B90599"/>
    <w:rsid w:val="00B913EC"/>
    <w:rsid w:val="00B9142F"/>
    <w:rsid w:val="00B91F96"/>
    <w:rsid w:val="00B920D8"/>
    <w:rsid w:val="00B92D0B"/>
    <w:rsid w:val="00B932D3"/>
    <w:rsid w:val="00B93574"/>
    <w:rsid w:val="00B936ED"/>
    <w:rsid w:val="00B93FF6"/>
    <w:rsid w:val="00B943F2"/>
    <w:rsid w:val="00B94847"/>
    <w:rsid w:val="00B94945"/>
    <w:rsid w:val="00B94A22"/>
    <w:rsid w:val="00B94DD6"/>
    <w:rsid w:val="00B94EE7"/>
    <w:rsid w:val="00B950FA"/>
    <w:rsid w:val="00B9538B"/>
    <w:rsid w:val="00B958B0"/>
    <w:rsid w:val="00B95A6B"/>
    <w:rsid w:val="00B9619D"/>
    <w:rsid w:val="00B96B5F"/>
    <w:rsid w:val="00B96E87"/>
    <w:rsid w:val="00B97026"/>
    <w:rsid w:val="00B970A1"/>
    <w:rsid w:val="00BA0076"/>
    <w:rsid w:val="00BA02F1"/>
    <w:rsid w:val="00BA1058"/>
    <w:rsid w:val="00BA135F"/>
    <w:rsid w:val="00BA1CA0"/>
    <w:rsid w:val="00BA1DC8"/>
    <w:rsid w:val="00BA2602"/>
    <w:rsid w:val="00BA322D"/>
    <w:rsid w:val="00BA4230"/>
    <w:rsid w:val="00BA45E3"/>
    <w:rsid w:val="00BA4D5A"/>
    <w:rsid w:val="00BA56A5"/>
    <w:rsid w:val="00BA5B4D"/>
    <w:rsid w:val="00BA63FA"/>
    <w:rsid w:val="00BA6F0E"/>
    <w:rsid w:val="00BA6F64"/>
    <w:rsid w:val="00BA7438"/>
    <w:rsid w:val="00BA797B"/>
    <w:rsid w:val="00BB00B3"/>
    <w:rsid w:val="00BB087B"/>
    <w:rsid w:val="00BB0BA1"/>
    <w:rsid w:val="00BB0BDD"/>
    <w:rsid w:val="00BB0FE9"/>
    <w:rsid w:val="00BB176C"/>
    <w:rsid w:val="00BB1E90"/>
    <w:rsid w:val="00BB1F88"/>
    <w:rsid w:val="00BB22C1"/>
    <w:rsid w:val="00BB2471"/>
    <w:rsid w:val="00BB2A73"/>
    <w:rsid w:val="00BB387E"/>
    <w:rsid w:val="00BB3921"/>
    <w:rsid w:val="00BB3A45"/>
    <w:rsid w:val="00BB3F88"/>
    <w:rsid w:val="00BB4780"/>
    <w:rsid w:val="00BB4ACC"/>
    <w:rsid w:val="00BB4C43"/>
    <w:rsid w:val="00BB4FCA"/>
    <w:rsid w:val="00BB5D9E"/>
    <w:rsid w:val="00BB616D"/>
    <w:rsid w:val="00BB6285"/>
    <w:rsid w:val="00BB66D9"/>
    <w:rsid w:val="00BB6776"/>
    <w:rsid w:val="00BB695D"/>
    <w:rsid w:val="00BB703E"/>
    <w:rsid w:val="00BB732D"/>
    <w:rsid w:val="00BB7405"/>
    <w:rsid w:val="00BC0263"/>
    <w:rsid w:val="00BC077D"/>
    <w:rsid w:val="00BC0D4E"/>
    <w:rsid w:val="00BC0E50"/>
    <w:rsid w:val="00BC0E66"/>
    <w:rsid w:val="00BC1E33"/>
    <w:rsid w:val="00BC2F3F"/>
    <w:rsid w:val="00BC3631"/>
    <w:rsid w:val="00BC3F32"/>
    <w:rsid w:val="00BC4165"/>
    <w:rsid w:val="00BC4410"/>
    <w:rsid w:val="00BC4457"/>
    <w:rsid w:val="00BC4807"/>
    <w:rsid w:val="00BC4E2C"/>
    <w:rsid w:val="00BC591F"/>
    <w:rsid w:val="00BC5FF5"/>
    <w:rsid w:val="00BC6812"/>
    <w:rsid w:val="00BC71AB"/>
    <w:rsid w:val="00BC7244"/>
    <w:rsid w:val="00BC72D8"/>
    <w:rsid w:val="00BC7414"/>
    <w:rsid w:val="00BC74AE"/>
    <w:rsid w:val="00BC797E"/>
    <w:rsid w:val="00BC7D6D"/>
    <w:rsid w:val="00BD0109"/>
    <w:rsid w:val="00BD0BC7"/>
    <w:rsid w:val="00BD15AE"/>
    <w:rsid w:val="00BD164B"/>
    <w:rsid w:val="00BD19B6"/>
    <w:rsid w:val="00BD2108"/>
    <w:rsid w:val="00BD2E45"/>
    <w:rsid w:val="00BD4268"/>
    <w:rsid w:val="00BD468E"/>
    <w:rsid w:val="00BD4BD4"/>
    <w:rsid w:val="00BD4CEF"/>
    <w:rsid w:val="00BD4EBC"/>
    <w:rsid w:val="00BD5003"/>
    <w:rsid w:val="00BD5BA3"/>
    <w:rsid w:val="00BD60F4"/>
    <w:rsid w:val="00BD60FD"/>
    <w:rsid w:val="00BD68A3"/>
    <w:rsid w:val="00BD6938"/>
    <w:rsid w:val="00BD6BA3"/>
    <w:rsid w:val="00BD6CF3"/>
    <w:rsid w:val="00BD7F10"/>
    <w:rsid w:val="00BD7F19"/>
    <w:rsid w:val="00BD7F72"/>
    <w:rsid w:val="00BE0ECA"/>
    <w:rsid w:val="00BE14F7"/>
    <w:rsid w:val="00BE1F9A"/>
    <w:rsid w:val="00BE2029"/>
    <w:rsid w:val="00BE2180"/>
    <w:rsid w:val="00BE21DB"/>
    <w:rsid w:val="00BE21F2"/>
    <w:rsid w:val="00BE23D0"/>
    <w:rsid w:val="00BE3635"/>
    <w:rsid w:val="00BE3984"/>
    <w:rsid w:val="00BE3E64"/>
    <w:rsid w:val="00BE4240"/>
    <w:rsid w:val="00BE4275"/>
    <w:rsid w:val="00BE4602"/>
    <w:rsid w:val="00BE468D"/>
    <w:rsid w:val="00BE50B3"/>
    <w:rsid w:val="00BE52E4"/>
    <w:rsid w:val="00BE5B2B"/>
    <w:rsid w:val="00BE621E"/>
    <w:rsid w:val="00BE6742"/>
    <w:rsid w:val="00BE7A2C"/>
    <w:rsid w:val="00BE7C6B"/>
    <w:rsid w:val="00BF011B"/>
    <w:rsid w:val="00BF06AE"/>
    <w:rsid w:val="00BF0F95"/>
    <w:rsid w:val="00BF1942"/>
    <w:rsid w:val="00BF1998"/>
    <w:rsid w:val="00BF1B69"/>
    <w:rsid w:val="00BF1F03"/>
    <w:rsid w:val="00BF233C"/>
    <w:rsid w:val="00BF236F"/>
    <w:rsid w:val="00BF2433"/>
    <w:rsid w:val="00BF26A3"/>
    <w:rsid w:val="00BF2A44"/>
    <w:rsid w:val="00BF2E6E"/>
    <w:rsid w:val="00BF3186"/>
    <w:rsid w:val="00BF31F8"/>
    <w:rsid w:val="00BF35D1"/>
    <w:rsid w:val="00BF44D9"/>
    <w:rsid w:val="00BF4EC3"/>
    <w:rsid w:val="00BF510B"/>
    <w:rsid w:val="00BF53AE"/>
    <w:rsid w:val="00BF5942"/>
    <w:rsid w:val="00BF5F9F"/>
    <w:rsid w:val="00BF61C9"/>
    <w:rsid w:val="00BF67C5"/>
    <w:rsid w:val="00BF683E"/>
    <w:rsid w:val="00BF6C94"/>
    <w:rsid w:val="00BF6EF5"/>
    <w:rsid w:val="00BF71F5"/>
    <w:rsid w:val="00C00424"/>
    <w:rsid w:val="00C00458"/>
    <w:rsid w:val="00C006C1"/>
    <w:rsid w:val="00C00BB0"/>
    <w:rsid w:val="00C00CAC"/>
    <w:rsid w:val="00C013AF"/>
    <w:rsid w:val="00C015FD"/>
    <w:rsid w:val="00C0198C"/>
    <w:rsid w:val="00C01D08"/>
    <w:rsid w:val="00C01D80"/>
    <w:rsid w:val="00C0269D"/>
    <w:rsid w:val="00C0279A"/>
    <w:rsid w:val="00C027FA"/>
    <w:rsid w:val="00C028AB"/>
    <w:rsid w:val="00C032A5"/>
    <w:rsid w:val="00C03470"/>
    <w:rsid w:val="00C040B5"/>
    <w:rsid w:val="00C04190"/>
    <w:rsid w:val="00C049D6"/>
    <w:rsid w:val="00C04A39"/>
    <w:rsid w:val="00C05049"/>
    <w:rsid w:val="00C053EA"/>
    <w:rsid w:val="00C05BBA"/>
    <w:rsid w:val="00C05CB0"/>
    <w:rsid w:val="00C05D97"/>
    <w:rsid w:val="00C05E36"/>
    <w:rsid w:val="00C06044"/>
    <w:rsid w:val="00C0641B"/>
    <w:rsid w:val="00C0644F"/>
    <w:rsid w:val="00C066AD"/>
    <w:rsid w:val="00C06BC6"/>
    <w:rsid w:val="00C06CDB"/>
    <w:rsid w:val="00C07244"/>
    <w:rsid w:val="00C076D1"/>
    <w:rsid w:val="00C076FF"/>
    <w:rsid w:val="00C07BED"/>
    <w:rsid w:val="00C07D3E"/>
    <w:rsid w:val="00C10473"/>
    <w:rsid w:val="00C10876"/>
    <w:rsid w:val="00C1088A"/>
    <w:rsid w:val="00C11245"/>
    <w:rsid w:val="00C112C7"/>
    <w:rsid w:val="00C1161A"/>
    <w:rsid w:val="00C116EA"/>
    <w:rsid w:val="00C1179F"/>
    <w:rsid w:val="00C1198A"/>
    <w:rsid w:val="00C11A43"/>
    <w:rsid w:val="00C11BFA"/>
    <w:rsid w:val="00C1202F"/>
    <w:rsid w:val="00C127B9"/>
    <w:rsid w:val="00C128FA"/>
    <w:rsid w:val="00C12B55"/>
    <w:rsid w:val="00C12C14"/>
    <w:rsid w:val="00C13F9B"/>
    <w:rsid w:val="00C1450F"/>
    <w:rsid w:val="00C14B4C"/>
    <w:rsid w:val="00C14E99"/>
    <w:rsid w:val="00C15F04"/>
    <w:rsid w:val="00C16385"/>
    <w:rsid w:val="00C1666D"/>
    <w:rsid w:val="00C179B3"/>
    <w:rsid w:val="00C17B52"/>
    <w:rsid w:val="00C17E3F"/>
    <w:rsid w:val="00C200AA"/>
    <w:rsid w:val="00C2061A"/>
    <w:rsid w:val="00C20A01"/>
    <w:rsid w:val="00C20A1D"/>
    <w:rsid w:val="00C215D9"/>
    <w:rsid w:val="00C21A60"/>
    <w:rsid w:val="00C21BAA"/>
    <w:rsid w:val="00C227D5"/>
    <w:rsid w:val="00C22CB5"/>
    <w:rsid w:val="00C22D68"/>
    <w:rsid w:val="00C237ED"/>
    <w:rsid w:val="00C23FF3"/>
    <w:rsid w:val="00C24632"/>
    <w:rsid w:val="00C25143"/>
    <w:rsid w:val="00C25418"/>
    <w:rsid w:val="00C257C6"/>
    <w:rsid w:val="00C25D9C"/>
    <w:rsid w:val="00C26015"/>
    <w:rsid w:val="00C26220"/>
    <w:rsid w:val="00C26C2B"/>
    <w:rsid w:val="00C26FD9"/>
    <w:rsid w:val="00C27279"/>
    <w:rsid w:val="00C2778B"/>
    <w:rsid w:val="00C27A2D"/>
    <w:rsid w:val="00C31649"/>
    <w:rsid w:val="00C3177D"/>
    <w:rsid w:val="00C31AF5"/>
    <w:rsid w:val="00C328D5"/>
    <w:rsid w:val="00C329BB"/>
    <w:rsid w:val="00C32FCF"/>
    <w:rsid w:val="00C333F7"/>
    <w:rsid w:val="00C3344E"/>
    <w:rsid w:val="00C33BE5"/>
    <w:rsid w:val="00C33DBE"/>
    <w:rsid w:val="00C3434C"/>
    <w:rsid w:val="00C3477C"/>
    <w:rsid w:val="00C3480F"/>
    <w:rsid w:val="00C34CD3"/>
    <w:rsid w:val="00C350A2"/>
    <w:rsid w:val="00C35DFA"/>
    <w:rsid w:val="00C35E90"/>
    <w:rsid w:val="00C367C2"/>
    <w:rsid w:val="00C3737B"/>
    <w:rsid w:val="00C40385"/>
    <w:rsid w:val="00C40986"/>
    <w:rsid w:val="00C40D5F"/>
    <w:rsid w:val="00C40F80"/>
    <w:rsid w:val="00C411E5"/>
    <w:rsid w:val="00C412EA"/>
    <w:rsid w:val="00C4152B"/>
    <w:rsid w:val="00C41768"/>
    <w:rsid w:val="00C41AC1"/>
    <w:rsid w:val="00C41D73"/>
    <w:rsid w:val="00C42670"/>
    <w:rsid w:val="00C43209"/>
    <w:rsid w:val="00C438CF"/>
    <w:rsid w:val="00C43EF7"/>
    <w:rsid w:val="00C44100"/>
    <w:rsid w:val="00C445A5"/>
    <w:rsid w:val="00C449A3"/>
    <w:rsid w:val="00C449E0"/>
    <w:rsid w:val="00C45040"/>
    <w:rsid w:val="00C455B2"/>
    <w:rsid w:val="00C46C9A"/>
    <w:rsid w:val="00C475AA"/>
    <w:rsid w:val="00C4767A"/>
    <w:rsid w:val="00C477CC"/>
    <w:rsid w:val="00C47845"/>
    <w:rsid w:val="00C47A5F"/>
    <w:rsid w:val="00C50490"/>
    <w:rsid w:val="00C511E9"/>
    <w:rsid w:val="00C522C2"/>
    <w:rsid w:val="00C525F0"/>
    <w:rsid w:val="00C527C7"/>
    <w:rsid w:val="00C52A99"/>
    <w:rsid w:val="00C53475"/>
    <w:rsid w:val="00C53529"/>
    <w:rsid w:val="00C53C98"/>
    <w:rsid w:val="00C540D8"/>
    <w:rsid w:val="00C5468B"/>
    <w:rsid w:val="00C5488A"/>
    <w:rsid w:val="00C54CFC"/>
    <w:rsid w:val="00C5564D"/>
    <w:rsid w:val="00C55849"/>
    <w:rsid w:val="00C56366"/>
    <w:rsid w:val="00C56FCF"/>
    <w:rsid w:val="00C57B6C"/>
    <w:rsid w:val="00C57FF2"/>
    <w:rsid w:val="00C6075C"/>
    <w:rsid w:val="00C60CFF"/>
    <w:rsid w:val="00C6108C"/>
    <w:rsid w:val="00C610C6"/>
    <w:rsid w:val="00C61484"/>
    <w:rsid w:val="00C6171E"/>
    <w:rsid w:val="00C61A0C"/>
    <w:rsid w:val="00C61A59"/>
    <w:rsid w:val="00C61B7D"/>
    <w:rsid w:val="00C6211B"/>
    <w:rsid w:val="00C628A6"/>
    <w:rsid w:val="00C636D5"/>
    <w:rsid w:val="00C636F5"/>
    <w:rsid w:val="00C638E7"/>
    <w:rsid w:val="00C639D0"/>
    <w:rsid w:val="00C63A3F"/>
    <w:rsid w:val="00C63F33"/>
    <w:rsid w:val="00C640F0"/>
    <w:rsid w:val="00C64336"/>
    <w:rsid w:val="00C64344"/>
    <w:rsid w:val="00C64856"/>
    <w:rsid w:val="00C64A19"/>
    <w:rsid w:val="00C64C5B"/>
    <w:rsid w:val="00C64CD9"/>
    <w:rsid w:val="00C64D2C"/>
    <w:rsid w:val="00C65108"/>
    <w:rsid w:val="00C65444"/>
    <w:rsid w:val="00C65576"/>
    <w:rsid w:val="00C66165"/>
    <w:rsid w:val="00C66E7A"/>
    <w:rsid w:val="00C66F25"/>
    <w:rsid w:val="00C67E50"/>
    <w:rsid w:val="00C70358"/>
    <w:rsid w:val="00C7060A"/>
    <w:rsid w:val="00C70B6C"/>
    <w:rsid w:val="00C70DD4"/>
    <w:rsid w:val="00C7151A"/>
    <w:rsid w:val="00C717E3"/>
    <w:rsid w:val="00C71F60"/>
    <w:rsid w:val="00C72241"/>
    <w:rsid w:val="00C727E2"/>
    <w:rsid w:val="00C73532"/>
    <w:rsid w:val="00C7399A"/>
    <w:rsid w:val="00C7408F"/>
    <w:rsid w:val="00C74195"/>
    <w:rsid w:val="00C744F7"/>
    <w:rsid w:val="00C7465D"/>
    <w:rsid w:val="00C747B1"/>
    <w:rsid w:val="00C74BC1"/>
    <w:rsid w:val="00C750C8"/>
    <w:rsid w:val="00C75200"/>
    <w:rsid w:val="00C754CF"/>
    <w:rsid w:val="00C7560F"/>
    <w:rsid w:val="00C75B79"/>
    <w:rsid w:val="00C75C29"/>
    <w:rsid w:val="00C76612"/>
    <w:rsid w:val="00C76BAA"/>
    <w:rsid w:val="00C76CB1"/>
    <w:rsid w:val="00C7730B"/>
    <w:rsid w:val="00C77602"/>
    <w:rsid w:val="00C77972"/>
    <w:rsid w:val="00C779C9"/>
    <w:rsid w:val="00C77FF7"/>
    <w:rsid w:val="00C80A0E"/>
    <w:rsid w:val="00C80A30"/>
    <w:rsid w:val="00C8213F"/>
    <w:rsid w:val="00C82266"/>
    <w:rsid w:val="00C8278D"/>
    <w:rsid w:val="00C82A9E"/>
    <w:rsid w:val="00C8303F"/>
    <w:rsid w:val="00C84490"/>
    <w:rsid w:val="00C84F78"/>
    <w:rsid w:val="00C85154"/>
    <w:rsid w:val="00C853BB"/>
    <w:rsid w:val="00C85622"/>
    <w:rsid w:val="00C857EA"/>
    <w:rsid w:val="00C85A70"/>
    <w:rsid w:val="00C85F13"/>
    <w:rsid w:val="00C86309"/>
    <w:rsid w:val="00C863DD"/>
    <w:rsid w:val="00C865FF"/>
    <w:rsid w:val="00C87211"/>
    <w:rsid w:val="00C87215"/>
    <w:rsid w:val="00C8797A"/>
    <w:rsid w:val="00C900B8"/>
    <w:rsid w:val="00C90197"/>
    <w:rsid w:val="00C903AD"/>
    <w:rsid w:val="00C9068C"/>
    <w:rsid w:val="00C907D7"/>
    <w:rsid w:val="00C90C71"/>
    <w:rsid w:val="00C91085"/>
    <w:rsid w:val="00C91A84"/>
    <w:rsid w:val="00C91AD0"/>
    <w:rsid w:val="00C91FD1"/>
    <w:rsid w:val="00C920B8"/>
    <w:rsid w:val="00C9240B"/>
    <w:rsid w:val="00C92454"/>
    <w:rsid w:val="00C92820"/>
    <w:rsid w:val="00C92825"/>
    <w:rsid w:val="00C92C5C"/>
    <w:rsid w:val="00C931CF"/>
    <w:rsid w:val="00C938CF"/>
    <w:rsid w:val="00C93D59"/>
    <w:rsid w:val="00C94053"/>
    <w:rsid w:val="00C943FE"/>
    <w:rsid w:val="00C94F05"/>
    <w:rsid w:val="00C95077"/>
    <w:rsid w:val="00C9542A"/>
    <w:rsid w:val="00C958FA"/>
    <w:rsid w:val="00C958FC"/>
    <w:rsid w:val="00C9624D"/>
    <w:rsid w:val="00C967D2"/>
    <w:rsid w:val="00C969DA"/>
    <w:rsid w:val="00C96A72"/>
    <w:rsid w:val="00C971B6"/>
    <w:rsid w:val="00C974C7"/>
    <w:rsid w:val="00C97760"/>
    <w:rsid w:val="00C97BCE"/>
    <w:rsid w:val="00CA1709"/>
    <w:rsid w:val="00CA2AE3"/>
    <w:rsid w:val="00CA2C77"/>
    <w:rsid w:val="00CA3056"/>
    <w:rsid w:val="00CA30D6"/>
    <w:rsid w:val="00CA38F4"/>
    <w:rsid w:val="00CA3AD0"/>
    <w:rsid w:val="00CA3B29"/>
    <w:rsid w:val="00CA3DFA"/>
    <w:rsid w:val="00CA444F"/>
    <w:rsid w:val="00CA4BAF"/>
    <w:rsid w:val="00CA4F2B"/>
    <w:rsid w:val="00CA4FD9"/>
    <w:rsid w:val="00CA5010"/>
    <w:rsid w:val="00CA5245"/>
    <w:rsid w:val="00CA62E7"/>
    <w:rsid w:val="00CA6841"/>
    <w:rsid w:val="00CA71F4"/>
    <w:rsid w:val="00CA74B3"/>
    <w:rsid w:val="00CA7670"/>
    <w:rsid w:val="00CA7B09"/>
    <w:rsid w:val="00CA7D29"/>
    <w:rsid w:val="00CB01B5"/>
    <w:rsid w:val="00CB04A3"/>
    <w:rsid w:val="00CB05EB"/>
    <w:rsid w:val="00CB0707"/>
    <w:rsid w:val="00CB12A5"/>
    <w:rsid w:val="00CB16F1"/>
    <w:rsid w:val="00CB1BDF"/>
    <w:rsid w:val="00CB1CAC"/>
    <w:rsid w:val="00CB1EC5"/>
    <w:rsid w:val="00CB2F2A"/>
    <w:rsid w:val="00CB3784"/>
    <w:rsid w:val="00CB38B8"/>
    <w:rsid w:val="00CB3A34"/>
    <w:rsid w:val="00CB3E86"/>
    <w:rsid w:val="00CB49DC"/>
    <w:rsid w:val="00CB4B85"/>
    <w:rsid w:val="00CB4D6D"/>
    <w:rsid w:val="00CB4D86"/>
    <w:rsid w:val="00CB4E34"/>
    <w:rsid w:val="00CB55C6"/>
    <w:rsid w:val="00CB5B1A"/>
    <w:rsid w:val="00CB5D90"/>
    <w:rsid w:val="00CB5E3F"/>
    <w:rsid w:val="00CB6328"/>
    <w:rsid w:val="00CB64C9"/>
    <w:rsid w:val="00CB66B3"/>
    <w:rsid w:val="00CB6871"/>
    <w:rsid w:val="00CB6B22"/>
    <w:rsid w:val="00CB7365"/>
    <w:rsid w:val="00CB73A4"/>
    <w:rsid w:val="00CB7A18"/>
    <w:rsid w:val="00CB7F5F"/>
    <w:rsid w:val="00CC021D"/>
    <w:rsid w:val="00CC07AC"/>
    <w:rsid w:val="00CC0CC4"/>
    <w:rsid w:val="00CC0F5D"/>
    <w:rsid w:val="00CC1842"/>
    <w:rsid w:val="00CC1B39"/>
    <w:rsid w:val="00CC1BFA"/>
    <w:rsid w:val="00CC2385"/>
    <w:rsid w:val="00CC2E93"/>
    <w:rsid w:val="00CC2E9F"/>
    <w:rsid w:val="00CC3061"/>
    <w:rsid w:val="00CC35EA"/>
    <w:rsid w:val="00CC3848"/>
    <w:rsid w:val="00CC51EC"/>
    <w:rsid w:val="00CC530E"/>
    <w:rsid w:val="00CC5D28"/>
    <w:rsid w:val="00CC6D5E"/>
    <w:rsid w:val="00CD0200"/>
    <w:rsid w:val="00CD0DB3"/>
    <w:rsid w:val="00CD1850"/>
    <w:rsid w:val="00CD19F7"/>
    <w:rsid w:val="00CD1C19"/>
    <w:rsid w:val="00CD2405"/>
    <w:rsid w:val="00CD2427"/>
    <w:rsid w:val="00CD2BEE"/>
    <w:rsid w:val="00CD38AE"/>
    <w:rsid w:val="00CD3F77"/>
    <w:rsid w:val="00CD45E1"/>
    <w:rsid w:val="00CD5076"/>
    <w:rsid w:val="00CD53C8"/>
    <w:rsid w:val="00CD58CD"/>
    <w:rsid w:val="00CD5DB3"/>
    <w:rsid w:val="00CD5DDD"/>
    <w:rsid w:val="00CD61AA"/>
    <w:rsid w:val="00CD6ADC"/>
    <w:rsid w:val="00CD7193"/>
    <w:rsid w:val="00CD71ED"/>
    <w:rsid w:val="00CD73A0"/>
    <w:rsid w:val="00CD76A3"/>
    <w:rsid w:val="00CD7BF8"/>
    <w:rsid w:val="00CE06B0"/>
    <w:rsid w:val="00CE0959"/>
    <w:rsid w:val="00CE0A8C"/>
    <w:rsid w:val="00CE0B5F"/>
    <w:rsid w:val="00CE0DE7"/>
    <w:rsid w:val="00CE10D2"/>
    <w:rsid w:val="00CE1E46"/>
    <w:rsid w:val="00CE1EB7"/>
    <w:rsid w:val="00CE205C"/>
    <w:rsid w:val="00CE24DA"/>
    <w:rsid w:val="00CE2CA6"/>
    <w:rsid w:val="00CE317E"/>
    <w:rsid w:val="00CE38C8"/>
    <w:rsid w:val="00CE397B"/>
    <w:rsid w:val="00CE4800"/>
    <w:rsid w:val="00CE48B7"/>
    <w:rsid w:val="00CE4A5A"/>
    <w:rsid w:val="00CE5245"/>
    <w:rsid w:val="00CE524F"/>
    <w:rsid w:val="00CE58CC"/>
    <w:rsid w:val="00CE6274"/>
    <w:rsid w:val="00CE721D"/>
    <w:rsid w:val="00CE7504"/>
    <w:rsid w:val="00CE7674"/>
    <w:rsid w:val="00CE774F"/>
    <w:rsid w:val="00CE77B6"/>
    <w:rsid w:val="00CF004B"/>
    <w:rsid w:val="00CF0439"/>
    <w:rsid w:val="00CF08A7"/>
    <w:rsid w:val="00CF0C2D"/>
    <w:rsid w:val="00CF1060"/>
    <w:rsid w:val="00CF14E6"/>
    <w:rsid w:val="00CF2194"/>
    <w:rsid w:val="00CF2A72"/>
    <w:rsid w:val="00CF2B7A"/>
    <w:rsid w:val="00CF2B80"/>
    <w:rsid w:val="00CF2B8D"/>
    <w:rsid w:val="00CF2EA7"/>
    <w:rsid w:val="00CF346B"/>
    <w:rsid w:val="00CF349E"/>
    <w:rsid w:val="00CF366C"/>
    <w:rsid w:val="00CF378C"/>
    <w:rsid w:val="00CF3A1B"/>
    <w:rsid w:val="00CF4117"/>
    <w:rsid w:val="00CF456B"/>
    <w:rsid w:val="00CF4865"/>
    <w:rsid w:val="00CF524F"/>
    <w:rsid w:val="00CF5A22"/>
    <w:rsid w:val="00CF5B72"/>
    <w:rsid w:val="00CF5BA7"/>
    <w:rsid w:val="00CF66B6"/>
    <w:rsid w:val="00CF7010"/>
    <w:rsid w:val="00CF78CD"/>
    <w:rsid w:val="00CF7D98"/>
    <w:rsid w:val="00D0013A"/>
    <w:rsid w:val="00D002E1"/>
    <w:rsid w:val="00D01481"/>
    <w:rsid w:val="00D019F8"/>
    <w:rsid w:val="00D0207E"/>
    <w:rsid w:val="00D020C2"/>
    <w:rsid w:val="00D025FE"/>
    <w:rsid w:val="00D0262E"/>
    <w:rsid w:val="00D03208"/>
    <w:rsid w:val="00D03290"/>
    <w:rsid w:val="00D03459"/>
    <w:rsid w:val="00D035E7"/>
    <w:rsid w:val="00D03679"/>
    <w:rsid w:val="00D03BB5"/>
    <w:rsid w:val="00D03D31"/>
    <w:rsid w:val="00D04461"/>
    <w:rsid w:val="00D04695"/>
    <w:rsid w:val="00D048FB"/>
    <w:rsid w:val="00D051E5"/>
    <w:rsid w:val="00D052B6"/>
    <w:rsid w:val="00D05E3D"/>
    <w:rsid w:val="00D060DD"/>
    <w:rsid w:val="00D06139"/>
    <w:rsid w:val="00D066CF"/>
    <w:rsid w:val="00D06DCD"/>
    <w:rsid w:val="00D0764E"/>
    <w:rsid w:val="00D07EE3"/>
    <w:rsid w:val="00D1081A"/>
    <w:rsid w:val="00D10957"/>
    <w:rsid w:val="00D110BD"/>
    <w:rsid w:val="00D114F4"/>
    <w:rsid w:val="00D11C13"/>
    <w:rsid w:val="00D120F8"/>
    <w:rsid w:val="00D1247A"/>
    <w:rsid w:val="00D12C0F"/>
    <w:rsid w:val="00D1306B"/>
    <w:rsid w:val="00D13675"/>
    <w:rsid w:val="00D138CB"/>
    <w:rsid w:val="00D13B34"/>
    <w:rsid w:val="00D141E1"/>
    <w:rsid w:val="00D14273"/>
    <w:rsid w:val="00D1494A"/>
    <w:rsid w:val="00D15121"/>
    <w:rsid w:val="00D15314"/>
    <w:rsid w:val="00D15B48"/>
    <w:rsid w:val="00D15B61"/>
    <w:rsid w:val="00D16435"/>
    <w:rsid w:val="00D16827"/>
    <w:rsid w:val="00D175EC"/>
    <w:rsid w:val="00D17D6C"/>
    <w:rsid w:val="00D2010C"/>
    <w:rsid w:val="00D20111"/>
    <w:rsid w:val="00D202BB"/>
    <w:rsid w:val="00D20BE2"/>
    <w:rsid w:val="00D20E92"/>
    <w:rsid w:val="00D21431"/>
    <w:rsid w:val="00D2155B"/>
    <w:rsid w:val="00D21B75"/>
    <w:rsid w:val="00D228ED"/>
    <w:rsid w:val="00D22B9B"/>
    <w:rsid w:val="00D236D9"/>
    <w:rsid w:val="00D23D11"/>
    <w:rsid w:val="00D23E14"/>
    <w:rsid w:val="00D24340"/>
    <w:rsid w:val="00D2445F"/>
    <w:rsid w:val="00D244B6"/>
    <w:rsid w:val="00D247C1"/>
    <w:rsid w:val="00D2497B"/>
    <w:rsid w:val="00D251F4"/>
    <w:rsid w:val="00D254C5"/>
    <w:rsid w:val="00D25872"/>
    <w:rsid w:val="00D2594B"/>
    <w:rsid w:val="00D25B4A"/>
    <w:rsid w:val="00D25B57"/>
    <w:rsid w:val="00D26D66"/>
    <w:rsid w:val="00D2754D"/>
    <w:rsid w:val="00D2785E"/>
    <w:rsid w:val="00D27B27"/>
    <w:rsid w:val="00D27D8F"/>
    <w:rsid w:val="00D30438"/>
    <w:rsid w:val="00D3082B"/>
    <w:rsid w:val="00D30C90"/>
    <w:rsid w:val="00D30D5B"/>
    <w:rsid w:val="00D32734"/>
    <w:rsid w:val="00D32B0B"/>
    <w:rsid w:val="00D334EB"/>
    <w:rsid w:val="00D33560"/>
    <w:rsid w:val="00D33BE9"/>
    <w:rsid w:val="00D33F93"/>
    <w:rsid w:val="00D3407E"/>
    <w:rsid w:val="00D34379"/>
    <w:rsid w:val="00D34464"/>
    <w:rsid w:val="00D35000"/>
    <w:rsid w:val="00D353C7"/>
    <w:rsid w:val="00D354BC"/>
    <w:rsid w:val="00D357FF"/>
    <w:rsid w:val="00D359AF"/>
    <w:rsid w:val="00D3633B"/>
    <w:rsid w:val="00D36AA9"/>
    <w:rsid w:val="00D371CA"/>
    <w:rsid w:val="00D374D5"/>
    <w:rsid w:val="00D405D3"/>
    <w:rsid w:val="00D4112B"/>
    <w:rsid w:val="00D41205"/>
    <w:rsid w:val="00D421A1"/>
    <w:rsid w:val="00D424C7"/>
    <w:rsid w:val="00D42515"/>
    <w:rsid w:val="00D42904"/>
    <w:rsid w:val="00D43205"/>
    <w:rsid w:val="00D433BF"/>
    <w:rsid w:val="00D43400"/>
    <w:rsid w:val="00D43479"/>
    <w:rsid w:val="00D43B2A"/>
    <w:rsid w:val="00D43CF1"/>
    <w:rsid w:val="00D43D83"/>
    <w:rsid w:val="00D440E3"/>
    <w:rsid w:val="00D44685"/>
    <w:rsid w:val="00D44744"/>
    <w:rsid w:val="00D453D7"/>
    <w:rsid w:val="00D456B2"/>
    <w:rsid w:val="00D45969"/>
    <w:rsid w:val="00D46475"/>
    <w:rsid w:val="00D46A4E"/>
    <w:rsid w:val="00D470E5"/>
    <w:rsid w:val="00D4717C"/>
    <w:rsid w:val="00D472B2"/>
    <w:rsid w:val="00D47575"/>
    <w:rsid w:val="00D47816"/>
    <w:rsid w:val="00D47BD4"/>
    <w:rsid w:val="00D47C90"/>
    <w:rsid w:val="00D507BF"/>
    <w:rsid w:val="00D50823"/>
    <w:rsid w:val="00D50A63"/>
    <w:rsid w:val="00D50E7F"/>
    <w:rsid w:val="00D50F0F"/>
    <w:rsid w:val="00D510F5"/>
    <w:rsid w:val="00D51654"/>
    <w:rsid w:val="00D5197A"/>
    <w:rsid w:val="00D51D20"/>
    <w:rsid w:val="00D5243B"/>
    <w:rsid w:val="00D5271D"/>
    <w:rsid w:val="00D532BB"/>
    <w:rsid w:val="00D533EC"/>
    <w:rsid w:val="00D537A3"/>
    <w:rsid w:val="00D5419A"/>
    <w:rsid w:val="00D54A81"/>
    <w:rsid w:val="00D54CEB"/>
    <w:rsid w:val="00D551E8"/>
    <w:rsid w:val="00D5528E"/>
    <w:rsid w:val="00D56158"/>
    <w:rsid w:val="00D5675E"/>
    <w:rsid w:val="00D568C8"/>
    <w:rsid w:val="00D56A95"/>
    <w:rsid w:val="00D56D4D"/>
    <w:rsid w:val="00D57282"/>
    <w:rsid w:val="00D5738F"/>
    <w:rsid w:val="00D6076E"/>
    <w:rsid w:val="00D60D73"/>
    <w:rsid w:val="00D611EC"/>
    <w:rsid w:val="00D61242"/>
    <w:rsid w:val="00D6128E"/>
    <w:rsid w:val="00D612E7"/>
    <w:rsid w:val="00D623DF"/>
    <w:rsid w:val="00D6287B"/>
    <w:rsid w:val="00D629F7"/>
    <w:rsid w:val="00D62C39"/>
    <w:rsid w:val="00D62E4B"/>
    <w:rsid w:val="00D637ED"/>
    <w:rsid w:val="00D64BA0"/>
    <w:rsid w:val="00D65089"/>
    <w:rsid w:val="00D651DE"/>
    <w:rsid w:val="00D65AEF"/>
    <w:rsid w:val="00D65F2F"/>
    <w:rsid w:val="00D661D5"/>
    <w:rsid w:val="00D665E2"/>
    <w:rsid w:val="00D66760"/>
    <w:rsid w:val="00D66A87"/>
    <w:rsid w:val="00D66D32"/>
    <w:rsid w:val="00D670AC"/>
    <w:rsid w:val="00D67313"/>
    <w:rsid w:val="00D6740F"/>
    <w:rsid w:val="00D67702"/>
    <w:rsid w:val="00D67CE9"/>
    <w:rsid w:val="00D702FB"/>
    <w:rsid w:val="00D70543"/>
    <w:rsid w:val="00D70689"/>
    <w:rsid w:val="00D7087B"/>
    <w:rsid w:val="00D70F16"/>
    <w:rsid w:val="00D70FCF"/>
    <w:rsid w:val="00D71847"/>
    <w:rsid w:val="00D72617"/>
    <w:rsid w:val="00D7285F"/>
    <w:rsid w:val="00D72F57"/>
    <w:rsid w:val="00D73043"/>
    <w:rsid w:val="00D7321A"/>
    <w:rsid w:val="00D73314"/>
    <w:rsid w:val="00D748A6"/>
    <w:rsid w:val="00D74A1F"/>
    <w:rsid w:val="00D74CF7"/>
    <w:rsid w:val="00D74DFF"/>
    <w:rsid w:val="00D750E1"/>
    <w:rsid w:val="00D76138"/>
    <w:rsid w:val="00D76A44"/>
    <w:rsid w:val="00D76AF4"/>
    <w:rsid w:val="00D76F72"/>
    <w:rsid w:val="00D7707A"/>
    <w:rsid w:val="00D77875"/>
    <w:rsid w:val="00D77B19"/>
    <w:rsid w:val="00D77D98"/>
    <w:rsid w:val="00D8006D"/>
    <w:rsid w:val="00D8067A"/>
    <w:rsid w:val="00D80A72"/>
    <w:rsid w:val="00D80CAC"/>
    <w:rsid w:val="00D815EF"/>
    <w:rsid w:val="00D81949"/>
    <w:rsid w:val="00D81B5A"/>
    <w:rsid w:val="00D81F26"/>
    <w:rsid w:val="00D822E2"/>
    <w:rsid w:val="00D826AB"/>
    <w:rsid w:val="00D8288D"/>
    <w:rsid w:val="00D843CD"/>
    <w:rsid w:val="00D843F2"/>
    <w:rsid w:val="00D84BD8"/>
    <w:rsid w:val="00D84FC2"/>
    <w:rsid w:val="00D8512F"/>
    <w:rsid w:val="00D85135"/>
    <w:rsid w:val="00D851A6"/>
    <w:rsid w:val="00D852D5"/>
    <w:rsid w:val="00D859A2"/>
    <w:rsid w:val="00D85C87"/>
    <w:rsid w:val="00D85DCD"/>
    <w:rsid w:val="00D86231"/>
    <w:rsid w:val="00D87EA8"/>
    <w:rsid w:val="00D87F40"/>
    <w:rsid w:val="00D90C40"/>
    <w:rsid w:val="00D911E9"/>
    <w:rsid w:val="00D912AB"/>
    <w:rsid w:val="00D91923"/>
    <w:rsid w:val="00D91EF8"/>
    <w:rsid w:val="00D9250A"/>
    <w:rsid w:val="00D926C0"/>
    <w:rsid w:val="00D92D78"/>
    <w:rsid w:val="00D92E00"/>
    <w:rsid w:val="00D9366D"/>
    <w:rsid w:val="00D93753"/>
    <w:rsid w:val="00D9396A"/>
    <w:rsid w:val="00D93EE2"/>
    <w:rsid w:val="00D94059"/>
    <w:rsid w:val="00D945AA"/>
    <w:rsid w:val="00D946D2"/>
    <w:rsid w:val="00D946E1"/>
    <w:rsid w:val="00D947FE"/>
    <w:rsid w:val="00D94A1A"/>
    <w:rsid w:val="00D94DD0"/>
    <w:rsid w:val="00D95150"/>
    <w:rsid w:val="00D95E60"/>
    <w:rsid w:val="00D96809"/>
    <w:rsid w:val="00D96A80"/>
    <w:rsid w:val="00D974FF"/>
    <w:rsid w:val="00D97524"/>
    <w:rsid w:val="00D97A29"/>
    <w:rsid w:val="00DA068B"/>
    <w:rsid w:val="00DA0BC0"/>
    <w:rsid w:val="00DA0C82"/>
    <w:rsid w:val="00DA14CD"/>
    <w:rsid w:val="00DA1787"/>
    <w:rsid w:val="00DA1A38"/>
    <w:rsid w:val="00DA2C8B"/>
    <w:rsid w:val="00DA3167"/>
    <w:rsid w:val="00DA342A"/>
    <w:rsid w:val="00DA4388"/>
    <w:rsid w:val="00DA4582"/>
    <w:rsid w:val="00DA45A4"/>
    <w:rsid w:val="00DA4D5D"/>
    <w:rsid w:val="00DA4DC3"/>
    <w:rsid w:val="00DA5444"/>
    <w:rsid w:val="00DA7079"/>
    <w:rsid w:val="00DA74E5"/>
    <w:rsid w:val="00DA77A5"/>
    <w:rsid w:val="00DA7BCE"/>
    <w:rsid w:val="00DB0A6B"/>
    <w:rsid w:val="00DB0E36"/>
    <w:rsid w:val="00DB1691"/>
    <w:rsid w:val="00DB20A8"/>
    <w:rsid w:val="00DB264B"/>
    <w:rsid w:val="00DB275B"/>
    <w:rsid w:val="00DB3A9D"/>
    <w:rsid w:val="00DB3DBF"/>
    <w:rsid w:val="00DB463E"/>
    <w:rsid w:val="00DB484F"/>
    <w:rsid w:val="00DB4C4D"/>
    <w:rsid w:val="00DB4D11"/>
    <w:rsid w:val="00DB5018"/>
    <w:rsid w:val="00DB5211"/>
    <w:rsid w:val="00DB574C"/>
    <w:rsid w:val="00DB60B4"/>
    <w:rsid w:val="00DB6DE0"/>
    <w:rsid w:val="00DB7575"/>
    <w:rsid w:val="00DB763F"/>
    <w:rsid w:val="00DB764D"/>
    <w:rsid w:val="00DC0082"/>
    <w:rsid w:val="00DC04C8"/>
    <w:rsid w:val="00DC04F6"/>
    <w:rsid w:val="00DC0690"/>
    <w:rsid w:val="00DC0B55"/>
    <w:rsid w:val="00DC0BC9"/>
    <w:rsid w:val="00DC0E21"/>
    <w:rsid w:val="00DC1A22"/>
    <w:rsid w:val="00DC1B9E"/>
    <w:rsid w:val="00DC1D65"/>
    <w:rsid w:val="00DC2022"/>
    <w:rsid w:val="00DC2AB5"/>
    <w:rsid w:val="00DC3836"/>
    <w:rsid w:val="00DC3C57"/>
    <w:rsid w:val="00DC3D03"/>
    <w:rsid w:val="00DC3D1A"/>
    <w:rsid w:val="00DC4A97"/>
    <w:rsid w:val="00DC4C00"/>
    <w:rsid w:val="00DC4C04"/>
    <w:rsid w:val="00DC4D7C"/>
    <w:rsid w:val="00DC5501"/>
    <w:rsid w:val="00DC5DE4"/>
    <w:rsid w:val="00DC697A"/>
    <w:rsid w:val="00DC6CD7"/>
    <w:rsid w:val="00DC7154"/>
    <w:rsid w:val="00DC7766"/>
    <w:rsid w:val="00DC78D0"/>
    <w:rsid w:val="00DC7E8A"/>
    <w:rsid w:val="00DD05AF"/>
    <w:rsid w:val="00DD08CE"/>
    <w:rsid w:val="00DD0C12"/>
    <w:rsid w:val="00DD0F78"/>
    <w:rsid w:val="00DD1186"/>
    <w:rsid w:val="00DD153F"/>
    <w:rsid w:val="00DD1671"/>
    <w:rsid w:val="00DD16FA"/>
    <w:rsid w:val="00DD19A2"/>
    <w:rsid w:val="00DD2525"/>
    <w:rsid w:val="00DD273C"/>
    <w:rsid w:val="00DD282F"/>
    <w:rsid w:val="00DD30C1"/>
    <w:rsid w:val="00DD321D"/>
    <w:rsid w:val="00DD330E"/>
    <w:rsid w:val="00DD346F"/>
    <w:rsid w:val="00DD3A79"/>
    <w:rsid w:val="00DD3DA5"/>
    <w:rsid w:val="00DD3F28"/>
    <w:rsid w:val="00DD40C0"/>
    <w:rsid w:val="00DD4446"/>
    <w:rsid w:val="00DD4537"/>
    <w:rsid w:val="00DD4E15"/>
    <w:rsid w:val="00DD50E4"/>
    <w:rsid w:val="00DD5A85"/>
    <w:rsid w:val="00DD5C39"/>
    <w:rsid w:val="00DD5D97"/>
    <w:rsid w:val="00DD6351"/>
    <w:rsid w:val="00DD64E3"/>
    <w:rsid w:val="00DD69B6"/>
    <w:rsid w:val="00DD6E4F"/>
    <w:rsid w:val="00DD6FFE"/>
    <w:rsid w:val="00DE003D"/>
    <w:rsid w:val="00DE03DB"/>
    <w:rsid w:val="00DE08F3"/>
    <w:rsid w:val="00DE115E"/>
    <w:rsid w:val="00DE134F"/>
    <w:rsid w:val="00DE2304"/>
    <w:rsid w:val="00DE28B0"/>
    <w:rsid w:val="00DE2991"/>
    <w:rsid w:val="00DE3138"/>
    <w:rsid w:val="00DE314F"/>
    <w:rsid w:val="00DE35B5"/>
    <w:rsid w:val="00DE3667"/>
    <w:rsid w:val="00DE37F8"/>
    <w:rsid w:val="00DE3A48"/>
    <w:rsid w:val="00DE3BA1"/>
    <w:rsid w:val="00DE4273"/>
    <w:rsid w:val="00DE487E"/>
    <w:rsid w:val="00DE48FA"/>
    <w:rsid w:val="00DE4BC4"/>
    <w:rsid w:val="00DE4FCB"/>
    <w:rsid w:val="00DE56B6"/>
    <w:rsid w:val="00DE5D07"/>
    <w:rsid w:val="00DE5F0B"/>
    <w:rsid w:val="00DE6234"/>
    <w:rsid w:val="00DE6833"/>
    <w:rsid w:val="00DE6B6A"/>
    <w:rsid w:val="00DE6ED8"/>
    <w:rsid w:val="00DE6F6B"/>
    <w:rsid w:val="00DE72A7"/>
    <w:rsid w:val="00DE754A"/>
    <w:rsid w:val="00DE7832"/>
    <w:rsid w:val="00DF041B"/>
    <w:rsid w:val="00DF05A9"/>
    <w:rsid w:val="00DF0E39"/>
    <w:rsid w:val="00DF1712"/>
    <w:rsid w:val="00DF18FC"/>
    <w:rsid w:val="00DF191B"/>
    <w:rsid w:val="00DF23D1"/>
    <w:rsid w:val="00DF23E4"/>
    <w:rsid w:val="00DF2FD6"/>
    <w:rsid w:val="00DF372B"/>
    <w:rsid w:val="00DF3A5C"/>
    <w:rsid w:val="00DF52E4"/>
    <w:rsid w:val="00DF5957"/>
    <w:rsid w:val="00DF5AF6"/>
    <w:rsid w:val="00DF5B15"/>
    <w:rsid w:val="00DF5D2B"/>
    <w:rsid w:val="00DF5D79"/>
    <w:rsid w:val="00DF6341"/>
    <w:rsid w:val="00DF68D7"/>
    <w:rsid w:val="00DF697A"/>
    <w:rsid w:val="00DF6C9A"/>
    <w:rsid w:val="00E001D4"/>
    <w:rsid w:val="00E0056D"/>
    <w:rsid w:val="00E00854"/>
    <w:rsid w:val="00E00CCF"/>
    <w:rsid w:val="00E00E23"/>
    <w:rsid w:val="00E00E8E"/>
    <w:rsid w:val="00E00F3E"/>
    <w:rsid w:val="00E019DC"/>
    <w:rsid w:val="00E021CB"/>
    <w:rsid w:val="00E02881"/>
    <w:rsid w:val="00E02A50"/>
    <w:rsid w:val="00E02EF2"/>
    <w:rsid w:val="00E039C8"/>
    <w:rsid w:val="00E03EC7"/>
    <w:rsid w:val="00E03F37"/>
    <w:rsid w:val="00E04074"/>
    <w:rsid w:val="00E044C1"/>
    <w:rsid w:val="00E04A35"/>
    <w:rsid w:val="00E04AF7"/>
    <w:rsid w:val="00E051CC"/>
    <w:rsid w:val="00E05630"/>
    <w:rsid w:val="00E058CC"/>
    <w:rsid w:val="00E06568"/>
    <w:rsid w:val="00E067E2"/>
    <w:rsid w:val="00E06802"/>
    <w:rsid w:val="00E06ABB"/>
    <w:rsid w:val="00E06DBB"/>
    <w:rsid w:val="00E0708D"/>
    <w:rsid w:val="00E077E1"/>
    <w:rsid w:val="00E07E18"/>
    <w:rsid w:val="00E100EE"/>
    <w:rsid w:val="00E10149"/>
    <w:rsid w:val="00E102BA"/>
    <w:rsid w:val="00E1046C"/>
    <w:rsid w:val="00E106BC"/>
    <w:rsid w:val="00E10A29"/>
    <w:rsid w:val="00E11340"/>
    <w:rsid w:val="00E11893"/>
    <w:rsid w:val="00E11B44"/>
    <w:rsid w:val="00E11C44"/>
    <w:rsid w:val="00E11FA5"/>
    <w:rsid w:val="00E122A1"/>
    <w:rsid w:val="00E130F3"/>
    <w:rsid w:val="00E1346B"/>
    <w:rsid w:val="00E137BB"/>
    <w:rsid w:val="00E13A29"/>
    <w:rsid w:val="00E144EF"/>
    <w:rsid w:val="00E14E21"/>
    <w:rsid w:val="00E14E52"/>
    <w:rsid w:val="00E153AD"/>
    <w:rsid w:val="00E15424"/>
    <w:rsid w:val="00E155B1"/>
    <w:rsid w:val="00E15A1F"/>
    <w:rsid w:val="00E15EB1"/>
    <w:rsid w:val="00E16372"/>
    <w:rsid w:val="00E16AD8"/>
    <w:rsid w:val="00E16DF5"/>
    <w:rsid w:val="00E17431"/>
    <w:rsid w:val="00E17A49"/>
    <w:rsid w:val="00E17A6D"/>
    <w:rsid w:val="00E17F79"/>
    <w:rsid w:val="00E17FFA"/>
    <w:rsid w:val="00E202D9"/>
    <w:rsid w:val="00E2053F"/>
    <w:rsid w:val="00E2078A"/>
    <w:rsid w:val="00E207CA"/>
    <w:rsid w:val="00E2091D"/>
    <w:rsid w:val="00E20A7B"/>
    <w:rsid w:val="00E20A85"/>
    <w:rsid w:val="00E20E4D"/>
    <w:rsid w:val="00E20ED6"/>
    <w:rsid w:val="00E2103B"/>
    <w:rsid w:val="00E21358"/>
    <w:rsid w:val="00E216F3"/>
    <w:rsid w:val="00E21F94"/>
    <w:rsid w:val="00E2249B"/>
    <w:rsid w:val="00E22A0D"/>
    <w:rsid w:val="00E22B93"/>
    <w:rsid w:val="00E22BA2"/>
    <w:rsid w:val="00E22F67"/>
    <w:rsid w:val="00E2366F"/>
    <w:rsid w:val="00E236C7"/>
    <w:rsid w:val="00E239AC"/>
    <w:rsid w:val="00E23E7E"/>
    <w:rsid w:val="00E2415F"/>
    <w:rsid w:val="00E244F6"/>
    <w:rsid w:val="00E24792"/>
    <w:rsid w:val="00E254AD"/>
    <w:rsid w:val="00E25754"/>
    <w:rsid w:val="00E2580B"/>
    <w:rsid w:val="00E258DB"/>
    <w:rsid w:val="00E25CBD"/>
    <w:rsid w:val="00E263F5"/>
    <w:rsid w:val="00E265F2"/>
    <w:rsid w:val="00E26D8B"/>
    <w:rsid w:val="00E2726C"/>
    <w:rsid w:val="00E27516"/>
    <w:rsid w:val="00E2771E"/>
    <w:rsid w:val="00E2790B"/>
    <w:rsid w:val="00E27D6E"/>
    <w:rsid w:val="00E27DDC"/>
    <w:rsid w:val="00E3001C"/>
    <w:rsid w:val="00E30120"/>
    <w:rsid w:val="00E302AD"/>
    <w:rsid w:val="00E30D8C"/>
    <w:rsid w:val="00E311EF"/>
    <w:rsid w:val="00E315EC"/>
    <w:rsid w:val="00E32180"/>
    <w:rsid w:val="00E322F8"/>
    <w:rsid w:val="00E329DC"/>
    <w:rsid w:val="00E32AC8"/>
    <w:rsid w:val="00E341EF"/>
    <w:rsid w:val="00E34948"/>
    <w:rsid w:val="00E34A62"/>
    <w:rsid w:val="00E34D96"/>
    <w:rsid w:val="00E35118"/>
    <w:rsid w:val="00E359DF"/>
    <w:rsid w:val="00E360C4"/>
    <w:rsid w:val="00E36E79"/>
    <w:rsid w:val="00E37292"/>
    <w:rsid w:val="00E373AB"/>
    <w:rsid w:val="00E37569"/>
    <w:rsid w:val="00E37BE4"/>
    <w:rsid w:val="00E4009F"/>
    <w:rsid w:val="00E401B2"/>
    <w:rsid w:val="00E4033F"/>
    <w:rsid w:val="00E404B2"/>
    <w:rsid w:val="00E408AD"/>
    <w:rsid w:val="00E414BC"/>
    <w:rsid w:val="00E41BE8"/>
    <w:rsid w:val="00E41DC2"/>
    <w:rsid w:val="00E41E30"/>
    <w:rsid w:val="00E420CA"/>
    <w:rsid w:val="00E429CA"/>
    <w:rsid w:val="00E42BC9"/>
    <w:rsid w:val="00E42F73"/>
    <w:rsid w:val="00E43A2B"/>
    <w:rsid w:val="00E43D70"/>
    <w:rsid w:val="00E44664"/>
    <w:rsid w:val="00E44ABD"/>
    <w:rsid w:val="00E44D9A"/>
    <w:rsid w:val="00E45615"/>
    <w:rsid w:val="00E45620"/>
    <w:rsid w:val="00E45815"/>
    <w:rsid w:val="00E459B7"/>
    <w:rsid w:val="00E466F3"/>
    <w:rsid w:val="00E46710"/>
    <w:rsid w:val="00E46F95"/>
    <w:rsid w:val="00E46FAA"/>
    <w:rsid w:val="00E473FC"/>
    <w:rsid w:val="00E47B2C"/>
    <w:rsid w:val="00E47E85"/>
    <w:rsid w:val="00E50B40"/>
    <w:rsid w:val="00E50CD0"/>
    <w:rsid w:val="00E50D16"/>
    <w:rsid w:val="00E511E9"/>
    <w:rsid w:val="00E51560"/>
    <w:rsid w:val="00E51821"/>
    <w:rsid w:val="00E5267C"/>
    <w:rsid w:val="00E52A79"/>
    <w:rsid w:val="00E52C1A"/>
    <w:rsid w:val="00E52F76"/>
    <w:rsid w:val="00E53FC8"/>
    <w:rsid w:val="00E54347"/>
    <w:rsid w:val="00E544EA"/>
    <w:rsid w:val="00E54AA5"/>
    <w:rsid w:val="00E551C5"/>
    <w:rsid w:val="00E55424"/>
    <w:rsid w:val="00E55638"/>
    <w:rsid w:val="00E55648"/>
    <w:rsid w:val="00E55915"/>
    <w:rsid w:val="00E55BB5"/>
    <w:rsid w:val="00E55F12"/>
    <w:rsid w:val="00E56150"/>
    <w:rsid w:val="00E562CA"/>
    <w:rsid w:val="00E56391"/>
    <w:rsid w:val="00E56651"/>
    <w:rsid w:val="00E56976"/>
    <w:rsid w:val="00E569AC"/>
    <w:rsid w:val="00E569AE"/>
    <w:rsid w:val="00E60679"/>
    <w:rsid w:val="00E60A5C"/>
    <w:rsid w:val="00E611DF"/>
    <w:rsid w:val="00E6140F"/>
    <w:rsid w:val="00E61C44"/>
    <w:rsid w:val="00E629DF"/>
    <w:rsid w:val="00E63F24"/>
    <w:rsid w:val="00E64423"/>
    <w:rsid w:val="00E6519D"/>
    <w:rsid w:val="00E6529D"/>
    <w:rsid w:val="00E656CA"/>
    <w:rsid w:val="00E65E79"/>
    <w:rsid w:val="00E668B4"/>
    <w:rsid w:val="00E66A2F"/>
    <w:rsid w:val="00E66BA2"/>
    <w:rsid w:val="00E66CAA"/>
    <w:rsid w:val="00E66D3A"/>
    <w:rsid w:val="00E67208"/>
    <w:rsid w:val="00E67416"/>
    <w:rsid w:val="00E6787B"/>
    <w:rsid w:val="00E6793C"/>
    <w:rsid w:val="00E70309"/>
    <w:rsid w:val="00E718B6"/>
    <w:rsid w:val="00E71967"/>
    <w:rsid w:val="00E72008"/>
    <w:rsid w:val="00E723BA"/>
    <w:rsid w:val="00E727E6"/>
    <w:rsid w:val="00E72CA7"/>
    <w:rsid w:val="00E72F2F"/>
    <w:rsid w:val="00E72FE0"/>
    <w:rsid w:val="00E73581"/>
    <w:rsid w:val="00E73F5B"/>
    <w:rsid w:val="00E74399"/>
    <w:rsid w:val="00E74557"/>
    <w:rsid w:val="00E747CD"/>
    <w:rsid w:val="00E74882"/>
    <w:rsid w:val="00E753A4"/>
    <w:rsid w:val="00E77805"/>
    <w:rsid w:val="00E77AB7"/>
    <w:rsid w:val="00E800A7"/>
    <w:rsid w:val="00E801BD"/>
    <w:rsid w:val="00E8074C"/>
    <w:rsid w:val="00E80A14"/>
    <w:rsid w:val="00E80FDD"/>
    <w:rsid w:val="00E81553"/>
    <w:rsid w:val="00E815A9"/>
    <w:rsid w:val="00E8162E"/>
    <w:rsid w:val="00E817C1"/>
    <w:rsid w:val="00E81989"/>
    <w:rsid w:val="00E8286A"/>
    <w:rsid w:val="00E82C82"/>
    <w:rsid w:val="00E82D70"/>
    <w:rsid w:val="00E82E9E"/>
    <w:rsid w:val="00E833F7"/>
    <w:rsid w:val="00E83BDF"/>
    <w:rsid w:val="00E83FD2"/>
    <w:rsid w:val="00E840F8"/>
    <w:rsid w:val="00E84863"/>
    <w:rsid w:val="00E84C97"/>
    <w:rsid w:val="00E85130"/>
    <w:rsid w:val="00E860CF"/>
    <w:rsid w:val="00E86B54"/>
    <w:rsid w:val="00E86C46"/>
    <w:rsid w:val="00E86FCC"/>
    <w:rsid w:val="00E873A3"/>
    <w:rsid w:val="00E87531"/>
    <w:rsid w:val="00E876A7"/>
    <w:rsid w:val="00E87A1D"/>
    <w:rsid w:val="00E87AEE"/>
    <w:rsid w:val="00E9094A"/>
    <w:rsid w:val="00E91061"/>
    <w:rsid w:val="00E912DD"/>
    <w:rsid w:val="00E919A8"/>
    <w:rsid w:val="00E91D35"/>
    <w:rsid w:val="00E926A5"/>
    <w:rsid w:val="00E92738"/>
    <w:rsid w:val="00E929B3"/>
    <w:rsid w:val="00E92A0D"/>
    <w:rsid w:val="00E937D8"/>
    <w:rsid w:val="00E9395A"/>
    <w:rsid w:val="00E93D36"/>
    <w:rsid w:val="00E93E90"/>
    <w:rsid w:val="00E94922"/>
    <w:rsid w:val="00E94D15"/>
    <w:rsid w:val="00E94F3B"/>
    <w:rsid w:val="00E958AA"/>
    <w:rsid w:val="00E95AB1"/>
    <w:rsid w:val="00E962CC"/>
    <w:rsid w:val="00E96E94"/>
    <w:rsid w:val="00E9709C"/>
    <w:rsid w:val="00E971AE"/>
    <w:rsid w:val="00E977E5"/>
    <w:rsid w:val="00E97EAC"/>
    <w:rsid w:val="00EA0129"/>
    <w:rsid w:val="00EA0519"/>
    <w:rsid w:val="00EA0CB0"/>
    <w:rsid w:val="00EA12A2"/>
    <w:rsid w:val="00EA17C3"/>
    <w:rsid w:val="00EA1830"/>
    <w:rsid w:val="00EA1FB5"/>
    <w:rsid w:val="00EA273E"/>
    <w:rsid w:val="00EA2CAA"/>
    <w:rsid w:val="00EA3864"/>
    <w:rsid w:val="00EA3C96"/>
    <w:rsid w:val="00EA41DF"/>
    <w:rsid w:val="00EA482D"/>
    <w:rsid w:val="00EA49E3"/>
    <w:rsid w:val="00EA4BEF"/>
    <w:rsid w:val="00EA5257"/>
    <w:rsid w:val="00EA5463"/>
    <w:rsid w:val="00EA5C11"/>
    <w:rsid w:val="00EA636C"/>
    <w:rsid w:val="00EA652C"/>
    <w:rsid w:val="00EA67ED"/>
    <w:rsid w:val="00EA6ABF"/>
    <w:rsid w:val="00EA7F1C"/>
    <w:rsid w:val="00EB0379"/>
    <w:rsid w:val="00EB072E"/>
    <w:rsid w:val="00EB0A3D"/>
    <w:rsid w:val="00EB0B43"/>
    <w:rsid w:val="00EB0C49"/>
    <w:rsid w:val="00EB0EF6"/>
    <w:rsid w:val="00EB117B"/>
    <w:rsid w:val="00EB15B6"/>
    <w:rsid w:val="00EB1A26"/>
    <w:rsid w:val="00EB1ADB"/>
    <w:rsid w:val="00EB20C6"/>
    <w:rsid w:val="00EB23D9"/>
    <w:rsid w:val="00EB247B"/>
    <w:rsid w:val="00EB2DA8"/>
    <w:rsid w:val="00EB2DCF"/>
    <w:rsid w:val="00EB3D06"/>
    <w:rsid w:val="00EB418D"/>
    <w:rsid w:val="00EB42BB"/>
    <w:rsid w:val="00EB4872"/>
    <w:rsid w:val="00EB4916"/>
    <w:rsid w:val="00EB4E91"/>
    <w:rsid w:val="00EB4E95"/>
    <w:rsid w:val="00EB5EE6"/>
    <w:rsid w:val="00EB6553"/>
    <w:rsid w:val="00EC0059"/>
    <w:rsid w:val="00EC00C9"/>
    <w:rsid w:val="00EC076C"/>
    <w:rsid w:val="00EC091E"/>
    <w:rsid w:val="00EC09DE"/>
    <w:rsid w:val="00EC0B72"/>
    <w:rsid w:val="00EC0DD9"/>
    <w:rsid w:val="00EC0F37"/>
    <w:rsid w:val="00EC1C61"/>
    <w:rsid w:val="00EC1F43"/>
    <w:rsid w:val="00EC209C"/>
    <w:rsid w:val="00EC2649"/>
    <w:rsid w:val="00EC2A83"/>
    <w:rsid w:val="00EC2B0C"/>
    <w:rsid w:val="00EC2DE3"/>
    <w:rsid w:val="00EC31ED"/>
    <w:rsid w:val="00EC36A3"/>
    <w:rsid w:val="00EC371B"/>
    <w:rsid w:val="00EC3793"/>
    <w:rsid w:val="00EC469E"/>
    <w:rsid w:val="00EC4B82"/>
    <w:rsid w:val="00EC57F5"/>
    <w:rsid w:val="00EC5836"/>
    <w:rsid w:val="00EC5C56"/>
    <w:rsid w:val="00EC6590"/>
    <w:rsid w:val="00EC6616"/>
    <w:rsid w:val="00EC688C"/>
    <w:rsid w:val="00EC6F6E"/>
    <w:rsid w:val="00EC75E2"/>
    <w:rsid w:val="00EC7606"/>
    <w:rsid w:val="00EC7624"/>
    <w:rsid w:val="00EC765A"/>
    <w:rsid w:val="00ED0F7A"/>
    <w:rsid w:val="00ED12E3"/>
    <w:rsid w:val="00ED15CE"/>
    <w:rsid w:val="00ED1E7B"/>
    <w:rsid w:val="00ED2407"/>
    <w:rsid w:val="00ED246C"/>
    <w:rsid w:val="00ED25BE"/>
    <w:rsid w:val="00ED2B0D"/>
    <w:rsid w:val="00ED3493"/>
    <w:rsid w:val="00ED379E"/>
    <w:rsid w:val="00ED393E"/>
    <w:rsid w:val="00ED3EB2"/>
    <w:rsid w:val="00ED4399"/>
    <w:rsid w:val="00ED4B04"/>
    <w:rsid w:val="00ED4C3F"/>
    <w:rsid w:val="00ED57EA"/>
    <w:rsid w:val="00ED582C"/>
    <w:rsid w:val="00ED5BD4"/>
    <w:rsid w:val="00ED6A6E"/>
    <w:rsid w:val="00ED75F7"/>
    <w:rsid w:val="00ED7931"/>
    <w:rsid w:val="00EE0166"/>
    <w:rsid w:val="00EE052E"/>
    <w:rsid w:val="00EE07D3"/>
    <w:rsid w:val="00EE0EB4"/>
    <w:rsid w:val="00EE1207"/>
    <w:rsid w:val="00EE175F"/>
    <w:rsid w:val="00EE1996"/>
    <w:rsid w:val="00EE1C01"/>
    <w:rsid w:val="00EE2057"/>
    <w:rsid w:val="00EE2223"/>
    <w:rsid w:val="00EE2251"/>
    <w:rsid w:val="00EE22AF"/>
    <w:rsid w:val="00EE27BA"/>
    <w:rsid w:val="00EE2831"/>
    <w:rsid w:val="00EE2EB8"/>
    <w:rsid w:val="00EE2F6E"/>
    <w:rsid w:val="00EE489F"/>
    <w:rsid w:val="00EE4999"/>
    <w:rsid w:val="00EE4E49"/>
    <w:rsid w:val="00EE542E"/>
    <w:rsid w:val="00EE5628"/>
    <w:rsid w:val="00EE56A1"/>
    <w:rsid w:val="00EE595C"/>
    <w:rsid w:val="00EE621C"/>
    <w:rsid w:val="00EE62CF"/>
    <w:rsid w:val="00EE6334"/>
    <w:rsid w:val="00EE6850"/>
    <w:rsid w:val="00EE696D"/>
    <w:rsid w:val="00EE7307"/>
    <w:rsid w:val="00EE7E4B"/>
    <w:rsid w:val="00EF0171"/>
    <w:rsid w:val="00EF0190"/>
    <w:rsid w:val="00EF071A"/>
    <w:rsid w:val="00EF09F7"/>
    <w:rsid w:val="00EF1249"/>
    <w:rsid w:val="00EF15CA"/>
    <w:rsid w:val="00EF1B25"/>
    <w:rsid w:val="00EF1CE5"/>
    <w:rsid w:val="00EF1DA0"/>
    <w:rsid w:val="00EF1FB3"/>
    <w:rsid w:val="00EF226C"/>
    <w:rsid w:val="00EF2561"/>
    <w:rsid w:val="00EF2646"/>
    <w:rsid w:val="00EF2D14"/>
    <w:rsid w:val="00EF4747"/>
    <w:rsid w:val="00EF4BAC"/>
    <w:rsid w:val="00EF4BF8"/>
    <w:rsid w:val="00EF5654"/>
    <w:rsid w:val="00EF58AA"/>
    <w:rsid w:val="00EF5C10"/>
    <w:rsid w:val="00EF62E4"/>
    <w:rsid w:val="00EF6811"/>
    <w:rsid w:val="00EF7063"/>
    <w:rsid w:val="00EF71DA"/>
    <w:rsid w:val="00EF7439"/>
    <w:rsid w:val="00EF7524"/>
    <w:rsid w:val="00EF78E8"/>
    <w:rsid w:val="00EF7CDB"/>
    <w:rsid w:val="00F001CA"/>
    <w:rsid w:val="00F009AD"/>
    <w:rsid w:val="00F015C5"/>
    <w:rsid w:val="00F02253"/>
    <w:rsid w:val="00F025A6"/>
    <w:rsid w:val="00F02AFE"/>
    <w:rsid w:val="00F02CFB"/>
    <w:rsid w:val="00F02DC2"/>
    <w:rsid w:val="00F02DD1"/>
    <w:rsid w:val="00F02FE3"/>
    <w:rsid w:val="00F036CB"/>
    <w:rsid w:val="00F0392C"/>
    <w:rsid w:val="00F03C2E"/>
    <w:rsid w:val="00F03DAA"/>
    <w:rsid w:val="00F04226"/>
    <w:rsid w:val="00F04A66"/>
    <w:rsid w:val="00F04B4B"/>
    <w:rsid w:val="00F0516C"/>
    <w:rsid w:val="00F05D85"/>
    <w:rsid w:val="00F067A2"/>
    <w:rsid w:val="00F07B9E"/>
    <w:rsid w:val="00F07DB8"/>
    <w:rsid w:val="00F07E47"/>
    <w:rsid w:val="00F1022C"/>
    <w:rsid w:val="00F10879"/>
    <w:rsid w:val="00F11063"/>
    <w:rsid w:val="00F1116F"/>
    <w:rsid w:val="00F11F3E"/>
    <w:rsid w:val="00F120F2"/>
    <w:rsid w:val="00F121B9"/>
    <w:rsid w:val="00F1263A"/>
    <w:rsid w:val="00F1343A"/>
    <w:rsid w:val="00F13581"/>
    <w:rsid w:val="00F1375A"/>
    <w:rsid w:val="00F13828"/>
    <w:rsid w:val="00F139C5"/>
    <w:rsid w:val="00F13BFC"/>
    <w:rsid w:val="00F14366"/>
    <w:rsid w:val="00F149AA"/>
    <w:rsid w:val="00F14A55"/>
    <w:rsid w:val="00F15458"/>
    <w:rsid w:val="00F15627"/>
    <w:rsid w:val="00F15B77"/>
    <w:rsid w:val="00F15EDB"/>
    <w:rsid w:val="00F165E1"/>
    <w:rsid w:val="00F16697"/>
    <w:rsid w:val="00F16B03"/>
    <w:rsid w:val="00F20228"/>
    <w:rsid w:val="00F208F1"/>
    <w:rsid w:val="00F21236"/>
    <w:rsid w:val="00F227DD"/>
    <w:rsid w:val="00F23041"/>
    <w:rsid w:val="00F233D2"/>
    <w:rsid w:val="00F239DF"/>
    <w:rsid w:val="00F24676"/>
    <w:rsid w:val="00F247D5"/>
    <w:rsid w:val="00F24837"/>
    <w:rsid w:val="00F24F03"/>
    <w:rsid w:val="00F25281"/>
    <w:rsid w:val="00F253C0"/>
    <w:rsid w:val="00F254F3"/>
    <w:rsid w:val="00F2575F"/>
    <w:rsid w:val="00F26D75"/>
    <w:rsid w:val="00F27565"/>
    <w:rsid w:val="00F300FA"/>
    <w:rsid w:val="00F30766"/>
    <w:rsid w:val="00F30BDE"/>
    <w:rsid w:val="00F30EF0"/>
    <w:rsid w:val="00F310D4"/>
    <w:rsid w:val="00F31856"/>
    <w:rsid w:val="00F31D5A"/>
    <w:rsid w:val="00F320A5"/>
    <w:rsid w:val="00F327B9"/>
    <w:rsid w:val="00F33975"/>
    <w:rsid w:val="00F33DE9"/>
    <w:rsid w:val="00F34115"/>
    <w:rsid w:val="00F34A4B"/>
    <w:rsid w:val="00F34DEC"/>
    <w:rsid w:val="00F3593E"/>
    <w:rsid w:val="00F3596F"/>
    <w:rsid w:val="00F35A49"/>
    <w:rsid w:val="00F35C84"/>
    <w:rsid w:val="00F35CB9"/>
    <w:rsid w:val="00F35E6D"/>
    <w:rsid w:val="00F3619A"/>
    <w:rsid w:val="00F36921"/>
    <w:rsid w:val="00F37298"/>
    <w:rsid w:val="00F37302"/>
    <w:rsid w:val="00F3795F"/>
    <w:rsid w:val="00F406D3"/>
    <w:rsid w:val="00F40AAA"/>
    <w:rsid w:val="00F40BA7"/>
    <w:rsid w:val="00F40F9D"/>
    <w:rsid w:val="00F41161"/>
    <w:rsid w:val="00F412FA"/>
    <w:rsid w:val="00F41333"/>
    <w:rsid w:val="00F41894"/>
    <w:rsid w:val="00F41ACD"/>
    <w:rsid w:val="00F41EB7"/>
    <w:rsid w:val="00F42DFD"/>
    <w:rsid w:val="00F43692"/>
    <w:rsid w:val="00F4369C"/>
    <w:rsid w:val="00F43883"/>
    <w:rsid w:val="00F43921"/>
    <w:rsid w:val="00F43A9E"/>
    <w:rsid w:val="00F43DEA"/>
    <w:rsid w:val="00F4407B"/>
    <w:rsid w:val="00F4474F"/>
    <w:rsid w:val="00F448B2"/>
    <w:rsid w:val="00F45355"/>
    <w:rsid w:val="00F4580B"/>
    <w:rsid w:val="00F45BC6"/>
    <w:rsid w:val="00F46702"/>
    <w:rsid w:val="00F46888"/>
    <w:rsid w:val="00F468CE"/>
    <w:rsid w:val="00F46CB6"/>
    <w:rsid w:val="00F46E9D"/>
    <w:rsid w:val="00F471C7"/>
    <w:rsid w:val="00F4756D"/>
    <w:rsid w:val="00F4759A"/>
    <w:rsid w:val="00F47CEF"/>
    <w:rsid w:val="00F47DE8"/>
    <w:rsid w:val="00F47F13"/>
    <w:rsid w:val="00F502B0"/>
    <w:rsid w:val="00F5037F"/>
    <w:rsid w:val="00F51CCA"/>
    <w:rsid w:val="00F51E94"/>
    <w:rsid w:val="00F521AA"/>
    <w:rsid w:val="00F537BB"/>
    <w:rsid w:val="00F54019"/>
    <w:rsid w:val="00F542C1"/>
    <w:rsid w:val="00F54C67"/>
    <w:rsid w:val="00F54E4D"/>
    <w:rsid w:val="00F54EBA"/>
    <w:rsid w:val="00F54EC4"/>
    <w:rsid w:val="00F550E3"/>
    <w:rsid w:val="00F5563F"/>
    <w:rsid w:val="00F55E73"/>
    <w:rsid w:val="00F55EDA"/>
    <w:rsid w:val="00F5632D"/>
    <w:rsid w:val="00F563EE"/>
    <w:rsid w:val="00F567EA"/>
    <w:rsid w:val="00F56C80"/>
    <w:rsid w:val="00F573EC"/>
    <w:rsid w:val="00F57493"/>
    <w:rsid w:val="00F574AC"/>
    <w:rsid w:val="00F57782"/>
    <w:rsid w:val="00F579EC"/>
    <w:rsid w:val="00F57A0B"/>
    <w:rsid w:val="00F57BB1"/>
    <w:rsid w:val="00F60092"/>
    <w:rsid w:val="00F60167"/>
    <w:rsid w:val="00F602BD"/>
    <w:rsid w:val="00F602C2"/>
    <w:rsid w:val="00F60821"/>
    <w:rsid w:val="00F60858"/>
    <w:rsid w:val="00F60DA0"/>
    <w:rsid w:val="00F60EFE"/>
    <w:rsid w:val="00F61970"/>
    <w:rsid w:val="00F61C18"/>
    <w:rsid w:val="00F61F6D"/>
    <w:rsid w:val="00F62015"/>
    <w:rsid w:val="00F6235E"/>
    <w:rsid w:val="00F630E0"/>
    <w:rsid w:val="00F63A60"/>
    <w:rsid w:val="00F63DBF"/>
    <w:rsid w:val="00F649D4"/>
    <w:rsid w:val="00F64CE3"/>
    <w:rsid w:val="00F65239"/>
    <w:rsid w:val="00F658C3"/>
    <w:rsid w:val="00F65B7E"/>
    <w:rsid w:val="00F65F4B"/>
    <w:rsid w:val="00F65F6A"/>
    <w:rsid w:val="00F66B6D"/>
    <w:rsid w:val="00F66F6E"/>
    <w:rsid w:val="00F67A69"/>
    <w:rsid w:val="00F708BC"/>
    <w:rsid w:val="00F70AAF"/>
    <w:rsid w:val="00F70BFF"/>
    <w:rsid w:val="00F70C9D"/>
    <w:rsid w:val="00F7148B"/>
    <w:rsid w:val="00F719A0"/>
    <w:rsid w:val="00F7221D"/>
    <w:rsid w:val="00F72B92"/>
    <w:rsid w:val="00F72C9D"/>
    <w:rsid w:val="00F72E45"/>
    <w:rsid w:val="00F735A7"/>
    <w:rsid w:val="00F7398C"/>
    <w:rsid w:val="00F73BC4"/>
    <w:rsid w:val="00F73C63"/>
    <w:rsid w:val="00F73E08"/>
    <w:rsid w:val="00F74653"/>
    <w:rsid w:val="00F74824"/>
    <w:rsid w:val="00F749CC"/>
    <w:rsid w:val="00F74CD9"/>
    <w:rsid w:val="00F74DD7"/>
    <w:rsid w:val="00F75BBB"/>
    <w:rsid w:val="00F761E2"/>
    <w:rsid w:val="00F76887"/>
    <w:rsid w:val="00F7701A"/>
    <w:rsid w:val="00F77163"/>
    <w:rsid w:val="00F774C2"/>
    <w:rsid w:val="00F77CE3"/>
    <w:rsid w:val="00F77EDD"/>
    <w:rsid w:val="00F80A7B"/>
    <w:rsid w:val="00F80E5D"/>
    <w:rsid w:val="00F8187E"/>
    <w:rsid w:val="00F81E78"/>
    <w:rsid w:val="00F82BEC"/>
    <w:rsid w:val="00F8323E"/>
    <w:rsid w:val="00F835F0"/>
    <w:rsid w:val="00F83916"/>
    <w:rsid w:val="00F83B75"/>
    <w:rsid w:val="00F83BF5"/>
    <w:rsid w:val="00F83D95"/>
    <w:rsid w:val="00F841B2"/>
    <w:rsid w:val="00F842FC"/>
    <w:rsid w:val="00F844C5"/>
    <w:rsid w:val="00F848C6"/>
    <w:rsid w:val="00F84AC8"/>
    <w:rsid w:val="00F84E0F"/>
    <w:rsid w:val="00F851CA"/>
    <w:rsid w:val="00F851CE"/>
    <w:rsid w:val="00F8599F"/>
    <w:rsid w:val="00F85C98"/>
    <w:rsid w:val="00F85F01"/>
    <w:rsid w:val="00F8648A"/>
    <w:rsid w:val="00F86AAE"/>
    <w:rsid w:val="00F87233"/>
    <w:rsid w:val="00F87434"/>
    <w:rsid w:val="00F874B9"/>
    <w:rsid w:val="00F9101D"/>
    <w:rsid w:val="00F9109C"/>
    <w:rsid w:val="00F91196"/>
    <w:rsid w:val="00F91219"/>
    <w:rsid w:val="00F9148B"/>
    <w:rsid w:val="00F914A5"/>
    <w:rsid w:val="00F9186D"/>
    <w:rsid w:val="00F92444"/>
    <w:rsid w:val="00F92746"/>
    <w:rsid w:val="00F93855"/>
    <w:rsid w:val="00F93879"/>
    <w:rsid w:val="00F9393E"/>
    <w:rsid w:val="00F93979"/>
    <w:rsid w:val="00F93B0D"/>
    <w:rsid w:val="00F940DD"/>
    <w:rsid w:val="00F94967"/>
    <w:rsid w:val="00F95CDC"/>
    <w:rsid w:val="00F95EC3"/>
    <w:rsid w:val="00F969E0"/>
    <w:rsid w:val="00F96A4F"/>
    <w:rsid w:val="00F96BB5"/>
    <w:rsid w:val="00F96FD0"/>
    <w:rsid w:val="00F97614"/>
    <w:rsid w:val="00F97A78"/>
    <w:rsid w:val="00F97BF6"/>
    <w:rsid w:val="00FA003B"/>
    <w:rsid w:val="00FA088B"/>
    <w:rsid w:val="00FA0B20"/>
    <w:rsid w:val="00FA0BD8"/>
    <w:rsid w:val="00FA13A8"/>
    <w:rsid w:val="00FA24E7"/>
    <w:rsid w:val="00FA25A9"/>
    <w:rsid w:val="00FA2EA5"/>
    <w:rsid w:val="00FA344C"/>
    <w:rsid w:val="00FA3655"/>
    <w:rsid w:val="00FA44CC"/>
    <w:rsid w:val="00FA4E4B"/>
    <w:rsid w:val="00FA52B2"/>
    <w:rsid w:val="00FA5AD5"/>
    <w:rsid w:val="00FA5EE6"/>
    <w:rsid w:val="00FA6330"/>
    <w:rsid w:val="00FA72C7"/>
    <w:rsid w:val="00FA7956"/>
    <w:rsid w:val="00FB0088"/>
    <w:rsid w:val="00FB07D0"/>
    <w:rsid w:val="00FB0824"/>
    <w:rsid w:val="00FB0A91"/>
    <w:rsid w:val="00FB1578"/>
    <w:rsid w:val="00FB18CF"/>
    <w:rsid w:val="00FB1B92"/>
    <w:rsid w:val="00FB22B8"/>
    <w:rsid w:val="00FB22E7"/>
    <w:rsid w:val="00FB2525"/>
    <w:rsid w:val="00FB28B7"/>
    <w:rsid w:val="00FB2BC5"/>
    <w:rsid w:val="00FB2D62"/>
    <w:rsid w:val="00FB2E88"/>
    <w:rsid w:val="00FB2FCB"/>
    <w:rsid w:val="00FB319D"/>
    <w:rsid w:val="00FB430D"/>
    <w:rsid w:val="00FB4C9C"/>
    <w:rsid w:val="00FB50FE"/>
    <w:rsid w:val="00FB5BCA"/>
    <w:rsid w:val="00FB5E58"/>
    <w:rsid w:val="00FB6463"/>
    <w:rsid w:val="00FB713B"/>
    <w:rsid w:val="00FB7689"/>
    <w:rsid w:val="00FB7C55"/>
    <w:rsid w:val="00FB7E12"/>
    <w:rsid w:val="00FC0C2A"/>
    <w:rsid w:val="00FC0CFA"/>
    <w:rsid w:val="00FC1074"/>
    <w:rsid w:val="00FC1593"/>
    <w:rsid w:val="00FC164A"/>
    <w:rsid w:val="00FC17F1"/>
    <w:rsid w:val="00FC1884"/>
    <w:rsid w:val="00FC1BD9"/>
    <w:rsid w:val="00FC1DD0"/>
    <w:rsid w:val="00FC261E"/>
    <w:rsid w:val="00FC2C69"/>
    <w:rsid w:val="00FC2FD3"/>
    <w:rsid w:val="00FC309E"/>
    <w:rsid w:val="00FC3677"/>
    <w:rsid w:val="00FC371D"/>
    <w:rsid w:val="00FC3CDF"/>
    <w:rsid w:val="00FC4A53"/>
    <w:rsid w:val="00FC4A77"/>
    <w:rsid w:val="00FC4AA6"/>
    <w:rsid w:val="00FC4D67"/>
    <w:rsid w:val="00FC5285"/>
    <w:rsid w:val="00FC53D6"/>
    <w:rsid w:val="00FC5F0B"/>
    <w:rsid w:val="00FC5F6B"/>
    <w:rsid w:val="00FC6457"/>
    <w:rsid w:val="00FC67C3"/>
    <w:rsid w:val="00FC6AE3"/>
    <w:rsid w:val="00FC78B0"/>
    <w:rsid w:val="00FD0C27"/>
    <w:rsid w:val="00FD142A"/>
    <w:rsid w:val="00FD2100"/>
    <w:rsid w:val="00FD23D6"/>
    <w:rsid w:val="00FD2522"/>
    <w:rsid w:val="00FD3691"/>
    <w:rsid w:val="00FD397F"/>
    <w:rsid w:val="00FD3AFD"/>
    <w:rsid w:val="00FD3C8A"/>
    <w:rsid w:val="00FD436C"/>
    <w:rsid w:val="00FD446D"/>
    <w:rsid w:val="00FD4743"/>
    <w:rsid w:val="00FD4EFA"/>
    <w:rsid w:val="00FD4F2C"/>
    <w:rsid w:val="00FD5107"/>
    <w:rsid w:val="00FD5414"/>
    <w:rsid w:val="00FD56E2"/>
    <w:rsid w:val="00FD5F2E"/>
    <w:rsid w:val="00FD61B0"/>
    <w:rsid w:val="00FD621D"/>
    <w:rsid w:val="00FD6394"/>
    <w:rsid w:val="00FD6667"/>
    <w:rsid w:val="00FD7AB0"/>
    <w:rsid w:val="00FD7B57"/>
    <w:rsid w:val="00FD7BA7"/>
    <w:rsid w:val="00FE00AA"/>
    <w:rsid w:val="00FE0DE6"/>
    <w:rsid w:val="00FE0E6C"/>
    <w:rsid w:val="00FE100D"/>
    <w:rsid w:val="00FE1948"/>
    <w:rsid w:val="00FE1CDC"/>
    <w:rsid w:val="00FE1D01"/>
    <w:rsid w:val="00FE2F13"/>
    <w:rsid w:val="00FE354F"/>
    <w:rsid w:val="00FE3C6A"/>
    <w:rsid w:val="00FE3CDA"/>
    <w:rsid w:val="00FE3EE4"/>
    <w:rsid w:val="00FE4872"/>
    <w:rsid w:val="00FE4B36"/>
    <w:rsid w:val="00FE4C8F"/>
    <w:rsid w:val="00FE4E38"/>
    <w:rsid w:val="00FE563E"/>
    <w:rsid w:val="00FE5D00"/>
    <w:rsid w:val="00FE6214"/>
    <w:rsid w:val="00FE6305"/>
    <w:rsid w:val="00FE6834"/>
    <w:rsid w:val="00FE70C3"/>
    <w:rsid w:val="00FE7CCE"/>
    <w:rsid w:val="00FE7E48"/>
    <w:rsid w:val="00FF05B1"/>
    <w:rsid w:val="00FF0C66"/>
    <w:rsid w:val="00FF0E7C"/>
    <w:rsid w:val="00FF179B"/>
    <w:rsid w:val="00FF19D5"/>
    <w:rsid w:val="00FF1A8B"/>
    <w:rsid w:val="00FF1F9F"/>
    <w:rsid w:val="00FF2130"/>
    <w:rsid w:val="00FF2AD9"/>
    <w:rsid w:val="00FF359F"/>
    <w:rsid w:val="00FF3DCF"/>
    <w:rsid w:val="00FF46F4"/>
    <w:rsid w:val="00FF492C"/>
    <w:rsid w:val="00FF4A21"/>
    <w:rsid w:val="00FF4A4B"/>
    <w:rsid w:val="00FF4B7F"/>
    <w:rsid w:val="00FF4CD2"/>
    <w:rsid w:val="00FF4ED4"/>
    <w:rsid w:val="00FF4F6A"/>
    <w:rsid w:val="00FF50F5"/>
    <w:rsid w:val="00FF5A1F"/>
    <w:rsid w:val="00FF5AA3"/>
    <w:rsid w:val="00FF5AD8"/>
    <w:rsid w:val="00FF5BA7"/>
    <w:rsid w:val="00FF5FDE"/>
    <w:rsid w:val="00FF6875"/>
    <w:rsid w:val="00FF6B9D"/>
    <w:rsid w:val="00FF7045"/>
    <w:rsid w:val="00FF7826"/>
    <w:rsid w:val="01214EA6"/>
    <w:rsid w:val="014E8A0A"/>
    <w:rsid w:val="01B90568"/>
    <w:rsid w:val="0244B73B"/>
    <w:rsid w:val="02E8BD4E"/>
    <w:rsid w:val="0334F6C5"/>
    <w:rsid w:val="036E0ACF"/>
    <w:rsid w:val="037B7847"/>
    <w:rsid w:val="03B112ED"/>
    <w:rsid w:val="03F3A20A"/>
    <w:rsid w:val="0464D59C"/>
    <w:rsid w:val="047E3189"/>
    <w:rsid w:val="049E3D42"/>
    <w:rsid w:val="04B90E0C"/>
    <w:rsid w:val="04CDAE14"/>
    <w:rsid w:val="04D98B97"/>
    <w:rsid w:val="04E38256"/>
    <w:rsid w:val="0536790D"/>
    <w:rsid w:val="0543F73E"/>
    <w:rsid w:val="05A015E0"/>
    <w:rsid w:val="05FF5BEF"/>
    <w:rsid w:val="072236F7"/>
    <w:rsid w:val="0762FCF0"/>
    <w:rsid w:val="07CDE40A"/>
    <w:rsid w:val="07D0D60A"/>
    <w:rsid w:val="07F5B6C5"/>
    <w:rsid w:val="08984D6F"/>
    <w:rsid w:val="09078204"/>
    <w:rsid w:val="091AA710"/>
    <w:rsid w:val="097B27F2"/>
    <w:rsid w:val="099C0001"/>
    <w:rsid w:val="0A1B751C"/>
    <w:rsid w:val="0A58C5D3"/>
    <w:rsid w:val="0A97B15D"/>
    <w:rsid w:val="0AD5CDF0"/>
    <w:rsid w:val="0AE6D0E5"/>
    <w:rsid w:val="0AFFBD46"/>
    <w:rsid w:val="0B88DA7D"/>
    <w:rsid w:val="0C7F1518"/>
    <w:rsid w:val="0C9BDC67"/>
    <w:rsid w:val="0CAB8085"/>
    <w:rsid w:val="0CFD7DFC"/>
    <w:rsid w:val="0DAD4CA7"/>
    <w:rsid w:val="0DAE2396"/>
    <w:rsid w:val="0DF7A629"/>
    <w:rsid w:val="0E727C1F"/>
    <w:rsid w:val="0E98FD54"/>
    <w:rsid w:val="0ED27F0A"/>
    <w:rsid w:val="0F5020D2"/>
    <w:rsid w:val="0F508BB5"/>
    <w:rsid w:val="0F56B3F0"/>
    <w:rsid w:val="0F5899C4"/>
    <w:rsid w:val="0F776BB0"/>
    <w:rsid w:val="0FD5CBCA"/>
    <w:rsid w:val="0FF4F30D"/>
    <w:rsid w:val="103FC76D"/>
    <w:rsid w:val="10B7FDBD"/>
    <w:rsid w:val="113A0E9C"/>
    <w:rsid w:val="114FAD9C"/>
    <w:rsid w:val="11F6B17F"/>
    <w:rsid w:val="1222460E"/>
    <w:rsid w:val="12660F29"/>
    <w:rsid w:val="126BDA5E"/>
    <w:rsid w:val="12915DB8"/>
    <w:rsid w:val="129AF589"/>
    <w:rsid w:val="12A5953D"/>
    <w:rsid w:val="12F9C092"/>
    <w:rsid w:val="130089DA"/>
    <w:rsid w:val="13486F7F"/>
    <w:rsid w:val="13710C13"/>
    <w:rsid w:val="1394E9D5"/>
    <w:rsid w:val="13F6CAB5"/>
    <w:rsid w:val="14186305"/>
    <w:rsid w:val="1495E7BD"/>
    <w:rsid w:val="14C7A3CE"/>
    <w:rsid w:val="14C7E406"/>
    <w:rsid w:val="152ED7F8"/>
    <w:rsid w:val="1549B51A"/>
    <w:rsid w:val="157D2962"/>
    <w:rsid w:val="15944234"/>
    <w:rsid w:val="15C43FAB"/>
    <w:rsid w:val="160498D0"/>
    <w:rsid w:val="16344F04"/>
    <w:rsid w:val="16355759"/>
    <w:rsid w:val="168AB2D3"/>
    <w:rsid w:val="1693D39E"/>
    <w:rsid w:val="16C975A2"/>
    <w:rsid w:val="16EEFAF7"/>
    <w:rsid w:val="170993E6"/>
    <w:rsid w:val="175687A9"/>
    <w:rsid w:val="179688CA"/>
    <w:rsid w:val="17A1A0C7"/>
    <w:rsid w:val="17D65464"/>
    <w:rsid w:val="17DE242E"/>
    <w:rsid w:val="183E02BD"/>
    <w:rsid w:val="187C253A"/>
    <w:rsid w:val="18BEE630"/>
    <w:rsid w:val="18DBBF3B"/>
    <w:rsid w:val="1927DC87"/>
    <w:rsid w:val="193DCCD0"/>
    <w:rsid w:val="1978D97F"/>
    <w:rsid w:val="19F65B6B"/>
    <w:rsid w:val="1A29A91D"/>
    <w:rsid w:val="1A44054E"/>
    <w:rsid w:val="1A55C15A"/>
    <w:rsid w:val="1AD138F3"/>
    <w:rsid w:val="1AFCF05D"/>
    <w:rsid w:val="1B430E2E"/>
    <w:rsid w:val="1B84F180"/>
    <w:rsid w:val="1C57B95F"/>
    <w:rsid w:val="1C7EF09F"/>
    <w:rsid w:val="1CBF6968"/>
    <w:rsid w:val="1CC29EE5"/>
    <w:rsid w:val="1CCBAFA5"/>
    <w:rsid w:val="1D74409F"/>
    <w:rsid w:val="1DE07AB0"/>
    <w:rsid w:val="1DF07E73"/>
    <w:rsid w:val="1EAB9BD3"/>
    <w:rsid w:val="1F255B4E"/>
    <w:rsid w:val="1F4CE59B"/>
    <w:rsid w:val="1F56A4D1"/>
    <w:rsid w:val="1FA9B5B9"/>
    <w:rsid w:val="1FF631F7"/>
    <w:rsid w:val="200747AD"/>
    <w:rsid w:val="207CF83E"/>
    <w:rsid w:val="20BC0DBC"/>
    <w:rsid w:val="21211796"/>
    <w:rsid w:val="21AD7AEF"/>
    <w:rsid w:val="21D6C67A"/>
    <w:rsid w:val="21F7B916"/>
    <w:rsid w:val="2264D00B"/>
    <w:rsid w:val="22B4693C"/>
    <w:rsid w:val="22B757F2"/>
    <w:rsid w:val="22F988A0"/>
    <w:rsid w:val="233B54C4"/>
    <w:rsid w:val="23754B59"/>
    <w:rsid w:val="23F3D317"/>
    <w:rsid w:val="24005DFC"/>
    <w:rsid w:val="243EEA3A"/>
    <w:rsid w:val="247E0539"/>
    <w:rsid w:val="24BD6357"/>
    <w:rsid w:val="250192E4"/>
    <w:rsid w:val="2530E2FA"/>
    <w:rsid w:val="25ACE4C8"/>
    <w:rsid w:val="25B18999"/>
    <w:rsid w:val="25CD9749"/>
    <w:rsid w:val="25D8FAE2"/>
    <w:rsid w:val="269885F3"/>
    <w:rsid w:val="26D0791F"/>
    <w:rsid w:val="27A24968"/>
    <w:rsid w:val="27C6091F"/>
    <w:rsid w:val="27D3167E"/>
    <w:rsid w:val="28365534"/>
    <w:rsid w:val="285DB6A6"/>
    <w:rsid w:val="28A39BD9"/>
    <w:rsid w:val="290C71C4"/>
    <w:rsid w:val="29D88291"/>
    <w:rsid w:val="29E31631"/>
    <w:rsid w:val="2A3E0970"/>
    <w:rsid w:val="2A9FAE1E"/>
    <w:rsid w:val="2ABA5CDE"/>
    <w:rsid w:val="2ABDD921"/>
    <w:rsid w:val="2B03F1AE"/>
    <w:rsid w:val="2B7F0543"/>
    <w:rsid w:val="2BABCF38"/>
    <w:rsid w:val="2BB49004"/>
    <w:rsid w:val="2BCD80A4"/>
    <w:rsid w:val="2BD13518"/>
    <w:rsid w:val="2BD25F35"/>
    <w:rsid w:val="2BDDF761"/>
    <w:rsid w:val="2BE7B4BC"/>
    <w:rsid w:val="2BED5036"/>
    <w:rsid w:val="2BF4F0A7"/>
    <w:rsid w:val="2C21A1A2"/>
    <w:rsid w:val="2C3BB80E"/>
    <w:rsid w:val="2C3D3B2A"/>
    <w:rsid w:val="2C447BDF"/>
    <w:rsid w:val="2C47D30D"/>
    <w:rsid w:val="2C567A80"/>
    <w:rsid w:val="2C7C43F8"/>
    <w:rsid w:val="2C82F129"/>
    <w:rsid w:val="2CB0F169"/>
    <w:rsid w:val="2CBAA12D"/>
    <w:rsid w:val="2CBB51DC"/>
    <w:rsid w:val="2CFB6018"/>
    <w:rsid w:val="2D077E00"/>
    <w:rsid w:val="2D632A67"/>
    <w:rsid w:val="2D73A12E"/>
    <w:rsid w:val="2D846655"/>
    <w:rsid w:val="2D873474"/>
    <w:rsid w:val="2E1B0F86"/>
    <w:rsid w:val="2ED8FCE1"/>
    <w:rsid w:val="2EED9CB4"/>
    <w:rsid w:val="2EFC0F29"/>
    <w:rsid w:val="2F2DA88E"/>
    <w:rsid w:val="2F6A07D7"/>
    <w:rsid w:val="2F787F09"/>
    <w:rsid w:val="2F886A5C"/>
    <w:rsid w:val="2F8D7446"/>
    <w:rsid w:val="2FABC0DB"/>
    <w:rsid w:val="2FE5A61A"/>
    <w:rsid w:val="3005988A"/>
    <w:rsid w:val="30098FAD"/>
    <w:rsid w:val="30304050"/>
    <w:rsid w:val="30540FF2"/>
    <w:rsid w:val="30A18DB6"/>
    <w:rsid w:val="30EB5DE8"/>
    <w:rsid w:val="3164661B"/>
    <w:rsid w:val="3168144E"/>
    <w:rsid w:val="31912D8C"/>
    <w:rsid w:val="3196A5BD"/>
    <w:rsid w:val="31B779D4"/>
    <w:rsid w:val="31C63FCD"/>
    <w:rsid w:val="31F7E3BC"/>
    <w:rsid w:val="32013D87"/>
    <w:rsid w:val="320406F2"/>
    <w:rsid w:val="320701CB"/>
    <w:rsid w:val="323D29D7"/>
    <w:rsid w:val="32ABD245"/>
    <w:rsid w:val="32AF685E"/>
    <w:rsid w:val="32B8B646"/>
    <w:rsid w:val="32DE0FF0"/>
    <w:rsid w:val="32F4AD62"/>
    <w:rsid w:val="3305164C"/>
    <w:rsid w:val="334DA6B0"/>
    <w:rsid w:val="334E08C9"/>
    <w:rsid w:val="33864E59"/>
    <w:rsid w:val="345F1BAE"/>
    <w:rsid w:val="348FDC9D"/>
    <w:rsid w:val="34CCEAD2"/>
    <w:rsid w:val="34E0F29C"/>
    <w:rsid w:val="3529B66B"/>
    <w:rsid w:val="356C0421"/>
    <w:rsid w:val="356EA742"/>
    <w:rsid w:val="360774D7"/>
    <w:rsid w:val="3654BC96"/>
    <w:rsid w:val="36807A22"/>
    <w:rsid w:val="36AC03C1"/>
    <w:rsid w:val="3704FFBA"/>
    <w:rsid w:val="370A693A"/>
    <w:rsid w:val="3768E7AC"/>
    <w:rsid w:val="37B88832"/>
    <w:rsid w:val="37D7DC20"/>
    <w:rsid w:val="380F32FA"/>
    <w:rsid w:val="383D9DB5"/>
    <w:rsid w:val="38DDF4C1"/>
    <w:rsid w:val="38F8302D"/>
    <w:rsid w:val="390ECA2D"/>
    <w:rsid w:val="3990E3E0"/>
    <w:rsid w:val="39D0692F"/>
    <w:rsid w:val="39DE9A5E"/>
    <w:rsid w:val="39F1EF0D"/>
    <w:rsid w:val="3AA0F44D"/>
    <w:rsid w:val="3AB291F0"/>
    <w:rsid w:val="3B8FED3A"/>
    <w:rsid w:val="3BA86A58"/>
    <w:rsid w:val="3BB325FB"/>
    <w:rsid w:val="3BB5BC35"/>
    <w:rsid w:val="3C8FD7D4"/>
    <w:rsid w:val="3CD5EAE3"/>
    <w:rsid w:val="3CEF2AD6"/>
    <w:rsid w:val="3D7C97A0"/>
    <w:rsid w:val="3D833A1C"/>
    <w:rsid w:val="3D9A4589"/>
    <w:rsid w:val="3DAE1DCC"/>
    <w:rsid w:val="3DDD5DC2"/>
    <w:rsid w:val="3E2B98EB"/>
    <w:rsid w:val="3E2E9001"/>
    <w:rsid w:val="3E3425C0"/>
    <w:rsid w:val="3E93EBDE"/>
    <w:rsid w:val="3EB3201F"/>
    <w:rsid w:val="3EC91365"/>
    <w:rsid w:val="3ED82810"/>
    <w:rsid w:val="3EDB6AF2"/>
    <w:rsid w:val="3EF06967"/>
    <w:rsid w:val="3F6F6EF2"/>
    <w:rsid w:val="3F8085D1"/>
    <w:rsid w:val="3F8A4618"/>
    <w:rsid w:val="3F94CC6F"/>
    <w:rsid w:val="3FAA24AF"/>
    <w:rsid w:val="3FB5A89B"/>
    <w:rsid w:val="3FBF32DF"/>
    <w:rsid w:val="3FD1FF3F"/>
    <w:rsid w:val="3FD46779"/>
    <w:rsid w:val="403F3AD3"/>
    <w:rsid w:val="40721007"/>
    <w:rsid w:val="409F15C2"/>
    <w:rsid w:val="413E4ABA"/>
    <w:rsid w:val="4144CD0D"/>
    <w:rsid w:val="4145211C"/>
    <w:rsid w:val="418AD3A4"/>
    <w:rsid w:val="419EB14F"/>
    <w:rsid w:val="41C7556D"/>
    <w:rsid w:val="41DF06E6"/>
    <w:rsid w:val="41E70B59"/>
    <w:rsid w:val="41F7AA75"/>
    <w:rsid w:val="4207994D"/>
    <w:rsid w:val="422B1CA0"/>
    <w:rsid w:val="428F3F67"/>
    <w:rsid w:val="429FB2EE"/>
    <w:rsid w:val="42B2CEDB"/>
    <w:rsid w:val="42EBB28B"/>
    <w:rsid w:val="430DB7A1"/>
    <w:rsid w:val="437A5175"/>
    <w:rsid w:val="43F0736B"/>
    <w:rsid w:val="4456DF8B"/>
    <w:rsid w:val="457CBA98"/>
    <w:rsid w:val="459B1B52"/>
    <w:rsid w:val="45F8FB67"/>
    <w:rsid w:val="460440A2"/>
    <w:rsid w:val="462AB9BE"/>
    <w:rsid w:val="4644B1E8"/>
    <w:rsid w:val="4680AD13"/>
    <w:rsid w:val="46E29C79"/>
    <w:rsid w:val="46EF6FAC"/>
    <w:rsid w:val="4714371C"/>
    <w:rsid w:val="4715A470"/>
    <w:rsid w:val="472E5E52"/>
    <w:rsid w:val="47479C06"/>
    <w:rsid w:val="47D6D3FC"/>
    <w:rsid w:val="47DBFB48"/>
    <w:rsid w:val="4859D8F5"/>
    <w:rsid w:val="486B1031"/>
    <w:rsid w:val="48999E3E"/>
    <w:rsid w:val="49679C58"/>
    <w:rsid w:val="497AB341"/>
    <w:rsid w:val="49C8E51D"/>
    <w:rsid w:val="49CE56D8"/>
    <w:rsid w:val="4A3E2B1E"/>
    <w:rsid w:val="4A41B421"/>
    <w:rsid w:val="4A64A2C8"/>
    <w:rsid w:val="4A871F80"/>
    <w:rsid w:val="4AAF0589"/>
    <w:rsid w:val="4AC02DFE"/>
    <w:rsid w:val="4B149AFB"/>
    <w:rsid w:val="4B5C9A2C"/>
    <w:rsid w:val="4BD5C82E"/>
    <w:rsid w:val="4BDA0F96"/>
    <w:rsid w:val="4BDB89D1"/>
    <w:rsid w:val="4BF40484"/>
    <w:rsid w:val="4C2CF583"/>
    <w:rsid w:val="4C4364E1"/>
    <w:rsid w:val="4C5C4342"/>
    <w:rsid w:val="4C8E9837"/>
    <w:rsid w:val="4CE00663"/>
    <w:rsid w:val="4D17BBE9"/>
    <w:rsid w:val="4D83C2B3"/>
    <w:rsid w:val="4DC8EB38"/>
    <w:rsid w:val="4DF7AE12"/>
    <w:rsid w:val="4E62B906"/>
    <w:rsid w:val="4E76C031"/>
    <w:rsid w:val="4EA535FA"/>
    <w:rsid w:val="4ED47A3A"/>
    <w:rsid w:val="502D48B1"/>
    <w:rsid w:val="5040E124"/>
    <w:rsid w:val="506C19F3"/>
    <w:rsid w:val="50DFEB36"/>
    <w:rsid w:val="510485BD"/>
    <w:rsid w:val="514C3FDF"/>
    <w:rsid w:val="518EDBE8"/>
    <w:rsid w:val="51C65AC2"/>
    <w:rsid w:val="51E52A6B"/>
    <w:rsid w:val="51F18F90"/>
    <w:rsid w:val="51F20752"/>
    <w:rsid w:val="524CA8B8"/>
    <w:rsid w:val="5270F40F"/>
    <w:rsid w:val="527DC337"/>
    <w:rsid w:val="528D2E99"/>
    <w:rsid w:val="52B628C4"/>
    <w:rsid w:val="52D94B8C"/>
    <w:rsid w:val="52E2F8B5"/>
    <w:rsid w:val="52EF5D09"/>
    <w:rsid w:val="5303F709"/>
    <w:rsid w:val="535B2268"/>
    <w:rsid w:val="537484AB"/>
    <w:rsid w:val="53971533"/>
    <w:rsid w:val="5449DA92"/>
    <w:rsid w:val="54705F76"/>
    <w:rsid w:val="547E7CC7"/>
    <w:rsid w:val="55184D17"/>
    <w:rsid w:val="5545D052"/>
    <w:rsid w:val="559F891A"/>
    <w:rsid w:val="560610E4"/>
    <w:rsid w:val="560FE126"/>
    <w:rsid w:val="5647B177"/>
    <w:rsid w:val="56B180BC"/>
    <w:rsid w:val="5714D459"/>
    <w:rsid w:val="573E16F7"/>
    <w:rsid w:val="5878D53F"/>
    <w:rsid w:val="58B57567"/>
    <w:rsid w:val="58D35C4D"/>
    <w:rsid w:val="5900B4A7"/>
    <w:rsid w:val="594BFCE4"/>
    <w:rsid w:val="597C1A86"/>
    <w:rsid w:val="59B8A239"/>
    <w:rsid w:val="5A2816D9"/>
    <w:rsid w:val="5A45ACA0"/>
    <w:rsid w:val="5A5ACA7A"/>
    <w:rsid w:val="5AF416B4"/>
    <w:rsid w:val="5B008E5B"/>
    <w:rsid w:val="5B1A1F58"/>
    <w:rsid w:val="5B1C3AE4"/>
    <w:rsid w:val="5B58875E"/>
    <w:rsid w:val="5B79E029"/>
    <w:rsid w:val="5BB5CB6B"/>
    <w:rsid w:val="5BEC9194"/>
    <w:rsid w:val="5C84D67A"/>
    <w:rsid w:val="5C8A7BAF"/>
    <w:rsid w:val="5CD75F97"/>
    <w:rsid w:val="5D1756CE"/>
    <w:rsid w:val="5D442E9F"/>
    <w:rsid w:val="5D744FB5"/>
    <w:rsid w:val="5D8C25BF"/>
    <w:rsid w:val="5DCADAE0"/>
    <w:rsid w:val="5E0BE541"/>
    <w:rsid w:val="5E1118D7"/>
    <w:rsid w:val="5E44FBCA"/>
    <w:rsid w:val="5EBB523A"/>
    <w:rsid w:val="5EFFAF5B"/>
    <w:rsid w:val="5F1C052E"/>
    <w:rsid w:val="5F20D3AE"/>
    <w:rsid w:val="5F62D181"/>
    <w:rsid w:val="5F7559EC"/>
    <w:rsid w:val="5FEC8AE7"/>
    <w:rsid w:val="601570F6"/>
    <w:rsid w:val="601B2C31"/>
    <w:rsid w:val="605933B3"/>
    <w:rsid w:val="608EA023"/>
    <w:rsid w:val="61047FDB"/>
    <w:rsid w:val="612461C6"/>
    <w:rsid w:val="612B59BE"/>
    <w:rsid w:val="61AAEB8A"/>
    <w:rsid w:val="61AC934A"/>
    <w:rsid w:val="61AD6C83"/>
    <w:rsid w:val="61BF8293"/>
    <w:rsid w:val="61CEFD46"/>
    <w:rsid w:val="61F46C83"/>
    <w:rsid w:val="61FC9AD5"/>
    <w:rsid w:val="62F528A9"/>
    <w:rsid w:val="634D7C43"/>
    <w:rsid w:val="63776CE2"/>
    <w:rsid w:val="6381310D"/>
    <w:rsid w:val="63BF739F"/>
    <w:rsid w:val="643A3CF5"/>
    <w:rsid w:val="645EF6A7"/>
    <w:rsid w:val="6481CA87"/>
    <w:rsid w:val="64D34313"/>
    <w:rsid w:val="64FE1AEE"/>
    <w:rsid w:val="6547A8DF"/>
    <w:rsid w:val="657D6AEF"/>
    <w:rsid w:val="65D2DE91"/>
    <w:rsid w:val="664A776C"/>
    <w:rsid w:val="66940F4F"/>
    <w:rsid w:val="66E7CC3A"/>
    <w:rsid w:val="67217298"/>
    <w:rsid w:val="6731B205"/>
    <w:rsid w:val="6782FFC7"/>
    <w:rsid w:val="67B2CAB7"/>
    <w:rsid w:val="681610B6"/>
    <w:rsid w:val="68660188"/>
    <w:rsid w:val="68ADFABF"/>
    <w:rsid w:val="68FAEDA0"/>
    <w:rsid w:val="6904DD52"/>
    <w:rsid w:val="69335C7F"/>
    <w:rsid w:val="6954BE56"/>
    <w:rsid w:val="69D11B8A"/>
    <w:rsid w:val="69D849D2"/>
    <w:rsid w:val="6AA6922D"/>
    <w:rsid w:val="6B2C55C2"/>
    <w:rsid w:val="6B414857"/>
    <w:rsid w:val="6B4AA7F6"/>
    <w:rsid w:val="6B7BB572"/>
    <w:rsid w:val="6B92A0FE"/>
    <w:rsid w:val="6B9CCD75"/>
    <w:rsid w:val="6BF7B6D2"/>
    <w:rsid w:val="6C44155B"/>
    <w:rsid w:val="6C5A2276"/>
    <w:rsid w:val="6C70C1C2"/>
    <w:rsid w:val="6C9CE368"/>
    <w:rsid w:val="6D04D780"/>
    <w:rsid w:val="6D895736"/>
    <w:rsid w:val="6DA8C0C7"/>
    <w:rsid w:val="6E278FC9"/>
    <w:rsid w:val="6EB4C65F"/>
    <w:rsid w:val="6F700107"/>
    <w:rsid w:val="6FA0254B"/>
    <w:rsid w:val="6FB87906"/>
    <w:rsid w:val="6FBCE157"/>
    <w:rsid w:val="6FC3E5BF"/>
    <w:rsid w:val="6FE3C3A9"/>
    <w:rsid w:val="701D42AA"/>
    <w:rsid w:val="704D978A"/>
    <w:rsid w:val="7053E490"/>
    <w:rsid w:val="70757351"/>
    <w:rsid w:val="70778C62"/>
    <w:rsid w:val="707AF3F4"/>
    <w:rsid w:val="7088C05A"/>
    <w:rsid w:val="70993DA7"/>
    <w:rsid w:val="70A798F2"/>
    <w:rsid w:val="7121CE05"/>
    <w:rsid w:val="712D2167"/>
    <w:rsid w:val="71334F64"/>
    <w:rsid w:val="71889F24"/>
    <w:rsid w:val="71A4BCEB"/>
    <w:rsid w:val="71C257DD"/>
    <w:rsid w:val="71F487BD"/>
    <w:rsid w:val="72602BE1"/>
    <w:rsid w:val="727013B7"/>
    <w:rsid w:val="727676F1"/>
    <w:rsid w:val="72DEABEA"/>
    <w:rsid w:val="730CEFEC"/>
    <w:rsid w:val="7316C8B1"/>
    <w:rsid w:val="731F44F3"/>
    <w:rsid w:val="734E3E82"/>
    <w:rsid w:val="73576FEA"/>
    <w:rsid w:val="73672FB5"/>
    <w:rsid w:val="737F7A64"/>
    <w:rsid w:val="73868954"/>
    <w:rsid w:val="73EBBC2A"/>
    <w:rsid w:val="740EF70F"/>
    <w:rsid w:val="7497F7C7"/>
    <w:rsid w:val="74AB0A76"/>
    <w:rsid w:val="74B58566"/>
    <w:rsid w:val="74C16C18"/>
    <w:rsid w:val="74D77B6A"/>
    <w:rsid w:val="750154D4"/>
    <w:rsid w:val="7534350A"/>
    <w:rsid w:val="7588B932"/>
    <w:rsid w:val="758BBC0D"/>
    <w:rsid w:val="75ACAE58"/>
    <w:rsid w:val="75AE4F78"/>
    <w:rsid w:val="766D2FBE"/>
    <w:rsid w:val="76C54299"/>
    <w:rsid w:val="7774BE45"/>
    <w:rsid w:val="77B736C4"/>
    <w:rsid w:val="784A7C65"/>
    <w:rsid w:val="78A305C6"/>
    <w:rsid w:val="78EC0026"/>
    <w:rsid w:val="79033A9E"/>
    <w:rsid w:val="791B3FDE"/>
    <w:rsid w:val="7923017E"/>
    <w:rsid w:val="7943BC4B"/>
    <w:rsid w:val="795A2D2C"/>
    <w:rsid w:val="795BEC9B"/>
    <w:rsid w:val="79A8A150"/>
    <w:rsid w:val="7A42D1C5"/>
    <w:rsid w:val="7A4CA897"/>
    <w:rsid w:val="7A892B0A"/>
    <w:rsid w:val="7AA7B572"/>
    <w:rsid w:val="7AC7C954"/>
    <w:rsid w:val="7AC88173"/>
    <w:rsid w:val="7AC8AC36"/>
    <w:rsid w:val="7B1F5612"/>
    <w:rsid w:val="7B39ADFB"/>
    <w:rsid w:val="7B47C4FB"/>
    <w:rsid w:val="7BA4D1EB"/>
    <w:rsid w:val="7BBE7C84"/>
    <w:rsid w:val="7C21E545"/>
    <w:rsid w:val="7C244A8E"/>
    <w:rsid w:val="7CD14884"/>
    <w:rsid w:val="7CEC88F3"/>
    <w:rsid w:val="7CFE3EE0"/>
    <w:rsid w:val="7DC1F93F"/>
    <w:rsid w:val="7DCDFAF3"/>
    <w:rsid w:val="7DD6DAE0"/>
    <w:rsid w:val="7E92DD08"/>
    <w:rsid w:val="7EC9673F"/>
    <w:rsid w:val="7ED8D9F0"/>
    <w:rsid w:val="7F6375EA"/>
    <w:rsid w:val="7FC51270"/>
    <w:rsid w:val="7FCE7B20"/>
    <w:rsid w:val="7FFB3E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3F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MSD Table Grid,PBAC table,Legemiddelverket 3,Dossier table,Summary Table,Tabellengitternetz 9pt,HTAtableplain,Lash Style Table,Header Table,NICE instruction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5"/>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3126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31263"/>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AB3A67"/>
    <w:rPr>
      <w:color w:val="605E5C"/>
      <w:shd w:val="clear" w:color="auto" w:fill="E1DFDD"/>
    </w:rPr>
  </w:style>
  <w:style w:type="paragraph" w:styleId="FootnoteText">
    <w:name w:val="footnote text"/>
    <w:basedOn w:val="Normal"/>
    <w:link w:val="FootnoteTextChar"/>
    <w:unhideWhenUsed/>
    <w:rsid w:val="00A374AE"/>
    <w:rPr>
      <w:sz w:val="20"/>
      <w:szCs w:val="20"/>
    </w:rPr>
  </w:style>
  <w:style w:type="character" w:customStyle="1" w:styleId="FootnoteTextChar">
    <w:name w:val="Footnote Text Char"/>
    <w:basedOn w:val="DefaultParagraphFont"/>
    <w:link w:val="FootnoteText"/>
    <w:rsid w:val="00A374AE"/>
    <w:rPr>
      <w:rFonts w:ascii="Calibri" w:hAnsi="Calibri" w:cs="Arial"/>
    </w:rPr>
  </w:style>
  <w:style w:type="character" w:styleId="FootnoteReference">
    <w:name w:val="footnote reference"/>
    <w:basedOn w:val="DefaultParagraphFont"/>
    <w:semiHidden/>
    <w:unhideWhenUsed/>
    <w:rsid w:val="00A374AE"/>
    <w:rPr>
      <w:vertAlign w:val="superscript"/>
    </w:rPr>
  </w:style>
  <w:style w:type="table" w:customStyle="1" w:styleId="ASDTable1">
    <w:name w:val="ASD Table1"/>
    <w:basedOn w:val="TableNormal"/>
    <w:next w:val="TableGrid"/>
    <w:uiPriority w:val="39"/>
    <w:rsid w:val="00931059"/>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Italics">
    <w:name w:val="Small Italics"/>
    <w:basedOn w:val="DefaultParagraphFont"/>
    <w:uiPriority w:val="4"/>
    <w:qFormat/>
    <w:rsid w:val="00A7434E"/>
    <w:rPr>
      <w:rFonts w:ascii="Calibri" w:hAnsi="Calibri"/>
      <w:i/>
      <w:sz w:val="20"/>
    </w:rPr>
  </w:style>
  <w:style w:type="character" w:styleId="Mention">
    <w:name w:val="Mention"/>
    <w:basedOn w:val="DefaultParagraphFont"/>
    <w:uiPriority w:val="99"/>
    <w:unhideWhenUsed/>
    <w:rsid w:val="000D5549"/>
    <w:rPr>
      <w:color w:val="2B579A"/>
      <w:shd w:val="clear" w:color="auto" w:fill="E1DFDD"/>
    </w:rPr>
  </w:style>
  <w:style w:type="character" w:customStyle="1" w:styleId="SmallBold">
    <w:name w:val="Small Bold"/>
    <w:basedOn w:val="DefaultParagraphFont"/>
    <w:uiPriority w:val="4"/>
    <w:qFormat/>
    <w:rsid w:val="00174E50"/>
    <w:rPr>
      <w:rFonts w:ascii="Calibri" w:hAnsi="Calibri"/>
      <w:b/>
      <w:sz w:val="20"/>
      <w:lang w:val="en-AU"/>
    </w:rPr>
  </w:style>
  <w:style w:type="character" w:customStyle="1" w:styleId="Heading3Char">
    <w:name w:val="Heading 3 Char"/>
    <w:basedOn w:val="DefaultParagraphFont"/>
    <w:link w:val="Heading3"/>
    <w:rsid w:val="00174E50"/>
    <w:rPr>
      <w:rFonts w:ascii="Calibri" w:hAnsi="Calibri" w:cs="Arial"/>
      <w:sz w:val="24"/>
      <w:szCs w:val="24"/>
      <w:u w:val="single"/>
    </w:rPr>
  </w:style>
  <w:style w:type="table" w:customStyle="1" w:styleId="Submissionstandard">
    <w:name w:val="Submission standard"/>
    <w:basedOn w:val="TableNormal"/>
    <w:uiPriority w:val="99"/>
    <w:qFormat/>
    <w:rsid w:val="00174E50"/>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Segoe Print" w:hAnsi="Segoe Print"/>
        <w:b/>
        <w:sz w:val="20"/>
      </w:rPr>
      <w:tblPr/>
      <w:tcPr>
        <w:shd w:val="clear" w:color="auto" w:fill="BFBFBF"/>
      </w:tcPr>
    </w:tblStylePr>
  </w:style>
  <w:style w:type="character" w:styleId="Strong">
    <w:name w:val="Strong"/>
    <w:basedOn w:val="DefaultParagraphFont"/>
    <w:uiPriority w:val="22"/>
    <w:qFormat/>
    <w:rsid w:val="00FE0DE6"/>
    <w:rPr>
      <w:b/>
      <w:bCs/>
    </w:rPr>
  </w:style>
  <w:style w:type="paragraph" w:customStyle="1" w:styleId="EndNoteBibliography">
    <w:name w:val="EndNote Bibliography"/>
    <w:basedOn w:val="Normal"/>
    <w:link w:val="EndNoteBibliographyChar"/>
    <w:rsid w:val="006A51D4"/>
    <w:pPr>
      <w:spacing w:after="200"/>
    </w:pPr>
    <w:rPr>
      <w:rFonts w:ascii="Verdana" w:eastAsiaTheme="majorEastAsia" w:hAnsi="Verdana" w:cstheme="majorBidi"/>
      <w:sz w:val="26"/>
      <w:szCs w:val="22"/>
      <w:lang w:eastAsia="en-US" w:bidi="en-US"/>
    </w:rPr>
  </w:style>
  <w:style w:type="character" w:customStyle="1" w:styleId="EndNoteBibliographyChar">
    <w:name w:val="EndNote Bibliography Char"/>
    <w:basedOn w:val="DefaultParagraphFont"/>
    <w:link w:val="EndNoteBibliography"/>
    <w:rsid w:val="006A51D4"/>
    <w:rPr>
      <w:rFonts w:ascii="Verdana" w:eastAsiaTheme="majorEastAsia" w:hAnsi="Verdana" w:cstheme="majorBidi"/>
      <w:sz w:val="26"/>
      <w:szCs w:val="22"/>
      <w:lang w:eastAsia="en-US" w:bidi="en-US"/>
    </w:rPr>
  </w:style>
  <w:style w:type="paragraph" w:customStyle="1" w:styleId="3-SubsectionHeading">
    <w:name w:val="3-Subsection Heading"/>
    <w:basedOn w:val="Heading2"/>
    <w:next w:val="Normal"/>
    <w:link w:val="3-SubsectionHeadingChar"/>
    <w:qFormat/>
    <w:rsid w:val="00DF5D7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F5D79"/>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212434"/>
    <w:pPr>
      <w:numPr>
        <w:ilvl w:val="1"/>
        <w:numId w:val="21"/>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212434"/>
    <w:pPr>
      <w:numPr>
        <w:ilvl w:val="2"/>
        <w:numId w:val="21"/>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212434"/>
    <w:pPr>
      <w:numPr>
        <w:numId w:val="21"/>
      </w:numPr>
    </w:pPr>
  </w:style>
  <w:style w:type="paragraph" w:customStyle="1" w:styleId="COMH1numbered">
    <w:name w:val="COM H1 numbered"/>
    <w:next w:val="Normal"/>
    <w:link w:val="COMH1numberedChar"/>
    <w:qFormat/>
    <w:rsid w:val="00212434"/>
    <w:pPr>
      <w:keepNext/>
      <w:numPr>
        <w:numId w:val="21"/>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212434"/>
    <w:rPr>
      <w:rFonts w:asciiTheme="minorHAnsi" w:hAnsiTheme="minorHAnsi" w:cs="Arial"/>
      <w:b/>
      <w:snapToGrid w:val="0"/>
      <w:sz w:val="32"/>
      <w:szCs w:val="32"/>
    </w:rPr>
  </w:style>
  <w:style w:type="paragraph" w:styleId="ListBullet2">
    <w:name w:val="List Bullet 2"/>
    <w:basedOn w:val="Normal"/>
    <w:semiHidden/>
    <w:unhideWhenUsed/>
    <w:rsid w:val="00212434"/>
    <w:pPr>
      <w:contextualSpacing/>
    </w:pPr>
  </w:style>
  <w:style w:type="paragraph" w:styleId="ListBullet3">
    <w:name w:val="List Bullet 3"/>
    <w:basedOn w:val="Normal"/>
    <w:semiHidden/>
    <w:unhideWhenUsed/>
    <w:rsid w:val="0021243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112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5004255">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752188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49605455">
      <w:bodyDiv w:val="1"/>
      <w:marLeft w:val="0"/>
      <w:marRight w:val="0"/>
      <w:marTop w:val="0"/>
      <w:marBottom w:val="0"/>
      <w:divBdr>
        <w:top w:val="none" w:sz="0" w:space="0" w:color="auto"/>
        <w:left w:val="none" w:sz="0" w:space="0" w:color="auto"/>
        <w:bottom w:val="none" w:sz="0" w:space="0" w:color="auto"/>
        <w:right w:val="none" w:sz="0" w:space="0" w:color="auto"/>
      </w:divBdr>
    </w:div>
    <w:div w:id="150065511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88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ermcoll.edu.au/wp-content/uploads/2024/05/ACD-Consensus-Adaptation-Psoriasis-May-2024.pdf" TargetMode="External"/><Relationship Id="rId1" Type="http://schemas.openxmlformats.org/officeDocument/2006/relationships/hyperlink" Target="https://app.tg.org.au/2ae0edf6-8508-4da1-a9d9-4012cb89c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61AD5-46AB-44B2-9C9B-F9179AF3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8A2A7-DC8B-4EE3-90B6-66CAE6EF9EF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18D0D0E0-E979-4EA0-913C-F03AE398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15054</Words>
  <Characters>82497</Characters>
  <Application>Microsoft Office Word</Application>
  <DocSecurity>0</DocSecurity>
  <Lines>2426</Lines>
  <Paragraphs>1524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96027</CharactersWithSpaces>
  <SharedDoc>false</SharedDoc>
  <HLinks>
    <vt:vector size="12" baseType="variant">
      <vt:variant>
        <vt:i4>3473465</vt:i4>
      </vt:variant>
      <vt:variant>
        <vt:i4>3</vt:i4>
      </vt:variant>
      <vt:variant>
        <vt:i4>0</vt:i4>
      </vt:variant>
      <vt:variant>
        <vt:i4>5</vt:i4>
      </vt:variant>
      <vt:variant>
        <vt:lpwstr>https://www.dermcoll.edu.au/wp-content/uploads/2024/05/ACD-Consensus-Adaptation-Psoriasis-May-2024.pdf</vt:lpwstr>
      </vt:variant>
      <vt:variant>
        <vt:lpwstr/>
      </vt:variant>
      <vt:variant>
        <vt:i4>7208995</vt:i4>
      </vt:variant>
      <vt:variant>
        <vt:i4>0</vt:i4>
      </vt:variant>
      <vt:variant>
        <vt:i4>0</vt:i4>
      </vt:variant>
      <vt:variant>
        <vt:i4>5</vt:i4>
      </vt:variant>
      <vt:variant>
        <vt:lpwstr>https://app.tg.org.au/2ae0edf6-8508-4da1-a9d9-4012cb89c705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2025-09-24T05:32:00Z</dcterms:created>
  <dcterms:modified xsi:type="dcterms:W3CDTF">2025-10-22T23:38:00Z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382e9e2c,57a1abaf,412a93f3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6be4a66b,3e9b4215,65dde8aa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2025-08-27T05:35:19Z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106e50e2-d190-410a-888f-aeca95b34170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docLang">
    <vt:lpwstr>en</vt:lpwstr>
  </property>
  <property fmtid="{D5CDD505-2E9C-101B-9397-08002B2CF9AE}" pid="18" name="ContentTypeId">
    <vt:lpwstr>0x0101007FED174C5281F747A8037A05221D6DBD</vt:lpwstr>
  </property>
</Properties>
</file>