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92E5" w14:textId="77777777" w:rsidR="00983414" w:rsidRDefault="00983414" w:rsidP="00D948F0">
      <w:pPr>
        <w:keepNext/>
        <w:keepLines/>
        <w:rPr>
          <w:rFonts w:ascii="Arial" w:hAnsi="Arial"/>
          <w:sz w:val="22"/>
          <w:szCs w:val="22"/>
        </w:rPr>
      </w:pPr>
    </w:p>
    <w:p w14:paraId="43A864C5" w14:textId="671373FC" w:rsidR="00433044" w:rsidRPr="007F66A7" w:rsidRDefault="006E0AF9" w:rsidP="007F66A7">
      <w:pPr>
        <w:pStyle w:val="COMexecsummheadings"/>
      </w:pPr>
      <w:r w:rsidRPr="007F66A7">
        <w:t>7.01</w:t>
      </w:r>
      <w:r w:rsidR="00163F66" w:rsidRPr="007F66A7">
        <w:tab/>
      </w:r>
      <w:r w:rsidR="00780B93" w:rsidRPr="007F66A7">
        <w:t>BRENTUXIMAB VEDOTIN</w:t>
      </w:r>
      <w:r w:rsidR="00163F66" w:rsidRPr="007F66A7">
        <w:t>,</w:t>
      </w:r>
      <w:r w:rsidR="00163F66" w:rsidRPr="007F66A7">
        <w:br/>
      </w:r>
      <w:r w:rsidR="004F4D56" w:rsidRPr="007F66A7">
        <w:t>Powder for I.V. infusion 50 mg</w:t>
      </w:r>
      <w:r w:rsidR="00163F66" w:rsidRPr="007F66A7">
        <w:t>,</w:t>
      </w:r>
      <w:r w:rsidR="00163F66" w:rsidRPr="007F66A7">
        <w:br/>
      </w:r>
      <w:r w:rsidR="00706932" w:rsidRPr="007F66A7">
        <w:t>Adcetris</w:t>
      </w:r>
      <w:r w:rsidR="00B60939" w:rsidRPr="007F66A7">
        <w:rPr>
          <w:vertAlign w:val="superscript"/>
        </w:rPr>
        <w:t>®</w:t>
      </w:r>
      <w:r w:rsidR="004A6040" w:rsidRPr="007F66A7">
        <w:t>,</w:t>
      </w:r>
      <w:r w:rsidR="004A6040" w:rsidRPr="007F66A7">
        <w:br/>
      </w:r>
      <w:r w:rsidR="00DE7AB7" w:rsidRPr="007F66A7">
        <w:t>TAKEDA PHARMACEUTICALS AUSTRALIA PTY. LTD</w:t>
      </w:r>
      <w:r w:rsidR="00B60939" w:rsidRPr="007F66A7">
        <w:t>.</w:t>
      </w:r>
      <w:r w:rsidR="00F73E08" w:rsidRPr="007F66A7">
        <w:t xml:space="preserve"> </w:t>
      </w:r>
    </w:p>
    <w:p w14:paraId="11C00795" w14:textId="3DFB6D23" w:rsidR="00B50DB8" w:rsidRPr="007F66A7" w:rsidRDefault="00B50DB8" w:rsidP="004A6040">
      <w:pPr>
        <w:pStyle w:val="COMH1-numbered"/>
      </w:pPr>
      <w:bookmarkStart w:id="0" w:name="_Toc198653233"/>
      <w:r w:rsidRPr="007F66A7">
        <w:t xml:space="preserve">Purpose of </w:t>
      </w:r>
      <w:r w:rsidR="00CD7193" w:rsidRPr="007F66A7">
        <w:t>s</w:t>
      </w:r>
      <w:r w:rsidR="00BB3A45" w:rsidRPr="007F66A7">
        <w:t>ubmission</w:t>
      </w:r>
      <w:bookmarkEnd w:id="0"/>
    </w:p>
    <w:p w14:paraId="19414AA1" w14:textId="38A20D7A" w:rsidR="002C2775" w:rsidRPr="007F66A7" w:rsidRDefault="007170DA" w:rsidP="004E18E9">
      <w:pPr>
        <w:pStyle w:val="COMexecsummnumbered"/>
      </w:pPr>
      <w:r w:rsidRPr="007F66A7">
        <w:t xml:space="preserve">The </w:t>
      </w:r>
      <w:r w:rsidR="00CE082F" w:rsidRPr="007F66A7">
        <w:t xml:space="preserve">standard re-entry submission requested a Section 100 (Efficient Funding of Chemotherapy), Authority Required (Written) listing for the </w:t>
      </w:r>
      <w:r w:rsidR="009B0496" w:rsidRPr="007F66A7">
        <w:t>first-line</w:t>
      </w:r>
      <w:r w:rsidR="00CE082F" w:rsidRPr="007F66A7">
        <w:t xml:space="preserve"> treatment of advanced Hodgkin lymphoma in combination with chemotherapy</w:t>
      </w:r>
      <w:r w:rsidR="00AB6E5A" w:rsidRPr="007F66A7">
        <w:t>.</w:t>
      </w:r>
    </w:p>
    <w:p w14:paraId="2CD16519" w14:textId="3B20BEEA" w:rsidR="00361338" w:rsidRPr="007F66A7" w:rsidRDefault="00361338" w:rsidP="004E18E9">
      <w:pPr>
        <w:pStyle w:val="COMexecsummnumbered"/>
      </w:pPr>
      <w:r w:rsidRPr="007F66A7">
        <w:t xml:space="preserve">The resubmission claimed that there is an unmet clinical need </w:t>
      </w:r>
      <w:r w:rsidR="005B1EA5" w:rsidRPr="007F66A7">
        <w:t xml:space="preserve">for </w:t>
      </w:r>
      <w:r w:rsidR="009B0496" w:rsidRPr="007F66A7">
        <w:t>first-line</w:t>
      </w:r>
      <w:r w:rsidR="005B1EA5" w:rsidRPr="007F66A7">
        <w:t xml:space="preserve"> treatments </w:t>
      </w:r>
      <w:r w:rsidR="00BF1436" w:rsidRPr="007F66A7">
        <w:t xml:space="preserve">of </w:t>
      </w:r>
      <w:r w:rsidR="00DE478C" w:rsidRPr="007F66A7">
        <w:t>advanced Hodgkin lymphoma that improve survival compared to current standard of care whilst reducing long-term toxicities such as lung toxicity, secondary malignancies and fertility; as well as safe and effective treatments in patients aged 60 years and above.</w:t>
      </w:r>
    </w:p>
    <w:p w14:paraId="4E9FBCB5" w14:textId="1F16477D" w:rsidR="00C2778B" w:rsidRPr="007F66A7" w:rsidRDefault="005750C5" w:rsidP="004E18E9">
      <w:pPr>
        <w:pStyle w:val="COMexecsummnumbered"/>
      </w:pPr>
      <w:r w:rsidRPr="007F66A7">
        <w:t xml:space="preserve">Listing was requested on the basis of a </w:t>
      </w:r>
      <w:r w:rsidR="00A46262" w:rsidRPr="007F66A7">
        <w:t xml:space="preserve">cost-effectiveness analysis versus </w:t>
      </w:r>
      <w:r w:rsidR="00FE29A4" w:rsidRPr="007F66A7">
        <w:t xml:space="preserve">ABVD (doxorubicin, bleomycin, </w:t>
      </w:r>
      <w:r w:rsidR="00CD560C" w:rsidRPr="007F66A7">
        <w:t>vinblastine and dacarbazine) as a proxy</w:t>
      </w:r>
      <w:r w:rsidR="00212726" w:rsidRPr="007F66A7">
        <w:t xml:space="preserve"> for</w:t>
      </w:r>
      <w:r w:rsidR="00BE23E8" w:rsidRPr="007F66A7">
        <w:t xml:space="preserve"> positron emission tomography</w:t>
      </w:r>
      <w:r w:rsidR="00212726" w:rsidRPr="007F66A7">
        <w:t xml:space="preserve"> </w:t>
      </w:r>
      <w:r w:rsidR="00BE23E8" w:rsidRPr="007F66A7">
        <w:t>(</w:t>
      </w:r>
      <w:r w:rsidR="00212726" w:rsidRPr="007F66A7">
        <w:t>PET</w:t>
      </w:r>
      <w:r w:rsidR="00BE23E8" w:rsidRPr="007F66A7">
        <w:t>)</w:t>
      </w:r>
      <w:r w:rsidR="00212726" w:rsidRPr="007F66A7">
        <w:t>-adapted ABVD</w:t>
      </w:r>
      <w:r w:rsidR="00AF5D27" w:rsidRPr="007F66A7">
        <w:t>. PET-adapted</w:t>
      </w:r>
      <w:r w:rsidR="00D651B8" w:rsidRPr="007F66A7">
        <w:t xml:space="preserve"> ABVD </w:t>
      </w:r>
      <w:r w:rsidR="00AF5D27" w:rsidRPr="007F66A7">
        <w:t xml:space="preserve">consists of </w:t>
      </w:r>
      <w:r w:rsidR="00582D3C" w:rsidRPr="007F66A7">
        <w:t xml:space="preserve">ABVD </w:t>
      </w:r>
      <w:r w:rsidR="00D651B8" w:rsidRPr="007F66A7">
        <w:t>for the first 2 cycles with options to de-escalate to AVD</w:t>
      </w:r>
      <w:r w:rsidR="00582D3C" w:rsidRPr="007F66A7">
        <w:t xml:space="preserve"> (doxorubicin, vinblastine and dacarbazine)</w:t>
      </w:r>
      <w:r w:rsidR="00D651B8" w:rsidRPr="007F66A7">
        <w:t xml:space="preserve"> for a further 4 cycles in PET-negative patients or escalate to </w:t>
      </w:r>
      <w:proofErr w:type="spellStart"/>
      <w:r w:rsidR="00D651B8" w:rsidRPr="007F66A7">
        <w:t>eBEACOPP</w:t>
      </w:r>
      <w:proofErr w:type="spellEnd"/>
      <w:r w:rsidR="00582D3C" w:rsidRPr="007F66A7">
        <w:t xml:space="preserve"> (escalated bleomycin, etoposide, doxorubicin, cyclophosphamide, vincristine, procarbazine, and prednisolone)</w:t>
      </w:r>
      <w:r w:rsidR="00D651B8" w:rsidRPr="007F66A7">
        <w:t xml:space="preserve"> for a further 4 cycles in PET-positive patients.</w:t>
      </w:r>
    </w:p>
    <w:p w14:paraId="3718DE61" w14:textId="6D637CDC" w:rsidR="008B1757" w:rsidRPr="007F66A7" w:rsidRDefault="00696EF9" w:rsidP="00B50F7F">
      <w:pPr>
        <w:pStyle w:val="COMtablefigcaption"/>
      </w:pPr>
      <w:r w:rsidRPr="007F66A7">
        <w:lastRenderedPageBreak/>
        <w:t xml:space="preserve">Table </w:t>
      </w:r>
      <w:r w:rsidR="006A25C4">
        <w:fldChar w:fldCharType="begin"/>
      </w:r>
      <w:r w:rsidR="006A25C4">
        <w:instrText xml:space="preserve"> SEQ Table \* ARABIC </w:instrText>
      </w:r>
      <w:r w:rsidR="006A25C4">
        <w:fldChar w:fldCharType="separate"/>
      </w:r>
      <w:r w:rsidR="00293B06">
        <w:rPr>
          <w:noProof/>
        </w:rPr>
        <w:t>1</w:t>
      </w:r>
      <w:r w:rsidR="006A25C4">
        <w:fldChar w:fldCharType="end"/>
      </w:r>
      <w:r w:rsidRPr="007F66A7">
        <w:t>:</w:t>
      </w:r>
      <w:r w:rsidR="00BC591F" w:rsidRPr="007F66A7">
        <w:t xml:space="preserve"> </w:t>
      </w:r>
      <w:r w:rsidR="008B1757" w:rsidRPr="007F66A7">
        <w:t xml:space="preserve">Key components of the clinical issue addressed </w:t>
      </w:r>
      <w:r w:rsidR="002812CE" w:rsidRPr="007F66A7">
        <w:t>in</w:t>
      </w:r>
      <w:r w:rsidR="008B1757" w:rsidRPr="007F66A7">
        <w:t xml:space="preserve"> the </w:t>
      </w:r>
      <w:r w:rsidR="00444F79" w:rsidRPr="007F66A7">
        <w:t>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w:tblPr>
      <w:tblGrid>
        <w:gridCol w:w="1451"/>
        <w:gridCol w:w="7705"/>
      </w:tblGrid>
      <w:tr w:rsidR="00444F79" w:rsidRPr="007F66A7" w14:paraId="01A9B23B" w14:textId="77777777">
        <w:tc>
          <w:tcPr>
            <w:tcW w:w="1451" w:type="dxa"/>
            <w:vAlign w:val="center"/>
          </w:tcPr>
          <w:p w14:paraId="46354F37" w14:textId="77777777" w:rsidR="00444F79" w:rsidRPr="007F66A7" w:rsidRDefault="00444F79">
            <w:pPr>
              <w:pStyle w:val="COMTableheadingrow"/>
              <w:rPr>
                <w:lang w:val="en-AU"/>
              </w:rPr>
            </w:pPr>
            <w:r w:rsidRPr="007F66A7">
              <w:rPr>
                <w:lang w:val="en-AU"/>
              </w:rPr>
              <w:t>Component</w:t>
            </w:r>
          </w:p>
        </w:tc>
        <w:tc>
          <w:tcPr>
            <w:tcW w:w="7705" w:type="dxa"/>
            <w:vAlign w:val="center"/>
          </w:tcPr>
          <w:p w14:paraId="062CD9BC" w14:textId="77777777" w:rsidR="00444F79" w:rsidRPr="007F66A7" w:rsidRDefault="00444F79">
            <w:pPr>
              <w:pStyle w:val="COMTableheadingrow"/>
              <w:rPr>
                <w:lang w:val="en-AU"/>
              </w:rPr>
            </w:pPr>
            <w:r w:rsidRPr="007F66A7">
              <w:rPr>
                <w:lang w:val="en-AU"/>
              </w:rPr>
              <w:t>Description</w:t>
            </w:r>
          </w:p>
        </w:tc>
      </w:tr>
      <w:tr w:rsidR="00444F79" w:rsidRPr="007F66A7" w14:paraId="4AC7D809" w14:textId="77777777">
        <w:tc>
          <w:tcPr>
            <w:tcW w:w="1451" w:type="dxa"/>
            <w:vAlign w:val="center"/>
          </w:tcPr>
          <w:p w14:paraId="662725FF" w14:textId="77777777" w:rsidR="00444F79" w:rsidRPr="007F66A7" w:rsidRDefault="00444F79">
            <w:pPr>
              <w:pStyle w:val="COMTabletext"/>
            </w:pPr>
            <w:r w:rsidRPr="007F66A7">
              <w:t>Population</w:t>
            </w:r>
          </w:p>
        </w:tc>
        <w:tc>
          <w:tcPr>
            <w:tcW w:w="7705" w:type="dxa"/>
            <w:vAlign w:val="center"/>
          </w:tcPr>
          <w:p w14:paraId="06E99A0F" w14:textId="653D5952" w:rsidR="00444F79" w:rsidRPr="007F66A7" w:rsidRDefault="00444F79">
            <w:pPr>
              <w:pStyle w:val="COMTabletext"/>
            </w:pPr>
            <w:r w:rsidRPr="007F66A7">
              <w:t>Adult patients with previously untreated CD30+ advanced (</w:t>
            </w:r>
            <w:r w:rsidR="007C2816" w:rsidRPr="007F66A7">
              <w:t>s</w:t>
            </w:r>
            <w:r w:rsidRPr="007F66A7">
              <w:t>tage III or IV) Hodgkin lymphoma</w:t>
            </w:r>
          </w:p>
        </w:tc>
      </w:tr>
      <w:tr w:rsidR="00444F79" w:rsidRPr="007F66A7" w14:paraId="0AFEF96F" w14:textId="77777777">
        <w:tc>
          <w:tcPr>
            <w:tcW w:w="1451" w:type="dxa"/>
            <w:vAlign w:val="center"/>
          </w:tcPr>
          <w:p w14:paraId="6FB7C003" w14:textId="77777777" w:rsidR="00444F79" w:rsidRPr="007F66A7" w:rsidRDefault="00444F79">
            <w:pPr>
              <w:pStyle w:val="COMTabletext"/>
            </w:pPr>
            <w:r w:rsidRPr="007F66A7">
              <w:t>Intervention</w:t>
            </w:r>
          </w:p>
        </w:tc>
        <w:tc>
          <w:tcPr>
            <w:tcW w:w="7705" w:type="dxa"/>
            <w:vAlign w:val="center"/>
          </w:tcPr>
          <w:p w14:paraId="774E1EC2" w14:textId="5EAAA015" w:rsidR="00444F79" w:rsidRPr="007F66A7" w:rsidRDefault="00444F79">
            <w:pPr>
              <w:pStyle w:val="COMTabletext"/>
            </w:pPr>
            <w:r w:rsidRPr="007F66A7">
              <w:t>Brentuximab vedotin in combination with doxorubicin, vinblastine and dacarbazine (A+AVD), for 6</w:t>
            </w:r>
            <w:r w:rsidR="00066D70" w:rsidRPr="007F66A7">
              <w:t xml:space="preserve"> × </w:t>
            </w:r>
            <w:r w:rsidRPr="007F66A7">
              <w:t>28-day cycles</w:t>
            </w:r>
          </w:p>
        </w:tc>
      </w:tr>
      <w:tr w:rsidR="00444F79" w:rsidRPr="007F66A7" w14:paraId="5E3A41C1" w14:textId="77777777">
        <w:tc>
          <w:tcPr>
            <w:tcW w:w="1451" w:type="dxa"/>
            <w:vAlign w:val="center"/>
          </w:tcPr>
          <w:p w14:paraId="72B3BBA9" w14:textId="77777777" w:rsidR="00444F79" w:rsidRPr="007F66A7" w:rsidRDefault="00444F79">
            <w:pPr>
              <w:pStyle w:val="COMTabletext"/>
            </w:pPr>
            <w:r w:rsidRPr="007F66A7">
              <w:t>Comparator</w:t>
            </w:r>
          </w:p>
        </w:tc>
        <w:tc>
          <w:tcPr>
            <w:tcW w:w="7705" w:type="dxa"/>
            <w:vAlign w:val="center"/>
          </w:tcPr>
          <w:p w14:paraId="74334644" w14:textId="77777777" w:rsidR="00444F79" w:rsidRPr="007F66A7" w:rsidRDefault="00444F79">
            <w:pPr>
              <w:pStyle w:val="COMTabletext"/>
              <w:rPr>
                <w:u w:val="single"/>
              </w:rPr>
            </w:pPr>
            <w:r w:rsidRPr="007F66A7">
              <w:rPr>
                <w:u w:val="single"/>
              </w:rPr>
              <w:t>Main comparator:</w:t>
            </w:r>
          </w:p>
          <w:p w14:paraId="6E1B92EA" w14:textId="7B4D76DC" w:rsidR="00444F79" w:rsidRPr="007F66A7" w:rsidRDefault="00444F79">
            <w:pPr>
              <w:pStyle w:val="COMTabletext"/>
            </w:pPr>
            <w:r w:rsidRPr="007F66A7">
              <w:t>PET-adapted ABVD regimen consisting of ABVD for the first 2</w:t>
            </w:r>
            <w:r w:rsidR="00066D70" w:rsidRPr="007F66A7">
              <w:t xml:space="preserve"> × </w:t>
            </w:r>
            <w:r w:rsidRPr="007F66A7">
              <w:t>28-day cycles followed by:</w:t>
            </w:r>
          </w:p>
          <w:p w14:paraId="32E010B9" w14:textId="54739EC0" w:rsidR="00444F79" w:rsidRPr="007F66A7" w:rsidRDefault="00444F79" w:rsidP="005D629C">
            <w:pPr>
              <w:pStyle w:val="COMTabletext"/>
              <w:numPr>
                <w:ilvl w:val="0"/>
                <w:numId w:val="7"/>
              </w:numPr>
            </w:pPr>
            <w:r w:rsidRPr="007F66A7">
              <w:t>AVD for a further 4</w:t>
            </w:r>
            <w:r w:rsidR="00066D70" w:rsidRPr="007F66A7">
              <w:t xml:space="preserve"> × </w:t>
            </w:r>
            <w:r w:rsidRPr="007F66A7">
              <w:t>28-day cycles in iPET2-negative patients, or</w:t>
            </w:r>
          </w:p>
          <w:p w14:paraId="58EE4A78" w14:textId="372EB6A7" w:rsidR="00444F79" w:rsidRPr="007F66A7" w:rsidRDefault="00444F79" w:rsidP="005D629C">
            <w:pPr>
              <w:pStyle w:val="COMTabletext"/>
              <w:numPr>
                <w:ilvl w:val="0"/>
                <w:numId w:val="7"/>
              </w:numPr>
            </w:pPr>
            <w:proofErr w:type="spellStart"/>
            <w:r w:rsidRPr="007F66A7">
              <w:t>eBEACOPP</w:t>
            </w:r>
            <w:proofErr w:type="spellEnd"/>
            <w:r w:rsidRPr="007F66A7">
              <w:t xml:space="preserve"> for a further 4</w:t>
            </w:r>
            <w:r w:rsidR="00066D70" w:rsidRPr="007F66A7">
              <w:t xml:space="preserve"> × </w:t>
            </w:r>
            <w:r w:rsidRPr="007F66A7">
              <w:t>21-day cycles in iPET2-positive patients</w:t>
            </w:r>
          </w:p>
          <w:p w14:paraId="48ABBF73" w14:textId="77777777" w:rsidR="00444F79" w:rsidRPr="007F66A7" w:rsidRDefault="00444F79">
            <w:pPr>
              <w:pStyle w:val="COMTabletext"/>
              <w:rPr>
                <w:sz w:val="6"/>
                <w:szCs w:val="6"/>
              </w:rPr>
            </w:pPr>
          </w:p>
          <w:p w14:paraId="7FDC8128" w14:textId="77777777" w:rsidR="00444F79" w:rsidRPr="007F66A7" w:rsidRDefault="00444F79">
            <w:pPr>
              <w:pStyle w:val="COMTabletext"/>
              <w:rPr>
                <w:strike/>
                <w:u w:val="single"/>
              </w:rPr>
            </w:pPr>
            <w:r w:rsidRPr="007F66A7">
              <w:rPr>
                <w:strike/>
                <w:u w:val="single"/>
              </w:rPr>
              <w:t>Supplementary comparator:</w:t>
            </w:r>
          </w:p>
          <w:p w14:paraId="4953C854" w14:textId="2F89E5C8" w:rsidR="00444F79" w:rsidRPr="007F66A7" w:rsidRDefault="00444F79">
            <w:pPr>
              <w:pStyle w:val="COMTabletext"/>
              <w:rPr>
                <w:strike/>
              </w:rPr>
            </w:pPr>
            <w:r w:rsidRPr="007F66A7">
              <w:rPr>
                <w:strike/>
              </w:rPr>
              <w:t xml:space="preserve">PET-adapted </w:t>
            </w:r>
            <w:proofErr w:type="spellStart"/>
            <w:r w:rsidRPr="007F66A7">
              <w:rPr>
                <w:strike/>
              </w:rPr>
              <w:t>eBEACOPP</w:t>
            </w:r>
            <w:proofErr w:type="spellEnd"/>
            <w:r w:rsidRPr="007F66A7">
              <w:rPr>
                <w:strike/>
              </w:rPr>
              <w:t xml:space="preserve"> regimen consisting of </w:t>
            </w:r>
            <w:proofErr w:type="spellStart"/>
            <w:r w:rsidRPr="007F66A7">
              <w:rPr>
                <w:strike/>
              </w:rPr>
              <w:t>eBEACOPP</w:t>
            </w:r>
            <w:proofErr w:type="spellEnd"/>
            <w:r w:rsidRPr="007F66A7">
              <w:rPr>
                <w:strike/>
              </w:rPr>
              <w:t xml:space="preserve"> for the first 2</w:t>
            </w:r>
            <w:r w:rsidR="00066D70" w:rsidRPr="007F66A7">
              <w:rPr>
                <w:strike/>
              </w:rPr>
              <w:t xml:space="preserve"> × </w:t>
            </w:r>
            <w:r w:rsidRPr="007F66A7">
              <w:rPr>
                <w:strike/>
              </w:rPr>
              <w:t>21-day cycles followed by:</w:t>
            </w:r>
          </w:p>
          <w:p w14:paraId="2E390E77" w14:textId="05C5E305" w:rsidR="00444F79" w:rsidRPr="007F66A7" w:rsidRDefault="00444F79" w:rsidP="005D629C">
            <w:pPr>
              <w:pStyle w:val="COMTabletext"/>
              <w:numPr>
                <w:ilvl w:val="0"/>
                <w:numId w:val="8"/>
              </w:numPr>
              <w:rPr>
                <w:strike/>
              </w:rPr>
            </w:pPr>
            <w:proofErr w:type="spellStart"/>
            <w:r w:rsidRPr="007F66A7">
              <w:rPr>
                <w:strike/>
              </w:rPr>
              <w:t>eBEACOPP</w:t>
            </w:r>
            <w:proofErr w:type="spellEnd"/>
            <w:r w:rsidRPr="007F66A7">
              <w:rPr>
                <w:strike/>
              </w:rPr>
              <w:t xml:space="preserve"> for a further 2</w:t>
            </w:r>
            <w:r w:rsidR="00066D70" w:rsidRPr="007F66A7">
              <w:rPr>
                <w:strike/>
              </w:rPr>
              <w:t xml:space="preserve"> × </w:t>
            </w:r>
            <w:r w:rsidRPr="007F66A7">
              <w:rPr>
                <w:strike/>
              </w:rPr>
              <w:t>21-day cycles or ABVD for 4</w:t>
            </w:r>
            <w:r w:rsidR="00066D70" w:rsidRPr="007F66A7">
              <w:rPr>
                <w:strike/>
              </w:rPr>
              <w:t xml:space="preserve"> × </w:t>
            </w:r>
            <w:r w:rsidRPr="007F66A7">
              <w:rPr>
                <w:strike/>
              </w:rPr>
              <w:t>28-day cycles in iPET2-negative patients, or</w:t>
            </w:r>
          </w:p>
          <w:p w14:paraId="5DECBDCD" w14:textId="6C538D4B" w:rsidR="00444F79" w:rsidRPr="007F66A7" w:rsidRDefault="00444F79" w:rsidP="005D629C">
            <w:pPr>
              <w:pStyle w:val="COMTabletext"/>
              <w:numPr>
                <w:ilvl w:val="0"/>
                <w:numId w:val="8"/>
              </w:numPr>
            </w:pPr>
            <w:proofErr w:type="spellStart"/>
            <w:r w:rsidRPr="007F66A7">
              <w:rPr>
                <w:strike/>
              </w:rPr>
              <w:t>eBEACOPP</w:t>
            </w:r>
            <w:proofErr w:type="spellEnd"/>
            <w:r w:rsidRPr="007F66A7">
              <w:rPr>
                <w:strike/>
              </w:rPr>
              <w:t xml:space="preserve"> for a further 4</w:t>
            </w:r>
            <w:r w:rsidR="00066D70" w:rsidRPr="007F66A7">
              <w:rPr>
                <w:strike/>
              </w:rPr>
              <w:t xml:space="preserve"> × </w:t>
            </w:r>
            <w:r w:rsidRPr="007F66A7">
              <w:rPr>
                <w:strike/>
              </w:rPr>
              <w:t>21-days cycles in iPET2-positive patients</w:t>
            </w:r>
          </w:p>
        </w:tc>
      </w:tr>
      <w:tr w:rsidR="00444F79" w:rsidRPr="007F66A7" w14:paraId="6A39D5AC" w14:textId="77777777">
        <w:tc>
          <w:tcPr>
            <w:tcW w:w="1451" w:type="dxa"/>
            <w:vAlign w:val="center"/>
          </w:tcPr>
          <w:p w14:paraId="7BF9729C" w14:textId="77777777" w:rsidR="00444F79" w:rsidRPr="007F66A7" w:rsidRDefault="00444F79">
            <w:pPr>
              <w:pStyle w:val="COMTabletext"/>
            </w:pPr>
            <w:r w:rsidRPr="007F66A7">
              <w:t>Outcomes</w:t>
            </w:r>
          </w:p>
        </w:tc>
        <w:tc>
          <w:tcPr>
            <w:tcW w:w="7705" w:type="dxa"/>
            <w:vAlign w:val="center"/>
          </w:tcPr>
          <w:p w14:paraId="2BAEC149" w14:textId="77777777" w:rsidR="00444F79" w:rsidRPr="007F66A7" w:rsidRDefault="00444F79">
            <w:pPr>
              <w:pStyle w:val="COMTabletext"/>
            </w:pPr>
            <w:r w:rsidRPr="007F66A7">
              <w:t>Improved modified progression-free survival, overall survival, and health-related quality of life</w:t>
            </w:r>
          </w:p>
        </w:tc>
      </w:tr>
      <w:tr w:rsidR="00444F79" w:rsidRPr="007F66A7" w14:paraId="23203BC8" w14:textId="77777777">
        <w:tc>
          <w:tcPr>
            <w:tcW w:w="1451" w:type="dxa"/>
            <w:vAlign w:val="center"/>
          </w:tcPr>
          <w:p w14:paraId="47C7249D" w14:textId="77777777" w:rsidR="00444F79" w:rsidRPr="007F66A7" w:rsidRDefault="00444F79">
            <w:pPr>
              <w:pStyle w:val="COMTabletext"/>
            </w:pPr>
            <w:r w:rsidRPr="007F66A7">
              <w:t>Clinical claim</w:t>
            </w:r>
          </w:p>
        </w:tc>
        <w:tc>
          <w:tcPr>
            <w:tcW w:w="7705" w:type="dxa"/>
            <w:vAlign w:val="center"/>
          </w:tcPr>
          <w:p w14:paraId="3DD481EA" w14:textId="77777777" w:rsidR="00444F79" w:rsidRPr="007F66A7" w:rsidRDefault="00444F79">
            <w:pPr>
              <w:pStyle w:val="COMTabletext"/>
            </w:pPr>
            <w:r w:rsidRPr="007F66A7">
              <w:t>A+AVD is superior in terms of efficacy but inferior in terms of safety compared to PET-adapted ABVD</w:t>
            </w:r>
          </w:p>
          <w:p w14:paraId="1C88B08C" w14:textId="77777777" w:rsidR="00444F79" w:rsidRPr="007F66A7" w:rsidRDefault="00444F79">
            <w:pPr>
              <w:pStyle w:val="COMTabletext"/>
              <w:rPr>
                <w:sz w:val="6"/>
                <w:szCs w:val="6"/>
              </w:rPr>
            </w:pPr>
          </w:p>
          <w:p w14:paraId="42E9A9B9" w14:textId="77777777" w:rsidR="00444F79" w:rsidRPr="007F66A7" w:rsidRDefault="00444F79">
            <w:pPr>
              <w:pStyle w:val="COMTabletext"/>
              <w:rPr>
                <w:strike/>
              </w:rPr>
            </w:pPr>
            <w:r w:rsidRPr="007F66A7">
              <w:rPr>
                <w:strike/>
              </w:rPr>
              <w:t xml:space="preserve">No clinical claim was made in terms of efficacy for A+AVD versus PET-adapted </w:t>
            </w:r>
            <w:proofErr w:type="spellStart"/>
            <w:r w:rsidRPr="007F66A7">
              <w:rPr>
                <w:strike/>
              </w:rPr>
              <w:t>eBEACOPP</w:t>
            </w:r>
            <w:proofErr w:type="spellEnd"/>
          </w:p>
          <w:p w14:paraId="19210742" w14:textId="77777777" w:rsidR="00444F79" w:rsidRPr="007F66A7" w:rsidRDefault="00444F79">
            <w:pPr>
              <w:pStyle w:val="COMTabletext"/>
            </w:pPr>
            <w:r w:rsidRPr="007F66A7">
              <w:rPr>
                <w:strike/>
              </w:rPr>
              <w:t xml:space="preserve">A+AVD is superior in terms of safety compared to PET-adapted </w:t>
            </w:r>
            <w:proofErr w:type="spellStart"/>
            <w:r w:rsidRPr="007F66A7">
              <w:rPr>
                <w:strike/>
              </w:rPr>
              <w:t>eBEACOPP</w:t>
            </w:r>
            <w:proofErr w:type="spellEnd"/>
          </w:p>
        </w:tc>
      </w:tr>
    </w:tbl>
    <w:p w14:paraId="26A2221A" w14:textId="77777777" w:rsidR="00444F79" w:rsidRPr="007F66A7" w:rsidRDefault="00444F79" w:rsidP="00444F79">
      <w:pPr>
        <w:pStyle w:val="COMTablefooter"/>
        <w:keepNext/>
      </w:pPr>
      <w:r w:rsidRPr="007F66A7">
        <w:t>Source: Table 1.1, p4 of the resubmission</w:t>
      </w:r>
    </w:p>
    <w:p w14:paraId="35030CFF" w14:textId="77777777" w:rsidR="00444F79" w:rsidRPr="007F66A7" w:rsidRDefault="00444F79" w:rsidP="00444F79">
      <w:pPr>
        <w:pStyle w:val="COMTablefooter"/>
        <w:keepNext/>
      </w:pPr>
      <w:r w:rsidRPr="007F66A7">
        <w:t xml:space="preserve">Abbreviations: ABVD, doxorubicin, bleomycin, vinblastine and dacarbazine; AVD, doxorubicin, vinblastine and dacarbazine; </w:t>
      </w:r>
      <w:proofErr w:type="spellStart"/>
      <w:r w:rsidRPr="007F66A7">
        <w:t>eBEACOPP</w:t>
      </w:r>
      <w:proofErr w:type="spellEnd"/>
      <w:r w:rsidRPr="007F66A7">
        <w:t>, escalated bleomycin, etoposide, doxorubicin, cyclophosphamide, vincristine, procarbazine, and prednisolone; iPET2, interim positron emission tomography after 2 cycles of chemotherapy; PET, positron emission tomography</w:t>
      </w:r>
    </w:p>
    <w:p w14:paraId="10089DC0" w14:textId="5479DA8F" w:rsidR="00A93BEB" w:rsidRPr="007F66A7" w:rsidRDefault="00444F79" w:rsidP="00444F79">
      <w:pPr>
        <w:pStyle w:val="COMTablefooter"/>
        <w:keepNext/>
      </w:pPr>
      <w:r w:rsidRPr="007F66A7">
        <w:t>Note</w:t>
      </w:r>
      <w:r w:rsidR="00A93BEB" w:rsidRPr="007F66A7">
        <w:t xml:space="preserve"> 1</w:t>
      </w:r>
      <w:r w:rsidRPr="007F66A7">
        <w:t xml:space="preserve">: </w:t>
      </w:r>
      <w:r w:rsidR="00A93BEB" w:rsidRPr="007F66A7">
        <w:t xml:space="preserve">Key changes compared to the March 2024 submission </w:t>
      </w:r>
      <w:r w:rsidR="007E5E90" w:rsidRPr="007F66A7">
        <w:t xml:space="preserve">are marked using </w:t>
      </w:r>
      <w:r w:rsidR="007E5E90" w:rsidRPr="007F66A7">
        <w:rPr>
          <w:strike/>
        </w:rPr>
        <w:t>strikethrough</w:t>
      </w:r>
    </w:p>
    <w:p w14:paraId="51166C66" w14:textId="44C280F0" w:rsidR="00444F79" w:rsidRPr="007F66A7" w:rsidRDefault="00A93BEB" w:rsidP="00444F79">
      <w:pPr>
        <w:pStyle w:val="COMTablefooter"/>
        <w:keepNext/>
      </w:pPr>
      <w:r w:rsidRPr="007F66A7">
        <w:t xml:space="preserve">Note 2: </w:t>
      </w:r>
      <w:r w:rsidR="00444F79" w:rsidRPr="007F66A7">
        <w:t xml:space="preserve">Australian guidelines (Cochrane 2021) note that trial definitions of response based on the iPET2 may differ. The cut-off for negative iPET2 is based on a Deauville Score (5-point scale) of either ≤2 or ≤3. </w:t>
      </w:r>
    </w:p>
    <w:p w14:paraId="6B4AB6C2" w14:textId="7F01D731" w:rsidR="005C25FF" w:rsidRPr="007F66A7" w:rsidRDefault="005C25FF" w:rsidP="004A6040">
      <w:pPr>
        <w:pStyle w:val="COMH1-numbered"/>
      </w:pPr>
      <w:bookmarkStart w:id="1" w:name="_Toc198653234"/>
      <w:r w:rsidRPr="007F66A7">
        <w:t>Background</w:t>
      </w:r>
      <w:bookmarkEnd w:id="1"/>
    </w:p>
    <w:p w14:paraId="2C521D6D" w14:textId="78CF03EE" w:rsidR="005C25FF" w:rsidRPr="007F66A7" w:rsidRDefault="005C25FF" w:rsidP="003D5DE7">
      <w:pPr>
        <w:pStyle w:val="COMH2-non-numbered"/>
      </w:pPr>
      <w:bookmarkStart w:id="2" w:name="_Toc22897638"/>
      <w:bookmarkStart w:id="3" w:name="_Toc198653235"/>
      <w:r w:rsidRPr="007F66A7">
        <w:t>Registration status</w:t>
      </w:r>
      <w:bookmarkEnd w:id="2"/>
      <w:bookmarkEnd w:id="3"/>
    </w:p>
    <w:p w14:paraId="5374AD55" w14:textId="4C988782" w:rsidR="005C25FF" w:rsidRPr="007F66A7" w:rsidRDefault="00A938DD" w:rsidP="00E76847">
      <w:pPr>
        <w:pStyle w:val="COMexecsummnumbered"/>
        <w:rPr>
          <w:bCs/>
        </w:rPr>
      </w:pPr>
      <w:r w:rsidRPr="007F66A7">
        <w:rPr>
          <w:bCs/>
        </w:rPr>
        <w:t>The TGA approved brentuximab vedotin in May 2024 for the treatment of adult patients with previously untreated CD30+ advanced Hodgkin lymphoma in combination with doxorubicin, vinblastine, and dacarbazine (AVD).</w:t>
      </w:r>
      <w:r w:rsidR="00D43D83" w:rsidRPr="007F66A7">
        <w:rPr>
          <w:bCs/>
        </w:rPr>
        <w:t xml:space="preserve"> </w:t>
      </w:r>
    </w:p>
    <w:p w14:paraId="117A8FBF" w14:textId="111ED6A3" w:rsidR="00B411D3" w:rsidRPr="007F66A7" w:rsidRDefault="00B411D3" w:rsidP="00B411D3">
      <w:pPr>
        <w:pStyle w:val="COMexecsummnumbered"/>
        <w:rPr>
          <w:snapToGrid w:val="0"/>
        </w:rPr>
      </w:pPr>
      <w:r w:rsidRPr="007F66A7">
        <w:rPr>
          <w:snapToGrid w:val="0"/>
        </w:rPr>
        <w:t xml:space="preserve">Brentuximab vedotin is </w:t>
      </w:r>
      <w:r w:rsidR="00172DC9" w:rsidRPr="007F66A7">
        <w:rPr>
          <w:snapToGrid w:val="0"/>
        </w:rPr>
        <w:t xml:space="preserve">also </w:t>
      </w:r>
      <w:r w:rsidRPr="007F66A7">
        <w:rPr>
          <w:snapToGrid w:val="0"/>
        </w:rPr>
        <w:t>TGA-approved for the following indications:</w:t>
      </w:r>
    </w:p>
    <w:p w14:paraId="25E94018" w14:textId="77777777" w:rsidR="00B411D3" w:rsidRPr="007F66A7" w:rsidRDefault="00B411D3" w:rsidP="005D629C">
      <w:pPr>
        <w:pStyle w:val="COMexecsummbulletlist"/>
        <w:numPr>
          <w:ilvl w:val="0"/>
          <w:numId w:val="5"/>
        </w:numPr>
        <w:spacing w:after="0"/>
        <w:ind w:left="1134" w:hanging="357"/>
      </w:pPr>
      <w:r w:rsidRPr="007F66A7">
        <w:t>Hodgkin lymphoma</w:t>
      </w:r>
    </w:p>
    <w:p w14:paraId="004CAAEB" w14:textId="77777777" w:rsidR="00B411D3" w:rsidRPr="007F66A7" w:rsidRDefault="00B411D3" w:rsidP="005D629C">
      <w:pPr>
        <w:pStyle w:val="ListParagraph"/>
        <w:numPr>
          <w:ilvl w:val="1"/>
          <w:numId w:val="11"/>
        </w:numPr>
        <w:spacing w:after="0"/>
      </w:pPr>
      <w:r w:rsidRPr="007F66A7">
        <w:t>Treatment of adult patients with CD30+ Hodgkin lymphoma at higher risk of relapse or progression following ASCT.</w:t>
      </w:r>
    </w:p>
    <w:p w14:paraId="1845B6D1" w14:textId="77777777" w:rsidR="00B411D3" w:rsidRPr="007F66A7" w:rsidRDefault="00B411D3" w:rsidP="005D629C">
      <w:pPr>
        <w:pStyle w:val="ListParagraph"/>
        <w:numPr>
          <w:ilvl w:val="1"/>
          <w:numId w:val="11"/>
        </w:numPr>
        <w:spacing w:after="0"/>
      </w:pPr>
      <w:r w:rsidRPr="007F66A7">
        <w:t>Treatment of adult patients with relapsed or refractory CD30+ Hodgkin lymphoma following ASCT; or following at least 2 prior therapies when ASCT or multi-agent chemotherapy is not a treatment option.</w:t>
      </w:r>
    </w:p>
    <w:p w14:paraId="4583214E" w14:textId="77777777" w:rsidR="00B411D3" w:rsidRPr="007F66A7" w:rsidRDefault="00B411D3" w:rsidP="005D629C">
      <w:pPr>
        <w:pStyle w:val="COMexecsummbulletlist"/>
        <w:numPr>
          <w:ilvl w:val="0"/>
          <w:numId w:val="5"/>
        </w:numPr>
        <w:spacing w:after="0"/>
        <w:ind w:left="1134" w:hanging="357"/>
      </w:pPr>
      <w:r w:rsidRPr="007F66A7">
        <w:t>Peripheral T-cell lymphoma</w:t>
      </w:r>
    </w:p>
    <w:p w14:paraId="52A18A14" w14:textId="77777777" w:rsidR="00B411D3" w:rsidRPr="007F66A7" w:rsidRDefault="00B411D3" w:rsidP="005D629C">
      <w:pPr>
        <w:pStyle w:val="COMexecsummbulletlist"/>
        <w:numPr>
          <w:ilvl w:val="1"/>
          <w:numId w:val="12"/>
        </w:numPr>
        <w:spacing w:after="0"/>
      </w:pPr>
      <w:r w:rsidRPr="007F66A7">
        <w:t>Treatment of adult patients with previously untreated CD30+ peripheral T-cell lymphoma in combination with cyclophosphamide, doxorubicin and prednisone.</w:t>
      </w:r>
    </w:p>
    <w:p w14:paraId="1A3AFE08" w14:textId="77777777" w:rsidR="00B411D3" w:rsidRPr="007F66A7" w:rsidRDefault="00B411D3" w:rsidP="005D629C">
      <w:pPr>
        <w:pStyle w:val="COMexecsummbulletlist"/>
        <w:numPr>
          <w:ilvl w:val="1"/>
          <w:numId w:val="12"/>
        </w:numPr>
        <w:spacing w:after="0"/>
      </w:pPr>
      <w:r w:rsidRPr="007F66A7">
        <w:t>Treatment of adult patients with relapsed or refractory systemic anaplastic large cell lymphoma.</w:t>
      </w:r>
    </w:p>
    <w:p w14:paraId="6430276F" w14:textId="77777777" w:rsidR="00B411D3" w:rsidRPr="007F66A7" w:rsidRDefault="00B411D3" w:rsidP="005D629C">
      <w:pPr>
        <w:pStyle w:val="COMexecsummbulletlist"/>
        <w:numPr>
          <w:ilvl w:val="0"/>
          <w:numId w:val="5"/>
        </w:numPr>
        <w:spacing w:after="0"/>
        <w:ind w:left="1134" w:hanging="357"/>
      </w:pPr>
      <w:r w:rsidRPr="007F66A7">
        <w:t>Cutaneous T-cell lymphoma</w:t>
      </w:r>
    </w:p>
    <w:p w14:paraId="7D9AC672" w14:textId="45C4D3C7" w:rsidR="00A938DD" w:rsidRPr="007F66A7" w:rsidRDefault="00B411D3" w:rsidP="005D629C">
      <w:pPr>
        <w:pStyle w:val="COMexecsummbulletlist"/>
        <w:numPr>
          <w:ilvl w:val="1"/>
          <w:numId w:val="13"/>
        </w:numPr>
        <w:spacing w:after="0"/>
      </w:pPr>
      <w:r w:rsidRPr="007F66A7">
        <w:lastRenderedPageBreak/>
        <w:t>Treatment of adult patients with CD30+ cutaneous T-cell lymphoma after at least 1 prior systemic therapy.</w:t>
      </w:r>
    </w:p>
    <w:p w14:paraId="73AE2A0C" w14:textId="2296EB5B" w:rsidR="009334B6" w:rsidRPr="007F66A7" w:rsidRDefault="009334B6" w:rsidP="009334B6">
      <w:pPr>
        <w:pStyle w:val="COMexecsummnumbered"/>
        <w:rPr>
          <w:i/>
          <w:iCs/>
        </w:rPr>
      </w:pPr>
      <w:r w:rsidRPr="007F66A7">
        <w:t>Brentuximab vedotin is currently under TGA evaluation for the treatment of adult patients with previously untreated CD30+ Stage IIb with risk factors, Stage III or Stage IV Hodgkin lymphoma in combination with etoposide, cyclophosphamide, doxorubicin, dacarbazine, dexamethasone (</w:t>
      </w:r>
      <w:proofErr w:type="spellStart"/>
      <w:r w:rsidRPr="007F66A7">
        <w:t>BrECADD</w:t>
      </w:r>
      <w:proofErr w:type="spellEnd"/>
      <w:r w:rsidRPr="007F66A7">
        <w:t>). The TGA Delegate’s overview is expected in November 2025 and an A</w:t>
      </w:r>
      <w:r w:rsidR="00022B71">
        <w:t xml:space="preserve">dvisory </w:t>
      </w:r>
      <w:r w:rsidRPr="007F66A7">
        <w:t>C</w:t>
      </w:r>
      <w:r w:rsidR="00022B71">
        <w:t xml:space="preserve">ommittee on </w:t>
      </w:r>
      <w:r w:rsidRPr="007F66A7">
        <w:t>M</w:t>
      </w:r>
      <w:r w:rsidR="00022B71">
        <w:t>edicines (ACM) meeting</w:t>
      </w:r>
      <w:r w:rsidRPr="007F66A7">
        <w:t xml:space="preserve"> if needed in December 2025. </w:t>
      </w:r>
    </w:p>
    <w:p w14:paraId="3E2A6EAB" w14:textId="469C8C0C" w:rsidR="005C25FF" w:rsidRPr="007F66A7" w:rsidRDefault="005C25FF" w:rsidP="003D5DE7">
      <w:pPr>
        <w:pStyle w:val="COMH2-non-numbered"/>
      </w:pPr>
      <w:bookmarkStart w:id="4" w:name="_Toc22897639"/>
      <w:bookmarkStart w:id="5" w:name="_Toc198653236"/>
      <w:r w:rsidRPr="007F66A7">
        <w:t>Previous PBAC consideration</w:t>
      </w:r>
      <w:bookmarkEnd w:id="4"/>
      <w:bookmarkEnd w:id="5"/>
    </w:p>
    <w:p w14:paraId="78DEB730" w14:textId="07E36616" w:rsidR="00582EBB" w:rsidRPr="007F66A7" w:rsidRDefault="00E14FD1" w:rsidP="00582EBB">
      <w:pPr>
        <w:pStyle w:val="COMexecsummnumbered"/>
      </w:pPr>
      <w:bookmarkStart w:id="6" w:name="_Hlk193204704"/>
      <w:r w:rsidRPr="007F66A7">
        <w:t xml:space="preserve">The sponsor presented a </w:t>
      </w:r>
      <w:r w:rsidR="00B52F5A" w:rsidRPr="007F66A7">
        <w:t xml:space="preserve">Category 2 submission to the March 2024 PBAC meeting requesting a </w:t>
      </w:r>
      <w:r w:rsidR="00582EBB" w:rsidRPr="007F66A7">
        <w:t xml:space="preserve">Section 100 (Efficient Funding of Chemotherapy), Authority Required (Telephone/Online) listing for the </w:t>
      </w:r>
      <w:r w:rsidR="009B0496" w:rsidRPr="007F66A7">
        <w:t>first-line</w:t>
      </w:r>
      <w:r w:rsidR="00582EBB" w:rsidRPr="007F66A7">
        <w:t xml:space="preserve"> treatment of advanced classical Hodgkin lymphoma.</w:t>
      </w:r>
    </w:p>
    <w:p w14:paraId="0DB0DE55" w14:textId="7DC35D95" w:rsidR="00C312BB" w:rsidRPr="007F66A7" w:rsidRDefault="005A28CC" w:rsidP="002A7E9B">
      <w:pPr>
        <w:pStyle w:val="COMexecsummnumbered"/>
      </w:pPr>
      <w:r>
        <w:t>In July 2024, t</w:t>
      </w:r>
      <w:r w:rsidR="00E86157" w:rsidRPr="007F66A7">
        <w:t xml:space="preserve">he PBAC did not recommend </w:t>
      </w:r>
      <w:r w:rsidR="006F4C6A" w:rsidRPr="007F66A7">
        <w:t xml:space="preserve">brentuximab vedotin, in combination with doxorubicin, vinblastine and dacarbazine (A+AVD), for the </w:t>
      </w:r>
      <w:r w:rsidR="009B0496" w:rsidRPr="007F66A7">
        <w:t>first-line</w:t>
      </w:r>
      <w:r w:rsidR="006F4C6A" w:rsidRPr="007F66A7">
        <w:t xml:space="preserve"> treatment of advanced classical Hodgkin lymphoma. The PBAC considered the availability of alternative treatment options reduced the clinical need for A+AVD. The PBAC advised that the claim of superior effectiveness compared to PET-adapted </w:t>
      </w:r>
      <w:r w:rsidR="00470D35" w:rsidRPr="007F66A7">
        <w:t>ABVD</w:t>
      </w:r>
      <w:r w:rsidR="006F4C6A" w:rsidRPr="007F66A7">
        <w:t xml:space="preserve"> was highly uncertain due to the indirect evidence presented and the high level of censoring in the key trial evidence, but considered it was likely reasonable. In addition, the PBAC considered the economic model structure used in the submission resulted in an incremental cost effectiveness ratio (ICER) that was highly uncertain and advised that the cost-effectiveness of A+AVD was unable to be reliably assessed</w:t>
      </w:r>
      <w:r w:rsidR="00F57869" w:rsidRPr="007F66A7">
        <w:t xml:space="preserve"> (para 7.1, brentuximab vedotin </w:t>
      </w:r>
      <w:r w:rsidR="006E34E9">
        <w:t>Public Summary Document (</w:t>
      </w:r>
      <w:r w:rsidR="00F57869" w:rsidRPr="007F66A7">
        <w:t>PSD</w:t>
      </w:r>
      <w:r w:rsidR="006E34E9">
        <w:t>)</w:t>
      </w:r>
      <w:r w:rsidR="00F57869" w:rsidRPr="007F66A7">
        <w:t>, March 2024 PBAC meeting).</w:t>
      </w:r>
    </w:p>
    <w:p w14:paraId="4D3F0125" w14:textId="736449DD" w:rsidR="00F57869" w:rsidRPr="007F66A7" w:rsidRDefault="00F57869" w:rsidP="002A7E9B">
      <w:pPr>
        <w:pStyle w:val="COMexecsummnumbered"/>
      </w:pPr>
      <w:r w:rsidRPr="007F66A7">
        <w:t>The PBAC considered the primary reason for this outcome was due to the economic evaluation provided (para 7.2, brentuximab vedotin PSD, March 2024 PBAC meeting).</w:t>
      </w:r>
    </w:p>
    <w:bookmarkEnd w:id="6"/>
    <w:p w14:paraId="3AC4C76E" w14:textId="0B796ECF" w:rsidR="005C25FF" w:rsidRPr="007F66A7" w:rsidRDefault="00416584" w:rsidP="002A7E9B">
      <w:pPr>
        <w:pStyle w:val="COMexecsummnumbered"/>
      </w:pPr>
      <w:r w:rsidRPr="007F66A7">
        <w:fldChar w:fldCharType="begin"/>
      </w:r>
      <w:r w:rsidRPr="007F66A7">
        <w:instrText xml:space="preserve"> REF _Ref193181469 \h </w:instrText>
      </w:r>
      <w:r w:rsidRPr="007F66A7">
        <w:fldChar w:fldCharType="separate"/>
      </w:r>
      <w:r w:rsidR="00293B06" w:rsidRPr="007F66A7">
        <w:t xml:space="preserve">Table </w:t>
      </w:r>
      <w:r w:rsidR="00293B06">
        <w:rPr>
          <w:noProof/>
        </w:rPr>
        <w:t>2</w:t>
      </w:r>
      <w:r w:rsidRPr="007F66A7">
        <w:fldChar w:fldCharType="end"/>
      </w:r>
      <w:r w:rsidR="002A7E9B" w:rsidRPr="007F66A7">
        <w:t xml:space="preserve"> summarises the key matters of concern identified </w:t>
      </w:r>
      <w:r w:rsidRPr="007F66A7">
        <w:t>at the March 2024 PBAC meeting and how these were addressed in the resubmission.</w:t>
      </w:r>
    </w:p>
    <w:p w14:paraId="2A23A49F" w14:textId="6F8AE90B" w:rsidR="005C25FF" w:rsidRPr="007F66A7" w:rsidRDefault="00696EF9" w:rsidP="00DB516A">
      <w:pPr>
        <w:pStyle w:val="COMtablefigcaption"/>
      </w:pPr>
      <w:bookmarkStart w:id="7" w:name="_Ref193181469"/>
      <w:r w:rsidRPr="007F66A7">
        <w:lastRenderedPageBreak/>
        <w:t xml:space="preserve">Table </w:t>
      </w:r>
      <w:r w:rsidR="006A25C4">
        <w:fldChar w:fldCharType="begin"/>
      </w:r>
      <w:r w:rsidR="006A25C4">
        <w:instrText xml:space="preserve"> SEQ Table \* ARABIC </w:instrText>
      </w:r>
      <w:r w:rsidR="006A25C4">
        <w:fldChar w:fldCharType="separate"/>
      </w:r>
      <w:r w:rsidR="00293B06">
        <w:rPr>
          <w:noProof/>
        </w:rPr>
        <w:t>2</w:t>
      </w:r>
      <w:r w:rsidR="006A25C4">
        <w:fldChar w:fldCharType="end"/>
      </w:r>
      <w:bookmarkEnd w:id="7"/>
      <w:r w:rsidRPr="007F66A7">
        <w:t>:</w:t>
      </w:r>
      <w:r w:rsidR="005C25FF" w:rsidRPr="007F66A7">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4508"/>
        <w:gridCol w:w="4509"/>
      </w:tblGrid>
      <w:tr w:rsidR="00416584" w:rsidRPr="007F66A7" w14:paraId="6747F8E1" w14:textId="77777777" w:rsidTr="00416584">
        <w:trPr>
          <w:cantSplit/>
          <w:tblHeader/>
        </w:trPr>
        <w:tc>
          <w:tcPr>
            <w:tcW w:w="2500" w:type="pct"/>
            <w:vAlign w:val="center"/>
          </w:tcPr>
          <w:p w14:paraId="2B7F3F42" w14:textId="77777777" w:rsidR="00416584" w:rsidRPr="007F66A7" w:rsidRDefault="00416584" w:rsidP="00DB516A">
            <w:pPr>
              <w:pStyle w:val="COMTableheadingrow"/>
              <w:widowControl w:val="0"/>
              <w:rPr>
                <w:lang w:val="en-AU"/>
              </w:rPr>
            </w:pPr>
            <w:r w:rsidRPr="007F66A7">
              <w:rPr>
                <w:lang w:val="en-AU"/>
              </w:rPr>
              <w:t>Matter of concern</w:t>
            </w:r>
          </w:p>
        </w:tc>
        <w:tc>
          <w:tcPr>
            <w:tcW w:w="2500" w:type="pct"/>
            <w:vAlign w:val="center"/>
          </w:tcPr>
          <w:p w14:paraId="4BAA81F2" w14:textId="77777777" w:rsidR="00416584" w:rsidRPr="007F66A7" w:rsidRDefault="00416584" w:rsidP="00DB516A">
            <w:pPr>
              <w:pStyle w:val="COMTableheadingrow"/>
              <w:widowControl w:val="0"/>
              <w:rPr>
                <w:lang w:val="en-AU"/>
              </w:rPr>
            </w:pPr>
            <w:r w:rsidRPr="007F66A7">
              <w:rPr>
                <w:lang w:val="en-AU"/>
              </w:rPr>
              <w:t>How the resubmission addresses it</w:t>
            </w:r>
          </w:p>
        </w:tc>
      </w:tr>
      <w:tr w:rsidR="00EC4604" w:rsidRPr="007F66A7" w14:paraId="12E6A50B" w14:textId="77777777" w:rsidTr="00EC4604">
        <w:trPr>
          <w:cantSplit/>
        </w:trPr>
        <w:tc>
          <w:tcPr>
            <w:tcW w:w="5000" w:type="pct"/>
            <w:gridSpan w:val="2"/>
          </w:tcPr>
          <w:p w14:paraId="7D1B144C" w14:textId="3B4A4C00" w:rsidR="00EC4604" w:rsidRPr="007F66A7" w:rsidRDefault="00EC4604" w:rsidP="00DB516A">
            <w:pPr>
              <w:pStyle w:val="COMTableheadingrow"/>
              <w:widowControl w:val="0"/>
              <w:rPr>
                <w:lang w:val="en-AU"/>
              </w:rPr>
            </w:pPr>
            <w:r w:rsidRPr="007F66A7">
              <w:rPr>
                <w:lang w:val="en-AU"/>
              </w:rPr>
              <w:t>Economic evaluation</w:t>
            </w:r>
          </w:p>
        </w:tc>
      </w:tr>
      <w:tr w:rsidR="00416584" w:rsidRPr="007F66A7" w14:paraId="228F2BA8" w14:textId="77777777" w:rsidTr="00416584">
        <w:trPr>
          <w:cantSplit/>
        </w:trPr>
        <w:tc>
          <w:tcPr>
            <w:tcW w:w="2500" w:type="pct"/>
          </w:tcPr>
          <w:p w14:paraId="4F817F43" w14:textId="39408513" w:rsidR="00B64F8A" w:rsidRPr="007F66A7" w:rsidRDefault="00C640FE" w:rsidP="00B64F8A">
            <w:pPr>
              <w:pStyle w:val="COMTabletext"/>
              <w:keepNext w:val="0"/>
              <w:widowControl w:val="0"/>
              <w:rPr>
                <w:snapToGrid w:val="0"/>
              </w:rPr>
            </w:pPr>
            <w:r w:rsidRPr="007F66A7">
              <w:rPr>
                <w:snapToGrid w:val="0"/>
              </w:rPr>
              <w:t>The</w:t>
            </w:r>
            <w:r w:rsidR="008C2B7C" w:rsidRPr="007F66A7">
              <w:rPr>
                <w:snapToGrid w:val="0"/>
              </w:rPr>
              <w:t xml:space="preserve"> submission presented a cost-utility analysis of A+AVD versus PET-adapted ABVD</w:t>
            </w:r>
            <w:r w:rsidR="00C51DA0" w:rsidRPr="007F66A7">
              <w:rPr>
                <w:snapToGrid w:val="0"/>
              </w:rPr>
              <w:t xml:space="preserve"> based on the ECHELON-1 trial of A+AVD versus non-PET-adapted ABVD. The PBAC considered the use of </w:t>
            </w:r>
            <w:r w:rsidR="00377108" w:rsidRPr="007F66A7">
              <w:rPr>
                <w:snapToGrid w:val="0"/>
              </w:rPr>
              <w:t>the ABVD arm from the ECHELON-1 trial as a proxy for the efficacy of PET-adapted ABVD was uncertain (para 7.11, brentuximab vedotin PSD, March 2024 PBAC meeting).</w:t>
            </w:r>
          </w:p>
        </w:tc>
        <w:tc>
          <w:tcPr>
            <w:tcW w:w="2500" w:type="pct"/>
          </w:tcPr>
          <w:p w14:paraId="7011A338" w14:textId="25665325" w:rsidR="00EA2D6F" w:rsidRPr="007F66A7" w:rsidRDefault="00F92E79" w:rsidP="001E6863">
            <w:pPr>
              <w:pStyle w:val="COMTabletext"/>
              <w:keepNext w:val="0"/>
              <w:widowControl w:val="0"/>
              <w:spacing w:after="120"/>
              <w:rPr>
                <w:snapToGrid w:val="0"/>
              </w:rPr>
            </w:pPr>
            <w:r w:rsidRPr="007F66A7">
              <w:rPr>
                <w:snapToGrid w:val="0"/>
              </w:rPr>
              <w:t xml:space="preserve">The resubmission </w:t>
            </w:r>
            <w:r w:rsidR="008D7F23" w:rsidRPr="007F66A7">
              <w:rPr>
                <w:snapToGrid w:val="0"/>
              </w:rPr>
              <w:t xml:space="preserve">argued that the ABVD arm in the ECHELON-1 trial is a reasonable proxy for PET-adapted ABVD </w:t>
            </w:r>
            <w:r w:rsidR="00C2458B" w:rsidRPr="007F66A7">
              <w:rPr>
                <w:snapToGrid w:val="0"/>
              </w:rPr>
              <w:t xml:space="preserve">given </w:t>
            </w:r>
            <w:r w:rsidR="00D920D1" w:rsidRPr="007F66A7">
              <w:rPr>
                <w:snapToGrid w:val="0"/>
              </w:rPr>
              <w:t>most patients</w:t>
            </w:r>
            <w:r w:rsidR="005F18F0" w:rsidRPr="007F66A7">
              <w:rPr>
                <w:snapToGrid w:val="0"/>
              </w:rPr>
              <w:t xml:space="preserve"> in the trial </w:t>
            </w:r>
            <w:r w:rsidR="00D82410" w:rsidRPr="007F66A7">
              <w:rPr>
                <w:snapToGrid w:val="0"/>
              </w:rPr>
              <w:t xml:space="preserve">had a negative interim </w:t>
            </w:r>
            <w:r w:rsidR="003A214E" w:rsidRPr="007F66A7">
              <w:rPr>
                <w:snapToGrid w:val="0"/>
              </w:rPr>
              <w:t>PET</w:t>
            </w:r>
            <w:r w:rsidR="00D82410" w:rsidRPr="007F66A7">
              <w:rPr>
                <w:snapToGrid w:val="0"/>
              </w:rPr>
              <w:t xml:space="preserve"> after 2 cycles of chemotherapy (iPET2) and </w:t>
            </w:r>
            <w:r w:rsidR="002B482E" w:rsidRPr="007F66A7">
              <w:rPr>
                <w:snapToGrid w:val="0"/>
              </w:rPr>
              <w:t xml:space="preserve">that </w:t>
            </w:r>
            <w:r w:rsidR="006541DF" w:rsidRPr="007F66A7">
              <w:rPr>
                <w:snapToGrid w:val="0"/>
              </w:rPr>
              <w:t>only some patients who are</w:t>
            </w:r>
            <w:r w:rsidR="002B482E" w:rsidRPr="007F66A7">
              <w:rPr>
                <w:snapToGrid w:val="0"/>
              </w:rPr>
              <w:t xml:space="preserve"> positive at iPET2 will escalate to </w:t>
            </w:r>
            <w:proofErr w:type="spellStart"/>
            <w:r w:rsidR="002B482E" w:rsidRPr="007F66A7">
              <w:rPr>
                <w:snapToGrid w:val="0"/>
              </w:rPr>
              <w:t>eBEACOPP</w:t>
            </w:r>
            <w:proofErr w:type="spellEnd"/>
            <w:r w:rsidR="002B482E" w:rsidRPr="007F66A7">
              <w:rPr>
                <w:snapToGrid w:val="0"/>
              </w:rPr>
              <w:t xml:space="preserve"> in clinical practice </w:t>
            </w:r>
            <w:r w:rsidR="006541DF" w:rsidRPr="007F66A7">
              <w:rPr>
                <w:snapToGrid w:val="0"/>
              </w:rPr>
              <w:t>due to</w:t>
            </w:r>
            <w:r w:rsidR="002B482E" w:rsidRPr="007F66A7">
              <w:rPr>
                <w:snapToGrid w:val="0"/>
              </w:rPr>
              <w:t xml:space="preserve"> tolerability concerns. </w:t>
            </w:r>
          </w:p>
          <w:p w14:paraId="35FC13C5" w14:textId="3A597DE1" w:rsidR="00EA2D6F" w:rsidRPr="007F66A7" w:rsidRDefault="00EA2D6F" w:rsidP="002C54B2">
            <w:pPr>
              <w:pStyle w:val="COMTabletext"/>
              <w:keepNext w:val="0"/>
              <w:widowControl w:val="0"/>
              <w:rPr>
                <w:snapToGrid w:val="0"/>
              </w:rPr>
            </w:pPr>
            <w:r w:rsidRPr="007F66A7">
              <w:rPr>
                <w:snapToGrid w:val="0"/>
              </w:rPr>
              <w:t xml:space="preserve">The resubmission also presented additional supportive </w:t>
            </w:r>
            <w:r w:rsidR="00290DAC" w:rsidRPr="007F66A7">
              <w:rPr>
                <w:snapToGrid w:val="0"/>
              </w:rPr>
              <w:t xml:space="preserve">evidence </w:t>
            </w:r>
            <w:r w:rsidR="00B94D80" w:rsidRPr="007F66A7">
              <w:rPr>
                <w:snapToGrid w:val="0"/>
              </w:rPr>
              <w:t xml:space="preserve">based on a </w:t>
            </w:r>
            <w:r w:rsidR="00DE4C65" w:rsidRPr="007F66A7">
              <w:rPr>
                <w:snapToGrid w:val="0"/>
              </w:rPr>
              <w:t>more recent data cut from the RATHL trial and</w:t>
            </w:r>
            <w:r w:rsidR="00BF7BA4" w:rsidRPr="007F66A7">
              <w:rPr>
                <w:snapToGrid w:val="0"/>
              </w:rPr>
              <w:t xml:space="preserve"> </w:t>
            </w:r>
            <w:r w:rsidR="0014574E" w:rsidRPr="007F66A7">
              <w:rPr>
                <w:snapToGrid w:val="0"/>
              </w:rPr>
              <w:t xml:space="preserve">a conference abstract/poster (Kristo 2023) </w:t>
            </w:r>
            <w:r w:rsidR="00B65038" w:rsidRPr="007F66A7">
              <w:rPr>
                <w:snapToGrid w:val="0"/>
              </w:rPr>
              <w:t>that presented results of two unanchored matching adjusted indirect comparisons</w:t>
            </w:r>
            <w:r w:rsidR="006E2823" w:rsidRPr="007F66A7">
              <w:rPr>
                <w:snapToGrid w:val="0"/>
              </w:rPr>
              <w:t xml:space="preserve"> (MAICs)</w:t>
            </w:r>
            <w:r w:rsidR="00B65038" w:rsidRPr="007F66A7">
              <w:rPr>
                <w:snapToGrid w:val="0"/>
              </w:rPr>
              <w:t xml:space="preserve"> </w:t>
            </w:r>
            <w:r w:rsidR="005C008A" w:rsidRPr="007F66A7">
              <w:rPr>
                <w:snapToGrid w:val="0"/>
              </w:rPr>
              <w:t>of</w:t>
            </w:r>
            <w:r w:rsidR="0014574E" w:rsidRPr="007F66A7">
              <w:rPr>
                <w:snapToGrid w:val="0"/>
              </w:rPr>
              <w:t xml:space="preserve"> A+AVD </w:t>
            </w:r>
            <w:r w:rsidR="00A06A68" w:rsidRPr="007F66A7">
              <w:rPr>
                <w:snapToGrid w:val="0"/>
              </w:rPr>
              <w:t>and</w:t>
            </w:r>
            <w:r w:rsidR="0014574E" w:rsidRPr="007F66A7">
              <w:rPr>
                <w:snapToGrid w:val="0"/>
              </w:rPr>
              <w:t xml:space="preserve"> PET-adapted ABVD.</w:t>
            </w:r>
          </w:p>
        </w:tc>
      </w:tr>
      <w:tr w:rsidR="0020052A" w:rsidRPr="007F66A7" w14:paraId="5C1A84F0" w14:textId="77777777" w:rsidTr="00416584">
        <w:trPr>
          <w:cantSplit/>
        </w:trPr>
        <w:tc>
          <w:tcPr>
            <w:tcW w:w="2500" w:type="pct"/>
          </w:tcPr>
          <w:p w14:paraId="20BD324D" w14:textId="53AD5230" w:rsidR="00C545B2" w:rsidRPr="007F66A7" w:rsidRDefault="008752EE" w:rsidP="001E6863">
            <w:pPr>
              <w:pStyle w:val="COMTabletext"/>
              <w:keepNext w:val="0"/>
              <w:widowControl w:val="0"/>
              <w:spacing w:after="120"/>
              <w:rPr>
                <w:snapToGrid w:val="0"/>
              </w:rPr>
            </w:pPr>
            <w:r w:rsidRPr="007F66A7">
              <w:rPr>
                <w:snapToGrid w:val="0"/>
              </w:rPr>
              <w:t>T</w:t>
            </w:r>
            <w:r w:rsidR="0020052A" w:rsidRPr="007F66A7">
              <w:rPr>
                <w:snapToGrid w:val="0"/>
              </w:rPr>
              <w:t>he economic model structure</w:t>
            </w:r>
            <w:r w:rsidR="002E16B1" w:rsidRPr="007F66A7">
              <w:rPr>
                <w:snapToGrid w:val="0"/>
              </w:rPr>
              <w:t xml:space="preserve"> </w:t>
            </w:r>
            <w:r w:rsidR="0020052A" w:rsidRPr="007F66A7">
              <w:rPr>
                <w:snapToGrid w:val="0"/>
              </w:rPr>
              <w:t xml:space="preserve">resulted in an ICER that was highly uncertain and the cost-effectiveness of A+AVD was unable to be reliably assessed. </w:t>
            </w:r>
            <w:r w:rsidR="00C545B2" w:rsidRPr="007F66A7">
              <w:rPr>
                <w:snapToGrid w:val="0"/>
              </w:rPr>
              <w:t xml:space="preserve">The </w:t>
            </w:r>
            <w:r w:rsidR="002E16B1" w:rsidRPr="007F66A7">
              <w:rPr>
                <w:snapToGrid w:val="0"/>
              </w:rPr>
              <w:t xml:space="preserve">use of a partitioned survival analysis was inadequately justified given multiple structural limitations, which </w:t>
            </w:r>
            <w:r w:rsidR="003E7FD6" w:rsidRPr="007F66A7">
              <w:rPr>
                <w:snapToGrid w:val="0"/>
              </w:rPr>
              <w:t xml:space="preserve">had an impact on </w:t>
            </w:r>
            <w:r w:rsidR="00CF0BAF" w:rsidRPr="007F66A7">
              <w:rPr>
                <w:snapToGrid w:val="0"/>
              </w:rPr>
              <w:t>the</w:t>
            </w:r>
            <w:r w:rsidR="002E16B1" w:rsidRPr="007F66A7">
              <w:rPr>
                <w:snapToGrid w:val="0"/>
              </w:rPr>
              <w:t xml:space="preserve"> validity of extrapolated outcomes and the ability to appropriately model the impact of subsequent anti-cancer treatments; and limited the ability to quantify any uncertainties through sensitivity analyse</w:t>
            </w:r>
            <w:r w:rsidR="00323A88" w:rsidRPr="007F66A7">
              <w:rPr>
                <w:snapToGrid w:val="0"/>
              </w:rPr>
              <w:t>s (para 7.11, brentuximab vedotin PSD, March 2024 PBAC meeting).</w:t>
            </w:r>
          </w:p>
          <w:p w14:paraId="0E6EC114" w14:textId="5C060202" w:rsidR="0020052A" w:rsidRPr="007F66A7" w:rsidRDefault="001D5E6E" w:rsidP="001E4A3B">
            <w:pPr>
              <w:pStyle w:val="COMTabletext"/>
              <w:keepNext w:val="0"/>
              <w:widowControl w:val="0"/>
              <w:rPr>
                <w:snapToGrid w:val="0"/>
              </w:rPr>
            </w:pPr>
            <w:r w:rsidRPr="007F66A7">
              <w:rPr>
                <w:snapToGrid w:val="0"/>
              </w:rPr>
              <w:t xml:space="preserve">The PBAC considered </w:t>
            </w:r>
            <w:r w:rsidR="006C6DCB" w:rsidRPr="007F66A7">
              <w:rPr>
                <w:snapToGrid w:val="0"/>
              </w:rPr>
              <w:t>that a resubmission should provide a revised economic analysis using a Markov model structure, which would provide a more flexible and transparent approach to assess the cost-effectiveness of A+AVD</w:t>
            </w:r>
            <w:r w:rsidR="005B250B" w:rsidRPr="007F66A7">
              <w:rPr>
                <w:snapToGrid w:val="0"/>
              </w:rPr>
              <w:t xml:space="preserve"> (para 7.11 and 7.13, brentuximab vedotin PSD, March 2024 PBAC meeting). </w:t>
            </w:r>
            <w:r w:rsidR="007154A4" w:rsidRPr="007F66A7">
              <w:rPr>
                <w:snapToGrid w:val="0"/>
              </w:rPr>
              <w:t xml:space="preserve">The </w:t>
            </w:r>
            <w:r w:rsidR="001E4A3B" w:rsidRPr="007F66A7">
              <w:rPr>
                <w:snapToGrid w:val="0"/>
              </w:rPr>
              <w:t>ESC considered a revised Markov model should c</w:t>
            </w:r>
            <w:r w:rsidR="0020052A" w:rsidRPr="007F66A7">
              <w:rPr>
                <w:snapToGrid w:val="0"/>
              </w:rPr>
              <w:t>onsider inclusion of additional health states for relapse and subsequent treatments so that the impacts of assumptions around long term modelled outcomes may be appropriately tested and validated</w:t>
            </w:r>
            <w:r w:rsidR="0005798A" w:rsidRPr="007F66A7">
              <w:rPr>
                <w:snapToGrid w:val="0"/>
              </w:rPr>
              <w:t xml:space="preserve"> (para 6.80 and 7.11, brentuximab vedotin PSD, March 2024 PBAC meeting).</w:t>
            </w:r>
          </w:p>
        </w:tc>
        <w:tc>
          <w:tcPr>
            <w:tcW w:w="2500" w:type="pct"/>
          </w:tcPr>
          <w:p w14:paraId="49F1CB8C" w14:textId="558CF1DA" w:rsidR="0020052A" w:rsidRPr="007F66A7" w:rsidRDefault="00E250BE" w:rsidP="002C54B2">
            <w:pPr>
              <w:pStyle w:val="COMTabletext"/>
              <w:keepNext w:val="0"/>
              <w:widowControl w:val="0"/>
              <w:rPr>
                <w:snapToGrid w:val="0"/>
              </w:rPr>
            </w:pPr>
            <w:r w:rsidRPr="007F66A7">
              <w:t>The model structure in the resubmission was substantially revised, described as a Markov model that included separate states for each line of therapy.</w:t>
            </w:r>
          </w:p>
        </w:tc>
      </w:tr>
      <w:tr w:rsidR="002876C6" w:rsidRPr="007F66A7" w14:paraId="50782A3E" w14:textId="77777777" w:rsidTr="00416584">
        <w:trPr>
          <w:cantSplit/>
        </w:trPr>
        <w:tc>
          <w:tcPr>
            <w:tcW w:w="2500" w:type="pct"/>
          </w:tcPr>
          <w:p w14:paraId="5C7319EA" w14:textId="5776BBE9" w:rsidR="002876C6" w:rsidRPr="007F66A7" w:rsidRDefault="005B6648" w:rsidP="0020052A">
            <w:pPr>
              <w:pStyle w:val="COMTabletext"/>
              <w:keepNext w:val="0"/>
              <w:widowControl w:val="0"/>
              <w:rPr>
                <w:snapToGrid w:val="0"/>
              </w:rPr>
            </w:pPr>
            <w:r w:rsidRPr="007F66A7">
              <w:rPr>
                <w:snapToGrid w:val="0"/>
              </w:rPr>
              <w:t>Further information and justification for the approach used in estimating utility values was required</w:t>
            </w:r>
            <w:r w:rsidR="00E058FF" w:rsidRPr="007F66A7">
              <w:rPr>
                <w:snapToGrid w:val="0"/>
              </w:rPr>
              <w:t xml:space="preserve"> (para 6.80 and 7.11, brentuximab vedotin PSD, March 2024 PBAC meeting). </w:t>
            </w:r>
          </w:p>
        </w:tc>
        <w:tc>
          <w:tcPr>
            <w:tcW w:w="2500" w:type="pct"/>
          </w:tcPr>
          <w:p w14:paraId="46B608B0" w14:textId="0826AB98" w:rsidR="002876C6" w:rsidRPr="007F66A7" w:rsidRDefault="00996B15" w:rsidP="002C54B2">
            <w:pPr>
              <w:pStyle w:val="COMTabletext"/>
              <w:keepNext w:val="0"/>
              <w:widowControl w:val="0"/>
              <w:rPr>
                <w:snapToGrid w:val="0"/>
              </w:rPr>
            </w:pPr>
            <w:r w:rsidRPr="007F66A7">
              <w:rPr>
                <w:snapToGrid w:val="0"/>
              </w:rPr>
              <w:t xml:space="preserve">The resubmission used predicted utility estimates from the same regression model as the previous submission, applied to patients in the </w:t>
            </w:r>
            <w:r w:rsidR="009B0496" w:rsidRPr="007F66A7">
              <w:rPr>
                <w:snapToGrid w:val="0"/>
              </w:rPr>
              <w:t>first-line</w:t>
            </w:r>
            <w:r w:rsidRPr="007F66A7">
              <w:rPr>
                <w:snapToGrid w:val="0"/>
              </w:rPr>
              <w:t xml:space="preserve"> treatment health state of the revised economic model. No further information </w:t>
            </w:r>
            <w:r w:rsidR="00C12F75" w:rsidRPr="007F66A7">
              <w:rPr>
                <w:snapToGrid w:val="0"/>
              </w:rPr>
              <w:t xml:space="preserve">for the approach used to estimate the utility values was presented. </w:t>
            </w:r>
          </w:p>
        </w:tc>
      </w:tr>
      <w:tr w:rsidR="00EC4604" w:rsidRPr="007F66A7" w14:paraId="7F544ADE" w14:textId="77777777" w:rsidTr="00EC4604">
        <w:trPr>
          <w:cantSplit/>
        </w:trPr>
        <w:tc>
          <w:tcPr>
            <w:tcW w:w="5000" w:type="pct"/>
            <w:gridSpan w:val="2"/>
          </w:tcPr>
          <w:p w14:paraId="4047033E" w14:textId="1981F94F" w:rsidR="00EC4604" w:rsidRPr="007F66A7" w:rsidRDefault="00EC4604" w:rsidP="00DB516A">
            <w:pPr>
              <w:pStyle w:val="COMTableheadingrow"/>
              <w:widowControl w:val="0"/>
              <w:rPr>
                <w:snapToGrid w:val="0"/>
                <w:lang w:val="en-AU"/>
              </w:rPr>
            </w:pPr>
            <w:r w:rsidRPr="007F66A7">
              <w:rPr>
                <w:snapToGrid w:val="0"/>
                <w:lang w:val="en-AU"/>
              </w:rPr>
              <w:lastRenderedPageBreak/>
              <w:t>Utilisation and financial estimates</w:t>
            </w:r>
          </w:p>
        </w:tc>
      </w:tr>
      <w:tr w:rsidR="000D2521" w:rsidRPr="007F66A7" w14:paraId="35FB3A32" w14:textId="77777777" w:rsidTr="003620D5">
        <w:trPr>
          <w:cantSplit/>
        </w:trPr>
        <w:tc>
          <w:tcPr>
            <w:tcW w:w="2500" w:type="pct"/>
          </w:tcPr>
          <w:p w14:paraId="7FC8E5EE" w14:textId="4E86CFAE" w:rsidR="001D0028" w:rsidRPr="007F66A7" w:rsidRDefault="00C252BB" w:rsidP="001E6863">
            <w:pPr>
              <w:pStyle w:val="COMTabletext"/>
              <w:keepNext w:val="0"/>
              <w:widowControl w:val="0"/>
              <w:spacing w:after="120"/>
              <w:rPr>
                <w:snapToGrid w:val="0"/>
              </w:rPr>
            </w:pPr>
            <w:r w:rsidRPr="007F66A7">
              <w:rPr>
                <w:snapToGrid w:val="0"/>
              </w:rPr>
              <w:t xml:space="preserve">The PBAC </w:t>
            </w:r>
            <w:r w:rsidR="00835689" w:rsidRPr="007F66A7">
              <w:rPr>
                <w:snapToGrid w:val="0"/>
              </w:rPr>
              <w:t xml:space="preserve">noted that the DUSC considered the </w:t>
            </w:r>
            <w:r w:rsidR="004D50E0" w:rsidRPr="007F66A7">
              <w:rPr>
                <w:snapToGrid w:val="0"/>
              </w:rPr>
              <w:t>financial impact was underestimated due to the underestimated</w:t>
            </w:r>
            <w:r w:rsidR="009D3B23" w:rsidRPr="007F66A7">
              <w:rPr>
                <w:snapToGrid w:val="0"/>
              </w:rPr>
              <w:t xml:space="preserve"> size of the</w:t>
            </w:r>
            <w:r w:rsidR="00846520" w:rsidRPr="007F66A7">
              <w:rPr>
                <w:snapToGrid w:val="0"/>
              </w:rPr>
              <w:t xml:space="preserve"> </w:t>
            </w:r>
            <w:r w:rsidR="001A04D9" w:rsidRPr="007F66A7">
              <w:rPr>
                <w:snapToGrid w:val="0"/>
              </w:rPr>
              <w:t xml:space="preserve">eligible </w:t>
            </w:r>
            <w:r w:rsidR="001D0028" w:rsidRPr="007F66A7">
              <w:rPr>
                <w:snapToGrid w:val="0"/>
              </w:rPr>
              <w:t>and</w:t>
            </w:r>
            <w:r w:rsidR="001A04D9" w:rsidRPr="007F66A7">
              <w:rPr>
                <w:snapToGrid w:val="0"/>
              </w:rPr>
              <w:t xml:space="preserve"> treated population</w:t>
            </w:r>
            <w:r w:rsidR="001D0028" w:rsidRPr="007F66A7">
              <w:rPr>
                <w:snapToGrid w:val="0"/>
              </w:rPr>
              <w:t>s</w:t>
            </w:r>
            <w:r w:rsidR="001A04D9" w:rsidRPr="007F66A7">
              <w:rPr>
                <w:snapToGrid w:val="0"/>
              </w:rPr>
              <w:t xml:space="preserve"> and </w:t>
            </w:r>
            <w:r w:rsidR="00EA1CBB" w:rsidRPr="007F66A7">
              <w:rPr>
                <w:snapToGrid w:val="0"/>
              </w:rPr>
              <w:t>overestimated cost offsets</w:t>
            </w:r>
            <w:r w:rsidR="00EA550E" w:rsidRPr="007F66A7">
              <w:rPr>
                <w:snapToGrid w:val="0"/>
              </w:rPr>
              <w:t xml:space="preserve">. The PBAC noted </w:t>
            </w:r>
            <w:r w:rsidR="00570F0C" w:rsidRPr="007F66A7">
              <w:rPr>
                <w:snapToGrid w:val="0"/>
              </w:rPr>
              <w:t xml:space="preserve">revised financial estimates in the pre-PBAC response based on </w:t>
            </w:r>
            <w:r w:rsidR="00983FA2" w:rsidRPr="007F66A7">
              <w:rPr>
                <w:snapToGrid w:val="0"/>
              </w:rPr>
              <w:t xml:space="preserve">changes to </w:t>
            </w:r>
            <w:r w:rsidR="00607E00" w:rsidRPr="007F66A7">
              <w:rPr>
                <w:snapToGrid w:val="0"/>
              </w:rPr>
              <w:t>the</w:t>
            </w:r>
            <w:r w:rsidR="00983FA2" w:rsidRPr="007F66A7">
              <w:rPr>
                <w:snapToGrid w:val="0"/>
              </w:rPr>
              <w:t xml:space="preserve"> incidence rate, proportion at stage III/IV</w:t>
            </w:r>
            <w:r w:rsidR="00D54E36" w:rsidRPr="007F66A7">
              <w:rPr>
                <w:snapToGrid w:val="0"/>
              </w:rPr>
              <w:t xml:space="preserve">, </w:t>
            </w:r>
            <w:r w:rsidR="00983FA2" w:rsidRPr="007F66A7">
              <w:rPr>
                <w:snapToGrid w:val="0"/>
              </w:rPr>
              <w:t>ECOG requirements</w:t>
            </w:r>
            <w:r w:rsidR="00D54E36" w:rsidRPr="007F66A7">
              <w:rPr>
                <w:snapToGrid w:val="0"/>
              </w:rPr>
              <w:t xml:space="preserve"> and uptake rates</w:t>
            </w:r>
            <w:r w:rsidR="00570F0C" w:rsidRPr="007F66A7">
              <w:rPr>
                <w:snapToGrid w:val="0"/>
              </w:rPr>
              <w:t xml:space="preserve"> that were consistent with DUSC advice</w:t>
            </w:r>
            <w:r w:rsidR="00C15C00" w:rsidRPr="007F66A7">
              <w:rPr>
                <w:snapToGrid w:val="0"/>
              </w:rPr>
              <w:t xml:space="preserve"> </w:t>
            </w:r>
            <w:r w:rsidR="00914C82" w:rsidRPr="007F66A7">
              <w:rPr>
                <w:snapToGrid w:val="0"/>
              </w:rPr>
              <w:t xml:space="preserve">(para 6.87 and 7.12, brentuximab vedotin PSD, March 2024 PBAC meeting). </w:t>
            </w:r>
          </w:p>
          <w:p w14:paraId="758E3F5B" w14:textId="1F092914" w:rsidR="005D716C" w:rsidRPr="007F66A7" w:rsidRDefault="00230D78" w:rsidP="002C54B2">
            <w:pPr>
              <w:pStyle w:val="COMTabletext"/>
              <w:keepNext w:val="0"/>
              <w:widowControl w:val="0"/>
              <w:rPr>
                <w:snapToGrid w:val="0"/>
              </w:rPr>
            </w:pPr>
            <w:r w:rsidRPr="007F66A7">
              <w:rPr>
                <w:snapToGrid w:val="0"/>
              </w:rPr>
              <w:t>The PBAC considered that a resubmission should utilis</w:t>
            </w:r>
            <w:r w:rsidR="00653EDD" w:rsidRPr="007F66A7">
              <w:rPr>
                <w:snapToGrid w:val="0"/>
              </w:rPr>
              <w:t>e</w:t>
            </w:r>
            <w:r w:rsidRPr="007F66A7">
              <w:rPr>
                <w:snapToGrid w:val="0"/>
              </w:rPr>
              <w:t xml:space="preserve"> the pre-PBAC response inputs for incidence rate, proportion with stage III/IV disease and ECOG requirements</w:t>
            </w:r>
            <w:r w:rsidR="003E676A" w:rsidRPr="007F66A7">
              <w:rPr>
                <w:snapToGrid w:val="0"/>
              </w:rPr>
              <w:t xml:space="preserve"> but was concerned that the recommended use of </w:t>
            </w:r>
            <w:r w:rsidR="008237A1" w:rsidRPr="007F66A7">
              <w:rPr>
                <w:snapToGrid w:val="0"/>
              </w:rPr>
              <w:t>PET-adapted regimens over non-PET-adapted regimens may impact uptake rates (</w:t>
            </w:r>
            <w:r w:rsidR="00E87A4C" w:rsidRPr="007F66A7">
              <w:rPr>
                <w:snapToGrid w:val="0"/>
              </w:rPr>
              <w:t>para 7.12 and 7.13, brentuximab vedotin PSD, March 2024 PBAC meeting).</w:t>
            </w:r>
          </w:p>
        </w:tc>
        <w:tc>
          <w:tcPr>
            <w:tcW w:w="2500" w:type="pct"/>
            <w:vAlign w:val="center"/>
          </w:tcPr>
          <w:p w14:paraId="5FD16ED5" w14:textId="3789A986" w:rsidR="000D2521" w:rsidRPr="007F66A7" w:rsidRDefault="00B27BF7" w:rsidP="007564BF">
            <w:pPr>
              <w:pStyle w:val="COMTabletext"/>
              <w:keepNext w:val="0"/>
              <w:widowControl w:val="0"/>
              <w:rPr>
                <w:snapToGrid w:val="0"/>
              </w:rPr>
            </w:pPr>
            <w:r w:rsidRPr="007F66A7">
              <w:rPr>
                <w:snapToGrid w:val="0"/>
              </w:rPr>
              <w:t>T</w:t>
            </w:r>
            <w:r w:rsidR="00A525EF" w:rsidRPr="007F66A7">
              <w:rPr>
                <w:snapToGrid w:val="0"/>
              </w:rPr>
              <w:t xml:space="preserve">he </w:t>
            </w:r>
            <w:r w:rsidR="00E7490A" w:rsidRPr="007F66A7">
              <w:rPr>
                <w:snapToGrid w:val="0"/>
              </w:rPr>
              <w:t xml:space="preserve">resubmission included changes to </w:t>
            </w:r>
            <w:r w:rsidRPr="007F66A7">
              <w:rPr>
                <w:snapToGrid w:val="0"/>
              </w:rPr>
              <w:t>the</w:t>
            </w:r>
            <w:r w:rsidR="005129A7" w:rsidRPr="007F66A7">
              <w:rPr>
                <w:snapToGrid w:val="0"/>
              </w:rPr>
              <w:t xml:space="preserve"> incidence rate, proportion with stage III/IV disease and </w:t>
            </w:r>
            <w:r w:rsidR="0012389E" w:rsidRPr="007F66A7">
              <w:rPr>
                <w:snapToGrid w:val="0"/>
              </w:rPr>
              <w:t xml:space="preserve">ECOG requirements as requested. However, the uptake rates were also increased, consistent with inputs used in the </w:t>
            </w:r>
            <w:r w:rsidR="00D907EB">
              <w:rPr>
                <w:snapToGrid w:val="0"/>
              </w:rPr>
              <w:t xml:space="preserve">March 2024 </w:t>
            </w:r>
            <w:r w:rsidR="0012389E" w:rsidRPr="007F66A7">
              <w:rPr>
                <w:snapToGrid w:val="0"/>
              </w:rPr>
              <w:t>pre-PBAC response.</w:t>
            </w:r>
          </w:p>
          <w:p w14:paraId="6D216A63" w14:textId="788A91E8" w:rsidR="002F0A60" w:rsidRPr="007F66A7" w:rsidRDefault="002F0A60" w:rsidP="007564BF">
            <w:pPr>
              <w:pStyle w:val="COMTabletext"/>
              <w:keepNext w:val="0"/>
              <w:widowControl w:val="0"/>
              <w:rPr>
                <w:snapToGrid w:val="0"/>
              </w:rPr>
            </w:pPr>
          </w:p>
        </w:tc>
      </w:tr>
    </w:tbl>
    <w:p w14:paraId="451D7156" w14:textId="6462E668" w:rsidR="005C25FF" w:rsidRPr="007F66A7" w:rsidRDefault="005C25FF" w:rsidP="007E51D5">
      <w:pPr>
        <w:pStyle w:val="COMTablefooter"/>
      </w:pPr>
      <w:r w:rsidRPr="007F66A7">
        <w:t xml:space="preserve">Source: </w:t>
      </w:r>
      <w:r w:rsidR="00F47CD2" w:rsidRPr="007F66A7">
        <w:t xml:space="preserve">Brentuximab Vedotin </w:t>
      </w:r>
      <w:r w:rsidR="003816C7" w:rsidRPr="007F66A7">
        <w:t>March 2024 Public Summary Document, Sections 1 to 4 of the resubmission</w:t>
      </w:r>
    </w:p>
    <w:p w14:paraId="1EC8F305" w14:textId="66CB75F0" w:rsidR="003816C7" w:rsidRDefault="003816C7" w:rsidP="003816C7">
      <w:pPr>
        <w:pStyle w:val="COMTablefooter"/>
      </w:pPr>
      <w:r w:rsidRPr="007F66A7">
        <w:t>Abbreviations:</w:t>
      </w:r>
      <w:r w:rsidR="00F37362" w:rsidRPr="007F66A7">
        <w:t xml:space="preserve"> A+AVD, brentuximab vedotin, in combination with doxorubicin, vinblastine and dacarbazine; ABVD, doxorubicin, bleomycin, vincristine and dacarbazine;</w:t>
      </w:r>
      <w:r w:rsidR="00AF77B6" w:rsidRPr="007F66A7">
        <w:t xml:space="preserve"> </w:t>
      </w:r>
      <w:proofErr w:type="spellStart"/>
      <w:r w:rsidR="00AF77B6" w:rsidRPr="007F66A7">
        <w:t>eBEACOPP</w:t>
      </w:r>
      <w:proofErr w:type="spellEnd"/>
      <w:r w:rsidR="00AF77B6" w:rsidRPr="007F66A7">
        <w:t xml:space="preserve">, </w:t>
      </w:r>
      <w:r w:rsidR="001738C4" w:rsidRPr="007F66A7">
        <w:t xml:space="preserve">escalated bleomycin, etoposide, doxorubicin, cyclophosphamide, vincristine, procarbazine, and prednisolone; </w:t>
      </w:r>
      <w:r w:rsidRPr="007F66A7">
        <w:t>ECOG</w:t>
      </w:r>
      <w:r w:rsidR="00831FB5" w:rsidRPr="007F66A7">
        <w:t>, Easten Cooperative Oncology Group performance status</w:t>
      </w:r>
    </w:p>
    <w:p w14:paraId="2E006CD9" w14:textId="77777777" w:rsidR="00EE470B" w:rsidRPr="00C33D30" w:rsidRDefault="00EE470B" w:rsidP="00AD179D">
      <w:pPr>
        <w:ind w:firstLine="720"/>
        <w:rPr>
          <w:rFonts w:asciiTheme="minorHAnsi" w:hAnsiTheme="minorHAnsi"/>
          <w:i/>
        </w:rPr>
      </w:pPr>
      <w:bookmarkStart w:id="8" w:name="_Hlk76375324"/>
      <w:r w:rsidRPr="00C33D30">
        <w:rPr>
          <w:rFonts w:asciiTheme="minorHAnsi" w:hAnsiTheme="minorHAnsi"/>
          <w:i/>
        </w:rPr>
        <w:t>For more detail on PBAC’s view, see section 7 PBAC outcome.</w:t>
      </w:r>
    </w:p>
    <w:bookmarkEnd w:id="8"/>
    <w:p w14:paraId="50B43FCD" w14:textId="77777777" w:rsidR="00EE470B" w:rsidRPr="007F66A7" w:rsidRDefault="00EE470B" w:rsidP="003816C7">
      <w:pPr>
        <w:pStyle w:val="COMTablefooter"/>
      </w:pPr>
    </w:p>
    <w:p w14:paraId="76E4EF3C" w14:textId="13040F70" w:rsidR="00B60939" w:rsidRDefault="00B50DB8" w:rsidP="004E18E9">
      <w:pPr>
        <w:pStyle w:val="COMH1-numbered"/>
      </w:pPr>
      <w:bookmarkStart w:id="9" w:name="_Toc107902078"/>
      <w:bookmarkStart w:id="10" w:name="_Toc198653237"/>
      <w:bookmarkEnd w:id="9"/>
      <w:r w:rsidRPr="007F66A7">
        <w:t>Requested listing</w:t>
      </w:r>
      <w:bookmarkEnd w:id="10"/>
    </w:p>
    <w:p w14:paraId="63BC3B32" w14:textId="6278BEE6" w:rsidR="003B1D32" w:rsidRPr="005C2E3E" w:rsidRDefault="00DD40F4" w:rsidP="005C2E3E">
      <w:pPr>
        <w:pStyle w:val="COMexecsummnumbered"/>
      </w:pPr>
      <w:r w:rsidRPr="00F91542">
        <w:rPr>
          <w:rFonts w:cstheme="minorHAnsi"/>
          <w:iCs/>
        </w:rPr>
        <w:t>Suggestions and additions proposed by the Secretariat are added in italics and suggested deletions are crossed out with strikethrough</w:t>
      </w:r>
      <w:r>
        <w:rPr>
          <w:rFonts w:cstheme="minorHAnsi"/>
          <w:iCs/>
        </w:rPr>
        <w:t>.</w:t>
      </w:r>
    </w:p>
    <w:p w14:paraId="2C67655C" w14:textId="77777777" w:rsidR="005C2E3E" w:rsidRPr="003B1D32" w:rsidRDefault="005C2E3E" w:rsidP="005C2E3E">
      <w:pPr>
        <w:pStyle w:val="COMexecsummnumbered"/>
        <w:numPr>
          <w:ilvl w:val="0"/>
          <w:numId w:val="0"/>
        </w:numPr>
        <w:ind w:left="720"/>
      </w:pPr>
    </w:p>
    <w:tbl>
      <w:tblPr>
        <w:tblW w:w="4960" w:type="pct"/>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
        <w:gridCol w:w="6"/>
        <w:gridCol w:w="555"/>
        <w:gridCol w:w="716"/>
        <w:gridCol w:w="1419"/>
        <w:gridCol w:w="1703"/>
        <w:gridCol w:w="2270"/>
        <w:gridCol w:w="1272"/>
        <w:gridCol w:w="991"/>
      </w:tblGrid>
      <w:tr w:rsidR="00F55EF5" w:rsidRPr="007F66A7" w14:paraId="3B1DB163" w14:textId="77777777" w:rsidTr="004B4229">
        <w:trPr>
          <w:gridBefore w:val="2"/>
          <w:wBefore w:w="11" w:type="pct"/>
          <w:cantSplit/>
          <w:trHeight w:val="20"/>
        </w:trPr>
        <w:tc>
          <w:tcPr>
            <w:tcW w:w="1503" w:type="pct"/>
            <w:gridSpan w:val="3"/>
            <w:vAlign w:val="center"/>
          </w:tcPr>
          <w:p w14:paraId="2D2CD498" w14:textId="77777777" w:rsidR="00F55EF5" w:rsidRDefault="00F55EF5" w:rsidP="00021907">
            <w:pPr>
              <w:pStyle w:val="COMTableheadingrow"/>
              <w:keepNext w:val="0"/>
              <w:widowControl w:val="0"/>
              <w:rPr>
                <w:lang w:val="en-AU"/>
              </w:rPr>
            </w:pPr>
            <w:bookmarkStart w:id="11" w:name="_Hlk104809082"/>
            <w:r w:rsidRPr="007F66A7">
              <w:rPr>
                <w:lang w:val="en-AU"/>
              </w:rPr>
              <w:t>MEDICINAL PRODUCT</w:t>
            </w:r>
          </w:p>
          <w:p w14:paraId="015DCC0C" w14:textId="2BE48FA1" w:rsidR="00F55EF5" w:rsidRPr="007F66A7" w:rsidRDefault="00F55EF5" w:rsidP="00021907">
            <w:pPr>
              <w:pStyle w:val="COMTableheadingrow"/>
              <w:keepNext w:val="0"/>
              <w:widowControl w:val="0"/>
              <w:rPr>
                <w:lang w:val="en-AU"/>
              </w:rPr>
            </w:pPr>
            <w:r w:rsidRPr="007F66A7">
              <w:rPr>
                <w:lang w:val="en-AU"/>
              </w:rPr>
              <w:t>Form</w:t>
            </w:r>
          </w:p>
        </w:tc>
        <w:tc>
          <w:tcPr>
            <w:tcW w:w="952" w:type="pct"/>
            <w:vAlign w:val="center"/>
          </w:tcPr>
          <w:p w14:paraId="7BFC4331" w14:textId="5A5C2934" w:rsidR="00F55EF5" w:rsidRPr="007F66A7" w:rsidRDefault="00676EEA" w:rsidP="00021907">
            <w:pPr>
              <w:pStyle w:val="COMTableheadingrow"/>
              <w:keepNext w:val="0"/>
              <w:widowControl w:val="0"/>
              <w:rPr>
                <w:lang w:val="en-AU"/>
              </w:rPr>
            </w:pPr>
            <w:r w:rsidRPr="00394DDA">
              <w:rPr>
                <w:szCs w:val="20"/>
              </w:rPr>
              <w:t>PBS item code</w:t>
            </w:r>
          </w:p>
        </w:tc>
        <w:tc>
          <w:tcPr>
            <w:tcW w:w="1269" w:type="pct"/>
            <w:vAlign w:val="center"/>
          </w:tcPr>
          <w:p w14:paraId="17AAAEA2" w14:textId="79550219" w:rsidR="00F55EF5" w:rsidRPr="007F66A7" w:rsidRDefault="00F55EF5" w:rsidP="00021907">
            <w:pPr>
              <w:pStyle w:val="COMTableheadingrow"/>
              <w:keepNext w:val="0"/>
              <w:widowControl w:val="0"/>
              <w:jc w:val="center"/>
              <w:rPr>
                <w:lang w:val="en-AU"/>
              </w:rPr>
            </w:pPr>
            <w:r w:rsidRPr="007F66A7">
              <w:rPr>
                <w:lang w:val="en-AU"/>
              </w:rPr>
              <w:t>Dispensed Price Max Amt</w:t>
            </w:r>
          </w:p>
        </w:tc>
        <w:tc>
          <w:tcPr>
            <w:tcW w:w="711" w:type="pct"/>
            <w:vAlign w:val="center"/>
          </w:tcPr>
          <w:p w14:paraId="09FA2BD6" w14:textId="02E07E2C" w:rsidR="00F55EF5" w:rsidRPr="007F66A7" w:rsidRDefault="00F55EF5" w:rsidP="00021907">
            <w:pPr>
              <w:pStyle w:val="COMTableheadingrow"/>
              <w:keepNext w:val="0"/>
              <w:widowControl w:val="0"/>
              <w:jc w:val="center"/>
              <w:rPr>
                <w:lang w:val="en-AU"/>
              </w:rPr>
            </w:pPr>
            <w:r w:rsidRPr="007F66A7">
              <w:rPr>
                <w:lang w:val="en-AU"/>
              </w:rPr>
              <w:t>Max. Amount</w:t>
            </w:r>
          </w:p>
        </w:tc>
        <w:tc>
          <w:tcPr>
            <w:tcW w:w="554" w:type="pct"/>
            <w:vAlign w:val="center"/>
          </w:tcPr>
          <w:p w14:paraId="5D705FF2" w14:textId="0C826EC7" w:rsidR="00F55EF5" w:rsidRPr="007F66A7" w:rsidRDefault="00F55EF5" w:rsidP="00021907">
            <w:pPr>
              <w:pStyle w:val="COMTableheadingrow"/>
              <w:keepNext w:val="0"/>
              <w:widowControl w:val="0"/>
              <w:jc w:val="center"/>
              <w:rPr>
                <w:lang w:val="en-AU"/>
              </w:rPr>
            </w:pPr>
            <w:r w:rsidRPr="007F66A7">
              <w:rPr>
                <w:lang w:val="en-AU"/>
              </w:rPr>
              <w:t>№.of Rpts</w:t>
            </w:r>
          </w:p>
        </w:tc>
      </w:tr>
      <w:tr w:rsidR="00F55EF5" w:rsidRPr="007F66A7" w14:paraId="54FCD2AC" w14:textId="77777777" w:rsidTr="004B4229">
        <w:trPr>
          <w:gridBefore w:val="2"/>
          <w:wBefore w:w="11" w:type="pct"/>
          <w:cantSplit/>
          <w:trHeight w:val="20"/>
        </w:trPr>
        <w:tc>
          <w:tcPr>
            <w:tcW w:w="1503" w:type="pct"/>
            <w:gridSpan w:val="3"/>
            <w:vAlign w:val="center"/>
          </w:tcPr>
          <w:p w14:paraId="227D6CC4" w14:textId="0B70BBBE" w:rsidR="00F55EF5" w:rsidRDefault="00F55EF5" w:rsidP="00021907">
            <w:pPr>
              <w:pStyle w:val="COMTabletext"/>
              <w:keepNext w:val="0"/>
              <w:widowControl w:val="0"/>
            </w:pPr>
            <w:r w:rsidRPr="007F66A7">
              <w:t xml:space="preserve">BRENTUXIMAB VEDOTIN </w:t>
            </w:r>
            <w:r w:rsidRPr="00394DDA">
              <w:rPr>
                <w:i/>
                <w:iCs/>
                <w:szCs w:val="20"/>
              </w:rPr>
              <w:t>Injection</w:t>
            </w:r>
            <w:r w:rsidRPr="00394DDA">
              <w:rPr>
                <w:strike/>
                <w:szCs w:val="20"/>
              </w:rPr>
              <w:t xml:space="preserve"> (50 mg injection, 1 vial)</w:t>
            </w:r>
          </w:p>
        </w:tc>
        <w:tc>
          <w:tcPr>
            <w:tcW w:w="952" w:type="pct"/>
            <w:vAlign w:val="center"/>
          </w:tcPr>
          <w:p w14:paraId="1583784B" w14:textId="77777777" w:rsidR="00B9117C" w:rsidRPr="00B9117C" w:rsidRDefault="00B9117C" w:rsidP="00021907">
            <w:pPr>
              <w:pStyle w:val="COMTabletext"/>
              <w:keepNext w:val="0"/>
              <w:widowControl w:val="0"/>
              <w:jc w:val="center"/>
            </w:pPr>
            <w:r w:rsidRPr="00B9117C">
              <w:t>NEW (Public)</w:t>
            </w:r>
          </w:p>
          <w:p w14:paraId="510A51A6" w14:textId="77777777" w:rsidR="00B9117C" w:rsidRPr="00B9117C" w:rsidRDefault="00B9117C" w:rsidP="00021907">
            <w:pPr>
              <w:pStyle w:val="COMTabletext"/>
              <w:keepNext w:val="0"/>
              <w:widowControl w:val="0"/>
              <w:jc w:val="center"/>
            </w:pPr>
            <w:r w:rsidRPr="00B9117C">
              <w:t>NEW (Private)</w:t>
            </w:r>
          </w:p>
          <w:p w14:paraId="7D2B0112" w14:textId="4B2E79FA" w:rsidR="00F55EF5" w:rsidRPr="00B9117C" w:rsidRDefault="00B9117C" w:rsidP="00021907">
            <w:pPr>
              <w:pStyle w:val="COMTabletext"/>
              <w:keepNext w:val="0"/>
              <w:widowControl w:val="0"/>
              <w:jc w:val="center"/>
              <w:rPr>
                <w:szCs w:val="20"/>
                <w:vertAlign w:val="superscript"/>
              </w:rPr>
            </w:pPr>
            <w:r w:rsidRPr="00B9117C">
              <w:rPr>
                <w:vertAlign w:val="superscript"/>
              </w:rPr>
              <w:t>MP</w:t>
            </w:r>
          </w:p>
        </w:tc>
        <w:tc>
          <w:tcPr>
            <w:tcW w:w="1269" w:type="pct"/>
            <w:vAlign w:val="center"/>
          </w:tcPr>
          <w:p w14:paraId="34C67224" w14:textId="74F1AC41" w:rsidR="00F55EF5" w:rsidRPr="007F66A7" w:rsidRDefault="00F55EF5" w:rsidP="00021907">
            <w:pPr>
              <w:pStyle w:val="COMTabletext"/>
              <w:keepNext w:val="0"/>
              <w:widowControl w:val="0"/>
              <w:jc w:val="center"/>
            </w:pPr>
            <w:r w:rsidRPr="007F66A7">
              <w:rPr>
                <w:u w:val="single"/>
              </w:rPr>
              <w:t>Published price</w:t>
            </w:r>
          </w:p>
          <w:p w14:paraId="23DBE99E" w14:textId="07DCF008" w:rsidR="00F55EF5" w:rsidRPr="007F66A7" w:rsidRDefault="00F55EF5" w:rsidP="00021907">
            <w:pPr>
              <w:pStyle w:val="COMTabletext"/>
              <w:keepNext w:val="0"/>
              <w:widowControl w:val="0"/>
              <w:jc w:val="center"/>
            </w:pPr>
            <w:r w:rsidRPr="007F66A7">
              <w:t>Public : $14,055.13</w:t>
            </w:r>
          </w:p>
          <w:p w14:paraId="399E99AA" w14:textId="10E3F33F" w:rsidR="00F55EF5" w:rsidRPr="007F66A7" w:rsidRDefault="00F55EF5" w:rsidP="00021907">
            <w:pPr>
              <w:pStyle w:val="COMTabletext"/>
              <w:keepNext w:val="0"/>
              <w:widowControl w:val="0"/>
              <w:jc w:val="center"/>
            </w:pPr>
            <w:r w:rsidRPr="007F66A7">
              <w:t>Private DPMA: $14,295.31</w:t>
            </w:r>
          </w:p>
          <w:p w14:paraId="1479EB72" w14:textId="58479EF4" w:rsidR="00F55EF5" w:rsidRPr="007F66A7" w:rsidRDefault="00F55EF5" w:rsidP="00021907">
            <w:pPr>
              <w:pStyle w:val="COMTabletext"/>
              <w:keepNext w:val="0"/>
              <w:widowControl w:val="0"/>
              <w:jc w:val="center"/>
              <w:rPr>
                <w:u w:val="single"/>
              </w:rPr>
            </w:pPr>
            <w:r w:rsidRPr="007F66A7">
              <w:rPr>
                <w:u w:val="single"/>
              </w:rPr>
              <w:t>Effective price</w:t>
            </w:r>
          </w:p>
          <w:p w14:paraId="4FDFD9D9" w14:textId="77C300FD" w:rsidR="00F55EF5" w:rsidRPr="007F66A7" w:rsidRDefault="00F55EF5" w:rsidP="00021907">
            <w:pPr>
              <w:pStyle w:val="COMTabletext"/>
              <w:keepNext w:val="0"/>
              <w:widowControl w:val="0"/>
              <w:jc w:val="center"/>
            </w:pPr>
            <w:r w:rsidRPr="007F66A7">
              <w:t>Public: $</w:t>
            </w:r>
            <w:r w:rsidR="00AA4CCB" w:rsidRPr="00AA4CCB">
              <w:rPr>
                <w:color w:val="000000"/>
                <w:spacing w:val="53"/>
                <w:shd w:val="solid" w:color="000000" w:fill="000000"/>
                <w:fitText w:val="330" w:id="-628904704"/>
                <w14:textFill>
                  <w14:solidFill>
                    <w14:srgbClr w14:val="000000">
                      <w14:alpha w14:val="100000"/>
                    </w14:srgbClr>
                  </w14:solidFill>
                </w14:textFill>
              </w:rPr>
              <w:t>|||</w:t>
            </w:r>
            <w:r w:rsidR="00AA4CCB" w:rsidRPr="00AA4CCB">
              <w:rPr>
                <w:color w:val="000000"/>
                <w:spacing w:val="1"/>
                <w:shd w:val="solid" w:color="000000" w:fill="000000"/>
                <w:fitText w:val="330" w:id="-628904704"/>
                <w14:textFill>
                  <w14:solidFill>
                    <w14:srgbClr w14:val="000000">
                      <w14:alpha w14:val="100000"/>
                    </w14:srgbClr>
                  </w14:solidFill>
                </w14:textFill>
              </w:rPr>
              <w:t>|</w:t>
            </w:r>
          </w:p>
          <w:p w14:paraId="75D51522" w14:textId="698854DF" w:rsidR="00F55EF5" w:rsidRPr="007F66A7" w:rsidRDefault="00F55EF5" w:rsidP="00021907">
            <w:pPr>
              <w:pStyle w:val="COMTabletext"/>
              <w:keepNext w:val="0"/>
              <w:widowControl w:val="0"/>
              <w:jc w:val="center"/>
            </w:pPr>
            <w:r w:rsidRPr="007F66A7">
              <w:t>Private: $</w:t>
            </w:r>
            <w:r w:rsidR="00AA4CCB" w:rsidRPr="00AA4CCB">
              <w:rPr>
                <w:color w:val="000000"/>
                <w:spacing w:val="53"/>
                <w:shd w:val="solid" w:color="000000" w:fill="000000"/>
                <w:fitText w:val="330" w:id="-628904703"/>
                <w14:textFill>
                  <w14:solidFill>
                    <w14:srgbClr w14:val="000000">
                      <w14:alpha w14:val="100000"/>
                    </w14:srgbClr>
                  </w14:solidFill>
                </w14:textFill>
              </w:rPr>
              <w:t>|||</w:t>
            </w:r>
            <w:r w:rsidR="00AA4CCB" w:rsidRPr="00AA4CCB">
              <w:rPr>
                <w:color w:val="000000"/>
                <w:spacing w:val="1"/>
                <w:shd w:val="solid" w:color="000000" w:fill="000000"/>
                <w:fitText w:val="330" w:id="-628904703"/>
                <w14:textFill>
                  <w14:solidFill>
                    <w14:srgbClr w14:val="000000">
                      <w14:alpha w14:val="100000"/>
                    </w14:srgbClr>
                  </w14:solidFill>
                </w14:textFill>
              </w:rPr>
              <w:t>|</w:t>
            </w:r>
          </w:p>
        </w:tc>
        <w:tc>
          <w:tcPr>
            <w:tcW w:w="711" w:type="pct"/>
            <w:vAlign w:val="center"/>
          </w:tcPr>
          <w:p w14:paraId="5CB13D46" w14:textId="77777777" w:rsidR="00F55EF5" w:rsidRDefault="00F55EF5" w:rsidP="00021907">
            <w:pPr>
              <w:pStyle w:val="COMTabletext"/>
              <w:keepNext w:val="0"/>
              <w:widowControl w:val="0"/>
              <w:jc w:val="center"/>
              <w:rPr>
                <w:strike/>
              </w:rPr>
            </w:pPr>
            <w:r w:rsidRPr="002F50E3">
              <w:rPr>
                <w:strike/>
              </w:rPr>
              <w:t>150 mg</w:t>
            </w:r>
          </w:p>
          <w:p w14:paraId="0A98B476" w14:textId="142E8C4F" w:rsidR="00F55EF5" w:rsidRPr="002F50E3" w:rsidRDefault="00F55EF5" w:rsidP="00021907">
            <w:pPr>
              <w:pStyle w:val="COMTabletext"/>
              <w:keepNext w:val="0"/>
              <w:widowControl w:val="0"/>
              <w:jc w:val="center"/>
              <w:rPr>
                <w:strike/>
              </w:rPr>
            </w:pPr>
            <w:r w:rsidRPr="000F53CE">
              <w:rPr>
                <w:i/>
                <w:szCs w:val="20"/>
              </w:rPr>
              <w:t>120mg</w:t>
            </w:r>
          </w:p>
        </w:tc>
        <w:tc>
          <w:tcPr>
            <w:tcW w:w="554" w:type="pct"/>
            <w:vAlign w:val="center"/>
          </w:tcPr>
          <w:p w14:paraId="1F4FD721" w14:textId="52328FF9" w:rsidR="00F55EF5" w:rsidRPr="007F66A7" w:rsidRDefault="00F55EF5" w:rsidP="00021907">
            <w:pPr>
              <w:pStyle w:val="COMTabletext"/>
              <w:keepNext w:val="0"/>
              <w:widowControl w:val="0"/>
              <w:jc w:val="center"/>
            </w:pPr>
            <w:r w:rsidRPr="007F66A7">
              <w:t>11</w:t>
            </w:r>
          </w:p>
        </w:tc>
      </w:tr>
      <w:tr w:rsidR="00046D64" w:rsidRPr="007F66A7" w14:paraId="42FF08BD" w14:textId="77777777" w:rsidTr="004B4229">
        <w:trPr>
          <w:gridBefore w:val="2"/>
          <w:wBefore w:w="11" w:type="pct"/>
          <w:cantSplit/>
          <w:trHeight w:val="20"/>
        </w:trPr>
        <w:tc>
          <w:tcPr>
            <w:tcW w:w="4989" w:type="pct"/>
            <w:gridSpan w:val="7"/>
            <w:vAlign w:val="center"/>
          </w:tcPr>
          <w:p w14:paraId="022AE77B" w14:textId="0C5162A9" w:rsidR="00046D64" w:rsidRPr="007F66A7" w:rsidRDefault="00046D64" w:rsidP="00021907">
            <w:pPr>
              <w:widowControl w:val="0"/>
              <w:rPr>
                <w:b/>
              </w:rPr>
            </w:pPr>
            <w:r w:rsidRPr="007F66A7">
              <w:rPr>
                <w:rFonts w:ascii="Arial Narrow" w:eastAsiaTheme="majorEastAsia" w:hAnsi="Arial Narrow" w:cs="Times New Roman"/>
                <w:b/>
                <w:sz w:val="20"/>
              </w:rPr>
              <w:t>Available brands</w:t>
            </w:r>
            <w:r w:rsidRPr="007F66A7">
              <w:rPr>
                <w:b/>
              </w:rPr>
              <w:t xml:space="preserve"> </w:t>
            </w:r>
          </w:p>
        </w:tc>
      </w:tr>
      <w:tr w:rsidR="00046D64" w:rsidRPr="007F66A7" w14:paraId="7129D684" w14:textId="77777777" w:rsidTr="004B4229">
        <w:trPr>
          <w:gridBefore w:val="2"/>
          <w:wBefore w:w="11" w:type="pct"/>
          <w:cantSplit/>
          <w:trHeight w:val="20"/>
        </w:trPr>
        <w:tc>
          <w:tcPr>
            <w:tcW w:w="4989" w:type="pct"/>
            <w:gridSpan w:val="7"/>
            <w:vAlign w:val="center"/>
          </w:tcPr>
          <w:p w14:paraId="2F1F923C" w14:textId="7A39B2AA" w:rsidR="00483887" w:rsidRPr="007F66A7" w:rsidRDefault="00483887" w:rsidP="00021907">
            <w:pPr>
              <w:pStyle w:val="COMTabletext"/>
              <w:keepNext w:val="0"/>
              <w:widowControl w:val="0"/>
            </w:pPr>
            <w:r w:rsidRPr="007F66A7">
              <w:t>Adcetris</w:t>
            </w:r>
          </w:p>
          <w:p w14:paraId="4CFF1733" w14:textId="12882D8E" w:rsidR="00C61A59" w:rsidRPr="007F66A7" w:rsidRDefault="00483887" w:rsidP="00021907">
            <w:pPr>
              <w:pStyle w:val="COMTabletext"/>
              <w:keepNext w:val="0"/>
              <w:widowControl w:val="0"/>
            </w:pPr>
            <w:r w:rsidRPr="007F66A7">
              <w:t>(brentuximab vedotin 50 mg injection, 1 vial)</w:t>
            </w:r>
          </w:p>
        </w:tc>
      </w:tr>
      <w:tr w:rsidR="00C572EF" w:rsidRPr="00394DDA" w14:paraId="777BE0DB" w14:textId="77777777" w:rsidTr="004B4229">
        <w:trPr>
          <w:gridBefore w:val="2"/>
          <w:wBefore w:w="11" w:type="pct"/>
          <w:cantSplit/>
          <w:trHeight w:val="20"/>
        </w:trPr>
        <w:tc>
          <w:tcPr>
            <w:tcW w:w="4989" w:type="pct"/>
            <w:gridSpan w:val="7"/>
            <w:tcBorders>
              <w:top w:val="single" w:sz="4" w:space="0" w:color="auto"/>
              <w:left w:val="single" w:sz="4" w:space="0" w:color="auto"/>
              <w:bottom w:val="single" w:sz="4" w:space="0" w:color="auto"/>
              <w:right w:val="single" w:sz="4" w:space="0" w:color="auto"/>
            </w:tcBorders>
            <w:vAlign w:val="center"/>
          </w:tcPr>
          <w:p w14:paraId="16D15378" w14:textId="77777777" w:rsidR="00C572EF" w:rsidRPr="00C572EF" w:rsidRDefault="00C572EF" w:rsidP="00021907">
            <w:pPr>
              <w:pStyle w:val="COMTabletext"/>
              <w:keepNext w:val="0"/>
              <w:widowControl w:val="0"/>
              <w:rPr>
                <w:b/>
                <w:bCs w:val="0"/>
              </w:rPr>
            </w:pPr>
            <w:r w:rsidRPr="00C572EF">
              <w:rPr>
                <w:b/>
                <w:bCs w:val="0"/>
              </w:rPr>
              <w:t xml:space="preserve">Restriction Summary [new] / Treatment of Concept: [new] </w:t>
            </w:r>
          </w:p>
        </w:tc>
      </w:tr>
      <w:tr w:rsidR="00C572EF" w:rsidRPr="00394DDA" w14:paraId="0E9F56E5" w14:textId="77777777" w:rsidTr="004B4229">
        <w:tblPrEx>
          <w:tblCellMar>
            <w:top w:w="15" w:type="dxa"/>
            <w:bottom w:w="15" w:type="dxa"/>
          </w:tblCellMar>
          <w:tblLook w:val="04A0" w:firstRow="1" w:lastRow="0" w:firstColumn="1" w:lastColumn="0" w:noHBand="0" w:noVBand="1"/>
        </w:tblPrEx>
        <w:trPr>
          <w:gridBefore w:val="1"/>
          <w:wBefore w:w="8" w:type="pct"/>
          <w:cantSplit/>
          <w:trHeight w:val="20"/>
        </w:trPr>
        <w:tc>
          <w:tcPr>
            <w:tcW w:w="713" w:type="pct"/>
            <w:gridSpan w:val="3"/>
            <w:vMerge w:val="restart"/>
          </w:tcPr>
          <w:p w14:paraId="666E2F96" w14:textId="77777777" w:rsidR="00C572EF" w:rsidRPr="00394DDA" w:rsidRDefault="00C572EF" w:rsidP="00021907">
            <w:pPr>
              <w:jc w:val="center"/>
              <w:rPr>
                <w:rFonts w:ascii="Arial Narrow" w:hAnsi="Arial Narrow"/>
                <w:b/>
                <w:sz w:val="20"/>
                <w:szCs w:val="20"/>
              </w:rPr>
            </w:pPr>
            <w:r w:rsidRPr="00394DDA">
              <w:rPr>
                <w:rFonts w:ascii="Arial Narrow" w:hAnsi="Arial Narrow"/>
                <w:b/>
                <w:sz w:val="20"/>
                <w:szCs w:val="20"/>
              </w:rPr>
              <w:t xml:space="preserve">Concept ID </w:t>
            </w:r>
            <w:r w:rsidRPr="00394DDA">
              <w:rPr>
                <w:rFonts w:ascii="Arial Narrow" w:hAnsi="Arial Narrow"/>
                <w:sz w:val="20"/>
                <w:szCs w:val="20"/>
              </w:rPr>
              <w:t>(for internal Dept. use)</w:t>
            </w:r>
          </w:p>
        </w:tc>
        <w:tc>
          <w:tcPr>
            <w:tcW w:w="4279" w:type="pct"/>
            <w:gridSpan w:val="5"/>
          </w:tcPr>
          <w:p w14:paraId="2C247B6A" w14:textId="77777777" w:rsidR="00C572EF" w:rsidRPr="00394DDA" w:rsidRDefault="00C572EF" w:rsidP="00021907">
            <w:pPr>
              <w:rPr>
                <w:rFonts w:ascii="Arial Narrow" w:hAnsi="Arial Narrow"/>
                <w:sz w:val="20"/>
                <w:szCs w:val="20"/>
              </w:rPr>
            </w:pPr>
            <w:r w:rsidRPr="00394DDA">
              <w:rPr>
                <w:rFonts w:ascii="Arial Narrow" w:hAnsi="Arial Narrow"/>
                <w:b/>
                <w:sz w:val="20"/>
                <w:szCs w:val="20"/>
              </w:rPr>
              <w:t xml:space="preserve">Category / Program: </w:t>
            </w:r>
            <w:r w:rsidRPr="00394DDA">
              <w:rPr>
                <w:rFonts w:ascii="Arial Narrow" w:hAnsi="Arial Narrow"/>
                <w:sz w:val="20"/>
                <w:szCs w:val="20"/>
              </w:rPr>
              <w:t>Section 100 - Efficient Funding of Chemotherapy Public/Private hospitals</w:t>
            </w:r>
          </w:p>
        </w:tc>
      </w:tr>
      <w:tr w:rsidR="00C572EF" w:rsidRPr="00394DDA" w14:paraId="4D2154FC" w14:textId="77777777" w:rsidTr="004B4229">
        <w:tblPrEx>
          <w:tblCellMar>
            <w:top w:w="15" w:type="dxa"/>
            <w:bottom w:w="15" w:type="dxa"/>
          </w:tblCellMar>
          <w:tblLook w:val="04A0" w:firstRow="1" w:lastRow="0" w:firstColumn="1" w:lastColumn="0" w:noHBand="0" w:noVBand="1"/>
        </w:tblPrEx>
        <w:trPr>
          <w:gridBefore w:val="1"/>
          <w:wBefore w:w="8" w:type="pct"/>
          <w:cantSplit/>
          <w:trHeight w:val="20"/>
        </w:trPr>
        <w:tc>
          <w:tcPr>
            <w:tcW w:w="713" w:type="pct"/>
            <w:gridSpan w:val="3"/>
            <w:vMerge/>
          </w:tcPr>
          <w:p w14:paraId="11D54A50" w14:textId="77777777" w:rsidR="00C572EF" w:rsidRPr="00394DDA" w:rsidRDefault="00C572EF" w:rsidP="00021907">
            <w:pPr>
              <w:rPr>
                <w:rFonts w:ascii="Arial Narrow" w:hAnsi="Arial Narrow"/>
                <w:sz w:val="20"/>
                <w:szCs w:val="20"/>
              </w:rPr>
            </w:pPr>
          </w:p>
        </w:tc>
        <w:tc>
          <w:tcPr>
            <w:tcW w:w="4279" w:type="pct"/>
            <w:gridSpan w:val="5"/>
          </w:tcPr>
          <w:p w14:paraId="3E909E9A" w14:textId="77777777" w:rsidR="00C572EF" w:rsidRPr="00394DDA" w:rsidRDefault="00C572EF" w:rsidP="00021907">
            <w:pPr>
              <w:rPr>
                <w:rFonts w:ascii="Arial Narrow" w:hAnsi="Arial Narrow"/>
                <w:b/>
                <w:sz w:val="20"/>
                <w:szCs w:val="20"/>
              </w:rPr>
            </w:pPr>
            <w:r w:rsidRPr="00394DDA">
              <w:rPr>
                <w:rFonts w:ascii="Arial Narrow" w:hAnsi="Arial Narrow"/>
                <w:b/>
                <w:sz w:val="20"/>
                <w:szCs w:val="20"/>
              </w:rPr>
              <w:t xml:space="preserve">Prescriber type: </w:t>
            </w:r>
            <w:r w:rsidRPr="00394DDA">
              <w:rPr>
                <w:rFonts w:ascii="Arial Narrow" w:hAnsi="Arial Narrow"/>
                <w:sz w:val="20"/>
                <w:szCs w:val="20"/>
              </w:rPr>
              <w:fldChar w:fldCharType="begin">
                <w:ffData>
                  <w:name w:val=""/>
                  <w:enabled/>
                  <w:calcOnExit w:val="0"/>
                  <w:checkBox>
                    <w:sizeAuto/>
                    <w:default w:val="1"/>
                  </w:checkBox>
                </w:ffData>
              </w:fldChar>
            </w:r>
            <w:r w:rsidRPr="00394DDA">
              <w:rPr>
                <w:rFonts w:ascii="Arial Narrow" w:hAnsi="Arial Narrow"/>
                <w:sz w:val="20"/>
                <w:szCs w:val="20"/>
              </w:rPr>
              <w:instrText xml:space="preserve"> FORMCHECKBOX </w:instrText>
            </w:r>
            <w:r w:rsidRPr="00394DDA">
              <w:rPr>
                <w:rFonts w:ascii="Arial Narrow" w:hAnsi="Arial Narrow"/>
                <w:sz w:val="20"/>
                <w:szCs w:val="20"/>
              </w:rPr>
            </w:r>
            <w:r w:rsidRPr="00394DDA">
              <w:rPr>
                <w:rFonts w:ascii="Arial Narrow" w:hAnsi="Arial Narrow"/>
                <w:sz w:val="20"/>
                <w:szCs w:val="20"/>
              </w:rPr>
              <w:fldChar w:fldCharType="separate"/>
            </w:r>
            <w:r w:rsidRPr="00394DDA">
              <w:rPr>
                <w:rFonts w:ascii="Arial Narrow" w:hAnsi="Arial Narrow"/>
                <w:sz w:val="20"/>
                <w:szCs w:val="20"/>
              </w:rPr>
              <w:fldChar w:fldCharType="end"/>
            </w:r>
            <w:r w:rsidRPr="00394DDA">
              <w:rPr>
                <w:rFonts w:ascii="Arial Narrow" w:hAnsi="Arial Narrow"/>
                <w:sz w:val="20"/>
                <w:szCs w:val="20"/>
              </w:rPr>
              <w:t xml:space="preserve">Medical Practitioners </w:t>
            </w:r>
          </w:p>
        </w:tc>
      </w:tr>
      <w:tr w:rsidR="00C572EF" w:rsidRPr="00394DDA" w14:paraId="10B8E9C6" w14:textId="77777777" w:rsidTr="004B4229">
        <w:tblPrEx>
          <w:tblCellMar>
            <w:top w:w="15" w:type="dxa"/>
            <w:bottom w:w="15" w:type="dxa"/>
          </w:tblCellMar>
          <w:tblLook w:val="04A0" w:firstRow="1" w:lastRow="0" w:firstColumn="1" w:lastColumn="0" w:noHBand="0" w:noVBand="1"/>
        </w:tblPrEx>
        <w:trPr>
          <w:gridBefore w:val="1"/>
          <w:wBefore w:w="8" w:type="pct"/>
          <w:cantSplit/>
          <w:trHeight w:val="20"/>
        </w:trPr>
        <w:tc>
          <w:tcPr>
            <w:tcW w:w="713" w:type="pct"/>
            <w:gridSpan w:val="3"/>
            <w:vMerge/>
          </w:tcPr>
          <w:p w14:paraId="12C615A0" w14:textId="77777777" w:rsidR="00C572EF" w:rsidRPr="00394DDA" w:rsidRDefault="00C572EF" w:rsidP="00021907">
            <w:pPr>
              <w:rPr>
                <w:rFonts w:ascii="Arial Narrow" w:hAnsi="Arial Narrow"/>
                <w:sz w:val="20"/>
                <w:szCs w:val="20"/>
              </w:rPr>
            </w:pPr>
          </w:p>
        </w:tc>
        <w:tc>
          <w:tcPr>
            <w:tcW w:w="4279" w:type="pct"/>
            <w:gridSpan w:val="5"/>
          </w:tcPr>
          <w:p w14:paraId="543858F1" w14:textId="77777777" w:rsidR="00C572EF" w:rsidRPr="00394DDA" w:rsidRDefault="00C572EF" w:rsidP="00021907">
            <w:pPr>
              <w:rPr>
                <w:rFonts w:ascii="Arial Narrow" w:eastAsia="Calibri" w:hAnsi="Arial Narrow"/>
                <w:sz w:val="20"/>
                <w:szCs w:val="20"/>
              </w:rPr>
            </w:pPr>
            <w:r w:rsidRPr="00394DDA">
              <w:rPr>
                <w:rFonts w:ascii="Arial Narrow" w:hAnsi="Arial Narrow"/>
                <w:b/>
                <w:sz w:val="20"/>
                <w:szCs w:val="20"/>
              </w:rPr>
              <w:t xml:space="preserve">Restriction type: </w:t>
            </w:r>
            <w:r w:rsidRPr="00394DDA">
              <w:rPr>
                <w:rFonts w:ascii="Arial Narrow" w:eastAsia="Calibri" w:hAnsi="Arial Narrow"/>
                <w:sz w:val="20"/>
                <w:szCs w:val="20"/>
              </w:rPr>
              <w:fldChar w:fldCharType="begin">
                <w:ffData>
                  <w:name w:val=""/>
                  <w:enabled/>
                  <w:calcOnExit w:val="0"/>
                  <w:checkBox>
                    <w:sizeAuto/>
                    <w:default w:val="1"/>
                  </w:checkBox>
                </w:ffData>
              </w:fldChar>
            </w:r>
            <w:r w:rsidRPr="00394DDA">
              <w:rPr>
                <w:rFonts w:ascii="Arial Narrow" w:eastAsia="Calibri" w:hAnsi="Arial Narrow"/>
                <w:sz w:val="20"/>
                <w:szCs w:val="20"/>
              </w:rPr>
              <w:instrText xml:space="preserve"> FORMCHECKBOX </w:instrText>
            </w:r>
            <w:r w:rsidRPr="00394DDA">
              <w:rPr>
                <w:rFonts w:ascii="Arial Narrow" w:eastAsia="Calibri" w:hAnsi="Arial Narrow"/>
                <w:sz w:val="20"/>
                <w:szCs w:val="20"/>
              </w:rPr>
            </w:r>
            <w:r w:rsidRPr="00394DDA">
              <w:rPr>
                <w:rFonts w:ascii="Arial Narrow" w:eastAsia="Calibri" w:hAnsi="Arial Narrow"/>
                <w:sz w:val="20"/>
                <w:szCs w:val="20"/>
              </w:rPr>
              <w:fldChar w:fldCharType="separate"/>
            </w:r>
            <w:r w:rsidRPr="00394DDA">
              <w:rPr>
                <w:rFonts w:ascii="Arial Narrow" w:eastAsia="Calibri" w:hAnsi="Arial Narrow"/>
                <w:sz w:val="20"/>
                <w:szCs w:val="20"/>
              </w:rPr>
              <w:fldChar w:fldCharType="end"/>
            </w:r>
            <w:r w:rsidRPr="00394DDA">
              <w:rPr>
                <w:rFonts w:ascii="Arial Narrow" w:eastAsia="Calibri" w:hAnsi="Arial Narrow"/>
                <w:sz w:val="20"/>
                <w:szCs w:val="20"/>
              </w:rPr>
              <w:t xml:space="preserve">Authority Required (in writing only via post/HPOS upload) </w:t>
            </w:r>
          </w:p>
        </w:tc>
      </w:tr>
      <w:tr w:rsidR="00C572EF" w:rsidRPr="00394DDA" w14:paraId="0C616A9A" w14:textId="77777777" w:rsidTr="004B4229">
        <w:tblPrEx>
          <w:tblCellMar>
            <w:top w:w="15" w:type="dxa"/>
            <w:bottom w:w="15" w:type="dxa"/>
          </w:tblCellMar>
          <w:tblLook w:val="04A0" w:firstRow="1" w:lastRow="0" w:firstColumn="1" w:lastColumn="0" w:noHBand="0" w:noVBand="1"/>
        </w:tblPrEx>
        <w:trPr>
          <w:gridBefore w:val="1"/>
          <w:wBefore w:w="8" w:type="pct"/>
          <w:trHeight w:val="20"/>
        </w:trPr>
        <w:tc>
          <w:tcPr>
            <w:tcW w:w="313" w:type="pct"/>
            <w:gridSpan w:val="2"/>
            <w:vMerge w:val="restart"/>
            <w:textDirection w:val="btLr"/>
            <w:vAlign w:val="center"/>
          </w:tcPr>
          <w:p w14:paraId="20ED0AB4" w14:textId="77777777" w:rsidR="00C572EF" w:rsidRPr="00394DDA" w:rsidRDefault="00C572EF" w:rsidP="00021907">
            <w:pPr>
              <w:ind w:right="113"/>
              <w:jc w:val="center"/>
              <w:rPr>
                <w:rFonts w:ascii="Arial Narrow" w:hAnsi="Arial Narrow"/>
                <w:color w:val="333333"/>
                <w:sz w:val="20"/>
                <w:szCs w:val="20"/>
              </w:rPr>
            </w:pPr>
            <w:r w:rsidRPr="00394DDA">
              <w:rPr>
                <w:rFonts w:ascii="Arial Narrow" w:hAnsi="Arial Narrow"/>
                <w:color w:val="333333"/>
                <w:sz w:val="20"/>
                <w:szCs w:val="20"/>
              </w:rPr>
              <w:t>Prescribing rule level</w:t>
            </w:r>
          </w:p>
        </w:tc>
        <w:tc>
          <w:tcPr>
            <w:tcW w:w="400" w:type="pct"/>
            <w:vAlign w:val="center"/>
          </w:tcPr>
          <w:p w14:paraId="40C05097" w14:textId="4500AF53" w:rsidR="00C572EF" w:rsidRPr="00394DDA" w:rsidRDefault="00C572EF" w:rsidP="00021907">
            <w:pPr>
              <w:ind w:hanging="35"/>
              <w:jc w:val="center"/>
              <w:rPr>
                <w:rFonts w:ascii="Arial Narrow" w:hAnsi="Arial Narrow"/>
                <w:color w:val="333333"/>
                <w:sz w:val="20"/>
                <w:szCs w:val="20"/>
              </w:rPr>
            </w:pPr>
          </w:p>
        </w:tc>
        <w:tc>
          <w:tcPr>
            <w:tcW w:w="4279" w:type="pct"/>
            <w:gridSpan w:val="5"/>
            <w:vAlign w:val="center"/>
          </w:tcPr>
          <w:p w14:paraId="2CE08959" w14:textId="77777777" w:rsidR="00C572EF" w:rsidRPr="00394DDA" w:rsidRDefault="00C572EF" w:rsidP="00021907">
            <w:pPr>
              <w:rPr>
                <w:rFonts w:ascii="Arial Narrow" w:hAnsi="Arial Narrow"/>
                <w:color w:val="333333"/>
                <w:sz w:val="20"/>
                <w:szCs w:val="20"/>
              </w:rPr>
            </w:pPr>
            <w:r w:rsidRPr="00394DDA">
              <w:rPr>
                <w:rFonts w:ascii="Arial Narrow" w:hAnsi="Arial Narrow"/>
                <w:b/>
                <w:bCs/>
                <w:color w:val="333333"/>
                <w:sz w:val="20"/>
                <w:szCs w:val="20"/>
              </w:rPr>
              <w:t>Administrative Advice:</w:t>
            </w:r>
          </w:p>
          <w:p w14:paraId="3D01E2AA" w14:textId="77777777" w:rsidR="00C572EF" w:rsidRPr="00394DDA" w:rsidRDefault="00C572EF" w:rsidP="00021907">
            <w:pPr>
              <w:rPr>
                <w:rFonts w:ascii="Arial Narrow" w:hAnsi="Arial Narrow"/>
                <w:color w:val="333333"/>
                <w:sz w:val="20"/>
                <w:szCs w:val="20"/>
              </w:rPr>
            </w:pPr>
            <w:r w:rsidRPr="00394DDA">
              <w:rPr>
                <w:rFonts w:ascii="Arial Narrow" w:hAnsi="Arial Narrow"/>
                <w:sz w:val="20"/>
                <w:szCs w:val="20"/>
              </w:rPr>
              <w:t>No increase in the maximum quantity or number of units may be authorised.</w:t>
            </w:r>
          </w:p>
        </w:tc>
      </w:tr>
      <w:tr w:rsidR="00C572EF" w:rsidRPr="00394DDA" w14:paraId="670E5364" w14:textId="77777777" w:rsidTr="004B4229">
        <w:tblPrEx>
          <w:tblCellMar>
            <w:top w:w="15" w:type="dxa"/>
            <w:bottom w:w="15" w:type="dxa"/>
          </w:tblCellMar>
          <w:tblLook w:val="04A0" w:firstRow="1" w:lastRow="0" w:firstColumn="1" w:lastColumn="0" w:noHBand="0" w:noVBand="1"/>
        </w:tblPrEx>
        <w:trPr>
          <w:gridBefore w:val="1"/>
          <w:wBefore w:w="8" w:type="pct"/>
          <w:trHeight w:val="20"/>
        </w:trPr>
        <w:tc>
          <w:tcPr>
            <w:tcW w:w="313" w:type="pct"/>
            <w:gridSpan w:val="2"/>
            <w:vMerge/>
            <w:vAlign w:val="center"/>
          </w:tcPr>
          <w:p w14:paraId="10435D6E" w14:textId="77777777" w:rsidR="00C572EF" w:rsidRPr="00394DDA" w:rsidRDefault="00C572EF" w:rsidP="00021907">
            <w:pPr>
              <w:jc w:val="center"/>
              <w:rPr>
                <w:rFonts w:ascii="Arial Narrow" w:hAnsi="Arial Narrow"/>
                <w:color w:val="333333"/>
                <w:sz w:val="20"/>
                <w:szCs w:val="20"/>
              </w:rPr>
            </w:pPr>
          </w:p>
        </w:tc>
        <w:tc>
          <w:tcPr>
            <w:tcW w:w="400" w:type="pct"/>
            <w:vAlign w:val="center"/>
          </w:tcPr>
          <w:p w14:paraId="03640361" w14:textId="4652DF04" w:rsidR="00C572EF" w:rsidRPr="00394DDA" w:rsidRDefault="00C572EF" w:rsidP="00021907">
            <w:pPr>
              <w:ind w:hanging="35"/>
              <w:jc w:val="center"/>
              <w:rPr>
                <w:rFonts w:ascii="Arial Narrow" w:hAnsi="Arial Narrow"/>
                <w:color w:val="333333"/>
                <w:sz w:val="20"/>
                <w:szCs w:val="20"/>
              </w:rPr>
            </w:pPr>
          </w:p>
        </w:tc>
        <w:tc>
          <w:tcPr>
            <w:tcW w:w="4279" w:type="pct"/>
            <w:gridSpan w:val="5"/>
            <w:vAlign w:val="center"/>
          </w:tcPr>
          <w:p w14:paraId="2EE25F7B" w14:textId="77777777" w:rsidR="00C572EF" w:rsidRPr="00394DDA" w:rsidRDefault="00C572EF" w:rsidP="00021907">
            <w:pPr>
              <w:rPr>
                <w:rFonts w:ascii="Arial Narrow" w:hAnsi="Arial Narrow"/>
                <w:b/>
                <w:bCs/>
                <w:color w:val="333333"/>
                <w:sz w:val="20"/>
                <w:szCs w:val="20"/>
              </w:rPr>
            </w:pPr>
            <w:r w:rsidRPr="00394DDA">
              <w:rPr>
                <w:rFonts w:ascii="Arial Narrow" w:hAnsi="Arial Narrow"/>
                <w:b/>
                <w:bCs/>
                <w:color w:val="333333"/>
                <w:sz w:val="20"/>
                <w:szCs w:val="20"/>
              </w:rPr>
              <w:t>Administrative Advice:</w:t>
            </w:r>
          </w:p>
          <w:p w14:paraId="3D75B0D9" w14:textId="77777777" w:rsidR="00C572EF" w:rsidRPr="00394DDA" w:rsidRDefault="00C572EF" w:rsidP="00021907">
            <w:pPr>
              <w:rPr>
                <w:rFonts w:ascii="Arial Narrow" w:hAnsi="Arial Narrow"/>
                <w:b/>
                <w:bCs/>
                <w:color w:val="333333"/>
                <w:sz w:val="20"/>
                <w:szCs w:val="20"/>
              </w:rPr>
            </w:pPr>
            <w:r w:rsidRPr="00394DDA">
              <w:rPr>
                <w:rFonts w:ascii="Arial Narrow" w:hAnsi="Arial Narrow"/>
                <w:color w:val="333333"/>
                <w:sz w:val="20"/>
                <w:szCs w:val="20"/>
              </w:rPr>
              <w:t>No increase in the maximum number of repeats may be authorised</w:t>
            </w:r>
          </w:p>
        </w:tc>
      </w:tr>
      <w:tr w:rsidR="00C572EF" w:rsidRPr="00394DDA" w14:paraId="3D73A859" w14:textId="77777777" w:rsidTr="004B4229">
        <w:tblPrEx>
          <w:tblCellMar>
            <w:top w:w="15" w:type="dxa"/>
            <w:bottom w:w="15" w:type="dxa"/>
          </w:tblCellMar>
          <w:tblLook w:val="04A0" w:firstRow="1" w:lastRow="0" w:firstColumn="1" w:lastColumn="0" w:noHBand="0" w:noVBand="1"/>
        </w:tblPrEx>
        <w:trPr>
          <w:gridBefore w:val="1"/>
          <w:wBefore w:w="8" w:type="pct"/>
          <w:trHeight w:val="20"/>
        </w:trPr>
        <w:tc>
          <w:tcPr>
            <w:tcW w:w="313" w:type="pct"/>
            <w:gridSpan w:val="2"/>
            <w:vMerge/>
            <w:vAlign w:val="center"/>
          </w:tcPr>
          <w:p w14:paraId="2BA20603" w14:textId="77777777" w:rsidR="00C572EF" w:rsidRPr="00394DDA" w:rsidRDefault="00C572EF" w:rsidP="00021907">
            <w:pPr>
              <w:jc w:val="center"/>
              <w:rPr>
                <w:rFonts w:ascii="Arial Narrow" w:hAnsi="Arial Narrow"/>
                <w:color w:val="333333"/>
                <w:sz w:val="20"/>
                <w:szCs w:val="20"/>
              </w:rPr>
            </w:pPr>
          </w:p>
        </w:tc>
        <w:tc>
          <w:tcPr>
            <w:tcW w:w="400" w:type="pct"/>
            <w:vAlign w:val="center"/>
          </w:tcPr>
          <w:p w14:paraId="01CD5D09" w14:textId="74426A73" w:rsidR="00C572EF" w:rsidRPr="00394DDA" w:rsidRDefault="00C572EF" w:rsidP="00021907">
            <w:pPr>
              <w:ind w:hanging="35"/>
              <w:jc w:val="center"/>
              <w:rPr>
                <w:rFonts w:ascii="Arial Narrow" w:hAnsi="Arial Narrow"/>
                <w:color w:val="333333"/>
                <w:sz w:val="20"/>
                <w:szCs w:val="20"/>
              </w:rPr>
            </w:pPr>
          </w:p>
        </w:tc>
        <w:tc>
          <w:tcPr>
            <w:tcW w:w="4279" w:type="pct"/>
            <w:gridSpan w:val="5"/>
            <w:vAlign w:val="center"/>
          </w:tcPr>
          <w:p w14:paraId="3E76E1BC" w14:textId="77777777" w:rsidR="00C572EF" w:rsidRPr="00394DDA" w:rsidRDefault="00C572EF" w:rsidP="00021907">
            <w:pPr>
              <w:rPr>
                <w:rFonts w:ascii="Arial Narrow" w:hAnsi="Arial Narrow"/>
                <w:b/>
                <w:bCs/>
                <w:color w:val="333333"/>
                <w:sz w:val="20"/>
                <w:szCs w:val="20"/>
              </w:rPr>
            </w:pPr>
            <w:r w:rsidRPr="00394DDA">
              <w:rPr>
                <w:rFonts w:ascii="Arial Narrow" w:hAnsi="Arial Narrow"/>
                <w:b/>
                <w:bCs/>
                <w:color w:val="333333"/>
                <w:sz w:val="20"/>
                <w:szCs w:val="20"/>
              </w:rPr>
              <w:t>Administrative Advice:</w:t>
            </w:r>
          </w:p>
          <w:p w14:paraId="71BEBD5E" w14:textId="77777777" w:rsidR="00C572EF" w:rsidRPr="00394DDA" w:rsidRDefault="00C572EF" w:rsidP="00021907">
            <w:pPr>
              <w:rPr>
                <w:rFonts w:ascii="Arial Narrow" w:hAnsi="Arial Narrow"/>
                <w:b/>
                <w:bCs/>
                <w:color w:val="333333"/>
                <w:sz w:val="20"/>
                <w:szCs w:val="20"/>
              </w:rPr>
            </w:pPr>
            <w:r w:rsidRPr="00394DDA">
              <w:rPr>
                <w:rFonts w:ascii="Arial Narrow" w:hAnsi="Arial Narrow"/>
                <w:color w:val="333333"/>
                <w:sz w:val="20"/>
                <w:szCs w:val="20"/>
              </w:rPr>
              <w:lastRenderedPageBreak/>
              <w:t>Special Pricing Arrangements apply</w:t>
            </w:r>
          </w:p>
        </w:tc>
      </w:tr>
      <w:tr w:rsidR="00C572EF" w:rsidRPr="00394DDA" w14:paraId="1A836FE7" w14:textId="77777777" w:rsidTr="004B4229">
        <w:tblPrEx>
          <w:tblCellMar>
            <w:top w:w="15" w:type="dxa"/>
            <w:bottom w:w="15" w:type="dxa"/>
          </w:tblCellMar>
          <w:tblLook w:val="04A0" w:firstRow="1" w:lastRow="0" w:firstColumn="1" w:lastColumn="0" w:noHBand="0" w:noVBand="1"/>
        </w:tblPrEx>
        <w:trPr>
          <w:gridBefore w:val="1"/>
          <w:wBefore w:w="8" w:type="pct"/>
          <w:trHeight w:val="20"/>
        </w:trPr>
        <w:tc>
          <w:tcPr>
            <w:tcW w:w="313" w:type="pct"/>
            <w:gridSpan w:val="2"/>
            <w:vMerge/>
            <w:vAlign w:val="center"/>
          </w:tcPr>
          <w:p w14:paraId="190E3913" w14:textId="77777777" w:rsidR="00C572EF" w:rsidRPr="00394DDA" w:rsidRDefault="00C572EF" w:rsidP="00021907">
            <w:pPr>
              <w:jc w:val="center"/>
              <w:rPr>
                <w:rFonts w:ascii="Arial Narrow" w:hAnsi="Arial Narrow"/>
                <w:color w:val="333333"/>
                <w:sz w:val="20"/>
                <w:szCs w:val="20"/>
              </w:rPr>
            </w:pPr>
          </w:p>
        </w:tc>
        <w:tc>
          <w:tcPr>
            <w:tcW w:w="400" w:type="pct"/>
            <w:vAlign w:val="center"/>
          </w:tcPr>
          <w:p w14:paraId="51B0401B" w14:textId="32FAC15A" w:rsidR="00C572EF" w:rsidRPr="00394DDA" w:rsidRDefault="00C572EF" w:rsidP="00021907">
            <w:pPr>
              <w:ind w:hanging="35"/>
              <w:jc w:val="center"/>
              <w:rPr>
                <w:rFonts w:ascii="Arial Narrow" w:hAnsi="Arial Narrow"/>
                <w:color w:val="333333"/>
                <w:sz w:val="20"/>
                <w:szCs w:val="20"/>
              </w:rPr>
            </w:pPr>
          </w:p>
          <w:p w14:paraId="71981A1B" w14:textId="58D87209" w:rsidR="00C572EF" w:rsidRPr="00394DDA" w:rsidRDefault="00C572EF" w:rsidP="00021907">
            <w:pPr>
              <w:ind w:hanging="35"/>
              <w:jc w:val="center"/>
              <w:rPr>
                <w:rFonts w:ascii="Arial Narrow" w:hAnsi="Arial Narrow"/>
                <w:color w:val="333333"/>
                <w:sz w:val="20"/>
                <w:szCs w:val="20"/>
              </w:rPr>
            </w:pPr>
          </w:p>
        </w:tc>
        <w:tc>
          <w:tcPr>
            <w:tcW w:w="4279" w:type="pct"/>
            <w:gridSpan w:val="5"/>
            <w:vAlign w:val="center"/>
          </w:tcPr>
          <w:p w14:paraId="732E76E4" w14:textId="77777777" w:rsidR="00C572EF" w:rsidRPr="00394DDA" w:rsidRDefault="00C572EF" w:rsidP="00021907">
            <w:pPr>
              <w:rPr>
                <w:rFonts w:ascii="Arial Narrow" w:hAnsi="Arial Narrow"/>
                <w:color w:val="333333"/>
                <w:sz w:val="20"/>
                <w:szCs w:val="20"/>
              </w:rPr>
            </w:pPr>
            <w:r w:rsidRPr="00394DDA">
              <w:rPr>
                <w:rFonts w:ascii="Arial Narrow" w:hAnsi="Arial Narrow"/>
                <w:color w:val="333333"/>
                <w:sz w:val="20"/>
                <w:szCs w:val="20"/>
              </w:rPr>
              <w:t>Any queries concerning the arrangements to prescribe may be directed to Services Australia on 1800 700 270 (hours of operation 8 a.m. to 5 p.m. Monday to Friday).</w:t>
            </w:r>
          </w:p>
          <w:p w14:paraId="5893F70C" w14:textId="77777777" w:rsidR="00C572EF" w:rsidRPr="00394DDA" w:rsidRDefault="00C572EF" w:rsidP="00021907">
            <w:pPr>
              <w:rPr>
                <w:rFonts w:ascii="Arial Narrow" w:hAnsi="Arial Narrow"/>
                <w:color w:val="333333"/>
                <w:sz w:val="20"/>
                <w:szCs w:val="20"/>
              </w:rPr>
            </w:pPr>
            <w:r w:rsidRPr="00394DDA">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hyperlink r:id="rId11" w:history="1">
              <w:r w:rsidRPr="00394DDA">
                <w:rPr>
                  <w:rFonts w:ascii="Arial Narrow" w:hAnsi="Arial Narrow"/>
                  <w:color w:val="0000FF" w:themeColor="hyperlink"/>
                  <w:sz w:val="20"/>
                  <w:szCs w:val="20"/>
                  <w:u w:val="single"/>
                </w:rPr>
                <w:t>www.servicesaustralia</w:t>
              </w:r>
            </w:hyperlink>
            <w:r w:rsidRPr="00394DDA">
              <w:rPr>
                <w:rFonts w:ascii="Arial Narrow" w:hAnsi="Arial Narrow"/>
                <w:color w:val="333333"/>
                <w:sz w:val="20"/>
                <w:szCs w:val="20"/>
              </w:rPr>
              <w:t>.gov.au</w:t>
            </w:r>
          </w:p>
          <w:p w14:paraId="3F7968B1" w14:textId="77777777" w:rsidR="00C572EF" w:rsidRPr="00394DDA" w:rsidRDefault="00C572EF" w:rsidP="00021907">
            <w:pPr>
              <w:rPr>
                <w:rFonts w:ascii="Arial Narrow" w:hAnsi="Arial Narrow"/>
                <w:color w:val="333333"/>
                <w:sz w:val="20"/>
                <w:szCs w:val="20"/>
              </w:rPr>
            </w:pPr>
            <w:r w:rsidRPr="00394DDA">
              <w:rPr>
                <w:rFonts w:ascii="Arial Narrow" w:hAnsi="Arial Narrow"/>
                <w:color w:val="333333"/>
                <w:sz w:val="20"/>
                <w:szCs w:val="20"/>
              </w:rPr>
              <w:t>Applications for authorisation under this restriction should be made in real time using the Online PBS Authorities system (see www.servicesaustralia.gov.au/hpos)</w:t>
            </w:r>
          </w:p>
          <w:p w14:paraId="2FB22645" w14:textId="77777777" w:rsidR="00C572EF" w:rsidRPr="00394DDA" w:rsidRDefault="00C572EF" w:rsidP="00021907">
            <w:pPr>
              <w:rPr>
                <w:rFonts w:ascii="Arial Narrow" w:hAnsi="Arial Narrow"/>
                <w:color w:val="333333"/>
                <w:sz w:val="20"/>
                <w:szCs w:val="20"/>
              </w:rPr>
            </w:pPr>
            <w:r w:rsidRPr="00394DDA">
              <w:rPr>
                <w:rFonts w:ascii="Arial Narrow" w:hAnsi="Arial Narrow"/>
                <w:color w:val="333333"/>
                <w:sz w:val="20"/>
                <w:szCs w:val="20"/>
              </w:rPr>
              <w:t>Alternatively, applications for authority to prescribe can be submitted online using the form upload facility in Health Professional Online Services (HPOS) at www.servicesaustralia.gov.au/hpos</w:t>
            </w:r>
          </w:p>
          <w:p w14:paraId="6072E1FB" w14:textId="77777777" w:rsidR="00C572EF" w:rsidRPr="00394DDA" w:rsidRDefault="00C572EF" w:rsidP="00021907">
            <w:pPr>
              <w:rPr>
                <w:rFonts w:ascii="Arial Narrow" w:hAnsi="Arial Narrow"/>
                <w:color w:val="333333"/>
                <w:sz w:val="20"/>
                <w:szCs w:val="20"/>
              </w:rPr>
            </w:pPr>
            <w:r w:rsidRPr="00394DDA">
              <w:rPr>
                <w:rFonts w:ascii="Arial Narrow" w:hAnsi="Arial Narrow"/>
                <w:color w:val="333333"/>
                <w:sz w:val="20"/>
                <w:szCs w:val="20"/>
              </w:rPr>
              <w:t>Or mailed to:</w:t>
            </w:r>
          </w:p>
          <w:p w14:paraId="32544DE0" w14:textId="77777777" w:rsidR="00C572EF" w:rsidRPr="00394DDA" w:rsidRDefault="00C572EF" w:rsidP="00021907">
            <w:pPr>
              <w:rPr>
                <w:rFonts w:ascii="Arial Narrow" w:hAnsi="Arial Narrow"/>
                <w:color w:val="333333"/>
                <w:sz w:val="20"/>
                <w:szCs w:val="20"/>
              </w:rPr>
            </w:pPr>
            <w:r w:rsidRPr="00394DDA">
              <w:rPr>
                <w:rFonts w:ascii="Arial Narrow" w:hAnsi="Arial Narrow"/>
                <w:color w:val="333333"/>
                <w:sz w:val="20"/>
                <w:szCs w:val="20"/>
              </w:rPr>
              <w:t>Services Australia</w:t>
            </w:r>
          </w:p>
          <w:p w14:paraId="673C4F3B" w14:textId="77777777" w:rsidR="00C572EF" w:rsidRPr="00394DDA" w:rsidRDefault="00C572EF" w:rsidP="00021907">
            <w:pPr>
              <w:rPr>
                <w:rFonts w:ascii="Arial Narrow" w:hAnsi="Arial Narrow"/>
                <w:color w:val="333333"/>
                <w:sz w:val="20"/>
                <w:szCs w:val="20"/>
              </w:rPr>
            </w:pPr>
            <w:r w:rsidRPr="00394DDA">
              <w:rPr>
                <w:rFonts w:ascii="Arial Narrow" w:hAnsi="Arial Narrow"/>
                <w:color w:val="333333"/>
                <w:sz w:val="20"/>
                <w:szCs w:val="20"/>
              </w:rPr>
              <w:t>Complex Drugs</w:t>
            </w:r>
          </w:p>
          <w:p w14:paraId="0FB887DE" w14:textId="77777777" w:rsidR="00C572EF" w:rsidRPr="00394DDA" w:rsidRDefault="00C572EF" w:rsidP="00021907">
            <w:pPr>
              <w:rPr>
                <w:rFonts w:ascii="Arial Narrow" w:hAnsi="Arial Narrow"/>
                <w:color w:val="333333"/>
                <w:sz w:val="20"/>
                <w:szCs w:val="20"/>
              </w:rPr>
            </w:pPr>
            <w:r w:rsidRPr="00394DDA">
              <w:rPr>
                <w:rFonts w:ascii="Arial Narrow" w:hAnsi="Arial Narrow"/>
                <w:color w:val="333333"/>
                <w:sz w:val="20"/>
                <w:szCs w:val="20"/>
              </w:rPr>
              <w:t>Reply Paid 9826</w:t>
            </w:r>
          </w:p>
          <w:p w14:paraId="354105AC" w14:textId="77777777" w:rsidR="00C572EF" w:rsidRPr="00394DDA" w:rsidRDefault="00C572EF" w:rsidP="00021907">
            <w:pPr>
              <w:rPr>
                <w:rFonts w:ascii="Arial Narrow" w:hAnsi="Arial Narrow"/>
                <w:b/>
                <w:bCs/>
                <w:color w:val="333333"/>
                <w:sz w:val="20"/>
                <w:szCs w:val="20"/>
              </w:rPr>
            </w:pPr>
            <w:r w:rsidRPr="00394DDA">
              <w:rPr>
                <w:rFonts w:ascii="Arial Narrow" w:hAnsi="Arial Narrow"/>
                <w:color w:val="333333"/>
                <w:sz w:val="20"/>
                <w:szCs w:val="20"/>
              </w:rPr>
              <w:t>HOBART TAS 7001</w:t>
            </w:r>
          </w:p>
        </w:tc>
      </w:tr>
      <w:tr w:rsidR="00C572EF" w:rsidRPr="00394DDA" w14:paraId="1806565F" w14:textId="77777777" w:rsidTr="004B4229">
        <w:tblPrEx>
          <w:tblCellMar>
            <w:top w:w="15" w:type="dxa"/>
            <w:left w:w="15" w:type="dxa"/>
            <w:bottom w:w="15" w:type="dxa"/>
            <w:right w:w="15" w:type="dxa"/>
          </w:tblCellMar>
          <w:tblLook w:val="04A0" w:firstRow="1" w:lastRow="0" w:firstColumn="1" w:lastColumn="0" w:noHBand="0" w:noVBand="1"/>
        </w:tblPrEx>
        <w:tc>
          <w:tcPr>
            <w:tcW w:w="721" w:type="pct"/>
            <w:gridSpan w:val="4"/>
            <w:vAlign w:val="center"/>
          </w:tcPr>
          <w:p w14:paraId="3F68B148" w14:textId="77777777" w:rsidR="00C572EF" w:rsidRPr="00394DDA" w:rsidRDefault="00C572EF" w:rsidP="00021907">
            <w:pPr>
              <w:jc w:val="center"/>
              <w:rPr>
                <w:rFonts w:ascii="Arial Narrow" w:hAnsi="Arial Narrow"/>
                <w:color w:val="333333"/>
                <w:sz w:val="20"/>
                <w:szCs w:val="20"/>
              </w:rPr>
            </w:pPr>
          </w:p>
        </w:tc>
        <w:tc>
          <w:tcPr>
            <w:tcW w:w="4279" w:type="pct"/>
            <w:gridSpan w:val="5"/>
            <w:vAlign w:val="center"/>
          </w:tcPr>
          <w:p w14:paraId="2E65F21F" w14:textId="77777777" w:rsidR="00C572EF" w:rsidRPr="00394DDA" w:rsidRDefault="00C572EF" w:rsidP="00021907">
            <w:pPr>
              <w:rPr>
                <w:rFonts w:ascii="Arial Narrow" w:hAnsi="Arial Narrow"/>
                <w:b/>
                <w:bCs/>
                <w:i/>
                <w:iCs/>
                <w:color w:val="333333"/>
                <w:sz w:val="20"/>
                <w:szCs w:val="20"/>
              </w:rPr>
            </w:pPr>
            <w:proofErr w:type="spellStart"/>
            <w:r w:rsidRPr="00394DDA">
              <w:rPr>
                <w:rFonts w:ascii="Arial Narrow" w:hAnsi="Arial Narrow"/>
                <w:b/>
                <w:bCs/>
                <w:i/>
                <w:iCs/>
                <w:color w:val="333333"/>
                <w:sz w:val="20"/>
                <w:szCs w:val="20"/>
              </w:rPr>
              <w:t>Episodicity</w:t>
            </w:r>
            <w:proofErr w:type="spellEnd"/>
            <w:r w:rsidRPr="00394DDA">
              <w:rPr>
                <w:rFonts w:ascii="Arial Narrow" w:hAnsi="Arial Narrow"/>
                <w:b/>
                <w:bCs/>
                <w:i/>
                <w:iCs/>
                <w:color w:val="333333"/>
                <w:sz w:val="20"/>
                <w:szCs w:val="20"/>
              </w:rPr>
              <w:t xml:space="preserve">: </w:t>
            </w:r>
            <w:r w:rsidRPr="00394DDA">
              <w:rPr>
                <w:rFonts w:ascii="Arial Narrow" w:hAnsi="Arial Narrow"/>
                <w:i/>
                <w:iCs/>
                <w:color w:val="333333"/>
                <w:sz w:val="20"/>
                <w:szCs w:val="20"/>
              </w:rPr>
              <w:t>[blank]</w:t>
            </w:r>
          </w:p>
        </w:tc>
      </w:tr>
      <w:tr w:rsidR="00C572EF" w:rsidRPr="00394DDA" w14:paraId="7051466A" w14:textId="77777777" w:rsidTr="004B4229">
        <w:tblPrEx>
          <w:tblCellMar>
            <w:top w:w="15" w:type="dxa"/>
            <w:left w:w="15" w:type="dxa"/>
            <w:bottom w:w="15" w:type="dxa"/>
            <w:right w:w="15" w:type="dxa"/>
          </w:tblCellMar>
          <w:tblLook w:val="04A0" w:firstRow="1" w:lastRow="0" w:firstColumn="1" w:lastColumn="0" w:noHBand="0" w:noVBand="1"/>
        </w:tblPrEx>
        <w:tc>
          <w:tcPr>
            <w:tcW w:w="721" w:type="pct"/>
            <w:gridSpan w:val="4"/>
            <w:vAlign w:val="center"/>
          </w:tcPr>
          <w:p w14:paraId="462C3C73" w14:textId="77777777" w:rsidR="00C572EF" w:rsidRPr="00394DDA" w:rsidRDefault="00C572EF" w:rsidP="00021907">
            <w:pPr>
              <w:jc w:val="center"/>
              <w:rPr>
                <w:rFonts w:ascii="Arial Narrow" w:hAnsi="Arial Narrow"/>
                <w:color w:val="333333"/>
                <w:sz w:val="20"/>
                <w:szCs w:val="20"/>
              </w:rPr>
            </w:pPr>
          </w:p>
        </w:tc>
        <w:tc>
          <w:tcPr>
            <w:tcW w:w="4279" w:type="pct"/>
            <w:gridSpan w:val="5"/>
            <w:vAlign w:val="center"/>
          </w:tcPr>
          <w:p w14:paraId="2A17DBA0" w14:textId="77777777" w:rsidR="00C572EF" w:rsidRPr="00394DDA" w:rsidRDefault="00C572EF" w:rsidP="00021907">
            <w:pPr>
              <w:rPr>
                <w:rFonts w:ascii="Arial Narrow" w:hAnsi="Arial Narrow"/>
                <w:b/>
                <w:bCs/>
                <w:i/>
                <w:iCs/>
                <w:color w:val="333333"/>
                <w:sz w:val="20"/>
                <w:szCs w:val="20"/>
              </w:rPr>
            </w:pPr>
            <w:r w:rsidRPr="00394DDA">
              <w:rPr>
                <w:rFonts w:ascii="Arial Narrow" w:hAnsi="Arial Narrow"/>
                <w:b/>
                <w:bCs/>
                <w:i/>
                <w:iCs/>
                <w:color w:val="333333"/>
                <w:sz w:val="20"/>
                <w:szCs w:val="20"/>
              </w:rPr>
              <w:t xml:space="preserve">Severity: </w:t>
            </w:r>
            <w:r w:rsidRPr="00F82240">
              <w:rPr>
                <w:rFonts w:ascii="Arial Narrow" w:hAnsi="Arial Narrow"/>
                <w:i/>
                <w:iCs/>
                <w:color w:val="333333"/>
                <w:sz w:val="20"/>
                <w:szCs w:val="20"/>
              </w:rPr>
              <w:t>[blank]</w:t>
            </w:r>
          </w:p>
        </w:tc>
      </w:tr>
      <w:tr w:rsidR="00C572EF" w:rsidRPr="00394DDA" w14:paraId="5A19A51D" w14:textId="77777777" w:rsidTr="004B4229">
        <w:tblPrEx>
          <w:tblCellMar>
            <w:top w:w="15" w:type="dxa"/>
            <w:left w:w="15" w:type="dxa"/>
            <w:bottom w:w="15" w:type="dxa"/>
            <w:right w:w="15" w:type="dxa"/>
          </w:tblCellMar>
          <w:tblLook w:val="04A0" w:firstRow="1" w:lastRow="0" w:firstColumn="1" w:lastColumn="0" w:noHBand="0" w:noVBand="1"/>
        </w:tblPrEx>
        <w:tc>
          <w:tcPr>
            <w:tcW w:w="721" w:type="pct"/>
            <w:gridSpan w:val="4"/>
            <w:vAlign w:val="center"/>
          </w:tcPr>
          <w:p w14:paraId="790740AC" w14:textId="77777777" w:rsidR="00C572EF" w:rsidRPr="00394DDA" w:rsidRDefault="00C572EF" w:rsidP="00021907">
            <w:pPr>
              <w:jc w:val="center"/>
              <w:rPr>
                <w:rFonts w:ascii="Arial Narrow" w:hAnsi="Arial Narrow"/>
                <w:color w:val="333333"/>
                <w:sz w:val="20"/>
                <w:szCs w:val="20"/>
              </w:rPr>
            </w:pPr>
          </w:p>
        </w:tc>
        <w:tc>
          <w:tcPr>
            <w:tcW w:w="4279" w:type="pct"/>
            <w:gridSpan w:val="5"/>
            <w:vAlign w:val="center"/>
          </w:tcPr>
          <w:p w14:paraId="2649038B" w14:textId="77777777" w:rsidR="00C572EF" w:rsidRPr="00394DDA" w:rsidRDefault="00C572EF" w:rsidP="00021907">
            <w:pPr>
              <w:rPr>
                <w:rFonts w:ascii="Arial Narrow" w:hAnsi="Arial Narrow"/>
                <w:b/>
                <w:bCs/>
                <w:i/>
                <w:iCs/>
                <w:color w:val="333333"/>
                <w:sz w:val="20"/>
                <w:szCs w:val="20"/>
              </w:rPr>
            </w:pPr>
            <w:r w:rsidRPr="00394DDA">
              <w:rPr>
                <w:rFonts w:ascii="Arial Narrow" w:hAnsi="Arial Narrow"/>
                <w:b/>
                <w:bCs/>
                <w:i/>
                <w:iCs/>
                <w:color w:val="333333"/>
                <w:sz w:val="20"/>
                <w:szCs w:val="20"/>
              </w:rPr>
              <w:t xml:space="preserve">Condition: </w:t>
            </w:r>
            <w:r w:rsidRPr="00394DDA">
              <w:rPr>
                <w:rFonts w:ascii="Arial Narrow" w:hAnsi="Arial Narrow"/>
                <w:bCs/>
                <w:i/>
                <w:iCs/>
                <w:sz w:val="20"/>
                <w:szCs w:val="20"/>
              </w:rPr>
              <w:t>Stage III or IV CD30 positive</w:t>
            </w:r>
            <w:r w:rsidRPr="00394DDA">
              <w:rPr>
                <w:rFonts w:ascii="Arial Narrow" w:hAnsi="Arial Narrow"/>
                <w:i/>
                <w:iCs/>
                <w:sz w:val="20"/>
                <w:szCs w:val="20"/>
              </w:rPr>
              <w:t xml:space="preserve"> Hodgkin lymphoma</w:t>
            </w:r>
          </w:p>
        </w:tc>
      </w:tr>
      <w:tr w:rsidR="00C572EF" w:rsidRPr="00394DDA" w14:paraId="5E8C8F17" w14:textId="77777777" w:rsidTr="004B4229">
        <w:tblPrEx>
          <w:tblCellMar>
            <w:top w:w="15" w:type="dxa"/>
            <w:left w:w="15" w:type="dxa"/>
            <w:bottom w:w="15" w:type="dxa"/>
            <w:right w:w="15" w:type="dxa"/>
          </w:tblCellMar>
          <w:tblLook w:val="04A0" w:firstRow="1" w:lastRow="0" w:firstColumn="1" w:lastColumn="0" w:noHBand="0" w:noVBand="1"/>
        </w:tblPrEx>
        <w:tc>
          <w:tcPr>
            <w:tcW w:w="721" w:type="pct"/>
            <w:gridSpan w:val="4"/>
            <w:vAlign w:val="center"/>
            <w:hideMark/>
          </w:tcPr>
          <w:p w14:paraId="24E03D87" w14:textId="029BA308" w:rsidR="00C572EF" w:rsidRPr="00394DDA" w:rsidRDefault="00C572EF" w:rsidP="00021907">
            <w:pPr>
              <w:jc w:val="center"/>
              <w:rPr>
                <w:rFonts w:ascii="Arial Narrow" w:hAnsi="Arial Narrow"/>
                <w:color w:val="333333"/>
                <w:sz w:val="20"/>
                <w:szCs w:val="20"/>
              </w:rPr>
            </w:pPr>
          </w:p>
        </w:tc>
        <w:tc>
          <w:tcPr>
            <w:tcW w:w="4279" w:type="pct"/>
            <w:gridSpan w:val="5"/>
            <w:vAlign w:val="center"/>
            <w:hideMark/>
          </w:tcPr>
          <w:p w14:paraId="49A51E69" w14:textId="77777777" w:rsidR="00C572EF" w:rsidRPr="00394DDA" w:rsidRDefault="00C572EF" w:rsidP="00021907">
            <w:pPr>
              <w:rPr>
                <w:rFonts w:ascii="Arial Narrow" w:hAnsi="Arial Narrow"/>
                <w:color w:val="333333"/>
                <w:sz w:val="20"/>
                <w:szCs w:val="20"/>
              </w:rPr>
            </w:pPr>
            <w:r w:rsidRPr="00394DDA">
              <w:rPr>
                <w:rFonts w:ascii="Arial Narrow" w:hAnsi="Arial Narrow"/>
                <w:b/>
                <w:bCs/>
                <w:color w:val="333333"/>
                <w:sz w:val="20"/>
                <w:szCs w:val="20"/>
              </w:rPr>
              <w:t>Indication:</w:t>
            </w:r>
            <w:r w:rsidRPr="00394DDA">
              <w:rPr>
                <w:rFonts w:ascii="Arial Narrow" w:hAnsi="Arial Narrow"/>
                <w:color w:val="333333"/>
                <w:sz w:val="20"/>
                <w:szCs w:val="20"/>
              </w:rPr>
              <w:t xml:space="preserve"> Stage III or IV CD30 positive Hodgkin lymphoma.</w:t>
            </w:r>
          </w:p>
        </w:tc>
      </w:tr>
      <w:tr w:rsidR="00C572EF" w:rsidRPr="00394DDA" w14:paraId="39806B3A" w14:textId="77777777" w:rsidTr="004B4229">
        <w:tblPrEx>
          <w:tblCellMar>
            <w:top w:w="15" w:type="dxa"/>
            <w:left w:w="15" w:type="dxa"/>
            <w:bottom w:w="15" w:type="dxa"/>
            <w:right w:w="15" w:type="dxa"/>
          </w:tblCellMar>
          <w:tblLook w:val="04A0" w:firstRow="1" w:lastRow="0" w:firstColumn="1" w:lastColumn="0" w:noHBand="0" w:noVBand="1"/>
        </w:tblPrEx>
        <w:tc>
          <w:tcPr>
            <w:tcW w:w="721" w:type="pct"/>
            <w:gridSpan w:val="4"/>
            <w:vAlign w:val="center"/>
          </w:tcPr>
          <w:p w14:paraId="515A433D" w14:textId="27CA22A1" w:rsidR="00C572EF" w:rsidRPr="00394DDA" w:rsidRDefault="00C572EF" w:rsidP="00021907">
            <w:pPr>
              <w:jc w:val="center"/>
              <w:rPr>
                <w:rFonts w:ascii="Arial Narrow" w:hAnsi="Arial Narrow"/>
                <w:color w:val="333333"/>
                <w:sz w:val="20"/>
                <w:szCs w:val="20"/>
              </w:rPr>
            </w:pPr>
          </w:p>
        </w:tc>
        <w:tc>
          <w:tcPr>
            <w:tcW w:w="4279" w:type="pct"/>
            <w:gridSpan w:val="5"/>
            <w:vAlign w:val="center"/>
            <w:hideMark/>
          </w:tcPr>
          <w:p w14:paraId="0ED26BDB" w14:textId="77777777" w:rsidR="00C572EF" w:rsidRPr="00394DDA" w:rsidRDefault="00C572EF" w:rsidP="00021907">
            <w:pPr>
              <w:rPr>
                <w:rFonts w:ascii="Arial Narrow" w:hAnsi="Arial Narrow"/>
                <w:color w:val="333333"/>
                <w:sz w:val="20"/>
                <w:szCs w:val="20"/>
              </w:rPr>
            </w:pPr>
            <w:r w:rsidRPr="00394DDA">
              <w:rPr>
                <w:rFonts w:ascii="Arial Narrow" w:hAnsi="Arial Narrow"/>
                <w:b/>
                <w:bCs/>
                <w:color w:val="333333"/>
                <w:sz w:val="20"/>
                <w:szCs w:val="20"/>
              </w:rPr>
              <w:t>Clinical criteria:</w:t>
            </w:r>
          </w:p>
        </w:tc>
      </w:tr>
      <w:tr w:rsidR="00C572EF" w:rsidRPr="00394DDA" w14:paraId="5FDF4B3D" w14:textId="77777777" w:rsidTr="004B4229">
        <w:tblPrEx>
          <w:tblCellMar>
            <w:top w:w="15" w:type="dxa"/>
            <w:left w:w="15" w:type="dxa"/>
            <w:bottom w:w="15" w:type="dxa"/>
            <w:right w:w="15" w:type="dxa"/>
          </w:tblCellMar>
          <w:tblLook w:val="04A0" w:firstRow="1" w:lastRow="0" w:firstColumn="1" w:lastColumn="0" w:noHBand="0" w:noVBand="1"/>
        </w:tblPrEx>
        <w:tc>
          <w:tcPr>
            <w:tcW w:w="721" w:type="pct"/>
            <w:gridSpan w:val="4"/>
            <w:vAlign w:val="center"/>
          </w:tcPr>
          <w:p w14:paraId="0E9E7288" w14:textId="109F413A" w:rsidR="00C572EF" w:rsidRPr="00394DDA" w:rsidRDefault="00C572EF" w:rsidP="00021907">
            <w:pPr>
              <w:jc w:val="center"/>
              <w:rPr>
                <w:rFonts w:ascii="Arial Narrow" w:hAnsi="Arial Narrow"/>
                <w:color w:val="333333"/>
                <w:sz w:val="20"/>
                <w:szCs w:val="20"/>
              </w:rPr>
            </w:pPr>
          </w:p>
        </w:tc>
        <w:tc>
          <w:tcPr>
            <w:tcW w:w="4279" w:type="pct"/>
            <w:gridSpan w:val="5"/>
            <w:vAlign w:val="center"/>
          </w:tcPr>
          <w:p w14:paraId="6F9C7271" w14:textId="77777777" w:rsidR="00C572EF" w:rsidRPr="00394DDA" w:rsidRDefault="00C572EF" w:rsidP="00021907">
            <w:pPr>
              <w:rPr>
                <w:rFonts w:ascii="Arial Narrow" w:hAnsi="Arial Narrow"/>
                <w:color w:val="333333"/>
                <w:sz w:val="20"/>
                <w:szCs w:val="20"/>
              </w:rPr>
            </w:pPr>
            <w:r w:rsidRPr="00394DDA">
              <w:rPr>
                <w:rFonts w:ascii="Arial Narrow" w:hAnsi="Arial Narrow"/>
                <w:color w:val="333333"/>
                <w:sz w:val="20"/>
                <w:szCs w:val="20"/>
              </w:rPr>
              <w:t>The treatment must be for first line therapy for this condition.</w:t>
            </w:r>
          </w:p>
        </w:tc>
      </w:tr>
      <w:tr w:rsidR="00C572EF" w:rsidRPr="00394DDA" w14:paraId="67192BF3" w14:textId="77777777" w:rsidTr="004B4229">
        <w:tblPrEx>
          <w:tblCellMar>
            <w:top w:w="15" w:type="dxa"/>
            <w:left w:w="15" w:type="dxa"/>
            <w:bottom w:w="15" w:type="dxa"/>
            <w:right w:w="15" w:type="dxa"/>
          </w:tblCellMar>
          <w:tblLook w:val="04A0" w:firstRow="1" w:lastRow="0" w:firstColumn="1" w:lastColumn="0" w:noHBand="0" w:noVBand="1"/>
        </w:tblPrEx>
        <w:tc>
          <w:tcPr>
            <w:tcW w:w="721" w:type="pct"/>
            <w:gridSpan w:val="4"/>
            <w:vAlign w:val="center"/>
          </w:tcPr>
          <w:p w14:paraId="14565C79" w14:textId="77777777" w:rsidR="00C572EF" w:rsidRPr="00394DDA" w:rsidRDefault="00C572EF" w:rsidP="00021907">
            <w:pPr>
              <w:jc w:val="center"/>
              <w:rPr>
                <w:rFonts w:ascii="Arial Narrow" w:hAnsi="Arial Narrow"/>
                <w:color w:val="333333"/>
                <w:sz w:val="20"/>
                <w:szCs w:val="20"/>
              </w:rPr>
            </w:pPr>
          </w:p>
        </w:tc>
        <w:tc>
          <w:tcPr>
            <w:tcW w:w="4279" w:type="pct"/>
            <w:gridSpan w:val="5"/>
            <w:vAlign w:val="center"/>
            <w:hideMark/>
          </w:tcPr>
          <w:p w14:paraId="5026445B" w14:textId="77777777" w:rsidR="00C572EF" w:rsidRPr="00394DDA" w:rsidRDefault="00C572EF" w:rsidP="00021907">
            <w:pPr>
              <w:rPr>
                <w:rFonts w:ascii="Arial Narrow" w:hAnsi="Arial Narrow"/>
                <w:color w:val="333333"/>
                <w:sz w:val="20"/>
                <w:szCs w:val="20"/>
              </w:rPr>
            </w:pPr>
            <w:r w:rsidRPr="00394DDA">
              <w:rPr>
                <w:rFonts w:ascii="Arial Narrow" w:hAnsi="Arial Narrow"/>
                <w:b/>
                <w:bCs/>
                <w:color w:val="333333"/>
                <w:sz w:val="20"/>
                <w:szCs w:val="20"/>
              </w:rPr>
              <w:t>AND</w:t>
            </w:r>
          </w:p>
        </w:tc>
      </w:tr>
      <w:tr w:rsidR="00C572EF" w:rsidRPr="00394DDA" w14:paraId="43C432B6" w14:textId="77777777" w:rsidTr="004B4229">
        <w:tblPrEx>
          <w:tblCellMar>
            <w:top w:w="15" w:type="dxa"/>
            <w:left w:w="15" w:type="dxa"/>
            <w:bottom w:w="15" w:type="dxa"/>
            <w:right w:w="15" w:type="dxa"/>
          </w:tblCellMar>
          <w:tblLook w:val="04A0" w:firstRow="1" w:lastRow="0" w:firstColumn="1" w:lastColumn="0" w:noHBand="0" w:noVBand="1"/>
        </w:tblPrEx>
        <w:tc>
          <w:tcPr>
            <w:tcW w:w="721" w:type="pct"/>
            <w:gridSpan w:val="4"/>
            <w:vAlign w:val="center"/>
          </w:tcPr>
          <w:p w14:paraId="4BB801C3" w14:textId="4896042B" w:rsidR="00C572EF" w:rsidRPr="00394DDA" w:rsidRDefault="00C572EF" w:rsidP="00021907">
            <w:pPr>
              <w:jc w:val="center"/>
              <w:rPr>
                <w:rFonts w:ascii="Arial Narrow" w:hAnsi="Arial Narrow"/>
                <w:color w:val="333333"/>
                <w:sz w:val="20"/>
                <w:szCs w:val="20"/>
              </w:rPr>
            </w:pPr>
          </w:p>
        </w:tc>
        <w:tc>
          <w:tcPr>
            <w:tcW w:w="4279" w:type="pct"/>
            <w:gridSpan w:val="5"/>
            <w:vAlign w:val="center"/>
            <w:hideMark/>
          </w:tcPr>
          <w:p w14:paraId="6D2872AC" w14:textId="77777777" w:rsidR="00C572EF" w:rsidRPr="00394DDA" w:rsidRDefault="00C572EF" w:rsidP="00021907">
            <w:pPr>
              <w:rPr>
                <w:rFonts w:ascii="Arial Narrow" w:hAnsi="Arial Narrow"/>
                <w:color w:val="333333"/>
                <w:sz w:val="20"/>
                <w:szCs w:val="20"/>
              </w:rPr>
            </w:pPr>
            <w:r w:rsidRPr="00394DDA">
              <w:rPr>
                <w:rFonts w:ascii="Arial Narrow" w:hAnsi="Arial Narrow"/>
                <w:b/>
                <w:bCs/>
                <w:color w:val="333333"/>
                <w:sz w:val="20"/>
                <w:szCs w:val="20"/>
              </w:rPr>
              <w:t>Clinical criteria:</w:t>
            </w:r>
          </w:p>
        </w:tc>
      </w:tr>
      <w:tr w:rsidR="00C572EF" w:rsidRPr="00394DDA" w14:paraId="05B4F84C" w14:textId="77777777" w:rsidTr="004B4229">
        <w:tblPrEx>
          <w:tblCellMar>
            <w:top w:w="15" w:type="dxa"/>
            <w:left w:w="15" w:type="dxa"/>
            <w:bottom w:w="15" w:type="dxa"/>
            <w:right w:w="15" w:type="dxa"/>
          </w:tblCellMar>
          <w:tblLook w:val="04A0" w:firstRow="1" w:lastRow="0" w:firstColumn="1" w:lastColumn="0" w:noHBand="0" w:noVBand="1"/>
        </w:tblPrEx>
        <w:tc>
          <w:tcPr>
            <w:tcW w:w="721" w:type="pct"/>
            <w:gridSpan w:val="4"/>
            <w:vAlign w:val="center"/>
          </w:tcPr>
          <w:p w14:paraId="58DA3E44" w14:textId="3E2AC501" w:rsidR="00C572EF" w:rsidRPr="00394DDA" w:rsidRDefault="00C572EF" w:rsidP="00021907">
            <w:pPr>
              <w:jc w:val="center"/>
              <w:rPr>
                <w:rFonts w:ascii="Arial Narrow" w:hAnsi="Arial Narrow"/>
                <w:color w:val="333333"/>
                <w:sz w:val="20"/>
                <w:szCs w:val="20"/>
              </w:rPr>
            </w:pPr>
          </w:p>
        </w:tc>
        <w:tc>
          <w:tcPr>
            <w:tcW w:w="4279" w:type="pct"/>
            <w:gridSpan w:val="5"/>
            <w:vAlign w:val="center"/>
            <w:hideMark/>
          </w:tcPr>
          <w:p w14:paraId="4793A1DA" w14:textId="77777777" w:rsidR="00C572EF" w:rsidRPr="00394DDA" w:rsidRDefault="00C572EF" w:rsidP="00021907">
            <w:pPr>
              <w:rPr>
                <w:rFonts w:ascii="Arial Narrow" w:hAnsi="Arial Narrow"/>
                <w:color w:val="333333"/>
                <w:sz w:val="20"/>
                <w:szCs w:val="20"/>
              </w:rPr>
            </w:pPr>
            <w:r w:rsidRPr="00394DDA">
              <w:rPr>
                <w:rFonts w:ascii="Arial Narrow" w:hAnsi="Arial Narrow"/>
                <w:color w:val="333333"/>
                <w:sz w:val="20"/>
                <w:szCs w:val="20"/>
              </w:rPr>
              <w:t>The treatment must be for curative intent.</w:t>
            </w:r>
          </w:p>
        </w:tc>
      </w:tr>
      <w:tr w:rsidR="00C572EF" w:rsidRPr="00394DDA" w14:paraId="48F7936B" w14:textId="77777777" w:rsidTr="004B4229">
        <w:tblPrEx>
          <w:tblCellMar>
            <w:top w:w="15" w:type="dxa"/>
            <w:left w:w="15" w:type="dxa"/>
            <w:bottom w:w="15" w:type="dxa"/>
            <w:right w:w="15" w:type="dxa"/>
          </w:tblCellMar>
          <w:tblLook w:val="04A0" w:firstRow="1" w:lastRow="0" w:firstColumn="1" w:lastColumn="0" w:noHBand="0" w:noVBand="1"/>
        </w:tblPrEx>
        <w:tc>
          <w:tcPr>
            <w:tcW w:w="721" w:type="pct"/>
            <w:gridSpan w:val="4"/>
            <w:vAlign w:val="center"/>
          </w:tcPr>
          <w:p w14:paraId="0AA635C2" w14:textId="77777777" w:rsidR="00C572EF" w:rsidRPr="00394DDA" w:rsidRDefault="00C572EF" w:rsidP="00021907">
            <w:pPr>
              <w:jc w:val="center"/>
              <w:rPr>
                <w:rFonts w:ascii="Arial Narrow" w:hAnsi="Arial Narrow"/>
                <w:color w:val="333333"/>
                <w:sz w:val="20"/>
                <w:szCs w:val="20"/>
              </w:rPr>
            </w:pPr>
          </w:p>
        </w:tc>
        <w:tc>
          <w:tcPr>
            <w:tcW w:w="4279" w:type="pct"/>
            <w:gridSpan w:val="5"/>
            <w:vAlign w:val="center"/>
          </w:tcPr>
          <w:p w14:paraId="25690528" w14:textId="77777777" w:rsidR="00C572EF" w:rsidRPr="00394DDA" w:rsidRDefault="00C572EF" w:rsidP="00021907">
            <w:pPr>
              <w:rPr>
                <w:rFonts w:ascii="Arial Narrow" w:hAnsi="Arial Narrow"/>
                <w:b/>
                <w:bCs/>
                <w:color w:val="333333"/>
                <w:sz w:val="20"/>
                <w:szCs w:val="20"/>
              </w:rPr>
            </w:pPr>
            <w:r w:rsidRPr="00394DDA">
              <w:rPr>
                <w:rFonts w:ascii="Arial Narrow" w:hAnsi="Arial Narrow"/>
                <w:b/>
                <w:bCs/>
                <w:color w:val="333333"/>
                <w:sz w:val="20"/>
                <w:szCs w:val="20"/>
              </w:rPr>
              <w:t>AND</w:t>
            </w:r>
          </w:p>
        </w:tc>
      </w:tr>
      <w:tr w:rsidR="00C572EF" w:rsidRPr="00394DDA" w14:paraId="064AF70D" w14:textId="77777777" w:rsidTr="004B4229">
        <w:tblPrEx>
          <w:tblCellMar>
            <w:top w:w="15" w:type="dxa"/>
            <w:left w:w="15" w:type="dxa"/>
            <w:bottom w:w="15" w:type="dxa"/>
            <w:right w:w="15" w:type="dxa"/>
          </w:tblCellMar>
          <w:tblLook w:val="04A0" w:firstRow="1" w:lastRow="0" w:firstColumn="1" w:lastColumn="0" w:noHBand="0" w:noVBand="1"/>
        </w:tblPrEx>
        <w:tc>
          <w:tcPr>
            <w:tcW w:w="721" w:type="pct"/>
            <w:gridSpan w:val="4"/>
            <w:vAlign w:val="center"/>
          </w:tcPr>
          <w:p w14:paraId="5CDF3913" w14:textId="09D499F9" w:rsidR="00C572EF" w:rsidRPr="00394DDA" w:rsidRDefault="00C572EF" w:rsidP="00021907">
            <w:pPr>
              <w:jc w:val="center"/>
              <w:rPr>
                <w:rFonts w:ascii="Arial Narrow" w:hAnsi="Arial Narrow"/>
                <w:color w:val="333333"/>
                <w:sz w:val="20"/>
                <w:szCs w:val="20"/>
              </w:rPr>
            </w:pPr>
          </w:p>
        </w:tc>
        <w:tc>
          <w:tcPr>
            <w:tcW w:w="4279" w:type="pct"/>
            <w:gridSpan w:val="5"/>
            <w:vAlign w:val="center"/>
            <w:hideMark/>
          </w:tcPr>
          <w:p w14:paraId="7A9D797F" w14:textId="77777777" w:rsidR="00C572EF" w:rsidRPr="00394DDA" w:rsidRDefault="00C572EF" w:rsidP="00021907">
            <w:pPr>
              <w:rPr>
                <w:rFonts w:ascii="Arial Narrow" w:hAnsi="Arial Narrow"/>
                <w:color w:val="333333"/>
                <w:sz w:val="20"/>
                <w:szCs w:val="20"/>
              </w:rPr>
            </w:pPr>
            <w:r w:rsidRPr="00394DDA">
              <w:rPr>
                <w:rFonts w:ascii="Arial Narrow" w:hAnsi="Arial Narrow"/>
                <w:b/>
                <w:bCs/>
                <w:color w:val="333333"/>
                <w:sz w:val="20"/>
                <w:szCs w:val="20"/>
              </w:rPr>
              <w:t>Clinical criteria:</w:t>
            </w:r>
          </w:p>
        </w:tc>
      </w:tr>
      <w:tr w:rsidR="00C572EF" w:rsidRPr="00394DDA" w14:paraId="47813F28" w14:textId="77777777" w:rsidTr="004B4229">
        <w:tblPrEx>
          <w:tblCellMar>
            <w:top w:w="15" w:type="dxa"/>
            <w:left w:w="15" w:type="dxa"/>
            <w:bottom w:w="15" w:type="dxa"/>
            <w:right w:w="15" w:type="dxa"/>
          </w:tblCellMar>
          <w:tblLook w:val="04A0" w:firstRow="1" w:lastRow="0" w:firstColumn="1" w:lastColumn="0" w:noHBand="0" w:noVBand="1"/>
        </w:tblPrEx>
        <w:tc>
          <w:tcPr>
            <w:tcW w:w="721" w:type="pct"/>
            <w:gridSpan w:val="4"/>
            <w:vAlign w:val="center"/>
          </w:tcPr>
          <w:p w14:paraId="04F44F38" w14:textId="3C239A6F" w:rsidR="00C572EF" w:rsidRPr="00394DDA" w:rsidRDefault="00C572EF" w:rsidP="00021907">
            <w:pPr>
              <w:jc w:val="center"/>
              <w:rPr>
                <w:rFonts w:ascii="Arial Narrow" w:hAnsi="Arial Narrow"/>
                <w:color w:val="333333"/>
                <w:sz w:val="20"/>
                <w:szCs w:val="20"/>
              </w:rPr>
            </w:pPr>
          </w:p>
        </w:tc>
        <w:tc>
          <w:tcPr>
            <w:tcW w:w="4279" w:type="pct"/>
            <w:gridSpan w:val="5"/>
            <w:hideMark/>
          </w:tcPr>
          <w:p w14:paraId="2B8FD23D" w14:textId="77777777" w:rsidR="00C572EF" w:rsidRPr="00394DDA" w:rsidRDefault="00C572EF" w:rsidP="00021907">
            <w:pPr>
              <w:jc w:val="left"/>
              <w:rPr>
                <w:rFonts w:ascii="Arial Narrow" w:hAnsi="Arial Narrow"/>
                <w:color w:val="333333"/>
                <w:sz w:val="20"/>
                <w:szCs w:val="20"/>
              </w:rPr>
            </w:pPr>
            <w:r w:rsidRPr="00394DDA">
              <w:rPr>
                <w:rFonts w:ascii="Arial Narrow" w:hAnsi="Arial Narrow"/>
                <w:color w:val="333333"/>
                <w:sz w:val="20"/>
                <w:szCs w:val="20"/>
              </w:rPr>
              <w:t>The treatment must be in combination with a multi-drug chemotherapy regimen</w:t>
            </w:r>
            <w:r>
              <w:rPr>
                <w:rFonts w:ascii="Arial Narrow" w:hAnsi="Arial Narrow"/>
                <w:color w:val="333333"/>
                <w:sz w:val="20"/>
                <w:szCs w:val="20"/>
              </w:rPr>
              <w:t>.</w:t>
            </w:r>
            <w:r w:rsidRPr="00394DDA">
              <w:rPr>
                <w:rFonts w:ascii="Arial Narrow" w:hAnsi="Arial Narrow"/>
                <w:strike/>
                <w:color w:val="333333"/>
                <w:sz w:val="20"/>
                <w:szCs w:val="20"/>
              </w:rPr>
              <w:t xml:space="preserve"> </w:t>
            </w:r>
          </w:p>
        </w:tc>
      </w:tr>
      <w:tr w:rsidR="00C572EF" w:rsidRPr="00394DDA" w14:paraId="0EC6ABAD" w14:textId="77777777" w:rsidTr="004B4229">
        <w:tblPrEx>
          <w:tblCellMar>
            <w:top w:w="15" w:type="dxa"/>
            <w:left w:w="15" w:type="dxa"/>
            <w:bottom w:w="15" w:type="dxa"/>
            <w:right w:w="15" w:type="dxa"/>
          </w:tblCellMar>
          <w:tblLook w:val="04A0" w:firstRow="1" w:lastRow="0" w:firstColumn="1" w:lastColumn="0" w:noHBand="0" w:noVBand="1"/>
        </w:tblPrEx>
        <w:tc>
          <w:tcPr>
            <w:tcW w:w="721" w:type="pct"/>
            <w:gridSpan w:val="4"/>
            <w:vAlign w:val="center"/>
          </w:tcPr>
          <w:p w14:paraId="4460C8EF" w14:textId="77777777" w:rsidR="00C572EF" w:rsidRPr="00394DDA" w:rsidRDefault="00C572EF" w:rsidP="00021907">
            <w:pPr>
              <w:jc w:val="center"/>
              <w:rPr>
                <w:rFonts w:ascii="Arial Narrow" w:hAnsi="Arial Narrow"/>
                <w:color w:val="333333"/>
                <w:sz w:val="20"/>
                <w:szCs w:val="20"/>
              </w:rPr>
            </w:pPr>
          </w:p>
        </w:tc>
        <w:tc>
          <w:tcPr>
            <w:tcW w:w="4279" w:type="pct"/>
            <w:gridSpan w:val="5"/>
            <w:vAlign w:val="center"/>
          </w:tcPr>
          <w:p w14:paraId="500945C6" w14:textId="77777777" w:rsidR="00C572EF" w:rsidRPr="00394DDA" w:rsidRDefault="00C572EF" w:rsidP="00021907">
            <w:pPr>
              <w:rPr>
                <w:rFonts w:ascii="Arial Narrow" w:hAnsi="Arial Narrow"/>
                <w:color w:val="333333"/>
                <w:sz w:val="20"/>
                <w:szCs w:val="20"/>
              </w:rPr>
            </w:pPr>
            <w:r w:rsidRPr="00394DDA">
              <w:rPr>
                <w:rFonts w:ascii="Arial Narrow" w:hAnsi="Arial Narrow"/>
                <w:b/>
                <w:bCs/>
                <w:color w:val="333333"/>
                <w:sz w:val="20"/>
                <w:szCs w:val="20"/>
              </w:rPr>
              <w:t>AND</w:t>
            </w:r>
          </w:p>
        </w:tc>
      </w:tr>
      <w:tr w:rsidR="00C572EF" w:rsidRPr="00394DDA" w14:paraId="5E627E05" w14:textId="77777777" w:rsidTr="004B4229">
        <w:tblPrEx>
          <w:tblCellMar>
            <w:top w:w="15" w:type="dxa"/>
            <w:left w:w="15" w:type="dxa"/>
            <w:bottom w:w="15" w:type="dxa"/>
            <w:right w:w="15" w:type="dxa"/>
          </w:tblCellMar>
          <w:tblLook w:val="04A0" w:firstRow="1" w:lastRow="0" w:firstColumn="1" w:lastColumn="0" w:noHBand="0" w:noVBand="1"/>
        </w:tblPrEx>
        <w:tc>
          <w:tcPr>
            <w:tcW w:w="721" w:type="pct"/>
            <w:gridSpan w:val="4"/>
            <w:vAlign w:val="center"/>
          </w:tcPr>
          <w:p w14:paraId="76B4D127" w14:textId="3CE857E9" w:rsidR="00C572EF" w:rsidRPr="00394DDA" w:rsidRDefault="00C572EF" w:rsidP="00021907">
            <w:pPr>
              <w:jc w:val="center"/>
              <w:rPr>
                <w:rFonts w:ascii="Arial Narrow" w:hAnsi="Arial Narrow"/>
                <w:color w:val="333333"/>
                <w:sz w:val="20"/>
                <w:szCs w:val="20"/>
              </w:rPr>
            </w:pPr>
          </w:p>
        </w:tc>
        <w:tc>
          <w:tcPr>
            <w:tcW w:w="4279" w:type="pct"/>
            <w:gridSpan w:val="5"/>
            <w:vAlign w:val="center"/>
          </w:tcPr>
          <w:p w14:paraId="11C8C60C" w14:textId="77777777" w:rsidR="00C572EF" w:rsidRPr="00394DDA" w:rsidRDefault="00C572EF" w:rsidP="00021907">
            <w:pPr>
              <w:rPr>
                <w:rFonts w:ascii="Arial Narrow" w:hAnsi="Arial Narrow"/>
                <w:color w:val="333333"/>
                <w:sz w:val="20"/>
                <w:szCs w:val="20"/>
              </w:rPr>
            </w:pPr>
            <w:r w:rsidRPr="00394DDA">
              <w:rPr>
                <w:rFonts w:ascii="Arial Narrow" w:hAnsi="Arial Narrow"/>
                <w:b/>
                <w:bCs/>
                <w:color w:val="333333"/>
                <w:sz w:val="20"/>
                <w:szCs w:val="20"/>
              </w:rPr>
              <w:t>Clinical criteria:</w:t>
            </w:r>
          </w:p>
        </w:tc>
      </w:tr>
      <w:tr w:rsidR="00C572EF" w:rsidRPr="00394DDA" w14:paraId="6BAE3C93" w14:textId="77777777" w:rsidTr="004B4229">
        <w:tblPrEx>
          <w:tblCellMar>
            <w:top w:w="15" w:type="dxa"/>
            <w:left w:w="15" w:type="dxa"/>
            <w:bottom w:w="15" w:type="dxa"/>
            <w:right w:w="15" w:type="dxa"/>
          </w:tblCellMar>
          <w:tblLook w:val="04A0" w:firstRow="1" w:lastRow="0" w:firstColumn="1" w:lastColumn="0" w:noHBand="0" w:noVBand="1"/>
        </w:tblPrEx>
        <w:tc>
          <w:tcPr>
            <w:tcW w:w="721" w:type="pct"/>
            <w:gridSpan w:val="4"/>
            <w:vAlign w:val="center"/>
          </w:tcPr>
          <w:p w14:paraId="0389607C" w14:textId="38815957" w:rsidR="00C572EF" w:rsidRPr="00394DDA" w:rsidRDefault="00C572EF" w:rsidP="00021907">
            <w:pPr>
              <w:jc w:val="center"/>
              <w:rPr>
                <w:rFonts w:ascii="Arial Narrow" w:hAnsi="Arial Narrow"/>
                <w:color w:val="333333"/>
                <w:sz w:val="20"/>
                <w:szCs w:val="20"/>
              </w:rPr>
            </w:pPr>
          </w:p>
        </w:tc>
        <w:tc>
          <w:tcPr>
            <w:tcW w:w="4279" w:type="pct"/>
            <w:gridSpan w:val="5"/>
            <w:vAlign w:val="center"/>
          </w:tcPr>
          <w:p w14:paraId="48472048" w14:textId="77777777" w:rsidR="00C572EF" w:rsidRPr="00394DDA" w:rsidRDefault="00C572EF" w:rsidP="00021907">
            <w:pPr>
              <w:rPr>
                <w:rFonts w:ascii="Arial Narrow" w:hAnsi="Arial Narrow"/>
                <w:color w:val="333333"/>
                <w:sz w:val="20"/>
                <w:szCs w:val="20"/>
              </w:rPr>
            </w:pPr>
            <w:r w:rsidRPr="00394DDA">
              <w:rPr>
                <w:rFonts w:ascii="Arial Narrow" w:hAnsi="Arial Narrow"/>
                <w:color w:val="333333"/>
                <w:sz w:val="20"/>
                <w:szCs w:val="20"/>
              </w:rPr>
              <w:t>The treatment must not be for more than 6 treatment cycles under this restriction in a lifetime.</w:t>
            </w:r>
          </w:p>
        </w:tc>
      </w:tr>
      <w:tr w:rsidR="00C572EF" w:rsidRPr="00394DDA" w14:paraId="5D4C0257" w14:textId="77777777" w:rsidTr="004B4229">
        <w:tblPrEx>
          <w:tblCellMar>
            <w:top w:w="15" w:type="dxa"/>
            <w:left w:w="15" w:type="dxa"/>
            <w:bottom w:w="15" w:type="dxa"/>
            <w:right w:w="15" w:type="dxa"/>
          </w:tblCellMar>
          <w:tblLook w:val="04A0" w:firstRow="1" w:lastRow="0" w:firstColumn="1" w:lastColumn="0" w:noHBand="0" w:noVBand="1"/>
        </w:tblPrEx>
        <w:trPr>
          <w:cantSplit/>
        </w:trPr>
        <w:tc>
          <w:tcPr>
            <w:tcW w:w="721" w:type="pct"/>
            <w:gridSpan w:val="4"/>
            <w:vAlign w:val="center"/>
          </w:tcPr>
          <w:p w14:paraId="1AE13FFE" w14:textId="7D592AAC" w:rsidR="00C572EF" w:rsidRDefault="00C572EF" w:rsidP="00021907">
            <w:pPr>
              <w:jc w:val="center"/>
              <w:rPr>
                <w:rFonts w:ascii="Arial Narrow" w:hAnsi="Arial Narrow"/>
                <w:i/>
                <w:iCs/>
                <w:color w:val="333333"/>
                <w:sz w:val="20"/>
                <w:szCs w:val="20"/>
              </w:rPr>
            </w:pPr>
          </w:p>
          <w:p w14:paraId="4E60A360" w14:textId="60C6FC8C" w:rsidR="00C572EF" w:rsidRPr="009B0370" w:rsidRDefault="00C572EF" w:rsidP="00021907">
            <w:pPr>
              <w:jc w:val="center"/>
              <w:rPr>
                <w:rFonts w:ascii="Arial Narrow" w:hAnsi="Arial Narrow"/>
                <w:i/>
                <w:iCs/>
                <w:color w:val="333333"/>
                <w:sz w:val="20"/>
                <w:szCs w:val="20"/>
              </w:rPr>
            </w:pPr>
          </w:p>
        </w:tc>
        <w:tc>
          <w:tcPr>
            <w:tcW w:w="4279" w:type="pct"/>
            <w:gridSpan w:val="5"/>
            <w:vAlign w:val="center"/>
          </w:tcPr>
          <w:p w14:paraId="6C688B3D" w14:textId="77777777" w:rsidR="00C572EF" w:rsidRPr="00394DDA" w:rsidRDefault="00C572EF" w:rsidP="00021907">
            <w:pPr>
              <w:rPr>
                <w:rFonts w:ascii="Arial Narrow" w:hAnsi="Arial Narrow"/>
                <w:b/>
                <w:bCs/>
                <w:color w:val="333333"/>
                <w:sz w:val="20"/>
                <w:szCs w:val="20"/>
              </w:rPr>
            </w:pPr>
            <w:r w:rsidRPr="00394DDA">
              <w:rPr>
                <w:rFonts w:ascii="Arial Narrow" w:hAnsi="Arial Narrow"/>
                <w:b/>
                <w:bCs/>
                <w:color w:val="333333"/>
                <w:sz w:val="20"/>
                <w:szCs w:val="20"/>
              </w:rPr>
              <w:t>Prescribing Instructions:</w:t>
            </w:r>
          </w:p>
          <w:p w14:paraId="01B29C8C" w14:textId="77777777" w:rsidR="00C572EF" w:rsidRPr="00394DDA" w:rsidRDefault="00C572EF" w:rsidP="00021907">
            <w:pPr>
              <w:rPr>
                <w:rFonts w:ascii="Arial Narrow" w:hAnsi="Arial Narrow"/>
                <w:color w:val="333333"/>
                <w:sz w:val="20"/>
                <w:szCs w:val="20"/>
              </w:rPr>
            </w:pPr>
            <w:r w:rsidRPr="00394DDA">
              <w:rPr>
                <w:rFonts w:ascii="Arial Narrow" w:hAnsi="Arial Narrow"/>
                <w:color w:val="333333"/>
                <w:sz w:val="20"/>
                <w:szCs w:val="20"/>
              </w:rPr>
              <w:t>Applications for authorisation of initial treatment must be made via the Online PBS Authorities System (real time assessment), or in writing via HPOS form upload or mail.</w:t>
            </w:r>
          </w:p>
          <w:p w14:paraId="3C2C643A" w14:textId="77777777" w:rsidR="00C572EF" w:rsidRPr="00394DDA" w:rsidRDefault="00C572EF" w:rsidP="00021907">
            <w:pPr>
              <w:rPr>
                <w:rFonts w:ascii="Arial Narrow" w:hAnsi="Arial Narrow"/>
                <w:color w:val="333333"/>
                <w:sz w:val="20"/>
                <w:szCs w:val="20"/>
              </w:rPr>
            </w:pPr>
            <w:r w:rsidRPr="00394DDA">
              <w:rPr>
                <w:rFonts w:ascii="Arial Narrow" w:hAnsi="Arial Narrow"/>
                <w:color w:val="333333"/>
                <w:sz w:val="20"/>
                <w:szCs w:val="20"/>
              </w:rPr>
              <w:t>If the application is submitted through HPOS upload or mail, it must include:</w:t>
            </w:r>
          </w:p>
          <w:p w14:paraId="0E0DD5D9" w14:textId="77777777" w:rsidR="00C572EF" w:rsidRPr="00394DDA" w:rsidRDefault="00C572EF" w:rsidP="00021907">
            <w:pPr>
              <w:rPr>
                <w:rFonts w:ascii="Arial Narrow" w:hAnsi="Arial Narrow"/>
                <w:color w:val="333333"/>
                <w:sz w:val="20"/>
                <w:szCs w:val="20"/>
              </w:rPr>
            </w:pPr>
            <w:r w:rsidRPr="00394DDA">
              <w:rPr>
                <w:rFonts w:ascii="Arial Narrow" w:hAnsi="Arial Narrow"/>
                <w:color w:val="333333"/>
                <w:sz w:val="20"/>
                <w:szCs w:val="20"/>
              </w:rPr>
              <w:t>(a)</w:t>
            </w:r>
            <w:r>
              <w:rPr>
                <w:rFonts w:ascii="Arial Narrow" w:hAnsi="Arial Narrow"/>
                <w:color w:val="333333"/>
                <w:sz w:val="20"/>
                <w:szCs w:val="20"/>
              </w:rPr>
              <w:t xml:space="preserve"> </w:t>
            </w:r>
            <w:r>
              <w:rPr>
                <w:rFonts w:ascii="Arial Narrow" w:hAnsi="Arial Narrow"/>
                <w:i/>
                <w:iCs/>
                <w:color w:val="333333"/>
                <w:sz w:val="20"/>
                <w:szCs w:val="20"/>
              </w:rPr>
              <w:t>details of the proposed prescription</w:t>
            </w:r>
            <w:r w:rsidRPr="00394DDA">
              <w:rPr>
                <w:rFonts w:ascii="Arial Narrow" w:hAnsi="Arial Narrow"/>
                <w:color w:val="333333"/>
                <w:sz w:val="20"/>
                <w:szCs w:val="20"/>
              </w:rPr>
              <w:t xml:space="preserve"> </w:t>
            </w:r>
            <w:r w:rsidRPr="00C819A9">
              <w:rPr>
                <w:rFonts w:ascii="Arial Narrow" w:hAnsi="Arial Narrow"/>
                <w:strike/>
                <w:color w:val="333333"/>
                <w:sz w:val="20"/>
                <w:szCs w:val="20"/>
              </w:rPr>
              <w:t>a completed authority prescription form</w:t>
            </w:r>
            <w:r w:rsidRPr="00394DDA">
              <w:rPr>
                <w:rFonts w:ascii="Arial Narrow" w:hAnsi="Arial Narrow"/>
                <w:color w:val="333333"/>
                <w:sz w:val="20"/>
                <w:szCs w:val="20"/>
              </w:rPr>
              <w:t>; and</w:t>
            </w:r>
          </w:p>
          <w:p w14:paraId="43D1A8F8" w14:textId="77777777" w:rsidR="00C572EF" w:rsidRPr="00394DDA" w:rsidRDefault="00C572EF" w:rsidP="00021907">
            <w:pPr>
              <w:rPr>
                <w:rFonts w:ascii="Arial Narrow" w:hAnsi="Arial Narrow"/>
                <w:color w:val="333333"/>
                <w:sz w:val="20"/>
                <w:szCs w:val="20"/>
              </w:rPr>
            </w:pPr>
            <w:r w:rsidRPr="00394DDA">
              <w:rPr>
                <w:rFonts w:ascii="Arial Narrow" w:hAnsi="Arial Narrow"/>
                <w:color w:val="333333"/>
                <w:sz w:val="20"/>
                <w:szCs w:val="20"/>
              </w:rPr>
              <w:t>(b) a completed authority application form relevant to the indication and treatment phase (the latest version is located on the website specified in the Administrative Advice).</w:t>
            </w:r>
          </w:p>
        </w:tc>
      </w:tr>
      <w:bookmarkEnd w:id="11"/>
    </w:tbl>
    <w:p w14:paraId="614A9914" w14:textId="77777777" w:rsidR="00E551BE" w:rsidRDefault="00E551BE" w:rsidP="005C2E3E">
      <w:pPr>
        <w:pStyle w:val="COMexecsummnumbered"/>
        <w:numPr>
          <w:ilvl w:val="0"/>
          <w:numId w:val="0"/>
        </w:numPr>
      </w:pPr>
    </w:p>
    <w:p w14:paraId="059997BC" w14:textId="54A1A287" w:rsidR="00F67A69" w:rsidRPr="007F66A7" w:rsidRDefault="00494FFC" w:rsidP="00494FFC">
      <w:pPr>
        <w:pStyle w:val="COMexecsummnumbered"/>
      </w:pPr>
      <w:r w:rsidRPr="007F66A7">
        <w:t>The resubmission proposed a special pricing arrangement with an effective AEMP of $</w:t>
      </w:r>
      <w:r w:rsidR="00AA4CCB" w:rsidRPr="003441AB">
        <w:rPr>
          <w:color w:val="000000"/>
          <w:w w:val="61"/>
          <w:shd w:val="solid" w:color="000000" w:fill="000000"/>
          <w:fitText w:val="475" w:id="-628904702"/>
          <w14:textFill>
            <w14:solidFill>
              <w14:srgbClr w14:val="000000">
                <w14:alpha w14:val="100000"/>
              </w14:srgbClr>
            </w14:solidFill>
          </w14:textFill>
        </w:rPr>
        <w:t>|||  ||</w:t>
      </w:r>
      <w:r w:rsidR="00AA4CCB" w:rsidRPr="003441AB">
        <w:rPr>
          <w:color w:val="000000"/>
          <w:spacing w:val="5"/>
          <w:w w:val="61"/>
          <w:shd w:val="solid" w:color="000000" w:fill="000000"/>
          <w:fitText w:val="475" w:id="-628904702"/>
          <w14:textFill>
            <w14:solidFill>
              <w14:srgbClr w14:val="000000">
                <w14:alpha w14:val="100000"/>
              </w14:srgbClr>
            </w14:solidFill>
          </w14:textFill>
        </w:rPr>
        <w:t>|</w:t>
      </w:r>
      <w:r w:rsidRPr="007F66A7">
        <w:t xml:space="preserve"> per vial and a published AEMP of $4,655 per vial. This is the same </w:t>
      </w:r>
      <w:r w:rsidR="00CC33CC" w:rsidRPr="007F66A7">
        <w:t>as</w:t>
      </w:r>
      <w:r w:rsidRPr="007F66A7">
        <w:t xml:space="preserve"> the previous submission.</w:t>
      </w:r>
      <w:r w:rsidR="00162E0A" w:rsidRPr="007F66A7">
        <w:t xml:space="preserve"> </w:t>
      </w:r>
      <w:r w:rsidR="00FF3046" w:rsidRPr="007F66A7">
        <w:t xml:space="preserve">The PBS listings of brentuximab </w:t>
      </w:r>
      <w:r w:rsidR="005A1CE3" w:rsidRPr="007F66A7">
        <w:t>vedotin for relapsed or refractory disease are subject to special pricing arrangements, with effective AEM</w:t>
      </w:r>
      <w:r w:rsidR="008E2D0B" w:rsidRPr="007F66A7">
        <w:t>Ps</w:t>
      </w:r>
      <w:r w:rsidR="000514E4" w:rsidRPr="007F66A7">
        <w:t xml:space="preserve"> per vial</w:t>
      </w:r>
      <w:r w:rsidR="008E2D0B" w:rsidRPr="007F66A7">
        <w:t xml:space="preserve"> </w:t>
      </w:r>
      <w:r w:rsidR="005A1CE3" w:rsidRPr="007F66A7">
        <w:t xml:space="preserve">of </w:t>
      </w:r>
      <w:r w:rsidR="008E2D0B" w:rsidRPr="007F66A7">
        <w:t>$</w:t>
      </w:r>
      <w:r w:rsidR="00AA4CCB" w:rsidRPr="003441AB">
        <w:rPr>
          <w:color w:val="000000"/>
          <w:w w:val="61"/>
          <w:shd w:val="solid" w:color="000000" w:fill="000000"/>
          <w:fitText w:val="475" w:id="-628904701"/>
          <w14:textFill>
            <w14:solidFill>
              <w14:srgbClr w14:val="000000">
                <w14:alpha w14:val="100000"/>
              </w14:srgbClr>
            </w14:solidFill>
          </w14:textFill>
        </w:rPr>
        <w:t>|||  ||</w:t>
      </w:r>
      <w:r w:rsidR="00AA4CCB" w:rsidRPr="003441AB">
        <w:rPr>
          <w:color w:val="000000"/>
          <w:spacing w:val="5"/>
          <w:w w:val="61"/>
          <w:shd w:val="solid" w:color="000000" w:fill="000000"/>
          <w:fitText w:val="475" w:id="-628904701"/>
          <w14:textFill>
            <w14:solidFill>
              <w14:srgbClr w14:val="000000">
                <w14:alpha w14:val="100000"/>
              </w14:srgbClr>
            </w14:solidFill>
          </w14:textFill>
        </w:rPr>
        <w:t>|</w:t>
      </w:r>
      <w:r w:rsidR="005A1CE3" w:rsidRPr="007F66A7">
        <w:t xml:space="preserve"> for </w:t>
      </w:r>
      <w:r w:rsidR="008E2D0B" w:rsidRPr="007F66A7">
        <w:t xml:space="preserve">the ASCT naïve and </w:t>
      </w:r>
      <w:r w:rsidR="000514E4" w:rsidRPr="007F66A7">
        <w:t>$</w:t>
      </w:r>
      <w:r w:rsidR="00AA4CCB" w:rsidRPr="003441AB">
        <w:rPr>
          <w:color w:val="000000"/>
          <w:w w:val="61"/>
          <w:shd w:val="solid" w:color="000000" w:fill="000000"/>
          <w:fitText w:val="475" w:id="-628904700"/>
          <w14:textFill>
            <w14:solidFill>
              <w14:srgbClr w14:val="000000">
                <w14:alpha w14:val="100000"/>
              </w14:srgbClr>
            </w14:solidFill>
          </w14:textFill>
        </w:rPr>
        <w:t>|||  ||</w:t>
      </w:r>
      <w:r w:rsidR="00AA4CCB" w:rsidRPr="003441AB">
        <w:rPr>
          <w:color w:val="000000"/>
          <w:spacing w:val="5"/>
          <w:w w:val="61"/>
          <w:shd w:val="solid" w:color="000000" w:fill="000000"/>
          <w:fitText w:val="475" w:id="-628904700"/>
          <w14:textFill>
            <w14:solidFill>
              <w14:srgbClr w14:val="000000">
                <w14:alpha w14:val="100000"/>
              </w14:srgbClr>
            </w14:solidFill>
          </w14:textFill>
        </w:rPr>
        <w:t>|</w:t>
      </w:r>
      <w:r w:rsidR="000514E4" w:rsidRPr="007F66A7">
        <w:t xml:space="preserve"> for the post ASCT indications. </w:t>
      </w:r>
      <w:r w:rsidR="005A1CE3" w:rsidRPr="007F66A7">
        <w:t xml:space="preserve"> </w:t>
      </w:r>
    </w:p>
    <w:p w14:paraId="20298DA0" w14:textId="36F82891" w:rsidR="00370D38" w:rsidRPr="00D26427" w:rsidRDefault="00370D38" w:rsidP="00494FFC">
      <w:pPr>
        <w:pStyle w:val="COMexecsummnumbered"/>
      </w:pPr>
      <w:r w:rsidRPr="00D26427">
        <w:t xml:space="preserve">The requested restriction in the March 2024 submission specified that treatment with brentuximab vedotin must be in combination with doxorubicin, vinblastine and dacarbazine. However, it was noted that that while doxorubicin and vinblastine have unrestricted listings on the PBS/RPBS, dacarbazine is neither TGA-approved nor listed on the PBS for treatment of Hodgkin lymphoma, which may lead to equity of access </w:t>
      </w:r>
      <w:r w:rsidRPr="00D26427">
        <w:lastRenderedPageBreak/>
        <w:t>issues for the A+AVD regimen</w:t>
      </w:r>
      <w:r w:rsidR="00090F5C" w:rsidRPr="00D26427">
        <w:t>,</w:t>
      </w:r>
      <w:r w:rsidRPr="00D26427">
        <w:t xml:space="preserve"> although this would also apply to the nominated main comparator, PET-adapted ABVD (para 3.6. brentuximab vedotin PSD, March 2024 PBAC meeting).</w:t>
      </w:r>
      <w:r w:rsidR="00A925EF" w:rsidRPr="00D26427">
        <w:t xml:space="preserve"> The ESC noted that ABVD has been standard of care in </w:t>
      </w:r>
      <w:r w:rsidR="00746CAA" w:rsidRPr="00D26427">
        <w:t>Hodgkin</w:t>
      </w:r>
      <w:r w:rsidR="00A925EF" w:rsidRPr="00D26427">
        <w:t xml:space="preserve"> lymphoma for decades in Australia and access to dacarbazine has not been an issue.</w:t>
      </w:r>
    </w:p>
    <w:p w14:paraId="10A9EBCE" w14:textId="15AB3A2F" w:rsidR="00370D38" w:rsidRPr="00D26427" w:rsidRDefault="004A1E12" w:rsidP="005329AB">
      <w:pPr>
        <w:pStyle w:val="COMexecsummnumbered"/>
      </w:pPr>
      <w:bookmarkStart w:id="12" w:name="_Ref201155041"/>
      <w:r w:rsidRPr="00D26427">
        <w:t xml:space="preserve">The resubmission noted proposed amendments in the March 2024 Secretariat comments, that the clinical criteria specify use in combination with doxorubicin and vinblastine only (i.e. agnostic to the use of dacarbazine). However, the resubmission stated that the landscape for </w:t>
      </w:r>
      <w:r w:rsidR="009B0496" w:rsidRPr="00D26427">
        <w:t>first-line</w:t>
      </w:r>
      <w:r w:rsidRPr="00D26427">
        <w:t xml:space="preserve"> treatment of advanced Hodgkin lymphoma is evolving</w:t>
      </w:r>
      <w:r w:rsidR="00FB5790" w:rsidRPr="00D26427">
        <w:t>,</w:t>
      </w:r>
      <w:r w:rsidRPr="00D26427">
        <w:t xml:space="preserve"> and that a less prescriptive criterion would allow greater flexibility for clinicians to prescribe brentuximab vedotin with different chemotherapy regimens (e.g. PET-adapted </w:t>
      </w:r>
      <w:proofErr w:type="spellStart"/>
      <w:r w:rsidRPr="00D26427">
        <w:t>BrECADD</w:t>
      </w:r>
      <w:proofErr w:type="spellEnd"/>
      <w:r w:rsidRPr="00D26427">
        <w:t xml:space="preserve">). The resubmission proposed the clinical criterion be fully agnostic in terms of chemotherapy regimen. </w:t>
      </w:r>
      <w:r w:rsidR="001A7DF9" w:rsidRPr="00D26427">
        <w:t>The evaluation noted that t</w:t>
      </w:r>
      <w:r w:rsidRPr="00D26427">
        <w:t>he</w:t>
      </w:r>
      <w:r w:rsidR="001A7DF9" w:rsidRPr="00D26427">
        <w:t xml:space="preserve"> </w:t>
      </w:r>
      <w:r w:rsidRPr="00D26427">
        <w:t xml:space="preserve"> proposed criterion allows broader use of brentuximab vedotin compared to the TGA indication, with no data presented to support the efficacy, safety, cost-effectiveness or financial implications of these regimens</w:t>
      </w:r>
      <w:r w:rsidR="000D76A4" w:rsidRPr="00D26427">
        <w:t>,</w:t>
      </w:r>
      <w:r w:rsidRPr="00D26427">
        <w:t xml:space="preserve"> including </w:t>
      </w:r>
      <w:proofErr w:type="spellStart"/>
      <w:r w:rsidRPr="00D26427">
        <w:t>BrECADD</w:t>
      </w:r>
      <w:proofErr w:type="spellEnd"/>
      <w:r w:rsidR="000D76A4" w:rsidRPr="00D26427">
        <w:t>,</w:t>
      </w:r>
      <w:r w:rsidRPr="00D26427">
        <w:t xml:space="preserve"> which is currently under TGA evaluation.</w:t>
      </w:r>
      <w:r w:rsidR="005329AB" w:rsidRPr="00D26427">
        <w:t xml:space="preserve"> Whilst</w:t>
      </w:r>
      <w:r w:rsidR="00D26427" w:rsidRPr="00D26427">
        <w:t xml:space="preserve"> the</w:t>
      </w:r>
      <w:r w:rsidR="005329AB" w:rsidRPr="00D26427">
        <w:t xml:space="preserve"> ESC acknowledged the </w:t>
      </w:r>
      <w:r w:rsidR="00D271E5" w:rsidRPr="00D26427">
        <w:t xml:space="preserve">changing </w:t>
      </w:r>
      <w:r w:rsidR="005329AB" w:rsidRPr="00D26427">
        <w:t xml:space="preserve">clinical landscape in Hodgkin </w:t>
      </w:r>
      <w:r w:rsidR="00D133C8" w:rsidRPr="00D26427">
        <w:t>lymphoma</w:t>
      </w:r>
      <w:r w:rsidR="005329AB" w:rsidRPr="00D26427">
        <w:t xml:space="preserve">, </w:t>
      </w:r>
      <w:r w:rsidR="0094048B" w:rsidRPr="00D26427">
        <w:t xml:space="preserve">it considered </w:t>
      </w:r>
      <w:r w:rsidR="005329AB" w:rsidRPr="00D26427">
        <w:t>it inappropriate</w:t>
      </w:r>
      <w:r w:rsidR="0094048B" w:rsidRPr="00D26427">
        <w:t xml:space="preserve"> for th</w:t>
      </w:r>
      <w:r w:rsidR="00C36567" w:rsidRPr="00D26427">
        <w:t>e</w:t>
      </w:r>
      <w:r w:rsidR="0094048B" w:rsidRPr="00D26427">
        <w:t xml:space="preserve"> restriction</w:t>
      </w:r>
      <w:r w:rsidR="005329AB" w:rsidRPr="00D26427">
        <w:t xml:space="preserve"> to be agnostic on the chemotherapy combination with brentuximab</w:t>
      </w:r>
      <w:r w:rsidR="00EE7927" w:rsidRPr="00D26427">
        <w:t>, noting it</w:t>
      </w:r>
      <w:r w:rsidR="005329AB" w:rsidRPr="00D26427">
        <w:t xml:space="preserve"> would </w:t>
      </w:r>
      <w:r w:rsidR="00AA0EAD" w:rsidRPr="00D26427">
        <w:t xml:space="preserve">allow use of brentuximab vedotin in other regimens including </w:t>
      </w:r>
      <w:proofErr w:type="spellStart"/>
      <w:r w:rsidR="00AA0EAD" w:rsidRPr="00D26427">
        <w:t>BrECADD</w:t>
      </w:r>
      <w:proofErr w:type="spellEnd"/>
      <w:r w:rsidR="00AA0EAD" w:rsidRPr="00D26427">
        <w:t xml:space="preserve">, or </w:t>
      </w:r>
      <w:r w:rsidR="001E0E42" w:rsidRPr="00D26427">
        <w:t xml:space="preserve">combinations </w:t>
      </w:r>
      <w:r w:rsidR="005329AB" w:rsidRPr="00D26427">
        <w:t xml:space="preserve">that had not been </w:t>
      </w:r>
      <w:r w:rsidR="001E0E42" w:rsidRPr="00D26427">
        <w:t>evaluated</w:t>
      </w:r>
      <w:r w:rsidR="005329AB" w:rsidRPr="00D26427">
        <w:t xml:space="preserve"> for efficacy,</w:t>
      </w:r>
      <w:r w:rsidR="00524293" w:rsidRPr="00D26427">
        <w:t xml:space="preserve"> </w:t>
      </w:r>
      <w:r w:rsidR="005329AB" w:rsidRPr="00D26427">
        <w:t>safety or cost effectiveness</w:t>
      </w:r>
      <w:r w:rsidR="00F8465E" w:rsidRPr="00D26427">
        <w:t xml:space="preserve"> by PBAC</w:t>
      </w:r>
      <w:r w:rsidR="005329AB" w:rsidRPr="00D26427">
        <w:t>.</w:t>
      </w:r>
      <w:bookmarkEnd w:id="12"/>
      <w:r w:rsidR="00CC6E9D">
        <w:t xml:space="preserve"> </w:t>
      </w:r>
      <w:r w:rsidR="00001D5B">
        <w:t xml:space="preserve">The </w:t>
      </w:r>
      <w:r w:rsidR="00CC3A25">
        <w:t>p</w:t>
      </w:r>
      <w:r w:rsidR="00001D5B">
        <w:t xml:space="preserve">re-PBAC response </w:t>
      </w:r>
      <w:r w:rsidR="004969D8">
        <w:t xml:space="preserve">amended </w:t>
      </w:r>
      <w:r w:rsidR="00A72783">
        <w:t xml:space="preserve">its request for </w:t>
      </w:r>
      <w:r w:rsidR="00983F43">
        <w:t xml:space="preserve">a </w:t>
      </w:r>
      <w:r w:rsidR="00F4619B">
        <w:t xml:space="preserve">chemotherapy regimen </w:t>
      </w:r>
      <w:r w:rsidR="00983F43">
        <w:t xml:space="preserve">agnostic </w:t>
      </w:r>
      <w:r w:rsidR="00F4619B">
        <w:t xml:space="preserve">listing to </w:t>
      </w:r>
      <w:r w:rsidR="0035254D">
        <w:t xml:space="preserve">a listing of brentuximab </w:t>
      </w:r>
      <w:r w:rsidR="005E772C">
        <w:t xml:space="preserve">vedotin in combination with </w:t>
      </w:r>
      <w:r w:rsidR="00992D0B">
        <w:t>AVD</w:t>
      </w:r>
      <w:r w:rsidR="00001D5B" w:rsidRPr="00001D5B">
        <w:t>.</w:t>
      </w:r>
    </w:p>
    <w:p w14:paraId="3A61295D" w14:textId="6798A304" w:rsidR="004A1E12" w:rsidRPr="007F66A7" w:rsidRDefault="00633D30" w:rsidP="00494FFC">
      <w:pPr>
        <w:pStyle w:val="COMexecsummnumbered"/>
      </w:pPr>
      <w:r w:rsidRPr="007F66A7">
        <w:t>The requested restriction has also been revised to be silent on age</w:t>
      </w:r>
      <w:r w:rsidR="00F74FA9" w:rsidRPr="007F66A7">
        <w:t>,</w:t>
      </w:r>
      <w:r w:rsidRPr="007F66A7">
        <w:t xml:space="preserve"> and the ECOG status criterion was removed. </w:t>
      </w:r>
      <w:r w:rsidR="00DD498B" w:rsidRPr="007F66A7">
        <w:t>T</w:t>
      </w:r>
      <w:r w:rsidRPr="007F66A7">
        <w:t>he PBAC previously considered that these amendments were reasonable (para 7.4, brentuximab vedotin PSD, March 2024 PBAC meeting).</w:t>
      </w:r>
    </w:p>
    <w:p w14:paraId="50DF3000" w14:textId="3782F7C9" w:rsidR="00CC35EA" w:rsidRDefault="004B0199" w:rsidP="001942D0">
      <w:pPr>
        <w:pStyle w:val="COMexecsummnumbered"/>
      </w:pPr>
      <w:bookmarkStart w:id="13" w:name="_Ref204183900"/>
      <w:r w:rsidRPr="00D26427">
        <w:t xml:space="preserve">The resubmission also proposed </w:t>
      </w:r>
      <w:r w:rsidR="001942D0" w:rsidRPr="00D26427">
        <w:t>amendments to current PBS listings for brentuximab vedotin in relapsed</w:t>
      </w:r>
      <w:r w:rsidR="00AF77CD">
        <w:t xml:space="preserve"> or </w:t>
      </w:r>
      <w:r w:rsidR="001942D0" w:rsidRPr="00D26427">
        <w:t xml:space="preserve">refractory </w:t>
      </w:r>
      <w:r w:rsidR="000D76A4" w:rsidRPr="00D26427">
        <w:t>Hodgkin lymphoma</w:t>
      </w:r>
      <w:r w:rsidR="001942D0" w:rsidRPr="00D26427">
        <w:t xml:space="preserve">, to allow for re-treatment following </w:t>
      </w:r>
      <w:r w:rsidR="009B0496" w:rsidRPr="00D26427">
        <w:t>first-line</w:t>
      </w:r>
      <w:r w:rsidR="001942D0" w:rsidRPr="00D26427">
        <w:t xml:space="preserve"> therapy, and to change the restrictions from Authority Required to Authority Required (Streamlined). The PBAC previously considered that it would be appropriate to allow re-treatment with brentuximab vedotin for relapsed</w:t>
      </w:r>
      <w:r w:rsidR="00AF77CD">
        <w:t xml:space="preserve"> or </w:t>
      </w:r>
      <w:r w:rsidR="001942D0" w:rsidRPr="00D26427">
        <w:t>refractory disease and considered a lifetime maximum of 16 treatment cycles in this setting remained appropriate (para 7.4, brentuximab vedotin PSD, March 2024 PBAC meeting).</w:t>
      </w:r>
      <w:r w:rsidR="0003714C" w:rsidRPr="00D26427">
        <w:t xml:space="preserve"> The ESC considered the </w:t>
      </w:r>
      <w:r w:rsidR="00E463CF" w:rsidRPr="00D26427">
        <w:t>March 2024 PBAC advice remained appropriate in the current clinical landscape.</w:t>
      </w:r>
      <w:bookmarkEnd w:id="13"/>
      <w:r w:rsidR="00E463CF" w:rsidRPr="00D26427">
        <w:t xml:space="preserve"> </w:t>
      </w:r>
    </w:p>
    <w:p w14:paraId="46DAEB0C" w14:textId="41148F1C" w:rsidR="00971CAD" w:rsidRPr="00D26427" w:rsidRDefault="00971CAD" w:rsidP="000F6120">
      <w:pPr>
        <w:pStyle w:val="COMexecsummnumbered"/>
      </w:pPr>
      <w:r w:rsidRPr="002E1ED9">
        <w:t xml:space="preserve">The recommended dose of brentuximab vedotin according to the TGA approved PI is 1.2 mg/kg up to a maximum of 120 mg. The </w:t>
      </w:r>
      <w:r w:rsidR="009F4CA5" w:rsidRPr="002E1ED9">
        <w:t>resubmission</w:t>
      </w:r>
      <w:r w:rsidRPr="002E1ED9">
        <w:t xml:space="preserve"> proposed a maximum amount of 150 mg to correspond with the minimum number of vials required to provide the maximum dose of 120 mg (each vial contains 50 mg i.e. 3 x 50 mg vials is equivalent to 150mg). The Secretariat noted that under the </w:t>
      </w:r>
      <w:r w:rsidR="003131EF" w:rsidRPr="002E1ED9">
        <w:t xml:space="preserve">Section 100 (Efficient Funding of Chemotherapy) </w:t>
      </w:r>
      <w:r w:rsidRPr="002E1ED9">
        <w:t xml:space="preserve">program, prescribing is based on the maximum amount of </w:t>
      </w:r>
      <w:r w:rsidRPr="002E1ED9">
        <w:lastRenderedPageBreak/>
        <w:t xml:space="preserve">active ingredient and not rounded to the nearest vial. </w:t>
      </w:r>
      <w:r w:rsidR="009F4CA5" w:rsidRPr="002E1ED9">
        <w:t>As such</w:t>
      </w:r>
      <w:r w:rsidRPr="002E1ED9">
        <w:t>, the maximum amount should be revised to 120mg, aligning with the TGA-approved P</w:t>
      </w:r>
      <w:r w:rsidR="009A005F">
        <w:t xml:space="preserve">roduct </w:t>
      </w:r>
      <w:r w:rsidRPr="002E1ED9">
        <w:t>I</w:t>
      </w:r>
      <w:r w:rsidR="009A005F">
        <w:t>nformation</w:t>
      </w:r>
      <w:r w:rsidRPr="002E1ED9">
        <w:t xml:space="preserve">. </w:t>
      </w:r>
    </w:p>
    <w:p w14:paraId="138AA1E8" w14:textId="1476A2F0" w:rsidR="00D26427" w:rsidRPr="00D26427" w:rsidRDefault="00D26427" w:rsidP="00AD179D">
      <w:pPr>
        <w:pStyle w:val="COMexecsummnumbered"/>
        <w:numPr>
          <w:ilvl w:val="0"/>
          <w:numId w:val="0"/>
        </w:numPr>
        <w:ind w:firstLine="720"/>
        <w:rPr>
          <w:i/>
          <w:iCs/>
        </w:rPr>
      </w:pPr>
      <w:r w:rsidRPr="00D26427">
        <w:rPr>
          <w:i/>
          <w:iCs/>
        </w:rPr>
        <w:t>For more detail on PBAC’s view, see section 7 PBAC outcome.</w:t>
      </w:r>
    </w:p>
    <w:p w14:paraId="7075B85C" w14:textId="62A47B7B" w:rsidR="00B50DB8" w:rsidRPr="007F66A7" w:rsidDel="00195452" w:rsidRDefault="00203181" w:rsidP="004E18E9">
      <w:pPr>
        <w:pStyle w:val="COMH1-numbered"/>
      </w:pPr>
      <w:bookmarkStart w:id="14" w:name="_Toc198653238"/>
      <w:r w:rsidRPr="007F66A7" w:rsidDel="00195452">
        <w:t xml:space="preserve">Population and </w:t>
      </w:r>
      <w:r w:rsidR="008E0D3C" w:rsidRPr="007F66A7" w:rsidDel="00195452">
        <w:t>d</w:t>
      </w:r>
      <w:r w:rsidRPr="007F66A7" w:rsidDel="00195452">
        <w:t>isease</w:t>
      </w:r>
      <w:bookmarkEnd w:id="14"/>
    </w:p>
    <w:p w14:paraId="21FDD135" w14:textId="44022EBA" w:rsidR="00894489" w:rsidRPr="007F66A7" w:rsidDel="00195452" w:rsidRDefault="0091080B" w:rsidP="0091080B">
      <w:pPr>
        <w:pStyle w:val="COMexecsummnumbered"/>
      </w:pPr>
      <w:r w:rsidRPr="007F66A7">
        <w:t>Hodgkin lymphoma is a type of fast-growing (aggressive) blood cancer that affects a type of white blood cell called B-cell lymphocytes, which are part of the immune system. The disease is defined by the presence of unusually large, malignant (cancerous), Hodgkin-Reed-Sternberg cells, which help differentiate Hodgkin lymphoma from non-Hodgkin lymphoma. Classical Hodgkin lymphoma is typically characterised by the expression of CD30 surface markers on these cancer cells. The disease has a bimodal age distribution with peaks at 15 to 35 years of age and greater than 60 years of age</w:t>
      </w:r>
      <w:r w:rsidRPr="007F66A7">
        <w:rPr>
          <w:i/>
        </w:rPr>
        <w:t xml:space="preserve">. </w:t>
      </w:r>
      <w:r w:rsidRPr="007F66A7">
        <w:t>Classical Hodgkin lymphoma accounts for the majority of cases of Hodgkin lymphoma, with nodular lymphocyte predominant Hodgkin lymphoma comprising the minority of cases.</w:t>
      </w:r>
      <w:r w:rsidR="00763837" w:rsidRPr="007F66A7">
        <w:t xml:space="preserve"> </w:t>
      </w:r>
    </w:p>
    <w:p w14:paraId="34F9A011" w14:textId="65B2C376" w:rsidR="002C2775" w:rsidRPr="007F66A7" w:rsidRDefault="0091080B" w:rsidP="0091080B">
      <w:pPr>
        <w:pStyle w:val="COMexecsummnumbered"/>
      </w:pPr>
      <w:r w:rsidRPr="007F66A7">
        <w:t xml:space="preserve">Disease staging is carried out according to the modified Ann Arbor classification that is based on the number and location of affected lymph nodes as well as whether the disease has spread to the bone marrow or other organs. The disease is further categorised by the presence or absence of B-type symptoms such as fevers, night sweats and weight loss exceeding 10% of the patient’s baseline body weight. Advanced stage Hodgkin lymphoma includes stage III or IV disease (Ann Arbor classification) and stage IIB disease with bulk or </w:t>
      </w:r>
      <w:proofErr w:type="spellStart"/>
      <w:r w:rsidRPr="007F66A7">
        <w:t>extranodal</w:t>
      </w:r>
      <w:proofErr w:type="spellEnd"/>
      <w:r w:rsidRPr="007F66A7">
        <w:t xml:space="preserve"> disease (German Hodgkin Study Group classification).</w:t>
      </w:r>
    </w:p>
    <w:p w14:paraId="050B2A54" w14:textId="6D0C9FC9" w:rsidR="00097529" w:rsidRPr="007F66A7" w:rsidRDefault="00097529" w:rsidP="00097529">
      <w:pPr>
        <w:pStyle w:val="COMexecsummnumbered"/>
      </w:pPr>
      <w:r w:rsidRPr="007F66A7">
        <w:t xml:space="preserve">The </w:t>
      </w:r>
      <w:r w:rsidR="00EF0F0E" w:rsidRPr="007F66A7">
        <w:t>re</w:t>
      </w:r>
      <w:r w:rsidRPr="007F66A7">
        <w:t xml:space="preserve">submission positioned A+AVD as a </w:t>
      </w:r>
      <w:r w:rsidR="009B0496" w:rsidRPr="007F66A7">
        <w:t>first-line</w:t>
      </w:r>
      <w:r w:rsidRPr="007F66A7">
        <w:t xml:space="preserve"> treatment option for patients with previously untreated CD30 positive advanced (stage III or IV) Hodgkin lymphoma.</w:t>
      </w:r>
      <w:r w:rsidR="00EF0F0E" w:rsidRPr="007F66A7">
        <w:t xml:space="preserve"> This was unchanged from the previous submission.</w:t>
      </w:r>
    </w:p>
    <w:p w14:paraId="517BB7E4" w14:textId="799BF6D0" w:rsidR="0091080B" w:rsidRPr="007F66A7" w:rsidRDefault="00A6228B" w:rsidP="0091080B">
      <w:pPr>
        <w:pStyle w:val="COMexecsummnumbered"/>
      </w:pPr>
      <w:r w:rsidRPr="007F66A7">
        <w:t>The PBAC previously considered the clinical place in therapy of A+AVD was uncertain given treatment guidelines recommend the use of PET-adapted over non-PET-adapted regimens</w:t>
      </w:r>
      <w:r w:rsidR="00AF458B" w:rsidRPr="007F66A7">
        <w:t xml:space="preserve"> </w:t>
      </w:r>
      <w:r w:rsidRPr="007F66A7">
        <w:t xml:space="preserve">(para 7.5, brentuximab vedotin PSD, March 2024 PBAC meeting). </w:t>
      </w:r>
    </w:p>
    <w:p w14:paraId="45F403AC" w14:textId="1EB13200" w:rsidR="009B76F0" w:rsidRPr="002B63F1" w:rsidRDefault="00074A89" w:rsidP="0091080B">
      <w:pPr>
        <w:pStyle w:val="COMexecsummnumbered"/>
      </w:pPr>
      <w:r w:rsidRPr="002B63F1">
        <w:t>The resubmission stated that the National Comprehensive Cancer Network (NCCN) 2023 guidelines</w:t>
      </w:r>
      <w:r w:rsidR="00E8196C" w:rsidRPr="002B63F1">
        <w:t xml:space="preserve">, </w:t>
      </w:r>
      <w:r w:rsidRPr="002B63F1">
        <w:t>presented in the March 2024 submission, ha</w:t>
      </w:r>
      <w:r w:rsidR="004462D2" w:rsidRPr="002B63F1">
        <w:t>ve</w:t>
      </w:r>
      <w:r w:rsidRPr="002B63F1">
        <w:t xml:space="preserve"> been superseded. The </w:t>
      </w:r>
      <w:r w:rsidR="00035462" w:rsidRPr="002B63F1">
        <w:t xml:space="preserve">evaluation noted that the </w:t>
      </w:r>
      <w:r w:rsidRPr="002B63F1">
        <w:t xml:space="preserve">most recent NCCN guidelines (version 2.2025) have two preferred regimens as </w:t>
      </w:r>
      <w:r w:rsidR="009B0496" w:rsidRPr="002B63F1">
        <w:t>first-line</w:t>
      </w:r>
      <w:r w:rsidRPr="002B63F1">
        <w:t xml:space="preserve"> options for stage III or IV disease: nivolumab plus AVD or </w:t>
      </w:r>
      <w:proofErr w:type="spellStart"/>
      <w:r w:rsidRPr="002B63F1">
        <w:t>BrECADD</w:t>
      </w:r>
      <w:proofErr w:type="spellEnd"/>
      <w:r w:rsidRPr="002B63F1">
        <w:t xml:space="preserve">. Nivolumab plus AVD is recommended in all ages while </w:t>
      </w:r>
      <w:proofErr w:type="spellStart"/>
      <w:r w:rsidRPr="002B63F1">
        <w:t>BrECADD</w:t>
      </w:r>
      <w:proofErr w:type="spellEnd"/>
      <w:r w:rsidRPr="002B63F1">
        <w:t xml:space="preserve"> is recommended in patients aged 18-61 years. The </w:t>
      </w:r>
      <w:r w:rsidR="00312990" w:rsidRPr="002B63F1">
        <w:t xml:space="preserve">evaluation noted that the </w:t>
      </w:r>
      <w:r w:rsidRPr="002B63F1">
        <w:t>guidelines state that A+AVD and PET-adapted ABVD remain useful in certain circumstances: A+AVD in patients who are not candidates for checkpoint inhibitors (e.g. nivolumab) and those without neuropathy; and PET-adapted ABVD when brentuximab vedotin and checkpoint inhibitors are not available or contraindicated.</w:t>
      </w:r>
      <w:r w:rsidR="003A4A96" w:rsidRPr="002B63F1">
        <w:t xml:space="preserve"> </w:t>
      </w:r>
      <w:r w:rsidR="009B76F0" w:rsidRPr="002B63F1">
        <w:t xml:space="preserve">The resubmission acknowledged that the treatment landscape is evolving but made no changes to the proposed algorithm as neither nivolumab or brentuximab vedotin are listed on the </w:t>
      </w:r>
      <w:r w:rsidR="009B76F0" w:rsidRPr="002B63F1">
        <w:lastRenderedPageBreak/>
        <w:t xml:space="preserve">PBS for use as part of the newly recommended regimens </w:t>
      </w:r>
      <w:r w:rsidR="00EC51F2" w:rsidRPr="002B63F1">
        <w:t xml:space="preserve">in the updated NCCN guidelines </w:t>
      </w:r>
      <w:r w:rsidR="009B76F0" w:rsidRPr="002B63F1">
        <w:t xml:space="preserve">(nivolumab plus AVD and </w:t>
      </w:r>
      <w:proofErr w:type="spellStart"/>
      <w:r w:rsidR="009B76F0" w:rsidRPr="002B63F1">
        <w:t>BrECADD</w:t>
      </w:r>
      <w:proofErr w:type="spellEnd"/>
      <w:r w:rsidR="009B76F0" w:rsidRPr="002B63F1">
        <w:t xml:space="preserve">). </w:t>
      </w:r>
      <w:r w:rsidR="00312990" w:rsidRPr="002B63F1">
        <w:t>The evaluation noted that t</w:t>
      </w:r>
      <w:r w:rsidR="009B76F0" w:rsidRPr="002B63F1">
        <w:t xml:space="preserve">his appeared inconsistent with the resubmission’s requested listing that allows for the use of brentuximab vedotin as part of any multi-agent chemotherapy regimen including </w:t>
      </w:r>
      <w:proofErr w:type="spellStart"/>
      <w:r w:rsidR="009B76F0" w:rsidRPr="002B63F1">
        <w:t>BrECADD</w:t>
      </w:r>
      <w:proofErr w:type="spellEnd"/>
      <w:r w:rsidR="009B76F0" w:rsidRPr="002B63F1">
        <w:t>.</w:t>
      </w:r>
      <w:r w:rsidR="00B160A4" w:rsidRPr="002B63F1">
        <w:t xml:space="preserve"> As outlined in paragraph </w:t>
      </w:r>
      <w:r w:rsidR="00F72B06" w:rsidRPr="002B63F1">
        <w:fldChar w:fldCharType="begin"/>
      </w:r>
      <w:r w:rsidR="00F72B06" w:rsidRPr="002B63F1">
        <w:instrText xml:space="preserve"> REF _Ref201155041 \r \h </w:instrText>
      </w:r>
      <w:r w:rsidR="002B63F1" w:rsidRPr="002B63F1">
        <w:instrText xml:space="preserve"> \* MERGEFORMAT </w:instrText>
      </w:r>
      <w:r w:rsidR="00F72B06" w:rsidRPr="002B63F1">
        <w:fldChar w:fldCharType="separate"/>
      </w:r>
      <w:r w:rsidR="00293B06">
        <w:t>3.4</w:t>
      </w:r>
      <w:r w:rsidR="00F72B06" w:rsidRPr="002B63F1">
        <w:fldChar w:fldCharType="end"/>
      </w:r>
      <w:r w:rsidR="00F72B06" w:rsidRPr="002B63F1">
        <w:t>, t</w:t>
      </w:r>
      <w:r w:rsidR="00B160A4" w:rsidRPr="002B63F1">
        <w:t>he ESC considered the listing should be for A+AVD only.</w:t>
      </w:r>
      <w:r w:rsidR="002F67B4" w:rsidRPr="002B63F1">
        <w:t xml:space="preserve"> </w:t>
      </w:r>
      <w:r w:rsidR="001219DA" w:rsidRPr="002B63F1">
        <w:t>In addition,</w:t>
      </w:r>
      <w:r w:rsidR="00C06EBA" w:rsidRPr="002B63F1">
        <w:t xml:space="preserve"> as checkpoint inhibitors </w:t>
      </w:r>
      <w:r w:rsidR="008D0561" w:rsidRPr="002B63F1">
        <w:t>are not available for use in first</w:t>
      </w:r>
      <w:r w:rsidR="00F653D2" w:rsidRPr="002B63F1">
        <w:t>-line Hodgkin lymphoma treatment in Australia</w:t>
      </w:r>
      <w:r w:rsidR="00DC07A6" w:rsidRPr="002B63F1">
        <w:t xml:space="preserve"> the ESC considered it was reasonable that </w:t>
      </w:r>
      <w:r w:rsidR="00C8213D" w:rsidRPr="002B63F1">
        <w:t>nivolumab was</w:t>
      </w:r>
      <w:r w:rsidR="00DC07A6" w:rsidRPr="002B63F1">
        <w:t xml:space="preserve"> not inc</w:t>
      </w:r>
      <w:r w:rsidR="00D6631D" w:rsidRPr="002B63F1">
        <w:t>luded in</w:t>
      </w:r>
      <w:r w:rsidR="00C8213D" w:rsidRPr="002B63F1">
        <w:t xml:space="preserve"> the proposed treatment algorithm. </w:t>
      </w:r>
      <w:r w:rsidR="00F653D2" w:rsidRPr="002B63F1">
        <w:t xml:space="preserve"> </w:t>
      </w:r>
    </w:p>
    <w:p w14:paraId="33DE1A7B" w14:textId="0B9034B1" w:rsidR="00715E3A" w:rsidRPr="007F66A7" w:rsidRDefault="00715E3A" w:rsidP="0091080B">
      <w:pPr>
        <w:pStyle w:val="COMexecsummnumbered"/>
      </w:pPr>
      <w:r w:rsidRPr="007F66A7">
        <w:t xml:space="preserve">The resubmission also presented a current treatment algorithm for relapsed or refractory disease. Patients who fail </w:t>
      </w:r>
      <w:r w:rsidR="009B0496" w:rsidRPr="007F66A7">
        <w:t>first-line</w:t>
      </w:r>
      <w:r w:rsidRPr="007F66A7">
        <w:t xml:space="preserve"> therapy may be treated with a range of salvage chemotherapy regimens (e.g. DHAP, dexamethasone, high dose cytarabine and cisplatin; IGEV, </w:t>
      </w:r>
      <w:proofErr w:type="spellStart"/>
      <w:r w:rsidRPr="007F66A7">
        <w:t>ifosfamide</w:t>
      </w:r>
      <w:proofErr w:type="spellEnd"/>
      <w:r w:rsidRPr="007F66A7">
        <w:t xml:space="preserve">, gemcitabine and vinorelbine; ICE, </w:t>
      </w:r>
      <w:proofErr w:type="spellStart"/>
      <w:r w:rsidRPr="007F66A7">
        <w:t>ifosfamide</w:t>
      </w:r>
      <w:proofErr w:type="spellEnd"/>
      <w:r w:rsidRPr="007F66A7">
        <w:t xml:space="preserve">, carboplatin, etoposide) with or without radiotherapy. Following salvage chemotherapy, patients are assessed for response (using Deauville scores) to determine subsequent treatment options including high dose chemotherapy (e.g. BEAM, </w:t>
      </w:r>
      <w:proofErr w:type="spellStart"/>
      <w:r w:rsidRPr="007F66A7">
        <w:t>carmustine</w:t>
      </w:r>
      <w:proofErr w:type="spellEnd"/>
      <w:r w:rsidRPr="007F66A7">
        <w:t xml:space="preserve">, etoposide, cytarabine and melphalan; CBV, cyclophosphamide, </w:t>
      </w:r>
      <w:proofErr w:type="spellStart"/>
      <w:r w:rsidRPr="007F66A7">
        <w:t>carmustine</w:t>
      </w:r>
      <w:proofErr w:type="spellEnd"/>
      <w:r w:rsidRPr="007F66A7">
        <w:t>, etoposide) and autologous/allogeneic stem cell transplant (ASCT).</w:t>
      </w:r>
    </w:p>
    <w:p w14:paraId="51F3BECD" w14:textId="2F846922" w:rsidR="00715E3A" w:rsidRPr="007F66A7" w:rsidRDefault="00715E3A" w:rsidP="0091080B">
      <w:pPr>
        <w:pStyle w:val="COMexecsummnumbered"/>
      </w:pPr>
      <w:r w:rsidRPr="007F66A7">
        <w:t>Based on current PBS listings, patients with relapsed</w:t>
      </w:r>
      <w:r w:rsidR="00AF77CD">
        <w:t xml:space="preserve"> or </w:t>
      </w:r>
      <w:r w:rsidRPr="007F66A7">
        <w:t>refractory disease who have undergone ASCT are eligible for brentuximab vedotin or pembrolizumab. Patients with relapsed</w:t>
      </w:r>
      <w:r w:rsidR="00AF77CD">
        <w:t xml:space="preserve"> or </w:t>
      </w:r>
      <w:r w:rsidRPr="007F66A7">
        <w:t>refractory disease who have not undergone ASCT, are either unsuitable for ASCT or unsuitable for treatment with multi-agent chemotherapy and have had at least 2 prior treatments are also eligible for brentuximab vedotin or pembrolizumab. Brentuximab vedotin and pembrolizumab may be used sequentially as third</w:t>
      </w:r>
      <w:r w:rsidR="00D10F23" w:rsidRPr="007F66A7">
        <w:t>-</w:t>
      </w:r>
      <w:r w:rsidR="00BD556C" w:rsidRPr="007F66A7">
        <w:t xml:space="preserve"> </w:t>
      </w:r>
      <w:r w:rsidRPr="007F66A7">
        <w:t>or fourth</w:t>
      </w:r>
      <w:r w:rsidR="00D10F23" w:rsidRPr="007F66A7">
        <w:t>-</w:t>
      </w:r>
      <w:r w:rsidRPr="007F66A7">
        <w:t>line therapies, in no specific order. Brentuximab vedotin is TGA-approved but not PBS-listed for consolidation therapy after ASCT.</w:t>
      </w:r>
    </w:p>
    <w:p w14:paraId="11FCAAEE" w14:textId="095F7616" w:rsidR="007627BE" w:rsidRDefault="00715E3A" w:rsidP="00715E3A">
      <w:pPr>
        <w:pStyle w:val="COMexecsummnumbered"/>
      </w:pPr>
      <w:r w:rsidRPr="007F66A7">
        <w:t xml:space="preserve">The treatment algorithm indicates that suitability for ASCT can be assessed at multiple lines of therapy. For example, patients who were not considered suitable for ASCT following </w:t>
      </w:r>
      <w:r w:rsidR="009B0496" w:rsidRPr="007F66A7">
        <w:t>second-line</w:t>
      </w:r>
      <w:r w:rsidRPr="007F66A7">
        <w:t xml:space="preserve"> salvage chemotherapy can become suitable following </w:t>
      </w:r>
      <w:r w:rsidR="009B0496" w:rsidRPr="007F66A7">
        <w:t>third-line</w:t>
      </w:r>
      <w:r w:rsidRPr="007F66A7">
        <w:t xml:space="preserve"> treatment with brentuximab vedotin or pembrolizumab.</w:t>
      </w:r>
    </w:p>
    <w:p w14:paraId="208960FC" w14:textId="6777E8E4" w:rsidR="00AB0CE8" w:rsidRPr="00AB0CE8" w:rsidDel="00195452" w:rsidRDefault="00AB0CE8" w:rsidP="00AD179D">
      <w:pPr>
        <w:pStyle w:val="COMexecsummnumbered"/>
        <w:numPr>
          <w:ilvl w:val="0"/>
          <w:numId w:val="0"/>
        </w:numPr>
        <w:ind w:firstLine="720"/>
        <w:rPr>
          <w:i/>
          <w:iCs/>
        </w:rPr>
      </w:pPr>
      <w:r w:rsidRPr="00AB0CE8">
        <w:rPr>
          <w:i/>
          <w:iCs/>
        </w:rPr>
        <w:t>For more detail on PBAC’s view, see section 7 PBAC outcome.</w:t>
      </w:r>
      <w:r w:rsidR="00A807F9">
        <w:rPr>
          <w:i/>
          <w:iCs/>
        </w:rPr>
        <w:t xml:space="preserve"> </w:t>
      </w:r>
    </w:p>
    <w:p w14:paraId="51E5AE96" w14:textId="136A63B1" w:rsidR="00B50DB8" w:rsidRPr="007F66A7" w:rsidRDefault="00B50DB8" w:rsidP="004E18E9">
      <w:pPr>
        <w:pStyle w:val="COMH1-numbered"/>
      </w:pPr>
      <w:bookmarkStart w:id="15" w:name="_Toc198653239"/>
      <w:r w:rsidRPr="007F66A7">
        <w:t>Comparator</w:t>
      </w:r>
      <w:bookmarkEnd w:id="15"/>
    </w:p>
    <w:p w14:paraId="747A75CC" w14:textId="546E2ABE" w:rsidR="00A05472" w:rsidRPr="007F66A7" w:rsidRDefault="00715E3A" w:rsidP="00882E3C">
      <w:pPr>
        <w:pStyle w:val="COMexecsummnumbered"/>
      </w:pPr>
      <w:r w:rsidRPr="007F66A7">
        <w:t xml:space="preserve">The resubmission nominated PET-adapted ABVD as the main comparator. </w:t>
      </w:r>
      <w:r w:rsidR="00EA4646" w:rsidRPr="007F66A7">
        <w:t xml:space="preserve">PET-adapted ABVD consists of ABVD for the first 2 cycles with options to de-escalate to AVD for a further 4 cycles in PET-negative patients or escalate to </w:t>
      </w:r>
      <w:proofErr w:type="spellStart"/>
      <w:r w:rsidR="00EA4646" w:rsidRPr="007F66A7">
        <w:t>eBEACOPP</w:t>
      </w:r>
      <w:proofErr w:type="spellEnd"/>
      <w:r w:rsidR="00EA4646" w:rsidRPr="007F66A7">
        <w:t xml:space="preserve"> for a further 4 cycles in PET-positive patients. </w:t>
      </w:r>
      <w:r w:rsidRPr="007F66A7">
        <w:t xml:space="preserve">The PBAC previously considered that this was reasonable, noting that PET-adapted ABVD is the standard of care in Australia (para 7.6, brentuximab vedotin PSD, March 2024 PBAC meeting). </w:t>
      </w:r>
    </w:p>
    <w:p w14:paraId="6C9A86B6" w14:textId="430D0FC9" w:rsidR="009C0E6B" w:rsidRPr="002B63F1" w:rsidRDefault="008C17A5" w:rsidP="00B070B7">
      <w:pPr>
        <w:pStyle w:val="COMexecsummnumbered"/>
      </w:pPr>
      <w:r w:rsidRPr="002B63F1">
        <w:t xml:space="preserve">The resubmission noted that the previous submission nominated </w:t>
      </w:r>
      <w:proofErr w:type="spellStart"/>
      <w:r w:rsidRPr="002B63F1">
        <w:t>eBEACOPP</w:t>
      </w:r>
      <w:proofErr w:type="spellEnd"/>
      <w:r w:rsidRPr="002B63F1">
        <w:t xml:space="preserve"> as a supplementary comparator. However, the resubmission acknowledged ESC advice that </w:t>
      </w:r>
      <w:proofErr w:type="spellStart"/>
      <w:r w:rsidRPr="002B63F1">
        <w:t>eBEACOPP</w:t>
      </w:r>
      <w:proofErr w:type="spellEnd"/>
      <w:r w:rsidRPr="002B63F1">
        <w:t xml:space="preserve"> was standard of care for a specific subgroup of patients (used for at </w:t>
      </w:r>
      <w:r w:rsidRPr="002B63F1">
        <w:lastRenderedPageBreak/>
        <w:t xml:space="preserve">least the first 2 cycles for fit patients who are less than 45 years of age) and that </w:t>
      </w:r>
      <w:proofErr w:type="spellStart"/>
      <w:r w:rsidRPr="002B63F1">
        <w:t>eBEACOPP</w:t>
      </w:r>
      <w:proofErr w:type="spellEnd"/>
      <w:r w:rsidRPr="002B63F1">
        <w:t xml:space="preserve"> (both non-PET adapted and PET-adapted) was unlikely to be replaced by A+AVD in clinical practice (para 5.5 and 6.53, brentuximab vedotin PSD, March 2024 PBAC meeting). Consequently, the resubmission did not consider </w:t>
      </w:r>
      <w:proofErr w:type="spellStart"/>
      <w:r w:rsidRPr="002B63F1">
        <w:t>eBEACOPP</w:t>
      </w:r>
      <w:proofErr w:type="spellEnd"/>
      <w:r w:rsidRPr="002B63F1">
        <w:t xml:space="preserve"> as a relevant comparator. </w:t>
      </w:r>
      <w:r w:rsidR="001D526B" w:rsidRPr="002B63F1">
        <w:t xml:space="preserve">The </w:t>
      </w:r>
      <w:r w:rsidR="00E67930" w:rsidRPr="002B63F1">
        <w:t xml:space="preserve">ESC </w:t>
      </w:r>
      <w:r w:rsidR="00907993" w:rsidRPr="002B63F1">
        <w:t>agreed with the evaluation that</w:t>
      </w:r>
      <w:r w:rsidR="00E67930" w:rsidRPr="002B63F1">
        <w:t xml:space="preserve"> this was</w:t>
      </w:r>
      <w:r w:rsidRPr="002B63F1">
        <w:t xml:space="preserve"> reasonable</w:t>
      </w:r>
      <w:r w:rsidR="009C0E6B" w:rsidRPr="002B63F1">
        <w:t xml:space="preserve">. </w:t>
      </w:r>
    </w:p>
    <w:p w14:paraId="3FE147D9" w14:textId="3F919C83" w:rsidR="002B63F1" w:rsidRPr="002B63F1" w:rsidRDefault="002B63F1" w:rsidP="00AD179D">
      <w:pPr>
        <w:pStyle w:val="COMexecsummnumbered"/>
        <w:numPr>
          <w:ilvl w:val="0"/>
          <w:numId w:val="0"/>
        </w:numPr>
        <w:ind w:firstLine="720"/>
        <w:rPr>
          <w:i/>
          <w:iCs/>
        </w:rPr>
      </w:pPr>
      <w:r w:rsidRPr="002B63F1">
        <w:rPr>
          <w:i/>
          <w:iCs/>
        </w:rPr>
        <w:t>For more detail on PBAC’s view, see section 7 PBAC outcome.</w:t>
      </w:r>
    </w:p>
    <w:p w14:paraId="7F9C27C8" w14:textId="77777777" w:rsidR="00223D5A" w:rsidRPr="007F66A7" w:rsidRDefault="00223D5A" w:rsidP="00223D5A">
      <w:pPr>
        <w:pStyle w:val="COMH1-numbered"/>
        <w:numPr>
          <w:ilvl w:val="0"/>
          <w:numId w:val="1"/>
        </w:numPr>
      </w:pPr>
      <w:bookmarkStart w:id="16" w:name="_Toc198653240"/>
      <w:bookmarkStart w:id="17" w:name="_Toc22897640"/>
      <w:r w:rsidRPr="007F66A7">
        <w:t>Consideration of the evidence</w:t>
      </w:r>
      <w:bookmarkEnd w:id="16"/>
    </w:p>
    <w:p w14:paraId="2ED6F5A1" w14:textId="77777777" w:rsidR="00B3643C" w:rsidRPr="006E1229" w:rsidRDefault="00B3643C" w:rsidP="00553971">
      <w:pPr>
        <w:pStyle w:val="COMH2-non-numbered"/>
        <w:rPr>
          <w:lang w:eastAsia="en-AU"/>
        </w:rPr>
      </w:pPr>
      <w:bookmarkStart w:id="18" w:name="_Hlk76375935"/>
      <w:bookmarkStart w:id="19" w:name="_Toc198653241"/>
      <w:r w:rsidRPr="006E1229">
        <w:rPr>
          <w:lang w:eastAsia="en-AU"/>
        </w:rPr>
        <w:t xml:space="preserve">Sponsor </w:t>
      </w:r>
      <w:r w:rsidRPr="006E1229">
        <w:t>hearing</w:t>
      </w:r>
    </w:p>
    <w:p w14:paraId="3A038EE9" w14:textId="5B4C23C2" w:rsidR="00B3643C" w:rsidRPr="00F91542" w:rsidRDefault="00B3643C" w:rsidP="00B3643C">
      <w:pPr>
        <w:widowControl w:val="0"/>
        <w:numPr>
          <w:ilvl w:val="1"/>
          <w:numId w:val="1"/>
        </w:numPr>
        <w:spacing w:after="120"/>
        <w:rPr>
          <w:rFonts w:cs="Calibri"/>
          <w:bCs/>
          <w:snapToGrid w:val="0"/>
        </w:rPr>
      </w:pPr>
      <w:r w:rsidRPr="00F91542">
        <w:rPr>
          <w:rFonts w:cs="Calibri"/>
          <w:bCs/>
          <w:snapToGrid w:val="0"/>
        </w:rPr>
        <w:t>There was no hearing for this item.</w:t>
      </w:r>
    </w:p>
    <w:p w14:paraId="31D8D138" w14:textId="77777777" w:rsidR="00B3643C" w:rsidRPr="006E1229" w:rsidRDefault="00B3643C" w:rsidP="00553971">
      <w:pPr>
        <w:pStyle w:val="COMH2-non-numbered"/>
        <w:rPr>
          <w:lang w:eastAsia="en-AU"/>
        </w:rPr>
      </w:pPr>
      <w:r w:rsidRPr="008E451E">
        <w:rPr>
          <w:lang w:eastAsia="en-AU"/>
        </w:rPr>
        <w:t>Consumer comments</w:t>
      </w:r>
    </w:p>
    <w:p w14:paraId="705E3937" w14:textId="5CE0390B" w:rsidR="00A60202" w:rsidRPr="009A7D2B" w:rsidRDefault="00B3643C" w:rsidP="009A7D2B">
      <w:pPr>
        <w:widowControl w:val="0"/>
        <w:numPr>
          <w:ilvl w:val="1"/>
          <w:numId w:val="1"/>
        </w:numPr>
        <w:spacing w:after="120"/>
        <w:rPr>
          <w:rFonts w:asciiTheme="minorHAnsi" w:hAnsiTheme="minorHAnsi"/>
          <w:bCs/>
          <w:snapToGrid w:val="0"/>
        </w:rPr>
      </w:pPr>
      <w:bookmarkStart w:id="20" w:name="_Hlk76382618"/>
      <w:r w:rsidRPr="004328AE">
        <w:rPr>
          <w:rFonts w:asciiTheme="minorHAnsi" w:hAnsiTheme="minorHAnsi"/>
          <w:bCs/>
          <w:snapToGrid w:val="0"/>
        </w:rPr>
        <w:t>The PBAC noted and welcomed the input from health care professionals (</w:t>
      </w:r>
      <w:r w:rsidR="000C320D" w:rsidRPr="004328AE">
        <w:rPr>
          <w:rFonts w:asciiTheme="minorHAnsi" w:hAnsiTheme="minorHAnsi"/>
          <w:bCs/>
          <w:snapToGrid w:val="0"/>
        </w:rPr>
        <w:t>5</w:t>
      </w:r>
      <w:r w:rsidRPr="004328AE">
        <w:rPr>
          <w:rFonts w:asciiTheme="minorHAnsi" w:hAnsiTheme="minorHAnsi"/>
          <w:bCs/>
          <w:snapToGrid w:val="0"/>
        </w:rPr>
        <w:t>) and organisations (</w:t>
      </w:r>
      <w:r w:rsidR="000C320D" w:rsidRPr="004328AE">
        <w:rPr>
          <w:rFonts w:asciiTheme="minorHAnsi" w:hAnsiTheme="minorHAnsi"/>
          <w:bCs/>
          <w:snapToGrid w:val="0"/>
        </w:rPr>
        <w:t>4</w:t>
      </w:r>
      <w:r w:rsidRPr="004328AE">
        <w:rPr>
          <w:rFonts w:asciiTheme="minorHAnsi" w:hAnsiTheme="minorHAnsi"/>
          <w:bCs/>
          <w:snapToGrid w:val="0"/>
        </w:rPr>
        <w:t xml:space="preserve">) via the Consumer Comments facility on the PBS website. </w:t>
      </w:r>
      <w:r w:rsidR="009A7D2B">
        <w:rPr>
          <w:rFonts w:asciiTheme="minorHAnsi" w:hAnsiTheme="minorHAnsi"/>
          <w:bCs/>
          <w:snapToGrid w:val="0"/>
        </w:rPr>
        <w:t>The input from h</w:t>
      </w:r>
      <w:r w:rsidR="00A60202" w:rsidRPr="009A7D2B">
        <w:rPr>
          <w:rFonts w:asciiTheme="minorHAnsi" w:hAnsiTheme="minorHAnsi"/>
          <w:bCs/>
          <w:snapToGrid w:val="0"/>
        </w:rPr>
        <w:t>ealth</w:t>
      </w:r>
      <w:r w:rsidR="005B1F11" w:rsidRPr="009A7D2B">
        <w:rPr>
          <w:rFonts w:asciiTheme="minorHAnsi" w:hAnsiTheme="minorHAnsi"/>
          <w:bCs/>
          <w:snapToGrid w:val="0"/>
        </w:rPr>
        <w:t xml:space="preserve"> care</w:t>
      </w:r>
      <w:r w:rsidR="00A60202" w:rsidRPr="009A7D2B">
        <w:rPr>
          <w:rFonts w:asciiTheme="minorHAnsi" w:hAnsiTheme="minorHAnsi"/>
          <w:bCs/>
          <w:snapToGrid w:val="0"/>
        </w:rPr>
        <w:t xml:space="preserve"> professionals describe</w:t>
      </w:r>
      <w:r w:rsidR="00361BFB" w:rsidRPr="009A7D2B">
        <w:rPr>
          <w:rFonts w:asciiTheme="minorHAnsi" w:hAnsiTheme="minorHAnsi"/>
          <w:bCs/>
          <w:snapToGrid w:val="0"/>
        </w:rPr>
        <w:t>d</w:t>
      </w:r>
      <w:r w:rsidR="00A60202" w:rsidRPr="009A7D2B">
        <w:rPr>
          <w:rFonts w:asciiTheme="minorHAnsi" w:hAnsiTheme="minorHAnsi"/>
          <w:bCs/>
          <w:snapToGrid w:val="0"/>
        </w:rPr>
        <w:t xml:space="preserve"> current treatment regimens with ABVD or BEACOPP as reasonably </w:t>
      </w:r>
      <w:r w:rsidR="00F54C47" w:rsidRPr="009A7D2B">
        <w:rPr>
          <w:rFonts w:asciiTheme="minorHAnsi" w:hAnsiTheme="minorHAnsi"/>
          <w:bCs/>
          <w:snapToGrid w:val="0"/>
        </w:rPr>
        <w:t>effective but</w:t>
      </w:r>
      <w:r w:rsidR="007E0049" w:rsidRPr="009A7D2B">
        <w:rPr>
          <w:rFonts w:asciiTheme="minorHAnsi" w:hAnsiTheme="minorHAnsi"/>
          <w:bCs/>
          <w:snapToGrid w:val="0"/>
        </w:rPr>
        <w:t xml:space="preserve"> </w:t>
      </w:r>
      <w:r w:rsidR="00F54C47">
        <w:rPr>
          <w:rFonts w:asciiTheme="minorHAnsi" w:hAnsiTheme="minorHAnsi"/>
          <w:bCs/>
          <w:snapToGrid w:val="0"/>
        </w:rPr>
        <w:t xml:space="preserve">noted they </w:t>
      </w:r>
      <w:r w:rsidR="00020BD2">
        <w:rPr>
          <w:rFonts w:asciiTheme="minorHAnsi" w:hAnsiTheme="minorHAnsi"/>
          <w:bCs/>
          <w:snapToGrid w:val="0"/>
        </w:rPr>
        <w:t xml:space="preserve">were associated with </w:t>
      </w:r>
      <w:r w:rsidR="002D2C74">
        <w:rPr>
          <w:rFonts w:asciiTheme="minorHAnsi" w:hAnsiTheme="minorHAnsi"/>
          <w:bCs/>
          <w:snapToGrid w:val="0"/>
        </w:rPr>
        <w:t>significant risks of short and longer term toxicity</w:t>
      </w:r>
      <w:r w:rsidR="00A60202" w:rsidRPr="009A7D2B">
        <w:rPr>
          <w:rFonts w:asciiTheme="minorHAnsi" w:hAnsiTheme="minorHAnsi"/>
          <w:bCs/>
          <w:snapToGrid w:val="0"/>
        </w:rPr>
        <w:t>.</w:t>
      </w:r>
      <w:r w:rsidR="00BA139F">
        <w:rPr>
          <w:rFonts w:asciiTheme="minorHAnsi" w:hAnsiTheme="minorHAnsi"/>
          <w:bCs/>
          <w:snapToGrid w:val="0"/>
        </w:rPr>
        <w:t xml:space="preserve"> </w:t>
      </w:r>
      <w:r w:rsidR="00D878B4" w:rsidRPr="009A7D2B">
        <w:rPr>
          <w:rFonts w:asciiTheme="minorHAnsi" w:hAnsiTheme="minorHAnsi"/>
          <w:bCs/>
          <w:snapToGrid w:val="0"/>
        </w:rPr>
        <w:t xml:space="preserve">Input </w:t>
      </w:r>
      <w:r w:rsidR="00403EDA">
        <w:rPr>
          <w:rFonts w:asciiTheme="minorHAnsi" w:hAnsiTheme="minorHAnsi"/>
          <w:bCs/>
          <w:snapToGrid w:val="0"/>
        </w:rPr>
        <w:t>highlighted</w:t>
      </w:r>
      <w:r w:rsidR="00D878B4" w:rsidRPr="009A7D2B">
        <w:rPr>
          <w:rFonts w:asciiTheme="minorHAnsi" w:hAnsiTheme="minorHAnsi"/>
          <w:bCs/>
          <w:snapToGrid w:val="0"/>
        </w:rPr>
        <w:t xml:space="preserve"> that </w:t>
      </w:r>
      <w:r w:rsidR="001E0F1F" w:rsidRPr="009A7D2B">
        <w:rPr>
          <w:rFonts w:asciiTheme="minorHAnsi" w:hAnsiTheme="minorHAnsi"/>
          <w:bCs/>
          <w:snapToGrid w:val="0"/>
        </w:rPr>
        <w:t>A+AVD is associated with relatively high rates of peripheral neuropathy and increased rates of infection</w:t>
      </w:r>
      <w:r w:rsidR="00C573EA">
        <w:rPr>
          <w:rFonts w:asciiTheme="minorHAnsi" w:hAnsiTheme="minorHAnsi"/>
          <w:bCs/>
          <w:snapToGrid w:val="0"/>
        </w:rPr>
        <w:t xml:space="preserve"> but noted </w:t>
      </w:r>
      <w:r w:rsidR="001F0D6C">
        <w:rPr>
          <w:rFonts w:asciiTheme="minorHAnsi" w:hAnsiTheme="minorHAnsi"/>
          <w:bCs/>
          <w:snapToGrid w:val="0"/>
        </w:rPr>
        <w:t>that the side effects experienced</w:t>
      </w:r>
      <w:r w:rsidR="00EE53E0">
        <w:rPr>
          <w:rFonts w:asciiTheme="minorHAnsi" w:hAnsiTheme="minorHAnsi"/>
          <w:bCs/>
          <w:snapToGrid w:val="0"/>
        </w:rPr>
        <w:t xml:space="preserve"> </w:t>
      </w:r>
      <w:r w:rsidR="00666555" w:rsidRPr="009A7D2B">
        <w:rPr>
          <w:rFonts w:asciiTheme="minorHAnsi" w:hAnsiTheme="minorHAnsi"/>
          <w:bCs/>
          <w:snapToGrid w:val="0"/>
        </w:rPr>
        <w:t>are</w:t>
      </w:r>
      <w:r w:rsidR="001E0F1F" w:rsidRPr="009A7D2B">
        <w:rPr>
          <w:rFonts w:asciiTheme="minorHAnsi" w:hAnsiTheme="minorHAnsi"/>
          <w:bCs/>
          <w:snapToGrid w:val="0"/>
        </w:rPr>
        <w:t xml:space="preserve"> </w:t>
      </w:r>
      <w:r w:rsidR="00EE53E0">
        <w:rPr>
          <w:rFonts w:asciiTheme="minorHAnsi" w:hAnsiTheme="minorHAnsi"/>
          <w:bCs/>
          <w:snapToGrid w:val="0"/>
        </w:rPr>
        <w:t xml:space="preserve">often </w:t>
      </w:r>
      <w:r w:rsidR="001E0F1F" w:rsidRPr="009A7D2B">
        <w:rPr>
          <w:rFonts w:asciiTheme="minorHAnsi" w:hAnsiTheme="minorHAnsi"/>
          <w:bCs/>
          <w:snapToGrid w:val="0"/>
        </w:rPr>
        <w:t>manageable through dosing guidelines and</w:t>
      </w:r>
      <w:r w:rsidR="00EE53E0">
        <w:rPr>
          <w:rFonts w:asciiTheme="minorHAnsi" w:hAnsiTheme="minorHAnsi"/>
          <w:bCs/>
          <w:snapToGrid w:val="0"/>
        </w:rPr>
        <w:t xml:space="preserve"> the</w:t>
      </w:r>
      <w:r w:rsidR="001E0F1F" w:rsidRPr="009A7D2B">
        <w:rPr>
          <w:rFonts w:asciiTheme="minorHAnsi" w:hAnsiTheme="minorHAnsi"/>
          <w:bCs/>
          <w:snapToGrid w:val="0"/>
        </w:rPr>
        <w:t xml:space="preserve"> use of growth factor support. </w:t>
      </w:r>
      <w:r w:rsidR="001F0D6C">
        <w:rPr>
          <w:rFonts w:asciiTheme="minorHAnsi" w:hAnsiTheme="minorHAnsi"/>
          <w:bCs/>
          <w:snapToGrid w:val="0"/>
        </w:rPr>
        <w:t xml:space="preserve">The input from health care professionals also </w:t>
      </w:r>
      <w:r w:rsidR="00517ACF">
        <w:rPr>
          <w:rFonts w:asciiTheme="minorHAnsi" w:hAnsiTheme="minorHAnsi"/>
          <w:bCs/>
          <w:snapToGrid w:val="0"/>
        </w:rPr>
        <w:t xml:space="preserve">described the </w:t>
      </w:r>
      <w:r w:rsidR="003A1264" w:rsidRPr="009A7D2B">
        <w:rPr>
          <w:rFonts w:asciiTheme="minorHAnsi" w:hAnsiTheme="minorHAnsi"/>
          <w:bCs/>
          <w:snapToGrid w:val="0"/>
        </w:rPr>
        <w:t xml:space="preserve">lower toxicity </w:t>
      </w:r>
      <w:r w:rsidR="00AD417F">
        <w:rPr>
          <w:rFonts w:asciiTheme="minorHAnsi" w:hAnsiTheme="minorHAnsi"/>
          <w:bCs/>
          <w:snapToGrid w:val="0"/>
        </w:rPr>
        <w:t>of</w:t>
      </w:r>
      <w:r w:rsidR="003A1264" w:rsidRPr="009A7D2B">
        <w:rPr>
          <w:rFonts w:asciiTheme="minorHAnsi" w:hAnsiTheme="minorHAnsi"/>
          <w:bCs/>
          <w:snapToGrid w:val="0"/>
        </w:rPr>
        <w:t xml:space="preserve"> A+AVD </w:t>
      </w:r>
      <w:r w:rsidR="00CE4AB4">
        <w:rPr>
          <w:rFonts w:asciiTheme="minorHAnsi" w:hAnsiTheme="minorHAnsi"/>
          <w:bCs/>
          <w:snapToGrid w:val="0"/>
        </w:rPr>
        <w:t xml:space="preserve">in terms </w:t>
      </w:r>
      <w:r w:rsidR="003A1264" w:rsidRPr="009A7D2B">
        <w:rPr>
          <w:rFonts w:asciiTheme="minorHAnsi" w:hAnsiTheme="minorHAnsi"/>
          <w:bCs/>
          <w:snapToGrid w:val="0"/>
        </w:rPr>
        <w:t>of fertility and reduced risk of permanent lung damage</w:t>
      </w:r>
      <w:r w:rsidR="00EE5B90">
        <w:rPr>
          <w:rFonts w:asciiTheme="minorHAnsi" w:hAnsiTheme="minorHAnsi"/>
          <w:bCs/>
          <w:snapToGrid w:val="0"/>
        </w:rPr>
        <w:t xml:space="preserve">. The input highlighted </w:t>
      </w:r>
      <w:r w:rsidR="00951675">
        <w:rPr>
          <w:rFonts w:asciiTheme="minorHAnsi" w:hAnsiTheme="minorHAnsi"/>
          <w:bCs/>
          <w:snapToGrid w:val="0"/>
        </w:rPr>
        <w:t xml:space="preserve">the importance of these aspects </w:t>
      </w:r>
      <w:r w:rsidR="003A1264" w:rsidRPr="009A7D2B">
        <w:rPr>
          <w:rFonts w:asciiTheme="minorHAnsi" w:hAnsiTheme="minorHAnsi"/>
          <w:bCs/>
          <w:snapToGrid w:val="0"/>
        </w:rPr>
        <w:t xml:space="preserve">given </w:t>
      </w:r>
      <w:r w:rsidR="00666555" w:rsidRPr="009A7D2B">
        <w:rPr>
          <w:rFonts w:asciiTheme="minorHAnsi" w:hAnsiTheme="minorHAnsi"/>
          <w:bCs/>
          <w:snapToGrid w:val="0"/>
        </w:rPr>
        <w:t xml:space="preserve">Hodgkin-lymphoma </w:t>
      </w:r>
      <w:r w:rsidR="003A1264" w:rsidRPr="009A7D2B">
        <w:rPr>
          <w:rFonts w:asciiTheme="minorHAnsi" w:hAnsiTheme="minorHAnsi"/>
          <w:bCs/>
          <w:snapToGrid w:val="0"/>
        </w:rPr>
        <w:t>commonly affects adolescents and young adult</w:t>
      </w:r>
      <w:r w:rsidR="000D2C7F" w:rsidRPr="009A7D2B">
        <w:rPr>
          <w:rFonts w:asciiTheme="minorHAnsi" w:hAnsiTheme="minorHAnsi"/>
          <w:bCs/>
          <w:snapToGrid w:val="0"/>
        </w:rPr>
        <w:t xml:space="preserve">s. </w:t>
      </w:r>
      <w:r w:rsidR="00A0416C">
        <w:rPr>
          <w:rFonts w:asciiTheme="minorHAnsi" w:hAnsiTheme="minorHAnsi"/>
          <w:bCs/>
          <w:snapToGrid w:val="0"/>
        </w:rPr>
        <w:t xml:space="preserve">Health care professional input </w:t>
      </w:r>
      <w:r w:rsidR="0092249C">
        <w:rPr>
          <w:rFonts w:asciiTheme="minorHAnsi" w:hAnsiTheme="minorHAnsi"/>
          <w:bCs/>
          <w:snapToGrid w:val="0"/>
        </w:rPr>
        <w:t xml:space="preserve">also </w:t>
      </w:r>
      <w:r w:rsidR="00221A6B">
        <w:rPr>
          <w:rFonts w:asciiTheme="minorHAnsi" w:hAnsiTheme="minorHAnsi"/>
          <w:bCs/>
          <w:snapToGrid w:val="0"/>
        </w:rPr>
        <w:t xml:space="preserve">noted </w:t>
      </w:r>
      <w:r w:rsidR="00A0416C">
        <w:rPr>
          <w:rFonts w:asciiTheme="minorHAnsi" w:hAnsiTheme="minorHAnsi"/>
          <w:bCs/>
          <w:snapToGrid w:val="0"/>
        </w:rPr>
        <w:t>that a</w:t>
      </w:r>
      <w:r w:rsidR="00A60202" w:rsidRPr="009A7D2B">
        <w:rPr>
          <w:rFonts w:asciiTheme="minorHAnsi" w:hAnsiTheme="minorHAnsi"/>
          <w:bCs/>
          <w:snapToGrid w:val="0"/>
        </w:rPr>
        <w:t xml:space="preserve">ccess to brentuximab </w:t>
      </w:r>
      <w:r w:rsidR="00221A6B">
        <w:rPr>
          <w:rFonts w:asciiTheme="minorHAnsi" w:hAnsiTheme="minorHAnsi"/>
          <w:bCs/>
          <w:snapToGrid w:val="0"/>
        </w:rPr>
        <w:t xml:space="preserve">in the </w:t>
      </w:r>
      <w:r w:rsidR="00A60202" w:rsidRPr="009A7D2B">
        <w:rPr>
          <w:rFonts w:asciiTheme="minorHAnsi" w:hAnsiTheme="minorHAnsi"/>
          <w:bCs/>
          <w:snapToGrid w:val="0"/>
        </w:rPr>
        <w:t xml:space="preserve">first-line </w:t>
      </w:r>
      <w:r w:rsidR="00221A6B">
        <w:rPr>
          <w:rFonts w:asciiTheme="minorHAnsi" w:hAnsiTheme="minorHAnsi"/>
          <w:bCs/>
          <w:snapToGrid w:val="0"/>
        </w:rPr>
        <w:t xml:space="preserve">setting may </w:t>
      </w:r>
      <w:r w:rsidR="00A60202" w:rsidRPr="009A7D2B">
        <w:rPr>
          <w:rFonts w:asciiTheme="minorHAnsi" w:hAnsiTheme="minorHAnsi"/>
          <w:bCs/>
          <w:snapToGrid w:val="0"/>
        </w:rPr>
        <w:t>reduc</w:t>
      </w:r>
      <w:r w:rsidR="00F70702" w:rsidRPr="009A7D2B">
        <w:rPr>
          <w:rFonts w:asciiTheme="minorHAnsi" w:hAnsiTheme="minorHAnsi"/>
          <w:bCs/>
          <w:snapToGrid w:val="0"/>
        </w:rPr>
        <w:t>e</w:t>
      </w:r>
      <w:r w:rsidR="00A60202" w:rsidRPr="009A7D2B">
        <w:rPr>
          <w:rFonts w:asciiTheme="minorHAnsi" w:hAnsiTheme="minorHAnsi"/>
          <w:bCs/>
          <w:snapToGrid w:val="0"/>
        </w:rPr>
        <w:t xml:space="preserve"> the need for second-line treatmen</w:t>
      </w:r>
      <w:r w:rsidR="005C7E5D">
        <w:rPr>
          <w:rFonts w:asciiTheme="minorHAnsi" w:hAnsiTheme="minorHAnsi"/>
          <w:bCs/>
          <w:snapToGrid w:val="0"/>
        </w:rPr>
        <w:t>t</w:t>
      </w:r>
      <w:r w:rsidR="00A60202" w:rsidRPr="009A7D2B">
        <w:rPr>
          <w:rFonts w:asciiTheme="minorHAnsi" w:hAnsiTheme="minorHAnsi"/>
          <w:bCs/>
          <w:snapToGrid w:val="0"/>
        </w:rPr>
        <w:t>.</w:t>
      </w:r>
    </w:p>
    <w:p w14:paraId="128ABCB6" w14:textId="2016DD65" w:rsidR="006E5239" w:rsidRPr="006E5239" w:rsidRDefault="00C05A2B" w:rsidP="00807C45">
      <w:pPr>
        <w:pStyle w:val="COMexecsummnumbered"/>
        <w:rPr>
          <w:rFonts w:eastAsia="Times New Roman" w:cs="Arial"/>
          <w:bCs/>
          <w:snapToGrid w:val="0"/>
          <w:szCs w:val="24"/>
        </w:rPr>
      </w:pPr>
      <w:r w:rsidRPr="00666555">
        <w:rPr>
          <w:snapToGrid w:val="0"/>
        </w:rPr>
        <w:t xml:space="preserve">The PBAC noted the advice received from </w:t>
      </w:r>
      <w:r w:rsidR="00D1041B">
        <w:rPr>
          <w:snapToGrid w:val="0"/>
        </w:rPr>
        <w:t>three</w:t>
      </w:r>
      <w:r w:rsidRPr="00666555">
        <w:rPr>
          <w:snapToGrid w:val="0"/>
        </w:rPr>
        <w:t xml:space="preserve"> consumer organisations</w:t>
      </w:r>
      <w:r w:rsidR="005B253A" w:rsidRPr="00666555">
        <w:rPr>
          <w:bCs/>
          <w:snapToGrid w:val="0"/>
        </w:rPr>
        <w:t xml:space="preserve">. </w:t>
      </w:r>
      <w:r w:rsidR="00E254C8">
        <w:rPr>
          <w:snapToGrid w:val="0"/>
        </w:rPr>
        <w:t xml:space="preserve">Input from Rare Cancers Australia described the impact of </w:t>
      </w:r>
      <w:r w:rsidR="00E254C8" w:rsidRPr="007F66A7">
        <w:t xml:space="preserve">Hodgkin lymphoma </w:t>
      </w:r>
      <w:r w:rsidR="00E254C8">
        <w:t xml:space="preserve">on patients quality of life and the toxicity of the current treatment options available. </w:t>
      </w:r>
      <w:r w:rsidR="005F4474">
        <w:t xml:space="preserve">Input </w:t>
      </w:r>
      <w:r w:rsidR="002E711F">
        <w:t xml:space="preserve">from the Leukaemia Foundation </w:t>
      </w:r>
      <w:r w:rsidR="00922FFB">
        <w:t xml:space="preserve">provided </w:t>
      </w:r>
      <w:r w:rsidR="00BC037B">
        <w:t>comments</w:t>
      </w:r>
      <w:r w:rsidR="00922FFB">
        <w:t xml:space="preserve"> from an individual living with Hodgkin Lymphoma which described the</w:t>
      </w:r>
      <w:r w:rsidR="00505203">
        <w:t xml:space="preserve"> short</w:t>
      </w:r>
      <w:r w:rsidR="00251511">
        <w:t xml:space="preserve"> </w:t>
      </w:r>
      <w:r w:rsidR="00407E25">
        <w:t>and long term toxicities associated with current treatments</w:t>
      </w:r>
      <w:r w:rsidR="00BA3230">
        <w:t xml:space="preserve">, particularly in those diagnosed at a young age. The input from the Leukaemia Foundation </w:t>
      </w:r>
      <w:r w:rsidR="00DD4F06">
        <w:t xml:space="preserve">highlighted that A+AVD does not necessarily provide a lower toxicity treatment option, rather an alternative toxicity profile </w:t>
      </w:r>
      <w:r w:rsidR="00FA3230">
        <w:t>to ABVD</w:t>
      </w:r>
      <w:r w:rsidR="00441873">
        <w:t xml:space="preserve"> and highlighted it was important for more treatment options to be available to patients. </w:t>
      </w:r>
      <w:r w:rsidR="00727C27">
        <w:t>The input from Lymphoma Australia</w:t>
      </w:r>
      <w:r w:rsidR="00D06A0E">
        <w:t xml:space="preserve"> </w:t>
      </w:r>
      <w:r w:rsidR="003149D1">
        <w:t>highlighted th</w:t>
      </w:r>
      <w:r w:rsidR="00DB1CD8">
        <w:t xml:space="preserve">e importance of </w:t>
      </w:r>
      <w:r w:rsidR="00CC725C">
        <w:t xml:space="preserve">having </w:t>
      </w:r>
      <w:r w:rsidR="00DB1CD8">
        <w:t>treatment options</w:t>
      </w:r>
      <w:r w:rsidR="00807F18">
        <w:t xml:space="preserve"> that have</w:t>
      </w:r>
      <w:r w:rsidR="00237089">
        <w:t xml:space="preserve"> less impact on the future fertility of patients. </w:t>
      </w:r>
    </w:p>
    <w:p w14:paraId="3C240BC8" w14:textId="128DD21B" w:rsidR="00B3643C" w:rsidRPr="004328AE" w:rsidRDefault="00B3643C" w:rsidP="00807C45">
      <w:pPr>
        <w:pStyle w:val="COMexecsummnumbered"/>
        <w:rPr>
          <w:rFonts w:eastAsia="Times New Roman" w:cs="Arial"/>
          <w:bCs/>
          <w:snapToGrid w:val="0"/>
          <w:szCs w:val="24"/>
        </w:rPr>
      </w:pPr>
      <w:r w:rsidRPr="00666555">
        <w:rPr>
          <w:snapToGrid w:val="0"/>
        </w:rPr>
        <w:t>The PBAC specifically noted the advice</w:t>
      </w:r>
      <w:r w:rsidR="0014766C" w:rsidRPr="00666555">
        <w:rPr>
          <w:snapToGrid w:val="0"/>
        </w:rPr>
        <w:t xml:space="preserve"> from the </w:t>
      </w:r>
      <w:r w:rsidR="0014766C" w:rsidRPr="00666555">
        <w:rPr>
          <w:rFonts w:eastAsia="Times New Roman" w:cs="Arial"/>
          <w:bCs/>
          <w:snapToGrid w:val="0"/>
          <w:szCs w:val="24"/>
        </w:rPr>
        <w:t xml:space="preserve">Australasian Leukaemia </w:t>
      </w:r>
      <w:r w:rsidR="00B82933">
        <w:rPr>
          <w:rFonts w:eastAsia="Times New Roman" w:cs="Arial"/>
          <w:bCs/>
          <w:snapToGrid w:val="0"/>
          <w:szCs w:val="24"/>
        </w:rPr>
        <w:t>and</w:t>
      </w:r>
      <w:r w:rsidR="0014766C" w:rsidRPr="00666555">
        <w:rPr>
          <w:rFonts w:eastAsia="Times New Roman" w:cs="Arial"/>
          <w:bCs/>
          <w:snapToGrid w:val="0"/>
          <w:szCs w:val="24"/>
        </w:rPr>
        <w:t xml:space="preserve"> Lymphoma Group</w:t>
      </w:r>
      <w:r w:rsidRPr="00666555">
        <w:rPr>
          <w:snapToGrid w:val="0"/>
        </w:rPr>
        <w:t xml:space="preserve"> that the use of </w:t>
      </w:r>
      <w:r w:rsidR="000651F7" w:rsidRPr="00666555">
        <w:rPr>
          <w:snapToGrid w:val="0"/>
        </w:rPr>
        <w:t>brentuximab</w:t>
      </w:r>
      <w:r w:rsidR="00B46075">
        <w:rPr>
          <w:snapToGrid w:val="0"/>
        </w:rPr>
        <w:t xml:space="preserve"> vedotin</w:t>
      </w:r>
      <w:r w:rsidR="000651F7" w:rsidRPr="00666555">
        <w:rPr>
          <w:snapToGrid w:val="0"/>
        </w:rPr>
        <w:t xml:space="preserve"> </w:t>
      </w:r>
      <w:r w:rsidRPr="00666555">
        <w:rPr>
          <w:snapToGrid w:val="0"/>
        </w:rPr>
        <w:t>may reduce</w:t>
      </w:r>
      <w:r w:rsidR="00317719" w:rsidRPr="00666555">
        <w:rPr>
          <w:snapToGrid w:val="0"/>
        </w:rPr>
        <w:t xml:space="preserve"> </w:t>
      </w:r>
      <w:r w:rsidR="0005744A">
        <w:rPr>
          <w:snapToGrid w:val="0"/>
        </w:rPr>
        <w:t xml:space="preserve">the </w:t>
      </w:r>
      <w:r w:rsidR="00A27902" w:rsidRPr="00666555">
        <w:rPr>
          <w:snapToGrid w:val="0"/>
        </w:rPr>
        <w:t xml:space="preserve">risk of </w:t>
      </w:r>
      <w:r w:rsidR="00317719" w:rsidRPr="00666555">
        <w:rPr>
          <w:snapToGrid w:val="0"/>
        </w:rPr>
        <w:t>relapse</w:t>
      </w:r>
      <w:r w:rsidR="0005744A">
        <w:rPr>
          <w:snapToGrid w:val="0"/>
        </w:rPr>
        <w:t>,</w:t>
      </w:r>
      <w:r w:rsidR="00317719" w:rsidRPr="00666555">
        <w:rPr>
          <w:snapToGrid w:val="0"/>
        </w:rPr>
        <w:t xml:space="preserve"> </w:t>
      </w:r>
      <w:r w:rsidR="00FF50F5" w:rsidRPr="00666555">
        <w:rPr>
          <w:snapToGrid w:val="0"/>
        </w:rPr>
        <w:t>and</w:t>
      </w:r>
      <w:r w:rsidR="00317719" w:rsidRPr="00666555">
        <w:rPr>
          <w:snapToGrid w:val="0"/>
        </w:rPr>
        <w:t xml:space="preserve"> </w:t>
      </w:r>
      <w:r w:rsidR="0094524E">
        <w:rPr>
          <w:snapToGrid w:val="0"/>
        </w:rPr>
        <w:t>the risk of</w:t>
      </w:r>
      <w:r w:rsidR="00317719" w:rsidRPr="00666555">
        <w:rPr>
          <w:snapToGrid w:val="0"/>
        </w:rPr>
        <w:t xml:space="preserve"> pulmonary and cardiac complications</w:t>
      </w:r>
      <w:r w:rsidRPr="00666555">
        <w:rPr>
          <w:snapToGrid w:val="0"/>
        </w:rPr>
        <w:t>. The</w:t>
      </w:r>
      <w:r w:rsidRPr="004328AE">
        <w:rPr>
          <w:snapToGrid w:val="0"/>
        </w:rPr>
        <w:t xml:space="preserve"> PBAC noted that this advice was supportive of the evidence provided in the submission.</w:t>
      </w:r>
    </w:p>
    <w:bookmarkEnd w:id="18"/>
    <w:bookmarkEnd w:id="20"/>
    <w:p w14:paraId="609C0765" w14:textId="309F3F49" w:rsidR="00B60939" w:rsidRPr="007F66A7" w:rsidRDefault="00B60939" w:rsidP="003D5DE7">
      <w:pPr>
        <w:pStyle w:val="COMH2-non-numbered"/>
      </w:pPr>
      <w:r w:rsidRPr="007F66A7">
        <w:lastRenderedPageBreak/>
        <w:t>Clinical trials</w:t>
      </w:r>
      <w:bookmarkEnd w:id="17"/>
      <w:bookmarkEnd w:id="19"/>
    </w:p>
    <w:p w14:paraId="17DE34DC" w14:textId="583BC015" w:rsidR="007F1017" w:rsidRPr="007F66A7" w:rsidRDefault="006743EB" w:rsidP="002102E2">
      <w:pPr>
        <w:pStyle w:val="COMexecsummnumbered"/>
      </w:pPr>
      <w:r w:rsidRPr="007F66A7">
        <w:t>The resubmission</w:t>
      </w:r>
      <w:r w:rsidR="002102E2" w:rsidRPr="007F66A7">
        <w:t xml:space="preserve"> was based on a head-to-head trial comparing A+AVD with ABVD (as a proxy for PET-adapted ABVD) for the treatment of adult patients with previously untreated advanced (stage III or IV) Hodgkin lymphoma (ECHELON-1). </w:t>
      </w:r>
      <w:r w:rsidR="00907B0F" w:rsidRPr="007F66A7">
        <w:rPr>
          <w:rFonts w:eastAsia="SimSun"/>
          <w:color w:val="000000" w:themeColor="text1"/>
        </w:rPr>
        <w:t>The PBAC previously considered data from the primary analysis (April 2017 data cut) and an interim analysis (June 2021 data cut) of the trial. The resubmission presented new data from the March 2023 data cut.</w:t>
      </w:r>
    </w:p>
    <w:p w14:paraId="6BD68518" w14:textId="7A64A6A3" w:rsidR="00520D21" w:rsidRPr="007F66A7" w:rsidRDefault="005A715F" w:rsidP="002102E2">
      <w:pPr>
        <w:pStyle w:val="COMexecsummnumbered"/>
      </w:pPr>
      <w:r w:rsidRPr="007F66A7">
        <w:t xml:space="preserve">The resubmission presented supportive evidence based on a trial of PET-adapted ABVD in adult patients with newly diagnosed advanced (Ann Arbor stage IIB, III, IV or stage IIA with adverse features) classical Hodgkin lymphoma (RATHL). </w:t>
      </w:r>
      <w:r w:rsidR="00907B0F" w:rsidRPr="007F66A7">
        <w:t xml:space="preserve">The </w:t>
      </w:r>
      <w:r w:rsidR="001D526B" w:rsidRPr="007F66A7">
        <w:t xml:space="preserve">evaluation noted that the </w:t>
      </w:r>
      <w:r w:rsidR="00907B0F" w:rsidRPr="007F66A7">
        <w:t xml:space="preserve">PBAC previously considered data from </w:t>
      </w:r>
      <w:r w:rsidR="0024473F" w:rsidRPr="007F66A7">
        <w:t>this trial based on the primary analysis at a median follow-up of 3.4 years (Johnson 2016). The resubmission presented additional results based on a later data cut at a median follow-up of 7.3 years (</w:t>
      </w:r>
      <w:proofErr w:type="spellStart"/>
      <w:r w:rsidR="0024473F" w:rsidRPr="007F66A7">
        <w:t>Luminari</w:t>
      </w:r>
      <w:proofErr w:type="spellEnd"/>
      <w:r w:rsidR="0024473F" w:rsidRPr="007F66A7">
        <w:t xml:space="preserve"> </w:t>
      </w:r>
      <w:r w:rsidR="007C0F94" w:rsidRPr="007F66A7">
        <w:t>2024</w:t>
      </w:r>
      <w:r w:rsidR="0024473F" w:rsidRPr="007F66A7">
        <w:t>).</w:t>
      </w:r>
    </w:p>
    <w:p w14:paraId="6173309B" w14:textId="296A749C" w:rsidR="00C748B5" w:rsidRPr="007F66A7" w:rsidRDefault="00C748B5" w:rsidP="002102E2">
      <w:pPr>
        <w:pStyle w:val="COMexecsummnumbered"/>
      </w:pPr>
      <w:r w:rsidRPr="007F66A7">
        <w:t xml:space="preserve">The resubmission </w:t>
      </w:r>
      <w:r w:rsidR="00B14152" w:rsidRPr="007F66A7">
        <w:t>identified</w:t>
      </w:r>
      <w:r w:rsidRPr="007F66A7">
        <w:t xml:space="preserve"> a </w:t>
      </w:r>
      <w:r w:rsidR="00B14152" w:rsidRPr="007F66A7">
        <w:t xml:space="preserve">conference abstract/poster (Kristo 2023) that presented the results of two unanchored matching adjusted indirect comparisons (MAICs) comparing the A+AVD regimen (based on individual patient data from the ECHELON-1 trial) with PET-adapted ABVD (escalation in PET-positive patients; unchanged or de-escalation in PET-negative patients; based on aggregate data from the RATHL trial) or PET-adapted ABVD (escalation in PET-positive patients, unchanged in PET-negative patients; based on aggregate data </w:t>
      </w:r>
      <w:r w:rsidR="001F6072" w:rsidRPr="007F66A7">
        <w:t xml:space="preserve">from </w:t>
      </w:r>
      <w:r w:rsidR="00B14152" w:rsidRPr="007F66A7">
        <w:t xml:space="preserve">the SWOG S0816 study). </w:t>
      </w:r>
      <w:r w:rsidR="00A01979" w:rsidRPr="007F66A7">
        <w:t>This ha</w:t>
      </w:r>
      <w:r w:rsidR="00936CAF">
        <w:t>d</w:t>
      </w:r>
      <w:r w:rsidR="00A01979" w:rsidRPr="007F66A7">
        <w:t xml:space="preserve"> not previously been considered by the PBAC. </w:t>
      </w:r>
    </w:p>
    <w:p w14:paraId="4E06EF3E" w14:textId="205ADA07" w:rsidR="00C748B5" w:rsidRPr="007F66A7" w:rsidRDefault="000F2EC4" w:rsidP="002102E2">
      <w:pPr>
        <w:pStyle w:val="COMexecsummnumbered"/>
      </w:pPr>
      <w:r w:rsidRPr="007F66A7">
        <w:t xml:space="preserve">The resubmission identified two recently published Phase III trials of brentuximab vedotin-containing regimens for </w:t>
      </w:r>
      <w:r w:rsidR="009B0496" w:rsidRPr="007F66A7">
        <w:t>first-line</w:t>
      </w:r>
      <w:r w:rsidRPr="007F66A7">
        <w:t xml:space="preserve"> treatment of stage III or IV Hodgkin lymphoma:</w:t>
      </w:r>
    </w:p>
    <w:p w14:paraId="363E7F8C" w14:textId="77777777" w:rsidR="000F2EC4" w:rsidRPr="007F66A7" w:rsidRDefault="000F2EC4" w:rsidP="005D629C">
      <w:pPr>
        <w:pStyle w:val="COMexecsummbulletlist"/>
        <w:numPr>
          <w:ilvl w:val="0"/>
          <w:numId w:val="14"/>
        </w:numPr>
        <w:rPr>
          <w:rFonts w:eastAsia="SimSun"/>
        </w:rPr>
      </w:pPr>
      <w:r w:rsidRPr="007F66A7">
        <w:rPr>
          <w:rFonts w:eastAsia="SimSun"/>
        </w:rPr>
        <w:t xml:space="preserve">A Phase III non-inferiority trial of PET-adapted </w:t>
      </w:r>
      <w:proofErr w:type="spellStart"/>
      <w:r w:rsidRPr="007F66A7">
        <w:rPr>
          <w:rFonts w:eastAsia="SimSun"/>
        </w:rPr>
        <w:t>BrECADD</w:t>
      </w:r>
      <w:proofErr w:type="spellEnd"/>
      <w:r w:rsidRPr="007F66A7">
        <w:rPr>
          <w:rFonts w:eastAsia="SimSun"/>
        </w:rPr>
        <w:t xml:space="preserve"> (brentuximab vedotin, etoposide, cyclophosphamide, doxorubicin, dacarbazine and dexamethasone) compared to </w:t>
      </w:r>
      <w:proofErr w:type="spellStart"/>
      <w:r w:rsidRPr="007F66A7">
        <w:rPr>
          <w:rFonts w:eastAsia="SimSun"/>
        </w:rPr>
        <w:t>eBEACOPP</w:t>
      </w:r>
      <w:proofErr w:type="spellEnd"/>
      <w:r w:rsidRPr="007F66A7">
        <w:rPr>
          <w:rFonts w:eastAsia="SimSun"/>
        </w:rPr>
        <w:t xml:space="preserve"> in patients aged 18-60 years (HD21 trial, Borchmann 2024). At a median follow-up of 4 years, PET-adapted </w:t>
      </w:r>
      <w:proofErr w:type="spellStart"/>
      <w:r w:rsidRPr="007F66A7">
        <w:rPr>
          <w:rFonts w:eastAsia="SimSun"/>
        </w:rPr>
        <w:t>BrECADD</w:t>
      </w:r>
      <w:proofErr w:type="spellEnd"/>
      <w:r w:rsidRPr="007F66A7">
        <w:rPr>
          <w:rFonts w:eastAsia="SimSun"/>
        </w:rPr>
        <w:t xml:space="preserve"> was associated with improved progression-free survival (94.3%) compared to </w:t>
      </w:r>
      <w:proofErr w:type="spellStart"/>
      <w:r w:rsidRPr="007F66A7">
        <w:rPr>
          <w:rFonts w:eastAsia="SimSun"/>
        </w:rPr>
        <w:t>eBEACOPP</w:t>
      </w:r>
      <w:proofErr w:type="spellEnd"/>
      <w:r w:rsidRPr="007F66A7">
        <w:rPr>
          <w:rFonts w:eastAsia="SimSun"/>
        </w:rPr>
        <w:t xml:space="preserve"> (90.9%) (HR 0.66; 95% CI: 0.45, 0.97). Overall survival at 4 years was similar between the PET-adapted </w:t>
      </w:r>
      <w:proofErr w:type="spellStart"/>
      <w:r w:rsidRPr="007F66A7">
        <w:rPr>
          <w:rFonts w:eastAsia="SimSun"/>
        </w:rPr>
        <w:t>BrECADD</w:t>
      </w:r>
      <w:proofErr w:type="spellEnd"/>
      <w:r w:rsidRPr="007F66A7">
        <w:rPr>
          <w:rFonts w:eastAsia="SimSun"/>
        </w:rPr>
        <w:t xml:space="preserve"> (98.6%; 95% CI: 97.7, 99.5) and </w:t>
      </w:r>
      <w:proofErr w:type="spellStart"/>
      <w:r w:rsidRPr="007F66A7">
        <w:rPr>
          <w:rFonts w:eastAsia="SimSun"/>
        </w:rPr>
        <w:t>eBEACOPP</w:t>
      </w:r>
      <w:proofErr w:type="spellEnd"/>
      <w:r w:rsidRPr="007F66A7">
        <w:rPr>
          <w:rFonts w:eastAsia="SimSun"/>
        </w:rPr>
        <w:t xml:space="preserve"> (98.2%, 95% CI: 97.2, 99.3) arms.</w:t>
      </w:r>
    </w:p>
    <w:p w14:paraId="16B000EB" w14:textId="3C95939F" w:rsidR="000F2EC4" w:rsidRPr="007F66A7" w:rsidRDefault="000F2EC4" w:rsidP="005D629C">
      <w:pPr>
        <w:pStyle w:val="COMexecsummbulletlist"/>
        <w:numPr>
          <w:ilvl w:val="0"/>
          <w:numId w:val="14"/>
        </w:numPr>
        <w:rPr>
          <w:rFonts w:eastAsia="SimSun"/>
        </w:rPr>
      </w:pPr>
      <w:r w:rsidRPr="007F66A7">
        <w:rPr>
          <w:rFonts w:eastAsia="SimSun"/>
        </w:rPr>
        <w:t>A Phase III trial evaluating nivolumab + AVD and brentuximab vedotin + AVD for treatment of patients aged ≥12 years (S1826 trial, Herrera 2024). At a median follow-up of 2.1 years, the 2-year progression-free survival was 92% (95% CI: 89, 94) with nivolumab</w:t>
      </w:r>
      <w:r w:rsidR="004E4AF0" w:rsidRPr="007F66A7">
        <w:rPr>
          <w:rFonts w:eastAsia="SimSun"/>
        </w:rPr>
        <w:t xml:space="preserve"> </w:t>
      </w:r>
      <w:r w:rsidRPr="007F66A7">
        <w:rPr>
          <w:rFonts w:eastAsia="SimSun"/>
        </w:rPr>
        <w:t>+</w:t>
      </w:r>
      <w:r w:rsidR="004E4AF0" w:rsidRPr="007F66A7">
        <w:rPr>
          <w:rFonts w:eastAsia="SimSun"/>
        </w:rPr>
        <w:t xml:space="preserve"> </w:t>
      </w:r>
      <w:r w:rsidRPr="007F66A7">
        <w:rPr>
          <w:rFonts w:eastAsia="SimSun"/>
        </w:rPr>
        <w:t>AVD, compared to 83% (95% CI: 79, 86) with A+AVD (HR 0.45; 95% CI: 0.30, 0.65). Overall survival at 2 years was similar between nivolumab</w:t>
      </w:r>
      <w:r w:rsidR="004E4AF0" w:rsidRPr="007F66A7">
        <w:rPr>
          <w:rFonts w:eastAsia="SimSun"/>
        </w:rPr>
        <w:t xml:space="preserve"> </w:t>
      </w:r>
      <w:r w:rsidRPr="007F66A7">
        <w:rPr>
          <w:rFonts w:eastAsia="SimSun"/>
        </w:rPr>
        <w:t>+</w:t>
      </w:r>
      <w:r w:rsidR="004E4AF0" w:rsidRPr="007F66A7">
        <w:rPr>
          <w:rFonts w:eastAsia="SimSun"/>
        </w:rPr>
        <w:t xml:space="preserve"> </w:t>
      </w:r>
      <w:r w:rsidRPr="007F66A7">
        <w:rPr>
          <w:rFonts w:eastAsia="SimSun"/>
        </w:rPr>
        <w:t xml:space="preserve">AVD (99%) and A+AVD (98%). </w:t>
      </w:r>
    </w:p>
    <w:p w14:paraId="30A0BB5F" w14:textId="1B5816EF" w:rsidR="00881943" w:rsidRPr="007573E9" w:rsidRDefault="008302C9" w:rsidP="00881943">
      <w:pPr>
        <w:pStyle w:val="COMexecsummnumbered"/>
      </w:pPr>
      <w:r w:rsidRPr="007573E9">
        <w:rPr>
          <w:rFonts w:eastAsia="SimSun"/>
        </w:rPr>
        <w:lastRenderedPageBreak/>
        <w:t xml:space="preserve">The resubmission excluded the HD21 and S1826 trials due to wrong intervention. The </w:t>
      </w:r>
      <w:r w:rsidR="009766C7" w:rsidRPr="007573E9">
        <w:t xml:space="preserve">evaluation considered that the </w:t>
      </w:r>
      <w:r w:rsidRPr="007573E9">
        <w:rPr>
          <w:rFonts w:eastAsia="SimSun"/>
        </w:rPr>
        <w:t xml:space="preserve">exclusion of the HD21 trial was inadequately justified given the resubmission’s request for the proposed listing to be agnostic in terms of backbone chemotherapy, which would allow use in other regimens including PET-adapted </w:t>
      </w:r>
      <w:proofErr w:type="spellStart"/>
      <w:r w:rsidRPr="007573E9">
        <w:rPr>
          <w:rFonts w:eastAsia="SimSun"/>
        </w:rPr>
        <w:t>BrECADD</w:t>
      </w:r>
      <w:proofErr w:type="spellEnd"/>
      <w:r w:rsidRPr="007573E9">
        <w:rPr>
          <w:rFonts w:eastAsia="SimSun"/>
        </w:rPr>
        <w:t xml:space="preserve">. </w:t>
      </w:r>
      <w:r w:rsidR="00A17774" w:rsidRPr="007573E9">
        <w:rPr>
          <w:rFonts w:eastAsia="SimSun"/>
        </w:rPr>
        <w:t xml:space="preserve">However, the ESC noted that </w:t>
      </w:r>
      <w:r w:rsidR="0089045B" w:rsidRPr="007573E9">
        <w:rPr>
          <w:rFonts w:eastAsia="SimSun"/>
        </w:rPr>
        <w:t>the trial include</w:t>
      </w:r>
      <w:r w:rsidR="00B53F6C" w:rsidRPr="007573E9">
        <w:rPr>
          <w:rFonts w:eastAsia="SimSun"/>
        </w:rPr>
        <w:t>d</w:t>
      </w:r>
      <w:r w:rsidR="0089045B" w:rsidRPr="007573E9">
        <w:rPr>
          <w:rFonts w:eastAsia="SimSun"/>
        </w:rPr>
        <w:t xml:space="preserve"> a different patient group (</w:t>
      </w:r>
      <w:proofErr w:type="spellStart"/>
      <w:r w:rsidR="0089045B" w:rsidRPr="007573E9">
        <w:rPr>
          <w:rFonts w:eastAsia="SimSun"/>
        </w:rPr>
        <w:t>eBEAC</w:t>
      </w:r>
      <w:r w:rsidR="00336667" w:rsidRPr="007573E9">
        <w:rPr>
          <w:rFonts w:eastAsia="SimSun"/>
        </w:rPr>
        <w:t>OPP</w:t>
      </w:r>
      <w:proofErr w:type="spellEnd"/>
      <w:r w:rsidR="00336667" w:rsidRPr="007573E9">
        <w:rPr>
          <w:rFonts w:eastAsia="SimSun"/>
        </w:rPr>
        <w:t xml:space="preserve"> patients, </w:t>
      </w:r>
      <w:r w:rsidR="0089045B" w:rsidRPr="007573E9">
        <w:rPr>
          <w:rFonts w:eastAsia="SimSun"/>
        </w:rPr>
        <w:t>age</w:t>
      </w:r>
      <w:r w:rsidR="00336667" w:rsidRPr="007573E9">
        <w:rPr>
          <w:rFonts w:eastAsia="SimSun"/>
        </w:rPr>
        <w:t>d</w:t>
      </w:r>
      <w:r w:rsidR="0089045B" w:rsidRPr="007573E9">
        <w:rPr>
          <w:rFonts w:eastAsia="SimSun"/>
        </w:rPr>
        <w:t xml:space="preserve"> &lt;60 years)</w:t>
      </w:r>
      <w:r w:rsidR="005B61C5" w:rsidRPr="007573E9">
        <w:rPr>
          <w:rFonts w:eastAsia="SimSun"/>
        </w:rPr>
        <w:t xml:space="preserve"> and considered it reasonable to exclude</w:t>
      </w:r>
      <w:r w:rsidR="00336667" w:rsidRPr="007573E9">
        <w:rPr>
          <w:rFonts w:eastAsia="SimSun"/>
        </w:rPr>
        <w:t>.</w:t>
      </w:r>
      <w:r w:rsidR="0089045B" w:rsidRPr="007573E9">
        <w:rPr>
          <w:rFonts w:eastAsia="SimSun"/>
        </w:rPr>
        <w:t xml:space="preserve"> </w:t>
      </w:r>
      <w:r w:rsidRPr="007573E9">
        <w:rPr>
          <w:rFonts w:eastAsia="SimSun"/>
        </w:rPr>
        <w:t xml:space="preserve">The HD21 and S1826 trials were cited as references informing changes to preferred regimens for </w:t>
      </w:r>
      <w:r w:rsidR="009B0496" w:rsidRPr="007573E9">
        <w:rPr>
          <w:rFonts w:eastAsia="SimSun"/>
        </w:rPr>
        <w:t>first-line</w:t>
      </w:r>
      <w:r w:rsidRPr="007573E9">
        <w:rPr>
          <w:rFonts w:eastAsia="SimSun"/>
        </w:rPr>
        <w:t xml:space="preserve"> treatment of advanced Hodgkin lymphoma based on the NCCN and UpToDate guidelines.</w:t>
      </w:r>
    </w:p>
    <w:p w14:paraId="2B59ABAC" w14:textId="07D857A9" w:rsidR="00862502" w:rsidRPr="007F66A7" w:rsidRDefault="00A73134" w:rsidP="002E4F02">
      <w:pPr>
        <w:pStyle w:val="COMexecsummnumbered"/>
      </w:pPr>
      <w:r w:rsidRPr="007F66A7">
        <w:t xml:space="preserve">Details of the </w:t>
      </w:r>
      <w:r w:rsidR="00464E9E" w:rsidRPr="007F66A7">
        <w:t xml:space="preserve">key trial </w:t>
      </w:r>
      <w:r w:rsidRPr="007F66A7">
        <w:t xml:space="preserve">presented in the </w:t>
      </w:r>
      <w:r w:rsidR="00464E9E" w:rsidRPr="007F66A7">
        <w:t>re</w:t>
      </w:r>
      <w:r w:rsidRPr="007F66A7">
        <w:t xml:space="preserve">submission are provided in </w:t>
      </w:r>
      <w:r w:rsidR="00696EF9" w:rsidRPr="007F66A7">
        <w:fldChar w:fldCharType="begin"/>
      </w:r>
      <w:r w:rsidR="00696EF9" w:rsidRPr="007F66A7">
        <w:instrText xml:space="preserve"> REF _Ref104803956 \h </w:instrText>
      </w:r>
      <w:r w:rsidR="00696EF9" w:rsidRPr="007F66A7">
        <w:fldChar w:fldCharType="separate"/>
      </w:r>
      <w:r w:rsidR="00293B06" w:rsidRPr="007F66A7">
        <w:t xml:space="preserve">Table </w:t>
      </w:r>
      <w:r w:rsidR="00293B06">
        <w:rPr>
          <w:noProof/>
        </w:rPr>
        <w:t>3</w:t>
      </w:r>
      <w:r w:rsidR="00696EF9" w:rsidRPr="007F66A7">
        <w:fldChar w:fldCharType="end"/>
      </w:r>
      <w:r w:rsidRPr="007F66A7">
        <w:t>.</w:t>
      </w:r>
      <w:r w:rsidR="00BC591F" w:rsidRPr="007F66A7">
        <w:t xml:space="preserve"> </w:t>
      </w:r>
    </w:p>
    <w:p w14:paraId="7DE3A286" w14:textId="2511CFAB" w:rsidR="008E0D3C" w:rsidRPr="007F66A7" w:rsidRDefault="00696EF9" w:rsidP="004232B5">
      <w:pPr>
        <w:pStyle w:val="COMtablefigcaption"/>
        <w:keepLines/>
      </w:pPr>
      <w:bookmarkStart w:id="21" w:name="_Ref104803956"/>
      <w:r w:rsidRPr="007F66A7">
        <w:t xml:space="preserve">Table </w:t>
      </w:r>
      <w:r w:rsidR="006A25C4">
        <w:fldChar w:fldCharType="begin"/>
      </w:r>
      <w:r w:rsidR="006A25C4">
        <w:instrText xml:space="preserve"> SEQ Table \* ARABIC </w:instrText>
      </w:r>
      <w:r w:rsidR="006A25C4">
        <w:fldChar w:fldCharType="separate"/>
      </w:r>
      <w:r w:rsidR="00293B06">
        <w:rPr>
          <w:noProof/>
        </w:rPr>
        <w:t>3</w:t>
      </w:r>
      <w:r w:rsidR="006A25C4">
        <w:fldChar w:fldCharType="end"/>
      </w:r>
      <w:bookmarkEnd w:id="21"/>
      <w:r w:rsidRPr="007F66A7">
        <w:t>:</w:t>
      </w:r>
      <w:r w:rsidR="00BC591F" w:rsidRPr="007F66A7">
        <w:t xml:space="preserve"> </w:t>
      </w:r>
      <w:r w:rsidR="00FE1400" w:rsidRPr="007F66A7">
        <w:t>Key t</w:t>
      </w:r>
      <w:r w:rsidR="008E0D3C" w:rsidRPr="007F66A7">
        <w:t xml:space="preserve">rial and associated reports presented in the </w:t>
      </w:r>
      <w:r w:rsidR="00FE1400" w:rsidRPr="007F66A7">
        <w:t>re</w:t>
      </w:r>
      <w:r w:rsidR="008E0D3C" w:rsidRPr="007F66A7">
        <w:t>submission</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Key trial and associated reports presented in the resubmission"/>
      </w:tblPr>
      <w:tblGrid>
        <w:gridCol w:w="1436"/>
        <w:gridCol w:w="5458"/>
        <w:gridCol w:w="2116"/>
      </w:tblGrid>
      <w:tr w:rsidR="004F4247" w:rsidRPr="007F66A7" w14:paraId="318DC229" w14:textId="77777777">
        <w:trPr>
          <w:tblHeader/>
        </w:trPr>
        <w:tc>
          <w:tcPr>
            <w:tcW w:w="797" w:type="pct"/>
            <w:vAlign w:val="center"/>
          </w:tcPr>
          <w:p w14:paraId="5025848F" w14:textId="77777777" w:rsidR="004F4247" w:rsidRPr="007F66A7" w:rsidRDefault="004F4247" w:rsidP="004232B5">
            <w:pPr>
              <w:pStyle w:val="COMTableheadingrow"/>
              <w:keepLines/>
              <w:rPr>
                <w:lang w:val="en-AU"/>
              </w:rPr>
            </w:pPr>
            <w:r w:rsidRPr="007F66A7">
              <w:rPr>
                <w:lang w:val="en-AU"/>
              </w:rPr>
              <w:t>Trial ID</w:t>
            </w:r>
          </w:p>
        </w:tc>
        <w:tc>
          <w:tcPr>
            <w:tcW w:w="3029" w:type="pct"/>
            <w:vAlign w:val="center"/>
          </w:tcPr>
          <w:p w14:paraId="4A5B4F32" w14:textId="77777777" w:rsidR="004F4247" w:rsidRPr="007F66A7" w:rsidRDefault="004F4247" w:rsidP="004232B5">
            <w:pPr>
              <w:pStyle w:val="COMTableheadingrow"/>
              <w:keepLines/>
              <w:rPr>
                <w:lang w:val="en-AU"/>
              </w:rPr>
            </w:pPr>
            <w:r w:rsidRPr="007F66A7">
              <w:rPr>
                <w:lang w:val="en-AU"/>
              </w:rPr>
              <w:t>Protocol title/ Publication title</w:t>
            </w:r>
          </w:p>
        </w:tc>
        <w:tc>
          <w:tcPr>
            <w:tcW w:w="1174" w:type="pct"/>
            <w:vAlign w:val="center"/>
          </w:tcPr>
          <w:p w14:paraId="2BFA0490" w14:textId="77777777" w:rsidR="004F4247" w:rsidRPr="007F66A7" w:rsidRDefault="004F4247" w:rsidP="004232B5">
            <w:pPr>
              <w:pStyle w:val="COMTableheadingrow"/>
              <w:keepLines/>
              <w:rPr>
                <w:lang w:val="en-AU"/>
              </w:rPr>
            </w:pPr>
            <w:r w:rsidRPr="007F66A7">
              <w:rPr>
                <w:lang w:val="en-AU"/>
              </w:rPr>
              <w:t>Publication citation</w:t>
            </w:r>
          </w:p>
        </w:tc>
      </w:tr>
      <w:tr w:rsidR="004F4247" w:rsidRPr="007F66A7" w14:paraId="0CD8492F" w14:textId="77777777">
        <w:tc>
          <w:tcPr>
            <w:tcW w:w="5000" w:type="pct"/>
            <w:gridSpan w:val="3"/>
            <w:tcBorders>
              <w:bottom w:val="single" w:sz="4" w:space="0" w:color="auto"/>
            </w:tcBorders>
            <w:vAlign w:val="center"/>
          </w:tcPr>
          <w:p w14:paraId="265E5B10" w14:textId="77777777" w:rsidR="004F4247" w:rsidRPr="007F66A7" w:rsidRDefault="004F4247" w:rsidP="004232B5">
            <w:pPr>
              <w:keepNext/>
              <w:keepLines/>
              <w:widowControl w:val="0"/>
              <w:jc w:val="left"/>
              <w:rPr>
                <w:rFonts w:ascii="Arial Narrow" w:eastAsiaTheme="majorEastAsia" w:hAnsi="Arial Narrow" w:cs="Times New Roman"/>
                <w:b/>
                <w:sz w:val="20"/>
              </w:rPr>
            </w:pPr>
            <w:r w:rsidRPr="007F66A7">
              <w:rPr>
                <w:rFonts w:ascii="Arial Narrow" w:eastAsiaTheme="majorEastAsia" w:hAnsi="Arial Narrow" w:cs="Times New Roman"/>
                <w:b/>
                <w:sz w:val="20"/>
              </w:rPr>
              <w:t xml:space="preserve">Trials of brentuximab vedotin </w:t>
            </w:r>
          </w:p>
        </w:tc>
      </w:tr>
      <w:tr w:rsidR="00275B67" w:rsidRPr="007F66A7" w14:paraId="52B85570" w14:textId="77777777" w:rsidTr="00240A57">
        <w:tc>
          <w:tcPr>
            <w:tcW w:w="797" w:type="pct"/>
            <w:vMerge w:val="restart"/>
            <w:tcBorders>
              <w:bottom w:val="single" w:sz="4" w:space="0" w:color="auto"/>
            </w:tcBorders>
            <w:vAlign w:val="center"/>
          </w:tcPr>
          <w:p w14:paraId="607C57C7" w14:textId="77777777" w:rsidR="00275B67" w:rsidRPr="007F66A7" w:rsidRDefault="00275B67" w:rsidP="004232B5">
            <w:pPr>
              <w:keepNext/>
              <w:keepLines/>
              <w:widowControl w:val="0"/>
              <w:jc w:val="left"/>
              <w:rPr>
                <w:rFonts w:ascii="Arial Narrow" w:eastAsiaTheme="majorEastAsia" w:hAnsi="Arial Narrow" w:cstheme="majorBidi"/>
                <w:bCs/>
                <w:sz w:val="20"/>
              </w:rPr>
            </w:pPr>
            <w:r w:rsidRPr="007F66A7">
              <w:rPr>
                <w:rFonts w:ascii="Arial Narrow" w:eastAsiaTheme="majorEastAsia" w:hAnsi="Arial Narrow" w:cstheme="majorBidi"/>
                <w:bCs/>
                <w:sz w:val="20"/>
              </w:rPr>
              <w:t>ECHELON-1</w:t>
            </w:r>
          </w:p>
          <w:p w14:paraId="1D4066FB" w14:textId="77777777" w:rsidR="00275B67" w:rsidRPr="007F66A7" w:rsidRDefault="00275B67" w:rsidP="004232B5">
            <w:pPr>
              <w:keepNext/>
              <w:keepLines/>
              <w:widowControl w:val="0"/>
              <w:jc w:val="left"/>
              <w:rPr>
                <w:rFonts w:ascii="Arial Narrow" w:eastAsiaTheme="majorEastAsia" w:hAnsi="Arial Narrow" w:cstheme="majorBidi"/>
                <w:bCs/>
                <w:sz w:val="20"/>
              </w:rPr>
            </w:pPr>
            <w:r w:rsidRPr="007F66A7">
              <w:rPr>
                <w:rFonts w:ascii="Arial Narrow" w:eastAsiaTheme="majorEastAsia" w:hAnsi="Arial Narrow" w:cstheme="majorBidi"/>
                <w:bCs/>
                <w:sz w:val="20"/>
              </w:rPr>
              <w:t>(NCT01712490)</w:t>
            </w:r>
          </w:p>
        </w:tc>
        <w:tc>
          <w:tcPr>
            <w:tcW w:w="3029" w:type="pct"/>
            <w:tcBorders>
              <w:bottom w:val="single" w:sz="4" w:space="0" w:color="auto"/>
            </w:tcBorders>
            <w:shd w:val="clear" w:color="auto" w:fill="B8CCE4" w:themeFill="accent1" w:themeFillTint="66"/>
            <w:vAlign w:val="center"/>
          </w:tcPr>
          <w:p w14:paraId="4ABB5E0F" w14:textId="0A9C5067" w:rsidR="00275B67" w:rsidRPr="007F66A7" w:rsidRDefault="00275B67" w:rsidP="004232B5">
            <w:pPr>
              <w:keepNext/>
              <w:keepLines/>
              <w:widowControl w:val="0"/>
              <w:jc w:val="left"/>
              <w:rPr>
                <w:rFonts w:ascii="Arial Narrow" w:eastAsiaTheme="majorEastAsia" w:hAnsi="Arial Narrow" w:cstheme="majorBidi"/>
                <w:bCs/>
                <w:sz w:val="20"/>
                <w:szCs w:val="18"/>
              </w:rPr>
            </w:pPr>
            <w:r w:rsidRPr="007F66A7">
              <w:rPr>
                <w:rFonts w:ascii="Arial Narrow" w:eastAsiaTheme="majorEastAsia" w:hAnsi="Arial Narrow" w:cstheme="majorBidi"/>
                <w:bCs/>
                <w:sz w:val="20"/>
                <w:szCs w:val="18"/>
              </w:rPr>
              <w:t>Clinical Study Report C25003. A randomized, open-label, Phase 3 trial of A+AVD versus ABVD as frontline therapy in patients with advanced classical Hodgkin lymphoma.</w:t>
            </w:r>
          </w:p>
        </w:tc>
        <w:tc>
          <w:tcPr>
            <w:tcW w:w="1174" w:type="pct"/>
            <w:tcBorders>
              <w:bottom w:val="single" w:sz="4" w:space="0" w:color="auto"/>
            </w:tcBorders>
            <w:shd w:val="clear" w:color="auto" w:fill="B8CCE4" w:themeFill="accent1" w:themeFillTint="66"/>
            <w:vAlign w:val="center"/>
          </w:tcPr>
          <w:p w14:paraId="11144C1B" w14:textId="230C50DA" w:rsidR="00275B67" w:rsidRPr="007F66A7" w:rsidRDefault="00275B67" w:rsidP="004232B5">
            <w:pPr>
              <w:keepNext/>
              <w:keepLines/>
              <w:widowControl w:val="0"/>
              <w:jc w:val="left"/>
              <w:rPr>
                <w:rFonts w:ascii="Arial Narrow" w:eastAsiaTheme="majorEastAsia" w:hAnsi="Arial Narrow" w:cstheme="majorBidi"/>
                <w:bCs/>
                <w:sz w:val="20"/>
              </w:rPr>
            </w:pPr>
            <w:r w:rsidRPr="007F66A7">
              <w:rPr>
                <w:rFonts w:ascii="Arial Narrow" w:eastAsiaTheme="majorEastAsia" w:hAnsi="Arial Narrow" w:cstheme="majorBidi"/>
                <w:bCs/>
                <w:sz w:val="20"/>
              </w:rPr>
              <w:t>Clinical Study Report, August 2017.</w:t>
            </w:r>
          </w:p>
        </w:tc>
      </w:tr>
      <w:tr w:rsidR="00275B67" w:rsidRPr="007F66A7" w14:paraId="5A87B0E2" w14:textId="77777777" w:rsidTr="00240A57">
        <w:tc>
          <w:tcPr>
            <w:tcW w:w="797" w:type="pct"/>
            <w:vMerge/>
            <w:tcBorders>
              <w:top w:val="single" w:sz="4" w:space="0" w:color="auto"/>
              <w:bottom w:val="single" w:sz="4" w:space="0" w:color="auto"/>
            </w:tcBorders>
            <w:vAlign w:val="center"/>
          </w:tcPr>
          <w:p w14:paraId="04B29B48" w14:textId="77777777" w:rsidR="00275B67" w:rsidRPr="007F66A7" w:rsidRDefault="00275B67" w:rsidP="004232B5">
            <w:pPr>
              <w:keepNext/>
              <w:keepLines/>
              <w:widowControl w:val="0"/>
              <w:jc w:val="left"/>
              <w:rPr>
                <w:rFonts w:ascii="Arial Narrow" w:eastAsiaTheme="majorEastAsia" w:hAnsi="Arial Narrow" w:cstheme="majorBidi"/>
                <w:bCs/>
                <w:sz w:val="20"/>
              </w:rPr>
            </w:pPr>
          </w:p>
        </w:tc>
        <w:tc>
          <w:tcPr>
            <w:tcW w:w="3029" w:type="pct"/>
            <w:tcBorders>
              <w:top w:val="single" w:sz="4" w:space="0" w:color="auto"/>
              <w:bottom w:val="single" w:sz="4" w:space="0" w:color="auto"/>
            </w:tcBorders>
            <w:shd w:val="clear" w:color="auto" w:fill="B8CCE4" w:themeFill="accent1" w:themeFillTint="66"/>
            <w:vAlign w:val="center"/>
          </w:tcPr>
          <w:p w14:paraId="0F9FB173" w14:textId="77777777" w:rsidR="00275B67" w:rsidRPr="007F66A7" w:rsidRDefault="00275B67" w:rsidP="004232B5">
            <w:pPr>
              <w:keepNext/>
              <w:keepLines/>
              <w:widowControl w:val="0"/>
              <w:jc w:val="left"/>
              <w:rPr>
                <w:rFonts w:ascii="Arial Narrow" w:eastAsiaTheme="majorEastAsia" w:hAnsi="Arial Narrow" w:cstheme="majorBidi"/>
                <w:bCs/>
                <w:sz w:val="20"/>
                <w:szCs w:val="18"/>
              </w:rPr>
            </w:pPr>
            <w:r w:rsidRPr="007F66A7">
              <w:rPr>
                <w:rFonts w:ascii="Arial Narrow" w:eastAsiaTheme="majorEastAsia" w:hAnsi="Arial Narrow" w:cstheme="majorBidi"/>
                <w:bCs/>
                <w:sz w:val="20"/>
                <w:szCs w:val="18"/>
              </w:rPr>
              <w:t>Clinical Study Report Addendum 1. Study C25003 (ECHELON-1). A randomized, open-label, Phase 3 trial of A+AVD versus ABVD as</w:t>
            </w:r>
          </w:p>
          <w:p w14:paraId="23029C36" w14:textId="7C67447E" w:rsidR="00275B67" w:rsidRPr="007F66A7" w:rsidRDefault="00275B67" w:rsidP="004232B5">
            <w:pPr>
              <w:keepNext/>
              <w:keepLines/>
              <w:widowControl w:val="0"/>
              <w:jc w:val="left"/>
              <w:rPr>
                <w:rFonts w:ascii="Arial Narrow" w:eastAsiaTheme="majorEastAsia" w:hAnsi="Arial Narrow" w:cstheme="majorBidi"/>
                <w:bCs/>
                <w:sz w:val="20"/>
                <w:szCs w:val="18"/>
              </w:rPr>
            </w:pPr>
            <w:r w:rsidRPr="007F66A7">
              <w:rPr>
                <w:rFonts w:ascii="Arial Narrow" w:eastAsiaTheme="majorEastAsia" w:hAnsi="Arial Narrow" w:cstheme="majorBidi"/>
                <w:bCs/>
                <w:sz w:val="20"/>
                <w:szCs w:val="18"/>
              </w:rPr>
              <w:t>frontline therapy in patients with advanced classical Hodgkin lymphoma.</w:t>
            </w:r>
          </w:p>
        </w:tc>
        <w:tc>
          <w:tcPr>
            <w:tcW w:w="1174" w:type="pct"/>
            <w:tcBorders>
              <w:top w:val="single" w:sz="4" w:space="0" w:color="auto"/>
              <w:bottom w:val="single" w:sz="4" w:space="0" w:color="auto"/>
            </w:tcBorders>
            <w:shd w:val="clear" w:color="auto" w:fill="B8CCE4" w:themeFill="accent1" w:themeFillTint="66"/>
            <w:vAlign w:val="center"/>
          </w:tcPr>
          <w:p w14:paraId="362F9584" w14:textId="07415542" w:rsidR="00275B67" w:rsidRPr="007F66A7" w:rsidRDefault="00275B67" w:rsidP="004232B5">
            <w:pPr>
              <w:keepNext/>
              <w:keepLines/>
              <w:widowControl w:val="0"/>
              <w:jc w:val="left"/>
              <w:rPr>
                <w:rFonts w:ascii="Arial Narrow" w:eastAsiaTheme="majorEastAsia" w:hAnsi="Arial Narrow" w:cstheme="majorBidi"/>
                <w:bCs/>
                <w:sz w:val="20"/>
                <w:szCs w:val="18"/>
              </w:rPr>
            </w:pPr>
            <w:r w:rsidRPr="007F66A7">
              <w:rPr>
                <w:rFonts w:ascii="Arial Narrow" w:eastAsiaTheme="majorEastAsia" w:hAnsi="Arial Narrow" w:cstheme="majorBidi"/>
                <w:bCs/>
                <w:sz w:val="20"/>
                <w:szCs w:val="18"/>
              </w:rPr>
              <w:t>Clinical Study Report Addendum 1, May 2022.</w:t>
            </w:r>
          </w:p>
        </w:tc>
      </w:tr>
      <w:tr w:rsidR="00275B67" w:rsidRPr="007F66A7" w14:paraId="399CC82C" w14:textId="77777777">
        <w:tc>
          <w:tcPr>
            <w:tcW w:w="797" w:type="pct"/>
            <w:vMerge/>
            <w:tcBorders>
              <w:top w:val="single" w:sz="4" w:space="0" w:color="auto"/>
              <w:bottom w:val="single" w:sz="4" w:space="0" w:color="auto"/>
            </w:tcBorders>
            <w:vAlign w:val="center"/>
          </w:tcPr>
          <w:p w14:paraId="2299B654" w14:textId="77777777" w:rsidR="00275B67" w:rsidRPr="007F66A7" w:rsidRDefault="00275B67" w:rsidP="004232B5">
            <w:pPr>
              <w:keepNext/>
              <w:keepLines/>
              <w:widowControl w:val="0"/>
              <w:jc w:val="left"/>
              <w:rPr>
                <w:rFonts w:ascii="Arial Narrow" w:eastAsiaTheme="majorEastAsia" w:hAnsi="Arial Narrow" w:cstheme="majorBidi"/>
                <w:bCs/>
                <w:sz w:val="20"/>
              </w:rPr>
            </w:pPr>
          </w:p>
        </w:tc>
        <w:tc>
          <w:tcPr>
            <w:tcW w:w="3029" w:type="pct"/>
            <w:tcBorders>
              <w:top w:val="single" w:sz="4" w:space="0" w:color="auto"/>
              <w:bottom w:val="single" w:sz="4" w:space="0" w:color="auto"/>
            </w:tcBorders>
            <w:vAlign w:val="center"/>
          </w:tcPr>
          <w:p w14:paraId="561F58E2" w14:textId="77777777" w:rsidR="00275B67" w:rsidRPr="007F66A7" w:rsidRDefault="00275B67" w:rsidP="004232B5">
            <w:pPr>
              <w:keepNext/>
              <w:keepLines/>
              <w:widowControl w:val="0"/>
              <w:jc w:val="left"/>
              <w:rPr>
                <w:rFonts w:ascii="Arial Narrow" w:eastAsiaTheme="majorEastAsia" w:hAnsi="Arial Narrow" w:cstheme="majorBidi"/>
                <w:bCs/>
                <w:sz w:val="20"/>
                <w:szCs w:val="18"/>
              </w:rPr>
            </w:pPr>
            <w:r w:rsidRPr="007F66A7">
              <w:rPr>
                <w:rFonts w:ascii="Arial Narrow" w:eastAsiaTheme="majorEastAsia" w:hAnsi="Arial Narrow" w:cstheme="majorBidi"/>
                <w:bCs/>
                <w:sz w:val="20"/>
                <w:szCs w:val="18"/>
              </w:rPr>
              <w:t>Clinical Study Report Addendum 3. Study C25003 (ECHELON-1). A randomized, open-label, Phase 3 trial of A+AVD versus ABVD as</w:t>
            </w:r>
          </w:p>
          <w:p w14:paraId="2814C11B" w14:textId="0BA1A72D" w:rsidR="00275B67" w:rsidRPr="007F66A7" w:rsidRDefault="00275B67" w:rsidP="004232B5">
            <w:pPr>
              <w:keepNext/>
              <w:keepLines/>
              <w:widowControl w:val="0"/>
              <w:jc w:val="left"/>
              <w:rPr>
                <w:rFonts w:ascii="Arial Narrow" w:eastAsiaTheme="majorEastAsia" w:hAnsi="Arial Narrow" w:cstheme="majorBidi"/>
                <w:bCs/>
                <w:sz w:val="20"/>
                <w:szCs w:val="18"/>
              </w:rPr>
            </w:pPr>
            <w:r w:rsidRPr="007F66A7">
              <w:rPr>
                <w:rFonts w:ascii="Arial Narrow" w:eastAsiaTheme="majorEastAsia" w:hAnsi="Arial Narrow" w:cstheme="majorBidi"/>
                <w:bCs/>
                <w:sz w:val="20"/>
                <w:szCs w:val="18"/>
              </w:rPr>
              <w:t>frontline therapy in patients with advanced classical Hodgkin lymphoma.</w:t>
            </w:r>
          </w:p>
        </w:tc>
        <w:tc>
          <w:tcPr>
            <w:tcW w:w="1174" w:type="pct"/>
            <w:tcBorders>
              <w:top w:val="single" w:sz="4" w:space="0" w:color="auto"/>
              <w:bottom w:val="single" w:sz="4" w:space="0" w:color="auto"/>
            </w:tcBorders>
            <w:vAlign w:val="center"/>
          </w:tcPr>
          <w:p w14:paraId="3F40F250" w14:textId="24319E2E" w:rsidR="00275B67" w:rsidRPr="007F66A7" w:rsidRDefault="00275B67" w:rsidP="004232B5">
            <w:pPr>
              <w:keepNext/>
              <w:keepLines/>
              <w:widowControl w:val="0"/>
              <w:jc w:val="left"/>
              <w:rPr>
                <w:rFonts w:ascii="Arial Narrow" w:eastAsiaTheme="majorEastAsia" w:hAnsi="Arial Narrow" w:cstheme="majorBidi"/>
                <w:bCs/>
                <w:sz w:val="20"/>
                <w:szCs w:val="18"/>
              </w:rPr>
            </w:pPr>
            <w:r w:rsidRPr="007F66A7">
              <w:rPr>
                <w:rFonts w:ascii="Arial Narrow" w:eastAsiaTheme="majorEastAsia" w:hAnsi="Arial Narrow" w:cstheme="majorBidi"/>
                <w:bCs/>
                <w:sz w:val="20"/>
                <w:szCs w:val="18"/>
              </w:rPr>
              <w:t>Clinical Study Report Addendum 3, June 2024.</w:t>
            </w:r>
          </w:p>
        </w:tc>
      </w:tr>
      <w:tr w:rsidR="00275B67" w:rsidRPr="007F66A7" w14:paraId="763C5714" w14:textId="77777777" w:rsidTr="00240A57">
        <w:tc>
          <w:tcPr>
            <w:tcW w:w="797" w:type="pct"/>
            <w:vMerge/>
            <w:tcBorders>
              <w:top w:val="single" w:sz="4" w:space="0" w:color="auto"/>
              <w:bottom w:val="single" w:sz="4" w:space="0" w:color="auto"/>
            </w:tcBorders>
            <w:vAlign w:val="center"/>
          </w:tcPr>
          <w:p w14:paraId="4EB8030B" w14:textId="77777777" w:rsidR="00275B67" w:rsidRPr="007F66A7" w:rsidRDefault="00275B67" w:rsidP="004232B5">
            <w:pPr>
              <w:keepNext/>
              <w:keepLines/>
              <w:widowControl w:val="0"/>
              <w:jc w:val="left"/>
              <w:rPr>
                <w:rFonts w:ascii="Arial Narrow" w:eastAsiaTheme="majorEastAsia" w:hAnsi="Arial Narrow" w:cstheme="majorBidi"/>
                <w:bCs/>
                <w:sz w:val="20"/>
              </w:rPr>
            </w:pPr>
          </w:p>
        </w:tc>
        <w:tc>
          <w:tcPr>
            <w:tcW w:w="3029" w:type="pct"/>
            <w:tcBorders>
              <w:top w:val="single" w:sz="4" w:space="0" w:color="auto"/>
              <w:bottom w:val="single" w:sz="4" w:space="0" w:color="auto"/>
            </w:tcBorders>
            <w:shd w:val="clear" w:color="auto" w:fill="B8CCE4" w:themeFill="accent1" w:themeFillTint="66"/>
            <w:vAlign w:val="center"/>
          </w:tcPr>
          <w:p w14:paraId="0459ACA5" w14:textId="6A4D38E3" w:rsidR="00275B67" w:rsidRPr="007F66A7" w:rsidRDefault="00275B67" w:rsidP="004232B5">
            <w:pPr>
              <w:keepNext/>
              <w:keepLines/>
              <w:widowControl w:val="0"/>
              <w:jc w:val="left"/>
              <w:rPr>
                <w:rFonts w:ascii="Arial Narrow" w:eastAsiaTheme="majorEastAsia" w:hAnsi="Arial Narrow" w:cstheme="majorBidi"/>
                <w:bCs/>
                <w:sz w:val="20"/>
                <w:szCs w:val="18"/>
              </w:rPr>
            </w:pPr>
            <w:r w:rsidRPr="007F66A7">
              <w:rPr>
                <w:rFonts w:ascii="Arial Narrow" w:eastAsiaTheme="majorEastAsia" w:hAnsi="Arial Narrow" w:cstheme="majorBidi"/>
                <w:bCs/>
                <w:sz w:val="20"/>
                <w:szCs w:val="18"/>
              </w:rPr>
              <w:t xml:space="preserve">Connors </w:t>
            </w:r>
            <w:r w:rsidRPr="007F66A7">
              <w:rPr>
                <w:rFonts w:ascii="Arial Narrow" w:eastAsiaTheme="majorEastAsia" w:hAnsi="Arial Narrow" w:cstheme="majorBidi"/>
                <w:bCs/>
                <w:i/>
                <w:iCs/>
                <w:sz w:val="20"/>
                <w:szCs w:val="18"/>
              </w:rPr>
              <w:t>et al</w:t>
            </w:r>
            <w:r w:rsidRPr="007F66A7">
              <w:rPr>
                <w:rFonts w:ascii="Arial Narrow" w:eastAsiaTheme="majorEastAsia" w:hAnsi="Arial Narrow" w:cstheme="majorBidi"/>
                <w:bCs/>
                <w:sz w:val="20"/>
                <w:szCs w:val="18"/>
              </w:rPr>
              <w:t>. Brentuximab vedotin with chemotherapy for stage III or IV Hodgkin's lymphoma.</w:t>
            </w:r>
          </w:p>
        </w:tc>
        <w:tc>
          <w:tcPr>
            <w:tcW w:w="1174" w:type="pct"/>
            <w:tcBorders>
              <w:top w:val="single" w:sz="4" w:space="0" w:color="auto"/>
              <w:bottom w:val="single" w:sz="4" w:space="0" w:color="auto"/>
            </w:tcBorders>
            <w:shd w:val="clear" w:color="auto" w:fill="B8CCE4" w:themeFill="accent1" w:themeFillTint="66"/>
            <w:vAlign w:val="center"/>
          </w:tcPr>
          <w:p w14:paraId="7F40DBC7" w14:textId="1E906546" w:rsidR="00275B67" w:rsidRPr="007F66A7" w:rsidRDefault="00275B67" w:rsidP="004232B5">
            <w:pPr>
              <w:keepNext/>
              <w:keepLines/>
              <w:widowControl w:val="0"/>
              <w:jc w:val="left"/>
              <w:rPr>
                <w:rFonts w:ascii="Arial Narrow" w:eastAsiaTheme="majorEastAsia" w:hAnsi="Arial Narrow" w:cstheme="majorBidi"/>
                <w:bCs/>
                <w:iCs/>
                <w:sz w:val="20"/>
                <w:szCs w:val="18"/>
              </w:rPr>
            </w:pPr>
            <w:r w:rsidRPr="007F66A7">
              <w:rPr>
                <w:rFonts w:ascii="Arial Narrow" w:eastAsiaTheme="majorEastAsia" w:hAnsi="Arial Narrow" w:cstheme="majorBidi"/>
                <w:bCs/>
                <w:i/>
                <w:sz w:val="20"/>
                <w:szCs w:val="18"/>
              </w:rPr>
              <w:t>N Engl J Med</w:t>
            </w:r>
            <w:r w:rsidRPr="007F66A7">
              <w:rPr>
                <w:rFonts w:ascii="Arial Narrow" w:eastAsiaTheme="majorEastAsia" w:hAnsi="Arial Narrow" w:cstheme="majorBidi"/>
                <w:bCs/>
                <w:iCs/>
                <w:sz w:val="20"/>
                <w:szCs w:val="18"/>
              </w:rPr>
              <w:t xml:space="preserve"> 2018; 378: 331-344.</w:t>
            </w:r>
          </w:p>
        </w:tc>
      </w:tr>
      <w:tr w:rsidR="00275B67" w:rsidRPr="007F66A7" w14:paraId="1F2B79FC" w14:textId="77777777" w:rsidTr="00240A57">
        <w:tc>
          <w:tcPr>
            <w:tcW w:w="797" w:type="pct"/>
            <w:vMerge/>
            <w:tcBorders>
              <w:top w:val="single" w:sz="4" w:space="0" w:color="auto"/>
              <w:bottom w:val="single" w:sz="4" w:space="0" w:color="auto"/>
            </w:tcBorders>
            <w:vAlign w:val="center"/>
          </w:tcPr>
          <w:p w14:paraId="03E588CA" w14:textId="77777777" w:rsidR="00275B67" w:rsidRPr="007F66A7" w:rsidRDefault="00275B67" w:rsidP="004232B5">
            <w:pPr>
              <w:keepNext/>
              <w:keepLines/>
              <w:widowControl w:val="0"/>
              <w:jc w:val="left"/>
              <w:rPr>
                <w:rFonts w:ascii="Arial Narrow" w:eastAsiaTheme="majorEastAsia" w:hAnsi="Arial Narrow" w:cstheme="majorBidi"/>
                <w:bCs/>
                <w:sz w:val="20"/>
              </w:rPr>
            </w:pPr>
          </w:p>
        </w:tc>
        <w:tc>
          <w:tcPr>
            <w:tcW w:w="3029" w:type="pct"/>
            <w:tcBorders>
              <w:top w:val="single" w:sz="4" w:space="0" w:color="auto"/>
              <w:bottom w:val="single" w:sz="4" w:space="0" w:color="auto"/>
            </w:tcBorders>
            <w:shd w:val="clear" w:color="auto" w:fill="B8CCE4" w:themeFill="accent1" w:themeFillTint="66"/>
            <w:vAlign w:val="center"/>
          </w:tcPr>
          <w:p w14:paraId="17BD5DDD" w14:textId="343C7B48" w:rsidR="00275B67" w:rsidRPr="007F66A7" w:rsidRDefault="00275B67" w:rsidP="004232B5">
            <w:pPr>
              <w:keepNext/>
              <w:keepLines/>
              <w:widowControl w:val="0"/>
              <w:jc w:val="left"/>
              <w:rPr>
                <w:rFonts w:ascii="Arial Narrow" w:eastAsiaTheme="majorEastAsia" w:hAnsi="Arial Narrow" w:cstheme="majorBidi"/>
                <w:bCs/>
                <w:sz w:val="20"/>
                <w:szCs w:val="18"/>
              </w:rPr>
            </w:pPr>
            <w:r w:rsidRPr="007F66A7">
              <w:rPr>
                <w:rFonts w:ascii="Arial Narrow" w:eastAsiaTheme="majorEastAsia" w:hAnsi="Arial Narrow" w:cstheme="majorBidi"/>
                <w:bCs/>
                <w:sz w:val="20"/>
                <w:szCs w:val="18"/>
              </w:rPr>
              <w:t xml:space="preserve">Straus </w:t>
            </w:r>
            <w:r w:rsidRPr="007F66A7">
              <w:rPr>
                <w:rFonts w:ascii="Arial Narrow" w:eastAsiaTheme="majorEastAsia" w:hAnsi="Arial Narrow" w:cstheme="majorBidi"/>
                <w:bCs/>
                <w:i/>
                <w:iCs/>
                <w:sz w:val="20"/>
                <w:szCs w:val="18"/>
              </w:rPr>
              <w:t>et al</w:t>
            </w:r>
            <w:r w:rsidRPr="007F66A7">
              <w:rPr>
                <w:rFonts w:ascii="Arial Narrow" w:eastAsiaTheme="majorEastAsia" w:hAnsi="Arial Narrow" w:cstheme="majorBidi"/>
                <w:bCs/>
                <w:sz w:val="20"/>
                <w:szCs w:val="18"/>
              </w:rPr>
              <w:t>. Brentuximab vedotin with chemotherapy for stage III or IV classical Hodgkin lymphoma (ECHELON-1): 5-year update of an international, open-label, randomised, phase 3 trial.</w:t>
            </w:r>
          </w:p>
        </w:tc>
        <w:tc>
          <w:tcPr>
            <w:tcW w:w="1174" w:type="pct"/>
            <w:tcBorders>
              <w:top w:val="single" w:sz="4" w:space="0" w:color="auto"/>
              <w:bottom w:val="single" w:sz="4" w:space="0" w:color="auto"/>
            </w:tcBorders>
            <w:shd w:val="clear" w:color="auto" w:fill="B8CCE4" w:themeFill="accent1" w:themeFillTint="66"/>
            <w:vAlign w:val="center"/>
          </w:tcPr>
          <w:p w14:paraId="56C6AEC4" w14:textId="5F499EFB" w:rsidR="00275B67" w:rsidRPr="007F66A7" w:rsidRDefault="00275B67" w:rsidP="004232B5">
            <w:pPr>
              <w:keepNext/>
              <w:keepLines/>
              <w:widowControl w:val="0"/>
              <w:jc w:val="left"/>
              <w:rPr>
                <w:rFonts w:ascii="Arial Narrow" w:eastAsiaTheme="majorEastAsia" w:hAnsi="Arial Narrow" w:cstheme="majorBidi"/>
                <w:bCs/>
                <w:iCs/>
                <w:sz w:val="20"/>
                <w:szCs w:val="18"/>
              </w:rPr>
            </w:pPr>
            <w:r w:rsidRPr="007F66A7">
              <w:rPr>
                <w:rFonts w:ascii="Arial Narrow" w:eastAsiaTheme="majorEastAsia" w:hAnsi="Arial Narrow" w:cstheme="majorBidi"/>
                <w:bCs/>
                <w:i/>
                <w:sz w:val="20"/>
                <w:szCs w:val="18"/>
              </w:rPr>
              <w:t xml:space="preserve">Lancet </w:t>
            </w:r>
            <w:proofErr w:type="spellStart"/>
            <w:r w:rsidRPr="007F66A7">
              <w:rPr>
                <w:rFonts w:ascii="Arial Narrow" w:eastAsiaTheme="majorEastAsia" w:hAnsi="Arial Narrow" w:cstheme="majorBidi"/>
                <w:bCs/>
                <w:i/>
                <w:sz w:val="20"/>
                <w:szCs w:val="18"/>
              </w:rPr>
              <w:t>Haematol</w:t>
            </w:r>
            <w:proofErr w:type="spellEnd"/>
            <w:r w:rsidRPr="007F66A7">
              <w:rPr>
                <w:rFonts w:ascii="Arial Narrow" w:eastAsiaTheme="majorEastAsia" w:hAnsi="Arial Narrow" w:cstheme="majorBidi"/>
                <w:bCs/>
                <w:iCs/>
                <w:sz w:val="20"/>
                <w:szCs w:val="18"/>
              </w:rPr>
              <w:t xml:space="preserve"> 2021; 8: e410-e421.</w:t>
            </w:r>
          </w:p>
        </w:tc>
      </w:tr>
      <w:tr w:rsidR="00275B67" w:rsidRPr="007F66A7" w14:paraId="4312378D" w14:textId="77777777" w:rsidTr="00240A57">
        <w:tc>
          <w:tcPr>
            <w:tcW w:w="797" w:type="pct"/>
            <w:vMerge/>
            <w:tcBorders>
              <w:top w:val="single" w:sz="4" w:space="0" w:color="auto"/>
              <w:bottom w:val="single" w:sz="4" w:space="0" w:color="auto"/>
            </w:tcBorders>
            <w:vAlign w:val="center"/>
          </w:tcPr>
          <w:p w14:paraId="61F377C9" w14:textId="77777777" w:rsidR="00275B67" w:rsidRPr="007F66A7" w:rsidRDefault="00275B67" w:rsidP="004232B5">
            <w:pPr>
              <w:keepNext/>
              <w:keepLines/>
              <w:widowControl w:val="0"/>
              <w:jc w:val="left"/>
              <w:rPr>
                <w:rFonts w:ascii="Arial Narrow" w:eastAsiaTheme="majorEastAsia" w:hAnsi="Arial Narrow" w:cstheme="majorBidi"/>
                <w:bCs/>
                <w:sz w:val="20"/>
              </w:rPr>
            </w:pPr>
          </w:p>
        </w:tc>
        <w:tc>
          <w:tcPr>
            <w:tcW w:w="3029" w:type="pct"/>
            <w:tcBorders>
              <w:top w:val="single" w:sz="4" w:space="0" w:color="auto"/>
              <w:bottom w:val="single" w:sz="4" w:space="0" w:color="auto"/>
            </w:tcBorders>
            <w:shd w:val="clear" w:color="auto" w:fill="B8CCE4" w:themeFill="accent1" w:themeFillTint="66"/>
            <w:vAlign w:val="center"/>
          </w:tcPr>
          <w:p w14:paraId="54473F8C" w14:textId="614A34B5" w:rsidR="00275B67" w:rsidRPr="007F66A7" w:rsidRDefault="00275B67" w:rsidP="004232B5">
            <w:pPr>
              <w:keepNext/>
              <w:keepLines/>
              <w:widowControl w:val="0"/>
              <w:jc w:val="left"/>
              <w:rPr>
                <w:rFonts w:ascii="Arial Narrow" w:eastAsiaTheme="majorEastAsia" w:hAnsi="Arial Narrow" w:cstheme="majorBidi"/>
                <w:bCs/>
                <w:sz w:val="20"/>
                <w:szCs w:val="18"/>
              </w:rPr>
            </w:pPr>
            <w:r w:rsidRPr="007F66A7">
              <w:rPr>
                <w:rFonts w:ascii="Arial Narrow" w:eastAsiaTheme="majorEastAsia" w:hAnsi="Arial Narrow" w:cstheme="majorBidi"/>
                <w:bCs/>
                <w:sz w:val="20"/>
                <w:szCs w:val="18"/>
              </w:rPr>
              <w:t xml:space="preserve">Ansell </w:t>
            </w:r>
            <w:r w:rsidRPr="007F66A7">
              <w:rPr>
                <w:rFonts w:ascii="Arial Narrow" w:eastAsiaTheme="majorEastAsia" w:hAnsi="Arial Narrow" w:cstheme="majorBidi"/>
                <w:bCs/>
                <w:i/>
                <w:iCs/>
                <w:sz w:val="20"/>
                <w:szCs w:val="18"/>
              </w:rPr>
              <w:t>et al</w:t>
            </w:r>
            <w:r w:rsidRPr="007F66A7">
              <w:rPr>
                <w:rFonts w:ascii="Arial Narrow" w:eastAsiaTheme="majorEastAsia" w:hAnsi="Arial Narrow" w:cstheme="majorBidi"/>
                <w:bCs/>
                <w:sz w:val="20"/>
                <w:szCs w:val="18"/>
              </w:rPr>
              <w:t>. Overall survival with brentuximab vedotin in stage III or IV Hodgkin’s lymphoma.</w:t>
            </w:r>
          </w:p>
        </w:tc>
        <w:tc>
          <w:tcPr>
            <w:tcW w:w="1174" w:type="pct"/>
            <w:tcBorders>
              <w:top w:val="single" w:sz="4" w:space="0" w:color="auto"/>
              <w:bottom w:val="single" w:sz="4" w:space="0" w:color="auto"/>
            </w:tcBorders>
            <w:shd w:val="clear" w:color="auto" w:fill="B8CCE4" w:themeFill="accent1" w:themeFillTint="66"/>
            <w:vAlign w:val="center"/>
          </w:tcPr>
          <w:p w14:paraId="4C5DBC6B" w14:textId="6B2C263D" w:rsidR="00275B67" w:rsidRPr="007F66A7" w:rsidRDefault="00275B67" w:rsidP="004232B5">
            <w:pPr>
              <w:keepNext/>
              <w:keepLines/>
              <w:widowControl w:val="0"/>
              <w:jc w:val="left"/>
              <w:rPr>
                <w:rFonts w:ascii="Arial Narrow" w:eastAsiaTheme="majorEastAsia" w:hAnsi="Arial Narrow" w:cstheme="majorBidi"/>
                <w:bCs/>
                <w:iCs/>
                <w:sz w:val="20"/>
                <w:szCs w:val="18"/>
              </w:rPr>
            </w:pPr>
            <w:r w:rsidRPr="007F66A7">
              <w:rPr>
                <w:rFonts w:ascii="Arial Narrow" w:eastAsiaTheme="majorEastAsia" w:hAnsi="Arial Narrow" w:cstheme="majorBidi"/>
                <w:bCs/>
                <w:i/>
                <w:sz w:val="20"/>
                <w:szCs w:val="18"/>
              </w:rPr>
              <w:t>N Engl J Med</w:t>
            </w:r>
            <w:r w:rsidRPr="007F66A7">
              <w:rPr>
                <w:rFonts w:ascii="Arial Narrow" w:eastAsiaTheme="majorEastAsia" w:hAnsi="Arial Narrow" w:cstheme="majorBidi"/>
                <w:bCs/>
                <w:iCs/>
                <w:sz w:val="20"/>
                <w:szCs w:val="18"/>
              </w:rPr>
              <w:t xml:space="preserve"> 2022; 387: 310-320.</w:t>
            </w:r>
          </w:p>
        </w:tc>
      </w:tr>
    </w:tbl>
    <w:p w14:paraId="3529F1BD" w14:textId="7354527F" w:rsidR="008872D4" w:rsidRPr="007F66A7" w:rsidRDefault="008872D4" w:rsidP="004232B5">
      <w:pPr>
        <w:keepNext/>
        <w:keepLines/>
        <w:spacing w:after="120"/>
        <w:contextualSpacing/>
        <w:rPr>
          <w:rFonts w:ascii="Arial Narrow" w:eastAsia="SimSun" w:hAnsi="Arial Narrow"/>
          <w:snapToGrid w:val="0"/>
          <w:sz w:val="18"/>
          <w:szCs w:val="22"/>
        </w:rPr>
      </w:pPr>
      <w:r w:rsidRPr="007F66A7">
        <w:rPr>
          <w:rFonts w:ascii="Arial Narrow" w:eastAsia="SimSun" w:hAnsi="Arial Narrow"/>
          <w:snapToGrid w:val="0"/>
          <w:sz w:val="18"/>
          <w:szCs w:val="22"/>
        </w:rPr>
        <w:t>Source: Table 2.3, p65; Table 2.43, p148 of the resubmission</w:t>
      </w:r>
    </w:p>
    <w:p w14:paraId="7B92E17B" w14:textId="231A648E" w:rsidR="00A84048" w:rsidRPr="007F66A7" w:rsidRDefault="00C81093" w:rsidP="008872D4">
      <w:pPr>
        <w:spacing w:after="120"/>
        <w:contextualSpacing/>
        <w:rPr>
          <w:rFonts w:ascii="Arial Narrow" w:eastAsia="SimSun" w:hAnsi="Arial Narrow"/>
          <w:snapToGrid w:val="0"/>
          <w:sz w:val="18"/>
          <w:szCs w:val="22"/>
        </w:rPr>
      </w:pPr>
      <w:r w:rsidRPr="007F66A7">
        <w:rPr>
          <w:rFonts w:ascii="Arial Narrow" w:eastAsia="SimSun" w:hAnsi="Arial Narrow"/>
          <w:snapToGrid w:val="0"/>
          <w:sz w:val="18"/>
          <w:szCs w:val="22"/>
        </w:rPr>
        <w:t>Note: Blue shading delineates data presented in the March 2024 submission</w:t>
      </w:r>
    </w:p>
    <w:p w14:paraId="1DD06D7D" w14:textId="2ACA395E" w:rsidR="007F1017" w:rsidRPr="007F66A7" w:rsidRDefault="008F120A" w:rsidP="00EC5836">
      <w:pPr>
        <w:pStyle w:val="COMexecsummnumbered"/>
        <w:rPr>
          <w:color w:val="0066FF"/>
        </w:rPr>
      </w:pPr>
      <w:r w:rsidRPr="007F66A7">
        <w:t xml:space="preserve">The key features of the </w:t>
      </w:r>
      <w:r w:rsidR="00506263" w:rsidRPr="007F66A7">
        <w:t>ECHELON-1 trial</w:t>
      </w:r>
      <w:r w:rsidRPr="007F66A7">
        <w:t xml:space="preserve"> </w:t>
      </w:r>
      <w:r w:rsidR="003F29A1" w:rsidRPr="007F66A7">
        <w:t xml:space="preserve">are </w:t>
      </w:r>
      <w:r w:rsidRPr="007F66A7">
        <w:t>summarised in</w:t>
      </w:r>
      <w:r w:rsidR="00D6076E" w:rsidRPr="007F66A7">
        <w:t xml:space="preserve"> </w:t>
      </w:r>
      <w:r w:rsidR="00D6076E" w:rsidRPr="007F66A7">
        <w:fldChar w:fldCharType="begin"/>
      </w:r>
      <w:r w:rsidR="00D6076E" w:rsidRPr="007F66A7">
        <w:instrText xml:space="preserve"> REF _Ref104804098 \h  \* MERGEFORMAT </w:instrText>
      </w:r>
      <w:r w:rsidR="00D6076E" w:rsidRPr="007F66A7">
        <w:fldChar w:fldCharType="separate"/>
      </w:r>
      <w:r w:rsidR="00293B06" w:rsidRPr="007F66A7">
        <w:t xml:space="preserve">Table </w:t>
      </w:r>
      <w:r w:rsidR="00293B06">
        <w:t>4</w:t>
      </w:r>
      <w:r w:rsidR="00D6076E" w:rsidRPr="007F66A7">
        <w:fldChar w:fldCharType="end"/>
      </w:r>
      <w:r w:rsidRPr="007F66A7">
        <w:t>.</w:t>
      </w:r>
    </w:p>
    <w:p w14:paraId="355E2F15" w14:textId="71CC5DDF" w:rsidR="007F1017" w:rsidRPr="007F66A7" w:rsidRDefault="00696EF9" w:rsidP="004917DF">
      <w:pPr>
        <w:pStyle w:val="COMtablefigcaption"/>
        <w:keepLines/>
      </w:pPr>
      <w:bookmarkStart w:id="22" w:name="_Ref104804098"/>
      <w:r w:rsidRPr="007F66A7">
        <w:t xml:space="preserve">Table </w:t>
      </w:r>
      <w:r w:rsidR="006A25C4">
        <w:fldChar w:fldCharType="begin"/>
      </w:r>
      <w:r w:rsidR="006A25C4">
        <w:instrText xml:space="preserve"> SEQ Table \* ARABIC </w:instrText>
      </w:r>
      <w:r w:rsidR="006A25C4">
        <w:fldChar w:fldCharType="separate"/>
      </w:r>
      <w:r w:rsidR="00293B06">
        <w:rPr>
          <w:noProof/>
        </w:rPr>
        <w:t>4</w:t>
      </w:r>
      <w:r w:rsidR="006A25C4">
        <w:fldChar w:fldCharType="end"/>
      </w:r>
      <w:bookmarkEnd w:id="22"/>
      <w:r w:rsidR="00D6076E" w:rsidRPr="007F66A7">
        <w:t xml:space="preserve">: </w:t>
      </w:r>
      <w:r w:rsidR="007F1017" w:rsidRPr="007F66A7">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286"/>
        <w:gridCol w:w="840"/>
        <w:gridCol w:w="1410"/>
        <w:gridCol w:w="1120"/>
        <w:gridCol w:w="1546"/>
        <w:gridCol w:w="1122"/>
        <w:gridCol w:w="1693"/>
      </w:tblGrid>
      <w:tr w:rsidR="00061BE7" w:rsidRPr="007F66A7" w14:paraId="6B5B8D85" w14:textId="77777777" w:rsidTr="00AB30C5">
        <w:trPr>
          <w:cantSplit/>
          <w:tblHeader/>
        </w:trPr>
        <w:tc>
          <w:tcPr>
            <w:tcW w:w="713" w:type="pct"/>
            <w:vAlign w:val="center"/>
          </w:tcPr>
          <w:p w14:paraId="7EA69584" w14:textId="77777777" w:rsidR="00061BE7" w:rsidRPr="007F66A7" w:rsidRDefault="00061BE7" w:rsidP="004917DF">
            <w:pPr>
              <w:pStyle w:val="COMTableheadingrow"/>
              <w:keepLines/>
              <w:rPr>
                <w:lang w:val="en-AU"/>
              </w:rPr>
            </w:pPr>
            <w:r w:rsidRPr="007F66A7">
              <w:rPr>
                <w:lang w:val="en-AU"/>
              </w:rPr>
              <w:t>Trial</w:t>
            </w:r>
          </w:p>
        </w:tc>
        <w:tc>
          <w:tcPr>
            <w:tcW w:w="466" w:type="pct"/>
            <w:vAlign w:val="center"/>
          </w:tcPr>
          <w:p w14:paraId="57C2F5F8" w14:textId="77777777" w:rsidR="00061BE7" w:rsidRPr="007F66A7" w:rsidRDefault="00061BE7" w:rsidP="004917DF">
            <w:pPr>
              <w:pStyle w:val="COMTableheadingrow"/>
              <w:keepLines/>
              <w:jc w:val="center"/>
              <w:rPr>
                <w:lang w:val="en-AU"/>
              </w:rPr>
            </w:pPr>
            <w:r w:rsidRPr="007F66A7">
              <w:rPr>
                <w:lang w:val="en-AU"/>
              </w:rPr>
              <w:t>N</w:t>
            </w:r>
          </w:p>
        </w:tc>
        <w:tc>
          <w:tcPr>
            <w:tcW w:w="782" w:type="pct"/>
            <w:vAlign w:val="center"/>
          </w:tcPr>
          <w:p w14:paraId="6D62FF3C" w14:textId="77777777" w:rsidR="00061BE7" w:rsidRPr="007F66A7" w:rsidRDefault="00061BE7" w:rsidP="004917DF">
            <w:pPr>
              <w:pStyle w:val="COMTableheadingrow"/>
              <w:keepLines/>
              <w:jc w:val="center"/>
              <w:rPr>
                <w:lang w:val="en-AU"/>
              </w:rPr>
            </w:pPr>
            <w:r w:rsidRPr="007F66A7">
              <w:rPr>
                <w:lang w:val="en-AU"/>
              </w:rPr>
              <w:t>Design/ duration</w:t>
            </w:r>
          </w:p>
        </w:tc>
        <w:tc>
          <w:tcPr>
            <w:tcW w:w="621" w:type="pct"/>
            <w:vAlign w:val="center"/>
          </w:tcPr>
          <w:p w14:paraId="09E6A054" w14:textId="77777777" w:rsidR="00061BE7" w:rsidRPr="007F66A7" w:rsidRDefault="00061BE7" w:rsidP="004917DF">
            <w:pPr>
              <w:pStyle w:val="COMTableheadingrow"/>
              <w:keepLines/>
              <w:jc w:val="center"/>
              <w:rPr>
                <w:lang w:val="en-AU"/>
              </w:rPr>
            </w:pPr>
            <w:r w:rsidRPr="007F66A7">
              <w:rPr>
                <w:lang w:val="en-AU"/>
              </w:rPr>
              <w:t>Risk of bias</w:t>
            </w:r>
          </w:p>
        </w:tc>
        <w:tc>
          <w:tcPr>
            <w:tcW w:w="857" w:type="pct"/>
            <w:vAlign w:val="center"/>
          </w:tcPr>
          <w:p w14:paraId="6FA16FFC" w14:textId="77777777" w:rsidR="00061BE7" w:rsidRPr="007F66A7" w:rsidRDefault="00061BE7" w:rsidP="004917DF">
            <w:pPr>
              <w:pStyle w:val="COMTableheadingrow"/>
              <w:keepLines/>
              <w:jc w:val="center"/>
              <w:rPr>
                <w:lang w:val="en-AU"/>
              </w:rPr>
            </w:pPr>
            <w:r w:rsidRPr="007F66A7">
              <w:rPr>
                <w:lang w:val="en-AU"/>
              </w:rPr>
              <w:t>Patient population</w:t>
            </w:r>
          </w:p>
        </w:tc>
        <w:tc>
          <w:tcPr>
            <w:tcW w:w="622" w:type="pct"/>
            <w:vAlign w:val="center"/>
          </w:tcPr>
          <w:p w14:paraId="1F51FC9A" w14:textId="77777777" w:rsidR="00061BE7" w:rsidRPr="007F66A7" w:rsidRDefault="00061BE7" w:rsidP="004917DF">
            <w:pPr>
              <w:pStyle w:val="COMTableheadingrow"/>
              <w:keepLines/>
              <w:jc w:val="center"/>
              <w:rPr>
                <w:lang w:val="en-AU"/>
              </w:rPr>
            </w:pPr>
            <w:r w:rsidRPr="007F66A7">
              <w:rPr>
                <w:lang w:val="en-AU"/>
              </w:rPr>
              <w:t>Outcomes</w:t>
            </w:r>
          </w:p>
        </w:tc>
        <w:tc>
          <w:tcPr>
            <w:tcW w:w="939" w:type="pct"/>
            <w:vAlign w:val="center"/>
          </w:tcPr>
          <w:p w14:paraId="275462B5" w14:textId="77777777" w:rsidR="00061BE7" w:rsidRPr="007F66A7" w:rsidRDefault="00061BE7" w:rsidP="004917DF">
            <w:pPr>
              <w:pStyle w:val="COMTableheadingrow"/>
              <w:keepLines/>
              <w:jc w:val="center"/>
              <w:rPr>
                <w:lang w:val="en-AU"/>
              </w:rPr>
            </w:pPr>
            <w:r w:rsidRPr="007F66A7">
              <w:rPr>
                <w:lang w:val="en-AU"/>
              </w:rPr>
              <w:t>Use in modelled evaluation</w:t>
            </w:r>
          </w:p>
        </w:tc>
      </w:tr>
      <w:tr w:rsidR="00061BE7" w:rsidRPr="007F66A7" w14:paraId="6ED32625" w14:textId="77777777" w:rsidTr="00AB30C5">
        <w:trPr>
          <w:cantSplit/>
        </w:trPr>
        <w:tc>
          <w:tcPr>
            <w:tcW w:w="5000" w:type="pct"/>
            <w:gridSpan w:val="7"/>
            <w:vAlign w:val="center"/>
          </w:tcPr>
          <w:p w14:paraId="32512A5E" w14:textId="77777777" w:rsidR="00061BE7" w:rsidRPr="007F66A7" w:rsidRDefault="00061BE7" w:rsidP="004917DF">
            <w:pPr>
              <w:pStyle w:val="COMTableheadingrow"/>
              <w:keepLines/>
              <w:rPr>
                <w:lang w:val="en-AU"/>
              </w:rPr>
            </w:pPr>
            <w:r w:rsidRPr="007F66A7">
              <w:rPr>
                <w:lang w:val="en-AU"/>
              </w:rPr>
              <w:t>A+AVD versus ABVD</w:t>
            </w:r>
          </w:p>
        </w:tc>
      </w:tr>
      <w:tr w:rsidR="00061BE7" w:rsidRPr="007F66A7" w14:paraId="37785B00" w14:textId="77777777" w:rsidTr="00AB30C5">
        <w:trPr>
          <w:cantSplit/>
        </w:trPr>
        <w:tc>
          <w:tcPr>
            <w:tcW w:w="713" w:type="pct"/>
            <w:vAlign w:val="center"/>
          </w:tcPr>
          <w:p w14:paraId="356B5D04" w14:textId="77777777" w:rsidR="00061BE7" w:rsidRPr="007F66A7" w:rsidRDefault="00061BE7" w:rsidP="004917DF">
            <w:pPr>
              <w:pStyle w:val="COMTabletext"/>
              <w:keepLines/>
            </w:pPr>
            <w:r w:rsidRPr="007F66A7">
              <w:t>ECHELON-1</w:t>
            </w:r>
          </w:p>
        </w:tc>
        <w:tc>
          <w:tcPr>
            <w:tcW w:w="466" w:type="pct"/>
            <w:vAlign w:val="center"/>
          </w:tcPr>
          <w:p w14:paraId="72DC3ACA" w14:textId="77777777" w:rsidR="00061BE7" w:rsidRPr="007F66A7" w:rsidRDefault="00061BE7" w:rsidP="004917DF">
            <w:pPr>
              <w:pStyle w:val="COMTabletext"/>
              <w:keepLines/>
              <w:jc w:val="center"/>
            </w:pPr>
            <w:r w:rsidRPr="007F66A7">
              <w:t>1,334</w:t>
            </w:r>
          </w:p>
        </w:tc>
        <w:tc>
          <w:tcPr>
            <w:tcW w:w="782" w:type="pct"/>
            <w:vAlign w:val="center"/>
          </w:tcPr>
          <w:p w14:paraId="05C85D82" w14:textId="77777777" w:rsidR="00061BE7" w:rsidRPr="007F66A7" w:rsidRDefault="00061BE7" w:rsidP="004917DF">
            <w:pPr>
              <w:pStyle w:val="COMTabletext"/>
              <w:keepLines/>
              <w:jc w:val="center"/>
            </w:pPr>
            <w:r w:rsidRPr="007F66A7">
              <w:t>Phase III, MC, OL, RCT. Primary analysis period (median 24 months follow-up) and up to 10 years follow-up</w:t>
            </w:r>
          </w:p>
        </w:tc>
        <w:tc>
          <w:tcPr>
            <w:tcW w:w="621" w:type="pct"/>
            <w:vAlign w:val="center"/>
          </w:tcPr>
          <w:p w14:paraId="72B7FD18" w14:textId="77777777" w:rsidR="00061BE7" w:rsidRPr="007F66A7" w:rsidRDefault="00061BE7" w:rsidP="004917DF">
            <w:pPr>
              <w:pStyle w:val="COMTabletext"/>
              <w:keepLines/>
              <w:jc w:val="center"/>
              <w:rPr>
                <w:iCs/>
              </w:rPr>
            </w:pPr>
            <w:r w:rsidRPr="007F66A7">
              <w:rPr>
                <w:iCs/>
              </w:rPr>
              <w:t>High</w:t>
            </w:r>
          </w:p>
        </w:tc>
        <w:tc>
          <w:tcPr>
            <w:tcW w:w="857" w:type="pct"/>
            <w:vAlign w:val="center"/>
          </w:tcPr>
          <w:p w14:paraId="17757CC1" w14:textId="77777777" w:rsidR="00061BE7" w:rsidRPr="007F66A7" w:rsidRDefault="00061BE7" w:rsidP="004917DF">
            <w:pPr>
              <w:pStyle w:val="COMTabletext"/>
              <w:keepLines/>
              <w:jc w:val="center"/>
            </w:pPr>
            <w:r w:rsidRPr="007F66A7">
              <w:t>Adult patients with previously untreated stage III or IV classical Hodgkin lymphoma</w:t>
            </w:r>
          </w:p>
        </w:tc>
        <w:tc>
          <w:tcPr>
            <w:tcW w:w="622" w:type="pct"/>
            <w:vAlign w:val="center"/>
          </w:tcPr>
          <w:p w14:paraId="113FB57C" w14:textId="77777777" w:rsidR="00061BE7" w:rsidRPr="007F66A7" w:rsidRDefault="00061BE7" w:rsidP="004917DF">
            <w:pPr>
              <w:pStyle w:val="COMTabletext"/>
              <w:keepLines/>
              <w:jc w:val="center"/>
            </w:pPr>
            <w:proofErr w:type="spellStart"/>
            <w:r w:rsidRPr="007F66A7">
              <w:t>mPFS</w:t>
            </w:r>
            <w:proofErr w:type="spellEnd"/>
            <w:r w:rsidRPr="007F66A7">
              <w:t>, OS, complete remission, overall response</w:t>
            </w:r>
          </w:p>
        </w:tc>
        <w:tc>
          <w:tcPr>
            <w:tcW w:w="939" w:type="pct"/>
            <w:vAlign w:val="center"/>
          </w:tcPr>
          <w:p w14:paraId="54220075" w14:textId="065D2302" w:rsidR="00061BE7" w:rsidRPr="007F66A7" w:rsidRDefault="003974AF" w:rsidP="004917DF">
            <w:pPr>
              <w:pStyle w:val="COMTabletext"/>
              <w:keepLines/>
              <w:jc w:val="center"/>
            </w:pPr>
            <w:r w:rsidRPr="007F66A7">
              <w:t xml:space="preserve">Patient characteristics, </w:t>
            </w:r>
            <w:r w:rsidR="00E345AD" w:rsidRPr="007F66A7">
              <w:t>use</w:t>
            </w:r>
            <w:r w:rsidR="00AD4E93" w:rsidRPr="007F66A7">
              <w:t xml:space="preserve"> of </w:t>
            </w:r>
            <w:r w:rsidR="00F959B2" w:rsidRPr="007F66A7">
              <w:t>A</w:t>
            </w:r>
            <w:r w:rsidR="00AD4E93" w:rsidRPr="007F66A7">
              <w:t xml:space="preserve">SCT, </w:t>
            </w:r>
            <w:proofErr w:type="spellStart"/>
            <w:r w:rsidRPr="007F66A7">
              <w:t>mPFS</w:t>
            </w:r>
            <w:proofErr w:type="spellEnd"/>
            <w:r w:rsidRPr="007F66A7">
              <w:t>, adverse events, EQ</w:t>
            </w:r>
            <w:r w:rsidR="00E345AD" w:rsidRPr="007F66A7">
              <w:noBreakHyphen/>
            </w:r>
            <w:r w:rsidRPr="007F66A7">
              <w:t>5D-3L</w:t>
            </w:r>
            <w:r w:rsidR="00061BE7" w:rsidRPr="007F66A7">
              <w:t xml:space="preserve"> </w:t>
            </w:r>
          </w:p>
        </w:tc>
      </w:tr>
    </w:tbl>
    <w:p w14:paraId="100783DF" w14:textId="16177060" w:rsidR="00D01E6D" w:rsidRPr="007F66A7" w:rsidRDefault="00D01E6D" w:rsidP="004917DF">
      <w:pPr>
        <w:pStyle w:val="COMTablefooter"/>
        <w:keepNext/>
        <w:keepLines/>
      </w:pPr>
      <w:r w:rsidRPr="007F66A7">
        <w:t xml:space="preserve">Source: Section 2.4, </w:t>
      </w:r>
      <w:r w:rsidR="00605CE7" w:rsidRPr="007F66A7">
        <w:t>pp71-90</w:t>
      </w:r>
      <w:r w:rsidRPr="007F66A7">
        <w:t xml:space="preserve"> of the </w:t>
      </w:r>
      <w:r w:rsidR="00605CE7" w:rsidRPr="007F66A7">
        <w:t>re</w:t>
      </w:r>
      <w:r w:rsidRPr="007F66A7">
        <w:t>submission</w:t>
      </w:r>
    </w:p>
    <w:p w14:paraId="03FD3C22" w14:textId="4DB34676" w:rsidR="00D01E6D" w:rsidRPr="007F66A7" w:rsidRDefault="00D01E6D" w:rsidP="004917DF">
      <w:pPr>
        <w:pStyle w:val="COMTablefooter"/>
        <w:keepNext/>
        <w:keepLines/>
      </w:pPr>
      <w:r w:rsidRPr="007F66A7">
        <w:t xml:space="preserve">Abbreviations: </w:t>
      </w:r>
      <w:r w:rsidR="00C5054A" w:rsidRPr="007F66A7">
        <w:t xml:space="preserve">A+AVD, brentuximab vedotin plus doxorubicin, vinblastine, dacarbazine; ABVD, doxorubicin, bleomycin, vinblastine, and dacarbazine; </w:t>
      </w:r>
      <w:r w:rsidR="0088438A" w:rsidRPr="007F66A7">
        <w:t xml:space="preserve">ASCT, autologous or allogeneic stem cell transplant; </w:t>
      </w:r>
      <w:r w:rsidRPr="007F66A7">
        <w:t xml:space="preserve">MC, multi-centre; </w:t>
      </w:r>
      <w:proofErr w:type="spellStart"/>
      <w:r w:rsidRPr="007F66A7">
        <w:t>mPFS</w:t>
      </w:r>
      <w:proofErr w:type="spellEnd"/>
      <w:r w:rsidRPr="007F66A7">
        <w:t>, modified progression-free survival; OL, open label; OS, overall survival; RCT, randomised controlled trial</w:t>
      </w:r>
    </w:p>
    <w:p w14:paraId="00A2B6EE" w14:textId="2D403519" w:rsidR="00942795" w:rsidRPr="007F66A7" w:rsidRDefault="00942795" w:rsidP="00942795">
      <w:pPr>
        <w:pStyle w:val="COMexecsummnumbered"/>
      </w:pPr>
      <w:r w:rsidRPr="007F66A7">
        <w:t>The open-label trial design has the potential to introduce bias</w:t>
      </w:r>
      <w:r w:rsidR="004D4698" w:rsidRPr="007F66A7">
        <w:t>,</w:t>
      </w:r>
      <w:r w:rsidRPr="007F66A7">
        <w:t xml:space="preserve"> as knowledge of treatment assignment may affect disease management decisions and assessment of </w:t>
      </w:r>
      <w:r w:rsidRPr="007F66A7">
        <w:lastRenderedPageBreak/>
        <w:t>outcomes that are not centrally assessed. The risk of bias was minimised for efficacy and safety results that were reviewed by an independent review facility during the primary analysis period (April 2017 data cut). The independent review facility was disbanded after this period, therefore</w:t>
      </w:r>
      <w:r w:rsidR="00377058" w:rsidRPr="007F66A7">
        <w:t xml:space="preserve"> </w:t>
      </w:r>
      <w:r w:rsidRPr="007F66A7">
        <w:t>there is potential risk of bias for outcomes that were investigator-assessed only during the post-treatment follow-up period.</w:t>
      </w:r>
    </w:p>
    <w:p w14:paraId="1FA29955" w14:textId="111EA2E6" w:rsidR="004504A9" w:rsidRPr="007F66A7" w:rsidRDefault="004504A9" w:rsidP="004504A9">
      <w:pPr>
        <w:pStyle w:val="COMexecsummnumbered"/>
      </w:pPr>
      <w:r w:rsidRPr="007F66A7">
        <w:t xml:space="preserve">The resubmission noted that the use of ABVD for 6 cycles in the comparator arm of the key trial was not aligned with standard of care in the Australian setting, based on PET-adapted ABVD, which allows for treatment modifications after 2 cycles of ABVD (de-escalation to AVD or escalation to </w:t>
      </w:r>
      <w:proofErr w:type="spellStart"/>
      <w:r w:rsidRPr="007F66A7">
        <w:t>eBEACOPP</w:t>
      </w:r>
      <w:proofErr w:type="spellEnd"/>
      <w:r w:rsidRPr="007F66A7">
        <w:t xml:space="preserve"> for a further 4 cycles). ESC previously considered that this may affect the applicability of efficacy and safety data from the trial to the Australian setting (para 6.11, brentuximab vedotin PSD, March 2024 PBAC meeting).</w:t>
      </w:r>
    </w:p>
    <w:p w14:paraId="599BE7C9" w14:textId="74BBACB0" w:rsidR="004504A9" w:rsidRPr="007F66A7" w:rsidRDefault="00B46503" w:rsidP="00942795">
      <w:pPr>
        <w:pStyle w:val="COMexecsummnumbered"/>
      </w:pPr>
      <w:r w:rsidRPr="007F66A7">
        <w:t>The resubmission claimed the safety profile of A+AVD in the ECHELON-1 trial may be worse than in clinical practice as not all patients received G-CSF as primary prophylaxis in the trial. The use of G-CSF, which was permitted in the trial, was subsequently recommended for all patients randomised to receive A+AVD after an interim safety analysis. The brentuximab vedotin product information recommends primary prophylaxis with G-CSF for previously untreated Hodgkin lymphoma.</w:t>
      </w:r>
    </w:p>
    <w:p w14:paraId="4A4FE085" w14:textId="1C5613CC" w:rsidR="00B60939" w:rsidRPr="007F66A7" w:rsidRDefault="00B60939" w:rsidP="003D5DE7">
      <w:pPr>
        <w:pStyle w:val="COMH2-non-numbered"/>
      </w:pPr>
      <w:bookmarkStart w:id="23" w:name="_Toc22897641"/>
      <w:bookmarkStart w:id="24" w:name="_Toc198653242"/>
      <w:r w:rsidRPr="007F66A7">
        <w:t>Comparative effectiveness</w:t>
      </w:r>
      <w:bookmarkEnd w:id="23"/>
      <w:bookmarkEnd w:id="24"/>
    </w:p>
    <w:p w14:paraId="38327D57" w14:textId="20747492" w:rsidR="00BD4CFF" w:rsidRPr="007F66A7" w:rsidRDefault="00BD4CFF" w:rsidP="00C616E6">
      <w:pPr>
        <w:pStyle w:val="COMH4"/>
        <w:rPr>
          <w:lang w:eastAsia="en-US"/>
        </w:rPr>
      </w:pPr>
      <w:r w:rsidRPr="007F66A7">
        <w:rPr>
          <w:lang w:eastAsia="en-US"/>
        </w:rPr>
        <w:t>A+AVD versus ABVD</w:t>
      </w:r>
    </w:p>
    <w:p w14:paraId="6A35F5EE" w14:textId="37A8242F" w:rsidR="00A810A3" w:rsidRPr="007F66A7" w:rsidRDefault="00825B95" w:rsidP="006B6B17">
      <w:pPr>
        <w:pStyle w:val="COMexecsummnumbered"/>
      </w:pPr>
      <w:r w:rsidRPr="007F66A7">
        <w:t>The primary outcome in the ECHELON-1 trial was modified progression-free survival which, in addition to progressive disease and death, included receipt of subsequent anti-cancer therapy in patients not in complete response after completion of frontline therapy, defined as Deauville scores ≥3.</w:t>
      </w:r>
      <w:r w:rsidR="00644A94" w:rsidRPr="007F66A7">
        <w:t xml:space="preserve"> </w:t>
      </w:r>
      <w:r w:rsidR="004F1400" w:rsidRPr="007F66A7">
        <w:t>The PBAC previously stated that modified progression-free survival was more likely to reflect what would occur clinically in this context than the analyses of progression-free survival using standard definitions (para 7.7, brentuximab vedotin PSD, March 2024 PBAC meeting).</w:t>
      </w:r>
    </w:p>
    <w:p w14:paraId="14214920" w14:textId="212C0617" w:rsidR="00DA3167" w:rsidRPr="007F66A7" w:rsidRDefault="00B07973" w:rsidP="006B6B17">
      <w:pPr>
        <w:pStyle w:val="COMexecsummnumbered"/>
      </w:pPr>
      <w:r w:rsidRPr="007F66A7">
        <w:fldChar w:fldCharType="begin"/>
      </w:r>
      <w:r w:rsidRPr="007F66A7">
        <w:instrText xml:space="preserve"> REF _Ref197700455 \h </w:instrText>
      </w:r>
      <w:r w:rsidR="001D44A8" w:rsidRPr="007F66A7">
        <w:instrText xml:space="preserve"> \* MERGEFORMAT </w:instrText>
      </w:r>
      <w:r w:rsidRPr="007F66A7">
        <w:fldChar w:fldCharType="separate"/>
      </w:r>
      <w:r w:rsidR="00293B06" w:rsidRPr="007F66A7">
        <w:t xml:space="preserve">Table </w:t>
      </w:r>
      <w:r w:rsidR="00293B06">
        <w:t>5</w:t>
      </w:r>
      <w:r w:rsidRPr="007F66A7">
        <w:fldChar w:fldCharType="end"/>
      </w:r>
      <w:r w:rsidR="0018428E" w:rsidRPr="007F66A7">
        <w:t xml:space="preserve"> </w:t>
      </w:r>
      <w:r w:rsidR="005F55F8" w:rsidRPr="007F66A7">
        <w:t>presents</w:t>
      </w:r>
      <w:r w:rsidR="0018428E" w:rsidRPr="007F66A7">
        <w:t xml:space="preserve"> a summary of modified progression-free survival, independently reviewed for the primary analysis period (April 2017 data cut) and investigator-assessed for the interim analysis (June 2021 data cut) and exploratory analysis (March 2023 data cut). Data from the June 2021 data cut were used in the economic model of the resubmission, unchanged from the March 2024 submission.</w:t>
      </w:r>
    </w:p>
    <w:p w14:paraId="34D30512" w14:textId="54C0038E" w:rsidR="0018428E" w:rsidRPr="007F66A7" w:rsidRDefault="00032C5A" w:rsidP="0018428E">
      <w:pPr>
        <w:pStyle w:val="COMtablefigcaption"/>
      </w:pPr>
      <w:bookmarkStart w:id="25" w:name="_Ref197700455"/>
      <w:r w:rsidRPr="007F66A7">
        <w:lastRenderedPageBreak/>
        <w:t xml:space="preserve">Table </w:t>
      </w:r>
      <w:r w:rsidR="006A25C4">
        <w:fldChar w:fldCharType="begin"/>
      </w:r>
      <w:r w:rsidR="006A25C4">
        <w:instrText xml:space="preserve"> SEQ Table \* ARABIC </w:instrText>
      </w:r>
      <w:r w:rsidR="006A25C4">
        <w:fldChar w:fldCharType="separate"/>
      </w:r>
      <w:r w:rsidR="00293B06">
        <w:rPr>
          <w:noProof/>
        </w:rPr>
        <w:t>5</w:t>
      </w:r>
      <w:r w:rsidR="006A25C4">
        <w:fldChar w:fldCharType="end"/>
      </w:r>
      <w:bookmarkEnd w:id="25"/>
      <w:r w:rsidRPr="007F66A7">
        <w:t>: Modified progression-free survival in ECHELON-1</w:t>
      </w:r>
    </w:p>
    <w:tbl>
      <w:tblPr>
        <w:tblStyle w:val="TableGrid"/>
        <w:tblW w:w="0" w:type="auto"/>
        <w:tblLook w:val="04A0" w:firstRow="1" w:lastRow="0" w:firstColumn="1" w:lastColumn="0" w:noHBand="0" w:noVBand="1"/>
        <w:tblCaption w:val="Table 5: Modified progression-free survival in ECHELON-1"/>
      </w:tblPr>
      <w:tblGrid>
        <w:gridCol w:w="4741"/>
        <w:gridCol w:w="2267"/>
        <w:gridCol w:w="2009"/>
      </w:tblGrid>
      <w:tr w:rsidR="0018428E" w:rsidRPr="007F66A7" w14:paraId="71DB7372" w14:textId="77777777">
        <w:tc>
          <w:tcPr>
            <w:tcW w:w="4741" w:type="dxa"/>
          </w:tcPr>
          <w:p w14:paraId="1E764B7A" w14:textId="77777777" w:rsidR="0018428E" w:rsidRPr="007F66A7" w:rsidRDefault="0018428E">
            <w:pPr>
              <w:pStyle w:val="COMTabletext"/>
            </w:pPr>
          </w:p>
        </w:tc>
        <w:tc>
          <w:tcPr>
            <w:tcW w:w="2267" w:type="dxa"/>
            <w:vAlign w:val="center"/>
          </w:tcPr>
          <w:p w14:paraId="3B3A39D3" w14:textId="77777777" w:rsidR="0018428E" w:rsidRPr="007F66A7" w:rsidRDefault="0018428E">
            <w:pPr>
              <w:pStyle w:val="COMTableheadingrow"/>
              <w:jc w:val="center"/>
              <w:rPr>
                <w:lang w:val="en-AU"/>
              </w:rPr>
            </w:pPr>
            <w:r w:rsidRPr="007F66A7">
              <w:rPr>
                <w:lang w:val="en-AU"/>
              </w:rPr>
              <w:t>A+AVD</w:t>
            </w:r>
          </w:p>
          <w:p w14:paraId="43C91776" w14:textId="77777777" w:rsidR="0018428E" w:rsidRPr="007F66A7" w:rsidRDefault="0018428E">
            <w:pPr>
              <w:pStyle w:val="COMTableheadingrow"/>
              <w:jc w:val="center"/>
              <w:rPr>
                <w:lang w:val="en-AU"/>
              </w:rPr>
            </w:pPr>
            <w:r w:rsidRPr="007F66A7">
              <w:rPr>
                <w:lang w:val="en-AU"/>
              </w:rPr>
              <w:t>N=664</w:t>
            </w:r>
          </w:p>
        </w:tc>
        <w:tc>
          <w:tcPr>
            <w:tcW w:w="2009" w:type="dxa"/>
            <w:vAlign w:val="center"/>
          </w:tcPr>
          <w:p w14:paraId="1495F278" w14:textId="77777777" w:rsidR="0018428E" w:rsidRPr="007F66A7" w:rsidRDefault="0018428E">
            <w:pPr>
              <w:pStyle w:val="COMTableheadingrow"/>
              <w:jc w:val="center"/>
              <w:rPr>
                <w:lang w:val="en-AU"/>
              </w:rPr>
            </w:pPr>
            <w:r w:rsidRPr="007F66A7">
              <w:rPr>
                <w:lang w:val="en-AU"/>
              </w:rPr>
              <w:t>ABVD</w:t>
            </w:r>
          </w:p>
          <w:p w14:paraId="5783AEF3" w14:textId="77777777" w:rsidR="0018428E" w:rsidRPr="007F66A7" w:rsidRDefault="0018428E">
            <w:pPr>
              <w:pStyle w:val="COMTableheadingrow"/>
              <w:jc w:val="center"/>
              <w:rPr>
                <w:lang w:val="en-AU"/>
              </w:rPr>
            </w:pPr>
            <w:r w:rsidRPr="007F66A7">
              <w:rPr>
                <w:lang w:val="en-AU"/>
              </w:rPr>
              <w:t>N=670</w:t>
            </w:r>
          </w:p>
        </w:tc>
      </w:tr>
      <w:tr w:rsidR="0018428E" w:rsidRPr="007F66A7" w14:paraId="2036C43D" w14:textId="77777777" w:rsidTr="00240A57">
        <w:tc>
          <w:tcPr>
            <w:tcW w:w="9017" w:type="dxa"/>
            <w:gridSpan w:val="3"/>
            <w:shd w:val="clear" w:color="auto" w:fill="B8CCE4" w:themeFill="accent1" w:themeFillTint="66"/>
          </w:tcPr>
          <w:p w14:paraId="0AE8CE15" w14:textId="77777777" w:rsidR="0018428E" w:rsidRPr="007F66A7" w:rsidRDefault="0018428E">
            <w:pPr>
              <w:pStyle w:val="COMTableheadingrow"/>
              <w:rPr>
                <w:lang w:val="en-AU"/>
              </w:rPr>
            </w:pPr>
            <w:r w:rsidRPr="007F66A7">
              <w:rPr>
                <w:lang w:val="en-AU"/>
              </w:rPr>
              <w:t>Primary analysis, independently reviewed (April 2017 data cut)</w:t>
            </w:r>
          </w:p>
        </w:tc>
      </w:tr>
      <w:tr w:rsidR="0018428E" w:rsidRPr="007F66A7" w14:paraId="337D3EAB" w14:textId="77777777" w:rsidTr="00240A57">
        <w:tc>
          <w:tcPr>
            <w:tcW w:w="4741" w:type="dxa"/>
            <w:shd w:val="clear" w:color="auto" w:fill="B8CCE4" w:themeFill="accent1" w:themeFillTint="66"/>
          </w:tcPr>
          <w:p w14:paraId="70130C02" w14:textId="77777777" w:rsidR="0018428E" w:rsidRPr="007F66A7" w:rsidRDefault="0018428E">
            <w:pPr>
              <w:pStyle w:val="COMTabletext"/>
            </w:pPr>
            <w:r w:rsidRPr="007F66A7">
              <w:t>Median follow-up, months (95% CI)</w:t>
            </w:r>
          </w:p>
        </w:tc>
        <w:tc>
          <w:tcPr>
            <w:tcW w:w="226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C09D3E" w14:textId="77777777" w:rsidR="0018428E" w:rsidRPr="007F66A7" w:rsidRDefault="0018428E">
            <w:pPr>
              <w:pStyle w:val="COMTabletext"/>
              <w:jc w:val="center"/>
            </w:pPr>
            <w:r w:rsidRPr="007F66A7">
              <w:t>24.9 (24.6, 25.0)</w:t>
            </w:r>
          </w:p>
        </w:tc>
        <w:tc>
          <w:tcPr>
            <w:tcW w:w="20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95D1861" w14:textId="77777777" w:rsidR="0018428E" w:rsidRPr="007F66A7" w:rsidRDefault="0018428E">
            <w:pPr>
              <w:pStyle w:val="COMTabletext"/>
              <w:jc w:val="center"/>
            </w:pPr>
            <w:r w:rsidRPr="007F66A7">
              <w:t>24.9 (24.6, 25.1)</w:t>
            </w:r>
          </w:p>
        </w:tc>
      </w:tr>
      <w:tr w:rsidR="0018428E" w:rsidRPr="007F66A7" w14:paraId="184C124D" w14:textId="77777777" w:rsidTr="00240A57">
        <w:tc>
          <w:tcPr>
            <w:tcW w:w="4741" w:type="dxa"/>
            <w:tcBorders>
              <w:bottom w:val="nil"/>
            </w:tcBorders>
            <w:shd w:val="clear" w:color="auto" w:fill="B8CCE4" w:themeFill="accent1" w:themeFillTint="66"/>
          </w:tcPr>
          <w:p w14:paraId="66DA0281" w14:textId="77777777" w:rsidR="0018428E" w:rsidRPr="007F66A7" w:rsidRDefault="0018428E">
            <w:pPr>
              <w:pStyle w:val="COMTabletext"/>
            </w:pPr>
            <w:r w:rsidRPr="007F66A7">
              <w:t>Events, n (%)</w:t>
            </w:r>
          </w:p>
        </w:tc>
        <w:tc>
          <w:tcPr>
            <w:tcW w:w="2267" w:type="dxa"/>
            <w:tcBorders>
              <w:bottom w:val="nil"/>
            </w:tcBorders>
            <w:shd w:val="clear" w:color="auto" w:fill="B8CCE4" w:themeFill="accent1" w:themeFillTint="66"/>
            <w:vAlign w:val="center"/>
          </w:tcPr>
          <w:p w14:paraId="549F0DA4" w14:textId="77777777" w:rsidR="0018428E" w:rsidRPr="007F66A7" w:rsidRDefault="0018428E">
            <w:pPr>
              <w:pStyle w:val="COMTabletext"/>
              <w:jc w:val="center"/>
            </w:pPr>
            <w:r w:rsidRPr="007F66A7">
              <w:t>117 (18)</w:t>
            </w:r>
          </w:p>
        </w:tc>
        <w:tc>
          <w:tcPr>
            <w:tcW w:w="2009" w:type="dxa"/>
            <w:tcBorders>
              <w:bottom w:val="nil"/>
            </w:tcBorders>
            <w:shd w:val="clear" w:color="auto" w:fill="B8CCE4" w:themeFill="accent1" w:themeFillTint="66"/>
            <w:vAlign w:val="center"/>
          </w:tcPr>
          <w:p w14:paraId="74DB334D" w14:textId="77777777" w:rsidR="0018428E" w:rsidRPr="007F66A7" w:rsidRDefault="0018428E">
            <w:pPr>
              <w:pStyle w:val="COMTabletext"/>
              <w:jc w:val="center"/>
            </w:pPr>
            <w:r w:rsidRPr="007F66A7">
              <w:t>146 (22)</w:t>
            </w:r>
          </w:p>
        </w:tc>
      </w:tr>
      <w:tr w:rsidR="0018428E" w:rsidRPr="007F66A7" w14:paraId="6F7CAE60" w14:textId="77777777" w:rsidTr="00240A57">
        <w:tc>
          <w:tcPr>
            <w:tcW w:w="4741" w:type="dxa"/>
            <w:tcBorders>
              <w:top w:val="nil"/>
              <w:bottom w:val="nil"/>
            </w:tcBorders>
            <w:shd w:val="clear" w:color="auto" w:fill="B8CCE4" w:themeFill="accent1" w:themeFillTint="66"/>
          </w:tcPr>
          <w:p w14:paraId="3966DB3B" w14:textId="77777777" w:rsidR="0018428E" w:rsidRPr="007F66A7" w:rsidRDefault="0018428E">
            <w:pPr>
              <w:pStyle w:val="COMTabletext"/>
            </w:pPr>
            <w:r w:rsidRPr="007F66A7">
              <w:rPr>
                <w:bCs w:val="0"/>
              </w:rPr>
              <w:t>-</w:t>
            </w:r>
            <w:r w:rsidRPr="007F66A7">
              <w:t xml:space="preserve"> Disease progression</w:t>
            </w:r>
          </w:p>
        </w:tc>
        <w:tc>
          <w:tcPr>
            <w:tcW w:w="2267" w:type="dxa"/>
            <w:tcBorders>
              <w:top w:val="nil"/>
              <w:bottom w:val="nil"/>
            </w:tcBorders>
            <w:shd w:val="clear" w:color="auto" w:fill="B8CCE4" w:themeFill="accent1" w:themeFillTint="66"/>
            <w:vAlign w:val="center"/>
          </w:tcPr>
          <w:p w14:paraId="39F5364F" w14:textId="77777777" w:rsidR="0018428E" w:rsidRPr="007F66A7" w:rsidRDefault="0018428E">
            <w:pPr>
              <w:pStyle w:val="COMTabletext"/>
              <w:jc w:val="center"/>
            </w:pPr>
            <w:r w:rsidRPr="007F66A7">
              <w:t>90 (14)</w:t>
            </w:r>
          </w:p>
        </w:tc>
        <w:tc>
          <w:tcPr>
            <w:tcW w:w="2009" w:type="dxa"/>
            <w:tcBorders>
              <w:top w:val="nil"/>
              <w:bottom w:val="nil"/>
            </w:tcBorders>
            <w:shd w:val="clear" w:color="auto" w:fill="B8CCE4" w:themeFill="accent1" w:themeFillTint="66"/>
            <w:vAlign w:val="center"/>
          </w:tcPr>
          <w:p w14:paraId="0F31404E" w14:textId="77777777" w:rsidR="0018428E" w:rsidRPr="007F66A7" w:rsidRDefault="0018428E">
            <w:pPr>
              <w:pStyle w:val="COMTabletext"/>
              <w:jc w:val="center"/>
            </w:pPr>
            <w:r w:rsidRPr="007F66A7">
              <w:t>102 (15)</w:t>
            </w:r>
          </w:p>
        </w:tc>
      </w:tr>
      <w:tr w:rsidR="0018428E" w:rsidRPr="007F66A7" w14:paraId="41DBC46E" w14:textId="77777777" w:rsidTr="00240A57">
        <w:tc>
          <w:tcPr>
            <w:tcW w:w="4741" w:type="dxa"/>
            <w:tcBorders>
              <w:top w:val="nil"/>
              <w:bottom w:val="nil"/>
            </w:tcBorders>
            <w:shd w:val="clear" w:color="auto" w:fill="B8CCE4" w:themeFill="accent1" w:themeFillTint="66"/>
          </w:tcPr>
          <w:p w14:paraId="1D3A8200" w14:textId="77777777" w:rsidR="0018428E" w:rsidRPr="007F66A7" w:rsidRDefault="0018428E">
            <w:pPr>
              <w:pStyle w:val="COMTabletext"/>
            </w:pPr>
            <w:r w:rsidRPr="007F66A7">
              <w:t>- Death</w:t>
            </w:r>
          </w:p>
        </w:tc>
        <w:tc>
          <w:tcPr>
            <w:tcW w:w="2267" w:type="dxa"/>
            <w:tcBorders>
              <w:top w:val="nil"/>
              <w:bottom w:val="nil"/>
            </w:tcBorders>
            <w:shd w:val="clear" w:color="auto" w:fill="B8CCE4" w:themeFill="accent1" w:themeFillTint="66"/>
            <w:vAlign w:val="center"/>
          </w:tcPr>
          <w:p w14:paraId="689A0DD8" w14:textId="77777777" w:rsidR="0018428E" w:rsidRPr="007F66A7" w:rsidRDefault="0018428E">
            <w:pPr>
              <w:pStyle w:val="COMTabletext"/>
              <w:jc w:val="center"/>
            </w:pPr>
            <w:r w:rsidRPr="007F66A7">
              <w:t>18 (3)</w:t>
            </w:r>
          </w:p>
        </w:tc>
        <w:tc>
          <w:tcPr>
            <w:tcW w:w="2009" w:type="dxa"/>
            <w:tcBorders>
              <w:top w:val="nil"/>
              <w:bottom w:val="nil"/>
            </w:tcBorders>
            <w:shd w:val="clear" w:color="auto" w:fill="B8CCE4" w:themeFill="accent1" w:themeFillTint="66"/>
            <w:vAlign w:val="center"/>
          </w:tcPr>
          <w:p w14:paraId="7911FB1F" w14:textId="77777777" w:rsidR="0018428E" w:rsidRPr="007F66A7" w:rsidRDefault="0018428E">
            <w:pPr>
              <w:pStyle w:val="COMTabletext"/>
              <w:jc w:val="center"/>
            </w:pPr>
            <w:r w:rsidRPr="007F66A7">
              <w:t>22 (3)</w:t>
            </w:r>
          </w:p>
        </w:tc>
      </w:tr>
      <w:tr w:rsidR="0018428E" w:rsidRPr="007F66A7" w14:paraId="4280EC17" w14:textId="77777777" w:rsidTr="00240A57">
        <w:tc>
          <w:tcPr>
            <w:tcW w:w="4741" w:type="dxa"/>
            <w:tcBorders>
              <w:top w:val="nil"/>
            </w:tcBorders>
            <w:shd w:val="clear" w:color="auto" w:fill="B8CCE4" w:themeFill="accent1" w:themeFillTint="66"/>
          </w:tcPr>
          <w:p w14:paraId="270B86A8" w14:textId="77777777" w:rsidR="0018428E" w:rsidRPr="007F66A7" w:rsidRDefault="0018428E">
            <w:pPr>
              <w:pStyle w:val="COMTabletext"/>
              <w:rPr>
                <w:vertAlign w:val="superscript"/>
              </w:rPr>
            </w:pPr>
            <w:r w:rsidRPr="007F66A7">
              <w:t xml:space="preserve">- Subsequent treatment after noncomplete response </w:t>
            </w:r>
            <w:r w:rsidRPr="007F66A7">
              <w:rPr>
                <w:vertAlign w:val="superscript"/>
              </w:rPr>
              <w:t>a</w:t>
            </w:r>
          </w:p>
        </w:tc>
        <w:tc>
          <w:tcPr>
            <w:tcW w:w="2267" w:type="dxa"/>
            <w:tcBorders>
              <w:top w:val="nil"/>
            </w:tcBorders>
            <w:shd w:val="clear" w:color="auto" w:fill="B8CCE4" w:themeFill="accent1" w:themeFillTint="66"/>
            <w:vAlign w:val="center"/>
          </w:tcPr>
          <w:p w14:paraId="00399495" w14:textId="77777777" w:rsidR="0018428E" w:rsidRPr="007F66A7" w:rsidRDefault="0018428E">
            <w:pPr>
              <w:pStyle w:val="COMTabletext"/>
              <w:jc w:val="center"/>
            </w:pPr>
            <w:r w:rsidRPr="007F66A7">
              <w:t>9 (1)</w:t>
            </w:r>
          </w:p>
        </w:tc>
        <w:tc>
          <w:tcPr>
            <w:tcW w:w="2009" w:type="dxa"/>
            <w:tcBorders>
              <w:top w:val="nil"/>
            </w:tcBorders>
            <w:shd w:val="clear" w:color="auto" w:fill="B8CCE4" w:themeFill="accent1" w:themeFillTint="66"/>
            <w:vAlign w:val="center"/>
          </w:tcPr>
          <w:p w14:paraId="3C05B86C" w14:textId="77777777" w:rsidR="0018428E" w:rsidRPr="007F66A7" w:rsidRDefault="0018428E">
            <w:pPr>
              <w:pStyle w:val="COMTabletext"/>
              <w:jc w:val="center"/>
            </w:pPr>
            <w:r w:rsidRPr="007F66A7">
              <w:t>22 (3)</w:t>
            </w:r>
          </w:p>
        </w:tc>
      </w:tr>
      <w:tr w:rsidR="0018428E" w:rsidRPr="007F66A7" w14:paraId="01928663" w14:textId="77777777" w:rsidTr="00240A57">
        <w:tc>
          <w:tcPr>
            <w:tcW w:w="4741" w:type="dxa"/>
            <w:shd w:val="clear" w:color="auto" w:fill="B8CCE4" w:themeFill="accent1" w:themeFillTint="66"/>
          </w:tcPr>
          <w:p w14:paraId="66EE02F3" w14:textId="77777777" w:rsidR="0018428E" w:rsidRPr="007F66A7" w:rsidRDefault="0018428E">
            <w:pPr>
              <w:pStyle w:val="COMTabletext"/>
            </w:pPr>
            <w:r w:rsidRPr="007F66A7">
              <w:t>Censored, n (%)</w:t>
            </w:r>
          </w:p>
        </w:tc>
        <w:tc>
          <w:tcPr>
            <w:tcW w:w="2267" w:type="dxa"/>
            <w:shd w:val="clear" w:color="auto" w:fill="B8CCE4" w:themeFill="accent1" w:themeFillTint="66"/>
            <w:vAlign w:val="center"/>
          </w:tcPr>
          <w:p w14:paraId="53F400E3" w14:textId="77777777" w:rsidR="0018428E" w:rsidRPr="007F66A7" w:rsidRDefault="0018428E">
            <w:pPr>
              <w:pStyle w:val="COMTabletext"/>
              <w:jc w:val="center"/>
            </w:pPr>
            <w:r w:rsidRPr="007F66A7">
              <w:t xml:space="preserve">547 (82.4) </w:t>
            </w:r>
            <w:r w:rsidRPr="007F66A7">
              <w:rPr>
                <w:vertAlign w:val="superscript"/>
              </w:rPr>
              <w:t>b</w:t>
            </w:r>
          </w:p>
        </w:tc>
        <w:tc>
          <w:tcPr>
            <w:tcW w:w="2009" w:type="dxa"/>
            <w:shd w:val="clear" w:color="auto" w:fill="B8CCE4" w:themeFill="accent1" w:themeFillTint="66"/>
            <w:vAlign w:val="center"/>
          </w:tcPr>
          <w:p w14:paraId="52D2F1C9" w14:textId="77777777" w:rsidR="0018428E" w:rsidRPr="007F66A7" w:rsidRDefault="0018428E">
            <w:pPr>
              <w:pStyle w:val="COMTabletext"/>
              <w:jc w:val="center"/>
            </w:pPr>
            <w:r w:rsidRPr="007F66A7">
              <w:t xml:space="preserve">524 (78.2) </w:t>
            </w:r>
            <w:r w:rsidRPr="007F66A7">
              <w:rPr>
                <w:vertAlign w:val="superscript"/>
              </w:rPr>
              <w:t>b</w:t>
            </w:r>
          </w:p>
        </w:tc>
      </w:tr>
      <w:tr w:rsidR="0018428E" w:rsidRPr="007F66A7" w14:paraId="566FAB0C" w14:textId="77777777" w:rsidTr="00240A57">
        <w:tc>
          <w:tcPr>
            <w:tcW w:w="4741" w:type="dxa"/>
            <w:tcBorders>
              <w:bottom w:val="nil"/>
            </w:tcBorders>
            <w:shd w:val="clear" w:color="auto" w:fill="B8CCE4" w:themeFill="accent1" w:themeFillTint="66"/>
          </w:tcPr>
          <w:p w14:paraId="6D3A39B0" w14:textId="77777777" w:rsidR="0018428E" w:rsidRPr="007F66A7" w:rsidRDefault="0018428E">
            <w:pPr>
              <w:pStyle w:val="COMTabletext"/>
            </w:pPr>
            <w:r w:rsidRPr="007F66A7">
              <w:t>Kaplan-Meier estimates, % (95% CI)</w:t>
            </w:r>
          </w:p>
        </w:tc>
        <w:tc>
          <w:tcPr>
            <w:tcW w:w="2267" w:type="dxa"/>
            <w:tcBorders>
              <w:bottom w:val="nil"/>
            </w:tcBorders>
            <w:shd w:val="clear" w:color="auto" w:fill="B8CCE4" w:themeFill="accent1" w:themeFillTint="66"/>
            <w:vAlign w:val="center"/>
          </w:tcPr>
          <w:p w14:paraId="6DC3F7D7" w14:textId="77777777" w:rsidR="0018428E" w:rsidRPr="007F66A7" w:rsidRDefault="0018428E">
            <w:pPr>
              <w:pStyle w:val="COMTabletext"/>
              <w:jc w:val="center"/>
            </w:pPr>
          </w:p>
        </w:tc>
        <w:tc>
          <w:tcPr>
            <w:tcW w:w="2009" w:type="dxa"/>
            <w:tcBorders>
              <w:bottom w:val="nil"/>
            </w:tcBorders>
            <w:shd w:val="clear" w:color="auto" w:fill="B8CCE4" w:themeFill="accent1" w:themeFillTint="66"/>
            <w:vAlign w:val="center"/>
          </w:tcPr>
          <w:p w14:paraId="1207F5DC" w14:textId="77777777" w:rsidR="0018428E" w:rsidRPr="007F66A7" w:rsidRDefault="0018428E">
            <w:pPr>
              <w:pStyle w:val="COMTabletext"/>
              <w:jc w:val="center"/>
            </w:pPr>
          </w:p>
        </w:tc>
      </w:tr>
      <w:tr w:rsidR="0018428E" w:rsidRPr="007F66A7" w14:paraId="784DF354" w14:textId="77777777" w:rsidTr="00240A57">
        <w:tc>
          <w:tcPr>
            <w:tcW w:w="4741" w:type="dxa"/>
            <w:tcBorders>
              <w:top w:val="nil"/>
              <w:bottom w:val="nil"/>
            </w:tcBorders>
            <w:shd w:val="clear" w:color="auto" w:fill="B8CCE4" w:themeFill="accent1" w:themeFillTint="66"/>
          </w:tcPr>
          <w:p w14:paraId="1501D90F" w14:textId="77777777" w:rsidR="0018428E" w:rsidRPr="007F66A7" w:rsidRDefault="0018428E">
            <w:pPr>
              <w:pStyle w:val="COMTabletext"/>
            </w:pPr>
            <w:r w:rsidRPr="007F66A7">
              <w:t>- 6 months</w:t>
            </w:r>
          </w:p>
        </w:tc>
        <w:tc>
          <w:tcPr>
            <w:tcW w:w="2267" w:type="dxa"/>
            <w:tcBorders>
              <w:top w:val="nil"/>
              <w:bottom w:val="nil"/>
            </w:tcBorders>
            <w:shd w:val="clear" w:color="auto" w:fill="B8CCE4" w:themeFill="accent1" w:themeFillTint="66"/>
            <w:vAlign w:val="center"/>
          </w:tcPr>
          <w:p w14:paraId="02F0C4EF" w14:textId="77777777" w:rsidR="0018428E" w:rsidRPr="007F66A7" w:rsidRDefault="0018428E">
            <w:pPr>
              <w:pStyle w:val="COMTabletext"/>
              <w:jc w:val="center"/>
            </w:pPr>
            <w:r w:rsidRPr="007F66A7">
              <w:t>95.5 (93.5, 96.8)</w:t>
            </w:r>
          </w:p>
        </w:tc>
        <w:tc>
          <w:tcPr>
            <w:tcW w:w="2009" w:type="dxa"/>
            <w:tcBorders>
              <w:top w:val="nil"/>
              <w:bottom w:val="nil"/>
            </w:tcBorders>
            <w:shd w:val="clear" w:color="auto" w:fill="B8CCE4" w:themeFill="accent1" w:themeFillTint="66"/>
            <w:vAlign w:val="center"/>
          </w:tcPr>
          <w:p w14:paraId="69BFA5F1" w14:textId="77777777" w:rsidR="0018428E" w:rsidRPr="007F66A7" w:rsidRDefault="0018428E">
            <w:pPr>
              <w:pStyle w:val="COMTabletext"/>
              <w:jc w:val="center"/>
            </w:pPr>
            <w:r w:rsidRPr="007F66A7">
              <w:t>94.9 (92.9, 96.4)</w:t>
            </w:r>
          </w:p>
        </w:tc>
      </w:tr>
      <w:tr w:rsidR="0018428E" w:rsidRPr="007F66A7" w14:paraId="7974B059" w14:textId="77777777" w:rsidTr="00240A57">
        <w:tc>
          <w:tcPr>
            <w:tcW w:w="4741" w:type="dxa"/>
            <w:tcBorders>
              <w:top w:val="nil"/>
              <w:bottom w:val="nil"/>
            </w:tcBorders>
            <w:shd w:val="clear" w:color="auto" w:fill="B8CCE4" w:themeFill="accent1" w:themeFillTint="66"/>
          </w:tcPr>
          <w:p w14:paraId="617CDA1F" w14:textId="77777777" w:rsidR="0018428E" w:rsidRPr="007F66A7" w:rsidRDefault="0018428E">
            <w:pPr>
              <w:pStyle w:val="COMTabletext"/>
            </w:pPr>
            <w:r w:rsidRPr="007F66A7">
              <w:t>- 1 year</w:t>
            </w:r>
          </w:p>
        </w:tc>
        <w:tc>
          <w:tcPr>
            <w:tcW w:w="2267" w:type="dxa"/>
            <w:tcBorders>
              <w:top w:val="nil"/>
              <w:bottom w:val="nil"/>
            </w:tcBorders>
            <w:shd w:val="clear" w:color="auto" w:fill="B8CCE4" w:themeFill="accent1" w:themeFillTint="66"/>
            <w:vAlign w:val="center"/>
          </w:tcPr>
          <w:p w14:paraId="0DC8B3CD" w14:textId="77777777" w:rsidR="0018428E" w:rsidRPr="007F66A7" w:rsidRDefault="0018428E">
            <w:pPr>
              <w:pStyle w:val="COMTabletext"/>
              <w:jc w:val="center"/>
            </w:pPr>
            <w:r w:rsidRPr="007F66A7">
              <w:t>86.3 (83.3, 88.7)</w:t>
            </w:r>
          </w:p>
        </w:tc>
        <w:tc>
          <w:tcPr>
            <w:tcW w:w="2009" w:type="dxa"/>
            <w:tcBorders>
              <w:top w:val="nil"/>
              <w:bottom w:val="nil"/>
            </w:tcBorders>
            <w:shd w:val="clear" w:color="auto" w:fill="B8CCE4" w:themeFill="accent1" w:themeFillTint="66"/>
            <w:vAlign w:val="center"/>
          </w:tcPr>
          <w:p w14:paraId="67A67F76" w14:textId="77777777" w:rsidR="0018428E" w:rsidRPr="007F66A7" w:rsidRDefault="0018428E">
            <w:pPr>
              <w:pStyle w:val="COMTabletext"/>
              <w:jc w:val="center"/>
            </w:pPr>
            <w:r w:rsidRPr="007F66A7">
              <w:t>80.7 (77.3, 83.6)</w:t>
            </w:r>
          </w:p>
        </w:tc>
      </w:tr>
      <w:tr w:rsidR="0018428E" w:rsidRPr="007F66A7" w14:paraId="1DBE7959" w14:textId="77777777" w:rsidTr="00240A57">
        <w:tc>
          <w:tcPr>
            <w:tcW w:w="4741" w:type="dxa"/>
            <w:tcBorders>
              <w:top w:val="nil"/>
              <w:bottom w:val="nil"/>
            </w:tcBorders>
            <w:shd w:val="clear" w:color="auto" w:fill="B8CCE4" w:themeFill="accent1" w:themeFillTint="66"/>
          </w:tcPr>
          <w:p w14:paraId="0C9E4869" w14:textId="77777777" w:rsidR="0018428E" w:rsidRPr="007F66A7" w:rsidRDefault="0018428E">
            <w:pPr>
              <w:pStyle w:val="COMTabletext"/>
            </w:pPr>
            <w:r w:rsidRPr="007F66A7">
              <w:t>- 2 years</w:t>
            </w:r>
          </w:p>
        </w:tc>
        <w:tc>
          <w:tcPr>
            <w:tcW w:w="2267" w:type="dxa"/>
            <w:tcBorders>
              <w:top w:val="nil"/>
              <w:bottom w:val="nil"/>
            </w:tcBorders>
            <w:shd w:val="clear" w:color="auto" w:fill="B8CCE4" w:themeFill="accent1" w:themeFillTint="66"/>
            <w:vAlign w:val="center"/>
          </w:tcPr>
          <w:p w14:paraId="2F4CA436" w14:textId="77777777" w:rsidR="0018428E" w:rsidRPr="007F66A7" w:rsidRDefault="0018428E">
            <w:pPr>
              <w:pStyle w:val="COMTabletext"/>
              <w:jc w:val="center"/>
            </w:pPr>
            <w:r w:rsidRPr="007F66A7">
              <w:t>82.1 (78.7, 85.0)</w:t>
            </w:r>
          </w:p>
        </w:tc>
        <w:tc>
          <w:tcPr>
            <w:tcW w:w="2009" w:type="dxa"/>
            <w:tcBorders>
              <w:top w:val="nil"/>
              <w:bottom w:val="nil"/>
            </w:tcBorders>
            <w:shd w:val="clear" w:color="auto" w:fill="B8CCE4" w:themeFill="accent1" w:themeFillTint="66"/>
            <w:vAlign w:val="center"/>
          </w:tcPr>
          <w:p w14:paraId="2A446AB5" w14:textId="77777777" w:rsidR="0018428E" w:rsidRPr="007F66A7" w:rsidRDefault="0018428E">
            <w:pPr>
              <w:pStyle w:val="COMTabletext"/>
              <w:jc w:val="center"/>
            </w:pPr>
            <w:r w:rsidRPr="007F66A7">
              <w:t>77.2 (73.7, 80.4)</w:t>
            </w:r>
          </w:p>
        </w:tc>
      </w:tr>
      <w:tr w:rsidR="0018428E" w:rsidRPr="007F66A7" w14:paraId="44B820B9" w14:textId="77777777" w:rsidTr="00240A57">
        <w:tc>
          <w:tcPr>
            <w:tcW w:w="4741" w:type="dxa"/>
            <w:tcBorders>
              <w:top w:val="nil"/>
            </w:tcBorders>
            <w:shd w:val="clear" w:color="auto" w:fill="B8CCE4" w:themeFill="accent1" w:themeFillTint="66"/>
          </w:tcPr>
          <w:p w14:paraId="2F420BC6" w14:textId="77777777" w:rsidR="0018428E" w:rsidRPr="007F66A7" w:rsidRDefault="0018428E">
            <w:pPr>
              <w:pStyle w:val="COMTabletext"/>
            </w:pPr>
            <w:r w:rsidRPr="007F66A7">
              <w:t>- 3 years</w:t>
            </w:r>
          </w:p>
        </w:tc>
        <w:tc>
          <w:tcPr>
            <w:tcW w:w="2267" w:type="dxa"/>
            <w:tcBorders>
              <w:top w:val="nil"/>
            </w:tcBorders>
            <w:shd w:val="clear" w:color="auto" w:fill="B8CCE4" w:themeFill="accent1" w:themeFillTint="66"/>
            <w:vAlign w:val="center"/>
          </w:tcPr>
          <w:p w14:paraId="13CA6680" w14:textId="77777777" w:rsidR="0018428E" w:rsidRPr="007F66A7" w:rsidRDefault="0018428E">
            <w:pPr>
              <w:pStyle w:val="COMTabletext"/>
              <w:jc w:val="center"/>
            </w:pPr>
            <w:r w:rsidRPr="007F66A7">
              <w:t>78.8 (74.7, 82.3)</w:t>
            </w:r>
          </w:p>
        </w:tc>
        <w:tc>
          <w:tcPr>
            <w:tcW w:w="2009" w:type="dxa"/>
            <w:tcBorders>
              <w:top w:val="nil"/>
            </w:tcBorders>
            <w:shd w:val="clear" w:color="auto" w:fill="B8CCE4" w:themeFill="accent1" w:themeFillTint="66"/>
            <w:vAlign w:val="center"/>
          </w:tcPr>
          <w:p w14:paraId="56CAFF7C" w14:textId="77777777" w:rsidR="0018428E" w:rsidRPr="007F66A7" w:rsidRDefault="0018428E">
            <w:pPr>
              <w:pStyle w:val="COMTabletext"/>
              <w:jc w:val="center"/>
            </w:pPr>
            <w:r w:rsidRPr="007F66A7">
              <w:t>74.7 (70.8, 78.2)</w:t>
            </w:r>
          </w:p>
        </w:tc>
      </w:tr>
      <w:tr w:rsidR="0018428E" w:rsidRPr="007F66A7" w14:paraId="6ADDF52E" w14:textId="77777777" w:rsidTr="00240A57">
        <w:tc>
          <w:tcPr>
            <w:tcW w:w="4741" w:type="dxa"/>
            <w:shd w:val="clear" w:color="auto" w:fill="B8CCE4" w:themeFill="accent1" w:themeFillTint="66"/>
          </w:tcPr>
          <w:p w14:paraId="66CC2987" w14:textId="77777777" w:rsidR="0018428E" w:rsidRPr="007F66A7" w:rsidRDefault="0018428E">
            <w:pPr>
              <w:pStyle w:val="COMTabletext"/>
            </w:pPr>
            <w:r w:rsidRPr="007F66A7">
              <w:t>Hazard ratio (95% CI)</w:t>
            </w:r>
          </w:p>
        </w:tc>
        <w:tc>
          <w:tcPr>
            <w:tcW w:w="4276" w:type="dxa"/>
            <w:gridSpan w:val="2"/>
            <w:shd w:val="clear" w:color="auto" w:fill="B8CCE4" w:themeFill="accent1" w:themeFillTint="66"/>
            <w:vAlign w:val="center"/>
          </w:tcPr>
          <w:p w14:paraId="41621575" w14:textId="77777777" w:rsidR="0018428E" w:rsidRPr="007F66A7" w:rsidRDefault="0018428E">
            <w:pPr>
              <w:pStyle w:val="COMTabletext"/>
              <w:jc w:val="center"/>
              <w:rPr>
                <w:b/>
                <w:bCs w:val="0"/>
              </w:rPr>
            </w:pPr>
            <w:r w:rsidRPr="007F66A7">
              <w:rPr>
                <w:b/>
                <w:bCs w:val="0"/>
              </w:rPr>
              <w:t>0.770 (0.603, 0.982)</w:t>
            </w:r>
          </w:p>
        </w:tc>
      </w:tr>
      <w:tr w:rsidR="0018428E" w:rsidRPr="007F66A7" w14:paraId="7348F7B4" w14:textId="77777777" w:rsidTr="00240A57">
        <w:tc>
          <w:tcPr>
            <w:tcW w:w="9017" w:type="dxa"/>
            <w:gridSpan w:val="3"/>
            <w:shd w:val="clear" w:color="auto" w:fill="B8CCE4" w:themeFill="accent1" w:themeFillTint="66"/>
          </w:tcPr>
          <w:p w14:paraId="6013D115" w14:textId="77777777" w:rsidR="0018428E" w:rsidRPr="007F66A7" w:rsidRDefault="0018428E">
            <w:pPr>
              <w:pStyle w:val="COMTableheadingrow"/>
              <w:rPr>
                <w:lang w:val="en-AU"/>
              </w:rPr>
            </w:pPr>
            <w:r w:rsidRPr="007F66A7">
              <w:rPr>
                <w:lang w:val="en-AU"/>
              </w:rPr>
              <w:t>Interim analysis, investigator-assessed (June 2021 data cut)</w:t>
            </w:r>
          </w:p>
        </w:tc>
      </w:tr>
      <w:tr w:rsidR="0018428E" w:rsidRPr="007F66A7" w14:paraId="033FD605" w14:textId="77777777" w:rsidTr="00240A57">
        <w:tc>
          <w:tcPr>
            <w:tcW w:w="4741" w:type="dxa"/>
            <w:shd w:val="clear" w:color="auto" w:fill="B8CCE4" w:themeFill="accent1" w:themeFillTint="66"/>
          </w:tcPr>
          <w:p w14:paraId="5153B5DE" w14:textId="77777777" w:rsidR="0018428E" w:rsidRPr="007F66A7" w:rsidRDefault="0018428E">
            <w:pPr>
              <w:pStyle w:val="COMTabletext"/>
            </w:pPr>
            <w:r w:rsidRPr="007F66A7">
              <w:t>Median follow-up, months (95% CI)</w:t>
            </w:r>
          </w:p>
        </w:tc>
        <w:tc>
          <w:tcPr>
            <w:tcW w:w="226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374DAB2" w14:textId="77777777" w:rsidR="0018428E" w:rsidRPr="007F66A7" w:rsidRDefault="0018428E">
            <w:pPr>
              <w:pStyle w:val="COMTabletext"/>
              <w:jc w:val="center"/>
            </w:pPr>
            <w:r w:rsidRPr="007F66A7">
              <w:t>73.3 (72.5, 74.1)</w:t>
            </w:r>
          </w:p>
        </w:tc>
        <w:tc>
          <w:tcPr>
            <w:tcW w:w="20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F6985D" w14:textId="77777777" w:rsidR="0018428E" w:rsidRPr="007F66A7" w:rsidRDefault="0018428E">
            <w:pPr>
              <w:pStyle w:val="COMTabletext"/>
              <w:jc w:val="center"/>
            </w:pPr>
            <w:r w:rsidRPr="007F66A7">
              <w:t>71.6 (70.4, 72.9)</w:t>
            </w:r>
          </w:p>
        </w:tc>
      </w:tr>
      <w:tr w:rsidR="0018428E" w:rsidRPr="007F66A7" w14:paraId="7E05D9DC" w14:textId="77777777" w:rsidTr="00240A57">
        <w:tc>
          <w:tcPr>
            <w:tcW w:w="4741" w:type="dxa"/>
            <w:tcBorders>
              <w:bottom w:val="nil"/>
            </w:tcBorders>
            <w:shd w:val="clear" w:color="auto" w:fill="B8CCE4" w:themeFill="accent1" w:themeFillTint="66"/>
          </w:tcPr>
          <w:p w14:paraId="43023411" w14:textId="77777777" w:rsidR="0018428E" w:rsidRPr="007F66A7" w:rsidRDefault="0018428E">
            <w:pPr>
              <w:pStyle w:val="COMTabletext"/>
            </w:pPr>
            <w:r w:rsidRPr="007F66A7">
              <w:t>Events, n (%)</w:t>
            </w:r>
          </w:p>
        </w:tc>
        <w:tc>
          <w:tcPr>
            <w:tcW w:w="2267" w:type="dxa"/>
            <w:tcBorders>
              <w:bottom w:val="nil"/>
            </w:tcBorders>
            <w:shd w:val="clear" w:color="auto" w:fill="B8CCE4" w:themeFill="accent1" w:themeFillTint="66"/>
          </w:tcPr>
          <w:p w14:paraId="46943723" w14:textId="77777777" w:rsidR="0018428E" w:rsidRPr="007F66A7" w:rsidRDefault="0018428E">
            <w:pPr>
              <w:pStyle w:val="COMTabletext"/>
              <w:jc w:val="center"/>
            </w:pPr>
            <w:r w:rsidRPr="007F66A7">
              <w:t>135 (20)</w:t>
            </w:r>
          </w:p>
        </w:tc>
        <w:tc>
          <w:tcPr>
            <w:tcW w:w="2009" w:type="dxa"/>
            <w:tcBorders>
              <w:bottom w:val="nil"/>
            </w:tcBorders>
            <w:shd w:val="clear" w:color="auto" w:fill="B8CCE4" w:themeFill="accent1" w:themeFillTint="66"/>
          </w:tcPr>
          <w:p w14:paraId="3F1404B8" w14:textId="77777777" w:rsidR="0018428E" w:rsidRPr="007F66A7" w:rsidRDefault="0018428E">
            <w:pPr>
              <w:pStyle w:val="COMTabletext"/>
              <w:jc w:val="center"/>
            </w:pPr>
            <w:r w:rsidRPr="007F66A7">
              <w:t>183 (27)</w:t>
            </w:r>
          </w:p>
        </w:tc>
      </w:tr>
      <w:tr w:rsidR="0018428E" w:rsidRPr="007F66A7" w14:paraId="49010208" w14:textId="77777777" w:rsidTr="00240A57">
        <w:tc>
          <w:tcPr>
            <w:tcW w:w="4741" w:type="dxa"/>
            <w:tcBorders>
              <w:top w:val="nil"/>
              <w:bottom w:val="nil"/>
            </w:tcBorders>
            <w:shd w:val="clear" w:color="auto" w:fill="B8CCE4" w:themeFill="accent1" w:themeFillTint="66"/>
          </w:tcPr>
          <w:p w14:paraId="4183D704" w14:textId="77777777" w:rsidR="0018428E" w:rsidRPr="007F66A7" w:rsidRDefault="0018428E">
            <w:pPr>
              <w:pStyle w:val="COMTabletext"/>
            </w:pPr>
            <w:r w:rsidRPr="007F66A7">
              <w:rPr>
                <w:bCs w:val="0"/>
              </w:rPr>
              <w:t>-</w:t>
            </w:r>
            <w:r w:rsidRPr="007F66A7">
              <w:t xml:space="preserve"> Disease progression</w:t>
            </w:r>
          </w:p>
        </w:tc>
        <w:tc>
          <w:tcPr>
            <w:tcW w:w="2267" w:type="dxa"/>
            <w:tcBorders>
              <w:top w:val="nil"/>
              <w:bottom w:val="nil"/>
            </w:tcBorders>
            <w:shd w:val="clear" w:color="auto" w:fill="B8CCE4" w:themeFill="accent1" w:themeFillTint="66"/>
          </w:tcPr>
          <w:p w14:paraId="79DC854C" w14:textId="77777777" w:rsidR="0018428E" w:rsidRPr="007F66A7" w:rsidRDefault="0018428E">
            <w:pPr>
              <w:pStyle w:val="COMTabletext"/>
              <w:jc w:val="center"/>
            </w:pPr>
            <w:r w:rsidRPr="007F66A7">
              <w:t>80 (12)</w:t>
            </w:r>
          </w:p>
        </w:tc>
        <w:tc>
          <w:tcPr>
            <w:tcW w:w="2009" w:type="dxa"/>
            <w:tcBorders>
              <w:top w:val="nil"/>
              <w:bottom w:val="nil"/>
            </w:tcBorders>
            <w:shd w:val="clear" w:color="auto" w:fill="B8CCE4" w:themeFill="accent1" w:themeFillTint="66"/>
          </w:tcPr>
          <w:p w14:paraId="1BF2B471" w14:textId="77777777" w:rsidR="0018428E" w:rsidRPr="007F66A7" w:rsidRDefault="0018428E">
            <w:pPr>
              <w:pStyle w:val="COMTabletext"/>
              <w:jc w:val="center"/>
            </w:pPr>
            <w:r w:rsidRPr="007F66A7">
              <w:t>111 (17)</w:t>
            </w:r>
          </w:p>
        </w:tc>
      </w:tr>
      <w:tr w:rsidR="0018428E" w:rsidRPr="007F66A7" w14:paraId="527879C6" w14:textId="77777777" w:rsidTr="00240A57">
        <w:tc>
          <w:tcPr>
            <w:tcW w:w="4741" w:type="dxa"/>
            <w:tcBorders>
              <w:top w:val="nil"/>
              <w:bottom w:val="nil"/>
            </w:tcBorders>
            <w:shd w:val="clear" w:color="auto" w:fill="B8CCE4" w:themeFill="accent1" w:themeFillTint="66"/>
          </w:tcPr>
          <w:p w14:paraId="46B7C279" w14:textId="77777777" w:rsidR="0018428E" w:rsidRPr="007F66A7" w:rsidRDefault="0018428E">
            <w:pPr>
              <w:pStyle w:val="COMTabletext"/>
            </w:pPr>
            <w:r w:rsidRPr="007F66A7">
              <w:t>- Death</w:t>
            </w:r>
          </w:p>
        </w:tc>
        <w:tc>
          <w:tcPr>
            <w:tcW w:w="2267" w:type="dxa"/>
            <w:tcBorders>
              <w:top w:val="nil"/>
              <w:bottom w:val="nil"/>
            </w:tcBorders>
            <w:shd w:val="clear" w:color="auto" w:fill="B8CCE4" w:themeFill="accent1" w:themeFillTint="66"/>
          </w:tcPr>
          <w:p w14:paraId="12AC866F" w14:textId="77777777" w:rsidR="0018428E" w:rsidRPr="007F66A7" w:rsidRDefault="0018428E">
            <w:pPr>
              <w:pStyle w:val="COMTabletext"/>
              <w:jc w:val="center"/>
            </w:pPr>
            <w:r w:rsidRPr="007F66A7">
              <w:t>16 (2)</w:t>
            </w:r>
          </w:p>
        </w:tc>
        <w:tc>
          <w:tcPr>
            <w:tcW w:w="2009" w:type="dxa"/>
            <w:tcBorders>
              <w:top w:val="nil"/>
              <w:bottom w:val="nil"/>
            </w:tcBorders>
            <w:shd w:val="clear" w:color="auto" w:fill="B8CCE4" w:themeFill="accent1" w:themeFillTint="66"/>
          </w:tcPr>
          <w:p w14:paraId="7FAE0811" w14:textId="77777777" w:rsidR="0018428E" w:rsidRPr="007F66A7" w:rsidRDefault="0018428E">
            <w:pPr>
              <w:pStyle w:val="COMTabletext"/>
              <w:jc w:val="center"/>
            </w:pPr>
            <w:r w:rsidRPr="007F66A7">
              <w:t>28 (4)</w:t>
            </w:r>
          </w:p>
        </w:tc>
      </w:tr>
      <w:tr w:rsidR="0018428E" w:rsidRPr="007F66A7" w14:paraId="20ACFB67" w14:textId="77777777" w:rsidTr="00240A57">
        <w:tc>
          <w:tcPr>
            <w:tcW w:w="4741" w:type="dxa"/>
            <w:tcBorders>
              <w:top w:val="nil"/>
            </w:tcBorders>
            <w:shd w:val="clear" w:color="auto" w:fill="B8CCE4" w:themeFill="accent1" w:themeFillTint="66"/>
          </w:tcPr>
          <w:p w14:paraId="72E475AC" w14:textId="77777777" w:rsidR="0018428E" w:rsidRPr="007F66A7" w:rsidRDefault="0018428E">
            <w:pPr>
              <w:pStyle w:val="COMTabletext"/>
            </w:pPr>
            <w:r w:rsidRPr="007F66A7">
              <w:t xml:space="preserve">- Subsequent treatment after noncomplete response </w:t>
            </w:r>
            <w:r w:rsidRPr="007F66A7">
              <w:rPr>
                <w:vertAlign w:val="superscript"/>
              </w:rPr>
              <w:t>a</w:t>
            </w:r>
          </w:p>
        </w:tc>
        <w:tc>
          <w:tcPr>
            <w:tcW w:w="2267" w:type="dxa"/>
            <w:tcBorders>
              <w:top w:val="nil"/>
            </w:tcBorders>
            <w:shd w:val="clear" w:color="auto" w:fill="B8CCE4" w:themeFill="accent1" w:themeFillTint="66"/>
          </w:tcPr>
          <w:p w14:paraId="41833208" w14:textId="77777777" w:rsidR="0018428E" w:rsidRPr="007F66A7" w:rsidRDefault="0018428E">
            <w:pPr>
              <w:pStyle w:val="COMTabletext"/>
              <w:jc w:val="center"/>
            </w:pPr>
            <w:r w:rsidRPr="007F66A7">
              <w:t>39 (6)</w:t>
            </w:r>
          </w:p>
        </w:tc>
        <w:tc>
          <w:tcPr>
            <w:tcW w:w="2009" w:type="dxa"/>
            <w:tcBorders>
              <w:top w:val="nil"/>
            </w:tcBorders>
            <w:shd w:val="clear" w:color="auto" w:fill="B8CCE4" w:themeFill="accent1" w:themeFillTint="66"/>
          </w:tcPr>
          <w:p w14:paraId="61234222" w14:textId="77777777" w:rsidR="0018428E" w:rsidRPr="007F66A7" w:rsidRDefault="0018428E">
            <w:pPr>
              <w:pStyle w:val="COMTabletext"/>
              <w:jc w:val="center"/>
            </w:pPr>
            <w:r w:rsidRPr="007F66A7">
              <w:t>44 (7)</w:t>
            </w:r>
          </w:p>
        </w:tc>
      </w:tr>
      <w:tr w:rsidR="0018428E" w:rsidRPr="007F66A7" w14:paraId="58B3A19B" w14:textId="77777777" w:rsidTr="00240A57">
        <w:tc>
          <w:tcPr>
            <w:tcW w:w="4741" w:type="dxa"/>
            <w:shd w:val="clear" w:color="auto" w:fill="B8CCE4" w:themeFill="accent1" w:themeFillTint="66"/>
          </w:tcPr>
          <w:p w14:paraId="27356B39" w14:textId="77777777" w:rsidR="0018428E" w:rsidRPr="007F66A7" w:rsidRDefault="0018428E">
            <w:pPr>
              <w:pStyle w:val="COMTabletext"/>
            </w:pPr>
            <w:r w:rsidRPr="007F66A7">
              <w:t>Censored, n (%)</w:t>
            </w:r>
          </w:p>
        </w:tc>
        <w:tc>
          <w:tcPr>
            <w:tcW w:w="2267" w:type="dxa"/>
            <w:shd w:val="clear" w:color="auto" w:fill="B8CCE4" w:themeFill="accent1" w:themeFillTint="66"/>
          </w:tcPr>
          <w:p w14:paraId="475F2427" w14:textId="77777777" w:rsidR="0018428E" w:rsidRPr="007F66A7" w:rsidRDefault="0018428E">
            <w:pPr>
              <w:pStyle w:val="COMTabletext"/>
              <w:jc w:val="center"/>
            </w:pPr>
            <w:r w:rsidRPr="007F66A7">
              <w:t xml:space="preserve">529 (79.7) </w:t>
            </w:r>
            <w:r w:rsidRPr="007F66A7">
              <w:rPr>
                <w:vertAlign w:val="superscript"/>
              </w:rPr>
              <w:t>b</w:t>
            </w:r>
          </w:p>
        </w:tc>
        <w:tc>
          <w:tcPr>
            <w:tcW w:w="2009" w:type="dxa"/>
            <w:shd w:val="clear" w:color="auto" w:fill="B8CCE4" w:themeFill="accent1" w:themeFillTint="66"/>
          </w:tcPr>
          <w:p w14:paraId="27FAB9B8" w14:textId="77777777" w:rsidR="0018428E" w:rsidRPr="007F66A7" w:rsidRDefault="0018428E">
            <w:pPr>
              <w:pStyle w:val="COMTabletext"/>
              <w:jc w:val="center"/>
            </w:pPr>
            <w:r w:rsidRPr="007F66A7">
              <w:t xml:space="preserve">487 (72.7) </w:t>
            </w:r>
            <w:r w:rsidRPr="007F66A7">
              <w:rPr>
                <w:vertAlign w:val="superscript"/>
              </w:rPr>
              <w:t>b</w:t>
            </w:r>
          </w:p>
        </w:tc>
      </w:tr>
      <w:tr w:rsidR="0018428E" w:rsidRPr="007F66A7" w14:paraId="3FC7E033" w14:textId="77777777" w:rsidTr="00240A57">
        <w:tc>
          <w:tcPr>
            <w:tcW w:w="4741" w:type="dxa"/>
            <w:tcBorders>
              <w:bottom w:val="nil"/>
            </w:tcBorders>
            <w:shd w:val="clear" w:color="auto" w:fill="B8CCE4" w:themeFill="accent1" w:themeFillTint="66"/>
          </w:tcPr>
          <w:p w14:paraId="7E4BA85F" w14:textId="77777777" w:rsidR="0018428E" w:rsidRPr="007F66A7" w:rsidRDefault="0018428E">
            <w:pPr>
              <w:pStyle w:val="COMTabletext"/>
            </w:pPr>
            <w:r w:rsidRPr="007F66A7">
              <w:t>Kaplan-Meier estimates, % (95% CI)</w:t>
            </w:r>
          </w:p>
        </w:tc>
        <w:tc>
          <w:tcPr>
            <w:tcW w:w="2267" w:type="dxa"/>
            <w:tcBorders>
              <w:bottom w:val="nil"/>
            </w:tcBorders>
            <w:shd w:val="clear" w:color="auto" w:fill="B8CCE4" w:themeFill="accent1" w:themeFillTint="66"/>
            <w:vAlign w:val="center"/>
          </w:tcPr>
          <w:p w14:paraId="37874863" w14:textId="77777777" w:rsidR="0018428E" w:rsidRPr="007F66A7" w:rsidRDefault="0018428E">
            <w:pPr>
              <w:pStyle w:val="COMTabletext"/>
              <w:jc w:val="center"/>
            </w:pPr>
          </w:p>
        </w:tc>
        <w:tc>
          <w:tcPr>
            <w:tcW w:w="2009" w:type="dxa"/>
            <w:tcBorders>
              <w:bottom w:val="nil"/>
            </w:tcBorders>
            <w:shd w:val="clear" w:color="auto" w:fill="B8CCE4" w:themeFill="accent1" w:themeFillTint="66"/>
            <w:vAlign w:val="center"/>
          </w:tcPr>
          <w:p w14:paraId="5BF0CBD0" w14:textId="77777777" w:rsidR="0018428E" w:rsidRPr="007F66A7" w:rsidRDefault="0018428E">
            <w:pPr>
              <w:pStyle w:val="COMTabletext"/>
              <w:jc w:val="center"/>
            </w:pPr>
          </w:p>
        </w:tc>
      </w:tr>
      <w:tr w:rsidR="0018428E" w:rsidRPr="007F66A7" w14:paraId="15E935B0" w14:textId="77777777" w:rsidTr="00240A57">
        <w:tc>
          <w:tcPr>
            <w:tcW w:w="4741" w:type="dxa"/>
            <w:tcBorders>
              <w:top w:val="nil"/>
              <w:bottom w:val="nil"/>
            </w:tcBorders>
            <w:shd w:val="clear" w:color="auto" w:fill="B8CCE4" w:themeFill="accent1" w:themeFillTint="66"/>
          </w:tcPr>
          <w:p w14:paraId="71F0E51B" w14:textId="77777777" w:rsidR="0018428E" w:rsidRPr="007F66A7" w:rsidRDefault="0018428E">
            <w:pPr>
              <w:pStyle w:val="COMTabletext"/>
            </w:pPr>
            <w:r w:rsidRPr="007F66A7">
              <w:t>- 6 months</w:t>
            </w:r>
          </w:p>
        </w:tc>
        <w:tc>
          <w:tcPr>
            <w:tcW w:w="2267" w:type="dxa"/>
            <w:tcBorders>
              <w:top w:val="nil"/>
              <w:bottom w:val="nil"/>
            </w:tcBorders>
            <w:shd w:val="clear" w:color="auto" w:fill="B8CCE4" w:themeFill="accent1" w:themeFillTint="66"/>
          </w:tcPr>
          <w:p w14:paraId="4192422E" w14:textId="77777777" w:rsidR="0018428E" w:rsidRPr="007F66A7" w:rsidRDefault="0018428E">
            <w:pPr>
              <w:pStyle w:val="COMTabletext"/>
              <w:jc w:val="center"/>
            </w:pPr>
            <w:r w:rsidRPr="007F66A7">
              <w:t>95.5 (93.6, 96.9)</w:t>
            </w:r>
          </w:p>
        </w:tc>
        <w:tc>
          <w:tcPr>
            <w:tcW w:w="2009" w:type="dxa"/>
            <w:tcBorders>
              <w:top w:val="nil"/>
              <w:bottom w:val="nil"/>
            </w:tcBorders>
            <w:shd w:val="clear" w:color="auto" w:fill="B8CCE4" w:themeFill="accent1" w:themeFillTint="66"/>
          </w:tcPr>
          <w:p w14:paraId="2301C4D7" w14:textId="77777777" w:rsidR="0018428E" w:rsidRPr="007F66A7" w:rsidRDefault="0018428E">
            <w:pPr>
              <w:pStyle w:val="COMTabletext"/>
              <w:jc w:val="center"/>
            </w:pPr>
            <w:r w:rsidRPr="007F66A7">
              <w:t>93.5 (91.3, 95.1)</w:t>
            </w:r>
          </w:p>
        </w:tc>
      </w:tr>
      <w:tr w:rsidR="0018428E" w:rsidRPr="007F66A7" w14:paraId="27D43833" w14:textId="77777777" w:rsidTr="00240A57">
        <w:tc>
          <w:tcPr>
            <w:tcW w:w="4741" w:type="dxa"/>
            <w:tcBorders>
              <w:top w:val="nil"/>
              <w:bottom w:val="nil"/>
            </w:tcBorders>
            <w:shd w:val="clear" w:color="auto" w:fill="B8CCE4" w:themeFill="accent1" w:themeFillTint="66"/>
          </w:tcPr>
          <w:p w14:paraId="2EBD62A7" w14:textId="77777777" w:rsidR="0018428E" w:rsidRPr="007F66A7" w:rsidRDefault="0018428E">
            <w:pPr>
              <w:pStyle w:val="COMTabletext"/>
            </w:pPr>
            <w:r w:rsidRPr="007F66A7">
              <w:t>- 1 year</w:t>
            </w:r>
          </w:p>
        </w:tc>
        <w:tc>
          <w:tcPr>
            <w:tcW w:w="2267" w:type="dxa"/>
            <w:tcBorders>
              <w:top w:val="nil"/>
              <w:bottom w:val="nil"/>
            </w:tcBorders>
            <w:shd w:val="clear" w:color="auto" w:fill="B8CCE4" w:themeFill="accent1" w:themeFillTint="66"/>
          </w:tcPr>
          <w:p w14:paraId="327E5F9C" w14:textId="77777777" w:rsidR="0018428E" w:rsidRPr="007F66A7" w:rsidRDefault="0018428E">
            <w:pPr>
              <w:pStyle w:val="COMTabletext"/>
              <w:jc w:val="center"/>
            </w:pPr>
            <w:r w:rsidRPr="007F66A7">
              <w:t>83.4 (80.3, 86.0)</w:t>
            </w:r>
          </w:p>
        </w:tc>
        <w:tc>
          <w:tcPr>
            <w:tcW w:w="2009" w:type="dxa"/>
            <w:tcBorders>
              <w:top w:val="nil"/>
              <w:bottom w:val="nil"/>
            </w:tcBorders>
            <w:shd w:val="clear" w:color="auto" w:fill="B8CCE4" w:themeFill="accent1" w:themeFillTint="66"/>
          </w:tcPr>
          <w:p w14:paraId="3526AD54" w14:textId="77777777" w:rsidR="0018428E" w:rsidRPr="007F66A7" w:rsidRDefault="0018428E">
            <w:pPr>
              <w:pStyle w:val="COMTabletext"/>
              <w:jc w:val="center"/>
            </w:pPr>
            <w:r w:rsidRPr="007F66A7">
              <w:t>77.0 (73.5, 80.0)</w:t>
            </w:r>
          </w:p>
        </w:tc>
      </w:tr>
      <w:tr w:rsidR="0018428E" w:rsidRPr="007F66A7" w14:paraId="0127277F" w14:textId="77777777" w:rsidTr="00240A57">
        <w:tc>
          <w:tcPr>
            <w:tcW w:w="4741" w:type="dxa"/>
            <w:tcBorders>
              <w:top w:val="nil"/>
              <w:bottom w:val="nil"/>
            </w:tcBorders>
            <w:shd w:val="clear" w:color="auto" w:fill="B8CCE4" w:themeFill="accent1" w:themeFillTint="66"/>
          </w:tcPr>
          <w:p w14:paraId="137CB759" w14:textId="77777777" w:rsidR="0018428E" w:rsidRPr="007F66A7" w:rsidRDefault="0018428E">
            <w:pPr>
              <w:pStyle w:val="COMTabletext"/>
            </w:pPr>
            <w:r w:rsidRPr="007F66A7">
              <w:t>- 2 years</w:t>
            </w:r>
          </w:p>
        </w:tc>
        <w:tc>
          <w:tcPr>
            <w:tcW w:w="2267" w:type="dxa"/>
            <w:tcBorders>
              <w:top w:val="nil"/>
              <w:bottom w:val="nil"/>
            </w:tcBorders>
            <w:shd w:val="clear" w:color="auto" w:fill="B8CCE4" w:themeFill="accent1" w:themeFillTint="66"/>
          </w:tcPr>
          <w:p w14:paraId="32929B5D" w14:textId="77777777" w:rsidR="0018428E" w:rsidRPr="007F66A7" w:rsidRDefault="0018428E">
            <w:pPr>
              <w:pStyle w:val="COMTabletext"/>
              <w:jc w:val="center"/>
            </w:pPr>
            <w:r w:rsidRPr="007F66A7">
              <w:t>81.1 (77.9, 84.0)</w:t>
            </w:r>
          </w:p>
        </w:tc>
        <w:tc>
          <w:tcPr>
            <w:tcW w:w="2009" w:type="dxa"/>
            <w:tcBorders>
              <w:top w:val="nil"/>
              <w:bottom w:val="nil"/>
            </w:tcBorders>
            <w:shd w:val="clear" w:color="auto" w:fill="B8CCE4" w:themeFill="accent1" w:themeFillTint="66"/>
          </w:tcPr>
          <w:p w14:paraId="3D5F03F2" w14:textId="77777777" w:rsidR="0018428E" w:rsidRPr="007F66A7" w:rsidRDefault="0018428E">
            <w:pPr>
              <w:pStyle w:val="COMTabletext"/>
              <w:jc w:val="center"/>
            </w:pPr>
            <w:r w:rsidRPr="007F66A7">
              <w:t>74.4 (70.9, 77.6)</w:t>
            </w:r>
          </w:p>
        </w:tc>
      </w:tr>
      <w:tr w:rsidR="0018428E" w:rsidRPr="007F66A7" w14:paraId="54B2EB2A" w14:textId="77777777" w:rsidTr="00240A57">
        <w:trPr>
          <w:trHeight w:val="64"/>
        </w:trPr>
        <w:tc>
          <w:tcPr>
            <w:tcW w:w="4741" w:type="dxa"/>
            <w:tcBorders>
              <w:top w:val="nil"/>
              <w:bottom w:val="nil"/>
            </w:tcBorders>
            <w:shd w:val="clear" w:color="auto" w:fill="B8CCE4" w:themeFill="accent1" w:themeFillTint="66"/>
          </w:tcPr>
          <w:p w14:paraId="5622D8AD" w14:textId="77777777" w:rsidR="0018428E" w:rsidRPr="007F66A7" w:rsidRDefault="0018428E">
            <w:pPr>
              <w:pStyle w:val="COMTabletext"/>
            </w:pPr>
            <w:r w:rsidRPr="007F66A7">
              <w:t>- 3 years</w:t>
            </w:r>
          </w:p>
        </w:tc>
        <w:tc>
          <w:tcPr>
            <w:tcW w:w="2267" w:type="dxa"/>
            <w:tcBorders>
              <w:top w:val="nil"/>
              <w:bottom w:val="nil"/>
            </w:tcBorders>
            <w:shd w:val="clear" w:color="auto" w:fill="B8CCE4" w:themeFill="accent1" w:themeFillTint="66"/>
          </w:tcPr>
          <w:p w14:paraId="11DF3EC4" w14:textId="77777777" w:rsidR="0018428E" w:rsidRPr="007F66A7" w:rsidRDefault="0018428E">
            <w:pPr>
              <w:pStyle w:val="COMTabletext"/>
              <w:jc w:val="center"/>
            </w:pPr>
            <w:r w:rsidRPr="007F66A7">
              <w:t>80.1 (76.8, 83.0)</w:t>
            </w:r>
          </w:p>
        </w:tc>
        <w:tc>
          <w:tcPr>
            <w:tcW w:w="2009" w:type="dxa"/>
            <w:tcBorders>
              <w:top w:val="nil"/>
              <w:bottom w:val="nil"/>
            </w:tcBorders>
            <w:shd w:val="clear" w:color="auto" w:fill="B8CCE4" w:themeFill="accent1" w:themeFillTint="66"/>
          </w:tcPr>
          <w:p w14:paraId="3C77A2F2" w14:textId="77777777" w:rsidR="0018428E" w:rsidRPr="007F66A7" w:rsidRDefault="0018428E">
            <w:pPr>
              <w:pStyle w:val="COMTabletext"/>
              <w:jc w:val="center"/>
            </w:pPr>
            <w:r w:rsidRPr="007F66A7">
              <w:t>73.1 (69.4, 76.3)</w:t>
            </w:r>
          </w:p>
        </w:tc>
      </w:tr>
      <w:tr w:rsidR="0018428E" w:rsidRPr="007F66A7" w14:paraId="5F34C424" w14:textId="77777777" w:rsidTr="00240A57">
        <w:tc>
          <w:tcPr>
            <w:tcW w:w="4741" w:type="dxa"/>
            <w:tcBorders>
              <w:top w:val="nil"/>
            </w:tcBorders>
            <w:shd w:val="clear" w:color="auto" w:fill="B8CCE4" w:themeFill="accent1" w:themeFillTint="66"/>
          </w:tcPr>
          <w:p w14:paraId="6EF48E82" w14:textId="77777777" w:rsidR="0018428E" w:rsidRPr="007F66A7" w:rsidRDefault="0018428E">
            <w:pPr>
              <w:pStyle w:val="COMTabletext"/>
            </w:pPr>
            <w:r w:rsidRPr="007F66A7">
              <w:t>- 7 years</w:t>
            </w:r>
          </w:p>
        </w:tc>
        <w:tc>
          <w:tcPr>
            <w:tcW w:w="2267" w:type="dxa"/>
            <w:tcBorders>
              <w:top w:val="nil"/>
            </w:tcBorders>
            <w:shd w:val="clear" w:color="auto" w:fill="B8CCE4" w:themeFill="accent1" w:themeFillTint="66"/>
          </w:tcPr>
          <w:p w14:paraId="370C12C7" w14:textId="77777777" w:rsidR="0018428E" w:rsidRPr="007F66A7" w:rsidRDefault="0018428E">
            <w:pPr>
              <w:pStyle w:val="COMTabletext"/>
              <w:jc w:val="center"/>
            </w:pPr>
            <w:r w:rsidRPr="007F66A7">
              <w:t>78.8 (75.4, 81.7)</w:t>
            </w:r>
          </w:p>
        </w:tc>
        <w:tc>
          <w:tcPr>
            <w:tcW w:w="2009" w:type="dxa"/>
            <w:tcBorders>
              <w:top w:val="nil"/>
            </w:tcBorders>
            <w:shd w:val="clear" w:color="auto" w:fill="B8CCE4" w:themeFill="accent1" w:themeFillTint="66"/>
          </w:tcPr>
          <w:p w14:paraId="65393861" w14:textId="77777777" w:rsidR="0018428E" w:rsidRPr="007F66A7" w:rsidRDefault="0018428E">
            <w:pPr>
              <w:pStyle w:val="COMTabletext"/>
              <w:jc w:val="center"/>
            </w:pPr>
            <w:r w:rsidRPr="007F66A7">
              <w:t>70.9 (67.1, 74.3)</w:t>
            </w:r>
          </w:p>
        </w:tc>
      </w:tr>
      <w:tr w:rsidR="0018428E" w:rsidRPr="007F66A7" w14:paraId="14EA6B87" w14:textId="77777777" w:rsidTr="00240A57">
        <w:tc>
          <w:tcPr>
            <w:tcW w:w="4741" w:type="dxa"/>
            <w:shd w:val="clear" w:color="auto" w:fill="B8CCE4" w:themeFill="accent1" w:themeFillTint="66"/>
          </w:tcPr>
          <w:p w14:paraId="0655904B" w14:textId="77777777" w:rsidR="0018428E" w:rsidRPr="007F66A7" w:rsidRDefault="0018428E">
            <w:pPr>
              <w:pStyle w:val="COMTabletext"/>
            </w:pPr>
            <w:r w:rsidRPr="007F66A7">
              <w:t>Hazard ratio (95% CI)</w:t>
            </w:r>
          </w:p>
        </w:tc>
        <w:tc>
          <w:tcPr>
            <w:tcW w:w="4276" w:type="dxa"/>
            <w:gridSpan w:val="2"/>
            <w:shd w:val="clear" w:color="auto" w:fill="B8CCE4" w:themeFill="accent1" w:themeFillTint="66"/>
          </w:tcPr>
          <w:p w14:paraId="1B8D405A" w14:textId="77777777" w:rsidR="0018428E" w:rsidRPr="007F66A7" w:rsidRDefault="0018428E">
            <w:pPr>
              <w:pStyle w:val="COMTabletext"/>
              <w:jc w:val="center"/>
            </w:pPr>
            <w:r w:rsidRPr="007F66A7">
              <w:t xml:space="preserve">0.708 (0.566, 0.884) </w:t>
            </w:r>
            <w:r w:rsidRPr="007F66A7">
              <w:rPr>
                <w:vertAlign w:val="superscript"/>
              </w:rPr>
              <w:t>c</w:t>
            </w:r>
          </w:p>
        </w:tc>
      </w:tr>
      <w:tr w:rsidR="0018428E" w:rsidRPr="007F66A7" w14:paraId="2E7D7633" w14:textId="77777777">
        <w:tc>
          <w:tcPr>
            <w:tcW w:w="9017" w:type="dxa"/>
            <w:gridSpan w:val="3"/>
          </w:tcPr>
          <w:p w14:paraId="002BE1AE" w14:textId="77777777" w:rsidR="0018428E" w:rsidRPr="007F66A7" w:rsidRDefault="0018428E">
            <w:pPr>
              <w:pStyle w:val="COMTableheadingrow"/>
              <w:rPr>
                <w:lang w:val="en-AU"/>
              </w:rPr>
            </w:pPr>
            <w:r w:rsidRPr="007F66A7">
              <w:rPr>
                <w:lang w:val="en-AU"/>
              </w:rPr>
              <w:t>Exploratory analysis, investigator-assessed (March 2023 data cut)</w:t>
            </w:r>
          </w:p>
        </w:tc>
      </w:tr>
      <w:tr w:rsidR="0018428E" w:rsidRPr="007F66A7" w14:paraId="6E809DF9" w14:textId="77777777">
        <w:tc>
          <w:tcPr>
            <w:tcW w:w="4741" w:type="dxa"/>
          </w:tcPr>
          <w:p w14:paraId="1E2C5FE4" w14:textId="77777777" w:rsidR="0018428E" w:rsidRPr="007F66A7" w:rsidRDefault="0018428E">
            <w:pPr>
              <w:pStyle w:val="COMTabletext"/>
            </w:pPr>
            <w:r w:rsidRPr="007F66A7">
              <w:t>Median follow-up, months (95% CI)</w:t>
            </w:r>
          </w:p>
        </w:tc>
        <w:tc>
          <w:tcPr>
            <w:tcW w:w="2267" w:type="dxa"/>
            <w:tcBorders>
              <w:top w:val="single" w:sz="4" w:space="0" w:color="auto"/>
              <w:left w:val="single" w:sz="4" w:space="0" w:color="auto"/>
              <w:bottom w:val="single" w:sz="4" w:space="0" w:color="auto"/>
              <w:right w:val="single" w:sz="4" w:space="0" w:color="auto"/>
            </w:tcBorders>
            <w:vAlign w:val="center"/>
          </w:tcPr>
          <w:p w14:paraId="27677C21" w14:textId="77777777" w:rsidR="0018428E" w:rsidRPr="007F66A7" w:rsidRDefault="0018428E">
            <w:pPr>
              <w:pStyle w:val="COMTabletext"/>
              <w:jc w:val="center"/>
            </w:pPr>
            <w:r w:rsidRPr="007F66A7">
              <w:t>90.1 (87.7, 90.9)</w:t>
            </w:r>
          </w:p>
        </w:tc>
        <w:tc>
          <w:tcPr>
            <w:tcW w:w="2009" w:type="dxa"/>
            <w:tcBorders>
              <w:top w:val="single" w:sz="4" w:space="0" w:color="auto"/>
              <w:left w:val="single" w:sz="4" w:space="0" w:color="auto"/>
              <w:bottom w:val="single" w:sz="4" w:space="0" w:color="auto"/>
              <w:right w:val="single" w:sz="4" w:space="0" w:color="auto"/>
            </w:tcBorders>
            <w:vAlign w:val="center"/>
          </w:tcPr>
          <w:p w14:paraId="4811D0B5" w14:textId="77777777" w:rsidR="0018428E" w:rsidRPr="007F66A7" w:rsidRDefault="0018428E">
            <w:pPr>
              <w:pStyle w:val="COMTabletext"/>
              <w:jc w:val="center"/>
            </w:pPr>
            <w:r w:rsidRPr="007F66A7">
              <w:t>86.4 (84.40, 89.7)</w:t>
            </w:r>
          </w:p>
        </w:tc>
      </w:tr>
      <w:tr w:rsidR="0018428E" w:rsidRPr="007F66A7" w14:paraId="351273F1" w14:textId="77777777" w:rsidTr="00D631EA">
        <w:tc>
          <w:tcPr>
            <w:tcW w:w="4741" w:type="dxa"/>
            <w:tcBorders>
              <w:bottom w:val="nil"/>
            </w:tcBorders>
          </w:tcPr>
          <w:p w14:paraId="57393AB6" w14:textId="77777777" w:rsidR="0018428E" w:rsidRPr="007F66A7" w:rsidRDefault="0018428E">
            <w:pPr>
              <w:pStyle w:val="COMTabletext"/>
            </w:pPr>
            <w:r w:rsidRPr="007F66A7">
              <w:t>Events, n (%)</w:t>
            </w:r>
          </w:p>
        </w:tc>
        <w:tc>
          <w:tcPr>
            <w:tcW w:w="2267" w:type="dxa"/>
            <w:tcBorders>
              <w:top w:val="single" w:sz="4" w:space="0" w:color="auto"/>
              <w:left w:val="single" w:sz="4" w:space="0" w:color="auto"/>
              <w:bottom w:val="nil"/>
              <w:right w:val="single" w:sz="4" w:space="0" w:color="auto"/>
            </w:tcBorders>
            <w:vAlign w:val="center"/>
          </w:tcPr>
          <w:p w14:paraId="498E4FA1" w14:textId="77777777" w:rsidR="0018428E" w:rsidRPr="007F66A7" w:rsidRDefault="0018428E">
            <w:pPr>
              <w:pStyle w:val="COMTabletext"/>
              <w:jc w:val="center"/>
            </w:pPr>
            <w:r w:rsidRPr="007F66A7">
              <w:t>135 (20)</w:t>
            </w:r>
          </w:p>
        </w:tc>
        <w:tc>
          <w:tcPr>
            <w:tcW w:w="2009" w:type="dxa"/>
            <w:tcBorders>
              <w:top w:val="single" w:sz="4" w:space="0" w:color="auto"/>
              <w:left w:val="single" w:sz="4" w:space="0" w:color="auto"/>
              <w:bottom w:val="nil"/>
              <w:right w:val="single" w:sz="4" w:space="0" w:color="auto"/>
            </w:tcBorders>
            <w:vAlign w:val="center"/>
          </w:tcPr>
          <w:p w14:paraId="7391A276" w14:textId="77777777" w:rsidR="0018428E" w:rsidRPr="007F66A7" w:rsidRDefault="0018428E">
            <w:pPr>
              <w:pStyle w:val="COMTabletext"/>
              <w:jc w:val="center"/>
            </w:pPr>
            <w:r w:rsidRPr="007F66A7">
              <w:t>184 (27)</w:t>
            </w:r>
          </w:p>
        </w:tc>
      </w:tr>
      <w:tr w:rsidR="0018428E" w:rsidRPr="007F66A7" w14:paraId="7AFB8689" w14:textId="77777777" w:rsidTr="00D631EA">
        <w:tc>
          <w:tcPr>
            <w:tcW w:w="4741" w:type="dxa"/>
            <w:tcBorders>
              <w:top w:val="nil"/>
              <w:bottom w:val="nil"/>
            </w:tcBorders>
          </w:tcPr>
          <w:p w14:paraId="1FF6ADC2" w14:textId="77777777" w:rsidR="0018428E" w:rsidRPr="007F66A7" w:rsidRDefault="0018428E">
            <w:pPr>
              <w:pStyle w:val="COMTabletext"/>
            </w:pPr>
            <w:r w:rsidRPr="007F66A7">
              <w:rPr>
                <w:bCs w:val="0"/>
              </w:rPr>
              <w:t>-</w:t>
            </w:r>
            <w:r w:rsidRPr="007F66A7">
              <w:t xml:space="preserve"> Disease progression</w:t>
            </w:r>
          </w:p>
        </w:tc>
        <w:tc>
          <w:tcPr>
            <w:tcW w:w="2267" w:type="dxa"/>
            <w:tcBorders>
              <w:top w:val="nil"/>
              <w:left w:val="single" w:sz="4" w:space="0" w:color="auto"/>
              <w:bottom w:val="nil"/>
              <w:right w:val="single" w:sz="4" w:space="0" w:color="auto"/>
            </w:tcBorders>
            <w:vAlign w:val="center"/>
          </w:tcPr>
          <w:p w14:paraId="5574B0B6" w14:textId="77777777" w:rsidR="0018428E" w:rsidRPr="007F66A7" w:rsidRDefault="0018428E">
            <w:pPr>
              <w:pStyle w:val="COMTabletext"/>
              <w:jc w:val="center"/>
            </w:pPr>
            <w:r w:rsidRPr="007F66A7">
              <w:t>80 (12)</w:t>
            </w:r>
          </w:p>
        </w:tc>
        <w:tc>
          <w:tcPr>
            <w:tcW w:w="2009" w:type="dxa"/>
            <w:tcBorders>
              <w:top w:val="nil"/>
              <w:left w:val="single" w:sz="4" w:space="0" w:color="auto"/>
              <w:bottom w:val="nil"/>
              <w:right w:val="single" w:sz="4" w:space="0" w:color="auto"/>
            </w:tcBorders>
            <w:vAlign w:val="center"/>
          </w:tcPr>
          <w:p w14:paraId="78AC09A9" w14:textId="77777777" w:rsidR="0018428E" w:rsidRPr="007F66A7" w:rsidRDefault="0018428E">
            <w:pPr>
              <w:pStyle w:val="COMTabletext"/>
              <w:jc w:val="center"/>
            </w:pPr>
            <w:r w:rsidRPr="007F66A7">
              <w:t>111 (17)</w:t>
            </w:r>
          </w:p>
        </w:tc>
      </w:tr>
      <w:tr w:rsidR="0018428E" w:rsidRPr="007F66A7" w14:paraId="3135BCFA" w14:textId="77777777" w:rsidTr="002E0495">
        <w:tc>
          <w:tcPr>
            <w:tcW w:w="4741" w:type="dxa"/>
            <w:tcBorders>
              <w:top w:val="nil"/>
              <w:bottom w:val="nil"/>
            </w:tcBorders>
          </w:tcPr>
          <w:p w14:paraId="1E653693" w14:textId="77777777" w:rsidR="0018428E" w:rsidRPr="007F66A7" w:rsidRDefault="0018428E">
            <w:pPr>
              <w:pStyle w:val="COMTabletext"/>
            </w:pPr>
            <w:r w:rsidRPr="007F66A7">
              <w:t>- Death</w:t>
            </w:r>
          </w:p>
        </w:tc>
        <w:tc>
          <w:tcPr>
            <w:tcW w:w="2267" w:type="dxa"/>
            <w:tcBorders>
              <w:top w:val="nil"/>
              <w:left w:val="single" w:sz="4" w:space="0" w:color="auto"/>
              <w:bottom w:val="nil"/>
              <w:right w:val="single" w:sz="4" w:space="0" w:color="auto"/>
            </w:tcBorders>
            <w:vAlign w:val="center"/>
          </w:tcPr>
          <w:p w14:paraId="2BEB622C" w14:textId="77777777" w:rsidR="0018428E" w:rsidRPr="007F66A7" w:rsidRDefault="0018428E">
            <w:pPr>
              <w:pStyle w:val="COMTabletext"/>
              <w:jc w:val="center"/>
            </w:pPr>
            <w:r w:rsidRPr="007F66A7">
              <w:t>16 (2)</w:t>
            </w:r>
          </w:p>
        </w:tc>
        <w:tc>
          <w:tcPr>
            <w:tcW w:w="2009" w:type="dxa"/>
            <w:tcBorders>
              <w:top w:val="nil"/>
              <w:left w:val="single" w:sz="4" w:space="0" w:color="auto"/>
              <w:bottom w:val="nil"/>
              <w:right w:val="single" w:sz="4" w:space="0" w:color="auto"/>
            </w:tcBorders>
            <w:vAlign w:val="center"/>
          </w:tcPr>
          <w:p w14:paraId="0021F161" w14:textId="77777777" w:rsidR="0018428E" w:rsidRPr="007F66A7" w:rsidRDefault="0018428E">
            <w:pPr>
              <w:pStyle w:val="COMTabletext"/>
              <w:jc w:val="center"/>
            </w:pPr>
            <w:r w:rsidRPr="007F66A7">
              <w:t>28 (4)</w:t>
            </w:r>
          </w:p>
        </w:tc>
      </w:tr>
      <w:tr w:rsidR="0018428E" w:rsidRPr="007F66A7" w14:paraId="79C9E43F" w14:textId="77777777" w:rsidTr="002E0495">
        <w:tc>
          <w:tcPr>
            <w:tcW w:w="4741" w:type="dxa"/>
            <w:tcBorders>
              <w:top w:val="nil"/>
            </w:tcBorders>
          </w:tcPr>
          <w:p w14:paraId="759F9923" w14:textId="77777777" w:rsidR="0018428E" w:rsidRPr="007F66A7" w:rsidRDefault="0018428E">
            <w:pPr>
              <w:pStyle w:val="COMTabletext"/>
            </w:pPr>
            <w:r w:rsidRPr="007F66A7">
              <w:t xml:space="preserve">- Subsequent treatment after noncomplete response </w:t>
            </w:r>
            <w:r w:rsidRPr="007F66A7">
              <w:rPr>
                <w:vertAlign w:val="superscript"/>
              </w:rPr>
              <w:t>a</w:t>
            </w:r>
          </w:p>
        </w:tc>
        <w:tc>
          <w:tcPr>
            <w:tcW w:w="2267" w:type="dxa"/>
            <w:tcBorders>
              <w:top w:val="nil"/>
              <w:left w:val="single" w:sz="4" w:space="0" w:color="auto"/>
              <w:bottom w:val="single" w:sz="4" w:space="0" w:color="auto"/>
              <w:right w:val="single" w:sz="4" w:space="0" w:color="auto"/>
            </w:tcBorders>
            <w:vAlign w:val="center"/>
          </w:tcPr>
          <w:p w14:paraId="06C2C589" w14:textId="77777777" w:rsidR="0018428E" w:rsidRPr="007F66A7" w:rsidRDefault="0018428E">
            <w:pPr>
              <w:pStyle w:val="COMTabletext"/>
              <w:jc w:val="center"/>
            </w:pPr>
            <w:r w:rsidRPr="007F66A7">
              <w:t>39 (6)</w:t>
            </w:r>
          </w:p>
        </w:tc>
        <w:tc>
          <w:tcPr>
            <w:tcW w:w="2009" w:type="dxa"/>
            <w:tcBorders>
              <w:top w:val="nil"/>
              <w:left w:val="single" w:sz="4" w:space="0" w:color="auto"/>
              <w:bottom w:val="single" w:sz="4" w:space="0" w:color="auto"/>
              <w:right w:val="single" w:sz="4" w:space="0" w:color="auto"/>
            </w:tcBorders>
            <w:vAlign w:val="center"/>
          </w:tcPr>
          <w:p w14:paraId="7920C8F2" w14:textId="77777777" w:rsidR="0018428E" w:rsidRPr="007F66A7" w:rsidRDefault="0018428E">
            <w:pPr>
              <w:pStyle w:val="COMTabletext"/>
              <w:jc w:val="center"/>
            </w:pPr>
            <w:r w:rsidRPr="007F66A7">
              <w:t>45 (7)</w:t>
            </w:r>
          </w:p>
        </w:tc>
      </w:tr>
      <w:tr w:rsidR="0018428E" w:rsidRPr="007F66A7" w14:paraId="6BD4D9BD" w14:textId="77777777">
        <w:tc>
          <w:tcPr>
            <w:tcW w:w="4741" w:type="dxa"/>
          </w:tcPr>
          <w:p w14:paraId="51463A4C" w14:textId="77777777" w:rsidR="0018428E" w:rsidRPr="007F66A7" w:rsidRDefault="0018428E">
            <w:pPr>
              <w:pStyle w:val="COMTabletext"/>
            </w:pPr>
            <w:r w:rsidRPr="007F66A7">
              <w:t>Censored, n (%)</w:t>
            </w:r>
          </w:p>
        </w:tc>
        <w:tc>
          <w:tcPr>
            <w:tcW w:w="2267" w:type="dxa"/>
            <w:tcBorders>
              <w:top w:val="single" w:sz="4" w:space="0" w:color="auto"/>
              <w:left w:val="single" w:sz="4" w:space="0" w:color="auto"/>
              <w:bottom w:val="single" w:sz="4" w:space="0" w:color="auto"/>
              <w:right w:val="single" w:sz="4" w:space="0" w:color="auto"/>
            </w:tcBorders>
            <w:vAlign w:val="center"/>
          </w:tcPr>
          <w:p w14:paraId="0E3767BB" w14:textId="77777777" w:rsidR="0018428E" w:rsidRPr="007F66A7" w:rsidRDefault="0018428E">
            <w:pPr>
              <w:pStyle w:val="COMTabletext"/>
              <w:jc w:val="center"/>
            </w:pPr>
            <w:r w:rsidRPr="007F66A7">
              <w:t xml:space="preserve">529 (79.7) </w:t>
            </w:r>
            <w:r w:rsidRPr="007F66A7">
              <w:rPr>
                <w:vertAlign w:val="superscript"/>
              </w:rPr>
              <w:t>b</w:t>
            </w:r>
          </w:p>
        </w:tc>
        <w:tc>
          <w:tcPr>
            <w:tcW w:w="2009" w:type="dxa"/>
            <w:tcBorders>
              <w:top w:val="single" w:sz="4" w:space="0" w:color="auto"/>
              <w:left w:val="single" w:sz="4" w:space="0" w:color="auto"/>
              <w:bottom w:val="single" w:sz="4" w:space="0" w:color="auto"/>
              <w:right w:val="single" w:sz="4" w:space="0" w:color="auto"/>
            </w:tcBorders>
            <w:vAlign w:val="center"/>
          </w:tcPr>
          <w:p w14:paraId="7E93168B" w14:textId="77777777" w:rsidR="0018428E" w:rsidRPr="007F66A7" w:rsidRDefault="0018428E">
            <w:pPr>
              <w:pStyle w:val="COMTabletext"/>
              <w:jc w:val="center"/>
            </w:pPr>
            <w:r w:rsidRPr="007F66A7">
              <w:t xml:space="preserve">486 (72.7) </w:t>
            </w:r>
            <w:r w:rsidRPr="007F66A7">
              <w:rPr>
                <w:vertAlign w:val="superscript"/>
              </w:rPr>
              <w:t>b</w:t>
            </w:r>
          </w:p>
        </w:tc>
      </w:tr>
      <w:tr w:rsidR="0018428E" w:rsidRPr="007F66A7" w14:paraId="225C269E" w14:textId="77777777">
        <w:tc>
          <w:tcPr>
            <w:tcW w:w="4741" w:type="dxa"/>
            <w:tcBorders>
              <w:bottom w:val="nil"/>
            </w:tcBorders>
          </w:tcPr>
          <w:p w14:paraId="5FB2229E" w14:textId="77777777" w:rsidR="0018428E" w:rsidRPr="007F66A7" w:rsidRDefault="0018428E">
            <w:pPr>
              <w:pStyle w:val="COMTabletext"/>
            </w:pPr>
            <w:r w:rsidRPr="007F66A7">
              <w:t>Kaplan-Meier estimates, % (95% CI)</w:t>
            </w:r>
          </w:p>
        </w:tc>
        <w:tc>
          <w:tcPr>
            <w:tcW w:w="2267" w:type="dxa"/>
            <w:tcBorders>
              <w:bottom w:val="nil"/>
            </w:tcBorders>
            <w:vAlign w:val="center"/>
          </w:tcPr>
          <w:p w14:paraId="4FE6E416" w14:textId="77777777" w:rsidR="0018428E" w:rsidRPr="007F66A7" w:rsidRDefault="0018428E">
            <w:pPr>
              <w:pStyle w:val="COMTabletext"/>
              <w:jc w:val="center"/>
            </w:pPr>
          </w:p>
        </w:tc>
        <w:tc>
          <w:tcPr>
            <w:tcW w:w="2009" w:type="dxa"/>
            <w:tcBorders>
              <w:bottom w:val="nil"/>
            </w:tcBorders>
            <w:vAlign w:val="center"/>
          </w:tcPr>
          <w:p w14:paraId="67C8EDEA" w14:textId="77777777" w:rsidR="0018428E" w:rsidRPr="007F66A7" w:rsidRDefault="0018428E">
            <w:pPr>
              <w:pStyle w:val="COMTabletext"/>
              <w:jc w:val="center"/>
            </w:pPr>
          </w:p>
        </w:tc>
      </w:tr>
      <w:tr w:rsidR="0018428E" w:rsidRPr="007F66A7" w14:paraId="76261D12" w14:textId="77777777">
        <w:tc>
          <w:tcPr>
            <w:tcW w:w="4741" w:type="dxa"/>
            <w:tcBorders>
              <w:top w:val="nil"/>
              <w:bottom w:val="nil"/>
            </w:tcBorders>
          </w:tcPr>
          <w:p w14:paraId="4442317F" w14:textId="77777777" w:rsidR="0018428E" w:rsidRPr="007F66A7" w:rsidRDefault="0018428E">
            <w:pPr>
              <w:pStyle w:val="COMTabletext"/>
            </w:pPr>
            <w:r w:rsidRPr="007F66A7">
              <w:t>- 6 months</w:t>
            </w:r>
          </w:p>
        </w:tc>
        <w:tc>
          <w:tcPr>
            <w:tcW w:w="2267" w:type="dxa"/>
            <w:tcBorders>
              <w:top w:val="nil"/>
              <w:bottom w:val="nil"/>
            </w:tcBorders>
          </w:tcPr>
          <w:p w14:paraId="3A71B485" w14:textId="77777777" w:rsidR="0018428E" w:rsidRPr="007F66A7" w:rsidRDefault="0018428E">
            <w:pPr>
              <w:pStyle w:val="COMTabletext"/>
              <w:jc w:val="center"/>
            </w:pPr>
            <w:r w:rsidRPr="007F66A7">
              <w:t>95.5 (93.6, 96.9)</w:t>
            </w:r>
          </w:p>
        </w:tc>
        <w:tc>
          <w:tcPr>
            <w:tcW w:w="2009" w:type="dxa"/>
            <w:tcBorders>
              <w:top w:val="nil"/>
              <w:bottom w:val="nil"/>
            </w:tcBorders>
          </w:tcPr>
          <w:p w14:paraId="372734EC" w14:textId="77777777" w:rsidR="0018428E" w:rsidRPr="007F66A7" w:rsidRDefault="0018428E">
            <w:pPr>
              <w:pStyle w:val="COMTabletext"/>
              <w:jc w:val="center"/>
            </w:pPr>
            <w:r w:rsidRPr="007F66A7">
              <w:t>93.5 (91.3, 95.1)</w:t>
            </w:r>
          </w:p>
        </w:tc>
      </w:tr>
      <w:tr w:rsidR="0018428E" w:rsidRPr="007F66A7" w14:paraId="4F869DDF" w14:textId="77777777">
        <w:tc>
          <w:tcPr>
            <w:tcW w:w="4741" w:type="dxa"/>
            <w:tcBorders>
              <w:top w:val="nil"/>
              <w:bottom w:val="nil"/>
            </w:tcBorders>
          </w:tcPr>
          <w:p w14:paraId="2F36257D" w14:textId="77777777" w:rsidR="0018428E" w:rsidRPr="007F66A7" w:rsidRDefault="0018428E">
            <w:pPr>
              <w:pStyle w:val="COMTabletext"/>
            </w:pPr>
            <w:r w:rsidRPr="007F66A7">
              <w:t>- 1 year</w:t>
            </w:r>
          </w:p>
        </w:tc>
        <w:tc>
          <w:tcPr>
            <w:tcW w:w="2267" w:type="dxa"/>
            <w:tcBorders>
              <w:top w:val="nil"/>
              <w:bottom w:val="nil"/>
            </w:tcBorders>
          </w:tcPr>
          <w:p w14:paraId="4B490041" w14:textId="77777777" w:rsidR="0018428E" w:rsidRPr="007F66A7" w:rsidRDefault="0018428E">
            <w:pPr>
              <w:pStyle w:val="COMTabletext"/>
              <w:jc w:val="center"/>
            </w:pPr>
            <w:r w:rsidRPr="007F66A7">
              <w:t>83.3 (80.2, 86.0)</w:t>
            </w:r>
          </w:p>
        </w:tc>
        <w:tc>
          <w:tcPr>
            <w:tcW w:w="2009" w:type="dxa"/>
            <w:tcBorders>
              <w:top w:val="nil"/>
              <w:bottom w:val="nil"/>
            </w:tcBorders>
          </w:tcPr>
          <w:p w14:paraId="4A9BA145" w14:textId="77777777" w:rsidR="0018428E" w:rsidRPr="007F66A7" w:rsidRDefault="0018428E">
            <w:pPr>
              <w:pStyle w:val="COMTabletext"/>
              <w:jc w:val="center"/>
            </w:pPr>
            <w:r w:rsidRPr="007F66A7">
              <w:t>76.8 (73.4, 79.9)</w:t>
            </w:r>
          </w:p>
        </w:tc>
      </w:tr>
      <w:tr w:rsidR="0018428E" w:rsidRPr="007F66A7" w14:paraId="23CF7803" w14:textId="77777777">
        <w:tc>
          <w:tcPr>
            <w:tcW w:w="4741" w:type="dxa"/>
            <w:tcBorders>
              <w:top w:val="nil"/>
              <w:bottom w:val="nil"/>
            </w:tcBorders>
          </w:tcPr>
          <w:p w14:paraId="7A634AA0" w14:textId="77777777" w:rsidR="0018428E" w:rsidRPr="007F66A7" w:rsidRDefault="0018428E">
            <w:pPr>
              <w:pStyle w:val="COMTabletext"/>
            </w:pPr>
            <w:r w:rsidRPr="007F66A7">
              <w:t>- 2 years</w:t>
            </w:r>
          </w:p>
        </w:tc>
        <w:tc>
          <w:tcPr>
            <w:tcW w:w="2267" w:type="dxa"/>
            <w:tcBorders>
              <w:top w:val="nil"/>
              <w:bottom w:val="nil"/>
            </w:tcBorders>
          </w:tcPr>
          <w:p w14:paraId="4E32DB6D" w14:textId="77777777" w:rsidR="0018428E" w:rsidRPr="007F66A7" w:rsidRDefault="0018428E">
            <w:pPr>
              <w:pStyle w:val="COMTabletext"/>
              <w:jc w:val="center"/>
            </w:pPr>
            <w:r w:rsidRPr="007F66A7">
              <w:t>81.1 (77.9, 83.9)</w:t>
            </w:r>
          </w:p>
        </w:tc>
        <w:tc>
          <w:tcPr>
            <w:tcW w:w="2009" w:type="dxa"/>
            <w:tcBorders>
              <w:top w:val="nil"/>
              <w:bottom w:val="nil"/>
            </w:tcBorders>
          </w:tcPr>
          <w:p w14:paraId="1018D5D1" w14:textId="77777777" w:rsidR="0018428E" w:rsidRPr="007F66A7" w:rsidRDefault="0018428E">
            <w:pPr>
              <w:pStyle w:val="COMTabletext"/>
              <w:jc w:val="center"/>
            </w:pPr>
            <w:r w:rsidRPr="007F66A7">
              <w:t>74.3 (70.7, 77.5)</w:t>
            </w:r>
          </w:p>
        </w:tc>
      </w:tr>
      <w:tr w:rsidR="0018428E" w:rsidRPr="007F66A7" w14:paraId="0CE00D81" w14:textId="77777777">
        <w:tc>
          <w:tcPr>
            <w:tcW w:w="4741" w:type="dxa"/>
            <w:tcBorders>
              <w:top w:val="nil"/>
              <w:bottom w:val="nil"/>
            </w:tcBorders>
          </w:tcPr>
          <w:p w14:paraId="693BD0B2" w14:textId="77777777" w:rsidR="0018428E" w:rsidRPr="007F66A7" w:rsidRDefault="0018428E">
            <w:pPr>
              <w:pStyle w:val="COMTabletext"/>
            </w:pPr>
            <w:r w:rsidRPr="007F66A7">
              <w:t>- 3 years</w:t>
            </w:r>
          </w:p>
        </w:tc>
        <w:tc>
          <w:tcPr>
            <w:tcW w:w="2267" w:type="dxa"/>
            <w:tcBorders>
              <w:top w:val="nil"/>
              <w:bottom w:val="nil"/>
            </w:tcBorders>
          </w:tcPr>
          <w:p w14:paraId="36C2330D" w14:textId="77777777" w:rsidR="0018428E" w:rsidRPr="007F66A7" w:rsidRDefault="0018428E">
            <w:pPr>
              <w:pStyle w:val="COMTabletext"/>
              <w:jc w:val="center"/>
            </w:pPr>
            <w:r w:rsidRPr="007F66A7">
              <w:t>80.1 (76.8, 83.0)</w:t>
            </w:r>
          </w:p>
        </w:tc>
        <w:tc>
          <w:tcPr>
            <w:tcW w:w="2009" w:type="dxa"/>
            <w:tcBorders>
              <w:top w:val="nil"/>
              <w:bottom w:val="nil"/>
            </w:tcBorders>
          </w:tcPr>
          <w:p w14:paraId="532D5343" w14:textId="77777777" w:rsidR="0018428E" w:rsidRPr="007F66A7" w:rsidRDefault="0018428E">
            <w:pPr>
              <w:pStyle w:val="COMTabletext"/>
              <w:jc w:val="center"/>
            </w:pPr>
            <w:r w:rsidRPr="007F66A7">
              <w:t>72.9 (69.3, 76.2)</w:t>
            </w:r>
          </w:p>
        </w:tc>
      </w:tr>
      <w:tr w:rsidR="0018428E" w:rsidRPr="007F66A7" w14:paraId="61F705C4" w14:textId="77777777">
        <w:tc>
          <w:tcPr>
            <w:tcW w:w="4741" w:type="dxa"/>
            <w:tcBorders>
              <w:top w:val="nil"/>
              <w:bottom w:val="nil"/>
            </w:tcBorders>
          </w:tcPr>
          <w:p w14:paraId="0A72D161" w14:textId="77777777" w:rsidR="0018428E" w:rsidRPr="007F66A7" w:rsidRDefault="0018428E">
            <w:pPr>
              <w:pStyle w:val="COMTabletext"/>
            </w:pPr>
            <w:r w:rsidRPr="007F66A7">
              <w:t>- 7 years</w:t>
            </w:r>
          </w:p>
        </w:tc>
        <w:tc>
          <w:tcPr>
            <w:tcW w:w="2267" w:type="dxa"/>
            <w:tcBorders>
              <w:top w:val="nil"/>
              <w:bottom w:val="nil"/>
            </w:tcBorders>
          </w:tcPr>
          <w:p w14:paraId="71D71C99" w14:textId="77777777" w:rsidR="0018428E" w:rsidRPr="007F66A7" w:rsidRDefault="0018428E">
            <w:pPr>
              <w:pStyle w:val="COMTabletext"/>
              <w:jc w:val="center"/>
            </w:pPr>
            <w:r w:rsidRPr="007F66A7">
              <w:t>78.7 (75.3, 81.7)</w:t>
            </w:r>
          </w:p>
        </w:tc>
        <w:tc>
          <w:tcPr>
            <w:tcW w:w="2009" w:type="dxa"/>
            <w:tcBorders>
              <w:top w:val="nil"/>
              <w:bottom w:val="nil"/>
            </w:tcBorders>
          </w:tcPr>
          <w:p w14:paraId="647119C8" w14:textId="77777777" w:rsidR="0018428E" w:rsidRPr="007F66A7" w:rsidRDefault="0018428E">
            <w:pPr>
              <w:pStyle w:val="COMTabletext"/>
              <w:jc w:val="center"/>
            </w:pPr>
            <w:r w:rsidRPr="007F66A7">
              <w:t>70.7 (67.0, 74.1)</w:t>
            </w:r>
          </w:p>
        </w:tc>
      </w:tr>
      <w:tr w:rsidR="0018428E" w:rsidRPr="007F66A7" w14:paraId="7F3F4774" w14:textId="77777777">
        <w:tc>
          <w:tcPr>
            <w:tcW w:w="4741" w:type="dxa"/>
            <w:tcBorders>
              <w:top w:val="nil"/>
            </w:tcBorders>
          </w:tcPr>
          <w:p w14:paraId="5CA5108F" w14:textId="77777777" w:rsidR="0018428E" w:rsidRPr="007F66A7" w:rsidRDefault="0018428E">
            <w:pPr>
              <w:pStyle w:val="COMTabletext"/>
            </w:pPr>
            <w:r w:rsidRPr="007F66A7">
              <w:t>- 8 years</w:t>
            </w:r>
          </w:p>
        </w:tc>
        <w:tc>
          <w:tcPr>
            <w:tcW w:w="2267" w:type="dxa"/>
            <w:tcBorders>
              <w:top w:val="nil"/>
            </w:tcBorders>
          </w:tcPr>
          <w:p w14:paraId="43792E6B" w14:textId="77777777" w:rsidR="0018428E" w:rsidRPr="007F66A7" w:rsidRDefault="0018428E">
            <w:pPr>
              <w:pStyle w:val="COMTabletext"/>
              <w:jc w:val="center"/>
            </w:pPr>
            <w:r w:rsidRPr="007F66A7">
              <w:t>78.7 (75.3, 81.7)</w:t>
            </w:r>
          </w:p>
        </w:tc>
        <w:tc>
          <w:tcPr>
            <w:tcW w:w="2009" w:type="dxa"/>
            <w:tcBorders>
              <w:top w:val="nil"/>
            </w:tcBorders>
          </w:tcPr>
          <w:p w14:paraId="1AF68B00" w14:textId="77777777" w:rsidR="0018428E" w:rsidRPr="007F66A7" w:rsidRDefault="0018428E">
            <w:pPr>
              <w:pStyle w:val="COMTabletext"/>
              <w:jc w:val="center"/>
            </w:pPr>
            <w:r w:rsidRPr="007F66A7">
              <w:t>70.7 (67.0, 74.1)</w:t>
            </w:r>
          </w:p>
        </w:tc>
      </w:tr>
      <w:tr w:rsidR="0018428E" w:rsidRPr="007F66A7" w14:paraId="1FE40080" w14:textId="77777777">
        <w:tc>
          <w:tcPr>
            <w:tcW w:w="4741" w:type="dxa"/>
          </w:tcPr>
          <w:p w14:paraId="39A51FC8" w14:textId="77777777" w:rsidR="0018428E" w:rsidRPr="007F66A7" w:rsidRDefault="0018428E">
            <w:pPr>
              <w:pStyle w:val="COMTabletext"/>
            </w:pPr>
            <w:r w:rsidRPr="007F66A7">
              <w:t>Hazard ratio (95% CI)</w:t>
            </w:r>
          </w:p>
        </w:tc>
        <w:tc>
          <w:tcPr>
            <w:tcW w:w="4276" w:type="dxa"/>
            <w:gridSpan w:val="2"/>
            <w:vAlign w:val="center"/>
          </w:tcPr>
          <w:p w14:paraId="0EC11234" w14:textId="77777777" w:rsidR="0018428E" w:rsidRPr="007F66A7" w:rsidRDefault="0018428E">
            <w:pPr>
              <w:pStyle w:val="COMTabletext"/>
              <w:jc w:val="center"/>
            </w:pPr>
            <w:r w:rsidRPr="007F66A7">
              <w:t xml:space="preserve">0.704 (0.564, 0.880) </w:t>
            </w:r>
            <w:r w:rsidRPr="007F66A7">
              <w:rPr>
                <w:vertAlign w:val="superscript"/>
              </w:rPr>
              <w:t>c</w:t>
            </w:r>
          </w:p>
        </w:tc>
      </w:tr>
    </w:tbl>
    <w:p w14:paraId="08F3FD67" w14:textId="77777777" w:rsidR="0018428E" w:rsidRPr="007F66A7" w:rsidRDefault="0018428E" w:rsidP="0018428E">
      <w:pPr>
        <w:pStyle w:val="COMTablefooter"/>
      </w:pPr>
      <w:r w:rsidRPr="007F66A7">
        <w:t>Source: Tables 2.16, p81 of the resubmission; Table 11.g, p108 of the ECHELON-1 clinical study report and Table 3.n, p51 of the ECHELON-1 clinical study report addendum 1; Table 3.n, p51 of the ECHELON-1 clinical study report addendum 3</w:t>
      </w:r>
    </w:p>
    <w:p w14:paraId="134D1629" w14:textId="77777777" w:rsidR="0018428E" w:rsidRPr="007F66A7" w:rsidRDefault="0018428E" w:rsidP="0018428E">
      <w:pPr>
        <w:pStyle w:val="COMTablefooter"/>
      </w:pPr>
      <w:r w:rsidRPr="007F66A7">
        <w:t xml:space="preserve">Abbreviations: A+AVD, brentuximab vedotin plus doxorubicin, vinblastine, dacarbazine; ABVD, doxorubicin, bleomycin, vinblastine, and dacarbazine; CI, confidence interval; </w:t>
      </w:r>
      <w:proofErr w:type="spellStart"/>
      <w:r w:rsidRPr="007F66A7">
        <w:t>mPFS</w:t>
      </w:r>
      <w:proofErr w:type="spellEnd"/>
      <w:r w:rsidRPr="007F66A7">
        <w:t>, modified progression-free survival</w:t>
      </w:r>
    </w:p>
    <w:p w14:paraId="0F57F026" w14:textId="77777777" w:rsidR="0018428E" w:rsidRPr="007F66A7" w:rsidRDefault="0018428E" w:rsidP="0018428E">
      <w:pPr>
        <w:pStyle w:val="COMTablefooter"/>
        <w:rPr>
          <w:b/>
          <w:bCs/>
        </w:rPr>
      </w:pPr>
      <w:r w:rsidRPr="007F66A7">
        <w:rPr>
          <w:b/>
          <w:bCs/>
        </w:rPr>
        <w:t xml:space="preserve">Bolded </w:t>
      </w:r>
      <w:r w:rsidRPr="007F66A7">
        <w:t>results were statistically significant</w:t>
      </w:r>
    </w:p>
    <w:p w14:paraId="3BA49FB2" w14:textId="77777777" w:rsidR="0018428E" w:rsidRPr="007F66A7" w:rsidRDefault="0018428E" w:rsidP="0018428E">
      <w:pPr>
        <w:pStyle w:val="COMTablefooter"/>
      </w:pPr>
      <w:r w:rsidRPr="007F66A7">
        <w:rPr>
          <w:vertAlign w:val="superscript"/>
        </w:rPr>
        <w:t>a</w:t>
      </w:r>
      <w:r w:rsidRPr="007F66A7">
        <w:t xml:space="preserve"> Noncomplete response was defined as a Deauville score of ≤3 at the end-of-treatment PET scan</w:t>
      </w:r>
    </w:p>
    <w:p w14:paraId="358F4ADA" w14:textId="77777777" w:rsidR="0018428E" w:rsidRPr="007F66A7" w:rsidRDefault="0018428E" w:rsidP="0018428E">
      <w:pPr>
        <w:pStyle w:val="COMTablefooter"/>
      </w:pPr>
      <w:r w:rsidRPr="007F66A7">
        <w:rPr>
          <w:vertAlign w:val="superscript"/>
        </w:rPr>
        <w:t>b</w:t>
      </w:r>
      <w:r w:rsidRPr="007F66A7">
        <w:t xml:space="preserve"> The primary reason for censoring was no documented </w:t>
      </w:r>
      <w:proofErr w:type="spellStart"/>
      <w:r w:rsidRPr="007F66A7">
        <w:t>mPFS</w:t>
      </w:r>
      <w:proofErr w:type="spellEnd"/>
      <w:r w:rsidRPr="007F66A7">
        <w:t xml:space="preserve"> event at the time of analysis</w:t>
      </w:r>
    </w:p>
    <w:p w14:paraId="55376935" w14:textId="77777777" w:rsidR="0018428E" w:rsidRPr="007F66A7" w:rsidRDefault="0018428E" w:rsidP="0018428E">
      <w:pPr>
        <w:pStyle w:val="COMTablefooter"/>
      </w:pPr>
      <w:r w:rsidRPr="007F66A7">
        <w:rPr>
          <w:vertAlign w:val="superscript"/>
        </w:rPr>
        <w:t>c</w:t>
      </w:r>
      <w:r w:rsidRPr="007F66A7">
        <w:t xml:space="preserve"> The 95% CI was descriptive and unadjusted for multiplicity</w:t>
      </w:r>
    </w:p>
    <w:p w14:paraId="0D7F74A4" w14:textId="7B8F15C2" w:rsidR="000A34BC" w:rsidRPr="007F66A7" w:rsidRDefault="000A34BC" w:rsidP="0018428E">
      <w:pPr>
        <w:pStyle w:val="COMTablefooter"/>
      </w:pPr>
      <w:r w:rsidRPr="007F66A7">
        <w:t>Note: Blue shading delineates data presented in the March 2024 submission</w:t>
      </w:r>
    </w:p>
    <w:p w14:paraId="409D3828" w14:textId="1D047931" w:rsidR="0018428E" w:rsidRPr="007F66A7" w:rsidRDefault="00B07973" w:rsidP="006B6B17">
      <w:pPr>
        <w:pStyle w:val="COMexecsummnumbered"/>
      </w:pPr>
      <w:r w:rsidRPr="007F66A7">
        <w:lastRenderedPageBreak/>
        <w:fldChar w:fldCharType="begin"/>
      </w:r>
      <w:r w:rsidRPr="007F66A7">
        <w:instrText xml:space="preserve"> REF _Ref197700506 \h </w:instrText>
      </w:r>
      <w:r w:rsidRPr="007F66A7">
        <w:fldChar w:fldCharType="separate"/>
      </w:r>
      <w:r w:rsidR="00293B06" w:rsidRPr="007F66A7">
        <w:t xml:space="preserve">Figure </w:t>
      </w:r>
      <w:r w:rsidR="00293B06">
        <w:rPr>
          <w:noProof/>
        </w:rPr>
        <w:t>1</w:t>
      </w:r>
      <w:r w:rsidRPr="007F66A7">
        <w:fldChar w:fldCharType="end"/>
      </w:r>
      <w:r w:rsidRPr="007F66A7">
        <w:t xml:space="preserve"> </w:t>
      </w:r>
      <w:r w:rsidR="001B6B89" w:rsidRPr="007F66A7">
        <w:t>presents the Kaplan-Meier plot for investigator-assessed modified progression-free survival based on the March 2023 data cut.</w:t>
      </w:r>
    </w:p>
    <w:p w14:paraId="0EC2B39F" w14:textId="20046EBB" w:rsidR="00B07973" w:rsidRPr="007F66A7" w:rsidRDefault="00B07973" w:rsidP="00B07973">
      <w:pPr>
        <w:pStyle w:val="COMtablefigcaption"/>
      </w:pPr>
      <w:bookmarkStart w:id="26" w:name="_Ref197700506"/>
      <w:r w:rsidRPr="007F66A7">
        <w:t xml:space="preserve">Figure </w:t>
      </w:r>
      <w:r w:rsidR="006A25C4">
        <w:fldChar w:fldCharType="begin"/>
      </w:r>
      <w:r w:rsidR="006A25C4">
        <w:instrText xml:space="preserve"> SEQ Figure \* ARABIC </w:instrText>
      </w:r>
      <w:r w:rsidR="006A25C4">
        <w:fldChar w:fldCharType="separate"/>
      </w:r>
      <w:r w:rsidR="00293B06">
        <w:rPr>
          <w:noProof/>
        </w:rPr>
        <w:t>1</w:t>
      </w:r>
      <w:r w:rsidR="006A25C4">
        <w:fldChar w:fldCharType="end"/>
      </w:r>
      <w:bookmarkEnd w:id="26"/>
      <w:r w:rsidRPr="007F66A7">
        <w:t>: Modified progression-free survival, investigator-assessed (ITT population, March 2023 data cut)</w:t>
      </w:r>
    </w:p>
    <w:p w14:paraId="16D81999" w14:textId="77777777" w:rsidR="001B6B89" w:rsidRPr="007F66A7" w:rsidRDefault="001B6B89" w:rsidP="001B6B89">
      <w:pPr>
        <w:pStyle w:val="COMTableheadingrow"/>
        <w:rPr>
          <w:lang w:val="en-AU"/>
        </w:rPr>
      </w:pPr>
      <w:r w:rsidRPr="007F66A7">
        <w:rPr>
          <w:noProof/>
          <w:lang w:val="en-AU"/>
        </w:rPr>
        <w:drawing>
          <wp:inline distT="0" distB="0" distL="0" distR="0" wp14:anchorId="056FE450" wp14:editId="40D3F3F6">
            <wp:extent cx="5721927" cy="2748372"/>
            <wp:effectExtent l="0" t="0" r="0" b="0"/>
            <wp:docPr id="2060306736" name="Picture 1" descr="Figure 1: Modified progression-free survival, investigator-assessed (ITT population, March 2023 data 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06736" name="Picture 1" descr="Figure 1: Modified progression-free survival, investigator-assessed (ITT population, March 2023 data cu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6996" cy="2760413"/>
                    </a:xfrm>
                    <a:prstGeom prst="rect">
                      <a:avLst/>
                    </a:prstGeom>
                    <a:noFill/>
                  </pic:spPr>
                </pic:pic>
              </a:graphicData>
            </a:graphic>
          </wp:inline>
        </w:drawing>
      </w:r>
    </w:p>
    <w:p w14:paraId="7B5AC09F" w14:textId="77777777" w:rsidR="001B6B89" w:rsidRPr="007F66A7" w:rsidRDefault="001B6B89" w:rsidP="001B6B89">
      <w:pPr>
        <w:pStyle w:val="COMTablefooter"/>
      </w:pPr>
      <w:r w:rsidRPr="007F66A7">
        <w:t>Source: Figure 2.5, p84 of the resubmission</w:t>
      </w:r>
    </w:p>
    <w:p w14:paraId="639C7CE2" w14:textId="77777777" w:rsidR="001B6B89" w:rsidRPr="007F66A7" w:rsidRDefault="001B6B89" w:rsidP="001B6B89">
      <w:pPr>
        <w:pStyle w:val="COMTablefooter"/>
      </w:pPr>
      <w:r w:rsidRPr="007F66A7">
        <w:t>Abbreviations: A+AVD, brentuximab vedotin plus doxorubicin, vinblastine, dacarbazine; ABVD, doxorubicin, bleomycin, vinblastine, and dacarbazine; CI, confidence interval; ITT, intent to treat</w:t>
      </w:r>
    </w:p>
    <w:p w14:paraId="313E139B" w14:textId="3CBC9B93" w:rsidR="00B34FE2" w:rsidRPr="007F66A7" w:rsidRDefault="004A2DFF" w:rsidP="004A2DFF">
      <w:pPr>
        <w:pStyle w:val="COMexecsummnumbered"/>
      </w:pPr>
      <w:r w:rsidRPr="007F66A7">
        <w:t>Median modified progression-free survival was not reached in either treatment arm. For the primary analysis period (April 2017 cut-off), modified progression-free survival was statistically significantly improved in the A+AVD group compared to the ABVD group. Results based on later data cuts (June 2021 and March 2023) also favoured A+AVD, with greater numerical benefit compared to results from the primary analysis period. The PBAC previously considered that results from later data cuts that are not independently reviewed may be subject to bias (para 7.7, brentuximab vedotin PSD, March 2024 PBAC meeting).</w:t>
      </w:r>
    </w:p>
    <w:p w14:paraId="6BFCC41F" w14:textId="644BB398" w:rsidR="00A34BAB" w:rsidRPr="007F66A7" w:rsidRDefault="00EB2990" w:rsidP="004A2DFF">
      <w:pPr>
        <w:pStyle w:val="COMexecsummnumbered"/>
      </w:pPr>
      <w:r w:rsidRPr="007F66A7">
        <w:t>The trial included pre-specified subgroup analyses for modified progression-free survival (primary analysis period only)</w:t>
      </w:r>
      <w:r w:rsidR="00CA66E1" w:rsidRPr="007F66A7">
        <w:t xml:space="preserve">. Almost all subgroups demonstrated a consistent trend, with results favouring patients in the A+AVD arm compared to the ABVD arm (HR &lt;1). However, there were subgroups where the hazard ratio was ≥1 including patients aged ≥60 years, patients aged ≥65 years and patients with no </w:t>
      </w:r>
      <w:proofErr w:type="spellStart"/>
      <w:r w:rsidR="00CA66E1" w:rsidRPr="007F66A7">
        <w:t>extranodal</w:t>
      </w:r>
      <w:proofErr w:type="spellEnd"/>
      <w:r w:rsidR="00CA66E1" w:rsidRPr="007F66A7">
        <w:t xml:space="preserve"> sites. There was also a numerically greater benefit for patients with stage IV disease treated with A+AVD (28.9% relative risk reduction) compared to patients with stage III disease (7.8% relative risk reduction).</w:t>
      </w:r>
      <w:r w:rsidR="00B50418" w:rsidRPr="007F66A7">
        <w:t xml:space="preserve"> The </w:t>
      </w:r>
      <w:r w:rsidR="004B16CA" w:rsidRPr="007F66A7">
        <w:t xml:space="preserve">evaluation considered that the </w:t>
      </w:r>
      <w:r w:rsidR="00B50418" w:rsidRPr="007F66A7">
        <w:t>magnitude of benefit of A+AVD in patients aged ≥60 years and patients with stage III disease is uncertain, however, the analyses were not powered to detect statistically significant differences. No interaction testing was performed.</w:t>
      </w:r>
    </w:p>
    <w:p w14:paraId="5DC65D84" w14:textId="22CBCC06" w:rsidR="000F16B5" w:rsidRPr="007F66A7" w:rsidRDefault="00B07973" w:rsidP="00A9424F">
      <w:pPr>
        <w:pStyle w:val="COMexecsummnumbered"/>
      </w:pPr>
      <w:r w:rsidRPr="007F66A7">
        <w:lastRenderedPageBreak/>
        <w:fldChar w:fldCharType="begin"/>
      </w:r>
      <w:r w:rsidRPr="007F66A7">
        <w:instrText xml:space="preserve"> REF _Ref197700552 \h </w:instrText>
      </w:r>
      <w:r w:rsidRPr="007F66A7">
        <w:fldChar w:fldCharType="separate"/>
      </w:r>
      <w:r w:rsidR="00293B06" w:rsidRPr="007F66A7">
        <w:t xml:space="preserve">Table </w:t>
      </w:r>
      <w:r w:rsidR="00293B06">
        <w:rPr>
          <w:noProof/>
        </w:rPr>
        <w:t>6</w:t>
      </w:r>
      <w:r w:rsidRPr="007F66A7">
        <w:fldChar w:fldCharType="end"/>
      </w:r>
      <w:r w:rsidRPr="007F66A7">
        <w:t xml:space="preserve"> </w:t>
      </w:r>
      <w:r w:rsidR="00C5191E" w:rsidRPr="007F66A7">
        <w:t>presents</w:t>
      </w:r>
      <w:r w:rsidR="0095545E" w:rsidRPr="007F66A7">
        <w:t xml:space="preserve"> a summary of overall survival from the primary analysis period (April 2017 data cut), second interim analysis (June 2021 data cut) and final analysis (March 2023 data cut). </w:t>
      </w:r>
    </w:p>
    <w:p w14:paraId="650A4616" w14:textId="4D9A0381" w:rsidR="00A504A9" w:rsidRPr="007F66A7" w:rsidRDefault="00B07973" w:rsidP="00A504A9">
      <w:pPr>
        <w:pStyle w:val="COMtablefigcaption"/>
      </w:pPr>
      <w:bookmarkStart w:id="27" w:name="_Ref197700552"/>
      <w:r w:rsidRPr="007F66A7">
        <w:t xml:space="preserve">Table </w:t>
      </w:r>
      <w:r w:rsidR="006A25C4">
        <w:fldChar w:fldCharType="begin"/>
      </w:r>
      <w:r w:rsidR="006A25C4">
        <w:instrText xml:space="preserve"> SEQ Table \* ARABIC </w:instrText>
      </w:r>
      <w:r w:rsidR="006A25C4">
        <w:fldChar w:fldCharType="separate"/>
      </w:r>
      <w:r w:rsidR="00293B06">
        <w:rPr>
          <w:noProof/>
        </w:rPr>
        <w:t>6</w:t>
      </w:r>
      <w:r w:rsidR="006A25C4">
        <w:fldChar w:fldCharType="end"/>
      </w:r>
      <w:bookmarkEnd w:id="27"/>
      <w:r w:rsidRPr="007F66A7">
        <w:t>: Overall survival in ECHELON-1</w:t>
      </w:r>
    </w:p>
    <w:tbl>
      <w:tblPr>
        <w:tblStyle w:val="TableGrid"/>
        <w:tblW w:w="0" w:type="auto"/>
        <w:tblLook w:val="04A0" w:firstRow="1" w:lastRow="0" w:firstColumn="1" w:lastColumn="0" w:noHBand="0" w:noVBand="1"/>
        <w:tblCaption w:val="Table 6: Overall survival in ECHELON-1"/>
      </w:tblPr>
      <w:tblGrid>
        <w:gridCol w:w="4741"/>
        <w:gridCol w:w="2267"/>
        <w:gridCol w:w="2009"/>
      </w:tblGrid>
      <w:tr w:rsidR="00A504A9" w:rsidRPr="007F66A7" w14:paraId="7FD2C7E8" w14:textId="77777777">
        <w:tc>
          <w:tcPr>
            <w:tcW w:w="4741" w:type="dxa"/>
          </w:tcPr>
          <w:p w14:paraId="562F9D7F" w14:textId="77777777" w:rsidR="00A504A9" w:rsidRPr="007F66A7" w:rsidRDefault="00A504A9">
            <w:pPr>
              <w:pStyle w:val="COMTabletext"/>
            </w:pPr>
          </w:p>
        </w:tc>
        <w:tc>
          <w:tcPr>
            <w:tcW w:w="2267" w:type="dxa"/>
            <w:vAlign w:val="center"/>
          </w:tcPr>
          <w:p w14:paraId="7BB9F35D" w14:textId="77777777" w:rsidR="00A504A9" w:rsidRPr="007F66A7" w:rsidRDefault="00A504A9">
            <w:pPr>
              <w:pStyle w:val="COMTableheadingrow"/>
              <w:jc w:val="center"/>
              <w:rPr>
                <w:lang w:val="en-AU"/>
              </w:rPr>
            </w:pPr>
            <w:r w:rsidRPr="007F66A7">
              <w:rPr>
                <w:lang w:val="en-AU"/>
              </w:rPr>
              <w:t>A+AVD</w:t>
            </w:r>
          </w:p>
          <w:p w14:paraId="27BA3C02" w14:textId="77777777" w:rsidR="00A504A9" w:rsidRPr="007F66A7" w:rsidRDefault="00A504A9">
            <w:pPr>
              <w:pStyle w:val="COMTableheadingrow"/>
              <w:jc w:val="center"/>
              <w:rPr>
                <w:lang w:val="en-AU"/>
              </w:rPr>
            </w:pPr>
            <w:r w:rsidRPr="007F66A7">
              <w:rPr>
                <w:lang w:val="en-AU"/>
              </w:rPr>
              <w:t>N=664</w:t>
            </w:r>
          </w:p>
        </w:tc>
        <w:tc>
          <w:tcPr>
            <w:tcW w:w="2009" w:type="dxa"/>
            <w:vAlign w:val="center"/>
          </w:tcPr>
          <w:p w14:paraId="2E9CF112" w14:textId="77777777" w:rsidR="00A504A9" w:rsidRPr="007F66A7" w:rsidRDefault="00A504A9">
            <w:pPr>
              <w:pStyle w:val="COMTableheadingrow"/>
              <w:jc w:val="center"/>
              <w:rPr>
                <w:lang w:val="en-AU"/>
              </w:rPr>
            </w:pPr>
            <w:r w:rsidRPr="007F66A7">
              <w:rPr>
                <w:lang w:val="en-AU"/>
              </w:rPr>
              <w:t>ABVD</w:t>
            </w:r>
          </w:p>
          <w:p w14:paraId="55D8F8EF" w14:textId="77777777" w:rsidR="00A504A9" w:rsidRPr="007F66A7" w:rsidRDefault="00A504A9">
            <w:pPr>
              <w:pStyle w:val="COMTableheadingrow"/>
              <w:jc w:val="center"/>
              <w:rPr>
                <w:lang w:val="en-AU"/>
              </w:rPr>
            </w:pPr>
            <w:r w:rsidRPr="007F66A7">
              <w:rPr>
                <w:lang w:val="en-AU"/>
              </w:rPr>
              <w:t>N=670</w:t>
            </w:r>
          </w:p>
        </w:tc>
      </w:tr>
      <w:tr w:rsidR="00A504A9" w:rsidRPr="007F66A7" w14:paraId="021DDAB3" w14:textId="77777777" w:rsidTr="00240A57">
        <w:tc>
          <w:tcPr>
            <w:tcW w:w="9017" w:type="dxa"/>
            <w:gridSpan w:val="3"/>
            <w:shd w:val="clear" w:color="auto" w:fill="B8CCE4" w:themeFill="accent1" w:themeFillTint="66"/>
          </w:tcPr>
          <w:p w14:paraId="544BFC60" w14:textId="77777777" w:rsidR="00A504A9" w:rsidRPr="007F66A7" w:rsidRDefault="00A504A9">
            <w:pPr>
              <w:pStyle w:val="COMTableheadingrow"/>
              <w:rPr>
                <w:lang w:val="en-AU"/>
              </w:rPr>
            </w:pPr>
            <w:r w:rsidRPr="007F66A7">
              <w:rPr>
                <w:lang w:val="en-AU"/>
              </w:rPr>
              <w:t>Primary analysis period (April 2017 data cut)</w:t>
            </w:r>
          </w:p>
        </w:tc>
      </w:tr>
      <w:tr w:rsidR="00A504A9" w:rsidRPr="007F66A7" w14:paraId="2B032DF5" w14:textId="77777777" w:rsidTr="00240A57">
        <w:tc>
          <w:tcPr>
            <w:tcW w:w="4741" w:type="dxa"/>
            <w:shd w:val="clear" w:color="auto" w:fill="B8CCE4" w:themeFill="accent1" w:themeFillTint="66"/>
          </w:tcPr>
          <w:p w14:paraId="4E5BC71D" w14:textId="77777777" w:rsidR="00A504A9" w:rsidRPr="007F66A7" w:rsidRDefault="00A504A9">
            <w:pPr>
              <w:pStyle w:val="COMTabletext"/>
            </w:pPr>
            <w:r w:rsidRPr="007F66A7">
              <w:t>Median follow-up, months (95% CI)</w:t>
            </w:r>
          </w:p>
        </w:tc>
        <w:tc>
          <w:tcPr>
            <w:tcW w:w="226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F28552" w14:textId="77777777" w:rsidR="00A504A9" w:rsidRPr="007F66A7" w:rsidRDefault="00A504A9">
            <w:pPr>
              <w:pStyle w:val="COMTabletext"/>
              <w:jc w:val="center"/>
            </w:pPr>
            <w:r w:rsidRPr="007F66A7">
              <w:t>28.0 (26.4, 28.3)</w:t>
            </w:r>
          </w:p>
        </w:tc>
        <w:tc>
          <w:tcPr>
            <w:tcW w:w="20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F166D7" w14:textId="77777777" w:rsidR="00A504A9" w:rsidRPr="007F66A7" w:rsidRDefault="00A504A9">
            <w:pPr>
              <w:pStyle w:val="COMTabletext"/>
              <w:jc w:val="center"/>
            </w:pPr>
            <w:r w:rsidRPr="007F66A7">
              <w:t>27.5 (25.9, 28.1)</w:t>
            </w:r>
          </w:p>
        </w:tc>
      </w:tr>
      <w:tr w:rsidR="00A504A9" w:rsidRPr="007F66A7" w14:paraId="7E791344" w14:textId="77777777" w:rsidTr="00240A57">
        <w:tc>
          <w:tcPr>
            <w:tcW w:w="4741" w:type="dxa"/>
            <w:tcBorders>
              <w:bottom w:val="nil"/>
            </w:tcBorders>
            <w:shd w:val="clear" w:color="auto" w:fill="B8CCE4" w:themeFill="accent1" w:themeFillTint="66"/>
          </w:tcPr>
          <w:p w14:paraId="3406E067" w14:textId="77777777" w:rsidR="00A504A9" w:rsidRPr="007F66A7" w:rsidRDefault="00A504A9">
            <w:pPr>
              <w:pStyle w:val="COMTabletext"/>
            </w:pPr>
            <w:r w:rsidRPr="007F66A7">
              <w:t>Deaths, n (%)</w:t>
            </w:r>
          </w:p>
        </w:tc>
        <w:tc>
          <w:tcPr>
            <w:tcW w:w="2267" w:type="dxa"/>
            <w:tcBorders>
              <w:bottom w:val="nil"/>
            </w:tcBorders>
            <w:shd w:val="clear" w:color="auto" w:fill="B8CCE4" w:themeFill="accent1" w:themeFillTint="66"/>
          </w:tcPr>
          <w:p w14:paraId="06DBA571" w14:textId="77777777" w:rsidR="00A504A9" w:rsidRPr="007F66A7" w:rsidRDefault="00A504A9">
            <w:pPr>
              <w:pStyle w:val="COMTabletext"/>
              <w:jc w:val="center"/>
            </w:pPr>
            <w:r w:rsidRPr="007F66A7">
              <w:t>28 (4)</w:t>
            </w:r>
          </w:p>
        </w:tc>
        <w:tc>
          <w:tcPr>
            <w:tcW w:w="2009" w:type="dxa"/>
            <w:tcBorders>
              <w:bottom w:val="nil"/>
            </w:tcBorders>
            <w:shd w:val="clear" w:color="auto" w:fill="B8CCE4" w:themeFill="accent1" w:themeFillTint="66"/>
          </w:tcPr>
          <w:p w14:paraId="3366813F" w14:textId="77777777" w:rsidR="00A504A9" w:rsidRPr="007F66A7" w:rsidRDefault="00A504A9">
            <w:pPr>
              <w:pStyle w:val="COMTabletext"/>
              <w:jc w:val="center"/>
            </w:pPr>
            <w:r w:rsidRPr="007F66A7">
              <w:t>39 (6)</w:t>
            </w:r>
          </w:p>
        </w:tc>
      </w:tr>
      <w:tr w:rsidR="00A504A9" w:rsidRPr="007F66A7" w14:paraId="413A51B4" w14:textId="77777777" w:rsidTr="00240A57">
        <w:tc>
          <w:tcPr>
            <w:tcW w:w="4741" w:type="dxa"/>
            <w:shd w:val="clear" w:color="auto" w:fill="B8CCE4" w:themeFill="accent1" w:themeFillTint="66"/>
          </w:tcPr>
          <w:p w14:paraId="05E51F8D" w14:textId="77777777" w:rsidR="00A504A9" w:rsidRPr="007F66A7" w:rsidRDefault="00A504A9">
            <w:pPr>
              <w:pStyle w:val="COMTabletext"/>
            </w:pPr>
            <w:r w:rsidRPr="007F66A7">
              <w:t>Censored, n (%)</w:t>
            </w:r>
          </w:p>
        </w:tc>
        <w:tc>
          <w:tcPr>
            <w:tcW w:w="2267" w:type="dxa"/>
            <w:shd w:val="clear" w:color="auto" w:fill="B8CCE4" w:themeFill="accent1" w:themeFillTint="66"/>
          </w:tcPr>
          <w:p w14:paraId="41F823D6" w14:textId="77777777" w:rsidR="00A504A9" w:rsidRPr="007F66A7" w:rsidRDefault="00A504A9">
            <w:pPr>
              <w:pStyle w:val="COMTabletext"/>
              <w:jc w:val="center"/>
            </w:pPr>
            <w:r w:rsidRPr="007F66A7">
              <w:t>636 (96)</w:t>
            </w:r>
          </w:p>
        </w:tc>
        <w:tc>
          <w:tcPr>
            <w:tcW w:w="2009" w:type="dxa"/>
            <w:shd w:val="clear" w:color="auto" w:fill="B8CCE4" w:themeFill="accent1" w:themeFillTint="66"/>
          </w:tcPr>
          <w:p w14:paraId="6783AABF" w14:textId="77777777" w:rsidR="00A504A9" w:rsidRPr="007F66A7" w:rsidRDefault="00A504A9">
            <w:pPr>
              <w:pStyle w:val="COMTabletext"/>
              <w:jc w:val="center"/>
            </w:pPr>
            <w:r w:rsidRPr="007F66A7">
              <w:t>631 (94)</w:t>
            </w:r>
          </w:p>
        </w:tc>
      </w:tr>
      <w:tr w:rsidR="00A504A9" w:rsidRPr="007F66A7" w14:paraId="0772419F" w14:textId="77777777" w:rsidTr="00240A57">
        <w:tc>
          <w:tcPr>
            <w:tcW w:w="4741" w:type="dxa"/>
            <w:tcBorders>
              <w:bottom w:val="nil"/>
            </w:tcBorders>
            <w:shd w:val="clear" w:color="auto" w:fill="B8CCE4" w:themeFill="accent1" w:themeFillTint="66"/>
          </w:tcPr>
          <w:p w14:paraId="755D4AF1" w14:textId="77777777" w:rsidR="00A504A9" w:rsidRPr="007F66A7" w:rsidRDefault="00A504A9">
            <w:pPr>
              <w:pStyle w:val="COMTabletext"/>
            </w:pPr>
            <w:r w:rsidRPr="007F66A7">
              <w:t>Kaplan-Meier estimates, % (95% CI)</w:t>
            </w:r>
          </w:p>
        </w:tc>
        <w:tc>
          <w:tcPr>
            <w:tcW w:w="2267" w:type="dxa"/>
            <w:tcBorders>
              <w:bottom w:val="nil"/>
            </w:tcBorders>
            <w:shd w:val="clear" w:color="auto" w:fill="B8CCE4" w:themeFill="accent1" w:themeFillTint="66"/>
            <w:vAlign w:val="center"/>
          </w:tcPr>
          <w:p w14:paraId="1710F69D" w14:textId="77777777" w:rsidR="00A504A9" w:rsidRPr="007F66A7" w:rsidRDefault="00A504A9">
            <w:pPr>
              <w:pStyle w:val="COMTabletext"/>
              <w:jc w:val="center"/>
            </w:pPr>
          </w:p>
        </w:tc>
        <w:tc>
          <w:tcPr>
            <w:tcW w:w="2009" w:type="dxa"/>
            <w:tcBorders>
              <w:bottom w:val="nil"/>
            </w:tcBorders>
            <w:shd w:val="clear" w:color="auto" w:fill="B8CCE4" w:themeFill="accent1" w:themeFillTint="66"/>
            <w:vAlign w:val="center"/>
          </w:tcPr>
          <w:p w14:paraId="00D1B0A4" w14:textId="77777777" w:rsidR="00A504A9" w:rsidRPr="007F66A7" w:rsidRDefault="00A504A9">
            <w:pPr>
              <w:pStyle w:val="COMTabletext"/>
              <w:jc w:val="center"/>
            </w:pPr>
          </w:p>
        </w:tc>
      </w:tr>
      <w:tr w:rsidR="00A504A9" w:rsidRPr="007F66A7" w14:paraId="27479070" w14:textId="77777777" w:rsidTr="00240A57">
        <w:tc>
          <w:tcPr>
            <w:tcW w:w="4741" w:type="dxa"/>
            <w:tcBorders>
              <w:top w:val="nil"/>
              <w:bottom w:val="nil"/>
            </w:tcBorders>
            <w:shd w:val="clear" w:color="auto" w:fill="B8CCE4" w:themeFill="accent1" w:themeFillTint="66"/>
          </w:tcPr>
          <w:p w14:paraId="454C3386" w14:textId="77777777" w:rsidR="00A504A9" w:rsidRPr="007F66A7" w:rsidRDefault="00A504A9">
            <w:pPr>
              <w:pStyle w:val="COMTabletext"/>
            </w:pPr>
            <w:r w:rsidRPr="007F66A7">
              <w:t>- 6 months</w:t>
            </w:r>
          </w:p>
        </w:tc>
        <w:tc>
          <w:tcPr>
            <w:tcW w:w="2267" w:type="dxa"/>
            <w:tcBorders>
              <w:top w:val="nil"/>
              <w:bottom w:val="nil"/>
            </w:tcBorders>
            <w:shd w:val="clear" w:color="auto" w:fill="B8CCE4" w:themeFill="accent1" w:themeFillTint="66"/>
          </w:tcPr>
          <w:p w14:paraId="17617AF4" w14:textId="77777777" w:rsidR="00A504A9" w:rsidRPr="007F66A7" w:rsidRDefault="00A504A9">
            <w:pPr>
              <w:pStyle w:val="COMTabletext"/>
              <w:jc w:val="center"/>
            </w:pPr>
            <w:r w:rsidRPr="007F66A7">
              <w:t>98.3 (97.0, 99.1)</w:t>
            </w:r>
          </w:p>
        </w:tc>
        <w:tc>
          <w:tcPr>
            <w:tcW w:w="2009" w:type="dxa"/>
            <w:tcBorders>
              <w:top w:val="nil"/>
              <w:bottom w:val="nil"/>
            </w:tcBorders>
            <w:shd w:val="clear" w:color="auto" w:fill="B8CCE4" w:themeFill="accent1" w:themeFillTint="66"/>
          </w:tcPr>
          <w:p w14:paraId="11B6A794" w14:textId="77777777" w:rsidR="00A504A9" w:rsidRPr="007F66A7" w:rsidRDefault="00A504A9">
            <w:pPr>
              <w:pStyle w:val="COMTabletext"/>
              <w:jc w:val="center"/>
            </w:pPr>
            <w:r w:rsidRPr="007F66A7">
              <w:t>98.1 (96.8, 98.9)</w:t>
            </w:r>
          </w:p>
        </w:tc>
      </w:tr>
      <w:tr w:rsidR="00A504A9" w:rsidRPr="007F66A7" w14:paraId="651CBBEC" w14:textId="77777777" w:rsidTr="00240A57">
        <w:tc>
          <w:tcPr>
            <w:tcW w:w="4741" w:type="dxa"/>
            <w:tcBorders>
              <w:top w:val="nil"/>
              <w:bottom w:val="nil"/>
            </w:tcBorders>
            <w:shd w:val="clear" w:color="auto" w:fill="B8CCE4" w:themeFill="accent1" w:themeFillTint="66"/>
          </w:tcPr>
          <w:p w14:paraId="7F7CF0F3" w14:textId="77777777" w:rsidR="00A504A9" w:rsidRPr="007F66A7" w:rsidRDefault="00A504A9">
            <w:pPr>
              <w:pStyle w:val="COMTabletext"/>
            </w:pPr>
            <w:r w:rsidRPr="007F66A7">
              <w:t>- 1 year</w:t>
            </w:r>
          </w:p>
        </w:tc>
        <w:tc>
          <w:tcPr>
            <w:tcW w:w="2267" w:type="dxa"/>
            <w:tcBorders>
              <w:top w:val="nil"/>
              <w:bottom w:val="nil"/>
            </w:tcBorders>
            <w:shd w:val="clear" w:color="auto" w:fill="B8CCE4" w:themeFill="accent1" w:themeFillTint="66"/>
          </w:tcPr>
          <w:p w14:paraId="7734996D" w14:textId="77777777" w:rsidR="00A504A9" w:rsidRPr="007F66A7" w:rsidRDefault="00A504A9">
            <w:pPr>
              <w:pStyle w:val="COMTabletext"/>
              <w:jc w:val="center"/>
            </w:pPr>
            <w:r w:rsidRPr="007F66A7">
              <w:t>97.4 (95.8, 98.4)</w:t>
            </w:r>
          </w:p>
        </w:tc>
        <w:tc>
          <w:tcPr>
            <w:tcW w:w="2009" w:type="dxa"/>
            <w:tcBorders>
              <w:top w:val="nil"/>
              <w:bottom w:val="nil"/>
            </w:tcBorders>
            <w:shd w:val="clear" w:color="auto" w:fill="B8CCE4" w:themeFill="accent1" w:themeFillTint="66"/>
          </w:tcPr>
          <w:p w14:paraId="37EEF43E" w14:textId="77777777" w:rsidR="00A504A9" w:rsidRPr="007F66A7" w:rsidRDefault="00A504A9">
            <w:pPr>
              <w:pStyle w:val="COMTabletext"/>
              <w:jc w:val="center"/>
            </w:pPr>
            <w:r w:rsidRPr="007F66A7">
              <w:t>96.9 (95.2, 98.0)</w:t>
            </w:r>
          </w:p>
        </w:tc>
      </w:tr>
      <w:tr w:rsidR="00A504A9" w:rsidRPr="007F66A7" w14:paraId="6745A65E" w14:textId="77777777" w:rsidTr="00240A57">
        <w:tc>
          <w:tcPr>
            <w:tcW w:w="4741" w:type="dxa"/>
            <w:tcBorders>
              <w:top w:val="nil"/>
              <w:bottom w:val="nil"/>
            </w:tcBorders>
            <w:shd w:val="clear" w:color="auto" w:fill="B8CCE4" w:themeFill="accent1" w:themeFillTint="66"/>
          </w:tcPr>
          <w:p w14:paraId="1A623EED" w14:textId="77777777" w:rsidR="00A504A9" w:rsidRPr="007F66A7" w:rsidRDefault="00A504A9">
            <w:pPr>
              <w:pStyle w:val="COMTabletext"/>
            </w:pPr>
            <w:r w:rsidRPr="007F66A7">
              <w:t>- 2 years</w:t>
            </w:r>
          </w:p>
        </w:tc>
        <w:tc>
          <w:tcPr>
            <w:tcW w:w="2267" w:type="dxa"/>
            <w:tcBorders>
              <w:top w:val="nil"/>
              <w:bottom w:val="nil"/>
            </w:tcBorders>
            <w:shd w:val="clear" w:color="auto" w:fill="B8CCE4" w:themeFill="accent1" w:themeFillTint="66"/>
          </w:tcPr>
          <w:p w14:paraId="4614DD0B" w14:textId="77777777" w:rsidR="00A504A9" w:rsidRPr="007F66A7" w:rsidRDefault="00A504A9">
            <w:pPr>
              <w:pStyle w:val="COMTabletext"/>
              <w:jc w:val="center"/>
            </w:pPr>
            <w:r w:rsidRPr="007F66A7">
              <w:t>96.6 (94.8, 97.7)</w:t>
            </w:r>
          </w:p>
        </w:tc>
        <w:tc>
          <w:tcPr>
            <w:tcW w:w="2009" w:type="dxa"/>
            <w:tcBorders>
              <w:top w:val="nil"/>
              <w:bottom w:val="nil"/>
            </w:tcBorders>
            <w:shd w:val="clear" w:color="auto" w:fill="B8CCE4" w:themeFill="accent1" w:themeFillTint="66"/>
          </w:tcPr>
          <w:p w14:paraId="2970CBC2" w14:textId="77777777" w:rsidR="00A504A9" w:rsidRPr="007F66A7" w:rsidRDefault="00A504A9">
            <w:pPr>
              <w:pStyle w:val="COMTabletext"/>
              <w:jc w:val="center"/>
            </w:pPr>
            <w:r w:rsidRPr="007F66A7">
              <w:t>94.9 (92.9, 96.4)</w:t>
            </w:r>
          </w:p>
        </w:tc>
      </w:tr>
      <w:tr w:rsidR="00A504A9" w:rsidRPr="007F66A7" w14:paraId="6D4E1C57" w14:textId="77777777" w:rsidTr="00240A57">
        <w:tc>
          <w:tcPr>
            <w:tcW w:w="4741" w:type="dxa"/>
            <w:tcBorders>
              <w:top w:val="nil"/>
            </w:tcBorders>
            <w:shd w:val="clear" w:color="auto" w:fill="B8CCE4" w:themeFill="accent1" w:themeFillTint="66"/>
          </w:tcPr>
          <w:p w14:paraId="760C5CA1" w14:textId="77777777" w:rsidR="00A504A9" w:rsidRPr="007F66A7" w:rsidRDefault="00A504A9">
            <w:pPr>
              <w:pStyle w:val="COMTabletext"/>
            </w:pPr>
            <w:r w:rsidRPr="007F66A7">
              <w:t>- 3 years</w:t>
            </w:r>
          </w:p>
        </w:tc>
        <w:tc>
          <w:tcPr>
            <w:tcW w:w="2267" w:type="dxa"/>
            <w:tcBorders>
              <w:top w:val="nil"/>
            </w:tcBorders>
            <w:shd w:val="clear" w:color="auto" w:fill="B8CCE4" w:themeFill="accent1" w:themeFillTint="66"/>
          </w:tcPr>
          <w:p w14:paraId="534A8FB0" w14:textId="77777777" w:rsidR="00A504A9" w:rsidRPr="007F66A7" w:rsidRDefault="00A504A9">
            <w:pPr>
              <w:pStyle w:val="COMTabletext"/>
              <w:jc w:val="center"/>
            </w:pPr>
            <w:r w:rsidRPr="007F66A7">
              <w:t>94.4 (91.4, 96.4)</w:t>
            </w:r>
          </w:p>
        </w:tc>
        <w:tc>
          <w:tcPr>
            <w:tcW w:w="2009" w:type="dxa"/>
            <w:tcBorders>
              <w:top w:val="nil"/>
            </w:tcBorders>
            <w:shd w:val="clear" w:color="auto" w:fill="B8CCE4" w:themeFill="accent1" w:themeFillTint="66"/>
          </w:tcPr>
          <w:p w14:paraId="6E772EDF" w14:textId="77777777" w:rsidR="00A504A9" w:rsidRPr="007F66A7" w:rsidRDefault="00A504A9">
            <w:pPr>
              <w:pStyle w:val="COMTabletext"/>
              <w:jc w:val="center"/>
            </w:pPr>
            <w:r w:rsidRPr="007F66A7">
              <w:t>92.9 (90.1, 95.0)</w:t>
            </w:r>
          </w:p>
        </w:tc>
      </w:tr>
      <w:tr w:rsidR="00A504A9" w:rsidRPr="007F66A7" w14:paraId="7D2B3025" w14:textId="77777777" w:rsidTr="00240A57">
        <w:tc>
          <w:tcPr>
            <w:tcW w:w="4741" w:type="dxa"/>
            <w:shd w:val="clear" w:color="auto" w:fill="B8CCE4" w:themeFill="accent1" w:themeFillTint="66"/>
          </w:tcPr>
          <w:p w14:paraId="68A23535" w14:textId="77777777" w:rsidR="00A504A9" w:rsidRPr="007F66A7" w:rsidRDefault="00A504A9">
            <w:pPr>
              <w:pStyle w:val="COMTabletext"/>
            </w:pPr>
            <w:r w:rsidRPr="007F66A7">
              <w:t>Hazard ratio (95% CI)</w:t>
            </w:r>
          </w:p>
        </w:tc>
        <w:tc>
          <w:tcPr>
            <w:tcW w:w="4276" w:type="dxa"/>
            <w:gridSpan w:val="2"/>
            <w:shd w:val="clear" w:color="auto" w:fill="B8CCE4" w:themeFill="accent1" w:themeFillTint="66"/>
            <w:vAlign w:val="center"/>
          </w:tcPr>
          <w:p w14:paraId="31E018FB" w14:textId="77777777" w:rsidR="00A504A9" w:rsidRPr="007F66A7" w:rsidRDefault="00A504A9">
            <w:pPr>
              <w:pStyle w:val="COMTabletext"/>
              <w:jc w:val="center"/>
              <w:rPr>
                <w:vertAlign w:val="superscript"/>
              </w:rPr>
            </w:pPr>
            <w:r w:rsidRPr="007F66A7">
              <w:t>0.72 (0.44, 1.17)</w:t>
            </w:r>
          </w:p>
        </w:tc>
      </w:tr>
      <w:tr w:rsidR="00A504A9" w:rsidRPr="007F66A7" w14:paraId="280E1B05" w14:textId="77777777" w:rsidTr="00240A57">
        <w:tc>
          <w:tcPr>
            <w:tcW w:w="9017" w:type="dxa"/>
            <w:gridSpan w:val="3"/>
            <w:shd w:val="clear" w:color="auto" w:fill="B8CCE4" w:themeFill="accent1" w:themeFillTint="66"/>
          </w:tcPr>
          <w:p w14:paraId="7CE2E8E9" w14:textId="77777777" w:rsidR="00A504A9" w:rsidRPr="007F66A7" w:rsidRDefault="00A504A9">
            <w:pPr>
              <w:pStyle w:val="COMTableheadingrow"/>
              <w:rPr>
                <w:lang w:val="en-AU"/>
              </w:rPr>
            </w:pPr>
            <w:r w:rsidRPr="007F66A7">
              <w:rPr>
                <w:lang w:val="en-AU"/>
              </w:rPr>
              <w:t>Interim analysis (June 2021 data cut)</w:t>
            </w:r>
          </w:p>
        </w:tc>
      </w:tr>
      <w:tr w:rsidR="00A504A9" w:rsidRPr="007F66A7" w14:paraId="7181E9CB" w14:textId="77777777" w:rsidTr="00240A57">
        <w:tc>
          <w:tcPr>
            <w:tcW w:w="4741" w:type="dxa"/>
            <w:shd w:val="clear" w:color="auto" w:fill="B8CCE4" w:themeFill="accent1" w:themeFillTint="66"/>
          </w:tcPr>
          <w:p w14:paraId="402F69B4" w14:textId="77777777" w:rsidR="00A504A9" w:rsidRPr="007F66A7" w:rsidRDefault="00A504A9">
            <w:pPr>
              <w:pStyle w:val="COMTabletext"/>
            </w:pPr>
            <w:r w:rsidRPr="007F66A7">
              <w:t>Median follow-up, months (95% CI)</w:t>
            </w:r>
          </w:p>
        </w:tc>
        <w:tc>
          <w:tcPr>
            <w:tcW w:w="226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F704E4" w14:textId="77777777" w:rsidR="00A504A9" w:rsidRPr="007F66A7" w:rsidRDefault="00A504A9">
            <w:pPr>
              <w:pStyle w:val="COMTabletext"/>
              <w:jc w:val="center"/>
            </w:pPr>
            <w:r w:rsidRPr="007F66A7">
              <w:t>73.3 (72.6, 74.1)</w:t>
            </w:r>
          </w:p>
        </w:tc>
        <w:tc>
          <w:tcPr>
            <w:tcW w:w="20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838B40" w14:textId="77777777" w:rsidR="00A504A9" w:rsidRPr="007F66A7" w:rsidRDefault="00A504A9">
            <w:pPr>
              <w:pStyle w:val="COMTabletext"/>
              <w:jc w:val="center"/>
            </w:pPr>
            <w:r w:rsidRPr="007F66A7">
              <w:t>72.4 (71.1, 73.6)</w:t>
            </w:r>
          </w:p>
        </w:tc>
      </w:tr>
      <w:tr w:rsidR="00A504A9" w:rsidRPr="007F66A7" w14:paraId="7928BB42" w14:textId="77777777" w:rsidTr="00240A57">
        <w:tc>
          <w:tcPr>
            <w:tcW w:w="4741" w:type="dxa"/>
            <w:tcBorders>
              <w:bottom w:val="nil"/>
            </w:tcBorders>
            <w:shd w:val="clear" w:color="auto" w:fill="B8CCE4" w:themeFill="accent1" w:themeFillTint="66"/>
          </w:tcPr>
          <w:p w14:paraId="1FF2FEE5" w14:textId="77777777" w:rsidR="00A504A9" w:rsidRPr="007F66A7" w:rsidRDefault="00A504A9">
            <w:pPr>
              <w:pStyle w:val="COMTabletext"/>
            </w:pPr>
            <w:r w:rsidRPr="007F66A7">
              <w:t>Deaths, n (%)</w:t>
            </w:r>
          </w:p>
        </w:tc>
        <w:tc>
          <w:tcPr>
            <w:tcW w:w="2267" w:type="dxa"/>
            <w:tcBorders>
              <w:bottom w:val="nil"/>
            </w:tcBorders>
            <w:shd w:val="clear" w:color="auto" w:fill="B8CCE4" w:themeFill="accent1" w:themeFillTint="66"/>
          </w:tcPr>
          <w:p w14:paraId="48294B44" w14:textId="77777777" w:rsidR="00A504A9" w:rsidRPr="007F66A7" w:rsidRDefault="00A504A9">
            <w:pPr>
              <w:pStyle w:val="COMTabletext"/>
              <w:jc w:val="center"/>
            </w:pPr>
            <w:r w:rsidRPr="007F66A7">
              <w:t>39 (6)</w:t>
            </w:r>
          </w:p>
        </w:tc>
        <w:tc>
          <w:tcPr>
            <w:tcW w:w="2009" w:type="dxa"/>
            <w:tcBorders>
              <w:bottom w:val="nil"/>
            </w:tcBorders>
            <w:shd w:val="clear" w:color="auto" w:fill="B8CCE4" w:themeFill="accent1" w:themeFillTint="66"/>
          </w:tcPr>
          <w:p w14:paraId="733952C1" w14:textId="77777777" w:rsidR="00A504A9" w:rsidRPr="007F66A7" w:rsidRDefault="00A504A9">
            <w:pPr>
              <w:pStyle w:val="COMTabletext"/>
              <w:jc w:val="center"/>
            </w:pPr>
            <w:r w:rsidRPr="007F66A7">
              <w:t>64 (10)</w:t>
            </w:r>
          </w:p>
        </w:tc>
      </w:tr>
      <w:tr w:rsidR="00A504A9" w:rsidRPr="007F66A7" w14:paraId="1D95FE47" w14:textId="77777777" w:rsidTr="00240A57">
        <w:tc>
          <w:tcPr>
            <w:tcW w:w="4741" w:type="dxa"/>
            <w:shd w:val="clear" w:color="auto" w:fill="B8CCE4" w:themeFill="accent1" w:themeFillTint="66"/>
          </w:tcPr>
          <w:p w14:paraId="2AA4CAA4" w14:textId="77777777" w:rsidR="00A504A9" w:rsidRPr="007F66A7" w:rsidRDefault="00A504A9">
            <w:pPr>
              <w:pStyle w:val="COMTabletext"/>
            </w:pPr>
            <w:r w:rsidRPr="007F66A7">
              <w:t>Censored, n (%)</w:t>
            </w:r>
          </w:p>
        </w:tc>
        <w:tc>
          <w:tcPr>
            <w:tcW w:w="2267" w:type="dxa"/>
            <w:shd w:val="clear" w:color="auto" w:fill="B8CCE4" w:themeFill="accent1" w:themeFillTint="66"/>
          </w:tcPr>
          <w:p w14:paraId="0EFEAC34" w14:textId="77777777" w:rsidR="00A504A9" w:rsidRPr="007F66A7" w:rsidRDefault="00A504A9">
            <w:pPr>
              <w:pStyle w:val="COMTabletext"/>
              <w:jc w:val="center"/>
            </w:pPr>
            <w:r w:rsidRPr="007F66A7">
              <w:t>625 (94)</w:t>
            </w:r>
          </w:p>
        </w:tc>
        <w:tc>
          <w:tcPr>
            <w:tcW w:w="2009" w:type="dxa"/>
            <w:shd w:val="clear" w:color="auto" w:fill="B8CCE4" w:themeFill="accent1" w:themeFillTint="66"/>
          </w:tcPr>
          <w:p w14:paraId="5B210A53" w14:textId="77777777" w:rsidR="00A504A9" w:rsidRPr="007F66A7" w:rsidRDefault="00A504A9">
            <w:pPr>
              <w:pStyle w:val="COMTabletext"/>
              <w:jc w:val="center"/>
            </w:pPr>
            <w:r w:rsidRPr="007F66A7">
              <w:t>606 (90)</w:t>
            </w:r>
          </w:p>
        </w:tc>
      </w:tr>
      <w:tr w:rsidR="00A504A9" w:rsidRPr="007F66A7" w14:paraId="39BA711A" w14:textId="77777777" w:rsidTr="00240A57">
        <w:tc>
          <w:tcPr>
            <w:tcW w:w="4741" w:type="dxa"/>
            <w:tcBorders>
              <w:bottom w:val="nil"/>
            </w:tcBorders>
            <w:shd w:val="clear" w:color="auto" w:fill="B8CCE4" w:themeFill="accent1" w:themeFillTint="66"/>
          </w:tcPr>
          <w:p w14:paraId="1E48A164" w14:textId="77777777" w:rsidR="00A504A9" w:rsidRPr="007F66A7" w:rsidRDefault="00A504A9">
            <w:pPr>
              <w:pStyle w:val="COMTabletext"/>
            </w:pPr>
            <w:r w:rsidRPr="007F66A7">
              <w:t>Kaplan-Meier estimates, % (95% CI)</w:t>
            </w:r>
          </w:p>
        </w:tc>
        <w:tc>
          <w:tcPr>
            <w:tcW w:w="2267" w:type="dxa"/>
            <w:tcBorders>
              <w:bottom w:val="nil"/>
            </w:tcBorders>
            <w:shd w:val="clear" w:color="auto" w:fill="B8CCE4" w:themeFill="accent1" w:themeFillTint="66"/>
            <w:vAlign w:val="center"/>
          </w:tcPr>
          <w:p w14:paraId="63644AA0" w14:textId="77777777" w:rsidR="00A504A9" w:rsidRPr="007F66A7" w:rsidRDefault="00A504A9">
            <w:pPr>
              <w:pStyle w:val="COMTabletext"/>
              <w:jc w:val="center"/>
            </w:pPr>
          </w:p>
        </w:tc>
        <w:tc>
          <w:tcPr>
            <w:tcW w:w="2009" w:type="dxa"/>
            <w:tcBorders>
              <w:bottom w:val="nil"/>
            </w:tcBorders>
            <w:shd w:val="clear" w:color="auto" w:fill="B8CCE4" w:themeFill="accent1" w:themeFillTint="66"/>
            <w:vAlign w:val="center"/>
          </w:tcPr>
          <w:p w14:paraId="198FB90A" w14:textId="77777777" w:rsidR="00A504A9" w:rsidRPr="007F66A7" w:rsidRDefault="00A504A9">
            <w:pPr>
              <w:pStyle w:val="COMTabletext"/>
              <w:jc w:val="center"/>
            </w:pPr>
          </w:p>
        </w:tc>
      </w:tr>
      <w:tr w:rsidR="00A504A9" w:rsidRPr="007F66A7" w14:paraId="0E4B85D7" w14:textId="77777777" w:rsidTr="00240A57">
        <w:tc>
          <w:tcPr>
            <w:tcW w:w="4741" w:type="dxa"/>
            <w:tcBorders>
              <w:top w:val="nil"/>
              <w:bottom w:val="nil"/>
            </w:tcBorders>
            <w:shd w:val="clear" w:color="auto" w:fill="B8CCE4" w:themeFill="accent1" w:themeFillTint="66"/>
          </w:tcPr>
          <w:p w14:paraId="4091BC53" w14:textId="77777777" w:rsidR="00A504A9" w:rsidRPr="007F66A7" w:rsidRDefault="00A504A9">
            <w:pPr>
              <w:pStyle w:val="COMTabletext"/>
            </w:pPr>
            <w:r w:rsidRPr="007F66A7">
              <w:t>- 6 months</w:t>
            </w:r>
          </w:p>
        </w:tc>
        <w:tc>
          <w:tcPr>
            <w:tcW w:w="2267" w:type="dxa"/>
            <w:tcBorders>
              <w:top w:val="nil"/>
              <w:bottom w:val="nil"/>
            </w:tcBorders>
            <w:shd w:val="clear" w:color="auto" w:fill="B8CCE4" w:themeFill="accent1" w:themeFillTint="66"/>
          </w:tcPr>
          <w:p w14:paraId="31F299BD" w14:textId="77777777" w:rsidR="00A504A9" w:rsidRPr="007F66A7" w:rsidRDefault="00A504A9">
            <w:pPr>
              <w:pStyle w:val="COMTabletext"/>
              <w:jc w:val="center"/>
            </w:pPr>
            <w:r w:rsidRPr="007F66A7">
              <w:t>98.3 (97.0, 99.1)</w:t>
            </w:r>
          </w:p>
        </w:tc>
        <w:tc>
          <w:tcPr>
            <w:tcW w:w="2009" w:type="dxa"/>
            <w:tcBorders>
              <w:top w:val="nil"/>
              <w:bottom w:val="nil"/>
            </w:tcBorders>
            <w:shd w:val="clear" w:color="auto" w:fill="B8CCE4" w:themeFill="accent1" w:themeFillTint="66"/>
          </w:tcPr>
          <w:p w14:paraId="4300BC7B" w14:textId="77777777" w:rsidR="00A504A9" w:rsidRPr="007F66A7" w:rsidRDefault="00A504A9">
            <w:pPr>
              <w:pStyle w:val="COMTabletext"/>
              <w:jc w:val="center"/>
            </w:pPr>
            <w:r w:rsidRPr="007F66A7">
              <w:t>98.1 (96.8, 98.9)</w:t>
            </w:r>
          </w:p>
        </w:tc>
      </w:tr>
      <w:tr w:rsidR="00A504A9" w:rsidRPr="007F66A7" w14:paraId="0565ACC8" w14:textId="77777777" w:rsidTr="00240A57">
        <w:tc>
          <w:tcPr>
            <w:tcW w:w="4741" w:type="dxa"/>
            <w:tcBorders>
              <w:top w:val="nil"/>
              <w:bottom w:val="nil"/>
            </w:tcBorders>
            <w:shd w:val="clear" w:color="auto" w:fill="B8CCE4" w:themeFill="accent1" w:themeFillTint="66"/>
          </w:tcPr>
          <w:p w14:paraId="025A43B4" w14:textId="77777777" w:rsidR="00A504A9" w:rsidRPr="007F66A7" w:rsidRDefault="00A504A9">
            <w:pPr>
              <w:pStyle w:val="COMTabletext"/>
            </w:pPr>
            <w:r w:rsidRPr="007F66A7">
              <w:t>- 1 year</w:t>
            </w:r>
          </w:p>
        </w:tc>
        <w:tc>
          <w:tcPr>
            <w:tcW w:w="2267" w:type="dxa"/>
            <w:tcBorders>
              <w:top w:val="nil"/>
              <w:bottom w:val="nil"/>
            </w:tcBorders>
            <w:shd w:val="clear" w:color="auto" w:fill="B8CCE4" w:themeFill="accent1" w:themeFillTint="66"/>
          </w:tcPr>
          <w:p w14:paraId="5BE40583" w14:textId="77777777" w:rsidR="00A504A9" w:rsidRPr="007F66A7" w:rsidRDefault="00A504A9">
            <w:pPr>
              <w:pStyle w:val="COMTabletext"/>
              <w:jc w:val="center"/>
            </w:pPr>
            <w:r w:rsidRPr="007F66A7">
              <w:t>97.2 (95.7, 98.3)</w:t>
            </w:r>
          </w:p>
        </w:tc>
        <w:tc>
          <w:tcPr>
            <w:tcW w:w="2009" w:type="dxa"/>
            <w:tcBorders>
              <w:top w:val="nil"/>
              <w:bottom w:val="nil"/>
            </w:tcBorders>
            <w:shd w:val="clear" w:color="auto" w:fill="B8CCE4" w:themeFill="accent1" w:themeFillTint="66"/>
          </w:tcPr>
          <w:p w14:paraId="55B46A7A" w14:textId="77777777" w:rsidR="00A504A9" w:rsidRPr="007F66A7" w:rsidRDefault="00A504A9">
            <w:pPr>
              <w:pStyle w:val="COMTabletext"/>
              <w:jc w:val="center"/>
            </w:pPr>
            <w:r w:rsidRPr="007F66A7">
              <w:t>96.7 (95.1, 97.9)</w:t>
            </w:r>
          </w:p>
        </w:tc>
      </w:tr>
      <w:tr w:rsidR="00A504A9" w:rsidRPr="007F66A7" w14:paraId="593C92AE" w14:textId="77777777" w:rsidTr="00240A57">
        <w:tc>
          <w:tcPr>
            <w:tcW w:w="4741" w:type="dxa"/>
            <w:tcBorders>
              <w:top w:val="nil"/>
              <w:bottom w:val="nil"/>
            </w:tcBorders>
            <w:shd w:val="clear" w:color="auto" w:fill="B8CCE4" w:themeFill="accent1" w:themeFillTint="66"/>
          </w:tcPr>
          <w:p w14:paraId="28A21BB2" w14:textId="77777777" w:rsidR="00A504A9" w:rsidRPr="007F66A7" w:rsidRDefault="00A504A9">
            <w:pPr>
              <w:pStyle w:val="COMTabletext"/>
            </w:pPr>
            <w:r w:rsidRPr="007F66A7">
              <w:t>- 2 years</w:t>
            </w:r>
          </w:p>
        </w:tc>
        <w:tc>
          <w:tcPr>
            <w:tcW w:w="2267" w:type="dxa"/>
            <w:tcBorders>
              <w:top w:val="nil"/>
              <w:bottom w:val="nil"/>
            </w:tcBorders>
            <w:shd w:val="clear" w:color="auto" w:fill="B8CCE4" w:themeFill="accent1" w:themeFillTint="66"/>
          </w:tcPr>
          <w:p w14:paraId="6E0D477D" w14:textId="77777777" w:rsidR="00A504A9" w:rsidRPr="007F66A7" w:rsidRDefault="00A504A9">
            <w:pPr>
              <w:pStyle w:val="COMTabletext"/>
              <w:jc w:val="center"/>
            </w:pPr>
            <w:r w:rsidRPr="007F66A7">
              <w:t>96.5 (94.7, 97.6)</w:t>
            </w:r>
          </w:p>
        </w:tc>
        <w:tc>
          <w:tcPr>
            <w:tcW w:w="2009" w:type="dxa"/>
            <w:tcBorders>
              <w:top w:val="nil"/>
              <w:bottom w:val="nil"/>
            </w:tcBorders>
            <w:shd w:val="clear" w:color="auto" w:fill="B8CCE4" w:themeFill="accent1" w:themeFillTint="66"/>
          </w:tcPr>
          <w:p w14:paraId="0E7C7FB9" w14:textId="77777777" w:rsidR="00A504A9" w:rsidRPr="007F66A7" w:rsidRDefault="00A504A9">
            <w:pPr>
              <w:pStyle w:val="COMTabletext"/>
              <w:jc w:val="center"/>
            </w:pPr>
            <w:r w:rsidRPr="007F66A7">
              <w:t>94.7 (92.6, 96.2)</w:t>
            </w:r>
          </w:p>
        </w:tc>
      </w:tr>
      <w:tr w:rsidR="00A504A9" w:rsidRPr="007F66A7" w14:paraId="1716AC55" w14:textId="77777777" w:rsidTr="00240A57">
        <w:tc>
          <w:tcPr>
            <w:tcW w:w="4741" w:type="dxa"/>
            <w:tcBorders>
              <w:top w:val="nil"/>
              <w:bottom w:val="nil"/>
            </w:tcBorders>
            <w:shd w:val="clear" w:color="auto" w:fill="B8CCE4" w:themeFill="accent1" w:themeFillTint="66"/>
          </w:tcPr>
          <w:p w14:paraId="03D3F914" w14:textId="77777777" w:rsidR="00A504A9" w:rsidRPr="007F66A7" w:rsidRDefault="00A504A9">
            <w:pPr>
              <w:pStyle w:val="COMTabletext"/>
            </w:pPr>
            <w:r w:rsidRPr="007F66A7">
              <w:t>- 3 years</w:t>
            </w:r>
          </w:p>
        </w:tc>
        <w:tc>
          <w:tcPr>
            <w:tcW w:w="2267" w:type="dxa"/>
            <w:tcBorders>
              <w:top w:val="nil"/>
              <w:bottom w:val="nil"/>
            </w:tcBorders>
            <w:shd w:val="clear" w:color="auto" w:fill="B8CCE4" w:themeFill="accent1" w:themeFillTint="66"/>
          </w:tcPr>
          <w:p w14:paraId="76071BE6" w14:textId="77777777" w:rsidR="00A504A9" w:rsidRPr="007F66A7" w:rsidRDefault="00A504A9">
            <w:pPr>
              <w:pStyle w:val="COMTabletext"/>
              <w:jc w:val="center"/>
            </w:pPr>
            <w:r w:rsidRPr="007F66A7">
              <w:t>95.6 (93.7, 97.0)</w:t>
            </w:r>
          </w:p>
        </w:tc>
        <w:tc>
          <w:tcPr>
            <w:tcW w:w="2009" w:type="dxa"/>
            <w:tcBorders>
              <w:top w:val="nil"/>
              <w:bottom w:val="nil"/>
            </w:tcBorders>
            <w:shd w:val="clear" w:color="auto" w:fill="B8CCE4" w:themeFill="accent1" w:themeFillTint="66"/>
          </w:tcPr>
          <w:p w14:paraId="09C64A22" w14:textId="77777777" w:rsidR="00A504A9" w:rsidRPr="007F66A7" w:rsidRDefault="00A504A9">
            <w:pPr>
              <w:pStyle w:val="COMTabletext"/>
              <w:jc w:val="center"/>
            </w:pPr>
            <w:r w:rsidRPr="007F66A7">
              <w:t>93.3 (91.1, 95.0)</w:t>
            </w:r>
          </w:p>
        </w:tc>
      </w:tr>
      <w:tr w:rsidR="00A504A9" w:rsidRPr="007F66A7" w14:paraId="19B7B166" w14:textId="77777777" w:rsidTr="00240A57">
        <w:tc>
          <w:tcPr>
            <w:tcW w:w="4741" w:type="dxa"/>
            <w:tcBorders>
              <w:top w:val="nil"/>
            </w:tcBorders>
            <w:shd w:val="clear" w:color="auto" w:fill="B8CCE4" w:themeFill="accent1" w:themeFillTint="66"/>
          </w:tcPr>
          <w:p w14:paraId="5BDDF246" w14:textId="77777777" w:rsidR="00A504A9" w:rsidRPr="007F66A7" w:rsidRDefault="00A504A9">
            <w:pPr>
              <w:pStyle w:val="COMTabletext"/>
            </w:pPr>
            <w:r w:rsidRPr="007F66A7">
              <w:t>- 7 years</w:t>
            </w:r>
          </w:p>
        </w:tc>
        <w:tc>
          <w:tcPr>
            <w:tcW w:w="2267" w:type="dxa"/>
            <w:tcBorders>
              <w:top w:val="nil"/>
            </w:tcBorders>
            <w:shd w:val="clear" w:color="auto" w:fill="B8CCE4" w:themeFill="accent1" w:themeFillTint="66"/>
          </w:tcPr>
          <w:p w14:paraId="6CA44683" w14:textId="77777777" w:rsidR="00A504A9" w:rsidRPr="007F66A7" w:rsidRDefault="00A504A9">
            <w:pPr>
              <w:pStyle w:val="COMTabletext"/>
              <w:jc w:val="center"/>
            </w:pPr>
            <w:r w:rsidRPr="007F66A7">
              <w:t>93.3 (90.7, 95.2)</w:t>
            </w:r>
          </w:p>
        </w:tc>
        <w:tc>
          <w:tcPr>
            <w:tcW w:w="2009" w:type="dxa"/>
            <w:tcBorders>
              <w:top w:val="nil"/>
            </w:tcBorders>
            <w:shd w:val="clear" w:color="auto" w:fill="B8CCE4" w:themeFill="accent1" w:themeFillTint="66"/>
          </w:tcPr>
          <w:p w14:paraId="7531FCAF" w14:textId="77777777" w:rsidR="00A504A9" w:rsidRPr="007F66A7" w:rsidRDefault="00A504A9">
            <w:pPr>
              <w:pStyle w:val="COMTabletext"/>
              <w:jc w:val="center"/>
            </w:pPr>
            <w:r w:rsidRPr="007F66A7">
              <w:t>88.7 (85.6, 91.1)</w:t>
            </w:r>
          </w:p>
        </w:tc>
      </w:tr>
      <w:tr w:rsidR="00A504A9" w:rsidRPr="007F66A7" w14:paraId="2D7DC33A" w14:textId="77777777" w:rsidTr="00240A57">
        <w:tc>
          <w:tcPr>
            <w:tcW w:w="4741" w:type="dxa"/>
            <w:shd w:val="clear" w:color="auto" w:fill="B8CCE4" w:themeFill="accent1" w:themeFillTint="66"/>
          </w:tcPr>
          <w:p w14:paraId="371D5838" w14:textId="77777777" w:rsidR="00A504A9" w:rsidRPr="007F66A7" w:rsidRDefault="00A504A9">
            <w:pPr>
              <w:pStyle w:val="COMTabletext"/>
            </w:pPr>
            <w:r w:rsidRPr="007F66A7">
              <w:t>Hazard ratio (95% CI)</w:t>
            </w:r>
          </w:p>
        </w:tc>
        <w:tc>
          <w:tcPr>
            <w:tcW w:w="4276" w:type="dxa"/>
            <w:gridSpan w:val="2"/>
            <w:shd w:val="clear" w:color="auto" w:fill="B8CCE4" w:themeFill="accent1" w:themeFillTint="66"/>
          </w:tcPr>
          <w:p w14:paraId="7BCE1EBA" w14:textId="77777777" w:rsidR="00A504A9" w:rsidRPr="007F66A7" w:rsidRDefault="00A504A9">
            <w:pPr>
              <w:pStyle w:val="COMTabletext"/>
              <w:jc w:val="center"/>
              <w:rPr>
                <w:b/>
                <w:bCs w:val="0"/>
              </w:rPr>
            </w:pPr>
            <w:r w:rsidRPr="007F66A7">
              <w:rPr>
                <w:b/>
                <w:bCs w:val="0"/>
              </w:rPr>
              <w:t>0.59 (0.40, 0.88)</w:t>
            </w:r>
          </w:p>
        </w:tc>
      </w:tr>
      <w:tr w:rsidR="00A504A9" w:rsidRPr="007F66A7" w14:paraId="2FFAD2ED" w14:textId="77777777">
        <w:tc>
          <w:tcPr>
            <w:tcW w:w="9017" w:type="dxa"/>
            <w:gridSpan w:val="3"/>
          </w:tcPr>
          <w:p w14:paraId="4CB75313" w14:textId="77777777" w:rsidR="00A504A9" w:rsidRPr="007F66A7" w:rsidRDefault="00A504A9">
            <w:pPr>
              <w:pStyle w:val="COMTableheadingrow"/>
              <w:rPr>
                <w:lang w:val="en-AU"/>
              </w:rPr>
            </w:pPr>
            <w:r w:rsidRPr="007F66A7">
              <w:rPr>
                <w:lang w:val="en-AU"/>
              </w:rPr>
              <w:t>Final analysis (March 2023 data cut)</w:t>
            </w:r>
          </w:p>
        </w:tc>
      </w:tr>
      <w:tr w:rsidR="00A504A9" w:rsidRPr="007F66A7" w14:paraId="454EF63D" w14:textId="77777777">
        <w:tc>
          <w:tcPr>
            <w:tcW w:w="4741" w:type="dxa"/>
          </w:tcPr>
          <w:p w14:paraId="447A8B77" w14:textId="77777777" w:rsidR="00A504A9" w:rsidRPr="007F66A7" w:rsidRDefault="00A504A9">
            <w:pPr>
              <w:pStyle w:val="COMTabletext"/>
            </w:pPr>
            <w:r w:rsidRPr="007F66A7">
              <w:t>Median follow-up, months (95% CI)</w:t>
            </w:r>
          </w:p>
        </w:tc>
        <w:tc>
          <w:tcPr>
            <w:tcW w:w="2267" w:type="dxa"/>
            <w:tcBorders>
              <w:top w:val="single" w:sz="4" w:space="0" w:color="auto"/>
              <w:left w:val="single" w:sz="4" w:space="0" w:color="auto"/>
              <w:bottom w:val="single" w:sz="4" w:space="0" w:color="auto"/>
              <w:right w:val="single" w:sz="4" w:space="0" w:color="auto"/>
            </w:tcBorders>
          </w:tcPr>
          <w:p w14:paraId="2C452501" w14:textId="77777777" w:rsidR="00A504A9" w:rsidRPr="007F66A7" w:rsidRDefault="00A504A9">
            <w:pPr>
              <w:pStyle w:val="COMTabletext"/>
              <w:jc w:val="center"/>
            </w:pPr>
            <w:r w:rsidRPr="007F66A7">
              <w:t>90.1 (87.69, 90.81)</w:t>
            </w:r>
          </w:p>
        </w:tc>
        <w:tc>
          <w:tcPr>
            <w:tcW w:w="2009" w:type="dxa"/>
            <w:tcBorders>
              <w:top w:val="single" w:sz="4" w:space="0" w:color="auto"/>
              <w:left w:val="single" w:sz="4" w:space="0" w:color="auto"/>
              <w:bottom w:val="single" w:sz="4" w:space="0" w:color="auto"/>
              <w:right w:val="single" w:sz="4" w:space="0" w:color="auto"/>
            </w:tcBorders>
          </w:tcPr>
          <w:p w14:paraId="73A969DB" w14:textId="77777777" w:rsidR="00A504A9" w:rsidRPr="007F66A7" w:rsidRDefault="00A504A9">
            <w:pPr>
              <w:pStyle w:val="COMTabletext"/>
              <w:jc w:val="center"/>
            </w:pPr>
            <w:r w:rsidRPr="007F66A7">
              <w:t>88.3 (85.16, 89.86)</w:t>
            </w:r>
          </w:p>
        </w:tc>
      </w:tr>
      <w:tr w:rsidR="00A504A9" w:rsidRPr="007F66A7" w14:paraId="4E8E60ED" w14:textId="77777777">
        <w:tc>
          <w:tcPr>
            <w:tcW w:w="4741" w:type="dxa"/>
          </w:tcPr>
          <w:p w14:paraId="0149496C" w14:textId="77777777" w:rsidR="00A504A9" w:rsidRPr="007F66A7" w:rsidRDefault="00A504A9">
            <w:pPr>
              <w:pStyle w:val="COMTabletext"/>
            </w:pPr>
            <w:r w:rsidRPr="007F66A7">
              <w:t>Deaths, n (%)</w:t>
            </w:r>
          </w:p>
        </w:tc>
        <w:tc>
          <w:tcPr>
            <w:tcW w:w="2267" w:type="dxa"/>
            <w:tcBorders>
              <w:top w:val="single" w:sz="4" w:space="0" w:color="auto"/>
              <w:left w:val="single" w:sz="4" w:space="0" w:color="auto"/>
              <w:bottom w:val="single" w:sz="4" w:space="0" w:color="auto"/>
              <w:right w:val="single" w:sz="4" w:space="0" w:color="auto"/>
            </w:tcBorders>
          </w:tcPr>
          <w:p w14:paraId="73925DBE" w14:textId="77777777" w:rsidR="00A504A9" w:rsidRPr="007F66A7" w:rsidRDefault="00A504A9">
            <w:pPr>
              <w:pStyle w:val="COMTabletext"/>
              <w:jc w:val="center"/>
            </w:pPr>
            <w:r w:rsidRPr="007F66A7">
              <w:t>46 (7)</w:t>
            </w:r>
          </w:p>
        </w:tc>
        <w:tc>
          <w:tcPr>
            <w:tcW w:w="2009" w:type="dxa"/>
            <w:tcBorders>
              <w:top w:val="single" w:sz="4" w:space="0" w:color="auto"/>
              <w:left w:val="single" w:sz="4" w:space="0" w:color="auto"/>
              <w:bottom w:val="single" w:sz="4" w:space="0" w:color="auto"/>
              <w:right w:val="single" w:sz="4" w:space="0" w:color="auto"/>
            </w:tcBorders>
          </w:tcPr>
          <w:p w14:paraId="512333FD" w14:textId="77777777" w:rsidR="00A504A9" w:rsidRPr="007F66A7" w:rsidRDefault="00A504A9">
            <w:pPr>
              <w:pStyle w:val="COMTabletext"/>
              <w:jc w:val="center"/>
            </w:pPr>
            <w:r w:rsidRPr="007F66A7">
              <w:t>69 (10)</w:t>
            </w:r>
          </w:p>
        </w:tc>
      </w:tr>
      <w:tr w:rsidR="00A504A9" w:rsidRPr="007F66A7" w14:paraId="648B9AAB" w14:textId="77777777">
        <w:tc>
          <w:tcPr>
            <w:tcW w:w="4741" w:type="dxa"/>
          </w:tcPr>
          <w:p w14:paraId="47295324" w14:textId="77777777" w:rsidR="00A504A9" w:rsidRPr="007F66A7" w:rsidRDefault="00A504A9">
            <w:pPr>
              <w:pStyle w:val="COMTabletext"/>
            </w:pPr>
            <w:r w:rsidRPr="007F66A7">
              <w:t>Censored, n (%)</w:t>
            </w:r>
          </w:p>
        </w:tc>
        <w:tc>
          <w:tcPr>
            <w:tcW w:w="2267" w:type="dxa"/>
            <w:tcBorders>
              <w:top w:val="single" w:sz="4" w:space="0" w:color="auto"/>
              <w:left w:val="single" w:sz="4" w:space="0" w:color="auto"/>
              <w:bottom w:val="single" w:sz="4" w:space="0" w:color="auto"/>
              <w:right w:val="single" w:sz="4" w:space="0" w:color="auto"/>
            </w:tcBorders>
          </w:tcPr>
          <w:p w14:paraId="17676D43" w14:textId="77777777" w:rsidR="00A504A9" w:rsidRPr="007F66A7" w:rsidRDefault="00A504A9">
            <w:pPr>
              <w:pStyle w:val="COMTabletext"/>
              <w:jc w:val="center"/>
            </w:pPr>
            <w:r w:rsidRPr="007F66A7">
              <w:t>618 (93)</w:t>
            </w:r>
          </w:p>
        </w:tc>
        <w:tc>
          <w:tcPr>
            <w:tcW w:w="2009" w:type="dxa"/>
            <w:tcBorders>
              <w:top w:val="single" w:sz="4" w:space="0" w:color="auto"/>
              <w:left w:val="single" w:sz="4" w:space="0" w:color="auto"/>
              <w:bottom w:val="single" w:sz="4" w:space="0" w:color="auto"/>
              <w:right w:val="single" w:sz="4" w:space="0" w:color="auto"/>
            </w:tcBorders>
          </w:tcPr>
          <w:p w14:paraId="75D76D5E" w14:textId="77777777" w:rsidR="00A504A9" w:rsidRPr="007F66A7" w:rsidRDefault="00A504A9">
            <w:pPr>
              <w:pStyle w:val="COMTabletext"/>
              <w:jc w:val="center"/>
            </w:pPr>
            <w:r w:rsidRPr="007F66A7">
              <w:t>601 (90)</w:t>
            </w:r>
          </w:p>
        </w:tc>
      </w:tr>
      <w:tr w:rsidR="00A504A9" w:rsidRPr="007F66A7" w14:paraId="500FCB89" w14:textId="77777777">
        <w:tc>
          <w:tcPr>
            <w:tcW w:w="4741" w:type="dxa"/>
            <w:tcBorders>
              <w:bottom w:val="nil"/>
            </w:tcBorders>
          </w:tcPr>
          <w:p w14:paraId="5AB98522" w14:textId="77777777" w:rsidR="00A504A9" w:rsidRPr="007F66A7" w:rsidRDefault="00A504A9">
            <w:pPr>
              <w:pStyle w:val="COMTabletext"/>
            </w:pPr>
            <w:r w:rsidRPr="007F66A7">
              <w:t>Kaplan-Meier estimates, % (95% CI)</w:t>
            </w:r>
          </w:p>
        </w:tc>
        <w:tc>
          <w:tcPr>
            <w:tcW w:w="2267" w:type="dxa"/>
            <w:tcBorders>
              <w:bottom w:val="nil"/>
            </w:tcBorders>
            <w:vAlign w:val="center"/>
          </w:tcPr>
          <w:p w14:paraId="1A356297" w14:textId="77777777" w:rsidR="00A504A9" w:rsidRPr="007F66A7" w:rsidRDefault="00A504A9">
            <w:pPr>
              <w:pStyle w:val="COMTabletext"/>
              <w:jc w:val="center"/>
            </w:pPr>
          </w:p>
        </w:tc>
        <w:tc>
          <w:tcPr>
            <w:tcW w:w="2009" w:type="dxa"/>
            <w:tcBorders>
              <w:bottom w:val="nil"/>
            </w:tcBorders>
            <w:vAlign w:val="center"/>
          </w:tcPr>
          <w:p w14:paraId="0D13EA4A" w14:textId="77777777" w:rsidR="00A504A9" w:rsidRPr="007F66A7" w:rsidRDefault="00A504A9">
            <w:pPr>
              <w:pStyle w:val="COMTabletext"/>
              <w:jc w:val="center"/>
            </w:pPr>
          </w:p>
        </w:tc>
      </w:tr>
      <w:tr w:rsidR="00A504A9" w:rsidRPr="007F66A7" w14:paraId="6909E8BF" w14:textId="77777777">
        <w:tc>
          <w:tcPr>
            <w:tcW w:w="4741" w:type="dxa"/>
            <w:tcBorders>
              <w:top w:val="nil"/>
              <w:bottom w:val="nil"/>
            </w:tcBorders>
          </w:tcPr>
          <w:p w14:paraId="09001885" w14:textId="77777777" w:rsidR="00A504A9" w:rsidRPr="007F66A7" w:rsidRDefault="00A504A9">
            <w:pPr>
              <w:pStyle w:val="COMTabletext"/>
            </w:pPr>
            <w:r w:rsidRPr="007F66A7">
              <w:t>- 6 months</w:t>
            </w:r>
          </w:p>
        </w:tc>
        <w:tc>
          <w:tcPr>
            <w:tcW w:w="2267" w:type="dxa"/>
            <w:tcBorders>
              <w:top w:val="nil"/>
              <w:bottom w:val="nil"/>
            </w:tcBorders>
          </w:tcPr>
          <w:p w14:paraId="63B9604F" w14:textId="77777777" w:rsidR="00A504A9" w:rsidRPr="007F66A7" w:rsidRDefault="00A504A9">
            <w:pPr>
              <w:pStyle w:val="COMTabletext"/>
              <w:jc w:val="center"/>
            </w:pPr>
            <w:r w:rsidRPr="007F66A7">
              <w:t>98.3 (97.0, 99.1)</w:t>
            </w:r>
          </w:p>
        </w:tc>
        <w:tc>
          <w:tcPr>
            <w:tcW w:w="2009" w:type="dxa"/>
            <w:tcBorders>
              <w:top w:val="nil"/>
              <w:bottom w:val="nil"/>
            </w:tcBorders>
          </w:tcPr>
          <w:p w14:paraId="59B0A72A" w14:textId="77777777" w:rsidR="00A504A9" w:rsidRPr="007F66A7" w:rsidRDefault="00A504A9">
            <w:pPr>
              <w:pStyle w:val="COMTabletext"/>
              <w:jc w:val="center"/>
            </w:pPr>
            <w:r w:rsidRPr="007F66A7">
              <w:t>98.1 (96.8, 98.9)</w:t>
            </w:r>
          </w:p>
        </w:tc>
      </w:tr>
      <w:tr w:rsidR="00A504A9" w:rsidRPr="007F66A7" w14:paraId="40660A82" w14:textId="77777777">
        <w:tc>
          <w:tcPr>
            <w:tcW w:w="4741" w:type="dxa"/>
            <w:tcBorders>
              <w:top w:val="nil"/>
              <w:bottom w:val="nil"/>
            </w:tcBorders>
          </w:tcPr>
          <w:p w14:paraId="3C32D635" w14:textId="77777777" w:rsidR="00A504A9" w:rsidRPr="007F66A7" w:rsidRDefault="00A504A9">
            <w:pPr>
              <w:pStyle w:val="COMTabletext"/>
            </w:pPr>
            <w:r w:rsidRPr="007F66A7">
              <w:t>- 1 year</w:t>
            </w:r>
          </w:p>
        </w:tc>
        <w:tc>
          <w:tcPr>
            <w:tcW w:w="2267" w:type="dxa"/>
            <w:tcBorders>
              <w:top w:val="nil"/>
              <w:bottom w:val="nil"/>
            </w:tcBorders>
          </w:tcPr>
          <w:p w14:paraId="05507B89" w14:textId="77777777" w:rsidR="00A504A9" w:rsidRPr="007F66A7" w:rsidRDefault="00A504A9">
            <w:pPr>
              <w:pStyle w:val="COMTabletext"/>
              <w:jc w:val="center"/>
            </w:pPr>
            <w:r w:rsidRPr="007F66A7">
              <w:t>97.2 (95.7, 98.3)</w:t>
            </w:r>
          </w:p>
        </w:tc>
        <w:tc>
          <w:tcPr>
            <w:tcW w:w="2009" w:type="dxa"/>
            <w:tcBorders>
              <w:top w:val="nil"/>
              <w:bottom w:val="nil"/>
            </w:tcBorders>
          </w:tcPr>
          <w:p w14:paraId="7B9FE6CC" w14:textId="77777777" w:rsidR="00A504A9" w:rsidRPr="007F66A7" w:rsidRDefault="00A504A9">
            <w:pPr>
              <w:pStyle w:val="COMTabletext"/>
              <w:jc w:val="center"/>
            </w:pPr>
            <w:r w:rsidRPr="007F66A7">
              <w:t>96.7 (95.1, 97.9)</w:t>
            </w:r>
          </w:p>
        </w:tc>
      </w:tr>
      <w:tr w:rsidR="00A504A9" w:rsidRPr="007F66A7" w14:paraId="73E00FA1" w14:textId="77777777">
        <w:tc>
          <w:tcPr>
            <w:tcW w:w="4741" w:type="dxa"/>
            <w:tcBorders>
              <w:top w:val="nil"/>
              <w:bottom w:val="nil"/>
            </w:tcBorders>
          </w:tcPr>
          <w:p w14:paraId="25ADF45F" w14:textId="77777777" w:rsidR="00A504A9" w:rsidRPr="007F66A7" w:rsidRDefault="00A504A9">
            <w:pPr>
              <w:pStyle w:val="COMTabletext"/>
            </w:pPr>
            <w:r w:rsidRPr="007F66A7">
              <w:t>- 2 years</w:t>
            </w:r>
          </w:p>
        </w:tc>
        <w:tc>
          <w:tcPr>
            <w:tcW w:w="2267" w:type="dxa"/>
            <w:tcBorders>
              <w:top w:val="nil"/>
              <w:bottom w:val="nil"/>
            </w:tcBorders>
          </w:tcPr>
          <w:p w14:paraId="1D849D81" w14:textId="77777777" w:rsidR="00A504A9" w:rsidRPr="007F66A7" w:rsidRDefault="00A504A9">
            <w:pPr>
              <w:pStyle w:val="COMTabletext"/>
              <w:jc w:val="center"/>
            </w:pPr>
            <w:r w:rsidRPr="007F66A7">
              <w:t>96.5 (94.7, 97.6)</w:t>
            </w:r>
          </w:p>
        </w:tc>
        <w:tc>
          <w:tcPr>
            <w:tcW w:w="2009" w:type="dxa"/>
            <w:tcBorders>
              <w:top w:val="nil"/>
              <w:bottom w:val="nil"/>
            </w:tcBorders>
          </w:tcPr>
          <w:p w14:paraId="039B3229" w14:textId="77777777" w:rsidR="00A504A9" w:rsidRPr="007F66A7" w:rsidRDefault="00A504A9">
            <w:pPr>
              <w:pStyle w:val="COMTabletext"/>
              <w:jc w:val="center"/>
            </w:pPr>
            <w:r w:rsidRPr="007F66A7">
              <w:t>94.7 (92.6, 96.2)</w:t>
            </w:r>
          </w:p>
        </w:tc>
      </w:tr>
      <w:tr w:rsidR="00A504A9" w:rsidRPr="007F66A7" w14:paraId="4208A955" w14:textId="77777777">
        <w:tc>
          <w:tcPr>
            <w:tcW w:w="4741" w:type="dxa"/>
            <w:tcBorders>
              <w:top w:val="nil"/>
              <w:bottom w:val="nil"/>
            </w:tcBorders>
          </w:tcPr>
          <w:p w14:paraId="75C4914A" w14:textId="77777777" w:rsidR="00A504A9" w:rsidRPr="007F66A7" w:rsidRDefault="00A504A9">
            <w:pPr>
              <w:pStyle w:val="COMTabletext"/>
            </w:pPr>
            <w:r w:rsidRPr="007F66A7">
              <w:t>- 3 years</w:t>
            </w:r>
          </w:p>
        </w:tc>
        <w:tc>
          <w:tcPr>
            <w:tcW w:w="2267" w:type="dxa"/>
            <w:tcBorders>
              <w:top w:val="nil"/>
              <w:bottom w:val="nil"/>
            </w:tcBorders>
          </w:tcPr>
          <w:p w14:paraId="1106C330" w14:textId="77777777" w:rsidR="00A504A9" w:rsidRPr="007F66A7" w:rsidRDefault="00A504A9">
            <w:pPr>
              <w:pStyle w:val="COMTabletext"/>
              <w:jc w:val="center"/>
            </w:pPr>
            <w:r w:rsidRPr="007F66A7">
              <w:t>95.6 (93.7, 97.0)</w:t>
            </w:r>
          </w:p>
        </w:tc>
        <w:tc>
          <w:tcPr>
            <w:tcW w:w="2009" w:type="dxa"/>
            <w:tcBorders>
              <w:top w:val="nil"/>
              <w:bottom w:val="nil"/>
            </w:tcBorders>
          </w:tcPr>
          <w:p w14:paraId="4B7AD34A" w14:textId="77777777" w:rsidR="00A504A9" w:rsidRPr="007F66A7" w:rsidRDefault="00A504A9">
            <w:pPr>
              <w:pStyle w:val="COMTabletext"/>
              <w:jc w:val="center"/>
            </w:pPr>
            <w:r w:rsidRPr="007F66A7">
              <w:t>93.3 (91.1, 95.0)</w:t>
            </w:r>
          </w:p>
        </w:tc>
      </w:tr>
      <w:tr w:rsidR="00A504A9" w:rsidRPr="007F66A7" w14:paraId="3FA94F73" w14:textId="77777777">
        <w:tc>
          <w:tcPr>
            <w:tcW w:w="4741" w:type="dxa"/>
            <w:tcBorders>
              <w:top w:val="nil"/>
              <w:bottom w:val="nil"/>
            </w:tcBorders>
          </w:tcPr>
          <w:p w14:paraId="6154E77C" w14:textId="77777777" w:rsidR="00A504A9" w:rsidRPr="007F66A7" w:rsidRDefault="00A504A9">
            <w:pPr>
              <w:pStyle w:val="COMTabletext"/>
            </w:pPr>
            <w:r w:rsidRPr="007F66A7">
              <w:t>- 7 years</w:t>
            </w:r>
          </w:p>
        </w:tc>
        <w:tc>
          <w:tcPr>
            <w:tcW w:w="2267" w:type="dxa"/>
            <w:tcBorders>
              <w:top w:val="nil"/>
              <w:bottom w:val="nil"/>
            </w:tcBorders>
          </w:tcPr>
          <w:p w14:paraId="11417670" w14:textId="77777777" w:rsidR="00A504A9" w:rsidRPr="007F66A7" w:rsidRDefault="00A504A9">
            <w:pPr>
              <w:pStyle w:val="COMTabletext"/>
              <w:jc w:val="center"/>
            </w:pPr>
            <w:r w:rsidRPr="007F66A7">
              <w:t>93.5 (91.1, 95.2)</w:t>
            </w:r>
          </w:p>
        </w:tc>
        <w:tc>
          <w:tcPr>
            <w:tcW w:w="2009" w:type="dxa"/>
            <w:tcBorders>
              <w:top w:val="nil"/>
              <w:bottom w:val="nil"/>
            </w:tcBorders>
          </w:tcPr>
          <w:p w14:paraId="176959DE" w14:textId="77777777" w:rsidR="00A504A9" w:rsidRPr="007F66A7" w:rsidRDefault="00A504A9">
            <w:pPr>
              <w:pStyle w:val="COMTabletext"/>
              <w:jc w:val="center"/>
            </w:pPr>
            <w:r w:rsidRPr="007F66A7">
              <w:t>88.8 (85.8, 91.1)</w:t>
            </w:r>
          </w:p>
        </w:tc>
      </w:tr>
      <w:tr w:rsidR="00A504A9" w:rsidRPr="007F66A7" w14:paraId="390E3A43" w14:textId="77777777">
        <w:tc>
          <w:tcPr>
            <w:tcW w:w="4741" w:type="dxa"/>
            <w:tcBorders>
              <w:top w:val="nil"/>
            </w:tcBorders>
          </w:tcPr>
          <w:p w14:paraId="5D59B249" w14:textId="77777777" w:rsidR="00A504A9" w:rsidRPr="007F66A7" w:rsidRDefault="00A504A9">
            <w:pPr>
              <w:pStyle w:val="COMTabletext"/>
            </w:pPr>
            <w:r w:rsidRPr="007F66A7">
              <w:t>- 8 years</w:t>
            </w:r>
          </w:p>
        </w:tc>
        <w:tc>
          <w:tcPr>
            <w:tcW w:w="2267" w:type="dxa"/>
            <w:tcBorders>
              <w:top w:val="nil"/>
            </w:tcBorders>
          </w:tcPr>
          <w:p w14:paraId="55198D9C" w14:textId="77777777" w:rsidR="00A504A9" w:rsidRPr="007F66A7" w:rsidRDefault="00A504A9">
            <w:pPr>
              <w:pStyle w:val="COMTabletext"/>
              <w:jc w:val="center"/>
            </w:pPr>
            <w:r w:rsidRPr="007F66A7">
              <w:t>92.6 (90.0, 94.5)</w:t>
            </w:r>
          </w:p>
        </w:tc>
        <w:tc>
          <w:tcPr>
            <w:tcW w:w="2009" w:type="dxa"/>
            <w:tcBorders>
              <w:top w:val="nil"/>
            </w:tcBorders>
          </w:tcPr>
          <w:p w14:paraId="505A7383" w14:textId="77777777" w:rsidR="00A504A9" w:rsidRPr="007F66A7" w:rsidRDefault="00A504A9">
            <w:pPr>
              <w:pStyle w:val="COMTabletext"/>
              <w:jc w:val="center"/>
            </w:pPr>
            <w:r w:rsidRPr="007F66A7">
              <w:t>88.0 (84.9, 90.5)</w:t>
            </w:r>
          </w:p>
        </w:tc>
      </w:tr>
      <w:tr w:rsidR="00A504A9" w:rsidRPr="007F66A7" w14:paraId="188651A6" w14:textId="77777777">
        <w:tc>
          <w:tcPr>
            <w:tcW w:w="4741" w:type="dxa"/>
          </w:tcPr>
          <w:p w14:paraId="71DDF5BA" w14:textId="77777777" w:rsidR="00A504A9" w:rsidRPr="007F66A7" w:rsidRDefault="00A504A9">
            <w:pPr>
              <w:pStyle w:val="COMTabletext"/>
            </w:pPr>
            <w:r w:rsidRPr="007F66A7">
              <w:t>Hazard ratio (95% CI)</w:t>
            </w:r>
          </w:p>
        </w:tc>
        <w:tc>
          <w:tcPr>
            <w:tcW w:w="4276" w:type="dxa"/>
            <w:gridSpan w:val="2"/>
            <w:vAlign w:val="center"/>
          </w:tcPr>
          <w:p w14:paraId="6B28D528" w14:textId="77777777" w:rsidR="00A504A9" w:rsidRPr="007F66A7" w:rsidRDefault="00A504A9">
            <w:pPr>
              <w:pStyle w:val="COMTabletext"/>
              <w:jc w:val="center"/>
              <w:rPr>
                <w:vertAlign w:val="superscript"/>
              </w:rPr>
            </w:pPr>
            <w:r w:rsidRPr="007F66A7">
              <w:t xml:space="preserve">0.62 (0.42, 0.90) </w:t>
            </w:r>
            <w:r w:rsidRPr="007F66A7">
              <w:rPr>
                <w:vertAlign w:val="superscript"/>
              </w:rPr>
              <w:t>a</w:t>
            </w:r>
          </w:p>
        </w:tc>
      </w:tr>
    </w:tbl>
    <w:p w14:paraId="73F7195B" w14:textId="77777777" w:rsidR="00A504A9" w:rsidRPr="007F66A7" w:rsidRDefault="00A504A9" w:rsidP="00A504A9">
      <w:pPr>
        <w:pStyle w:val="COMTablefooter"/>
      </w:pPr>
      <w:r w:rsidRPr="007F66A7">
        <w:t>Source: Table 2.5-3, p99 of the resubmission; Table 11.q, p130 of the ECHELON-1 Clinical Study Report Addendum 1; Table 3.c, p24 of the ECHELON-1 Clinical Study Report Addendum 3</w:t>
      </w:r>
    </w:p>
    <w:p w14:paraId="69949FE8" w14:textId="77777777" w:rsidR="00A504A9" w:rsidRPr="007F66A7" w:rsidRDefault="00A504A9" w:rsidP="00A504A9">
      <w:pPr>
        <w:pStyle w:val="COMTablefooter"/>
      </w:pPr>
      <w:r w:rsidRPr="007F66A7">
        <w:t>Abbreviations: A+AVD, brentuximab vedotin plus doxorubicin, vinblastine, dacarbazine; ABVD, doxorubicin, bleomycin, vinblastine, and dacarbazine; CI, confidence interval; NE, not estimable; OS, overall survival</w:t>
      </w:r>
    </w:p>
    <w:p w14:paraId="05C77E32" w14:textId="77777777" w:rsidR="00A504A9" w:rsidRPr="007F66A7" w:rsidRDefault="00A504A9" w:rsidP="00A504A9">
      <w:pPr>
        <w:pStyle w:val="COMTablefooter"/>
        <w:rPr>
          <w:b/>
          <w:bCs/>
        </w:rPr>
      </w:pPr>
      <w:r w:rsidRPr="007F66A7">
        <w:rPr>
          <w:b/>
          <w:bCs/>
        </w:rPr>
        <w:t xml:space="preserve">Bolded </w:t>
      </w:r>
      <w:r w:rsidRPr="007F66A7">
        <w:t>results were statistically significant</w:t>
      </w:r>
    </w:p>
    <w:p w14:paraId="514101C1" w14:textId="77777777" w:rsidR="00A504A9" w:rsidRPr="007F66A7" w:rsidRDefault="00A504A9" w:rsidP="00A504A9">
      <w:pPr>
        <w:pStyle w:val="COMTablefooter"/>
      </w:pPr>
      <w:proofErr w:type="spellStart"/>
      <w:r w:rsidRPr="007F66A7">
        <w:rPr>
          <w:b/>
          <w:bCs/>
          <w:vertAlign w:val="superscript"/>
        </w:rPr>
        <w:t>a</w:t>
      </w:r>
      <w:proofErr w:type="spellEnd"/>
      <w:r w:rsidRPr="007F66A7">
        <w:rPr>
          <w:b/>
          <w:bCs/>
          <w:vertAlign w:val="superscript"/>
        </w:rPr>
        <w:t xml:space="preserve"> </w:t>
      </w:r>
      <w:r w:rsidRPr="007F66A7">
        <w:t>The</w:t>
      </w:r>
      <w:r w:rsidRPr="007F66A7">
        <w:rPr>
          <w:b/>
          <w:bCs/>
          <w:vertAlign w:val="superscript"/>
        </w:rPr>
        <w:t xml:space="preserve"> </w:t>
      </w:r>
      <w:r w:rsidRPr="007F66A7">
        <w:t>95% confidence interval was descriptive only</w:t>
      </w:r>
    </w:p>
    <w:p w14:paraId="40DBC3E3" w14:textId="0047A843" w:rsidR="00977C05" w:rsidRPr="007F66A7" w:rsidRDefault="000A34BC" w:rsidP="00A504A9">
      <w:pPr>
        <w:pStyle w:val="COMTablefooter"/>
      </w:pPr>
      <w:r w:rsidRPr="007F66A7">
        <w:t>Note: Blue shading delineates data presented in the March 2024 submission</w:t>
      </w:r>
      <w:r w:rsidR="00977C05" w:rsidRPr="007F66A7">
        <w:t>.</w:t>
      </w:r>
    </w:p>
    <w:p w14:paraId="127F3625" w14:textId="791D1947" w:rsidR="00A504A9" w:rsidRPr="007F66A7" w:rsidRDefault="00B07973" w:rsidP="00A9424F">
      <w:pPr>
        <w:pStyle w:val="COMexecsummnumbered"/>
      </w:pPr>
      <w:r w:rsidRPr="007F66A7">
        <w:fldChar w:fldCharType="begin"/>
      </w:r>
      <w:r w:rsidRPr="007F66A7">
        <w:instrText xml:space="preserve"> REF _Ref197700590 \h </w:instrText>
      </w:r>
      <w:r w:rsidRPr="007F66A7">
        <w:fldChar w:fldCharType="separate"/>
      </w:r>
      <w:r w:rsidR="00293B06" w:rsidRPr="007F66A7">
        <w:t xml:space="preserve">Figure </w:t>
      </w:r>
      <w:r w:rsidR="00293B06">
        <w:rPr>
          <w:noProof/>
        </w:rPr>
        <w:t>2</w:t>
      </w:r>
      <w:r w:rsidRPr="007F66A7">
        <w:fldChar w:fldCharType="end"/>
      </w:r>
      <w:r w:rsidRPr="007F66A7">
        <w:t xml:space="preserve"> </w:t>
      </w:r>
      <w:r w:rsidR="00C46B81" w:rsidRPr="007F66A7">
        <w:t>presents the Kaplan-Meier plot for overall survival based on the March 2023 data cut.</w:t>
      </w:r>
    </w:p>
    <w:p w14:paraId="71D427D9" w14:textId="4115B49F" w:rsidR="00B07973" w:rsidRPr="007F66A7" w:rsidRDefault="00B07973" w:rsidP="00B07973">
      <w:pPr>
        <w:pStyle w:val="COMtablefigcaption"/>
      </w:pPr>
      <w:bookmarkStart w:id="28" w:name="_Ref197700590"/>
      <w:r w:rsidRPr="007F66A7">
        <w:lastRenderedPageBreak/>
        <w:t xml:space="preserve">Figure </w:t>
      </w:r>
      <w:r w:rsidR="006A25C4">
        <w:fldChar w:fldCharType="begin"/>
      </w:r>
      <w:r w:rsidR="006A25C4">
        <w:instrText xml:space="preserve"> SEQ Figure \* ARABIC </w:instrText>
      </w:r>
      <w:r w:rsidR="006A25C4">
        <w:fldChar w:fldCharType="separate"/>
      </w:r>
      <w:r w:rsidR="00293B06">
        <w:rPr>
          <w:noProof/>
        </w:rPr>
        <w:t>2</w:t>
      </w:r>
      <w:r w:rsidR="006A25C4">
        <w:fldChar w:fldCharType="end"/>
      </w:r>
      <w:bookmarkEnd w:id="28"/>
      <w:r w:rsidRPr="007F66A7">
        <w:t>: Overall survival (ITT population, March 2023 data cut)</w:t>
      </w:r>
    </w:p>
    <w:p w14:paraId="0D61CBB2" w14:textId="77777777" w:rsidR="00C46B81" w:rsidRPr="007F66A7" w:rsidRDefault="00C46B81" w:rsidP="00C46B81">
      <w:r w:rsidRPr="007F66A7">
        <w:rPr>
          <w:noProof/>
        </w:rPr>
        <w:drawing>
          <wp:inline distT="0" distB="0" distL="0" distR="0" wp14:anchorId="44E116A8" wp14:editId="0B89DADE">
            <wp:extent cx="5714424" cy="2729345"/>
            <wp:effectExtent l="0" t="0" r="635" b="0"/>
            <wp:docPr id="834582032" name="Picture 2" descr="Figure 2: Overall survival (ITT population, March 2023 data 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582032" name="Picture 2" descr="Figure 2: Overall survival (ITT population, March 2023 data cu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2973" cy="2733428"/>
                    </a:xfrm>
                    <a:prstGeom prst="rect">
                      <a:avLst/>
                    </a:prstGeom>
                    <a:noFill/>
                  </pic:spPr>
                </pic:pic>
              </a:graphicData>
            </a:graphic>
          </wp:inline>
        </w:drawing>
      </w:r>
    </w:p>
    <w:p w14:paraId="7BD0128C" w14:textId="77777777" w:rsidR="00C46B81" w:rsidRPr="007F66A7" w:rsidRDefault="00C46B81" w:rsidP="00C46B81">
      <w:pPr>
        <w:pStyle w:val="COMTablefooter"/>
      </w:pPr>
      <w:r w:rsidRPr="007F66A7">
        <w:t>Source: Figure 2.6, p87 of the resubmission</w:t>
      </w:r>
    </w:p>
    <w:p w14:paraId="78648F79" w14:textId="77777777" w:rsidR="00C46B81" w:rsidRPr="007F66A7" w:rsidRDefault="00C46B81" w:rsidP="00C46B81">
      <w:pPr>
        <w:pStyle w:val="COMTablefooter"/>
      </w:pPr>
      <w:r w:rsidRPr="007F66A7">
        <w:t>Abbreviations: A+AVD, brentuximab vedotin plus doxorubicin, vinblastine, dacarbazine; ABVD, doxorubicin, bleomycin, vinblastine, and dacarbazine; CI, confidence interval; ITT, intent to treat</w:t>
      </w:r>
    </w:p>
    <w:p w14:paraId="514E4186" w14:textId="37019B1C" w:rsidR="00C46B81" w:rsidRPr="007F66A7" w:rsidRDefault="00C46B81" w:rsidP="009678A6">
      <w:pPr>
        <w:pStyle w:val="COMexecsummnumbered"/>
      </w:pPr>
      <w:r w:rsidRPr="007F66A7">
        <w:t xml:space="preserve">Median overall survival was not reached for either treatment arm. Results from the primary analysis indicated improved overall survival in the A+AVD arm compared to the ABVD arm, </w:t>
      </w:r>
      <w:r w:rsidR="00B53ED4" w:rsidRPr="007F66A7">
        <w:t>although</w:t>
      </w:r>
      <w:r w:rsidRPr="007F66A7">
        <w:t xml:space="preserve"> the results did not achieve statistical significance. However, the second interim analysis (June 2021 data cut) showed statistically significantly improved overall survival for A+AVD compared to ABVD.</w:t>
      </w:r>
      <w:r w:rsidR="009678A6" w:rsidRPr="007F66A7">
        <w:t xml:space="preserve"> R</w:t>
      </w:r>
      <w:r w:rsidRPr="007F66A7">
        <w:t xml:space="preserve">esults </w:t>
      </w:r>
      <w:r w:rsidR="009678A6" w:rsidRPr="007F66A7">
        <w:t xml:space="preserve">from the final analysis (March 2023 data cut) </w:t>
      </w:r>
      <w:r w:rsidRPr="007F66A7">
        <w:t>showed improved overall survival</w:t>
      </w:r>
      <w:r w:rsidR="00383AF9" w:rsidRPr="007F66A7">
        <w:t xml:space="preserve"> </w:t>
      </w:r>
      <w:r w:rsidRPr="007F66A7">
        <w:t>in favour of A+AVD compared to ABVD</w:t>
      </w:r>
      <w:r w:rsidR="00C252DA" w:rsidRPr="007F66A7">
        <w:t xml:space="preserve"> and was of nominal statistical significance</w:t>
      </w:r>
      <w:r w:rsidR="00AF0EFB" w:rsidRPr="007F66A7">
        <w:t>.</w:t>
      </w:r>
    </w:p>
    <w:p w14:paraId="20E7BB50" w14:textId="1DDFA5BA" w:rsidR="00DA6B78" w:rsidRPr="007F66A7" w:rsidRDefault="002D292A" w:rsidP="004F7622">
      <w:pPr>
        <w:pStyle w:val="COMexecsummnumbered"/>
      </w:pPr>
      <w:r w:rsidRPr="007F66A7">
        <w:t xml:space="preserve">Pre-specified subgroup analyses were conducted based on data from the final analysis. </w:t>
      </w:r>
      <w:r w:rsidR="00935510" w:rsidRPr="007F66A7">
        <w:t>The results suggest</w:t>
      </w:r>
      <w:r w:rsidR="00DA6B78" w:rsidRPr="007F66A7">
        <w:t xml:space="preserve"> more favourable overall survival estimates for A+AVD compared to ABVD in patients aged &lt;60 years and no apparent difference in overall survival between arms in patients aged ≥60 years. </w:t>
      </w:r>
      <w:r w:rsidR="00AC7948" w:rsidRPr="007F66A7">
        <w:t xml:space="preserve">The analyses also showed more favourable overall survival estimates </w:t>
      </w:r>
      <w:r w:rsidR="004F7622" w:rsidRPr="007F66A7">
        <w:t xml:space="preserve">for A+AVD compared to ABVD in patients with stage IV disease </w:t>
      </w:r>
      <w:r w:rsidR="00DA6B78" w:rsidRPr="007F66A7">
        <w:t>and no apparent difference between arms in patients with stage III disease.</w:t>
      </w:r>
      <w:r w:rsidR="003F1264" w:rsidRPr="007F66A7">
        <w:t xml:space="preserve"> There were also potential differences in the magnitude of benefit associated with A+AVD compared to ABVD in other subgroups according to region, international prognostic factors, presence of B symptoms, number of extra nodal sites</w:t>
      </w:r>
      <w:r w:rsidR="005B781D" w:rsidRPr="007F66A7">
        <w:t>, ECOG status</w:t>
      </w:r>
      <w:r w:rsidR="003F1264" w:rsidRPr="007F66A7">
        <w:t xml:space="preserve"> and gender.</w:t>
      </w:r>
    </w:p>
    <w:p w14:paraId="1E1A1907" w14:textId="57E6184C" w:rsidR="003F1264" w:rsidRPr="007F66A7" w:rsidRDefault="003F1264" w:rsidP="004F7622">
      <w:pPr>
        <w:pStyle w:val="COMexecsummnumbered"/>
      </w:pPr>
      <w:r w:rsidRPr="007F66A7">
        <w:t xml:space="preserve">Overall, </w:t>
      </w:r>
      <w:r w:rsidR="00EE1933" w:rsidRPr="007F66A7">
        <w:t>the</w:t>
      </w:r>
      <w:r w:rsidR="00C77864" w:rsidRPr="007F66A7">
        <w:t xml:space="preserve"> evaluation considered that the</w:t>
      </w:r>
      <w:r w:rsidR="00EE1933" w:rsidRPr="007F66A7">
        <w:t xml:space="preserve"> subgroup analyses suggest that survival benefit in the overall population may have been driven primarily by patients with stage IV disease and those aged &lt;60 years. However, the</w:t>
      </w:r>
      <w:r w:rsidR="00663FCC" w:rsidRPr="007F66A7">
        <w:t xml:space="preserve"> evaluation considered that the</w:t>
      </w:r>
      <w:r w:rsidR="00EE1933" w:rsidRPr="007F66A7">
        <w:t xml:space="preserve"> analyses should be interpreted with caution as the analyses were not powered to detect statistically significant differences between arms, with no interaction testing. </w:t>
      </w:r>
    </w:p>
    <w:p w14:paraId="74CBD013" w14:textId="7D9C75B4" w:rsidR="002943C4" w:rsidRPr="007F66A7" w:rsidRDefault="002943C4" w:rsidP="009678A6">
      <w:pPr>
        <w:pStyle w:val="COMexecsummnumbered"/>
      </w:pPr>
      <w:r w:rsidRPr="007F66A7">
        <w:t xml:space="preserve">The PBAC previously noted both modified progression-free survival and overall survival data were subject to relatively high levels of censoring as most patients had </w:t>
      </w:r>
      <w:r w:rsidRPr="007F66A7">
        <w:lastRenderedPageBreak/>
        <w:t>yet to experience an event, with potential confounding due to the use of subsequent treatments (para 7.7, brentuximab vedotin PSD, March 2024 PBAC meeting).</w:t>
      </w:r>
    </w:p>
    <w:p w14:paraId="0BF85F2B" w14:textId="2D159A5E" w:rsidR="002943C4" w:rsidRPr="007F66A7" w:rsidRDefault="00744861" w:rsidP="009678A6">
      <w:pPr>
        <w:pStyle w:val="COMexecsummnumbered"/>
      </w:pPr>
      <w:r w:rsidRPr="007F66A7">
        <w:t>The resubmission presented p</w:t>
      </w:r>
      <w:r w:rsidR="00D81374" w:rsidRPr="007F66A7">
        <w:t xml:space="preserve">atient-reported outcomes based on the </w:t>
      </w:r>
      <w:r w:rsidRPr="007F66A7">
        <w:t>European Organi</w:t>
      </w:r>
      <w:r w:rsidR="005B781D" w:rsidRPr="007F66A7">
        <w:t>s</w:t>
      </w:r>
      <w:r w:rsidRPr="007F66A7">
        <w:t xml:space="preserve">ation for Research and Treatment of Cancer Quality of Life Questionnaire-30 (EORTC QLQ-C30) and health utility values captured via the EQ-5D-3L instrument. Results from both instruments </w:t>
      </w:r>
      <w:r w:rsidR="00D81374" w:rsidRPr="007F66A7">
        <w:t xml:space="preserve">indicated worsening trends in both arms during the frontline treatment period that was worse for the A+AVD group compared to the ABVD group. Both arms improved during the post-treatment follow-up period (up to 36 months after the end of treatment) with no appreciable differences between arms. </w:t>
      </w:r>
    </w:p>
    <w:p w14:paraId="1C42A880" w14:textId="3E8CD8C4" w:rsidR="00521B25" w:rsidRPr="007F66A7" w:rsidRDefault="00521B25" w:rsidP="00521B25">
      <w:pPr>
        <w:pStyle w:val="COMexecsummnumbered"/>
      </w:pPr>
      <w:r w:rsidRPr="007F66A7">
        <w:t>The trial also captured the impact of lung toxicity using the Functional Assessment of Chronic Illness Therapy</w:t>
      </w:r>
      <w:r w:rsidR="00E01B16" w:rsidRPr="007F66A7">
        <w:t xml:space="preserve"> (</w:t>
      </w:r>
      <w:r w:rsidRPr="007F66A7">
        <w:t>FACIT</w:t>
      </w:r>
      <w:r w:rsidR="00E01B16" w:rsidRPr="007F66A7">
        <w:t xml:space="preserve">) </w:t>
      </w:r>
      <w:proofErr w:type="spellStart"/>
      <w:r w:rsidRPr="007F66A7">
        <w:t>Dyspnea</w:t>
      </w:r>
      <w:proofErr w:type="spellEnd"/>
      <w:r w:rsidRPr="007F66A7">
        <w:t xml:space="preserve"> 10 and neurotoxicity using the Functional Assessment of Cancer Therapy/</w:t>
      </w:r>
      <w:proofErr w:type="spellStart"/>
      <w:r w:rsidRPr="007F66A7">
        <w:t>Gynecologic</w:t>
      </w:r>
      <w:proofErr w:type="spellEnd"/>
      <w:r w:rsidRPr="007F66A7">
        <w:t xml:space="preserve"> Oncology Group-Neurotoxicity </w:t>
      </w:r>
      <w:r w:rsidR="00B52FD4" w:rsidRPr="007F66A7">
        <w:t>(FACT/GOG-</w:t>
      </w:r>
      <w:proofErr w:type="spellStart"/>
      <w:r w:rsidR="00B52FD4" w:rsidRPr="007F66A7">
        <w:t>Ntx</w:t>
      </w:r>
      <w:proofErr w:type="spellEnd"/>
      <w:r w:rsidR="00B52FD4" w:rsidRPr="007F66A7">
        <w:t xml:space="preserve">) </w:t>
      </w:r>
      <w:r w:rsidRPr="007F66A7">
        <w:t>subscale during the frontline treatment period. A trend was observed for worsening dyspnoea and functional limitation for patients on A+AVD compared to ABVD, however, the trial report noted there is no established MCID for the FACIT-</w:t>
      </w:r>
      <w:proofErr w:type="spellStart"/>
      <w:r w:rsidRPr="007F66A7">
        <w:t>Dyspnea</w:t>
      </w:r>
      <w:proofErr w:type="spellEnd"/>
      <w:r w:rsidRPr="007F66A7">
        <w:t xml:space="preserve"> 10 and assumed no clinically important differences between arms based on a 0.5 standard deviation of baseline scores. Mean neurotoxicity scores were worse in the A+AVD arm compared to the ABVD arm during treatment. The trial investigators considered the differences to be clinically meaningful and reflective of the higher proportion of patients in the A+AVD arm experiencing peripheral neuropathy.</w:t>
      </w:r>
    </w:p>
    <w:p w14:paraId="5D83257D" w14:textId="23C65469" w:rsidR="00850FDF" w:rsidRPr="007F66A7" w:rsidRDefault="004B2619" w:rsidP="009678A6">
      <w:pPr>
        <w:pStyle w:val="COMexecsummnumbered"/>
      </w:pPr>
      <w:r w:rsidRPr="007F66A7">
        <w:t>All patient-reported outcomes were also analysed according to whether patients had experienced a modified progression-free survival event within each treatment arm. The trial report noted no clinically meaningful differences associated with a modified progression-free survival event.</w:t>
      </w:r>
    </w:p>
    <w:p w14:paraId="6E934801" w14:textId="0C9619A0" w:rsidR="006902B8" w:rsidRPr="007F66A7" w:rsidRDefault="006902B8" w:rsidP="006902B8">
      <w:pPr>
        <w:pStyle w:val="COMH4"/>
      </w:pPr>
      <w:r w:rsidRPr="007F66A7">
        <w:t>A+AVD versus PET-adapted ABVD</w:t>
      </w:r>
    </w:p>
    <w:p w14:paraId="5FB88834" w14:textId="3F09BC47" w:rsidR="009C3D0F" w:rsidRPr="007F66A7" w:rsidRDefault="00766BAD" w:rsidP="009678A6">
      <w:pPr>
        <w:pStyle w:val="COMexecsummnumbered"/>
      </w:pPr>
      <w:r w:rsidRPr="007F66A7">
        <w:t xml:space="preserve">The PBAC previously considered evidence from the RATHL (PET-adapted ABVD with escalation in PET-positive patients; unchanged or de-escalation in PET-negative patients), AHL2011 (PET-adapted </w:t>
      </w:r>
      <w:proofErr w:type="spellStart"/>
      <w:r w:rsidRPr="007F66A7">
        <w:t>eBEACOPP</w:t>
      </w:r>
      <w:proofErr w:type="spellEnd"/>
      <w:r w:rsidRPr="007F66A7">
        <w:t xml:space="preserve">; unchanged in PET-positive patients </w:t>
      </w:r>
      <w:r w:rsidR="00A070C2" w:rsidRPr="007F66A7">
        <w:t xml:space="preserve">or </w:t>
      </w:r>
      <w:r w:rsidRPr="007F66A7">
        <w:t xml:space="preserve">de-escalation to ABVD in PET-negative patients versus non-PET-adapted </w:t>
      </w:r>
      <w:proofErr w:type="spellStart"/>
      <w:r w:rsidRPr="007F66A7">
        <w:t>eBEACOPP</w:t>
      </w:r>
      <w:proofErr w:type="spellEnd"/>
      <w:r w:rsidRPr="007F66A7">
        <w:t xml:space="preserve">) and HD18 (PET-adapted </w:t>
      </w:r>
      <w:proofErr w:type="spellStart"/>
      <w:r w:rsidRPr="007F66A7">
        <w:t>eBEACOPP</w:t>
      </w:r>
      <w:proofErr w:type="spellEnd"/>
      <w:r w:rsidRPr="007F66A7">
        <w:t xml:space="preserve">; </w:t>
      </w:r>
      <w:r w:rsidR="009C3D0F" w:rsidRPr="007F66A7">
        <w:t xml:space="preserve">unchanged or escalation in PET-positive patients and unchanged or de-escalation in PET-negative patients) </w:t>
      </w:r>
      <w:r w:rsidRPr="007F66A7">
        <w:t>trials</w:t>
      </w:r>
      <w:r w:rsidR="009C3D0F" w:rsidRPr="007F66A7">
        <w:t xml:space="preserve">. The trials contribute to the main body of evidence informing PET-adapted regimens in published guidelines. </w:t>
      </w:r>
    </w:p>
    <w:p w14:paraId="2066AAED" w14:textId="631458D1" w:rsidR="006D5BB2" w:rsidRPr="007F66A7" w:rsidRDefault="009C3D0F" w:rsidP="009678A6">
      <w:pPr>
        <w:pStyle w:val="COMexecsummnumbered"/>
      </w:pPr>
      <w:r w:rsidRPr="007F66A7">
        <w:t xml:space="preserve">The </w:t>
      </w:r>
      <w:r w:rsidR="00F8745C" w:rsidRPr="007F66A7">
        <w:t xml:space="preserve">evaluation noted that the </w:t>
      </w:r>
      <w:r w:rsidRPr="007F66A7">
        <w:t>study designs of the RATHL, AHL2011 and HD18 trials were complex, with different points of randomisation and escalation/de-escalation of investigated treatment regimens which limited comparability between these trials and the key trial, ECHELON</w:t>
      </w:r>
      <w:r w:rsidRPr="007F66A7">
        <w:noBreakHyphen/>
        <w:t>1.</w:t>
      </w:r>
      <w:r w:rsidR="00766BAD" w:rsidRPr="007F66A7">
        <w:t xml:space="preserve"> </w:t>
      </w:r>
    </w:p>
    <w:p w14:paraId="5CAA587A" w14:textId="2BAD0099" w:rsidR="00E465C2" w:rsidRPr="007F66A7" w:rsidRDefault="00DB79E3" w:rsidP="009678A6">
      <w:pPr>
        <w:pStyle w:val="COMexecsummnumbered"/>
      </w:pPr>
      <w:r w:rsidRPr="007F66A7">
        <w:t>The</w:t>
      </w:r>
      <w:r w:rsidR="0040455E" w:rsidRPr="007F66A7">
        <w:t xml:space="preserve"> PBAC previously considered </w:t>
      </w:r>
      <w:r w:rsidR="002977CF" w:rsidRPr="007F66A7">
        <w:t>the</w:t>
      </w:r>
      <w:r w:rsidR="008B5E8A" w:rsidRPr="007F66A7">
        <w:t xml:space="preserve"> lack of a common reference and limited comparability </w:t>
      </w:r>
      <w:r w:rsidR="00744663" w:rsidRPr="007F66A7">
        <w:t>between trials of PET-adapted regimens and ECHELON-1 precluded any useful indirect comparisons</w:t>
      </w:r>
      <w:r w:rsidR="00234D67" w:rsidRPr="007F66A7">
        <w:t>.</w:t>
      </w:r>
      <w:r w:rsidR="00744663" w:rsidRPr="007F66A7">
        <w:t xml:space="preserve"> </w:t>
      </w:r>
      <w:r w:rsidR="00331184" w:rsidRPr="007F66A7">
        <w:t xml:space="preserve">The PBAC </w:t>
      </w:r>
      <w:r w:rsidR="006C022A" w:rsidRPr="007F66A7">
        <w:t xml:space="preserve">agreed with ESC that the RATHL trial </w:t>
      </w:r>
      <w:r w:rsidR="00246EA8" w:rsidRPr="007F66A7">
        <w:t xml:space="preserve">was not designed to compare ABVD with BEACOPP-based regimens in PET-positive patients. </w:t>
      </w:r>
      <w:r w:rsidR="008D1F48" w:rsidRPr="007F66A7">
        <w:lastRenderedPageBreak/>
        <w:t xml:space="preserve">Therefore, the overall comparative efficacy and safety of PET-adapted ABVD (with options to escalate/de-escalate treatment) compared to non-PET-adapted ABVD remains uncertain (para </w:t>
      </w:r>
      <w:r w:rsidR="00A81D96" w:rsidRPr="007F66A7">
        <w:t xml:space="preserve">6.32 and 7.8, brentuximab vedotin PSD, March 2024 PBAC meeting). </w:t>
      </w:r>
    </w:p>
    <w:p w14:paraId="0CDC7074" w14:textId="00A42DC9" w:rsidR="00145D64" w:rsidRPr="007F66A7" w:rsidRDefault="00145D64" w:rsidP="00145D64">
      <w:pPr>
        <w:pStyle w:val="COMexecsummnumbered"/>
      </w:pPr>
      <w:r w:rsidRPr="007F66A7">
        <w:t>T</w:t>
      </w:r>
      <w:r w:rsidRPr="007F66A7">
        <w:rPr>
          <w:color w:val="000000"/>
        </w:rPr>
        <w:t xml:space="preserve">he resubmission </w:t>
      </w:r>
      <w:r w:rsidRPr="007F66A7">
        <w:rPr>
          <w:color w:val="000000"/>
          <w:lang w:eastAsia="zh-CN"/>
        </w:rPr>
        <w:t xml:space="preserve">identified one conference abstract/poster (Kristo 2023) that presented the results of two unanchored MAICs comparing the A+AVD regimen (based on individual patient data from the ECHELON-1 trial) with PET-adapted ABVD (escalation in PET-positive patients; unchanged or de-escalation in PET-negative patients; based on aggregate data from the RATHL trial) or PET-adapted ABVD (escalation in PET-positive patients, unchanged in PET-negative patients; based on aggregate data from the SWOG S0816 study). </w:t>
      </w:r>
      <w:r w:rsidRPr="007F66A7">
        <w:t xml:space="preserve">The </w:t>
      </w:r>
      <w:r w:rsidR="0086776F" w:rsidRPr="007F66A7">
        <w:t xml:space="preserve">evaluation considered that the </w:t>
      </w:r>
      <w:r w:rsidR="00D82115" w:rsidRPr="007F66A7">
        <w:t>MAIC</w:t>
      </w:r>
      <w:r w:rsidRPr="007F66A7">
        <w:t xml:space="preserve">s suggested that treatment with A+AVD was associated with statistically significant improvements in progression-free survival and potentially overall survival compared to PET-adapted ABVD regimens. </w:t>
      </w:r>
      <w:r w:rsidRPr="007F66A7">
        <w:rPr>
          <w:lang w:eastAsia="zh-CN"/>
        </w:rPr>
        <w:t xml:space="preserve">The poster identified in the resubmission was based on a sponsor-commissioned report which was not provided with the resubmission (with no justification provided in the resubmission) and has not been published in a peer-reviewed publication. As a consequence, </w:t>
      </w:r>
      <w:r w:rsidR="00373480">
        <w:rPr>
          <w:lang w:eastAsia="zh-CN"/>
        </w:rPr>
        <w:t xml:space="preserve">the </w:t>
      </w:r>
      <w:r w:rsidR="00282C46" w:rsidRPr="007F66A7">
        <w:t xml:space="preserve">evaluation considered that the </w:t>
      </w:r>
      <w:r w:rsidRPr="007F66A7">
        <w:rPr>
          <w:lang w:eastAsia="zh-CN"/>
        </w:rPr>
        <w:t xml:space="preserve">there was insufficient documentation to adequately assess the validity of the </w:t>
      </w:r>
      <w:r w:rsidR="000679F7" w:rsidRPr="007F66A7">
        <w:rPr>
          <w:lang w:eastAsia="zh-CN"/>
        </w:rPr>
        <w:t>MAICs</w:t>
      </w:r>
      <w:r w:rsidRPr="007F66A7">
        <w:rPr>
          <w:lang w:eastAsia="zh-CN"/>
        </w:rPr>
        <w:t xml:space="preserve"> and therefore these analyses should not be considered reliable.</w:t>
      </w:r>
    </w:p>
    <w:p w14:paraId="1452C351" w14:textId="0D19F1B0" w:rsidR="00B60939" w:rsidRPr="007F66A7" w:rsidRDefault="00B60939" w:rsidP="003D5DE7">
      <w:pPr>
        <w:pStyle w:val="COMH2-non-numbered"/>
      </w:pPr>
      <w:bookmarkStart w:id="29" w:name="_Toc22897642"/>
      <w:bookmarkStart w:id="30" w:name="_Toc198653243"/>
      <w:r w:rsidRPr="007F66A7">
        <w:t>Comparative harms</w:t>
      </w:r>
      <w:bookmarkEnd w:id="29"/>
      <w:bookmarkEnd w:id="30"/>
    </w:p>
    <w:p w14:paraId="2DAF16D1" w14:textId="3563BF34" w:rsidR="00B60939" w:rsidRPr="007F66A7" w:rsidRDefault="00FD34D9" w:rsidP="00EA5867">
      <w:pPr>
        <w:pStyle w:val="COMexecsummnumbered"/>
      </w:pPr>
      <w:r w:rsidRPr="007F66A7">
        <w:fldChar w:fldCharType="begin"/>
      </w:r>
      <w:r w:rsidRPr="007F66A7">
        <w:instrText xml:space="preserve"> REF _Ref197700631 \h </w:instrText>
      </w:r>
      <w:r w:rsidR="00162E2E" w:rsidRPr="007F66A7">
        <w:instrText xml:space="preserve"> \* MERGEFORMAT </w:instrText>
      </w:r>
      <w:r w:rsidRPr="007F66A7">
        <w:fldChar w:fldCharType="separate"/>
      </w:r>
      <w:r w:rsidR="00293B06" w:rsidRPr="007F66A7">
        <w:t xml:space="preserve">Table </w:t>
      </w:r>
      <w:r w:rsidR="00293B06">
        <w:t>7</w:t>
      </w:r>
      <w:r w:rsidRPr="007F66A7">
        <w:fldChar w:fldCharType="end"/>
      </w:r>
      <w:r w:rsidRPr="007F66A7">
        <w:t xml:space="preserve"> </w:t>
      </w:r>
      <w:r w:rsidR="00EA5867" w:rsidRPr="007F66A7">
        <w:t xml:space="preserve">summarises the safety outcomes in ECHELON-1 during the primary analysis period (April 2017 data cut). </w:t>
      </w:r>
      <w:r w:rsidR="00282C46" w:rsidRPr="007F66A7">
        <w:t xml:space="preserve">The evaluation noted that </w:t>
      </w:r>
      <w:r w:rsidR="00D710D2" w:rsidRPr="007F66A7">
        <w:t>a</w:t>
      </w:r>
      <w:r w:rsidR="00892D93" w:rsidRPr="007F66A7">
        <w:t xml:space="preserve">dverse event data were based on patient incidence only, which does not capture the occurrence of multiple events of the same type in individual patients. </w:t>
      </w:r>
    </w:p>
    <w:p w14:paraId="310B2246" w14:textId="5FB483BC" w:rsidR="00B60939" w:rsidRPr="007F66A7" w:rsidRDefault="00D6076E" w:rsidP="00613F63">
      <w:pPr>
        <w:pStyle w:val="COMtablefigcaption"/>
        <w:keepLines/>
        <w:jc w:val="both"/>
      </w:pPr>
      <w:bookmarkStart w:id="31" w:name="_Ref197700631"/>
      <w:r w:rsidRPr="007F66A7">
        <w:lastRenderedPageBreak/>
        <w:t xml:space="preserve">Table </w:t>
      </w:r>
      <w:r w:rsidR="006A25C4">
        <w:fldChar w:fldCharType="begin"/>
      </w:r>
      <w:r w:rsidR="006A25C4">
        <w:instrText xml:space="preserve"> SEQ Table \* ARABIC </w:instrText>
      </w:r>
      <w:r w:rsidR="006A25C4">
        <w:fldChar w:fldCharType="separate"/>
      </w:r>
      <w:r w:rsidR="00293B06">
        <w:rPr>
          <w:noProof/>
        </w:rPr>
        <w:t>7</w:t>
      </w:r>
      <w:r w:rsidR="006A25C4">
        <w:fldChar w:fldCharType="end"/>
      </w:r>
      <w:bookmarkEnd w:id="31"/>
      <w:r w:rsidRPr="007F66A7">
        <w:t xml:space="preserve">: </w:t>
      </w:r>
      <w:r w:rsidR="007C3BE7" w:rsidRPr="007F66A7">
        <w:t>K</w:t>
      </w:r>
      <w:r w:rsidR="005D26B4" w:rsidRPr="007F66A7">
        <w:t xml:space="preserve">ey adverse events in </w:t>
      </w:r>
      <w:r w:rsidR="003013B9" w:rsidRPr="007F66A7">
        <w:t xml:space="preserve">ECHELON-1 (safety population, </w:t>
      </w:r>
      <w:r w:rsidR="007C3BE7" w:rsidRPr="007F66A7">
        <w:t>≤30 days after last dose of frontline treatment)</w:t>
      </w:r>
    </w:p>
    <w:tbl>
      <w:tblPr>
        <w:tblStyle w:val="TableGrid"/>
        <w:tblW w:w="0" w:type="auto"/>
        <w:tblLook w:val="04A0" w:firstRow="1" w:lastRow="0" w:firstColumn="1" w:lastColumn="0" w:noHBand="0" w:noVBand="1"/>
        <w:tblCaption w:val="Table 7: Key adverse events in ECHELON-1 (safety population, ≤30 days after last dose of frontline treatment)"/>
      </w:tblPr>
      <w:tblGrid>
        <w:gridCol w:w="3551"/>
        <w:gridCol w:w="2733"/>
        <w:gridCol w:w="2733"/>
      </w:tblGrid>
      <w:tr w:rsidR="004129D2" w:rsidRPr="007F66A7" w14:paraId="3964A6BA" w14:textId="77777777" w:rsidTr="00240A57">
        <w:tc>
          <w:tcPr>
            <w:tcW w:w="3551" w:type="dxa"/>
            <w:shd w:val="clear" w:color="auto" w:fill="B8CCE4" w:themeFill="accent1" w:themeFillTint="66"/>
            <w:vAlign w:val="center"/>
          </w:tcPr>
          <w:p w14:paraId="2EC429FC" w14:textId="77777777" w:rsidR="004129D2" w:rsidRPr="007F66A7" w:rsidRDefault="004129D2" w:rsidP="00613F63">
            <w:pPr>
              <w:pStyle w:val="COMTableheadingrow"/>
              <w:keepLines/>
              <w:rPr>
                <w:lang w:val="en-AU"/>
              </w:rPr>
            </w:pPr>
            <w:r w:rsidRPr="007F66A7">
              <w:rPr>
                <w:lang w:val="en-AU"/>
              </w:rPr>
              <w:t>Patients, n (%)</w:t>
            </w:r>
          </w:p>
        </w:tc>
        <w:tc>
          <w:tcPr>
            <w:tcW w:w="2733" w:type="dxa"/>
            <w:shd w:val="clear" w:color="auto" w:fill="B8CCE4" w:themeFill="accent1" w:themeFillTint="66"/>
            <w:vAlign w:val="center"/>
          </w:tcPr>
          <w:p w14:paraId="368B816A" w14:textId="77777777" w:rsidR="004129D2" w:rsidRPr="007F66A7" w:rsidRDefault="004129D2" w:rsidP="00613F63">
            <w:pPr>
              <w:pStyle w:val="COMTableheadingrow"/>
              <w:keepLines/>
              <w:jc w:val="center"/>
              <w:rPr>
                <w:lang w:val="en-AU"/>
              </w:rPr>
            </w:pPr>
            <w:r w:rsidRPr="007F66A7">
              <w:rPr>
                <w:lang w:val="en-AU"/>
              </w:rPr>
              <w:t>A+AVD</w:t>
            </w:r>
          </w:p>
          <w:p w14:paraId="20F08352" w14:textId="77777777" w:rsidR="004129D2" w:rsidRPr="007F66A7" w:rsidRDefault="004129D2" w:rsidP="00613F63">
            <w:pPr>
              <w:pStyle w:val="COMTableheadingrow"/>
              <w:keepLines/>
              <w:jc w:val="center"/>
              <w:rPr>
                <w:lang w:val="en-AU"/>
              </w:rPr>
            </w:pPr>
            <w:r w:rsidRPr="007F66A7">
              <w:rPr>
                <w:lang w:val="en-AU"/>
              </w:rPr>
              <w:t>N=662</w:t>
            </w:r>
          </w:p>
        </w:tc>
        <w:tc>
          <w:tcPr>
            <w:tcW w:w="2733" w:type="dxa"/>
            <w:shd w:val="clear" w:color="auto" w:fill="B8CCE4" w:themeFill="accent1" w:themeFillTint="66"/>
            <w:vAlign w:val="center"/>
          </w:tcPr>
          <w:p w14:paraId="45EAA307" w14:textId="77777777" w:rsidR="004129D2" w:rsidRPr="007F66A7" w:rsidRDefault="004129D2" w:rsidP="00613F63">
            <w:pPr>
              <w:pStyle w:val="COMTableheadingrow"/>
              <w:keepLines/>
              <w:jc w:val="center"/>
              <w:rPr>
                <w:lang w:val="en-AU"/>
              </w:rPr>
            </w:pPr>
            <w:r w:rsidRPr="007F66A7">
              <w:rPr>
                <w:lang w:val="en-AU"/>
              </w:rPr>
              <w:t>ABVD</w:t>
            </w:r>
          </w:p>
          <w:p w14:paraId="557D0CE6" w14:textId="77777777" w:rsidR="004129D2" w:rsidRPr="007F66A7" w:rsidRDefault="004129D2" w:rsidP="00613F63">
            <w:pPr>
              <w:pStyle w:val="COMTableheadingrow"/>
              <w:keepLines/>
              <w:jc w:val="center"/>
              <w:rPr>
                <w:lang w:val="en-AU"/>
              </w:rPr>
            </w:pPr>
            <w:r w:rsidRPr="007F66A7">
              <w:rPr>
                <w:lang w:val="en-AU"/>
              </w:rPr>
              <w:t>N=659</w:t>
            </w:r>
          </w:p>
        </w:tc>
      </w:tr>
      <w:tr w:rsidR="004129D2" w:rsidRPr="007F66A7" w14:paraId="067EA151" w14:textId="77777777" w:rsidTr="00240A57">
        <w:tc>
          <w:tcPr>
            <w:tcW w:w="3551" w:type="dxa"/>
            <w:shd w:val="clear" w:color="auto" w:fill="B8CCE4" w:themeFill="accent1" w:themeFillTint="66"/>
          </w:tcPr>
          <w:p w14:paraId="655CF8DF" w14:textId="77777777" w:rsidR="004129D2" w:rsidRPr="007F66A7" w:rsidRDefault="004129D2" w:rsidP="00613F63">
            <w:pPr>
              <w:pStyle w:val="COMTabletext"/>
              <w:keepLines/>
            </w:pPr>
            <w:r w:rsidRPr="007F66A7">
              <w:t>Any adverse event</w:t>
            </w:r>
          </w:p>
        </w:tc>
        <w:tc>
          <w:tcPr>
            <w:tcW w:w="2733" w:type="dxa"/>
            <w:shd w:val="clear" w:color="auto" w:fill="B8CCE4" w:themeFill="accent1" w:themeFillTint="66"/>
            <w:vAlign w:val="center"/>
          </w:tcPr>
          <w:p w14:paraId="3AC471E8" w14:textId="77777777" w:rsidR="004129D2" w:rsidRPr="007F66A7" w:rsidRDefault="004129D2" w:rsidP="00613F63">
            <w:pPr>
              <w:pStyle w:val="COMTabletext"/>
              <w:keepLines/>
              <w:jc w:val="center"/>
            </w:pPr>
            <w:r w:rsidRPr="007F66A7">
              <w:t>653 (99)</w:t>
            </w:r>
          </w:p>
        </w:tc>
        <w:tc>
          <w:tcPr>
            <w:tcW w:w="2733" w:type="dxa"/>
            <w:shd w:val="clear" w:color="auto" w:fill="B8CCE4" w:themeFill="accent1" w:themeFillTint="66"/>
            <w:vAlign w:val="center"/>
          </w:tcPr>
          <w:p w14:paraId="1D52A487" w14:textId="77777777" w:rsidR="004129D2" w:rsidRPr="007F66A7" w:rsidRDefault="004129D2" w:rsidP="00613F63">
            <w:pPr>
              <w:pStyle w:val="COMTabletext"/>
              <w:keepLines/>
              <w:jc w:val="center"/>
            </w:pPr>
            <w:r w:rsidRPr="007F66A7">
              <w:t>646 (98)</w:t>
            </w:r>
          </w:p>
        </w:tc>
      </w:tr>
      <w:tr w:rsidR="004129D2" w:rsidRPr="007F66A7" w14:paraId="037A24F1" w14:textId="77777777" w:rsidTr="00240A57">
        <w:tc>
          <w:tcPr>
            <w:tcW w:w="3551" w:type="dxa"/>
            <w:shd w:val="clear" w:color="auto" w:fill="B8CCE4" w:themeFill="accent1" w:themeFillTint="66"/>
          </w:tcPr>
          <w:p w14:paraId="42FF64D6" w14:textId="77777777" w:rsidR="004129D2" w:rsidRPr="007F66A7" w:rsidRDefault="004129D2" w:rsidP="00613F63">
            <w:pPr>
              <w:pStyle w:val="COMTabletext"/>
              <w:keepLines/>
            </w:pPr>
            <w:r w:rsidRPr="007F66A7">
              <w:t>Grade 3 or higher adverse event</w:t>
            </w:r>
          </w:p>
        </w:tc>
        <w:tc>
          <w:tcPr>
            <w:tcW w:w="2733" w:type="dxa"/>
            <w:shd w:val="clear" w:color="auto" w:fill="B8CCE4" w:themeFill="accent1" w:themeFillTint="66"/>
            <w:vAlign w:val="center"/>
          </w:tcPr>
          <w:p w14:paraId="5ACC395C" w14:textId="77777777" w:rsidR="004129D2" w:rsidRPr="007F66A7" w:rsidRDefault="004129D2" w:rsidP="00613F63">
            <w:pPr>
              <w:pStyle w:val="COMTabletext"/>
              <w:keepLines/>
              <w:jc w:val="center"/>
            </w:pPr>
            <w:r w:rsidRPr="007F66A7">
              <w:t>549 (83)</w:t>
            </w:r>
          </w:p>
        </w:tc>
        <w:tc>
          <w:tcPr>
            <w:tcW w:w="2733" w:type="dxa"/>
            <w:shd w:val="clear" w:color="auto" w:fill="B8CCE4" w:themeFill="accent1" w:themeFillTint="66"/>
            <w:vAlign w:val="center"/>
          </w:tcPr>
          <w:p w14:paraId="67C17388" w14:textId="77777777" w:rsidR="004129D2" w:rsidRPr="007F66A7" w:rsidRDefault="004129D2" w:rsidP="00613F63">
            <w:pPr>
              <w:pStyle w:val="COMTabletext"/>
              <w:keepLines/>
              <w:jc w:val="center"/>
            </w:pPr>
            <w:r w:rsidRPr="007F66A7">
              <w:t>434 (66)</w:t>
            </w:r>
          </w:p>
        </w:tc>
      </w:tr>
      <w:tr w:rsidR="004129D2" w:rsidRPr="007F66A7" w14:paraId="5A1D010D" w14:textId="77777777" w:rsidTr="00240A57">
        <w:tc>
          <w:tcPr>
            <w:tcW w:w="3551" w:type="dxa"/>
            <w:shd w:val="clear" w:color="auto" w:fill="B8CCE4" w:themeFill="accent1" w:themeFillTint="66"/>
          </w:tcPr>
          <w:p w14:paraId="7FE7E0AD" w14:textId="77777777" w:rsidR="004129D2" w:rsidRPr="007F66A7" w:rsidRDefault="004129D2" w:rsidP="00613F63">
            <w:pPr>
              <w:pStyle w:val="COMTabletext"/>
              <w:keepLines/>
            </w:pPr>
            <w:r w:rsidRPr="007F66A7">
              <w:t>Serious adverse event</w:t>
            </w:r>
          </w:p>
        </w:tc>
        <w:tc>
          <w:tcPr>
            <w:tcW w:w="2733" w:type="dxa"/>
            <w:shd w:val="clear" w:color="auto" w:fill="B8CCE4" w:themeFill="accent1" w:themeFillTint="66"/>
            <w:vAlign w:val="center"/>
          </w:tcPr>
          <w:p w14:paraId="7DA356B6" w14:textId="77777777" w:rsidR="004129D2" w:rsidRPr="007F66A7" w:rsidRDefault="004129D2" w:rsidP="00613F63">
            <w:pPr>
              <w:pStyle w:val="COMTabletext"/>
              <w:keepLines/>
              <w:jc w:val="center"/>
            </w:pPr>
            <w:r w:rsidRPr="007F66A7">
              <w:t>284 (43)</w:t>
            </w:r>
          </w:p>
        </w:tc>
        <w:tc>
          <w:tcPr>
            <w:tcW w:w="2733" w:type="dxa"/>
            <w:shd w:val="clear" w:color="auto" w:fill="B8CCE4" w:themeFill="accent1" w:themeFillTint="66"/>
            <w:vAlign w:val="center"/>
          </w:tcPr>
          <w:p w14:paraId="7E428CB5" w14:textId="77777777" w:rsidR="004129D2" w:rsidRPr="007F66A7" w:rsidRDefault="004129D2" w:rsidP="00613F63">
            <w:pPr>
              <w:pStyle w:val="COMTabletext"/>
              <w:keepLines/>
              <w:jc w:val="center"/>
            </w:pPr>
            <w:r w:rsidRPr="007F66A7">
              <w:t>178 (27)</w:t>
            </w:r>
          </w:p>
        </w:tc>
      </w:tr>
      <w:tr w:rsidR="004129D2" w:rsidRPr="007F66A7" w14:paraId="12831A04" w14:textId="77777777" w:rsidTr="00240A57">
        <w:tc>
          <w:tcPr>
            <w:tcW w:w="3551" w:type="dxa"/>
            <w:shd w:val="clear" w:color="auto" w:fill="B8CCE4" w:themeFill="accent1" w:themeFillTint="66"/>
          </w:tcPr>
          <w:p w14:paraId="25BE2EF5" w14:textId="77777777" w:rsidR="004129D2" w:rsidRPr="007F66A7" w:rsidRDefault="004129D2" w:rsidP="00613F63">
            <w:pPr>
              <w:pStyle w:val="COMTabletext"/>
              <w:keepLines/>
            </w:pPr>
            <w:r w:rsidRPr="007F66A7">
              <w:t>Adverse events resulting in study drug discontinuation</w:t>
            </w:r>
          </w:p>
        </w:tc>
        <w:tc>
          <w:tcPr>
            <w:tcW w:w="2733" w:type="dxa"/>
            <w:shd w:val="clear" w:color="auto" w:fill="B8CCE4" w:themeFill="accent1" w:themeFillTint="66"/>
            <w:vAlign w:val="center"/>
          </w:tcPr>
          <w:p w14:paraId="0C1C41AD" w14:textId="77777777" w:rsidR="004129D2" w:rsidRPr="007F66A7" w:rsidRDefault="004129D2" w:rsidP="00613F63">
            <w:pPr>
              <w:pStyle w:val="COMTabletext"/>
              <w:keepLines/>
              <w:jc w:val="center"/>
            </w:pPr>
            <w:r w:rsidRPr="007F66A7">
              <w:t>88 (13)</w:t>
            </w:r>
          </w:p>
        </w:tc>
        <w:tc>
          <w:tcPr>
            <w:tcW w:w="2733" w:type="dxa"/>
            <w:shd w:val="clear" w:color="auto" w:fill="B8CCE4" w:themeFill="accent1" w:themeFillTint="66"/>
            <w:vAlign w:val="center"/>
          </w:tcPr>
          <w:p w14:paraId="33104711" w14:textId="77777777" w:rsidR="004129D2" w:rsidRPr="007F66A7" w:rsidRDefault="004129D2" w:rsidP="00613F63">
            <w:pPr>
              <w:pStyle w:val="COMTabletext"/>
              <w:keepLines/>
              <w:jc w:val="center"/>
            </w:pPr>
            <w:r w:rsidRPr="007F66A7">
              <w:t>105 (16)</w:t>
            </w:r>
          </w:p>
        </w:tc>
      </w:tr>
      <w:tr w:rsidR="004129D2" w:rsidRPr="007F66A7" w14:paraId="15C5A8AF" w14:textId="77777777" w:rsidTr="00240A57">
        <w:tc>
          <w:tcPr>
            <w:tcW w:w="3551" w:type="dxa"/>
            <w:shd w:val="clear" w:color="auto" w:fill="B8CCE4" w:themeFill="accent1" w:themeFillTint="66"/>
          </w:tcPr>
          <w:p w14:paraId="4A89BFD4" w14:textId="77777777" w:rsidR="004129D2" w:rsidRPr="007F66A7" w:rsidRDefault="004129D2" w:rsidP="00613F63">
            <w:pPr>
              <w:pStyle w:val="COMTabletext"/>
              <w:keepLines/>
            </w:pPr>
            <w:r w:rsidRPr="007F66A7">
              <w:t>Adverse event resulting in dose modification</w:t>
            </w:r>
          </w:p>
        </w:tc>
        <w:tc>
          <w:tcPr>
            <w:tcW w:w="2733" w:type="dxa"/>
            <w:shd w:val="clear" w:color="auto" w:fill="B8CCE4" w:themeFill="accent1" w:themeFillTint="66"/>
            <w:vAlign w:val="center"/>
          </w:tcPr>
          <w:p w14:paraId="21910095" w14:textId="77777777" w:rsidR="004129D2" w:rsidRPr="007F66A7" w:rsidRDefault="004129D2" w:rsidP="00613F63">
            <w:pPr>
              <w:pStyle w:val="COMTabletext"/>
              <w:keepLines/>
              <w:jc w:val="center"/>
            </w:pPr>
            <w:r w:rsidRPr="007F66A7">
              <w:t>423 (64)</w:t>
            </w:r>
          </w:p>
        </w:tc>
        <w:tc>
          <w:tcPr>
            <w:tcW w:w="2733" w:type="dxa"/>
            <w:shd w:val="clear" w:color="auto" w:fill="B8CCE4" w:themeFill="accent1" w:themeFillTint="66"/>
            <w:vAlign w:val="center"/>
          </w:tcPr>
          <w:p w14:paraId="52D0226E" w14:textId="77777777" w:rsidR="004129D2" w:rsidRPr="007F66A7" w:rsidRDefault="004129D2" w:rsidP="00613F63">
            <w:pPr>
              <w:pStyle w:val="COMTabletext"/>
              <w:keepLines/>
              <w:jc w:val="center"/>
            </w:pPr>
            <w:r w:rsidRPr="007F66A7">
              <w:t>293 (44)</w:t>
            </w:r>
          </w:p>
        </w:tc>
      </w:tr>
      <w:tr w:rsidR="004129D2" w:rsidRPr="007F66A7" w14:paraId="389D45AA" w14:textId="77777777" w:rsidTr="00240A57">
        <w:tc>
          <w:tcPr>
            <w:tcW w:w="3551" w:type="dxa"/>
            <w:shd w:val="clear" w:color="auto" w:fill="B8CCE4" w:themeFill="accent1" w:themeFillTint="66"/>
          </w:tcPr>
          <w:p w14:paraId="5DB92674" w14:textId="77777777" w:rsidR="004129D2" w:rsidRPr="007F66A7" w:rsidRDefault="004129D2" w:rsidP="00613F63">
            <w:pPr>
              <w:pStyle w:val="COMTabletext"/>
              <w:keepLines/>
            </w:pPr>
            <w:r w:rsidRPr="007F66A7">
              <w:t>On-study deaths</w:t>
            </w:r>
          </w:p>
        </w:tc>
        <w:tc>
          <w:tcPr>
            <w:tcW w:w="2733" w:type="dxa"/>
            <w:shd w:val="clear" w:color="auto" w:fill="B8CCE4" w:themeFill="accent1" w:themeFillTint="66"/>
            <w:vAlign w:val="center"/>
          </w:tcPr>
          <w:p w14:paraId="23051EBD" w14:textId="77777777" w:rsidR="004129D2" w:rsidRPr="007F66A7" w:rsidRDefault="004129D2" w:rsidP="00613F63">
            <w:pPr>
              <w:pStyle w:val="COMTabletext"/>
              <w:keepLines/>
              <w:jc w:val="center"/>
            </w:pPr>
            <w:r w:rsidRPr="007F66A7">
              <w:t>9 (1)</w:t>
            </w:r>
          </w:p>
        </w:tc>
        <w:tc>
          <w:tcPr>
            <w:tcW w:w="2733" w:type="dxa"/>
            <w:shd w:val="clear" w:color="auto" w:fill="B8CCE4" w:themeFill="accent1" w:themeFillTint="66"/>
            <w:vAlign w:val="center"/>
          </w:tcPr>
          <w:p w14:paraId="1678F009" w14:textId="77777777" w:rsidR="004129D2" w:rsidRPr="007F66A7" w:rsidRDefault="004129D2" w:rsidP="00613F63">
            <w:pPr>
              <w:pStyle w:val="COMTabletext"/>
              <w:keepLines/>
              <w:jc w:val="center"/>
            </w:pPr>
            <w:r w:rsidRPr="007F66A7">
              <w:t>13 (2)</w:t>
            </w:r>
          </w:p>
        </w:tc>
      </w:tr>
      <w:tr w:rsidR="004129D2" w:rsidRPr="007F66A7" w14:paraId="1047DC8C" w14:textId="77777777" w:rsidTr="00240A57">
        <w:tc>
          <w:tcPr>
            <w:tcW w:w="3551" w:type="dxa"/>
            <w:shd w:val="clear" w:color="auto" w:fill="B8CCE4" w:themeFill="accent1" w:themeFillTint="66"/>
          </w:tcPr>
          <w:p w14:paraId="04864DAC" w14:textId="77777777" w:rsidR="004129D2" w:rsidRPr="007F66A7" w:rsidRDefault="004129D2" w:rsidP="00613F63">
            <w:pPr>
              <w:pStyle w:val="COMTabletext"/>
              <w:keepLines/>
            </w:pPr>
            <w:r w:rsidRPr="007F66A7">
              <w:t>Deaths due to study treatment-related adverse events</w:t>
            </w:r>
          </w:p>
        </w:tc>
        <w:tc>
          <w:tcPr>
            <w:tcW w:w="2733" w:type="dxa"/>
            <w:shd w:val="clear" w:color="auto" w:fill="B8CCE4" w:themeFill="accent1" w:themeFillTint="66"/>
            <w:vAlign w:val="center"/>
          </w:tcPr>
          <w:p w14:paraId="2F5E7AD4" w14:textId="77777777" w:rsidR="004129D2" w:rsidRPr="007F66A7" w:rsidRDefault="004129D2" w:rsidP="00613F63">
            <w:pPr>
              <w:pStyle w:val="COMTabletext"/>
              <w:keepLines/>
              <w:jc w:val="center"/>
            </w:pPr>
            <w:r w:rsidRPr="007F66A7">
              <w:t>8 (1)</w:t>
            </w:r>
          </w:p>
        </w:tc>
        <w:tc>
          <w:tcPr>
            <w:tcW w:w="2733" w:type="dxa"/>
            <w:shd w:val="clear" w:color="auto" w:fill="B8CCE4" w:themeFill="accent1" w:themeFillTint="66"/>
            <w:vAlign w:val="center"/>
          </w:tcPr>
          <w:p w14:paraId="569AEB75" w14:textId="77777777" w:rsidR="004129D2" w:rsidRPr="007F66A7" w:rsidRDefault="004129D2" w:rsidP="00613F63">
            <w:pPr>
              <w:pStyle w:val="COMTabletext"/>
              <w:keepLines/>
              <w:jc w:val="center"/>
            </w:pPr>
            <w:r w:rsidRPr="007F66A7">
              <w:t>7 (1)</w:t>
            </w:r>
          </w:p>
        </w:tc>
      </w:tr>
      <w:tr w:rsidR="004129D2" w:rsidRPr="007F66A7" w14:paraId="6E697947" w14:textId="77777777" w:rsidTr="00240A57">
        <w:tc>
          <w:tcPr>
            <w:tcW w:w="9017" w:type="dxa"/>
            <w:gridSpan w:val="3"/>
            <w:shd w:val="clear" w:color="auto" w:fill="B8CCE4" w:themeFill="accent1" w:themeFillTint="66"/>
          </w:tcPr>
          <w:p w14:paraId="2FE48FB2" w14:textId="77777777" w:rsidR="004129D2" w:rsidRPr="007F66A7" w:rsidRDefault="004129D2" w:rsidP="00613F63">
            <w:pPr>
              <w:pStyle w:val="COMTableheadingrow"/>
              <w:keepLines/>
              <w:rPr>
                <w:lang w:val="en-AU"/>
              </w:rPr>
            </w:pPr>
            <w:r w:rsidRPr="007F66A7">
              <w:rPr>
                <w:lang w:val="en-AU"/>
              </w:rPr>
              <w:t>Adverse events of special interest</w:t>
            </w:r>
          </w:p>
        </w:tc>
      </w:tr>
      <w:tr w:rsidR="004129D2" w:rsidRPr="007F66A7" w14:paraId="17574BCD" w14:textId="77777777" w:rsidTr="00240A57">
        <w:tc>
          <w:tcPr>
            <w:tcW w:w="3551" w:type="dxa"/>
            <w:shd w:val="clear" w:color="auto" w:fill="B8CCE4" w:themeFill="accent1" w:themeFillTint="66"/>
          </w:tcPr>
          <w:p w14:paraId="5F5E7BEC" w14:textId="77777777" w:rsidR="004129D2" w:rsidRPr="007F66A7" w:rsidRDefault="004129D2" w:rsidP="00613F63">
            <w:pPr>
              <w:pStyle w:val="COMTabletext"/>
              <w:keepLines/>
            </w:pPr>
            <w:r w:rsidRPr="007F66A7">
              <w:t>Neutropenia</w:t>
            </w:r>
          </w:p>
        </w:tc>
        <w:tc>
          <w:tcPr>
            <w:tcW w:w="2733" w:type="dxa"/>
            <w:shd w:val="clear" w:color="auto" w:fill="B8CCE4" w:themeFill="accent1" w:themeFillTint="66"/>
            <w:vAlign w:val="center"/>
          </w:tcPr>
          <w:p w14:paraId="46C4F290" w14:textId="77777777" w:rsidR="004129D2" w:rsidRPr="007F66A7" w:rsidRDefault="004129D2" w:rsidP="00613F63">
            <w:pPr>
              <w:pStyle w:val="COMTabletext"/>
              <w:keepLines/>
              <w:jc w:val="center"/>
            </w:pPr>
            <w:r w:rsidRPr="007F66A7">
              <w:t>454 (69)</w:t>
            </w:r>
          </w:p>
        </w:tc>
        <w:tc>
          <w:tcPr>
            <w:tcW w:w="2733" w:type="dxa"/>
            <w:shd w:val="clear" w:color="auto" w:fill="B8CCE4" w:themeFill="accent1" w:themeFillTint="66"/>
            <w:vAlign w:val="center"/>
          </w:tcPr>
          <w:p w14:paraId="0C9A5263" w14:textId="77777777" w:rsidR="004129D2" w:rsidRPr="007F66A7" w:rsidRDefault="004129D2" w:rsidP="00613F63">
            <w:pPr>
              <w:pStyle w:val="COMTabletext"/>
              <w:keepLines/>
              <w:jc w:val="center"/>
            </w:pPr>
            <w:r w:rsidRPr="007F66A7">
              <w:t>361 (55)</w:t>
            </w:r>
          </w:p>
        </w:tc>
      </w:tr>
      <w:tr w:rsidR="004129D2" w:rsidRPr="007F66A7" w14:paraId="6BBC1550" w14:textId="77777777" w:rsidTr="00240A57">
        <w:tc>
          <w:tcPr>
            <w:tcW w:w="3551" w:type="dxa"/>
            <w:shd w:val="clear" w:color="auto" w:fill="B8CCE4" w:themeFill="accent1" w:themeFillTint="66"/>
          </w:tcPr>
          <w:p w14:paraId="0B03B4EB" w14:textId="77777777" w:rsidR="004129D2" w:rsidRPr="007F66A7" w:rsidRDefault="004129D2" w:rsidP="00613F63">
            <w:pPr>
              <w:pStyle w:val="COMTabletext"/>
              <w:keepLines/>
            </w:pPr>
            <w:r w:rsidRPr="007F66A7">
              <w:t>Febrile neutropenia</w:t>
            </w:r>
          </w:p>
        </w:tc>
        <w:tc>
          <w:tcPr>
            <w:tcW w:w="2733" w:type="dxa"/>
            <w:shd w:val="clear" w:color="auto" w:fill="B8CCE4" w:themeFill="accent1" w:themeFillTint="66"/>
            <w:vAlign w:val="center"/>
          </w:tcPr>
          <w:p w14:paraId="28404CC0" w14:textId="77777777" w:rsidR="004129D2" w:rsidRPr="007F66A7" w:rsidRDefault="004129D2" w:rsidP="00613F63">
            <w:pPr>
              <w:pStyle w:val="COMTabletext"/>
              <w:keepLines/>
              <w:jc w:val="center"/>
            </w:pPr>
            <w:r w:rsidRPr="007F66A7">
              <w:t>128 (19)</w:t>
            </w:r>
          </w:p>
        </w:tc>
        <w:tc>
          <w:tcPr>
            <w:tcW w:w="2733" w:type="dxa"/>
            <w:shd w:val="clear" w:color="auto" w:fill="B8CCE4" w:themeFill="accent1" w:themeFillTint="66"/>
            <w:vAlign w:val="center"/>
          </w:tcPr>
          <w:p w14:paraId="45CD3020" w14:textId="77777777" w:rsidR="004129D2" w:rsidRPr="007F66A7" w:rsidRDefault="004129D2" w:rsidP="00613F63">
            <w:pPr>
              <w:pStyle w:val="COMTabletext"/>
              <w:keepLines/>
              <w:jc w:val="center"/>
            </w:pPr>
            <w:r w:rsidRPr="007F66A7">
              <w:t>52 (8)</w:t>
            </w:r>
          </w:p>
        </w:tc>
      </w:tr>
      <w:tr w:rsidR="004129D2" w:rsidRPr="007F66A7" w14:paraId="46A3071D" w14:textId="77777777" w:rsidTr="00240A57">
        <w:tc>
          <w:tcPr>
            <w:tcW w:w="3551" w:type="dxa"/>
            <w:shd w:val="clear" w:color="auto" w:fill="B8CCE4" w:themeFill="accent1" w:themeFillTint="66"/>
          </w:tcPr>
          <w:p w14:paraId="298A882A" w14:textId="77777777" w:rsidR="004129D2" w:rsidRPr="007F66A7" w:rsidRDefault="004129D2" w:rsidP="00613F63">
            <w:pPr>
              <w:pStyle w:val="COMTabletext"/>
              <w:keepLines/>
            </w:pPr>
            <w:r w:rsidRPr="007F66A7">
              <w:t>Peripheral neuropathy</w:t>
            </w:r>
          </w:p>
        </w:tc>
        <w:tc>
          <w:tcPr>
            <w:tcW w:w="2733" w:type="dxa"/>
            <w:shd w:val="clear" w:color="auto" w:fill="B8CCE4" w:themeFill="accent1" w:themeFillTint="66"/>
            <w:vAlign w:val="center"/>
          </w:tcPr>
          <w:p w14:paraId="42966E87" w14:textId="77777777" w:rsidR="004129D2" w:rsidRPr="007F66A7" w:rsidRDefault="004129D2" w:rsidP="00613F63">
            <w:pPr>
              <w:pStyle w:val="COMTabletext"/>
              <w:keepLines/>
              <w:jc w:val="center"/>
            </w:pPr>
            <w:r w:rsidRPr="007F66A7">
              <w:t>442 (67)</w:t>
            </w:r>
          </w:p>
        </w:tc>
        <w:tc>
          <w:tcPr>
            <w:tcW w:w="2733" w:type="dxa"/>
            <w:shd w:val="clear" w:color="auto" w:fill="B8CCE4" w:themeFill="accent1" w:themeFillTint="66"/>
            <w:vAlign w:val="center"/>
          </w:tcPr>
          <w:p w14:paraId="201AFE85" w14:textId="77777777" w:rsidR="004129D2" w:rsidRPr="007F66A7" w:rsidRDefault="004129D2" w:rsidP="00613F63">
            <w:pPr>
              <w:pStyle w:val="COMTabletext"/>
              <w:keepLines/>
              <w:jc w:val="center"/>
            </w:pPr>
            <w:r w:rsidRPr="007F66A7">
              <w:t>286 (43)</w:t>
            </w:r>
          </w:p>
        </w:tc>
      </w:tr>
      <w:tr w:rsidR="004129D2" w:rsidRPr="007F66A7" w14:paraId="1018C08B" w14:textId="77777777" w:rsidTr="00240A57">
        <w:tc>
          <w:tcPr>
            <w:tcW w:w="3551" w:type="dxa"/>
            <w:shd w:val="clear" w:color="auto" w:fill="B8CCE4" w:themeFill="accent1" w:themeFillTint="66"/>
          </w:tcPr>
          <w:p w14:paraId="7754B25B" w14:textId="77777777" w:rsidR="004129D2" w:rsidRPr="007F66A7" w:rsidRDefault="004129D2" w:rsidP="00613F63">
            <w:pPr>
              <w:pStyle w:val="COMTabletext"/>
              <w:keepLines/>
            </w:pPr>
            <w:r w:rsidRPr="007F66A7">
              <w:t>Pulmonary toxicity</w:t>
            </w:r>
          </w:p>
        </w:tc>
        <w:tc>
          <w:tcPr>
            <w:tcW w:w="2733" w:type="dxa"/>
            <w:shd w:val="clear" w:color="auto" w:fill="B8CCE4" w:themeFill="accent1" w:themeFillTint="66"/>
            <w:vAlign w:val="center"/>
          </w:tcPr>
          <w:p w14:paraId="074B5090" w14:textId="77777777" w:rsidR="004129D2" w:rsidRPr="007F66A7" w:rsidRDefault="004129D2" w:rsidP="00613F63">
            <w:pPr>
              <w:pStyle w:val="COMTabletext"/>
              <w:keepLines/>
              <w:jc w:val="center"/>
            </w:pPr>
            <w:r w:rsidRPr="007F66A7">
              <w:t>12 (2)</w:t>
            </w:r>
          </w:p>
        </w:tc>
        <w:tc>
          <w:tcPr>
            <w:tcW w:w="2733" w:type="dxa"/>
            <w:shd w:val="clear" w:color="auto" w:fill="B8CCE4" w:themeFill="accent1" w:themeFillTint="66"/>
            <w:vAlign w:val="center"/>
          </w:tcPr>
          <w:p w14:paraId="6F5E4F65" w14:textId="77777777" w:rsidR="004129D2" w:rsidRPr="007F66A7" w:rsidRDefault="004129D2" w:rsidP="00613F63">
            <w:pPr>
              <w:pStyle w:val="COMTabletext"/>
              <w:keepLines/>
              <w:jc w:val="center"/>
            </w:pPr>
            <w:r w:rsidRPr="007F66A7">
              <w:t>44 (7)</w:t>
            </w:r>
          </w:p>
        </w:tc>
      </w:tr>
      <w:tr w:rsidR="004129D2" w:rsidRPr="007F66A7" w14:paraId="0F52EDE6" w14:textId="77777777" w:rsidTr="00240A57">
        <w:tc>
          <w:tcPr>
            <w:tcW w:w="3551" w:type="dxa"/>
            <w:shd w:val="clear" w:color="auto" w:fill="B8CCE4" w:themeFill="accent1" w:themeFillTint="66"/>
          </w:tcPr>
          <w:p w14:paraId="209F48E0" w14:textId="77777777" w:rsidR="004129D2" w:rsidRPr="007F66A7" w:rsidRDefault="004129D2" w:rsidP="00613F63">
            <w:pPr>
              <w:pStyle w:val="COMTabletext"/>
              <w:keepLines/>
            </w:pPr>
            <w:r w:rsidRPr="007F66A7">
              <w:t>Infusion-related reactions</w:t>
            </w:r>
          </w:p>
        </w:tc>
        <w:tc>
          <w:tcPr>
            <w:tcW w:w="2733" w:type="dxa"/>
            <w:shd w:val="clear" w:color="auto" w:fill="B8CCE4" w:themeFill="accent1" w:themeFillTint="66"/>
            <w:vAlign w:val="center"/>
          </w:tcPr>
          <w:p w14:paraId="19BB6B94" w14:textId="77777777" w:rsidR="004129D2" w:rsidRPr="007F66A7" w:rsidRDefault="004129D2" w:rsidP="00613F63">
            <w:pPr>
              <w:pStyle w:val="COMTabletext"/>
              <w:keepLines/>
              <w:jc w:val="center"/>
            </w:pPr>
            <w:r w:rsidRPr="007F66A7">
              <w:t>57 (9)</w:t>
            </w:r>
          </w:p>
        </w:tc>
        <w:tc>
          <w:tcPr>
            <w:tcW w:w="2733" w:type="dxa"/>
            <w:shd w:val="clear" w:color="auto" w:fill="B8CCE4" w:themeFill="accent1" w:themeFillTint="66"/>
            <w:vAlign w:val="center"/>
          </w:tcPr>
          <w:p w14:paraId="461ADB11" w14:textId="77777777" w:rsidR="004129D2" w:rsidRPr="007F66A7" w:rsidRDefault="004129D2" w:rsidP="00613F63">
            <w:pPr>
              <w:pStyle w:val="COMTabletext"/>
              <w:keepLines/>
              <w:jc w:val="center"/>
            </w:pPr>
            <w:r w:rsidRPr="007F66A7">
              <w:t>100 (15)</w:t>
            </w:r>
          </w:p>
        </w:tc>
      </w:tr>
    </w:tbl>
    <w:p w14:paraId="762AAAD9" w14:textId="77777777" w:rsidR="00692752" w:rsidRPr="007F66A7" w:rsidRDefault="00692752" w:rsidP="00613F63">
      <w:pPr>
        <w:pStyle w:val="COMTablefooter"/>
        <w:keepNext/>
        <w:keepLines/>
      </w:pPr>
      <w:r w:rsidRPr="007F66A7">
        <w:t>Source: Table 12.f, p234 of the ECHELON-1 clinical study report</w:t>
      </w:r>
    </w:p>
    <w:p w14:paraId="50E40A9C" w14:textId="5DE93068" w:rsidR="00A837D2" w:rsidRPr="007F66A7" w:rsidRDefault="00692752" w:rsidP="00613F63">
      <w:pPr>
        <w:pStyle w:val="COMTablefooter"/>
        <w:keepNext/>
        <w:keepLines/>
      </w:pPr>
      <w:r w:rsidRPr="007F66A7">
        <w:t>Abbreviations: A+AVD, brentuximab vedotin plus doxorubicin, vinblastine, dacarbazine; ABVD, doxorubicin, bleomycin, vinblastine, and dacarbazine</w:t>
      </w:r>
    </w:p>
    <w:p w14:paraId="06737013" w14:textId="5040A80F" w:rsidR="000A34BC" w:rsidRPr="007F66A7" w:rsidRDefault="000A34BC" w:rsidP="00613F63">
      <w:pPr>
        <w:pStyle w:val="COMTablefooter"/>
        <w:keepNext/>
        <w:keepLines/>
      </w:pPr>
      <w:r w:rsidRPr="007F66A7">
        <w:t>Note: Blue shading delineates data presented in the March 2024 submission</w:t>
      </w:r>
    </w:p>
    <w:p w14:paraId="2E98AB92" w14:textId="64DD2C98" w:rsidR="00E94DE5" w:rsidRPr="007F66A7" w:rsidRDefault="00E94DE5" w:rsidP="00E94DE5">
      <w:pPr>
        <w:pStyle w:val="COMexecsummnumbered"/>
      </w:pPr>
      <w:r w:rsidRPr="007F66A7">
        <w:t>Almost all patients in both treatment arms experienced an adverse event. Treatment-emergent adverse events reported in ≥10% of patients in either treatment arm and in ≥10% more patients in the A+AVD arm compared to the ABVD arm were neutropenia, peripheral neuropathy, weight decreased, abdominal pain, anaemia and febrile neutropenia. Adverse events leading to premature discontinuation of study drug were reported more frequently for patients in the ABVD arm compared to the A+AVD arm. However, more patients in the A+AVD arm experienced adverse events resulting in dose modifications compared to ABVD, most commonly due to neutropenia and neuropathy.</w:t>
      </w:r>
      <w:r w:rsidR="001550D5" w:rsidRPr="007F66A7">
        <w:t xml:space="preserve"> </w:t>
      </w:r>
    </w:p>
    <w:p w14:paraId="7E43A741" w14:textId="7F489F62" w:rsidR="005D26B4" w:rsidRPr="007F66A7" w:rsidRDefault="006C0CC5" w:rsidP="00692752">
      <w:pPr>
        <w:pStyle w:val="COMexecsummnumbered"/>
      </w:pPr>
      <w:r w:rsidRPr="007F66A7">
        <w:t>More patients in the A+AVD arm experienced a serious adverse event compared to those in the ABVD arm. The most frequently reported serious adverse events in the A+AVD arm were febrile neutropenia, pyrexia, neutropenia, pneumonia, abdominal pain, sepsis, constipation, diarrhoea, pulmonary embolism, vomiting and dehydration. In the ABVD arm, the most frequently reported serious adverse events were febrile neutropenia, pyrexia, pneumonia and pneumonitis.</w:t>
      </w:r>
    </w:p>
    <w:p w14:paraId="1BF18F17" w14:textId="77777777" w:rsidR="00DF060F" w:rsidRPr="007F66A7" w:rsidRDefault="000E4FBD" w:rsidP="00692752">
      <w:pPr>
        <w:pStyle w:val="COMexecsummnumbered"/>
      </w:pPr>
      <w:r w:rsidRPr="007F66A7">
        <w:t xml:space="preserve">On-study death occurred in 9 patients in the A+AVD arm. Of these deaths, 8 were considered treatment related by the investigator. The majority of on-study deaths were associated with neutropenia and its complications, including neutropenic sepsis and septic shock. Most of the deaths (6 of 9) occurred in the first cycle of treatment. None of the A+AVD patients who died on-study had received G-CSF primary prophylaxis. </w:t>
      </w:r>
    </w:p>
    <w:p w14:paraId="50709645" w14:textId="77777777" w:rsidR="00DF060F" w:rsidRPr="007F66A7" w:rsidRDefault="000E4FBD" w:rsidP="00692752">
      <w:pPr>
        <w:pStyle w:val="COMexecsummnumbered"/>
      </w:pPr>
      <w:r w:rsidRPr="007F66A7">
        <w:t xml:space="preserve">In the ABVD arm, on-study death occurred in 13 patients and 7 of these were considered treatment related by the investigator. The majority of on-study deaths </w:t>
      </w:r>
      <w:r w:rsidRPr="007F66A7">
        <w:lastRenderedPageBreak/>
        <w:t xml:space="preserve">were associated with pulmonary toxicity. Most of the deaths (10 of 13) occurred in the fifth and sixth cycles of treatment. </w:t>
      </w:r>
    </w:p>
    <w:p w14:paraId="3B3EC023" w14:textId="180BD7FA" w:rsidR="006C0CC5" w:rsidRPr="007F66A7" w:rsidRDefault="000E4FBD" w:rsidP="00692752">
      <w:pPr>
        <w:pStyle w:val="COMexecsummnumbered"/>
      </w:pPr>
      <w:r w:rsidRPr="007F66A7">
        <w:t>As of the March 2023 cut off, there were 46 deaths (7%) in the A+AVD arm and 69 deaths (10%) in the ABVD arm. The deaths of 22 patients (3%) in the A+AVD arm and 30 patients (5%) in the ABVD arm were considered disease related.</w:t>
      </w:r>
    </w:p>
    <w:p w14:paraId="5442796B" w14:textId="313EAF67" w:rsidR="00DB75C3" w:rsidRPr="007F66A7" w:rsidRDefault="00852679" w:rsidP="00DB75C3">
      <w:pPr>
        <w:pStyle w:val="COMexecsummnumbered"/>
      </w:pPr>
      <w:r w:rsidRPr="007F66A7">
        <w:t xml:space="preserve">The resubmission claimed </w:t>
      </w:r>
      <w:r w:rsidR="00EB3310" w:rsidRPr="007F66A7">
        <w:t>the safety profile of A+AVD in the trial may be worse than in clinical practice due to differences in the use of G-CSF primary prophylaxis.</w:t>
      </w:r>
      <w:r w:rsidR="00DB75C3" w:rsidRPr="007F66A7">
        <w:t xml:space="preserve"> Subgroup analyses indicated</w:t>
      </w:r>
      <w:r w:rsidR="00616F89" w:rsidRPr="007F66A7">
        <w:t xml:space="preserve"> a</w:t>
      </w:r>
      <w:r w:rsidR="00DB75C3" w:rsidRPr="007F66A7">
        <w:t xml:space="preserve"> lower incidence of febrile neutropenia, neutropenia, infections and infestations and deaths in both treatment arms with use of G-CSF by day 5 of the first treatment cycle. However, the proportion of patients with these adverse events (including serious adverse events) remained higher in the A+AVD arm compared to the ABVD arm regardless of G-CSF use.</w:t>
      </w:r>
    </w:p>
    <w:p w14:paraId="1DC83CD9" w14:textId="13CD19EC" w:rsidR="00275DDC" w:rsidRPr="007F66A7" w:rsidRDefault="00E022E7" w:rsidP="00692752">
      <w:pPr>
        <w:pStyle w:val="COMexecsummnumbered"/>
      </w:pPr>
      <w:r w:rsidRPr="007F66A7">
        <w:t xml:space="preserve">The trial included a comprehensive review of </w:t>
      </w:r>
      <w:r w:rsidR="00A975C6" w:rsidRPr="007F66A7">
        <w:t xml:space="preserve">the frequency and severity of </w:t>
      </w:r>
      <w:r w:rsidRPr="007F66A7">
        <w:t>peripheral neuropathy events. The most frequently reported peripheral neuropathy events were peripheral sensory neuropathy, peripheral neuropathy, paraesthesia and peripheral motor neuropathy. A higher proportion of patients in the A+AVD arm had peripheral neuropathy events of Grade 3 or higher severity (9%) compared to those in the ABVD arm (2%). At the latest follow-up (March 2023 data cut), more patients in the A+AVD arm (28%) had ongoing peripheral neuropathy compared to the ABVD arm (20%). A higher proportion of patients in the A+AVD arm (24%) had ongoing peripheral motor neuropathy events compared to the ABVD arm (10%).</w:t>
      </w:r>
    </w:p>
    <w:p w14:paraId="5FC05326" w14:textId="742F3161" w:rsidR="00871A00" w:rsidRPr="007F66A7" w:rsidRDefault="00871A00" w:rsidP="00692752">
      <w:pPr>
        <w:pStyle w:val="COMexecsummnumbered"/>
      </w:pPr>
      <w:r w:rsidRPr="007F66A7">
        <w:t>Pulmonary toxicity is known to be associated with bleomycin, which is the likely contributor to the increased incidence of these events in the ABVD arm compared to the A+AVD arm. Serious pulmonary toxicity events were reported for 5 A+AVD patients (&lt;1%) and 21 ABVD patients (3%), including 3 ABVD patients with a fatal event. No fatal events related to pulmonary toxicity were reported for the A+AVD arm. Pulmonary toxicity was not systematically assessed after the completion of frontline treatment.</w:t>
      </w:r>
    </w:p>
    <w:p w14:paraId="60B7E91F" w14:textId="0F9BA2C0" w:rsidR="00413898" w:rsidRPr="007F66A7" w:rsidRDefault="00413898" w:rsidP="00692752">
      <w:pPr>
        <w:pStyle w:val="COMexecsummnumbered"/>
      </w:pPr>
      <w:r w:rsidRPr="007F66A7">
        <w:t xml:space="preserve">Secondary malignancy was a long-term safety outcome reported in the trial. Based on the March 2023 data cut, a secondary malignancy (solid tumours and haematological malignancies) was reported for 33 patients in </w:t>
      </w:r>
      <w:r w:rsidR="008D5AC4" w:rsidRPr="007F66A7">
        <w:t xml:space="preserve">the </w:t>
      </w:r>
      <w:r w:rsidRPr="007F66A7">
        <w:t>A+AVD arm (5%) and 39 patients in the ABVD arm (6%). The incidence of secondary malignancies was higher among patients aged ≥60 years, occurring in 12 patients in the A+AVD arm (12%) and 17 patients in the ABVD arm (17%).</w:t>
      </w:r>
    </w:p>
    <w:p w14:paraId="10D057F0" w14:textId="5EB21FA9" w:rsidR="0049292C" w:rsidRPr="007F66A7" w:rsidRDefault="0049292C" w:rsidP="00692752">
      <w:pPr>
        <w:pStyle w:val="COMexecsummnumbered"/>
      </w:pPr>
      <w:r w:rsidRPr="007F66A7">
        <w:t>Fertility was not formally assessed in the trial; however, similar numbers of pregnancies were recorded in each arm at the March 2023 cut off. There were 165 pregnancies in 92 patients or partners in the A+AVD group (14%) and 73 pregnancies in patients or partners in the ABVD group (11%).</w:t>
      </w:r>
    </w:p>
    <w:p w14:paraId="7D1769AE" w14:textId="73913BED" w:rsidR="00E06483" w:rsidRPr="007F66A7" w:rsidRDefault="003C37E9" w:rsidP="00692752">
      <w:pPr>
        <w:pStyle w:val="COMexecsummnumbered"/>
      </w:pPr>
      <w:r w:rsidRPr="007F66A7">
        <w:t xml:space="preserve">The resubmission presented </w:t>
      </w:r>
      <w:r w:rsidR="00D7251D" w:rsidRPr="007F66A7">
        <w:t xml:space="preserve">data on potential safety concerns based on the Periodic Benefit-Risk Evaluation Report (PBRER) for the period from 19 August 2023 to 18 August 2024. Important identified risks included progressive multifocal </w:t>
      </w:r>
      <w:r w:rsidR="00D7251D" w:rsidRPr="007F66A7">
        <w:lastRenderedPageBreak/>
        <w:t>leukoencephalopathy, pulmonary toxicity associated with combination use of bleomycin and brentuximab vedotin, peripheral neuropathy, myelosuppression, infections, infusion-related reactions, hyperglycaemia, Steven-Johnson syndrome (SJS)/</w:t>
      </w:r>
      <w:r w:rsidR="00A80792" w:rsidRPr="007F66A7">
        <w:t>t</w:t>
      </w:r>
      <w:r w:rsidR="00D7251D" w:rsidRPr="007F66A7">
        <w:t>oxic epidermal necrolysis (TEN), tumour lysis syndrome and anti-drug antibodies. Important potential risks were severe hepatotoxicity, pulmonary toxicity, gastrointestinal complications, reproductive toxicity and thymus depletion (paediatrics). Missing information included long term safety. No new safety signals were identified during the reporting period.</w:t>
      </w:r>
    </w:p>
    <w:p w14:paraId="437F46F4" w14:textId="5F916D12" w:rsidR="00D64451" w:rsidRPr="007F66A7" w:rsidRDefault="00162E2E" w:rsidP="00BB10EC">
      <w:pPr>
        <w:pStyle w:val="COMexecsummnumbered"/>
      </w:pPr>
      <w:r w:rsidRPr="007F66A7">
        <w:t>The evaluation noted that t</w:t>
      </w:r>
      <w:r w:rsidR="00EE57D6" w:rsidRPr="007F66A7">
        <w:t>here are limited long-term safety data particularly for late complications such as secondary malignancies as these tend to occur 10 to 20 years post treatment, beyond the planned follow-up for the ECHELON-1 trial.</w:t>
      </w:r>
    </w:p>
    <w:p w14:paraId="04908C7F" w14:textId="415B9B7D" w:rsidR="007F1017" w:rsidRPr="007F66A7" w:rsidRDefault="007F1017" w:rsidP="003D5DE7">
      <w:pPr>
        <w:pStyle w:val="COMH2-non-numbered"/>
      </w:pPr>
      <w:bookmarkStart w:id="32" w:name="_Toc22897643"/>
      <w:bookmarkStart w:id="33" w:name="_Toc198653244"/>
      <w:r w:rsidRPr="007F66A7">
        <w:t>Benefits/harms</w:t>
      </w:r>
      <w:bookmarkEnd w:id="32"/>
      <w:bookmarkEnd w:id="33"/>
    </w:p>
    <w:p w14:paraId="3F8246B8" w14:textId="1AFEC85D" w:rsidR="003F39EE" w:rsidRPr="007F66A7" w:rsidRDefault="003F39EE" w:rsidP="003F39EE">
      <w:pPr>
        <w:pStyle w:val="COMexecsummnumbered"/>
        <w:rPr>
          <w:snapToGrid w:val="0"/>
        </w:rPr>
      </w:pPr>
      <w:r w:rsidRPr="007F66A7">
        <w:rPr>
          <w:snapToGrid w:val="0"/>
        </w:rPr>
        <w:t xml:space="preserve">On the basis of direct evidence presented in the </w:t>
      </w:r>
      <w:r w:rsidR="00A80792" w:rsidRPr="007F66A7">
        <w:rPr>
          <w:snapToGrid w:val="0"/>
        </w:rPr>
        <w:t>re</w:t>
      </w:r>
      <w:r w:rsidRPr="007F66A7">
        <w:rPr>
          <w:snapToGrid w:val="0"/>
        </w:rPr>
        <w:t>submission, after a median duration of follow-up of 2 years (April 2017 cut off), for every 100 patients treated with A+AVD compared to ABVD:</w:t>
      </w:r>
    </w:p>
    <w:p w14:paraId="03DFE82D" w14:textId="77777777" w:rsidR="003F39EE" w:rsidRPr="007F66A7" w:rsidRDefault="003F39EE" w:rsidP="005D629C">
      <w:pPr>
        <w:pStyle w:val="ListParagraph"/>
        <w:numPr>
          <w:ilvl w:val="0"/>
          <w:numId w:val="15"/>
        </w:numPr>
      </w:pPr>
      <w:r w:rsidRPr="007F66A7">
        <w:t>Approximately 4 fewer patients would experience a modified progression-free survival event at 3 years (disease progression, death or subsequent treatment after incomplete response at the end of frontline treatment).</w:t>
      </w:r>
    </w:p>
    <w:p w14:paraId="3FDAA5F8" w14:textId="3601F714" w:rsidR="003F39EE" w:rsidRPr="007F66A7" w:rsidRDefault="00A80792" w:rsidP="005D629C">
      <w:pPr>
        <w:pStyle w:val="ListParagraph"/>
        <w:numPr>
          <w:ilvl w:val="0"/>
          <w:numId w:val="15"/>
        </w:numPr>
      </w:pPr>
      <w:r w:rsidRPr="007F66A7">
        <w:t xml:space="preserve">There </w:t>
      </w:r>
      <w:r w:rsidR="005030F0" w:rsidRPr="007F66A7">
        <w:t>would be n</w:t>
      </w:r>
      <w:r w:rsidR="003F39EE" w:rsidRPr="007F66A7">
        <w:t>o apparent difference in deaths.</w:t>
      </w:r>
    </w:p>
    <w:p w14:paraId="421DE799" w14:textId="77777777" w:rsidR="003F39EE" w:rsidRPr="007F66A7" w:rsidRDefault="003F39EE" w:rsidP="005D629C">
      <w:pPr>
        <w:pStyle w:val="ListParagraph"/>
        <w:numPr>
          <w:ilvl w:val="0"/>
          <w:numId w:val="15"/>
        </w:numPr>
      </w:pPr>
      <w:r w:rsidRPr="007F66A7">
        <w:t>Approximately 16 additional patients would experience a serious adverse event that is life-threatening or required hospitalisation.</w:t>
      </w:r>
    </w:p>
    <w:p w14:paraId="104A9D85" w14:textId="77777777" w:rsidR="003F39EE" w:rsidRPr="007F66A7" w:rsidRDefault="003F39EE" w:rsidP="005D629C">
      <w:pPr>
        <w:pStyle w:val="ListParagraph"/>
        <w:numPr>
          <w:ilvl w:val="0"/>
          <w:numId w:val="15"/>
        </w:numPr>
      </w:pPr>
      <w:r w:rsidRPr="007F66A7">
        <w:t>Approximately 14 additional patients would experience neutropenia.</w:t>
      </w:r>
    </w:p>
    <w:p w14:paraId="1989AEFE" w14:textId="77777777" w:rsidR="003F39EE" w:rsidRPr="007F66A7" w:rsidRDefault="003F39EE" w:rsidP="005D629C">
      <w:pPr>
        <w:pStyle w:val="ListParagraph"/>
        <w:numPr>
          <w:ilvl w:val="0"/>
          <w:numId w:val="15"/>
        </w:numPr>
      </w:pPr>
      <w:r w:rsidRPr="007F66A7">
        <w:t>Approximately 11 additional patients would experience febrile neutropenia.</w:t>
      </w:r>
    </w:p>
    <w:p w14:paraId="520AF82D" w14:textId="77777777" w:rsidR="003F39EE" w:rsidRPr="007F66A7" w:rsidRDefault="003F39EE" w:rsidP="005D629C">
      <w:pPr>
        <w:pStyle w:val="ListParagraph"/>
        <w:numPr>
          <w:ilvl w:val="0"/>
          <w:numId w:val="15"/>
        </w:numPr>
      </w:pPr>
      <w:r w:rsidRPr="007F66A7">
        <w:t>Approximately 24 additional patients would experience peripheral neuropathy.</w:t>
      </w:r>
    </w:p>
    <w:p w14:paraId="09DFAF24" w14:textId="77777777" w:rsidR="003F39EE" w:rsidRPr="007F66A7" w:rsidRDefault="003F39EE" w:rsidP="005D629C">
      <w:pPr>
        <w:pStyle w:val="ListParagraph"/>
        <w:numPr>
          <w:ilvl w:val="0"/>
          <w:numId w:val="15"/>
        </w:numPr>
      </w:pPr>
      <w:r w:rsidRPr="007F66A7">
        <w:t>Approximately 5 fewer patients would experience pulmonary toxicity.</w:t>
      </w:r>
    </w:p>
    <w:p w14:paraId="63AF7D42" w14:textId="08DBC98A" w:rsidR="00816ABF" w:rsidRPr="007F66A7" w:rsidRDefault="00816ABF" w:rsidP="00816ABF">
      <w:pPr>
        <w:pStyle w:val="COMexecsummnumbered"/>
      </w:pPr>
      <w:r w:rsidRPr="007F66A7">
        <w:t xml:space="preserve">On the basis of direct evidence presented in the submission, after a median duration of follow-up of </w:t>
      </w:r>
      <w:r w:rsidR="0024763D" w:rsidRPr="007F66A7">
        <w:t>7.5</w:t>
      </w:r>
      <w:r w:rsidRPr="007F66A7">
        <w:t xml:space="preserve"> years (</w:t>
      </w:r>
      <w:r w:rsidR="0024763D" w:rsidRPr="007F66A7">
        <w:t>March 2023 data cut</w:t>
      </w:r>
      <w:r w:rsidRPr="007F66A7">
        <w:t>), for every 100 patients treated with A+AVD compared to ABVD:</w:t>
      </w:r>
    </w:p>
    <w:p w14:paraId="192785C7" w14:textId="215FE82B" w:rsidR="0024763D" w:rsidRPr="007F66A7" w:rsidRDefault="0024763D" w:rsidP="005D629C">
      <w:pPr>
        <w:pStyle w:val="COMexecsummnumbered"/>
        <w:numPr>
          <w:ilvl w:val="0"/>
          <w:numId w:val="16"/>
        </w:numPr>
      </w:pPr>
      <w:r w:rsidRPr="007F66A7">
        <w:t xml:space="preserve">Approximately </w:t>
      </w:r>
      <w:r w:rsidR="0085336C" w:rsidRPr="007F66A7">
        <w:t xml:space="preserve">8 fewer patients would experience a modified progression-free survival event at 8 years (disease progression, death or subsequent treatment after incomplete response at the end of frontline treatment). </w:t>
      </w:r>
    </w:p>
    <w:p w14:paraId="5F941C9E" w14:textId="4EB727F5" w:rsidR="00392864" w:rsidRPr="007F66A7" w:rsidRDefault="0085336C" w:rsidP="005D629C">
      <w:pPr>
        <w:pStyle w:val="COMexecsummnumbered"/>
        <w:numPr>
          <w:ilvl w:val="0"/>
          <w:numId w:val="16"/>
        </w:numPr>
      </w:pPr>
      <w:r w:rsidRPr="007F66A7">
        <w:t xml:space="preserve">Approximately </w:t>
      </w:r>
      <w:r w:rsidR="00392864" w:rsidRPr="007F66A7">
        <w:t>5 fewer patients would have died at 8 years.</w:t>
      </w:r>
    </w:p>
    <w:p w14:paraId="3B653B96" w14:textId="6C481499" w:rsidR="00FC1884" w:rsidRPr="007F66A7" w:rsidRDefault="00392864" w:rsidP="00F06D1A">
      <w:pPr>
        <w:pStyle w:val="COMexecsummnumbered"/>
      </w:pPr>
      <w:r w:rsidRPr="007F66A7">
        <w:t>Comprehensive safety data were not available for the March 2023 data cut.</w:t>
      </w:r>
    </w:p>
    <w:p w14:paraId="7A1772B6" w14:textId="62558CE7" w:rsidR="00B60939" w:rsidRPr="007F66A7" w:rsidRDefault="00B60939" w:rsidP="003D5DE7">
      <w:pPr>
        <w:pStyle w:val="COMH2-non-numbered"/>
      </w:pPr>
      <w:bookmarkStart w:id="34" w:name="_Toc22897644"/>
      <w:bookmarkStart w:id="35" w:name="_Toc198653245"/>
      <w:r w:rsidRPr="007F66A7">
        <w:t>Clinical claim</w:t>
      </w:r>
      <w:bookmarkEnd w:id="34"/>
      <w:bookmarkEnd w:id="35"/>
    </w:p>
    <w:p w14:paraId="289EAA5E" w14:textId="3E1DD559" w:rsidR="007C70FF" w:rsidRPr="00F5041B" w:rsidRDefault="002510A7" w:rsidP="002510A7">
      <w:pPr>
        <w:pStyle w:val="COMexecsummnumbered"/>
      </w:pPr>
      <w:r w:rsidRPr="00F5041B">
        <w:t xml:space="preserve">The resubmission described A+AVD as superior in terms of efficacy compared to PET-adapted ABVD (using non-PET-adapted ABVD as a proxy). The PBAC previously </w:t>
      </w:r>
      <w:r w:rsidRPr="00F5041B">
        <w:lastRenderedPageBreak/>
        <w:t>considered that the claim of superior efficacy for A+AVD compared to PET-adapted ABVD (with options to escalate/de-escalate treatment) was highly uncertain based on the supportive evidence presented and high level of censoring in the key trial, but likely to be reasonable (para 7.8, brentuximab vedotin PSD, March 2024 PBAC meeting).</w:t>
      </w:r>
      <w:r w:rsidR="0096080B" w:rsidRPr="00F5041B">
        <w:t xml:space="preserve"> </w:t>
      </w:r>
      <w:r w:rsidR="00D17B2B" w:rsidRPr="00F5041B">
        <w:t xml:space="preserve">The </w:t>
      </w:r>
      <w:r w:rsidR="0096080B" w:rsidRPr="00F5041B">
        <w:t xml:space="preserve">ESC considered </w:t>
      </w:r>
      <w:r w:rsidR="008C1164" w:rsidRPr="00F5041B">
        <w:t xml:space="preserve">that </w:t>
      </w:r>
      <w:r w:rsidR="00877164" w:rsidRPr="00F5041B">
        <w:t xml:space="preserve">the level of </w:t>
      </w:r>
      <w:r w:rsidR="00F653E5" w:rsidRPr="00F5041B">
        <w:t xml:space="preserve">uncertainty </w:t>
      </w:r>
      <w:r w:rsidR="00EA5E60" w:rsidRPr="00F5041B">
        <w:t xml:space="preserve">associated with the claim of superior efficacy </w:t>
      </w:r>
      <w:r w:rsidR="00F653E5" w:rsidRPr="00F5041B">
        <w:t>ha</w:t>
      </w:r>
      <w:r w:rsidR="00681E3E" w:rsidRPr="00F5041B">
        <w:t>d</w:t>
      </w:r>
      <w:r w:rsidR="00F653E5" w:rsidRPr="00F5041B">
        <w:t xml:space="preserve"> been reduced </w:t>
      </w:r>
      <w:r w:rsidR="0096080B" w:rsidRPr="00F5041B">
        <w:t>with the extended patient follow</w:t>
      </w:r>
      <w:r w:rsidR="002A18CF">
        <w:t>-</w:t>
      </w:r>
      <w:r w:rsidR="0096080B" w:rsidRPr="00F5041B">
        <w:t>up</w:t>
      </w:r>
      <w:r w:rsidR="00DF72D3" w:rsidRPr="00F5041B">
        <w:t xml:space="preserve"> data</w:t>
      </w:r>
      <w:r w:rsidR="0096080B" w:rsidRPr="00F5041B">
        <w:t xml:space="preserve"> presented in the resubmission</w:t>
      </w:r>
      <w:r w:rsidR="00681E3E" w:rsidRPr="00F5041B">
        <w:t xml:space="preserve">. </w:t>
      </w:r>
      <w:r w:rsidR="006602FA" w:rsidRPr="00F5041B">
        <w:t>The ESC considered</w:t>
      </w:r>
      <w:r w:rsidR="00F653E5" w:rsidRPr="00F5041B">
        <w:t xml:space="preserve"> </w:t>
      </w:r>
      <w:r w:rsidR="0096080B" w:rsidRPr="00F5041B">
        <w:t xml:space="preserve">the clinical claim of </w:t>
      </w:r>
      <w:r w:rsidR="00FC37D4" w:rsidRPr="00F5041B">
        <w:t xml:space="preserve">superior </w:t>
      </w:r>
      <w:r w:rsidR="0096080B" w:rsidRPr="00F5041B">
        <w:t xml:space="preserve">efficacy was met for both modified </w:t>
      </w:r>
      <w:r w:rsidR="00694198" w:rsidRPr="00F5041B">
        <w:t>progression free survival</w:t>
      </w:r>
      <w:r w:rsidR="0096080B" w:rsidRPr="00F5041B">
        <w:t xml:space="preserve"> and </w:t>
      </w:r>
      <w:r w:rsidR="00FE634D" w:rsidRPr="00F5041B">
        <w:t>overall survival</w:t>
      </w:r>
      <w:r w:rsidR="0096080B" w:rsidRPr="00F5041B">
        <w:t>.</w:t>
      </w:r>
    </w:p>
    <w:p w14:paraId="13B32FAD" w14:textId="1D74A212" w:rsidR="00B527DD" w:rsidRPr="00F5041B" w:rsidRDefault="00B527DD" w:rsidP="00B527DD">
      <w:pPr>
        <w:pStyle w:val="COMexecsummnumbered"/>
      </w:pPr>
      <w:r w:rsidRPr="00F5041B">
        <w:t xml:space="preserve">The resubmission claimed that </w:t>
      </w:r>
      <w:r w:rsidR="0052669A" w:rsidRPr="00F5041B">
        <w:t>non-PET-adapted ABVD is similar to PET-adapted ABVD in terms of efficacy</w:t>
      </w:r>
      <w:r w:rsidR="008A6CCF" w:rsidRPr="00F5041B">
        <w:t xml:space="preserve"> and </w:t>
      </w:r>
      <w:r w:rsidR="00E93FA5" w:rsidRPr="00F5041B">
        <w:t>therefore</w:t>
      </w:r>
      <w:r w:rsidR="008A6CCF" w:rsidRPr="00F5041B">
        <w:t xml:space="preserve"> the ABVD arm of ECHELON-1 is a reasonable proxy for the efficacy of PET-adapted ABVD.</w:t>
      </w:r>
      <w:r w:rsidR="006A2920" w:rsidRPr="00F5041B">
        <w:t xml:space="preserve"> </w:t>
      </w:r>
      <w:r w:rsidR="000F2FFA" w:rsidRPr="00F5041B">
        <w:t>The evaluation considered that t</w:t>
      </w:r>
      <w:r w:rsidR="006A2920" w:rsidRPr="00F5041B">
        <w:t xml:space="preserve">his claim was inadequately supported by </w:t>
      </w:r>
      <w:r w:rsidR="00B2705C" w:rsidRPr="00F5041B">
        <w:t>the indirect evidence comparing A+AVD and PET-adapted ABVD.</w:t>
      </w:r>
      <w:r w:rsidR="00A170BF" w:rsidRPr="00F5041B">
        <w:t xml:space="preserve"> The ESC noted that the PBAC </w:t>
      </w:r>
      <w:r w:rsidR="000412A9" w:rsidRPr="00F5041B">
        <w:t xml:space="preserve">had </w:t>
      </w:r>
      <w:r w:rsidR="00A170BF" w:rsidRPr="00F5041B">
        <w:t xml:space="preserve">previously considered </w:t>
      </w:r>
      <w:r w:rsidR="005B7A3C" w:rsidRPr="00F5041B">
        <w:t>the</w:t>
      </w:r>
      <w:r w:rsidR="00B739F9" w:rsidRPr="00F5041B">
        <w:t xml:space="preserve"> use of the ABVD arm from the ECHELON-1 trial as a proxy </w:t>
      </w:r>
      <w:r w:rsidR="007A7C06" w:rsidRPr="00F5041B">
        <w:t xml:space="preserve">was </w:t>
      </w:r>
      <w:r w:rsidR="005A5FE1" w:rsidRPr="00F5041B">
        <w:t xml:space="preserve">uncertain </w:t>
      </w:r>
      <w:r w:rsidR="004C76B1" w:rsidRPr="00F5041B">
        <w:t xml:space="preserve">but </w:t>
      </w:r>
      <w:r w:rsidR="00087143" w:rsidRPr="00F5041B">
        <w:t>overall,</w:t>
      </w:r>
      <w:r w:rsidR="004C76B1" w:rsidRPr="00F5041B">
        <w:t xml:space="preserve"> </w:t>
      </w:r>
      <w:r w:rsidR="00B35371" w:rsidRPr="00F5041B">
        <w:t xml:space="preserve">the Committee had </w:t>
      </w:r>
      <w:r w:rsidR="004C76B1" w:rsidRPr="00F5041B">
        <w:t xml:space="preserve">accepted </w:t>
      </w:r>
      <w:r w:rsidR="00632C52" w:rsidRPr="00F5041B">
        <w:t xml:space="preserve">the claim of </w:t>
      </w:r>
      <w:r w:rsidR="002162BF" w:rsidRPr="00F5041B">
        <w:t xml:space="preserve">superior </w:t>
      </w:r>
      <w:r w:rsidR="00535230" w:rsidRPr="00F5041B">
        <w:t>comparative effectiveness was likely to be reasonable</w:t>
      </w:r>
      <w:r w:rsidR="00F07D2F" w:rsidRPr="00F5041B">
        <w:t xml:space="preserve"> </w:t>
      </w:r>
      <w:r w:rsidR="007A7C06" w:rsidRPr="00F5041B">
        <w:t>(</w:t>
      </w:r>
      <w:r w:rsidR="006F4588" w:rsidRPr="00F5041B">
        <w:t xml:space="preserve">para 7.8 and </w:t>
      </w:r>
      <w:r w:rsidR="003F3133" w:rsidRPr="00F5041B">
        <w:t>7.9, brentuximab vedotin PSD, March 2024 PBAC meeting)</w:t>
      </w:r>
      <w:r w:rsidR="00A170BF" w:rsidRPr="00F5041B">
        <w:t>.</w:t>
      </w:r>
    </w:p>
    <w:p w14:paraId="59822435" w14:textId="3E4A7A5C" w:rsidR="002510A7" w:rsidRPr="00893A68" w:rsidRDefault="002510A7" w:rsidP="002510A7">
      <w:pPr>
        <w:pStyle w:val="COMexecsummnumbered"/>
      </w:pPr>
      <w:r w:rsidRPr="00F5041B">
        <w:t>The resubmission described A+AVD as inferior in terms of safety compared to PET-adapted ABVD. The PBAC previously considered that this was reasonable (para 7.10, brentuximab vedotin PSD, March 2024 PBAC meeting).</w:t>
      </w:r>
      <w:r w:rsidR="00D25C50" w:rsidRPr="00F5041B">
        <w:t xml:space="preserve"> The </w:t>
      </w:r>
      <w:r w:rsidR="00D25C50" w:rsidRPr="00893A68">
        <w:t>resubmission did not present new comparative safety data.</w:t>
      </w:r>
      <w:r w:rsidR="001A5771" w:rsidRPr="00893A68">
        <w:t xml:space="preserve"> The ESC </w:t>
      </w:r>
      <w:r w:rsidR="00F43513" w:rsidRPr="00893A68">
        <w:t xml:space="preserve">considered the claim of inferior safety </w:t>
      </w:r>
      <w:r w:rsidR="00235A5F" w:rsidRPr="00893A68">
        <w:t>remained</w:t>
      </w:r>
      <w:r w:rsidR="00F43513" w:rsidRPr="00893A68">
        <w:t xml:space="preserve"> reasonable. </w:t>
      </w:r>
    </w:p>
    <w:p w14:paraId="5E7326F2" w14:textId="0F3001F8" w:rsidR="00F625A0" w:rsidRPr="00DB4CAA" w:rsidRDefault="00F625A0" w:rsidP="00F0784D">
      <w:pPr>
        <w:pStyle w:val="COMexecsummnumbered"/>
        <w:rPr>
          <w:snapToGrid w:val="0"/>
        </w:rPr>
      </w:pPr>
      <w:bookmarkStart w:id="36" w:name="_Hlk76376200"/>
      <w:r w:rsidRPr="00DB4CAA">
        <w:rPr>
          <w:snapToGrid w:val="0"/>
        </w:rPr>
        <w:t xml:space="preserve">The PBAC considered that the claim of </w:t>
      </w:r>
      <w:r w:rsidR="009967FD">
        <w:rPr>
          <w:snapToGrid w:val="0"/>
        </w:rPr>
        <w:t>superior</w:t>
      </w:r>
      <w:r w:rsidR="0009317E" w:rsidRPr="00DB4CAA">
        <w:rPr>
          <w:snapToGrid w:val="0"/>
        </w:rPr>
        <w:t xml:space="preserve"> </w:t>
      </w:r>
      <w:r w:rsidRPr="00DB4CAA">
        <w:rPr>
          <w:snapToGrid w:val="0"/>
        </w:rPr>
        <w:t>comparative effectiveness was reasonable</w:t>
      </w:r>
      <w:r w:rsidR="0009317E" w:rsidRPr="00DB4CAA">
        <w:rPr>
          <w:snapToGrid w:val="0"/>
        </w:rPr>
        <w:t xml:space="preserve"> </w:t>
      </w:r>
      <w:r w:rsidR="00985820" w:rsidRPr="00141619">
        <w:rPr>
          <w:snapToGrid w:val="0"/>
        </w:rPr>
        <w:t xml:space="preserve">and agreed with the ESC that </w:t>
      </w:r>
      <w:r w:rsidR="00985820" w:rsidRPr="00141619">
        <w:t xml:space="preserve">the level of uncertainty associated with the claim had been reduced with </w:t>
      </w:r>
      <w:r w:rsidR="00017286" w:rsidRPr="00141619">
        <w:rPr>
          <w:snapToGrid w:val="0"/>
        </w:rPr>
        <w:t>the</w:t>
      </w:r>
      <w:r w:rsidR="00F158DE" w:rsidRPr="00141619">
        <w:rPr>
          <w:snapToGrid w:val="0"/>
        </w:rPr>
        <w:t xml:space="preserve"> </w:t>
      </w:r>
      <w:r w:rsidR="00141619" w:rsidRPr="00141619">
        <w:rPr>
          <w:snapToGrid w:val="0"/>
        </w:rPr>
        <w:t xml:space="preserve">extended </w:t>
      </w:r>
      <w:r w:rsidR="00E74988" w:rsidRPr="00141619">
        <w:rPr>
          <w:snapToGrid w:val="0"/>
        </w:rPr>
        <w:t>follow</w:t>
      </w:r>
      <w:r w:rsidR="002A18CF">
        <w:rPr>
          <w:snapToGrid w:val="0"/>
        </w:rPr>
        <w:t>-</w:t>
      </w:r>
      <w:r w:rsidR="00F158DE" w:rsidRPr="00141619">
        <w:rPr>
          <w:snapToGrid w:val="0"/>
        </w:rPr>
        <w:t xml:space="preserve">up </w:t>
      </w:r>
      <w:r w:rsidRPr="00141619">
        <w:rPr>
          <w:snapToGrid w:val="0"/>
        </w:rPr>
        <w:t>data</w:t>
      </w:r>
      <w:r w:rsidR="00E74988" w:rsidRPr="00141619">
        <w:rPr>
          <w:snapToGrid w:val="0"/>
        </w:rPr>
        <w:t xml:space="preserve"> </w:t>
      </w:r>
      <w:r w:rsidR="009967FD" w:rsidRPr="00141619">
        <w:rPr>
          <w:snapToGrid w:val="0"/>
        </w:rPr>
        <w:t>presented in the resubmission</w:t>
      </w:r>
      <w:r w:rsidR="00017286">
        <w:rPr>
          <w:snapToGrid w:val="0"/>
        </w:rPr>
        <w:t>.</w:t>
      </w:r>
    </w:p>
    <w:p w14:paraId="02EFA981" w14:textId="6E6A24F9" w:rsidR="00F625A0" w:rsidRPr="00893A68" w:rsidRDefault="00F625A0" w:rsidP="00F625A0">
      <w:pPr>
        <w:pStyle w:val="COMexecsummnumbered"/>
        <w:rPr>
          <w:snapToGrid w:val="0"/>
        </w:rPr>
      </w:pPr>
      <w:r w:rsidRPr="00893A68">
        <w:rPr>
          <w:snapToGrid w:val="0"/>
        </w:rPr>
        <w:t>The PBAC considered that the claim of inferior</w:t>
      </w:r>
      <w:r w:rsidR="00FD1BD0" w:rsidRPr="00893A68">
        <w:rPr>
          <w:snapToGrid w:val="0"/>
        </w:rPr>
        <w:t xml:space="preserve"> </w:t>
      </w:r>
      <w:r w:rsidRPr="00893A68">
        <w:rPr>
          <w:snapToGrid w:val="0"/>
        </w:rPr>
        <w:t xml:space="preserve">comparative safety </w:t>
      </w:r>
      <w:r w:rsidR="00EF13F7">
        <w:rPr>
          <w:snapToGrid w:val="0"/>
        </w:rPr>
        <w:t>was</w:t>
      </w:r>
      <w:r w:rsidRPr="00893A68">
        <w:rPr>
          <w:snapToGrid w:val="0"/>
        </w:rPr>
        <w:t xml:space="preserve"> reasonable.</w:t>
      </w:r>
      <w:bookmarkEnd w:id="36"/>
    </w:p>
    <w:p w14:paraId="74A1172E" w14:textId="128C170E" w:rsidR="00B60939" w:rsidRPr="007F66A7" w:rsidRDefault="00B60939" w:rsidP="003D5DE7">
      <w:pPr>
        <w:pStyle w:val="COMH2-non-numbered"/>
      </w:pPr>
      <w:bookmarkStart w:id="37" w:name="_Toc22897645"/>
      <w:bookmarkStart w:id="38" w:name="_Toc198653246"/>
      <w:r w:rsidRPr="007F66A7">
        <w:t>Economic analysis</w:t>
      </w:r>
      <w:bookmarkEnd w:id="37"/>
      <w:bookmarkEnd w:id="38"/>
      <w:r w:rsidR="00491B3A" w:rsidRPr="007F66A7">
        <w:t xml:space="preserve"> </w:t>
      </w:r>
    </w:p>
    <w:p w14:paraId="14C1E8F9" w14:textId="55D72A50" w:rsidR="00275C5A" w:rsidRPr="007F66A7" w:rsidRDefault="00967A89" w:rsidP="00967A89">
      <w:pPr>
        <w:pStyle w:val="COMexecsummnumbered"/>
      </w:pPr>
      <w:r w:rsidRPr="007F66A7">
        <w:t xml:space="preserve">The resubmission presented a cost-utility analysis of A+AVD compared </w:t>
      </w:r>
      <w:r w:rsidR="002E2028" w:rsidRPr="007F66A7">
        <w:t xml:space="preserve">to </w:t>
      </w:r>
      <w:r w:rsidRPr="007F66A7">
        <w:t>ABVD (as a proxy for PET-adapted ABVD) in patients with previously untreated CD30+ stage III or IV Hodgkin lymphoma. The economic evaluation was based on data from the ECHELON-1 trial as well as other modelled variables.</w:t>
      </w:r>
    </w:p>
    <w:p w14:paraId="15A9AFA4" w14:textId="142A41ED" w:rsidR="00275C5A" w:rsidRPr="007F66A7" w:rsidRDefault="00E16AD8" w:rsidP="00E22398">
      <w:pPr>
        <w:pStyle w:val="COMtablefigcaption"/>
        <w:keepLines/>
      </w:pPr>
      <w:r w:rsidRPr="007F66A7">
        <w:t xml:space="preserve">Table </w:t>
      </w:r>
      <w:r w:rsidR="006A25C4">
        <w:fldChar w:fldCharType="begin"/>
      </w:r>
      <w:r w:rsidR="006A25C4">
        <w:instrText xml:space="preserve"> SEQ Table \* ARABIC </w:instrText>
      </w:r>
      <w:r w:rsidR="006A25C4">
        <w:fldChar w:fldCharType="separate"/>
      </w:r>
      <w:r w:rsidR="00293B06">
        <w:rPr>
          <w:noProof/>
        </w:rPr>
        <w:t>8</w:t>
      </w:r>
      <w:r w:rsidR="006A25C4">
        <w:fldChar w:fldCharType="end"/>
      </w:r>
      <w:r w:rsidRPr="007F66A7">
        <w:t>:</w:t>
      </w:r>
      <w:r w:rsidR="00275C5A" w:rsidRPr="007F66A7">
        <w:t xml:space="preserve"> </w:t>
      </w:r>
      <w:r w:rsidR="00E337CF" w:rsidRPr="007F66A7">
        <w:t>Key components of the economic evaluation</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8: Key components of the economic evaluation"/>
      </w:tblPr>
      <w:tblGrid>
        <w:gridCol w:w="1479"/>
        <w:gridCol w:w="7531"/>
      </w:tblGrid>
      <w:tr w:rsidR="000C623C" w:rsidRPr="007F66A7" w14:paraId="2298915C" w14:textId="77777777" w:rsidTr="00033E22">
        <w:trPr>
          <w:tblHeader/>
        </w:trPr>
        <w:tc>
          <w:tcPr>
            <w:tcW w:w="821" w:type="pct"/>
            <w:vAlign w:val="center"/>
          </w:tcPr>
          <w:p w14:paraId="1827A4E8" w14:textId="77777777" w:rsidR="000C623C" w:rsidRPr="007F66A7" w:rsidRDefault="000C623C" w:rsidP="00E22398">
            <w:pPr>
              <w:pStyle w:val="COMTableheadingrow"/>
              <w:keepLines/>
              <w:widowControl w:val="0"/>
              <w:rPr>
                <w:lang w:val="en-AU"/>
              </w:rPr>
            </w:pPr>
            <w:r w:rsidRPr="007F66A7">
              <w:rPr>
                <w:lang w:val="en-AU"/>
              </w:rPr>
              <w:t>Component</w:t>
            </w:r>
          </w:p>
        </w:tc>
        <w:tc>
          <w:tcPr>
            <w:tcW w:w="4179" w:type="pct"/>
            <w:vAlign w:val="center"/>
          </w:tcPr>
          <w:p w14:paraId="43EE289B" w14:textId="77777777" w:rsidR="000C623C" w:rsidRPr="007F66A7" w:rsidRDefault="000C623C" w:rsidP="00E22398">
            <w:pPr>
              <w:pStyle w:val="COMTableheadingrow"/>
              <w:keepLines/>
              <w:widowControl w:val="0"/>
              <w:rPr>
                <w:lang w:val="en-AU"/>
              </w:rPr>
            </w:pPr>
            <w:r w:rsidRPr="007F66A7">
              <w:rPr>
                <w:lang w:val="en-AU"/>
              </w:rPr>
              <w:t>Description</w:t>
            </w:r>
          </w:p>
        </w:tc>
      </w:tr>
      <w:tr w:rsidR="000C623C" w:rsidRPr="007F66A7" w14:paraId="5D8ADB24" w14:textId="77777777" w:rsidTr="00033E22">
        <w:tc>
          <w:tcPr>
            <w:tcW w:w="821" w:type="pct"/>
            <w:vAlign w:val="center"/>
          </w:tcPr>
          <w:p w14:paraId="520D4219" w14:textId="77777777" w:rsidR="000C623C" w:rsidRPr="007F66A7" w:rsidRDefault="000C623C" w:rsidP="00E22398">
            <w:pPr>
              <w:pStyle w:val="COMTabletext"/>
              <w:keepLines/>
              <w:widowControl w:val="0"/>
            </w:pPr>
            <w:r w:rsidRPr="007F66A7">
              <w:t>Type of analysis</w:t>
            </w:r>
          </w:p>
        </w:tc>
        <w:tc>
          <w:tcPr>
            <w:tcW w:w="4179" w:type="pct"/>
            <w:vAlign w:val="center"/>
          </w:tcPr>
          <w:p w14:paraId="61ADA474" w14:textId="77777777" w:rsidR="000C623C" w:rsidRPr="007F66A7" w:rsidRDefault="000C623C" w:rsidP="00E22398">
            <w:pPr>
              <w:pStyle w:val="COMTabletext"/>
              <w:keepLines/>
              <w:widowControl w:val="0"/>
            </w:pPr>
            <w:r w:rsidRPr="007F66A7">
              <w:t>Cost-effectiveness/cost-utility analysis</w:t>
            </w:r>
          </w:p>
        </w:tc>
      </w:tr>
      <w:tr w:rsidR="000C623C" w:rsidRPr="007F66A7" w14:paraId="37AB11B7" w14:textId="77777777" w:rsidTr="00033E22">
        <w:tc>
          <w:tcPr>
            <w:tcW w:w="821" w:type="pct"/>
            <w:vAlign w:val="center"/>
          </w:tcPr>
          <w:p w14:paraId="3305EE96" w14:textId="77777777" w:rsidR="000C623C" w:rsidRPr="007F66A7" w:rsidRDefault="000C623C" w:rsidP="00E22398">
            <w:pPr>
              <w:pStyle w:val="COMTabletext"/>
              <w:keepLines/>
              <w:widowControl w:val="0"/>
            </w:pPr>
            <w:r w:rsidRPr="007F66A7">
              <w:t>Treatments</w:t>
            </w:r>
          </w:p>
        </w:tc>
        <w:tc>
          <w:tcPr>
            <w:tcW w:w="4179" w:type="pct"/>
            <w:vAlign w:val="center"/>
          </w:tcPr>
          <w:p w14:paraId="059EC9A9" w14:textId="77777777" w:rsidR="000C623C" w:rsidRPr="007F66A7" w:rsidRDefault="000C623C" w:rsidP="00E22398">
            <w:pPr>
              <w:pStyle w:val="COMTabletext"/>
              <w:keepLines/>
              <w:widowControl w:val="0"/>
            </w:pPr>
            <w:r w:rsidRPr="007F66A7">
              <w:t>A+AVD versus ABVD (as a proxy for PET-adapted ABVD)</w:t>
            </w:r>
          </w:p>
        </w:tc>
      </w:tr>
      <w:tr w:rsidR="000C623C" w:rsidRPr="007F66A7" w14:paraId="4BD81EC5" w14:textId="77777777" w:rsidTr="00033E22">
        <w:tc>
          <w:tcPr>
            <w:tcW w:w="821" w:type="pct"/>
            <w:vAlign w:val="center"/>
          </w:tcPr>
          <w:p w14:paraId="38D37199" w14:textId="77777777" w:rsidR="000C623C" w:rsidRPr="007F66A7" w:rsidRDefault="000C623C">
            <w:pPr>
              <w:pStyle w:val="COMTabletext"/>
              <w:keepNext w:val="0"/>
              <w:widowControl w:val="0"/>
            </w:pPr>
            <w:r w:rsidRPr="007F66A7">
              <w:t>Outcomes</w:t>
            </w:r>
          </w:p>
        </w:tc>
        <w:tc>
          <w:tcPr>
            <w:tcW w:w="4179" w:type="pct"/>
            <w:vAlign w:val="center"/>
          </w:tcPr>
          <w:p w14:paraId="22B9C570" w14:textId="77777777" w:rsidR="000C623C" w:rsidRPr="007F66A7" w:rsidRDefault="000C623C">
            <w:pPr>
              <w:pStyle w:val="COMTabletext"/>
              <w:keepNext w:val="0"/>
              <w:widowControl w:val="0"/>
            </w:pPr>
            <w:r w:rsidRPr="007F66A7">
              <w:t>Life years and quality-adjusted life years</w:t>
            </w:r>
          </w:p>
        </w:tc>
      </w:tr>
      <w:tr w:rsidR="000C623C" w:rsidRPr="007F66A7" w14:paraId="7459ED11" w14:textId="77777777" w:rsidTr="00033E22">
        <w:tc>
          <w:tcPr>
            <w:tcW w:w="821" w:type="pct"/>
            <w:vAlign w:val="center"/>
          </w:tcPr>
          <w:p w14:paraId="3D21578A" w14:textId="77777777" w:rsidR="000C623C" w:rsidRPr="007F66A7" w:rsidRDefault="000C623C">
            <w:pPr>
              <w:pStyle w:val="COMTabletext"/>
              <w:keepNext w:val="0"/>
              <w:widowControl w:val="0"/>
            </w:pPr>
            <w:r w:rsidRPr="007F66A7">
              <w:t>Time horizon</w:t>
            </w:r>
          </w:p>
        </w:tc>
        <w:tc>
          <w:tcPr>
            <w:tcW w:w="4179" w:type="pct"/>
            <w:vAlign w:val="center"/>
          </w:tcPr>
          <w:p w14:paraId="43281928" w14:textId="77777777" w:rsidR="000C623C" w:rsidRPr="007F66A7" w:rsidRDefault="000C623C">
            <w:pPr>
              <w:pStyle w:val="COMTabletext"/>
              <w:keepNext w:val="0"/>
              <w:widowControl w:val="0"/>
            </w:pPr>
            <w:r w:rsidRPr="007F66A7">
              <w:t>65 years in the base case versus a maximum of 8.1 years (97 months) in ECHELON-1 (June 2021 data cut)</w:t>
            </w:r>
          </w:p>
        </w:tc>
      </w:tr>
      <w:tr w:rsidR="000C623C" w:rsidRPr="007F66A7" w14:paraId="69829562" w14:textId="77777777" w:rsidTr="00033E22">
        <w:tc>
          <w:tcPr>
            <w:tcW w:w="821" w:type="pct"/>
            <w:vAlign w:val="center"/>
          </w:tcPr>
          <w:p w14:paraId="38E8A7B4" w14:textId="77777777" w:rsidR="000C623C" w:rsidRPr="007F66A7" w:rsidRDefault="000C623C">
            <w:pPr>
              <w:pStyle w:val="COMTabletext"/>
              <w:keepNext w:val="0"/>
              <w:widowControl w:val="0"/>
            </w:pPr>
            <w:r w:rsidRPr="007F66A7">
              <w:t>Cycle length</w:t>
            </w:r>
          </w:p>
        </w:tc>
        <w:tc>
          <w:tcPr>
            <w:tcW w:w="4179" w:type="pct"/>
            <w:vAlign w:val="center"/>
          </w:tcPr>
          <w:p w14:paraId="5076680D" w14:textId="77777777" w:rsidR="000C623C" w:rsidRPr="007F66A7" w:rsidRDefault="000C623C">
            <w:pPr>
              <w:pStyle w:val="COMTabletext"/>
              <w:keepNext w:val="0"/>
              <w:widowControl w:val="0"/>
            </w:pPr>
            <w:r w:rsidRPr="007F66A7">
              <w:t>4 weeks</w:t>
            </w:r>
          </w:p>
        </w:tc>
      </w:tr>
      <w:tr w:rsidR="000C623C" w:rsidRPr="007F66A7" w14:paraId="40C214A5" w14:textId="77777777" w:rsidTr="00033E22">
        <w:tc>
          <w:tcPr>
            <w:tcW w:w="821" w:type="pct"/>
            <w:vAlign w:val="center"/>
          </w:tcPr>
          <w:p w14:paraId="51A9C890" w14:textId="77777777" w:rsidR="000C623C" w:rsidRPr="007F66A7" w:rsidRDefault="000C623C">
            <w:pPr>
              <w:pStyle w:val="COMTabletext"/>
              <w:keepNext w:val="0"/>
              <w:widowControl w:val="0"/>
            </w:pPr>
            <w:r w:rsidRPr="007F66A7">
              <w:t>Methods used to generate results</w:t>
            </w:r>
          </w:p>
        </w:tc>
        <w:tc>
          <w:tcPr>
            <w:tcW w:w="4179" w:type="pct"/>
            <w:vAlign w:val="center"/>
          </w:tcPr>
          <w:p w14:paraId="79800EBB" w14:textId="77777777" w:rsidR="000C623C" w:rsidRPr="007F66A7" w:rsidRDefault="000C623C">
            <w:pPr>
              <w:pStyle w:val="COMTabletext"/>
              <w:keepNext w:val="0"/>
              <w:widowControl w:val="0"/>
            </w:pPr>
            <w:r w:rsidRPr="007F66A7">
              <w:t>Described as a Markov model in the resubmission but computationally also included features of a partitioned survival analysis</w:t>
            </w:r>
          </w:p>
        </w:tc>
      </w:tr>
      <w:tr w:rsidR="000C623C" w:rsidRPr="007F66A7" w14:paraId="32CFE505" w14:textId="77777777" w:rsidTr="00033E22">
        <w:tc>
          <w:tcPr>
            <w:tcW w:w="821" w:type="pct"/>
            <w:vAlign w:val="center"/>
          </w:tcPr>
          <w:p w14:paraId="709EC964" w14:textId="77777777" w:rsidR="000C623C" w:rsidRPr="007F66A7" w:rsidRDefault="000C623C">
            <w:pPr>
              <w:pStyle w:val="COMTabletext"/>
              <w:keepNext w:val="0"/>
              <w:widowControl w:val="0"/>
            </w:pPr>
            <w:r w:rsidRPr="007F66A7">
              <w:t>Health states</w:t>
            </w:r>
          </w:p>
        </w:tc>
        <w:tc>
          <w:tcPr>
            <w:tcW w:w="4179" w:type="pct"/>
            <w:vAlign w:val="center"/>
          </w:tcPr>
          <w:p w14:paraId="16A0FE29" w14:textId="77777777" w:rsidR="000C623C" w:rsidRPr="007F66A7" w:rsidRDefault="000C623C">
            <w:pPr>
              <w:pStyle w:val="COMTabletext"/>
              <w:keepNext w:val="0"/>
              <w:widowControl w:val="0"/>
            </w:pPr>
            <w:r w:rsidRPr="007F66A7">
              <w:t xml:space="preserve">8 treatment health states based on fixed pathways according to ASCT eligibility: </w:t>
            </w:r>
          </w:p>
          <w:p w14:paraId="3943360C" w14:textId="77777777" w:rsidR="000C623C" w:rsidRPr="007F66A7" w:rsidRDefault="000C623C">
            <w:pPr>
              <w:pStyle w:val="COMTabletext"/>
              <w:keepNext w:val="0"/>
              <w:widowControl w:val="0"/>
            </w:pPr>
            <w:r w:rsidRPr="007F66A7">
              <w:lastRenderedPageBreak/>
              <w:t>- 1st line A+AVD or ABVD</w:t>
            </w:r>
          </w:p>
          <w:p w14:paraId="627D4B51" w14:textId="77777777" w:rsidR="000C623C" w:rsidRPr="007F66A7" w:rsidRDefault="000C623C">
            <w:pPr>
              <w:pStyle w:val="COMTabletext"/>
              <w:keepNext w:val="0"/>
              <w:widowControl w:val="0"/>
            </w:pPr>
            <w:r w:rsidRPr="007F66A7">
              <w:t xml:space="preserve">- Transplant eligible: </w:t>
            </w:r>
          </w:p>
          <w:p w14:paraId="7BBF3DE9" w14:textId="77777777" w:rsidR="000C623C" w:rsidRPr="007F66A7" w:rsidRDefault="000C623C" w:rsidP="005D629C">
            <w:pPr>
              <w:pStyle w:val="COMTabletext"/>
              <w:keepNext w:val="0"/>
              <w:widowControl w:val="0"/>
              <w:numPr>
                <w:ilvl w:val="0"/>
                <w:numId w:val="9"/>
              </w:numPr>
            </w:pPr>
            <w:r w:rsidRPr="007F66A7">
              <w:t>2nd line ICE+ASCT,</w:t>
            </w:r>
          </w:p>
          <w:p w14:paraId="72B70B87" w14:textId="77777777" w:rsidR="000C623C" w:rsidRPr="007F66A7" w:rsidRDefault="000C623C" w:rsidP="005D629C">
            <w:pPr>
              <w:pStyle w:val="COMTabletext"/>
              <w:keepNext w:val="0"/>
              <w:widowControl w:val="0"/>
              <w:numPr>
                <w:ilvl w:val="0"/>
                <w:numId w:val="9"/>
              </w:numPr>
            </w:pPr>
            <w:r w:rsidRPr="007F66A7">
              <w:t>3</w:t>
            </w:r>
            <w:r w:rsidRPr="007F66A7">
              <w:rPr>
                <w:vertAlign w:val="superscript"/>
              </w:rPr>
              <w:t>rd</w:t>
            </w:r>
            <w:r w:rsidRPr="007F66A7">
              <w:t xml:space="preserve"> line pembrolizumab</w:t>
            </w:r>
          </w:p>
          <w:p w14:paraId="73422BDB" w14:textId="77777777" w:rsidR="000C623C" w:rsidRPr="007F66A7" w:rsidRDefault="000C623C" w:rsidP="005D629C">
            <w:pPr>
              <w:pStyle w:val="COMTabletext"/>
              <w:keepNext w:val="0"/>
              <w:widowControl w:val="0"/>
              <w:numPr>
                <w:ilvl w:val="0"/>
                <w:numId w:val="9"/>
              </w:numPr>
            </w:pPr>
            <w:r w:rsidRPr="007F66A7">
              <w:t>4</w:t>
            </w:r>
            <w:r w:rsidRPr="007F66A7">
              <w:rPr>
                <w:vertAlign w:val="superscript"/>
              </w:rPr>
              <w:t>th</w:t>
            </w:r>
            <w:r w:rsidRPr="007F66A7">
              <w:t xml:space="preserve"> line GemVino</w:t>
            </w:r>
          </w:p>
          <w:p w14:paraId="4C996D77" w14:textId="77777777" w:rsidR="000C623C" w:rsidRPr="007F66A7" w:rsidRDefault="000C623C">
            <w:pPr>
              <w:pStyle w:val="COMTabletext"/>
              <w:keepNext w:val="0"/>
              <w:widowControl w:val="0"/>
            </w:pPr>
            <w:r w:rsidRPr="007F66A7">
              <w:t>- Transplant ineligible</w:t>
            </w:r>
          </w:p>
          <w:p w14:paraId="35094047" w14:textId="77777777" w:rsidR="000C623C" w:rsidRPr="007F66A7" w:rsidRDefault="000C623C" w:rsidP="005D629C">
            <w:pPr>
              <w:pStyle w:val="COMTabletext"/>
              <w:keepNext w:val="0"/>
              <w:widowControl w:val="0"/>
              <w:numPr>
                <w:ilvl w:val="0"/>
                <w:numId w:val="10"/>
              </w:numPr>
            </w:pPr>
            <w:r w:rsidRPr="007F66A7">
              <w:t>2</w:t>
            </w:r>
            <w:r w:rsidRPr="007F66A7">
              <w:rPr>
                <w:vertAlign w:val="superscript"/>
              </w:rPr>
              <w:t>nd</w:t>
            </w:r>
            <w:r w:rsidRPr="007F66A7">
              <w:t xml:space="preserve"> line DHAP</w:t>
            </w:r>
          </w:p>
          <w:p w14:paraId="3EF3B9A9" w14:textId="77777777" w:rsidR="000C623C" w:rsidRPr="007F66A7" w:rsidRDefault="000C623C" w:rsidP="005D629C">
            <w:pPr>
              <w:pStyle w:val="COMTabletext"/>
              <w:keepNext w:val="0"/>
              <w:widowControl w:val="0"/>
              <w:numPr>
                <w:ilvl w:val="0"/>
                <w:numId w:val="10"/>
              </w:numPr>
            </w:pPr>
            <w:r w:rsidRPr="007F66A7">
              <w:t>3</w:t>
            </w:r>
            <w:r w:rsidRPr="007F66A7">
              <w:rPr>
                <w:vertAlign w:val="superscript"/>
              </w:rPr>
              <w:t>rd</w:t>
            </w:r>
            <w:r w:rsidRPr="007F66A7">
              <w:t xml:space="preserve"> line pembrolizumab</w:t>
            </w:r>
          </w:p>
          <w:p w14:paraId="27266861" w14:textId="77777777" w:rsidR="000C623C" w:rsidRPr="007F66A7" w:rsidRDefault="000C623C" w:rsidP="005D629C">
            <w:pPr>
              <w:pStyle w:val="COMTabletext"/>
              <w:keepNext w:val="0"/>
              <w:widowControl w:val="0"/>
              <w:numPr>
                <w:ilvl w:val="0"/>
                <w:numId w:val="10"/>
              </w:numPr>
            </w:pPr>
            <w:r w:rsidRPr="007F66A7">
              <w:t>4</w:t>
            </w:r>
            <w:r w:rsidRPr="007F66A7">
              <w:rPr>
                <w:vertAlign w:val="superscript"/>
              </w:rPr>
              <w:t>th</w:t>
            </w:r>
            <w:r w:rsidRPr="007F66A7">
              <w:t xml:space="preserve"> line GemVino</w:t>
            </w:r>
          </w:p>
          <w:p w14:paraId="077F1EDE" w14:textId="77777777" w:rsidR="000C623C" w:rsidRPr="007F66A7" w:rsidRDefault="000C623C">
            <w:pPr>
              <w:pStyle w:val="COMTabletext"/>
              <w:keepNext w:val="0"/>
              <w:widowControl w:val="0"/>
            </w:pPr>
            <w:r w:rsidRPr="007F66A7">
              <w:t>- Dead</w:t>
            </w:r>
          </w:p>
        </w:tc>
      </w:tr>
      <w:tr w:rsidR="000C623C" w:rsidRPr="007F66A7" w14:paraId="39C3AFDF" w14:textId="77777777" w:rsidTr="00033E22">
        <w:tc>
          <w:tcPr>
            <w:tcW w:w="821" w:type="pct"/>
            <w:vAlign w:val="center"/>
          </w:tcPr>
          <w:p w14:paraId="6C91B765" w14:textId="77777777" w:rsidR="000C623C" w:rsidRPr="007F66A7" w:rsidRDefault="000C623C">
            <w:pPr>
              <w:pStyle w:val="COMTabletext"/>
              <w:keepNext w:val="0"/>
              <w:widowControl w:val="0"/>
            </w:pPr>
            <w:r w:rsidRPr="007F66A7">
              <w:lastRenderedPageBreak/>
              <w:t>Allocation to health states</w:t>
            </w:r>
          </w:p>
        </w:tc>
        <w:tc>
          <w:tcPr>
            <w:tcW w:w="4179" w:type="pct"/>
            <w:vAlign w:val="center"/>
          </w:tcPr>
          <w:p w14:paraId="2D35A1F1" w14:textId="77777777" w:rsidR="000C623C" w:rsidRPr="007F66A7" w:rsidRDefault="000C623C">
            <w:pPr>
              <w:pStyle w:val="COMTabletext"/>
              <w:keepNext w:val="0"/>
              <w:widowControl w:val="0"/>
              <w:spacing w:after="120"/>
            </w:pPr>
            <w:r w:rsidRPr="007F66A7">
              <w:t>1</w:t>
            </w:r>
            <w:r w:rsidRPr="007F66A7">
              <w:rPr>
                <w:vertAlign w:val="superscript"/>
              </w:rPr>
              <w:t>st</w:t>
            </w:r>
            <w:r w:rsidRPr="007F66A7">
              <w:t xml:space="preserve"> line A+AVD or ABVD: Modified PFS Kaplan-Meier estimates from ECHELON-1 up to 6.6-6.8 years, extrapolated using loglogistic mixture cure models (weighted curves based on statistically cured and uncured fractions). Fixed proportion of progression events that are deaths based on ECHELON-1 data.</w:t>
            </w:r>
          </w:p>
          <w:p w14:paraId="7D9264F3" w14:textId="3AFEEFAA" w:rsidR="000C623C" w:rsidRPr="007F66A7" w:rsidRDefault="000C623C">
            <w:pPr>
              <w:pStyle w:val="COMTabletext"/>
              <w:keepNext w:val="0"/>
              <w:widowControl w:val="0"/>
              <w:spacing w:after="120"/>
            </w:pPr>
            <w:r w:rsidRPr="007F66A7">
              <w:t>Transplant eligible, 2</w:t>
            </w:r>
            <w:r w:rsidRPr="007F66A7">
              <w:rPr>
                <w:vertAlign w:val="superscript"/>
              </w:rPr>
              <w:t>nd</w:t>
            </w:r>
            <w:r w:rsidRPr="007F66A7">
              <w:t xml:space="preserve"> line ICE+ASCT: PFS Kaplan-Meier estimates synthesised from </w:t>
            </w:r>
            <w:proofErr w:type="spellStart"/>
            <w:r w:rsidRPr="007F66A7">
              <w:t>Brockelmann</w:t>
            </w:r>
            <w:proofErr w:type="spellEnd"/>
            <w:r w:rsidRPr="007F66A7">
              <w:t xml:space="preserve"> 2021 and Viviani 2024 studies up to 7 years, extrapolated using a lognormal mixture cure model. Fixed proportion of progression events that are deaths, assumed to be the same as 1</w:t>
            </w:r>
            <w:r w:rsidRPr="007F66A7">
              <w:rPr>
                <w:vertAlign w:val="superscript"/>
              </w:rPr>
              <w:t>st</w:t>
            </w:r>
            <w:r w:rsidRPr="007F66A7">
              <w:t xml:space="preserve"> line treatment.</w:t>
            </w:r>
          </w:p>
          <w:p w14:paraId="7437CCA3" w14:textId="4A44F76F" w:rsidR="000C623C" w:rsidRPr="007F66A7" w:rsidRDefault="000C623C">
            <w:pPr>
              <w:pStyle w:val="COMTabletext"/>
              <w:keepNext w:val="0"/>
              <w:widowControl w:val="0"/>
              <w:spacing w:after="120"/>
            </w:pPr>
            <w:r w:rsidRPr="007F66A7">
              <w:t>Transplant eligible, 3</w:t>
            </w:r>
            <w:r w:rsidRPr="007F66A7">
              <w:rPr>
                <w:vertAlign w:val="superscript"/>
              </w:rPr>
              <w:t>rd</w:t>
            </w:r>
            <w:r w:rsidRPr="007F66A7">
              <w:t xml:space="preserve"> line pembrolizumab: PFS Kaplan-Meier estimates synthesised from the Younes 2012 study up to 1.7 years, extrapolated using a Weibull standard parametric function. The resubmission used the same source to inform </w:t>
            </w:r>
            <w:r w:rsidR="00FE620C" w:rsidRPr="007F66A7">
              <w:t>OS</w:t>
            </w:r>
            <w:r w:rsidRPr="007F66A7">
              <w:t xml:space="preserve"> in 3</w:t>
            </w:r>
            <w:r w:rsidRPr="007F66A7">
              <w:rPr>
                <w:vertAlign w:val="superscript"/>
              </w:rPr>
              <w:t xml:space="preserve">rd </w:t>
            </w:r>
            <w:r w:rsidRPr="007F66A7">
              <w:t>and 4</w:t>
            </w:r>
            <w:r w:rsidRPr="007F66A7">
              <w:rPr>
                <w:vertAlign w:val="superscript"/>
              </w:rPr>
              <w:t>th</w:t>
            </w:r>
            <w:r w:rsidRPr="007F66A7">
              <w:t xml:space="preserve"> line treatment (see description for transplant eligible, 4</w:t>
            </w:r>
            <w:r w:rsidRPr="007F66A7">
              <w:rPr>
                <w:vertAlign w:val="superscript"/>
              </w:rPr>
              <w:t>th</w:t>
            </w:r>
            <w:r w:rsidRPr="007F66A7">
              <w:t xml:space="preserve"> line GemVino). </w:t>
            </w:r>
          </w:p>
          <w:p w14:paraId="1BB28DEA" w14:textId="5902944F" w:rsidR="000C623C" w:rsidRPr="007F66A7" w:rsidRDefault="000C623C">
            <w:pPr>
              <w:pStyle w:val="COMTabletext"/>
              <w:keepNext w:val="0"/>
              <w:widowControl w:val="0"/>
              <w:spacing w:after="120"/>
            </w:pPr>
            <w:r w:rsidRPr="007F66A7">
              <w:t>Transplant eligible, 4</w:t>
            </w:r>
            <w:r w:rsidRPr="007F66A7">
              <w:rPr>
                <w:vertAlign w:val="superscript"/>
              </w:rPr>
              <w:t>th</w:t>
            </w:r>
            <w:r w:rsidRPr="007F66A7">
              <w:t xml:space="preserve"> line GemVino: Disease status was not explicitly modelled. </w:t>
            </w:r>
            <w:r w:rsidR="00FE620C" w:rsidRPr="007F66A7">
              <w:t>OS</w:t>
            </w:r>
            <w:r w:rsidRPr="007F66A7">
              <w:t xml:space="preserve"> was synthesised from the Younes 2012 study up to 1.83 years, extrapolated using a Weibull standard parametric function. </w:t>
            </w:r>
            <w:r w:rsidR="00D342B1" w:rsidRPr="007F66A7">
              <w:t xml:space="preserve">The model used an inconsistent approach to estimate costs in patients who initiate </w:t>
            </w:r>
            <w:r w:rsidR="00654F74" w:rsidRPr="007F66A7">
              <w:t>4</w:t>
            </w:r>
            <w:r w:rsidR="00654F74" w:rsidRPr="007F66A7">
              <w:rPr>
                <w:vertAlign w:val="superscript"/>
              </w:rPr>
              <w:t>th</w:t>
            </w:r>
            <w:r w:rsidR="00654F74" w:rsidRPr="007F66A7">
              <w:t xml:space="preserve"> </w:t>
            </w:r>
            <w:r w:rsidR="009B0496" w:rsidRPr="007F66A7">
              <w:t>line</w:t>
            </w:r>
            <w:r w:rsidR="00D342B1" w:rsidRPr="007F66A7">
              <w:t xml:space="preserve"> treatment (based on patients who failed </w:t>
            </w:r>
            <w:r w:rsidR="005A75A9" w:rsidRPr="007F66A7">
              <w:t>3</w:t>
            </w:r>
            <w:r w:rsidR="005A75A9" w:rsidRPr="007F66A7">
              <w:rPr>
                <w:vertAlign w:val="superscript"/>
              </w:rPr>
              <w:t>rd</w:t>
            </w:r>
            <w:r w:rsidR="005A75A9" w:rsidRPr="007F66A7">
              <w:t xml:space="preserve"> </w:t>
            </w:r>
            <w:r w:rsidR="009B0496" w:rsidRPr="007F66A7">
              <w:t>line</w:t>
            </w:r>
            <w:r w:rsidR="00D342B1" w:rsidRPr="007F66A7">
              <w:t xml:space="preserve"> treatment, excluding a fixed a proportion of progression events that are deaths, assumed to be the same as 1</w:t>
            </w:r>
            <w:r w:rsidR="00D342B1" w:rsidRPr="007F66A7">
              <w:rPr>
                <w:vertAlign w:val="superscript"/>
              </w:rPr>
              <w:t>st</w:t>
            </w:r>
            <w:r w:rsidR="00D342B1" w:rsidRPr="007F66A7">
              <w:t xml:space="preserve"> line treatment) compared to life years and quality-adjusted life years (based on the difference between modelled </w:t>
            </w:r>
            <w:r w:rsidR="00FE620C" w:rsidRPr="007F66A7">
              <w:t>OS</w:t>
            </w:r>
            <w:r w:rsidR="00D342B1" w:rsidRPr="007F66A7">
              <w:t xml:space="preserve"> and progression-free survival curves).</w:t>
            </w:r>
          </w:p>
          <w:p w14:paraId="2BFB17DC" w14:textId="77777777" w:rsidR="000C623C" w:rsidRPr="007F66A7" w:rsidRDefault="000C623C">
            <w:pPr>
              <w:pStyle w:val="COMTabletext"/>
              <w:keepNext w:val="0"/>
              <w:widowControl w:val="0"/>
              <w:spacing w:after="120"/>
            </w:pPr>
            <w:r w:rsidRPr="007F66A7">
              <w:t>Transplant ineligible, 2</w:t>
            </w:r>
            <w:r w:rsidRPr="007F66A7">
              <w:rPr>
                <w:vertAlign w:val="superscript"/>
              </w:rPr>
              <w:t>nd</w:t>
            </w:r>
            <w:r w:rsidRPr="007F66A7">
              <w:t xml:space="preserve"> line DHAP: PFS Kaplan-Meier estimates synthesised from the </w:t>
            </w:r>
            <w:proofErr w:type="spellStart"/>
            <w:r w:rsidRPr="007F66A7">
              <w:t>Brockelmann</w:t>
            </w:r>
            <w:proofErr w:type="spellEnd"/>
            <w:r w:rsidRPr="007F66A7">
              <w:t xml:space="preserve"> 2021 study up to 9 years, extrapolated using a Weibull standard parametric function.</w:t>
            </w:r>
          </w:p>
          <w:p w14:paraId="5ACF2232" w14:textId="530073CA" w:rsidR="000C623C" w:rsidRPr="007F66A7" w:rsidRDefault="000C623C">
            <w:pPr>
              <w:pStyle w:val="COMTabletext"/>
              <w:keepNext w:val="0"/>
              <w:widowControl w:val="0"/>
              <w:spacing w:after="120"/>
            </w:pPr>
            <w:r w:rsidRPr="007F66A7">
              <w:t>Transplant ineligible, 3</w:t>
            </w:r>
            <w:r w:rsidRPr="007F66A7">
              <w:rPr>
                <w:vertAlign w:val="superscript"/>
              </w:rPr>
              <w:t>rd</w:t>
            </w:r>
            <w:r w:rsidRPr="007F66A7">
              <w:t xml:space="preserve"> line pembrolizumab: PFS Kaplan-Meier estimates synthesised from the </w:t>
            </w:r>
            <w:proofErr w:type="spellStart"/>
            <w:r w:rsidRPr="007F66A7">
              <w:t>Brockelmann</w:t>
            </w:r>
            <w:proofErr w:type="spellEnd"/>
            <w:r w:rsidRPr="007F66A7">
              <w:t xml:space="preserve"> 2017 study up to 1.8 years, extrapolated using a Weibull standard parametric function. The source used to inform </w:t>
            </w:r>
            <w:r w:rsidR="00FE620C" w:rsidRPr="007F66A7">
              <w:t>OS</w:t>
            </w:r>
            <w:r w:rsidRPr="007F66A7">
              <w:t xml:space="preserve"> in 3</w:t>
            </w:r>
            <w:r w:rsidRPr="007F66A7">
              <w:rPr>
                <w:vertAlign w:val="superscript"/>
              </w:rPr>
              <w:t xml:space="preserve">rd </w:t>
            </w:r>
            <w:r w:rsidRPr="007F66A7">
              <w:t>and 4</w:t>
            </w:r>
            <w:r w:rsidRPr="007F66A7">
              <w:rPr>
                <w:vertAlign w:val="superscript"/>
              </w:rPr>
              <w:t>th</w:t>
            </w:r>
            <w:r w:rsidRPr="007F66A7">
              <w:t xml:space="preserve"> line treatment is described below for transplant ineligible, 4</w:t>
            </w:r>
            <w:r w:rsidRPr="007F66A7">
              <w:rPr>
                <w:vertAlign w:val="superscript"/>
              </w:rPr>
              <w:t>th</w:t>
            </w:r>
            <w:r w:rsidRPr="007F66A7">
              <w:t xml:space="preserve"> line GemVino.</w:t>
            </w:r>
          </w:p>
          <w:p w14:paraId="575FB8BF" w14:textId="5366E519" w:rsidR="000C623C" w:rsidRPr="007F66A7" w:rsidRDefault="000C623C">
            <w:pPr>
              <w:pStyle w:val="COMTabletext"/>
              <w:keepNext w:val="0"/>
              <w:widowControl w:val="0"/>
              <w:spacing w:after="120"/>
            </w:pPr>
            <w:r w:rsidRPr="007F66A7">
              <w:t>Transplant ineligible, 4</w:t>
            </w:r>
            <w:r w:rsidRPr="007F66A7">
              <w:rPr>
                <w:vertAlign w:val="superscript"/>
              </w:rPr>
              <w:t>th</w:t>
            </w:r>
            <w:r w:rsidRPr="007F66A7">
              <w:t xml:space="preserve"> line GemVino: Disease status was not explicitly modelled. </w:t>
            </w:r>
            <w:r w:rsidR="00FE620C" w:rsidRPr="007F66A7">
              <w:t>OS</w:t>
            </w:r>
            <w:r w:rsidRPr="007F66A7">
              <w:t xml:space="preserve"> was synthesised from the </w:t>
            </w:r>
            <w:proofErr w:type="spellStart"/>
            <w:r w:rsidRPr="007F66A7">
              <w:t>Brockelmann</w:t>
            </w:r>
            <w:proofErr w:type="spellEnd"/>
            <w:r w:rsidRPr="007F66A7">
              <w:t xml:space="preserve"> 2017 study up to 1.75 years, extrapolated using a Weibull standard parametric function. </w:t>
            </w:r>
            <w:r w:rsidR="00D342B1" w:rsidRPr="007F66A7">
              <w:t xml:space="preserve">The model used an inconsistent approach to estimate costs in patients who initiate </w:t>
            </w:r>
            <w:r w:rsidR="005B4EF1" w:rsidRPr="007F66A7">
              <w:t>4</w:t>
            </w:r>
            <w:r w:rsidR="005B4EF1" w:rsidRPr="007F66A7">
              <w:rPr>
                <w:vertAlign w:val="superscript"/>
              </w:rPr>
              <w:t>th</w:t>
            </w:r>
            <w:r w:rsidR="005B4EF1" w:rsidRPr="007F66A7">
              <w:t xml:space="preserve"> </w:t>
            </w:r>
            <w:r w:rsidR="009B0496" w:rsidRPr="007F66A7">
              <w:t>line</w:t>
            </w:r>
            <w:r w:rsidR="00D342B1" w:rsidRPr="007F66A7">
              <w:t xml:space="preserve"> treatment compared to life years and QALYs (same as described for transplant eligible, </w:t>
            </w:r>
            <w:r w:rsidR="00F34D01" w:rsidRPr="007F66A7">
              <w:t>4</w:t>
            </w:r>
            <w:r w:rsidR="00F34D01" w:rsidRPr="007F66A7">
              <w:rPr>
                <w:vertAlign w:val="superscript"/>
              </w:rPr>
              <w:t>th</w:t>
            </w:r>
            <w:r w:rsidR="00F34D01" w:rsidRPr="007F66A7">
              <w:t xml:space="preserve"> </w:t>
            </w:r>
            <w:r w:rsidR="00D342B1" w:rsidRPr="007F66A7">
              <w:t>line treatment).</w:t>
            </w:r>
          </w:p>
          <w:p w14:paraId="0E3F5666" w14:textId="5A5944AF" w:rsidR="000C623C" w:rsidRPr="007F66A7" w:rsidRDefault="000C623C">
            <w:pPr>
              <w:pStyle w:val="COMTabletext"/>
              <w:keepNext w:val="0"/>
              <w:widowControl w:val="0"/>
              <w:spacing w:after="120"/>
            </w:pPr>
            <w:r w:rsidRPr="007F66A7">
              <w:t xml:space="preserve">Background mortality was informed by age- and sex-specific general population mortality estimates from the Australian Life Tables 2020-2022. In the model, background mortality was applied from various extrapolation points. The estimates for </w:t>
            </w:r>
            <w:r w:rsidR="009B0496" w:rsidRPr="007F66A7">
              <w:t>first-line</w:t>
            </w:r>
            <w:r w:rsidRPr="007F66A7">
              <w:t xml:space="preserve"> treatment were informed by mean baseline age and sex distribution in ECHELON-1 and separately for each subsequent line of therapy based on time of entry into these health states. Background mortality was also adjusted for excess mortality using a standardised mortality ratio of 2.2 (Dores 2020). </w:t>
            </w:r>
          </w:p>
          <w:p w14:paraId="2EE246D2" w14:textId="77777777" w:rsidR="000C623C" w:rsidRPr="007F66A7" w:rsidRDefault="000C623C">
            <w:pPr>
              <w:pStyle w:val="COMTabletext"/>
              <w:keepNext w:val="0"/>
              <w:widowControl w:val="0"/>
            </w:pPr>
            <w:r w:rsidRPr="007F66A7">
              <w:t>Adverse events were modelled using trial-based incidence of adverse events in ECHELON-1.</w:t>
            </w:r>
          </w:p>
        </w:tc>
      </w:tr>
      <w:tr w:rsidR="000C623C" w:rsidRPr="007F66A7" w14:paraId="009CC840" w14:textId="77777777" w:rsidTr="002E2458">
        <w:trPr>
          <w:cantSplit/>
        </w:trPr>
        <w:tc>
          <w:tcPr>
            <w:tcW w:w="821" w:type="pct"/>
            <w:vAlign w:val="center"/>
          </w:tcPr>
          <w:p w14:paraId="233EBFBA" w14:textId="77777777" w:rsidR="000C623C" w:rsidRPr="007F66A7" w:rsidRDefault="000C623C">
            <w:pPr>
              <w:pStyle w:val="COMTabletext"/>
              <w:keepNext w:val="0"/>
              <w:widowControl w:val="0"/>
            </w:pPr>
            <w:r w:rsidRPr="007F66A7">
              <w:lastRenderedPageBreak/>
              <w:t>Utilities</w:t>
            </w:r>
          </w:p>
        </w:tc>
        <w:tc>
          <w:tcPr>
            <w:tcW w:w="4179" w:type="pct"/>
            <w:vAlign w:val="center"/>
          </w:tcPr>
          <w:p w14:paraId="394E0183" w14:textId="36242968" w:rsidR="000C623C" w:rsidRPr="007F66A7" w:rsidRDefault="009B0496">
            <w:pPr>
              <w:pStyle w:val="COMTabletext"/>
              <w:keepNext w:val="0"/>
              <w:widowControl w:val="0"/>
            </w:pPr>
            <w:r w:rsidRPr="007F66A7">
              <w:t>First-line</w:t>
            </w:r>
            <w:r w:rsidR="000C623C" w:rsidRPr="007F66A7">
              <w:t xml:space="preserve"> on- and off-treatment utility values for A+AVD and ABVD were derived from a regression model of EQ-5D-3L individual patient data </w:t>
            </w:r>
            <w:r w:rsidR="001E1381" w:rsidRPr="007F66A7">
              <w:t>from</w:t>
            </w:r>
            <w:r w:rsidR="000C623C" w:rsidRPr="007F66A7">
              <w:t xml:space="preserve"> ECHELON-1. Subsequent line treatment utility values (second</w:t>
            </w:r>
            <w:r w:rsidR="0063720C" w:rsidRPr="007F66A7">
              <w:t>-</w:t>
            </w:r>
            <w:r w:rsidR="000C623C" w:rsidRPr="007F66A7">
              <w:t>, third</w:t>
            </w:r>
            <w:r w:rsidR="0063720C" w:rsidRPr="007F66A7">
              <w:t>-</w:t>
            </w:r>
            <w:r w:rsidR="000C623C" w:rsidRPr="007F66A7">
              <w:t xml:space="preserve"> and </w:t>
            </w:r>
            <w:r w:rsidRPr="007F66A7">
              <w:t>fourth-line</w:t>
            </w:r>
            <w:r w:rsidR="000C623C" w:rsidRPr="007F66A7">
              <w:t>, transplant eligible and transplant ineligible pathways) were derived using a multiplicative approach, based on calculated ratios using published estimates from Delea 2019 applied to the A+AVD on-treatment utility value in the model. Age-based utility adjustments were applied using a multiplicative approach based on Australian general population EQ-5D-3L utility estimates from Clemens 2014.</w:t>
            </w:r>
          </w:p>
        </w:tc>
      </w:tr>
      <w:tr w:rsidR="000C623C" w:rsidRPr="007F66A7" w14:paraId="2499C574" w14:textId="77777777" w:rsidTr="00033E22">
        <w:tc>
          <w:tcPr>
            <w:tcW w:w="821" w:type="pct"/>
            <w:vAlign w:val="center"/>
          </w:tcPr>
          <w:p w14:paraId="19BAE192" w14:textId="77777777" w:rsidR="000C623C" w:rsidRPr="007F66A7" w:rsidRDefault="000C623C">
            <w:pPr>
              <w:pStyle w:val="COMTabletext"/>
              <w:keepNext w:val="0"/>
              <w:widowControl w:val="0"/>
            </w:pPr>
            <w:r w:rsidRPr="007F66A7">
              <w:t>Costs</w:t>
            </w:r>
          </w:p>
        </w:tc>
        <w:tc>
          <w:tcPr>
            <w:tcW w:w="4179" w:type="pct"/>
            <w:vAlign w:val="center"/>
          </w:tcPr>
          <w:p w14:paraId="316C58DC" w14:textId="441B1D3D" w:rsidR="000C623C" w:rsidRPr="007F66A7" w:rsidRDefault="009B0496">
            <w:pPr>
              <w:pStyle w:val="COMTabletext"/>
              <w:keepNext w:val="0"/>
              <w:widowControl w:val="0"/>
            </w:pPr>
            <w:r w:rsidRPr="007F66A7">
              <w:t>First-line</w:t>
            </w:r>
            <w:r w:rsidR="000C623C" w:rsidRPr="007F66A7">
              <w:t xml:space="preserve"> drug costs were based on circumstances of use of A+AVD in ECHELON-1 and assumed for PET-adapted ABVD based on published guidelines. Subsequent treatment costs were pre-defined based on transplant eligibility following failure </w:t>
            </w:r>
            <w:r w:rsidR="001362E7" w:rsidRPr="007F66A7">
              <w:t>of</w:t>
            </w:r>
            <w:r w:rsidR="000C623C" w:rsidRPr="007F66A7">
              <w:t xml:space="preserve"> </w:t>
            </w:r>
            <w:r w:rsidRPr="007F66A7">
              <w:t>first-line</w:t>
            </w:r>
            <w:r w:rsidR="000C623C" w:rsidRPr="007F66A7">
              <w:t xml:space="preserve"> treatment. Chemotherapy and immunotherapy costs were based on recommended regimens as per eviQ </w:t>
            </w:r>
            <w:r w:rsidR="00BE31D9" w:rsidRPr="007F66A7">
              <w:t xml:space="preserve">protocols </w:t>
            </w:r>
            <w:r w:rsidR="000C623C" w:rsidRPr="007F66A7">
              <w:t>and PBS drug costs. ASCT costs were based on NHCDC 2021-22 Public Sector Acute Cost Weights. Treatment administration costs were based on MBS item fees and recommended dosing frequencies. Disease monitoring costs were based on MBS item fees and monitoring schedules as per published guidelines (ESMO, NCCN), the ECHELON-1 trial and expert opinion. Adverse event costs were based on hospitalisation costs for severe adverse events occurring in the ECHELON-1 trial using NHCDC 2021-22 Public Sector Acute Cost Weights.</w:t>
            </w:r>
          </w:p>
        </w:tc>
      </w:tr>
      <w:tr w:rsidR="000C623C" w:rsidRPr="007F66A7" w14:paraId="24E380B7" w14:textId="77777777" w:rsidTr="00033E22">
        <w:tc>
          <w:tcPr>
            <w:tcW w:w="821" w:type="pct"/>
            <w:vAlign w:val="center"/>
          </w:tcPr>
          <w:p w14:paraId="3A38C6F3" w14:textId="77777777" w:rsidR="000C623C" w:rsidRPr="007F66A7" w:rsidRDefault="000C623C">
            <w:pPr>
              <w:pStyle w:val="COMTabletext"/>
              <w:keepNext w:val="0"/>
              <w:widowControl w:val="0"/>
            </w:pPr>
            <w:r w:rsidRPr="007F66A7">
              <w:t>Discounting</w:t>
            </w:r>
          </w:p>
        </w:tc>
        <w:tc>
          <w:tcPr>
            <w:tcW w:w="4179" w:type="pct"/>
            <w:vAlign w:val="center"/>
          </w:tcPr>
          <w:p w14:paraId="2F352544" w14:textId="77777777" w:rsidR="000C623C" w:rsidRPr="007F66A7" w:rsidRDefault="000C623C">
            <w:pPr>
              <w:pStyle w:val="COMTabletext"/>
              <w:keepNext w:val="0"/>
              <w:widowControl w:val="0"/>
            </w:pPr>
            <w:r w:rsidRPr="007F66A7">
              <w:t>5% per year applied to costs and outcomes</w:t>
            </w:r>
          </w:p>
        </w:tc>
      </w:tr>
      <w:tr w:rsidR="000C623C" w:rsidRPr="007F66A7" w14:paraId="0245DB4F" w14:textId="77777777" w:rsidTr="00033E22">
        <w:tc>
          <w:tcPr>
            <w:tcW w:w="821" w:type="pct"/>
            <w:vAlign w:val="center"/>
          </w:tcPr>
          <w:p w14:paraId="46CDAC3F" w14:textId="77777777" w:rsidR="000C623C" w:rsidRPr="007F66A7" w:rsidRDefault="000C623C">
            <w:pPr>
              <w:pStyle w:val="COMTabletext"/>
              <w:keepNext w:val="0"/>
              <w:widowControl w:val="0"/>
            </w:pPr>
            <w:r w:rsidRPr="007F66A7">
              <w:t>Software package</w:t>
            </w:r>
          </w:p>
        </w:tc>
        <w:tc>
          <w:tcPr>
            <w:tcW w:w="4179" w:type="pct"/>
            <w:vAlign w:val="center"/>
          </w:tcPr>
          <w:p w14:paraId="5B55B677" w14:textId="77777777" w:rsidR="000C623C" w:rsidRPr="007F66A7" w:rsidRDefault="000C623C">
            <w:pPr>
              <w:pStyle w:val="COMTabletext"/>
              <w:keepNext w:val="0"/>
              <w:widowControl w:val="0"/>
            </w:pPr>
            <w:r w:rsidRPr="007F66A7">
              <w:t>Microsoft Excel</w:t>
            </w:r>
          </w:p>
        </w:tc>
      </w:tr>
    </w:tbl>
    <w:p w14:paraId="4CFB24A3" w14:textId="77777777" w:rsidR="000C623C" w:rsidRPr="007F66A7" w:rsidRDefault="000C623C" w:rsidP="000C623C">
      <w:pPr>
        <w:pStyle w:val="COMTablefooter"/>
      </w:pPr>
      <w:r w:rsidRPr="007F66A7">
        <w:t>Source: Table 3.2, p185 of the resubmission</w:t>
      </w:r>
    </w:p>
    <w:p w14:paraId="59B9713C" w14:textId="2CBD2948" w:rsidR="000C623C" w:rsidRPr="007F66A7" w:rsidRDefault="000C623C" w:rsidP="000C623C">
      <w:pPr>
        <w:pStyle w:val="COMTablefooter"/>
      </w:pPr>
      <w:r w:rsidRPr="007F66A7">
        <w:t xml:space="preserve">Abbreviations: A+AVD, brentuximab vedotin, doxorubicin, vinblastine, and dacarbazine: ABVD, doxorubicin, bleomycin, vinblastine, and dacarbazine; ASCT, allogeneic or autologous stem cell transplant; AR-DRG, Australian Refined Diagnosis Related Groups; DHAP, dexamethasone, cytarabine, cisplatin; GemVino, gemcitabine and vinorelbine; ICE, </w:t>
      </w:r>
      <w:proofErr w:type="spellStart"/>
      <w:r w:rsidRPr="007F66A7">
        <w:t>ifosfamide</w:t>
      </w:r>
      <w:proofErr w:type="spellEnd"/>
      <w:r w:rsidRPr="007F66A7">
        <w:t xml:space="preserve">, carboplatin, etoposide; NHCDC, National Hospital Cost Data Collection; </w:t>
      </w:r>
      <w:r w:rsidR="00694198" w:rsidRPr="007F66A7">
        <w:t xml:space="preserve">OS, overall survival; </w:t>
      </w:r>
      <w:r w:rsidRPr="007F66A7">
        <w:t xml:space="preserve">PET, positron emission tomography; PFS, progression-free survival </w:t>
      </w:r>
    </w:p>
    <w:p w14:paraId="5B5F7B98" w14:textId="36AC24AD" w:rsidR="00490B17" w:rsidRPr="007F66A7" w:rsidRDefault="00833B25" w:rsidP="00833B25">
      <w:pPr>
        <w:pStyle w:val="COMexecsummnumbered"/>
      </w:pPr>
      <w:r w:rsidRPr="007F66A7">
        <w:t xml:space="preserve">The resubmission presented a </w:t>
      </w:r>
      <w:r w:rsidR="00C1559D" w:rsidRPr="007F66A7">
        <w:t>new economic analysis</w:t>
      </w:r>
      <w:r w:rsidR="0088684A" w:rsidRPr="007F66A7">
        <w:t>,</w:t>
      </w:r>
      <w:r w:rsidR="00C1559D" w:rsidRPr="007F66A7">
        <w:t xml:space="preserve"> given substantial issues raised regarding the partitioned survival analysis structure in the previous submission</w:t>
      </w:r>
      <w:r w:rsidR="00480EF2" w:rsidRPr="007F66A7">
        <w:t xml:space="preserve"> (see </w:t>
      </w:r>
      <w:r w:rsidR="00480EF2" w:rsidRPr="007F66A7">
        <w:fldChar w:fldCharType="begin"/>
      </w:r>
      <w:r w:rsidR="00480EF2" w:rsidRPr="007F66A7">
        <w:instrText xml:space="preserve"> REF _Ref193181469 \h </w:instrText>
      </w:r>
      <w:r w:rsidR="00480EF2" w:rsidRPr="007F66A7">
        <w:fldChar w:fldCharType="separate"/>
      </w:r>
      <w:r w:rsidR="00293B06" w:rsidRPr="007F66A7">
        <w:t xml:space="preserve">Table </w:t>
      </w:r>
      <w:r w:rsidR="00293B06">
        <w:rPr>
          <w:noProof/>
        </w:rPr>
        <w:t>2</w:t>
      </w:r>
      <w:r w:rsidR="00480EF2" w:rsidRPr="007F66A7">
        <w:fldChar w:fldCharType="end"/>
      </w:r>
      <w:r w:rsidR="00480EF2" w:rsidRPr="007F66A7">
        <w:t>)</w:t>
      </w:r>
      <w:r w:rsidR="00C1559D" w:rsidRPr="007F66A7">
        <w:t>.</w:t>
      </w:r>
    </w:p>
    <w:p w14:paraId="017C53C2" w14:textId="5B72B831" w:rsidR="006C0037" w:rsidRPr="007F66A7" w:rsidRDefault="00127D7F" w:rsidP="00833B25">
      <w:pPr>
        <w:pStyle w:val="COMexecsummnumbered"/>
      </w:pPr>
      <w:r w:rsidRPr="007F66A7">
        <w:t>The model structure was described in the resubmission as a Markov model that was broadly aligned with published economic evaluations. Computationally, the model included features of both a Markov model and partitioned survival analysis</w:t>
      </w:r>
      <w:r w:rsidR="00393F1F" w:rsidRPr="007F66A7">
        <w:t>,</w:t>
      </w:r>
      <w:r w:rsidRPr="007F66A7">
        <w:t xml:space="preserve"> given the mixed use of time-dependent transition probabilities and </w:t>
      </w:r>
      <w:r w:rsidR="00C4488E" w:rsidRPr="007F66A7">
        <w:t xml:space="preserve">area under the curve for allocation of patients across health states. </w:t>
      </w:r>
    </w:p>
    <w:p w14:paraId="0E6613F9" w14:textId="046584A8" w:rsidR="006C0037" w:rsidRPr="007F66A7" w:rsidRDefault="006C0037" w:rsidP="00833B25">
      <w:pPr>
        <w:pStyle w:val="COMexecsummnumbered"/>
      </w:pPr>
      <w:r w:rsidRPr="007F66A7">
        <w:t xml:space="preserve">All patients entering the model receive </w:t>
      </w:r>
      <w:r w:rsidR="009B0496" w:rsidRPr="007F66A7">
        <w:t>first-line</w:t>
      </w:r>
      <w:r w:rsidRPr="007F66A7">
        <w:t xml:space="preserve"> treatment with either A+AVD or ABVD. In each 4-week cycle, patients can either remain in the same health state, experience disease progression</w:t>
      </w:r>
      <w:r w:rsidR="00447C74" w:rsidRPr="007F66A7">
        <w:t>,</w:t>
      </w:r>
      <w:r w:rsidRPr="007F66A7">
        <w:t xml:space="preserve"> or die. Patients who experience disease progression are assumed to receive a subsequent line of therapy via an assigned treatment pathway </w:t>
      </w:r>
      <w:r w:rsidR="00C07D00" w:rsidRPr="007F66A7">
        <w:t xml:space="preserve">based on transplant eligibility (illustrated in </w:t>
      </w:r>
      <w:r w:rsidR="00FD34D9" w:rsidRPr="007F66A7">
        <w:fldChar w:fldCharType="begin"/>
      </w:r>
      <w:r w:rsidR="00FD34D9" w:rsidRPr="007F66A7">
        <w:instrText xml:space="preserve"> REF _Ref197700678 \h </w:instrText>
      </w:r>
      <w:r w:rsidR="00FD34D9" w:rsidRPr="007F66A7">
        <w:fldChar w:fldCharType="separate"/>
      </w:r>
      <w:r w:rsidR="00293B06" w:rsidRPr="007F66A7">
        <w:t xml:space="preserve">Figure </w:t>
      </w:r>
      <w:r w:rsidR="00293B06">
        <w:rPr>
          <w:noProof/>
        </w:rPr>
        <w:t>3</w:t>
      </w:r>
      <w:r w:rsidR="00FD34D9" w:rsidRPr="007F66A7">
        <w:fldChar w:fldCharType="end"/>
      </w:r>
      <w:r w:rsidR="00FD34D9" w:rsidRPr="007F66A7">
        <w:t xml:space="preserve"> </w:t>
      </w:r>
      <w:r w:rsidR="00C07D00" w:rsidRPr="007F66A7">
        <w:t xml:space="preserve">below). </w:t>
      </w:r>
    </w:p>
    <w:p w14:paraId="17C394A9" w14:textId="0B9C09DF" w:rsidR="00FD34D9" w:rsidRPr="007F66A7" w:rsidRDefault="00FD34D9" w:rsidP="00FD34D9">
      <w:pPr>
        <w:pStyle w:val="COMtablefigcaption"/>
      </w:pPr>
      <w:bookmarkStart w:id="39" w:name="_Ref197700678"/>
      <w:r w:rsidRPr="007F66A7">
        <w:lastRenderedPageBreak/>
        <w:t xml:space="preserve">Figure </w:t>
      </w:r>
      <w:r w:rsidR="006A25C4">
        <w:fldChar w:fldCharType="begin"/>
      </w:r>
      <w:r w:rsidR="006A25C4">
        <w:instrText xml:space="preserve"> SEQ Figure \* ARABIC </w:instrText>
      </w:r>
      <w:r w:rsidR="006A25C4">
        <w:fldChar w:fldCharType="separate"/>
      </w:r>
      <w:r w:rsidR="00293B06">
        <w:rPr>
          <w:noProof/>
        </w:rPr>
        <w:t>3</w:t>
      </w:r>
      <w:r w:rsidR="006A25C4">
        <w:fldChar w:fldCharType="end"/>
      </w:r>
      <w:bookmarkEnd w:id="39"/>
      <w:r w:rsidRPr="007F66A7">
        <w:t>: Treatment pathways in the model</w:t>
      </w:r>
    </w:p>
    <w:p w14:paraId="6E535769" w14:textId="77777777" w:rsidR="00C07D00" w:rsidRPr="007F66A7" w:rsidRDefault="00C07D00" w:rsidP="00C07D00">
      <w:pPr>
        <w:rPr>
          <w:color w:val="3366FF"/>
        </w:rPr>
      </w:pPr>
      <w:r w:rsidRPr="007F66A7">
        <w:rPr>
          <w:noProof/>
          <w:color w:val="3366FF"/>
        </w:rPr>
        <w:drawing>
          <wp:inline distT="0" distB="0" distL="0" distR="0" wp14:anchorId="33E4C18B" wp14:editId="0660E2BA">
            <wp:extent cx="3677202" cy="3619500"/>
            <wp:effectExtent l="0" t="0" r="0" b="0"/>
            <wp:docPr id="1330694186" name="Picture 1" descr="Figure 3: Treatment pathways in th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694186" name="Picture 1" descr="Figure 3: Treatment pathways in the model"/>
                    <pic:cNvPicPr/>
                  </pic:nvPicPr>
                  <pic:blipFill>
                    <a:blip r:embed="rId14"/>
                    <a:stretch>
                      <a:fillRect/>
                    </a:stretch>
                  </pic:blipFill>
                  <pic:spPr>
                    <a:xfrm>
                      <a:off x="0" y="0"/>
                      <a:ext cx="3681790" cy="3624016"/>
                    </a:xfrm>
                    <a:prstGeom prst="rect">
                      <a:avLst/>
                    </a:prstGeom>
                  </pic:spPr>
                </pic:pic>
              </a:graphicData>
            </a:graphic>
          </wp:inline>
        </w:drawing>
      </w:r>
    </w:p>
    <w:p w14:paraId="0E4D5960" w14:textId="77777777" w:rsidR="00C07D00" w:rsidRPr="007F66A7" w:rsidRDefault="00C07D00" w:rsidP="00C07D00">
      <w:pPr>
        <w:pStyle w:val="COMTablefooter"/>
      </w:pPr>
      <w:r w:rsidRPr="007F66A7">
        <w:t>Source: constructed during the evaluation based on Section 3.2.2, p203 of the resubmission</w:t>
      </w:r>
    </w:p>
    <w:p w14:paraId="169D23B5" w14:textId="0EA3EB9D" w:rsidR="00C07D00" w:rsidRPr="007F66A7" w:rsidRDefault="00C07D00" w:rsidP="00C07D00">
      <w:pPr>
        <w:pStyle w:val="COMTablefooter"/>
        <w:keepNext/>
      </w:pPr>
      <w:r w:rsidRPr="007F66A7">
        <w:t xml:space="preserve">Abbreviations: A+AVD, brentuximab vedotin plus doxorubicin, vinblastine, dacarbazine; ABVD, doxorubicin, bleomycin, vinblastine, and dacarbazine; ASCT, allogeneic or autologous stem cell transplant; DHAP, dexamethasone, cytarabine, cisplatin; ICE, </w:t>
      </w:r>
      <w:proofErr w:type="spellStart"/>
      <w:r w:rsidRPr="007F66A7">
        <w:t>ifosfamide</w:t>
      </w:r>
      <w:proofErr w:type="spellEnd"/>
      <w:r w:rsidRPr="007F66A7">
        <w:t>, carboplatin, etoposide</w:t>
      </w:r>
    </w:p>
    <w:p w14:paraId="6A6AC386" w14:textId="41472FB2" w:rsidR="006C0037" w:rsidRPr="007F66A7" w:rsidRDefault="006C0037" w:rsidP="00833B25">
      <w:pPr>
        <w:pStyle w:val="COMexecsummnumbered"/>
      </w:pPr>
      <w:r w:rsidRPr="007F66A7">
        <w:t xml:space="preserve">In each cycle, patients in subsequent treatment health states can either remain in the same health state, experience disease progression or die. A simplified approach was used to model the risk of death in patients in third- and fourth-line treatment health states (based on the same overall survival curve), assuming no difference in survival outcomes in patients initiating </w:t>
      </w:r>
      <w:r w:rsidR="009B0496" w:rsidRPr="007F66A7">
        <w:t>fourth-line</w:t>
      </w:r>
      <w:r w:rsidRPr="007F66A7">
        <w:t xml:space="preserve"> treatment. Disease status was not explicitly modelled in patients who received </w:t>
      </w:r>
      <w:r w:rsidR="009B0496" w:rsidRPr="007F66A7">
        <w:t>fourth-line</w:t>
      </w:r>
      <w:r w:rsidRPr="007F66A7">
        <w:t xml:space="preserve"> treatment and patients could either remain in the health state or die.</w:t>
      </w:r>
    </w:p>
    <w:p w14:paraId="4CD5A34E" w14:textId="089DEE06" w:rsidR="006C0037" w:rsidRPr="007F66A7" w:rsidRDefault="006C0037" w:rsidP="00833B25">
      <w:pPr>
        <w:pStyle w:val="COMexecsummnumbered"/>
      </w:pPr>
      <w:r w:rsidRPr="007F66A7">
        <w:t>The model tracked time from entry into subsequent treatment health states to allow for implementation of time-dependent probabilities of disease progression or death from the point of treatment initiation.</w:t>
      </w:r>
    </w:p>
    <w:p w14:paraId="3502CAFD" w14:textId="2D6FCC52" w:rsidR="00B63BBD" w:rsidRPr="007F66A7" w:rsidRDefault="006A0F55" w:rsidP="00833B25">
      <w:pPr>
        <w:pStyle w:val="COMexecsummnumbered"/>
      </w:pPr>
      <w:r w:rsidRPr="007F66A7">
        <w:t>The evaluation noted that s</w:t>
      </w:r>
      <w:r w:rsidR="00B63BBD" w:rsidRPr="007F66A7">
        <w:t>ubgroup analyses</w:t>
      </w:r>
      <w:r w:rsidR="009B5673" w:rsidRPr="007F66A7">
        <w:t xml:space="preserve"> of the ECHELON-1 trial </w:t>
      </w:r>
      <w:r w:rsidR="00B63BBD" w:rsidRPr="007F66A7">
        <w:t xml:space="preserve">based on </w:t>
      </w:r>
      <w:r w:rsidR="009B057C" w:rsidRPr="007F66A7">
        <w:t xml:space="preserve">age and </w:t>
      </w:r>
      <w:r w:rsidR="00B63BBD" w:rsidRPr="007F66A7">
        <w:t xml:space="preserve">disease stage also indicated that survival benefit in the overall population may have been primarily driven by patients </w:t>
      </w:r>
      <w:r w:rsidR="009B057C" w:rsidRPr="007F66A7">
        <w:t xml:space="preserve">aged </w:t>
      </w:r>
      <w:r w:rsidR="009B057C" w:rsidRPr="007F66A7">
        <w:rPr>
          <w:rFonts w:cstheme="minorHAnsi"/>
        </w:rPr>
        <w:t>≤</w:t>
      </w:r>
      <w:r w:rsidR="009B057C" w:rsidRPr="007F66A7">
        <w:t xml:space="preserve">60 years </w:t>
      </w:r>
      <w:r w:rsidR="00C96E74" w:rsidRPr="007F66A7">
        <w:t>and</w:t>
      </w:r>
      <w:r w:rsidR="009B057C" w:rsidRPr="007F66A7">
        <w:t xml:space="preserve"> those </w:t>
      </w:r>
      <w:r w:rsidR="00B63BBD" w:rsidRPr="007F66A7">
        <w:t xml:space="preserve">with stage IV disease. The </w:t>
      </w:r>
      <w:r w:rsidRPr="007F66A7">
        <w:t xml:space="preserve">evaluation considered that the </w:t>
      </w:r>
      <w:r w:rsidR="00B63BBD" w:rsidRPr="007F66A7">
        <w:t xml:space="preserve">cost-effectiveness of A+AVD in patients </w:t>
      </w:r>
      <w:r w:rsidR="009B057C" w:rsidRPr="007F66A7">
        <w:t xml:space="preserve">aged </w:t>
      </w:r>
      <w:r w:rsidR="009B057C" w:rsidRPr="007F66A7">
        <w:rPr>
          <w:rFonts w:cstheme="minorHAnsi"/>
        </w:rPr>
        <w:t xml:space="preserve">≥60 years </w:t>
      </w:r>
      <w:r w:rsidR="00C96E74" w:rsidRPr="007F66A7">
        <w:rPr>
          <w:rFonts w:cstheme="minorHAnsi"/>
        </w:rPr>
        <w:t>and</w:t>
      </w:r>
      <w:r w:rsidR="009B057C" w:rsidRPr="007F66A7">
        <w:rPr>
          <w:rFonts w:cstheme="minorHAnsi"/>
        </w:rPr>
        <w:t xml:space="preserve"> those </w:t>
      </w:r>
      <w:r w:rsidR="00B63BBD" w:rsidRPr="007F66A7">
        <w:t>with stage III disease is uncertain.</w:t>
      </w:r>
    </w:p>
    <w:p w14:paraId="2B5F3719" w14:textId="7AD83A6D" w:rsidR="002524D5" w:rsidRPr="007F66A7" w:rsidRDefault="00D43E8A" w:rsidP="00D43E8A">
      <w:pPr>
        <w:pStyle w:val="COMexecsummnumbered"/>
      </w:pPr>
      <w:r w:rsidRPr="007F66A7">
        <w:t xml:space="preserve">Key drivers of the economic model are summarised in </w:t>
      </w:r>
      <w:r w:rsidR="00FD34D9" w:rsidRPr="007F66A7">
        <w:fldChar w:fldCharType="begin"/>
      </w:r>
      <w:r w:rsidR="00FD34D9" w:rsidRPr="007F66A7">
        <w:instrText xml:space="preserve"> REF _Ref104805122 \h </w:instrText>
      </w:r>
      <w:r w:rsidR="00FD34D9" w:rsidRPr="007F66A7">
        <w:fldChar w:fldCharType="separate"/>
      </w:r>
      <w:r w:rsidR="00293B06" w:rsidRPr="007F66A7">
        <w:t xml:space="preserve">Table </w:t>
      </w:r>
      <w:r w:rsidR="00293B06">
        <w:rPr>
          <w:noProof/>
        </w:rPr>
        <w:t>9</w:t>
      </w:r>
      <w:r w:rsidR="00FD34D9" w:rsidRPr="007F66A7">
        <w:fldChar w:fldCharType="end"/>
      </w:r>
      <w:r w:rsidRPr="007F66A7">
        <w:t>.</w:t>
      </w:r>
    </w:p>
    <w:p w14:paraId="774D46B7" w14:textId="649F09BA" w:rsidR="00D110BD" w:rsidRPr="007F66A7" w:rsidRDefault="00E16AD8" w:rsidP="00FF3ECD">
      <w:pPr>
        <w:pStyle w:val="COMtablefigcaption"/>
      </w:pPr>
      <w:bookmarkStart w:id="40" w:name="_Ref104805122"/>
      <w:r w:rsidRPr="007F66A7">
        <w:lastRenderedPageBreak/>
        <w:t xml:space="preserve">Table </w:t>
      </w:r>
      <w:r w:rsidR="006A25C4">
        <w:fldChar w:fldCharType="begin"/>
      </w:r>
      <w:r w:rsidR="006A25C4">
        <w:instrText xml:space="preserve"> SEQ Table \* ARABIC </w:instrText>
      </w:r>
      <w:r w:rsidR="006A25C4">
        <w:fldChar w:fldCharType="separate"/>
      </w:r>
      <w:r w:rsidR="00293B06">
        <w:rPr>
          <w:noProof/>
        </w:rPr>
        <w:t>9</w:t>
      </w:r>
      <w:r w:rsidR="006A25C4">
        <w:fldChar w:fldCharType="end"/>
      </w:r>
      <w:bookmarkEnd w:id="40"/>
      <w:r w:rsidRPr="007F66A7">
        <w:t>:</w:t>
      </w:r>
      <w:r w:rsidR="00D110BD" w:rsidRPr="007F66A7">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drivers of the model"/>
      </w:tblPr>
      <w:tblGrid>
        <w:gridCol w:w="1564"/>
        <w:gridCol w:w="5949"/>
        <w:gridCol w:w="1504"/>
      </w:tblGrid>
      <w:tr w:rsidR="00537182" w:rsidRPr="00F5041B" w14:paraId="4DD8026E" w14:textId="77777777" w:rsidTr="00D439FA">
        <w:trPr>
          <w:cantSplit/>
          <w:tblHeader/>
        </w:trPr>
        <w:tc>
          <w:tcPr>
            <w:tcW w:w="867" w:type="pct"/>
            <w:vAlign w:val="center"/>
          </w:tcPr>
          <w:p w14:paraId="6A9EC2DA" w14:textId="77777777" w:rsidR="00D110BD" w:rsidRPr="00F5041B" w:rsidRDefault="00D110BD" w:rsidP="00145D64">
            <w:pPr>
              <w:pStyle w:val="COMTableheadingrow"/>
              <w:keepNext w:val="0"/>
              <w:widowControl w:val="0"/>
              <w:rPr>
                <w:lang w:val="en-AU"/>
              </w:rPr>
            </w:pPr>
            <w:r w:rsidRPr="00F5041B">
              <w:rPr>
                <w:lang w:val="en-AU"/>
              </w:rPr>
              <w:t>Description</w:t>
            </w:r>
          </w:p>
        </w:tc>
        <w:tc>
          <w:tcPr>
            <w:tcW w:w="3299" w:type="pct"/>
            <w:vAlign w:val="center"/>
          </w:tcPr>
          <w:p w14:paraId="67A62672" w14:textId="77777777" w:rsidR="00D110BD" w:rsidRPr="00F5041B" w:rsidRDefault="00D110BD" w:rsidP="00145D64">
            <w:pPr>
              <w:pStyle w:val="COMTableheadingrow"/>
              <w:keepNext w:val="0"/>
              <w:widowControl w:val="0"/>
              <w:rPr>
                <w:lang w:val="en-AU"/>
              </w:rPr>
            </w:pPr>
            <w:r w:rsidRPr="00F5041B">
              <w:rPr>
                <w:lang w:val="en-AU"/>
              </w:rPr>
              <w:t>Method/Value</w:t>
            </w:r>
          </w:p>
        </w:tc>
        <w:tc>
          <w:tcPr>
            <w:tcW w:w="834" w:type="pct"/>
            <w:vAlign w:val="center"/>
          </w:tcPr>
          <w:p w14:paraId="6C1DC9EA" w14:textId="020A4513" w:rsidR="00490B17" w:rsidRPr="00F5041B" w:rsidRDefault="00D110BD" w:rsidP="00145D64">
            <w:pPr>
              <w:pStyle w:val="COMTableheadingrow"/>
              <w:keepNext w:val="0"/>
              <w:widowControl w:val="0"/>
              <w:jc w:val="center"/>
              <w:rPr>
                <w:lang w:val="en-AU"/>
              </w:rPr>
            </w:pPr>
            <w:r w:rsidRPr="00F5041B">
              <w:rPr>
                <w:lang w:val="en-AU"/>
              </w:rPr>
              <w:t>Impact</w:t>
            </w:r>
          </w:p>
        </w:tc>
      </w:tr>
      <w:tr w:rsidR="00537182" w:rsidRPr="00F5041B" w14:paraId="3DE22150" w14:textId="77777777" w:rsidTr="00D439FA">
        <w:trPr>
          <w:cantSplit/>
        </w:trPr>
        <w:tc>
          <w:tcPr>
            <w:tcW w:w="867" w:type="pct"/>
            <w:vAlign w:val="center"/>
          </w:tcPr>
          <w:p w14:paraId="72E20981" w14:textId="6AC5A96E" w:rsidR="00D110BD" w:rsidRPr="00F5041B" w:rsidRDefault="006D0F35" w:rsidP="00145D64">
            <w:pPr>
              <w:pStyle w:val="COMTabletext"/>
              <w:keepNext w:val="0"/>
              <w:widowControl w:val="0"/>
            </w:pPr>
            <w:r w:rsidRPr="00F5041B">
              <w:t>Model structure</w:t>
            </w:r>
            <w:r w:rsidR="00E62354" w:rsidRPr="00F5041B">
              <w:t xml:space="preserve"> (fixed treatment pathways)</w:t>
            </w:r>
          </w:p>
        </w:tc>
        <w:tc>
          <w:tcPr>
            <w:tcW w:w="3299" w:type="pct"/>
            <w:vAlign w:val="center"/>
          </w:tcPr>
          <w:p w14:paraId="43F4FEF2" w14:textId="4553D983" w:rsidR="00D3653B" w:rsidRPr="00F5041B" w:rsidRDefault="00D3653B" w:rsidP="00145D64">
            <w:pPr>
              <w:pStyle w:val="COMTabletext"/>
              <w:keepNext w:val="0"/>
              <w:widowControl w:val="0"/>
              <w:spacing w:after="120"/>
            </w:pPr>
            <w:r w:rsidRPr="00F5041B">
              <w:t>The</w:t>
            </w:r>
            <w:r w:rsidR="00EE3324" w:rsidRPr="00F5041B">
              <w:t xml:space="preserve"> evaluation considered the</w:t>
            </w:r>
            <w:r w:rsidRPr="00F5041B">
              <w:t xml:space="preserve"> fixed treatment pathways according to transplant eligibility </w:t>
            </w:r>
            <w:r w:rsidR="009249F7" w:rsidRPr="00F5041B">
              <w:t xml:space="preserve">were </w:t>
            </w:r>
            <w:r w:rsidRPr="00F5041B">
              <w:t>inconsistent with the proposed algorithm for relapsed</w:t>
            </w:r>
            <w:r w:rsidR="00AF77CD">
              <w:t xml:space="preserve"> or </w:t>
            </w:r>
            <w:r w:rsidRPr="00F5041B">
              <w:t xml:space="preserve">refractory disease in the resubmission. The treatment algorithm indicates that suitability for ASCT can be assessed at multiple points of care while the model assumed patients received ASCT at a specific time point, following failure </w:t>
            </w:r>
            <w:r w:rsidR="001362E7" w:rsidRPr="00F5041B">
              <w:t>of</w:t>
            </w:r>
            <w:r w:rsidRPr="00F5041B">
              <w:t xml:space="preserve"> </w:t>
            </w:r>
            <w:r w:rsidR="009B0496" w:rsidRPr="00F5041B">
              <w:t>first-line</w:t>
            </w:r>
            <w:r w:rsidRPr="00F5041B">
              <w:t xml:space="preserve"> treatment only.</w:t>
            </w:r>
          </w:p>
          <w:p w14:paraId="5A2F6523" w14:textId="558628F1" w:rsidR="00D3653B" w:rsidRPr="00F5041B" w:rsidRDefault="00D3653B" w:rsidP="00145D64">
            <w:pPr>
              <w:pStyle w:val="COMTabletext"/>
              <w:keepNext w:val="0"/>
              <w:widowControl w:val="0"/>
              <w:spacing w:after="120"/>
            </w:pPr>
            <w:r w:rsidRPr="00F5041B">
              <w:t xml:space="preserve">The model structure only allows for receipt of immunotherapies (pembrolizumab as a proxy for brentuximab vedotin) as </w:t>
            </w:r>
            <w:r w:rsidR="009B0496" w:rsidRPr="00F5041B">
              <w:t>third-line</w:t>
            </w:r>
            <w:r w:rsidRPr="00F5041B">
              <w:t xml:space="preserve"> treatment, which does not reflect the potential for sequential use of brentuximab vedotin and pembrolizumab (</w:t>
            </w:r>
            <w:r w:rsidR="009249F7" w:rsidRPr="00F5041B">
              <w:t xml:space="preserve">consistent with </w:t>
            </w:r>
            <w:r w:rsidRPr="00F5041B">
              <w:t xml:space="preserve">current PBS listings). </w:t>
            </w:r>
          </w:p>
          <w:p w14:paraId="2136CD7B" w14:textId="232CA747" w:rsidR="00D3653B" w:rsidRPr="00F5041B" w:rsidRDefault="00D3653B" w:rsidP="00145D64">
            <w:pPr>
              <w:pStyle w:val="COMTabletext"/>
              <w:keepNext w:val="0"/>
              <w:widowControl w:val="0"/>
              <w:spacing w:after="120"/>
            </w:pPr>
            <w:r w:rsidRPr="00F5041B">
              <w:t>The model inappropriately assumes that subsequent treatments are initiated upon disease progression only and does not capture the use and associated benefits of consolidation treatments such as radiotherapy in patients at high risk of relapse.</w:t>
            </w:r>
          </w:p>
          <w:p w14:paraId="4669EEEE" w14:textId="7F865070" w:rsidR="00D3653B" w:rsidRPr="00F5041B" w:rsidRDefault="00D3653B" w:rsidP="00145D64">
            <w:pPr>
              <w:pStyle w:val="COMTabletext"/>
              <w:keepNext w:val="0"/>
              <w:widowControl w:val="0"/>
              <w:spacing w:after="120"/>
            </w:pPr>
            <w:r w:rsidRPr="00F5041B">
              <w:t xml:space="preserve">The resubmission acknowledged concerns with the applicability of published data used to inform modelled outcomes associated with subsequent treatments due to differences in known prognostic factors such as age, gender, disease severity and use of prior therapies. The resubmission acknowledged that outcomes in some health states may be underestimated. This appears to be the case, </w:t>
            </w:r>
            <w:r w:rsidR="009249F7" w:rsidRPr="00F5041B">
              <w:t xml:space="preserve">as </w:t>
            </w:r>
            <w:r w:rsidRPr="00F5041B">
              <w:t xml:space="preserve">data from relevant studies of brentuximab vedotin treatment after ASCT (Chen 2016, Moskowitz 2015) suggest substantially higher PFS and OS rates compared to model outputs. </w:t>
            </w:r>
          </w:p>
          <w:p w14:paraId="146DCE52" w14:textId="77777777" w:rsidR="00D3653B" w:rsidRPr="00F5041B" w:rsidRDefault="00D3653B" w:rsidP="0087096B">
            <w:pPr>
              <w:pStyle w:val="COMTabletext"/>
              <w:keepNext w:val="0"/>
              <w:widowControl w:val="0"/>
              <w:spacing w:after="120"/>
            </w:pPr>
            <w:r w:rsidRPr="00F5041B">
              <w:t>Overall, the</w:t>
            </w:r>
            <w:r w:rsidR="00C07D00" w:rsidRPr="00F5041B">
              <w:t xml:space="preserve"> </w:t>
            </w:r>
            <w:r w:rsidRPr="00F5041B">
              <w:t xml:space="preserve">structure and inputs used </w:t>
            </w:r>
            <w:r w:rsidR="00427BA3" w:rsidRPr="00F5041B">
              <w:t xml:space="preserve">are </w:t>
            </w:r>
            <w:r w:rsidR="00C07D00" w:rsidRPr="00F5041B">
              <w:t xml:space="preserve">likely to underestimate treatment benefits associated with subsequent therapies. The impact of this approach could not be quantified. </w:t>
            </w:r>
          </w:p>
          <w:p w14:paraId="6611E296" w14:textId="52627BC7" w:rsidR="000D56A6" w:rsidRPr="00F5041B" w:rsidRDefault="000D56A6" w:rsidP="0087096B">
            <w:pPr>
              <w:pStyle w:val="COMTabletext"/>
              <w:keepNext w:val="0"/>
              <w:widowControl w:val="0"/>
              <w:spacing w:after="120"/>
            </w:pPr>
            <w:r w:rsidRPr="00F5041B">
              <w:t xml:space="preserve">The </w:t>
            </w:r>
            <w:r w:rsidR="00B22DEF">
              <w:t>Pre-Sub-Committee Response (</w:t>
            </w:r>
            <w:r w:rsidRPr="00F5041B">
              <w:t>PSCR</w:t>
            </w:r>
            <w:r w:rsidR="00B22DEF">
              <w:t>)</w:t>
            </w:r>
            <w:r w:rsidRPr="00F5041B">
              <w:t xml:space="preserve">  acknowledged </w:t>
            </w:r>
            <w:r w:rsidR="00EF5E72" w:rsidRPr="00F5041B">
              <w:t>limitations of the model</w:t>
            </w:r>
            <w:r w:rsidR="00A2350D" w:rsidRPr="00F5041B">
              <w:t xml:space="preserve"> raised </w:t>
            </w:r>
            <w:r w:rsidR="00E12E79" w:rsidRPr="00F5041B">
              <w:t>by the evaluation but</w:t>
            </w:r>
            <w:r w:rsidR="00B27BFB" w:rsidRPr="00F5041B">
              <w:t xml:space="preserve"> argued</w:t>
            </w:r>
            <w:r w:rsidR="00A2350D" w:rsidRPr="00F5041B">
              <w:t xml:space="preserve"> that the model structure reflects the typical treatment pathway for ‘average’ patients with previously untreated </w:t>
            </w:r>
            <w:r w:rsidR="00D72B56" w:rsidRPr="00F5041B">
              <w:t xml:space="preserve">classical Hodgkin lymphoma. The PSCR </w:t>
            </w:r>
            <w:r w:rsidR="00825EA4" w:rsidRPr="00F5041B">
              <w:t>stated that the approach is</w:t>
            </w:r>
            <w:r w:rsidR="00A2350D" w:rsidRPr="00F5041B">
              <w:t xml:space="preserve"> consistent with that adopted in published economic models</w:t>
            </w:r>
            <w:r w:rsidR="006D6477" w:rsidRPr="00F5041B">
              <w:t xml:space="preserve"> (</w:t>
            </w:r>
            <w:r w:rsidR="00542679" w:rsidRPr="00F5041B">
              <w:t xml:space="preserve">e.g. </w:t>
            </w:r>
            <w:r w:rsidR="006D6477" w:rsidRPr="00F5041B">
              <w:t>Delea 2019</w:t>
            </w:r>
            <w:r w:rsidR="00542679" w:rsidRPr="00F5041B">
              <w:t xml:space="preserve"> and </w:t>
            </w:r>
            <w:proofErr w:type="spellStart"/>
            <w:r w:rsidR="00542679" w:rsidRPr="00F5041B">
              <w:t>Raymakers</w:t>
            </w:r>
            <w:proofErr w:type="spellEnd"/>
            <w:r w:rsidR="00542679" w:rsidRPr="00F5041B">
              <w:t xml:space="preserve"> 2020)</w:t>
            </w:r>
            <w:r w:rsidR="00F42A82" w:rsidRPr="00F5041B">
              <w:t xml:space="preserve"> where the modelled cohort </w:t>
            </w:r>
            <w:r w:rsidR="00484CA8" w:rsidRPr="00F5041B">
              <w:t>follows a fixed treatment pathway after being separated into ASCT eligible and ineligible populations following failure of frontline treatment</w:t>
            </w:r>
            <w:r w:rsidR="00A2350D" w:rsidRPr="00F5041B">
              <w:t xml:space="preserve">. </w:t>
            </w:r>
            <w:r w:rsidR="00025694" w:rsidRPr="00F5041B">
              <w:t>The PSCR argued that limitations must be considered in the context of the available clinical evidence, and what can reasonably be included in an economic model</w:t>
            </w:r>
            <w:r w:rsidR="00B76E24" w:rsidRPr="00F5041B">
              <w:t>, noting that i</w:t>
            </w:r>
            <w:r w:rsidR="00025694" w:rsidRPr="00F5041B">
              <w:t>t cannot capture every possible combination and permutation of treatments</w:t>
            </w:r>
            <w:r w:rsidR="000D7B45" w:rsidRPr="00F5041B">
              <w:t xml:space="preserve"> </w:t>
            </w:r>
            <w:r w:rsidR="00025694" w:rsidRPr="00F5041B">
              <w:t>that may occur in clinical practice.</w:t>
            </w:r>
          </w:p>
          <w:p w14:paraId="0FEA5535" w14:textId="1420AAC1" w:rsidR="00AD2085" w:rsidRPr="00F5041B" w:rsidRDefault="00AD2085" w:rsidP="00145D64">
            <w:pPr>
              <w:pStyle w:val="COMTabletext"/>
              <w:keepNext w:val="0"/>
              <w:widowControl w:val="0"/>
            </w:pPr>
            <w:r w:rsidRPr="00F5041B">
              <w:t>The ESC considered that it was reasonable to not add additional complexity to the model</w:t>
            </w:r>
            <w:r w:rsidR="008373C3" w:rsidRPr="00F5041B">
              <w:t xml:space="preserve"> and considered the </w:t>
            </w:r>
            <w:r w:rsidR="00DF338C" w:rsidRPr="00F5041B">
              <w:t>current structure provided a reasonable basis for decision making</w:t>
            </w:r>
            <w:r w:rsidRPr="00F5041B">
              <w:t>.</w:t>
            </w:r>
          </w:p>
          <w:p w14:paraId="64938802" w14:textId="4F221CD9" w:rsidR="0090311E" w:rsidRPr="00F5041B" w:rsidRDefault="0090311E" w:rsidP="00F33EB0">
            <w:pPr>
              <w:pStyle w:val="COMTabletext"/>
              <w:keepNext w:val="0"/>
              <w:widowControl w:val="0"/>
              <w:spacing w:before="240"/>
            </w:pPr>
            <w:r w:rsidRPr="00F5041B">
              <w:t>The ESC noted that assumptions testing the halving of mortality rates associated with subsequent treatments in the model had negligible impacts on the ICER</w:t>
            </w:r>
            <w:r w:rsidR="00E8415C" w:rsidRPr="00F5041B">
              <w:t xml:space="preserve"> (see</w:t>
            </w:r>
            <w:r w:rsidR="000325D1" w:rsidRPr="00F5041B">
              <w:t xml:space="preserve"> </w:t>
            </w:r>
            <w:r w:rsidR="000325D1" w:rsidRPr="00F5041B">
              <w:fldChar w:fldCharType="begin"/>
            </w:r>
            <w:r w:rsidR="000325D1" w:rsidRPr="00F5041B">
              <w:instrText xml:space="preserve"> REF _Ref104804865 \h  \* MERGEFORMAT </w:instrText>
            </w:r>
            <w:r w:rsidR="000325D1" w:rsidRPr="00F5041B">
              <w:fldChar w:fldCharType="separate"/>
            </w:r>
            <w:r w:rsidR="00293B06" w:rsidRPr="007F66A7">
              <w:t xml:space="preserve">Table </w:t>
            </w:r>
            <w:r w:rsidR="00293B06">
              <w:t>13</w:t>
            </w:r>
            <w:r w:rsidR="000325D1" w:rsidRPr="00F5041B">
              <w:fldChar w:fldCharType="end"/>
            </w:r>
            <w:r w:rsidR="000325D1" w:rsidRPr="00F5041B">
              <w:t>)</w:t>
            </w:r>
            <w:r w:rsidRPr="00F5041B">
              <w:t>, suggesting any impact of underestimating treatment benefits is likely to be small.</w:t>
            </w:r>
          </w:p>
        </w:tc>
        <w:tc>
          <w:tcPr>
            <w:tcW w:w="834" w:type="pct"/>
            <w:vAlign w:val="center"/>
          </w:tcPr>
          <w:p w14:paraId="0AD58F2B" w14:textId="7CD38FC9" w:rsidR="00490B17" w:rsidRPr="00F5041B" w:rsidRDefault="006D0F35" w:rsidP="00145D64">
            <w:pPr>
              <w:pStyle w:val="COMTabletext"/>
              <w:keepNext w:val="0"/>
              <w:widowControl w:val="0"/>
              <w:jc w:val="center"/>
            </w:pPr>
            <w:r w:rsidRPr="00F5041B">
              <w:t>Unc</w:t>
            </w:r>
            <w:r w:rsidR="00D439FA" w:rsidRPr="00F5041B">
              <w:t>ertain</w:t>
            </w:r>
            <w:r w:rsidR="00D3653B" w:rsidRPr="00F5041B">
              <w:t>, favours A+AVD</w:t>
            </w:r>
          </w:p>
        </w:tc>
      </w:tr>
      <w:tr w:rsidR="006D0F35" w:rsidRPr="00F5041B" w14:paraId="170F624A" w14:textId="77777777" w:rsidTr="00D439FA">
        <w:trPr>
          <w:cantSplit/>
        </w:trPr>
        <w:tc>
          <w:tcPr>
            <w:tcW w:w="867" w:type="pct"/>
            <w:vAlign w:val="center"/>
          </w:tcPr>
          <w:p w14:paraId="774EC8D3" w14:textId="4E8BC866" w:rsidR="006D0F35" w:rsidRPr="00F5041B" w:rsidRDefault="00DA61BE" w:rsidP="00145D64">
            <w:pPr>
              <w:pStyle w:val="COMTabletext"/>
              <w:keepNext w:val="0"/>
              <w:widowControl w:val="0"/>
            </w:pPr>
            <w:r w:rsidRPr="00F5041B">
              <w:lastRenderedPageBreak/>
              <w:t>Baseline a</w:t>
            </w:r>
            <w:r w:rsidR="006D0F35" w:rsidRPr="00F5041B">
              <w:t>ge</w:t>
            </w:r>
          </w:p>
        </w:tc>
        <w:tc>
          <w:tcPr>
            <w:tcW w:w="3299" w:type="pct"/>
            <w:vAlign w:val="center"/>
          </w:tcPr>
          <w:p w14:paraId="7ED72316" w14:textId="27337330" w:rsidR="00EA1FDE" w:rsidRPr="00F5041B" w:rsidRDefault="00BF6F86" w:rsidP="00D439FA">
            <w:pPr>
              <w:pStyle w:val="COMTabletext"/>
              <w:keepNext w:val="0"/>
              <w:widowControl w:val="0"/>
              <w:spacing w:after="120"/>
            </w:pPr>
            <w:r w:rsidRPr="00F5041B">
              <w:t xml:space="preserve">Based on mean age at baseline of 39.5 years in the ECHELON-1 trial, used to inform background mortality (adjusted for disease-related excess mortality). The resubmission did not adequately justify the use of mean age at baseline to estimate background mortality rather than weighted </w:t>
            </w:r>
            <w:r w:rsidR="000947B0" w:rsidRPr="00F5041B">
              <w:t xml:space="preserve">average </w:t>
            </w:r>
            <w:r w:rsidRPr="00F5041B">
              <w:t>estimates based on the distribution of patients in ECHELON-1</w:t>
            </w:r>
            <w:r w:rsidR="00D439FA" w:rsidRPr="00F5041B">
              <w:t xml:space="preserve"> (as per the previous submission)</w:t>
            </w:r>
            <w:r w:rsidRPr="00F5041B">
              <w:t xml:space="preserve">. </w:t>
            </w:r>
            <w:r w:rsidR="00D439FA" w:rsidRPr="00F5041B">
              <w:t>It is unclear whether the resubmission’s approach is appropriate given the bimodal age distribution of this condition.</w:t>
            </w:r>
            <w:r w:rsidR="00A73F65" w:rsidRPr="00F5041B">
              <w:t xml:space="preserve"> The PSCR noted this approach was applied due to the revised Markov model structure where use of a weighted average age could not be easily accommodated without significantly impacting computational complexity.</w:t>
            </w:r>
            <w:r w:rsidR="0008779B" w:rsidRPr="00F5041B">
              <w:t xml:space="preserve"> The ESC </w:t>
            </w:r>
            <w:r w:rsidR="006426E6" w:rsidRPr="00F5041B">
              <w:t xml:space="preserve">agreed with the PSCR that the different approaches are unlikely to have a significant impact on the ICER. </w:t>
            </w:r>
          </w:p>
          <w:p w14:paraId="247B31CD" w14:textId="7BD6AF82" w:rsidR="008E1A18" w:rsidRPr="00F5041B" w:rsidRDefault="00D439FA" w:rsidP="00145D64">
            <w:pPr>
              <w:pStyle w:val="COMTabletext"/>
              <w:keepNext w:val="0"/>
              <w:widowControl w:val="0"/>
            </w:pPr>
            <w:r w:rsidRPr="00F5041B">
              <w:t xml:space="preserve">Additionally, the magnitude of benefit of A+AVD versus ABVD in patients aged ≥60 years is uncertain, with subgroup analyses indicating no apparent difference between arms in terms of </w:t>
            </w:r>
            <w:r w:rsidR="00FE620C" w:rsidRPr="00F5041B">
              <w:t>PFS</w:t>
            </w:r>
            <w:r w:rsidRPr="00F5041B">
              <w:t xml:space="preserve"> and </w:t>
            </w:r>
            <w:r w:rsidR="00FE620C" w:rsidRPr="00F5041B">
              <w:t>OS</w:t>
            </w:r>
            <w:r w:rsidRPr="00F5041B">
              <w:t xml:space="preserve">. </w:t>
            </w:r>
            <w:r w:rsidR="007D6370">
              <w:t>T</w:t>
            </w:r>
            <w:r w:rsidR="00354E3A">
              <w:t xml:space="preserve">he </w:t>
            </w:r>
            <w:r w:rsidR="002574A2">
              <w:t>p</w:t>
            </w:r>
            <w:r w:rsidR="007D6370">
              <w:t xml:space="preserve">re-PBAC response  </w:t>
            </w:r>
            <w:r w:rsidR="00783133">
              <w:t xml:space="preserve">acknowledged the </w:t>
            </w:r>
            <w:r w:rsidR="00783133" w:rsidRPr="00783133">
              <w:t>uncertainty around the magnitude of benefit in this cohort of patients</w:t>
            </w:r>
            <w:r w:rsidR="002574A2">
              <w:t xml:space="preserve"> and </w:t>
            </w:r>
            <w:r w:rsidR="00783133" w:rsidRPr="00783133">
              <w:t>not</w:t>
            </w:r>
            <w:r w:rsidR="002574A2">
              <w:t>ed</w:t>
            </w:r>
            <w:r w:rsidR="00783133" w:rsidRPr="00783133">
              <w:t xml:space="preserve"> that the </w:t>
            </w:r>
            <w:r w:rsidR="00783133">
              <w:t>ACM</w:t>
            </w:r>
            <w:r w:rsidR="00783133" w:rsidRPr="00783133">
              <w:t xml:space="preserve"> was of the view that the efficacy and safety of A+AVD was satisfactorily established in the subgroup of patients ≥60 year</w:t>
            </w:r>
            <w:r w:rsidR="00783133">
              <w:t xml:space="preserve">s. </w:t>
            </w:r>
          </w:p>
        </w:tc>
        <w:tc>
          <w:tcPr>
            <w:tcW w:w="834" w:type="pct"/>
            <w:vAlign w:val="center"/>
          </w:tcPr>
          <w:p w14:paraId="253255B9" w14:textId="626EB819" w:rsidR="006D0F35" w:rsidRPr="00F5041B" w:rsidRDefault="00D439FA" w:rsidP="00145D64">
            <w:pPr>
              <w:pStyle w:val="COMTabletext"/>
              <w:keepNext w:val="0"/>
              <w:widowControl w:val="0"/>
              <w:jc w:val="center"/>
            </w:pPr>
            <w:r w:rsidRPr="00F5041B">
              <w:t>Uncertain, favours A+AVD</w:t>
            </w:r>
          </w:p>
        </w:tc>
      </w:tr>
      <w:tr w:rsidR="006D0F35" w:rsidRPr="00F5041B" w14:paraId="41B73344" w14:textId="77777777" w:rsidTr="00D439FA">
        <w:trPr>
          <w:cantSplit/>
        </w:trPr>
        <w:tc>
          <w:tcPr>
            <w:tcW w:w="867" w:type="pct"/>
            <w:vAlign w:val="center"/>
          </w:tcPr>
          <w:p w14:paraId="2C302E1A" w14:textId="38F2A01E" w:rsidR="006D0F35" w:rsidRPr="00F5041B" w:rsidRDefault="009B0496" w:rsidP="00145D64">
            <w:pPr>
              <w:pStyle w:val="COMTabletext"/>
              <w:keepNext w:val="0"/>
              <w:widowControl w:val="0"/>
            </w:pPr>
            <w:r w:rsidRPr="00F5041B">
              <w:t>First-line</w:t>
            </w:r>
            <w:r w:rsidR="00882DF3" w:rsidRPr="00F5041B">
              <w:t xml:space="preserve"> </w:t>
            </w:r>
            <w:r w:rsidR="00637C34" w:rsidRPr="00F5041B">
              <w:t>PFS extrapolation</w:t>
            </w:r>
          </w:p>
        </w:tc>
        <w:tc>
          <w:tcPr>
            <w:tcW w:w="3299" w:type="pct"/>
            <w:vAlign w:val="center"/>
          </w:tcPr>
          <w:p w14:paraId="0B92D24E" w14:textId="3E478C3E" w:rsidR="00145D64" w:rsidRPr="00F5041B" w:rsidRDefault="00145D64" w:rsidP="00A84C30">
            <w:pPr>
              <w:pStyle w:val="COMTabletext"/>
              <w:keepNext w:val="0"/>
              <w:widowControl w:val="0"/>
              <w:spacing w:after="120"/>
            </w:pPr>
            <w:r w:rsidRPr="00F5041B">
              <w:t>The resubmission claimed that the long, flat plateau of the Kaplan-Meier curves for modified progression-free survival in ECHELON-1 are suggestive of high cure rates. In the model, this was estimated as 79% in the A+AVD arm and 71% in the ABVD arm based on statistical cure fractions generated by the mixture cure model.</w:t>
            </w:r>
            <w:r w:rsidR="007C77E9" w:rsidRPr="00F5041B">
              <w:t xml:space="preserve"> The validity of extrapolated outcomes based on mixture cure models cannot be easily determined given the underlying assumptions appear clinically implausible (e.g. patients are cured/uncured at </w:t>
            </w:r>
            <w:r w:rsidR="00050B9B" w:rsidRPr="00F5041B">
              <w:t xml:space="preserve">the </w:t>
            </w:r>
            <w:r w:rsidR="007C77E9" w:rsidRPr="00F5041B">
              <w:t>time of diagnosis before any treatment is administered). Model outputs such as statistical cure fractions and predicted estimates in uncured patients only serve as mathematical functions to achieve goodness of fit to observed data.</w:t>
            </w:r>
          </w:p>
          <w:p w14:paraId="4F656F11" w14:textId="7E5691E6" w:rsidR="00111B88" w:rsidRPr="00F5041B" w:rsidRDefault="00A84C30" w:rsidP="002C46A5">
            <w:pPr>
              <w:pStyle w:val="COMTabletext"/>
              <w:keepNext w:val="0"/>
              <w:widowControl w:val="0"/>
            </w:pPr>
            <w:r w:rsidRPr="00F5041B">
              <w:t>While t</w:t>
            </w:r>
            <w:r w:rsidR="007C77E9" w:rsidRPr="00F5041B">
              <w:t xml:space="preserve">here is </w:t>
            </w:r>
            <w:r w:rsidR="00145D64" w:rsidRPr="00F5041B">
              <w:t>known potential for cure with front-line treatments</w:t>
            </w:r>
            <w:r w:rsidRPr="00F5041B">
              <w:t xml:space="preserve">, </w:t>
            </w:r>
            <w:r w:rsidR="00145D64" w:rsidRPr="00F5041B">
              <w:t xml:space="preserve">the </w:t>
            </w:r>
            <w:r w:rsidRPr="00F5041B">
              <w:t xml:space="preserve">PBAC </w:t>
            </w:r>
            <w:r w:rsidR="00DF4B99">
              <w:t xml:space="preserve">previously </w:t>
            </w:r>
            <w:r w:rsidRPr="00F5041B">
              <w:t>considered the use of the ABVD arm in ECHELON-1 as a proxy for the efficacy of PET-adapted ABVD was uncertain</w:t>
            </w:r>
            <w:r w:rsidR="00145D64" w:rsidRPr="00F5041B">
              <w:t xml:space="preserve"> (para 7.</w:t>
            </w:r>
            <w:r w:rsidRPr="00F5041B">
              <w:t>11</w:t>
            </w:r>
            <w:r w:rsidR="00145D64" w:rsidRPr="00F5041B">
              <w:t>, brentuximab vedotin PSD, March 2024 PBAC meeting)</w:t>
            </w:r>
            <w:r w:rsidR="00DF3412" w:rsidRPr="00F5041B">
              <w:t xml:space="preserve">. </w:t>
            </w:r>
            <w:r w:rsidR="002472C1" w:rsidRPr="00F5041B">
              <w:t>The ESC considered the availability of longer term follow</w:t>
            </w:r>
            <w:r w:rsidR="002A18CF">
              <w:t>-</w:t>
            </w:r>
            <w:r w:rsidR="002472C1" w:rsidRPr="00F5041B">
              <w:t xml:space="preserve">up data </w:t>
            </w:r>
            <w:r w:rsidR="000C2DE8" w:rsidRPr="00F5041B">
              <w:t xml:space="preserve">presented </w:t>
            </w:r>
            <w:r w:rsidR="002472C1" w:rsidRPr="00F5041B">
              <w:t>in the current submission mitigate</w:t>
            </w:r>
            <w:r w:rsidR="000C2DE8" w:rsidRPr="00F5041B">
              <w:t>d</w:t>
            </w:r>
            <w:r w:rsidR="002472C1" w:rsidRPr="00F5041B">
              <w:t xml:space="preserve"> some of this uncertainty.</w:t>
            </w:r>
          </w:p>
        </w:tc>
        <w:tc>
          <w:tcPr>
            <w:tcW w:w="834" w:type="pct"/>
            <w:vAlign w:val="center"/>
          </w:tcPr>
          <w:p w14:paraId="0162ADEE" w14:textId="6ACA0A2D" w:rsidR="006D0F35" w:rsidRPr="00F5041B" w:rsidRDefault="00F76E2D" w:rsidP="00145D64">
            <w:pPr>
              <w:pStyle w:val="COMTabletext"/>
              <w:keepNext w:val="0"/>
              <w:widowControl w:val="0"/>
              <w:jc w:val="center"/>
            </w:pPr>
            <w:r w:rsidRPr="00F5041B">
              <w:t>High</w:t>
            </w:r>
            <w:r w:rsidR="00145D64" w:rsidRPr="00F5041B">
              <w:t>, favours A+AVD</w:t>
            </w:r>
          </w:p>
        </w:tc>
      </w:tr>
      <w:tr w:rsidR="00537182" w:rsidRPr="00F5041B" w14:paraId="39E46D5B" w14:textId="77777777" w:rsidTr="00D439FA">
        <w:trPr>
          <w:cantSplit/>
        </w:trPr>
        <w:tc>
          <w:tcPr>
            <w:tcW w:w="867" w:type="pct"/>
            <w:vAlign w:val="center"/>
          </w:tcPr>
          <w:p w14:paraId="347EC5A4" w14:textId="3B3C8FCA" w:rsidR="00D110BD" w:rsidRPr="00F5041B" w:rsidRDefault="009B0496" w:rsidP="00145D64">
            <w:pPr>
              <w:pStyle w:val="COMTabletext"/>
              <w:keepNext w:val="0"/>
              <w:widowControl w:val="0"/>
            </w:pPr>
            <w:r w:rsidRPr="00F5041B">
              <w:lastRenderedPageBreak/>
              <w:t>First-line</w:t>
            </w:r>
            <w:r w:rsidR="00670712" w:rsidRPr="00F5041B">
              <w:t xml:space="preserve"> treatment health state utilities</w:t>
            </w:r>
          </w:p>
        </w:tc>
        <w:tc>
          <w:tcPr>
            <w:tcW w:w="3299" w:type="pct"/>
            <w:vAlign w:val="center"/>
          </w:tcPr>
          <w:p w14:paraId="1EAF9D62" w14:textId="2AEC4951" w:rsidR="004F6409" w:rsidRPr="00F5041B" w:rsidRDefault="00A84C30" w:rsidP="00433EEF">
            <w:pPr>
              <w:pStyle w:val="TableText"/>
            </w:pPr>
            <w:r w:rsidRPr="00F5041B">
              <w:t>Based on EQ-5D-3L data from the ECHELON-1 trial, with utility estimates predicted from a regression model with covariates for A+AVD (randomisation to this arm), on treatment, A+AVD on treatment (interaction effect), progressive disease, age</w:t>
            </w:r>
            <w:r w:rsidR="00180EC6" w:rsidRPr="00F5041B">
              <w:t>,</w:t>
            </w:r>
            <w:r w:rsidRPr="00F5041B">
              <w:t xml:space="preserve"> </w:t>
            </w:r>
            <w:r w:rsidR="00180EC6" w:rsidRPr="00F5041B">
              <w:t xml:space="preserve">and </w:t>
            </w:r>
            <w:r w:rsidRPr="00F5041B">
              <w:t>baseline utility</w:t>
            </w:r>
            <w:r w:rsidR="00180EC6" w:rsidRPr="00F5041B">
              <w:t>. The utility values were highly uncertain and difficult to validate due to limited documentation</w:t>
            </w:r>
            <w:r w:rsidR="00170851" w:rsidRPr="00F5041B">
              <w:t xml:space="preserve"> provided in the resubmission</w:t>
            </w:r>
            <w:r w:rsidR="00180EC6" w:rsidRPr="00F5041B">
              <w:t xml:space="preserve"> on the ad hoc analysis of trial-based data, choice of regression model and selected covariates. ESC previously considered that further information</w:t>
            </w:r>
            <w:r w:rsidR="00170851" w:rsidRPr="00F5041B">
              <w:t>,</w:t>
            </w:r>
            <w:r w:rsidR="00180EC6" w:rsidRPr="00F5041B">
              <w:t xml:space="preserve"> and justification for the approach used in estimating the utility values was required (para 6.80, brentuximab vedotin PSD, March 2024 PBAC meeting). However, no further information was provided in the resubmission.</w:t>
            </w:r>
          </w:p>
          <w:p w14:paraId="7FE05421" w14:textId="3AEE62A2" w:rsidR="00180EC6" w:rsidRPr="00F5041B" w:rsidRDefault="00180EC6" w:rsidP="00433EEF">
            <w:pPr>
              <w:pStyle w:val="TableText"/>
            </w:pPr>
            <w:r w:rsidRPr="00FC3899">
              <w:t xml:space="preserve">The resubmission acknowledged that time since randomisation was a statistically significant predictor of utility estimates but claimed that including this covariate resulted in estimates that implausibly increased with time. The </w:t>
            </w:r>
            <w:r w:rsidR="009628CD" w:rsidRPr="00FC3899">
              <w:t xml:space="preserve">evaluation considered that the </w:t>
            </w:r>
            <w:r w:rsidRPr="00FC3899">
              <w:t xml:space="preserve">removal of the time since randomisation covariate was inadequately justified given predicted values with the inclusion of this covariate appeared to have better visual fit to observed data in the </w:t>
            </w:r>
            <w:r w:rsidR="006019F1" w:rsidRPr="00FC3899">
              <w:t>trial.</w:t>
            </w:r>
            <w:r w:rsidR="006019F1" w:rsidRPr="00F5041B">
              <w:t xml:space="preserve"> </w:t>
            </w:r>
            <w:r w:rsidR="004A66BC">
              <w:t>The pre-PBAC  response provided a sensitivity analysis which included time since randomisation covariate utility values in the model along with an assumption of the same off-treatment utilities between arms and noted that thi</w:t>
            </w:r>
            <w:r w:rsidR="0022461F">
              <w:t xml:space="preserve">s had a </w:t>
            </w:r>
            <w:r w:rsidR="00966F35">
              <w:t>small</w:t>
            </w:r>
            <w:r w:rsidR="0022461F">
              <w:t xml:space="preserve"> impact on the ICER (see </w:t>
            </w:r>
            <w:r w:rsidR="00236C6F">
              <w:fldChar w:fldCharType="begin"/>
            </w:r>
            <w:r w:rsidR="00236C6F">
              <w:instrText xml:space="preserve"> REF _Ref104804865 \h </w:instrText>
            </w:r>
            <w:r w:rsidR="00236C6F">
              <w:fldChar w:fldCharType="separate"/>
            </w:r>
            <w:r w:rsidR="00293B06" w:rsidRPr="007F66A7">
              <w:t xml:space="preserve">Table </w:t>
            </w:r>
            <w:r w:rsidR="00293B06">
              <w:rPr>
                <w:noProof/>
              </w:rPr>
              <w:t>13</w:t>
            </w:r>
            <w:r w:rsidR="00236C6F">
              <w:fldChar w:fldCharType="end"/>
            </w:r>
            <w:r w:rsidR="00236C6F">
              <w:t>).</w:t>
            </w:r>
            <w:r w:rsidR="004A66BC">
              <w:t xml:space="preserve">    </w:t>
            </w:r>
            <w:r w:rsidR="004A66BC" w:rsidRPr="00F5041B">
              <w:t xml:space="preserve">     </w:t>
            </w:r>
          </w:p>
          <w:p w14:paraId="022594BB" w14:textId="554637AA" w:rsidR="00A84C30" w:rsidRPr="00F5041B" w:rsidRDefault="00180EC6" w:rsidP="00433EEF">
            <w:pPr>
              <w:pStyle w:val="TableText"/>
            </w:pPr>
            <w:r w:rsidRPr="00F5041B">
              <w:t>The resubmission stated that the difference in on treatment utility values between A+AVD and ABVD was reasonable as they are capturing quality of life impacts associated with treatment-related adverse events. However, the resubmission claimed that the predicted difference in off</w:t>
            </w:r>
            <w:r w:rsidR="005427A0" w:rsidRPr="00F5041B">
              <w:t>-</w:t>
            </w:r>
            <w:r w:rsidRPr="00F5041B">
              <w:t>treatment utility values may not be reasonable given any impacts from adverse events were likely to resolve upon treatment discontinuation. Therefore, the off-treatment utility value for ABVD was assumed to be the same as for A+AVD. This claim was inadequately justified given safety data suggest longer-term adverse events associated with prior use of brentuximab vedotin (peripheral neuropathy) that may have ongoing impacts on quality of life.</w:t>
            </w:r>
          </w:p>
          <w:p w14:paraId="7E7105AF" w14:textId="121C7EEC" w:rsidR="00E7123B" w:rsidRPr="00F5041B" w:rsidRDefault="008553DF" w:rsidP="00433EEF">
            <w:pPr>
              <w:pStyle w:val="TableText"/>
            </w:pPr>
            <w:r w:rsidRPr="00F5041B">
              <w:t xml:space="preserve">The </w:t>
            </w:r>
            <w:r w:rsidR="00BF4F4B" w:rsidRPr="00F5041B">
              <w:t xml:space="preserve">ESC noted the </w:t>
            </w:r>
            <w:r w:rsidRPr="00F5041B">
              <w:t xml:space="preserve">model was sensitive to the choice of selected covariates and assumptions regarding off-treatment utility values </w:t>
            </w:r>
            <w:r w:rsidR="00A6664A" w:rsidRPr="00F5041B">
              <w:t>with</w:t>
            </w:r>
            <w:r w:rsidRPr="00F5041B">
              <w:t xml:space="preserve"> small changes in utility values hav</w:t>
            </w:r>
            <w:r w:rsidR="00A6664A" w:rsidRPr="00F5041B">
              <w:t>ing</w:t>
            </w:r>
            <w:r w:rsidRPr="00F5041B">
              <w:t xml:space="preserve"> a large impact on the ICER.</w:t>
            </w:r>
            <w:r w:rsidR="00A6664A" w:rsidRPr="00F5041B">
              <w:t xml:space="preserve"> </w:t>
            </w:r>
            <w:r w:rsidR="00E2283A" w:rsidRPr="00F5041B">
              <w:t>The ESC acknowledged that</w:t>
            </w:r>
            <w:r w:rsidR="00E62EE7" w:rsidRPr="00F5041B">
              <w:t xml:space="preserve"> differences in off-treatment utility may occur between treatment arms </w:t>
            </w:r>
            <w:r w:rsidR="0013274F" w:rsidRPr="00F5041B">
              <w:t xml:space="preserve">as highlighted by the evaluation. However, the ESC considered it was unlikely to be reasonable to extrapolate these differences across </w:t>
            </w:r>
            <w:r w:rsidR="0071458A" w:rsidRPr="00F5041B">
              <w:t>the 65 year time horizon of the model</w:t>
            </w:r>
            <w:r w:rsidR="00C35F7D" w:rsidRPr="00F5041B">
              <w:t xml:space="preserve">. </w:t>
            </w:r>
            <w:r w:rsidR="00296711" w:rsidRPr="00F5041B">
              <w:t xml:space="preserve">While additional uncertainties regarding the utilities remain, the ESC considered the </w:t>
            </w:r>
            <w:r w:rsidR="00C076A0" w:rsidRPr="00F5041B">
              <w:t xml:space="preserve">assumption of </w:t>
            </w:r>
            <w:r w:rsidR="001C7043" w:rsidRPr="00F5041B">
              <w:t>the same</w:t>
            </w:r>
            <w:r w:rsidR="00C076A0" w:rsidRPr="00F5041B">
              <w:t xml:space="preserve"> off-treatment utilities between arms was likely appropriate. </w:t>
            </w:r>
            <w:r w:rsidR="0071458A" w:rsidRPr="00F5041B">
              <w:t xml:space="preserve"> </w:t>
            </w:r>
          </w:p>
        </w:tc>
        <w:tc>
          <w:tcPr>
            <w:tcW w:w="834" w:type="pct"/>
            <w:vAlign w:val="center"/>
          </w:tcPr>
          <w:p w14:paraId="50F3F3FF" w14:textId="1B349F36" w:rsidR="00D110BD" w:rsidRPr="00F5041B" w:rsidRDefault="00F76E2D" w:rsidP="00433EEF">
            <w:pPr>
              <w:pStyle w:val="TableText"/>
            </w:pPr>
            <w:r w:rsidRPr="00F5041B">
              <w:t>High</w:t>
            </w:r>
            <w:r w:rsidR="00145D64" w:rsidRPr="00F5041B">
              <w:t>, favours A+AVD</w:t>
            </w:r>
          </w:p>
        </w:tc>
      </w:tr>
    </w:tbl>
    <w:p w14:paraId="2B4AF938" w14:textId="2FB293B6" w:rsidR="008C5739" w:rsidRPr="00F5041B" w:rsidRDefault="009D792E" w:rsidP="00243590">
      <w:pPr>
        <w:pStyle w:val="COMTablefooter"/>
      </w:pPr>
      <w:r w:rsidRPr="00F5041B">
        <w:t xml:space="preserve">Source: </w:t>
      </w:r>
      <w:r w:rsidR="00D439FA" w:rsidRPr="00F5041B">
        <w:t>Constructed during the evaluation based on Section 3, pp177-262 of the resubmission</w:t>
      </w:r>
    </w:p>
    <w:p w14:paraId="62C52610" w14:textId="55D1CA3F" w:rsidR="00D439FA" w:rsidRPr="00F5041B" w:rsidRDefault="00D439FA" w:rsidP="00243590">
      <w:pPr>
        <w:pStyle w:val="COMTablefooter"/>
      </w:pPr>
      <w:r w:rsidRPr="00F5041B">
        <w:t xml:space="preserve">Abbreviations: A+AVD, brentuximab vedotin plus doxorubicin, vinblastine, dacarbazine; ABVD, doxorubicin, bleomycin, vinblastine and dacarbazine; ASCT, autologous or allogeneic stem cell transplant; </w:t>
      </w:r>
      <w:r w:rsidR="00547B03" w:rsidRPr="00F5041B">
        <w:t xml:space="preserve">OS, overall survival; </w:t>
      </w:r>
      <w:r w:rsidRPr="00F5041B">
        <w:t xml:space="preserve">PFS, progression-free </w:t>
      </w:r>
      <w:proofErr w:type="gramStart"/>
      <w:r w:rsidRPr="00F5041B">
        <w:t>survival;;</w:t>
      </w:r>
      <w:proofErr w:type="gramEnd"/>
      <w:r w:rsidRPr="00F5041B">
        <w:t xml:space="preserve"> PET, positron emission tomography </w:t>
      </w:r>
    </w:p>
    <w:p w14:paraId="0C61B434" w14:textId="0CB010C9" w:rsidR="00DE6EE5" w:rsidRPr="007F66A7" w:rsidRDefault="00AA1EAD" w:rsidP="00AA1EAD">
      <w:pPr>
        <w:pStyle w:val="COMexecsummnumbered"/>
      </w:pPr>
      <w:bookmarkStart w:id="41" w:name="_Ref204252279"/>
      <w:r w:rsidRPr="00F5041B">
        <w:t xml:space="preserve">While the 65-year time horizon is a key driver of the model, the PBAC </w:t>
      </w:r>
      <w:r w:rsidRPr="007F66A7">
        <w:t>previously considered that it may be reasonable given the potential for cure with initial and subsequent treatments and the bimodal age distribution of this condition (para 7.11, brentuximab vedotin PSD, March 2024 PBAC meeting).</w:t>
      </w:r>
      <w:bookmarkEnd w:id="41"/>
      <w:r w:rsidRPr="007F66A7">
        <w:t xml:space="preserve"> </w:t>
      </w:r>
    </w:p>
    <w:p w14:paraId="0C185AF0" w14:textId="2185CB11" w:rsidR="00F52901" w:rsidRPr="007F66A7" w:rsidRDefault="00FD34D9" w:rsidP="00534AE3">
      <w:pPr>
        <w:pStyle w:val="COMexecsummnumbered"/>
      </w:pPr>
      <w:r w:rsidRPr="007F66A7">
        <w:lastRenderedPageBreak/>
        <w:fldChar w:fldCharType="begin"/>
      </w:r>
      <w:r w:rsidRPr="007F66A7">
        <w:instrText xml:space="preserve"> REF _Ref197700735 \h </w:instrText>
      </w:r>
      <w:r w:rsidRPr="007F66A7">
        <w:fldChar w:fldCharType="separate"/>
      </w:r>
      <w:r w:rsidR="00293B06" w:rsidRPr="007F66A7">
        <w:t xml:space="preserve">Table </w:t>
      </w:r>
      <w:r w:rsidR="00293B06">
        <w:rPr>
          <w:noProof/>
        </w:rPr>
        <w:t>10</w:t>
      </w:r>
      <w:r w:rsidRPr="007F66A7">
        <w:fldChar w:fldCharType="end"/>
      </w:r>
      <w:r w:rsidRPr="007F66A7">
        <w:t xml:space="preserve"> </w:t>
      </w:r>
      <w:r w:rsidR="00F52901" w:rsidRPr="007F66A7">
        <w:t>summarises the incremental costs for health care resource items included in the economic evaluation. The cost categories have been simplified for ease of comparison with estimates from the previous submission.</w:t>
      </w:r>
    </w:p>
    <w:p w14:paraId="52DE5E51" w14:textId="0E403BB2" w:rsidR="00534AE3" w:rsidRPr="007F66A7" w:rsidRDefault="00FD34D9" w:rsidP="00534AE3">
      <w:pPr>
        <w:pStyle w:val="COMtablefigcaption"/>
        <w:rPr>
          <w:b w:val="0"/>
        </w:rPr>
      </w:pPr>
      <w:bookmarkStart w:id="42" w:name="_Ref197700735"/>
      <w:r w:rsidRPr="007F66A7">
        <w:t xml:space="preserve">Table </w:t>
      </w:r>
      <w:r w:rsidR="006A25C4">
        <w:fldChar w:fldCharType="begin"/>
      </w:r>
      <w:r w:rsidR="006A25C4">
        <w:instrText xml:space="preserve"> SEQ Table \* ARABIC </w:instrText>
      </w:r>
      <w:r w:rsidR="006A25C4">
        <w:fldChar w:fldCharType="separate"/>
      </w:r>
      <w:r w:rsidR="00293B06">
        <w:rPr>
          <w:noProof/>
        </w:rPr>
        <w:t>10</w:t>
      </w:r>
      <w:r w:rsidR="006A25C4">
        <w:fldChar w:fldCharType="end"/>
      </w:r>
      <w:bookmarkEnd w:id="42"/>
      <w:r w:rsidRPr="007F66A7">
        <w:t>: Health care resource items: disaggregated summary of cost impacts (discounted)</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Health care resource items: disaggregated summary of cost impacts (discounted)"/>
      </w:tblPr>
      <w:tblGrid>
        <w:gridCol w:w="3383"/>
        <w:gridCol w:w="1880"/>
        <w:gridCol w:w="1880"/>
        <w:gridCol w:w="1881"/>
      </w:tblGrid>
      <w:tr w:rsidR="00534AE3" w:rsidRPr="007F66A7" w14:paraId="0B7045D7" w14:textId="77777777">
        <w:trPr>
          <w:tblHeader/>
        </w:trPr>
        <w:tc>
          <w:tcPr>
            <w:tcW w:w="3383" w:type="dxa"/>
            <w:vAlign w:val="center"/>
          </w:tcPr>
          <w:p w14:paraId="37D53DCA" w14:textId="77777777" w:rsidR="00534AE3" w:rsidRPr="007F66A7" w:rsidRDefault="00534AE3">
            <w:pPr>
              <w:pStyle w:val="COMTableheadingrow"/>
              <w:rPr>
                <w:lang w:val="en-AU"/>
              </w:rPr>
            </w:pPr>
            <w:r w:rsidRPr="007F66A7">
              <w:rPr>
                <w:lang w:val="en-AU"/>
              </w:rPr>
              <w:t>Resource item</w:t>
            </w:r>
          </w:p>
        </w:tc>
        <w:tc>
          <w:tcPr>
            <w:tcW w:w="1880" w:type="dxa"/>
            <w:vAlign w:val="center"/>
          </w:tcPr>
          <w:p w14:paraId="0AB04B99" w14:textId="77777777" w:rsidR="00534AE3" w:rsidRPr="007F66A7" w:rsidRDefault="00534AE3">
            <w:pPr>
              <w:pStyle w:val="COMTableheadingrow"/>
              <w:jc w:val="center"/>
              <w:rPr>
                <w:lang w:val="en-AU"/>
              </w:rPr>
            </w:pPr>
            <w:r w:rsidRPr="007F66A7">
              <w:rPr>
                <w:lang w:val="en-AU"/>
              </w:rPr>
              <w:t>A+AVD</w:t>
            </w:r>
          </w:p>
        </w:tc>
        <w:tc>
          <w:tcPr>
            <w:tcW w:w="1880" w:type="dxa"/>
            <w:vAlign w:val="center"/>
          </w:tcPr>
          <w:p w14:paraId="2850DE90" w14:textId="77777777" w:rsidR="00534AE3" w:rsidRPr="007F66A7" w:rsidRDefault="00534AE3">
            <w:pPr>
              <w:pStyle w:val="COMTableheadingrow"/>
              <w:jc w:val="center"/>
              <w:rPr>
                <w:lang w:val="en-AU"/>
              </w:rPr>
            </w:pPr>
            <w:r w:rsidRPr="007F66A7">
              <w:rPr>
                <w:lang w:val="en-AU"/>
              </w:rPr>
              <w:t>ABVD</w:t>
            </w:r>
          </w:p>
        </w:tc>
        <w:tc>
          <w:tcPr>
            <w:tcW w:w="1881" w:type="dxa"/>
            <w:vAlign w:val="center"/>
          </w:tcPr>
          <w:p w14:paraId="4176F3B5" w14:textId="77777777" w:rsidR="00534AE3" w:rsidRPr="007F66A7" w:rsidRDefault="00534AE3">
            <w:pPr>
              <w:pStyle w:val="COMTableheadingrow"/>
              <w:jc w:val="center"/>
              <w:rPr>
                <w:lang w:val="en-AU"/>
              </w:rPr>
            </w:pPr>
            <w:r w:rsidRPr="007F66A7">
              <w:rPr>
                <w:lang w:val="en-AU"/>
              </w:rPr>
              <w:t>Incremental cost</w:t>
            </w:r>
          </w:p>
        </w:tc>
      </w:tr>
      <w:tr w:rsidR="00534AE3" w:rsidRPr="007F66A7" w14:paraId="01507091" w14:textId="77777777">
        <w:tc>
          <w:tcPr>
            <w:tcW w:w="9024" w:type="dxa"/>
            <w:gridSpan w:val="4"/>
            <w:vAlign w:val="center"/>
          </w:tcPr>
          <w:p w14:paraId="6D340FD6" w14:textId="77777777" w:rsidR="00534AE3" w:rsidRPr="007F66A7" w:rsidRDefault="00534AE3">
            <w:pPr>
              <w:pStyle w:val="COMTableheadingrow"/>
              <w:rPr>
                <w:lang w:val="en-AU"/>
              </w:rPr>
            </w:pPr>
            <w:r w:rsidRPr="007F66A7">
              <w:rPr>
                <w:lang w:val="en-AU"/>
              </w:rPr>
              <w:t>Current resubmission</w:t>
            </w:r>
          </w:p>
        </w:tc>
      </w:tr>
      <w:tr w:rsidR="00534AE3" w:rsidRPr="007F66A7" w14:paraId="3752C779" w14:textId="77777777">
        <w:tc>
          <w:tcPr>
            <w:tcW w:w="3383" w:type="dxa"/>
            <w:vAlign w:val="center"/>
          </w:tcPr>
          <w:p w14:paraId="05FB2CD7" w14:textId="46FDA2F6" w:rsidR="00534AE3" w:rsidRPr="007F66A7" w:rsidRDefault="009B0496">
            <w:pPr>
              <w:pStyle w:val="COMTabletext"/>
            </w:pPr>
            <w:r w:rsidRPr="007F66A7">
              <w:t>First-line</w:t>
            </w:r>
            <w:r w:rsidR="00534AE3" w:rsidRPr="007F66A7">
              <w:t xml:space="preserve"> drug costs (including supportive therapies)</w:t>
            </w:r>
          </w:p>
        </w:tc>
        <w:tc>
          <w:tcPr>
            <w:tcW w:w="1880" w:type="dxa"/>
            <w:vAlign w:val="center"/>
          </w:tcPr>
          <w:p w14:paraId="0FF3F67F" w14:textId="7819E57E" w:rsidR="00534AE3" w:rsidRPr="007F66A7" w:rsidRDefault="00534AE3">
            <w:pPr>
              <w:pStyle w:val="COMTabletext"/>
              <w:jc w:val="center"/>
            </w:pPr>
            <w:r w:rsidRPr="007F66A7">
              <w:t>$</w:t>
            </w:r>
            <w:r w:rsidR="00AA4CCB" w:rsidRPr="00613F63">
              <w:rPr>
                <w:color w:val="000000"/>
                <w:spacing w:val="53"/>
                <w:shd w:val="solid" w:color="000000" w:fill="000000"/>
                <w:fitText w:val="330" w:id="-628904699"/>
                <w14:textFill>
                  <w14:solidFill>
                    <w14:srgbClr w14:val="000000">
                      <w14:alpha w14:val="100000"/>
                    </w14:srgbClr>
                  </w14:solidFill>
                </w14:textFill>
              </w:rPr>
              <w:t>|||</w:t>
            </w:r>
            <w:r w:rsidR="00AA4CCB" w:rsidRPr="00613F63">
              <w:rPr>
                <w:color w:val="000000"/>
                <w:spacing w:val="1"/>
                <w:shd w:val="solid" w:color="000000" w:fill="000000"/>
                <w:fitText w:val="330" w:id="-628904699"/>
                <w14:textFill>
                  <w14:solidFill>
                    <w14:srgbClr w14:val="000000">
                      <w14:alpha w14:val="100000"/>
                    </w14:srgbClr>
                  </w14:solidFill>
                </w14:textFill>
              </w:rPr>
              <w:t>|</w:t>
            </w:r>
          </w:p>
        </w:tc>
        <w:tc>
          <w:tcPr>
            <w:tcW w:w="1880" w:type="dxa"/>
            <w:vAlign w:val="center"/>
          </w:tcPr>
          <w:p w14:paraId="1D442290" w14:textId="0CAC819C" w:rsidR="00534AE3" w:rsidRPr="007F66A7" w:rsidRDefault="00534AE3">
            <w:pPr>
              <w:pStyle w:val="COMTabletext"/>
              <w:jc w:val="center"/>
              <w:rPr>
                <w:i/>
                <w:iCs/>
                <w:vertAlign w:val="superscript"/>
              </w:rPr>
            </w:pPr>
            <w:r w:rsidRPr="001A48CB">
              <w:t xml:space="preserve">$5,997 </w:t>
            </w:r>
            <w:r w:rsidRPr="001A48CB">
              <w:rPr>
                <w:vertAlign w:val="superscript"/>
              </w:rPr>
              <w:t>a</w:t>
            </w:r>
          </w:p>
        </w:tc>
        <w:tc>
          <w:tcPr>
            <w:tcW w:w="1881" w:type="dxa"/>
            <w:vAlign w:val="center"/>
          </w:tcPr>
          <w:p w14:paraId="59EEC044" w14:textId="2C73B63B" w:rsidR="00534AE3" w:rsidRPr="007F66A7" w:rsidRDefault="00534AE3">
            <w:pPr>
              <w:pStyle w:val="COMTabletext"/>
              <w:jc w:val="center"/>
              <w:rPr>
                <w:i/>
                <w:iCs/>
              </w:rPr>
            </w:pPr>
            <w:r w:rsidRPr="007F66A7">
              <w:t>$</w:t>
            </w:r>
            <w:r w:rsidR="00AA4CCB" w:rsidRPr="00613F63">
              <w:rPr>
                <w:color w:val="000000"/>
                <w:spacing w:val="53"/>
                <w:shd w:val="solid" w:color="000000" w:fill="000000"/>
                <w:fitText w:val="330" w:id="-628904698"/>
                <w14:textFill>
                  <w14:solidFill>
                    <w14:srgbClr w14:val="000000">
                      <w14:alpha w14:val="100000"/>
                    </w14:srgbClr>
                  </w14:solidFill>
                </w14:textFill>
              </w:rPr>
              <w:t>|||</w:t>
            </w:r>
            <w:r w:rsidR="00AA4CCB" w:rsidRPr="00613F63">
              <w:rPr>
                <w:color w:val="000000"/>
                <w:spacing w:val="1"/>
                <w:shd w:val="solid" w:color="000000" w:fill="000000"/>
                <w:fitText w:val="330" w:id="-628904698"/>
                <w14:textFill>
                  <w14:solidFill>
                    <w14:srgbClr w14:val="000000">
                      <w14:alpha w14:val="100000"/>
                    </w14:srgbClr>
                  </w14:solidFill>
                </w14:textFill>
              </w:rPr>
              <w:t>|</w:t>
            </w:r>
          </w:p>
        </w:tc>
      </w:tr>
      <w:tr w:rsidR="00534AE3" w:rsidRPr="007F66A7" w14:paraId="3ED8D486" w14:textId="77777777">
        <w:tc>
          <w:tcPr>
            <w:tcW w:w="3383" w:type="dxa"/>
            <w:vAlign w:val="center"/>
          </w:tcPr>
          <w:p w14:paraId="7DBB2D78" w14:textId="77777777" w:rsidR="00534AE3" w:rsidRPr="007F66A7" w:rsidRDefault="00534AE3">
            <w:pPr>
              <w:pStyle w:val="COMTabletext"/>
            </w:pPr>
            <w:r w:rsidRPr="007F66A7">
              <w:t>Subsequent treatments (including supportive therapies)</w:t>
            </w:r>
          </w:p>
        </w:tc>
        <w:tc>
          <w:tcPr>
            <w:tcW w:w="1880" w:type="dxa"/>
            <w:vAlign w:val="center"/>
          </w:tcPr>
          <w:p w14:paraId="10CC3D7F" w14:textId="5D3ABE0E" w:rsidR="00534AE3" w:rsidRPr="009824C6" w:rsidRDefault="00534AE3">
            <w:pPr>
              <w:pStyle w:val="COMTabletext"/>
              <w:jc w:val="center"/>
              <w:rPr>
                <w:i/>
                <w:iCs/>
              </w:rPr>
            </w:pPr>
            <w:r w:rsidRPr="009824C6">
              <w:t>$18,497</w:t>
            </w:r>
          </w:p>
        </w:tc>
        <w:tc>
          <w:tcPr>
            <w:tcW w:w="1880" w:type="dxa"/>
            <w:vAlign w:val="center"/>
          </w:tcPr>
          <w:p w14:paraId="065FF001" w14:textId="5017FFC5" w:rsidR="00534AE3" w:rsidRPr="009824C6" w:rsidRDefault="00534AE3">
            <w:pPr>
              <w:pStyle w:val="COMTabletext"/>
              <w:jc w:val="center"/>
              <w:rPr>
                <w:i/>
                <w:iCs/>
              </w:rPr>
            </w:pPr>
            <w:r w:rsidRPr="009824C6">
              <w:t>$24,140</w:t>
            </w:r>
          </w:p>
        </w:tc>
        <w:tc>
          <w:tcPr>
            <w:tcW w:w="1881" w:type="dxa"/>
            <w:vAlign w:val="center"/>
          </w:tcPr>
          <w:p w14:paraId="2987190D" w14:textId="1068A88E" w:rsidR="00534AE3" w:rsidRPr="009824C6" w:rsidRDefault="00534AE3">
            <w:pPr>
              <w:pStyle w:val="COMTabletext"/>
              <w:jc w:val="center"/>
              <w:rPr>
                <w:i/>
                <w:iCs/>
              </w:rPr>
            </w:pPr>
            <w:r w:rsidRPr="009824C6">
              <w:t>-$5,643</w:t>
            </w:r>
          </w:p>
        </w:tc>
      </w:tr>
      <w:tr w:rsidR="00534AE3" w:rsidRPr="007F66A7" w14:paraId="7C2ECD69" w14:textId="77777777">
        <w:tc>
          <w:tcPr>
            <w:tcW w:w="3383" w:type="dxa"/>
            <w:vAlign w:val="center"/>
          </w:tcPr>
          <w:p w14:paraId="1F5DF97D" w14:textId="77777777" w:rsidR="00534AE3" w:rsidRPr="007F66A7" w:rsidRDefault="00534AE3">
            <w:pPr>
              <w:pStyle w:val="COMTabletext"/>
            </w:pPr>
            <w:r w:rsidRPr="007F66A7">
              <w:t>- ICE+ASCT</w:t>
            </w:r>
          </w:p>
        </w:tc>
        <w:tc>
          <w:tcPr>
            <w:tcW w:w="1880" w:type="dxa"/>
          </w:tcPr>
          <w:p w14:paraId="7338FDF5" w14:textId="4F224FFB" w:rsidR="00534AE3" w:rsidRPr="009824C6" w:rsidRDefault="00534AE3">
            <w:pPr>
              <w:pStyle w:val="COMTabletext"/>
              <w:jc w:val="center"/>
            </w:pPr>
            <w:r w:rsidRPr="009824C6">
              <w:t>$4,476</w:t>
            </w:r>
          </w:p>
        </w:tc>
        <w:tc>
          <w:tcPr>
            <w:tcW w:w="1880" w:type="dxa"/>
          </w:tcPr>
          <w:p w14:paraId="6C73A021" w14:textId="45124F90" w:rsidR="00534AE3" w:rsidRPr="009824C6" w:rsidRDefault="00534AE3">
            <w:pPr>
              <w:pStyle w:val="COMTabletext"/>
              <w:jc w:val="center"/>
            </w:pPr>
            <w:r w:rsidRPr="009824C6">
              <w:t>$7,154</w:t>
            </w:r>
          </w:p>
        </w:tc>
        <w:tc>
          <w:tcPr>
            <w:tcW w:w="1881" w:type="dxa"/>
          </w:tcPr>
          <w:p w14:paraId="2AD30335" w14:textId="12D1E590" w:rsidR="00534AE3" w:rsidRPr="009824C6" w:rsidRDefault="00534AE3">
            <w:pPr>
              <w:pStyle w:val="COMTabletext"/>
              <w:jc w:val="center"/>
            </w:pPr>
            <w:r w:rsidRPr="009824C6">
              <w:t>-$2,473</w:t>
            </w:r>
          </w:p>
        </w:tc>
      </w:tr>
      <w:tr w:rsidR="00534AE3" w:rsidRPr="007F66A7" w14:paraId="7F756373" w14:textId="77777777">
        <w:tc>
          <w:tcPr>
            <w:tcW w:w="3383" w:type="dxa"/>
            <w:vAlign w:val="center"/>
          </w:tcPr>
          <w:p w14:paraId="2A8B2816" w14:textId="77777777" w:rsidR="00534AE3" w:rsidRPr="007F66A7" w:rsidRDefault="00534AE3">
            <w:pPr>
              <w:pStyle w:val="COMTabletext"/>
            </w:pPr>
            <w:r w:rsidRPr="007F66A7">
              <w:t>- DHAP</w:t>
            </w:r>
          </w:p>
        </w:tc>
        <w:tc>
          <w:tcPr>
            <w:tcW w:w="1880" w:type="dxa"/>
          </w:tcPr>
          <w:p w14:paraId="378DA00C" w14:textId="1E9DCD60" w:rsidR="00534AE3" w:rsidRPr="009824C6" w:rsidRDefault="00534AE3">
            <w:pPr>
              <w:pStyle w:val="COMTabletext"/>
              <w:jc w:val="center"/>
            </w:pPr>
            <w:r w:rsidRPr="009824C6">
              <w:t>$836</w:t>
            </w:r>
          </w:p>
        </w:tc>
        <w:tc>
          <w:tcPr>
            <w:tcW w:w="1880" w:type="dxa"/>
          </w:tcPr>
          <w:p w14:paraId="4F41ADD9" w14:textId="46693254" w:rsidR="00534AE3" w:rsidRPr="009824C6" w:rsidRDefault="00534AE3">
            <w:pPr>
              <w:pStyle w:val="COMTabletext"/>
              <w:jc w:val="center"/>
            </w:pPr>
            <w:r w:rsidRPr="009824C6">
              <w:t>$925</w:t>
            </w:r>
          </w:p>
        </w:tc>
        <w:tc>
          <w:tcPr>
            <w:tcW w:w="1881" w:type="dxa"/>
          </w:tcPr>
          <w:p w14:paraId="25B72E3B" w14:textId="23DF684D" w:rsidR="00534AE3" w:rsidRPr="009824C6" w:rsidRDefault="00534AE3">
            <w:pPr>
              <w:pStyle w:val="COMTabletext"/>
              <w:jc w:val="center"/>
            </w:pPr>
            <w:r w:rsidRPr="009824C6">
              <w:t>-$89</w:t>
            </w:r>
          </w:p>
        </w:tc>
      </w:tr>
      <w:tr w:rsidR="00534AE3" w:rsidRPr="007F66A7" w14:paraId="2364F4C9" w14:textId="77777777">
        <w:tc>
          <w:tcPr>
            <w:tcW w:w="3383" w:type="dxa"/>
            <w:vAlign w:val="center"/>
          </w:tcPr>
          <w:p w14:paraId="557520B2" w14:textId="77777777" w:rsidR="00534AE3" w:rsidRPr="007F66A7" w:rsidRDefault="00534AE3">
            <w:pPr>
              <w:pStyle w:val="COMTabletext"/>
            </w:pPr>
            <w:r w:rsidRPr="007F66A7">
              <w:t>- Pembrolizumab</w:t>
            </w:r>
          </w:p>
        </w:tc>
        <w:tc>
          <w:tcPr>
            <w:tcW w:w="1880" w:type="dxa"/>
          </w:tcPr>
          <w:p w14:paraId="0974387D" w14:textId="31A57579" w:rsidR="00534AE3" w:rsidRPr="009824C6" w:rsidRDefault="00534AE3">
            <w:pPr>
              <w:pStyle w:val="COMTabletext"/>
              <w:jc w:val="center"/>
            </w:pPr>
            <w:r w:rsidRPr="009824C6">
              <w:t>$12,917</w:t>
            </w:r>
          </w:p>
        </w:tc>
        <w:tc>
          <w:tcPr>
            <w:tcW w:w="1880" w:type="dxa"/>
          </w:tcPr>
          <w:p w14:paraId="4AA7D57F" w14:textId="18AA37A2" w:rsidR="00534AE3" w:rsidRPr="009824C6" w:rsidRDefault="00534AE3">
            <w:pPr>
              <w:pStyle w:val="COMTabletext"/>
              <w:jc w:val="center"/>
            </w:pPr>
            <w:r w:rsidRPr="009824C6">
              <w:t>$15,728</w:t>
            </w:r>
          </w:p>
        </w:tc>
        <w:tc>
          <w:tcPr>
            <w:tcW w:w="1881" w:type="dxa"/>
          </w:tcPr>
          <w:p w14:paraId="23B64AEC" w14:textId="50DE4A26" w:rsidR="00534AE3" w:rsidRPr="009824C6" w:rsidRDefault="00534AE3">
            <w:pPr>
              <w:pStyle w:val="COMTabletext"/>
              <w:jc w:val="center"/>
            </w:pPr>
            <w:r w:rsidRPr="009824C6">
              <w:t>-$2,811</w:t>
            </w:r>
          </w:p>
        </w:tc>
      </w:tr>
      <w:tr w:rsidR="00534AE3" w:rsidRPr="007F66A7" w14:paraId="161116D1" w14:textId="77777777">
        <w:tc>
          <w:tcPr>
            <w:tcW w:w="3383" w:type="dxa"/>
            <w:vAlign w:val="center"/>
          </w:tcPr>
          <w:p w14:paraId="730F8D92" w14:textId="77777777" w:rsidR="00534AE3" w:rsidRPr="007F66A7" w:rsidRDefault="00534AE3">
            <w:pPr>
              <w:pStyle w:val="COMTabletext"/>
            </w:pPr>
            <w:r w:rsidRPr="007F66A7">
              <w:t>- GemVino</w:t>
            </w:r>
          </w:p>
        </w:tc>
        <w:tc>
          <w:tcPr>
            <w:tcW w:w="1880" w:type="dxa"/>
          </w:tcPr>
          <w:p w14:paraId="36B70FFA" w14:textId="38EF9AFA" w:rsidR="00534AE3" w:rsidRPr="009824C6" w:rsidRDefault="00534AE3">
            <w:pPr>
              <w:pStyle w:val="COMTabletext"/>
              <w:jc w:val="center"/>
            </w:pPr>
            <w:r w:rsidRPr="009824C6">
              <w:t>$268</w:t>
            </w:r>
          </w:p>
        </w:tc>
        <w:tc>
          <w:tcPr>
            <w:tcW w:w="1880" w:type="dxa"/>
          </w:tcPr>
          <w:p w14:paraId="27ECC011" w14:textId="2D603F4E" w:rsidR="00534AE3" w:rsidRPr="009824C6" w:rsidRDefault="00534AE3">
            <w:pPr>
              <w:pStyle w:val="COMTabletext"/>
              <w:jc w:val="center"/>
            </w:pPr>
            <w:r w:rsidRPr="009824C6">
              <w:t>$333</w:t>
            </w:r>
          </w:p>
        </w:tc>
        <w:tc>
          <w:tcPr>
            <w:tcW w:w="1881" w:type="dxa"/>
          </w:tcPr>
          <w:p w14:paraId="40910246" w14:textId="0F251A27" w:rsidR="00534AE3" w:rsidRPr="009824C6" w:rsidRDefault="00534AE3">
            <w:pPr>
              <w:pStyle w:val="COMTabletext"/>
              <w:jc w:val="center"/>
            </w:pPr>
            <w:r w:rsidRPr="009824C6">
              <w:t>-$65</w:t>
            </w:r>
          </w:p>
        </w:tc>
      </w:tr>
      <w:tr w:rsidR="00534AE3" w:rsidRPr="007F66A7" w14:paraId="034CF4F7" w14:textId="77777777">
        <w:tc>
          <w:tcPr>
            <w:tcW w:w="3383" w:type="dxa"/>
            <w:vAlign w:val="center"/>
          </w:tcPr>
          <w:p w14:paraId="28A50C2B" w14:textId="77777777" w:rsidR="00534AE3" w:rsidRPr="007F66A7" w:rsidRDefault="00534AE3">
            <w:pPr>
              <w:pStyle w:val="COMTabletext"/>
            </w:pPr>
            <w:r w:rsidRPr="007F66A7">
              <w:t>Administration</w:t>
            </w:r>
          </w:p>
        </w:tc>
        <w:tc>
          <w:tcPr>
            <w:tcW w:w="1880" w:type="dxa"/>
            <w:vAlign w:val="center"/>
          </w:tcPr>
          <w:p w14:paraId="5ED0A8F5" w14:textId="554E3BB5" w:rsidR="00534AE3" w:rsidRPr="009824C6" w:rsidRDefault="00534AE3">
            <w:pPr>
              <w:pStyle w:val="COMTabletext"/>
              <w:jc w:val="center"/>
              <w:rPr>
                <w:i/>
                <w:iCs/>
              </w:rPr>
            </w:pPr>
            <w:r w:rsidRPr="009824C6">
              <w:t>$1,859</w:t>
            </w:r>
          </w:p>
        </w:tc>
        <w:tc>
          <w:tcPr>
            <w:tcW w:w="1880" w:type="dxa"/>
            <w:vAlign w:val="center"/>
          </w:tcPr>
          <w:p w14:paraId="05EEA8F5" w14:textId="2F5FCE84" w:rsidR="00534AE3" w:rsidRPr="009824C6" w:rsidRDefault="00534AE3">
            <w:pPr>
              <w:pStyle w:val="COMTabletext"/>
              <w:jc w:val="center"/>
              <w:rPr>
                <w:i/>
                <w:iCs/>
              </w:rPr>
            </w:pPr>
            <w:r w:rsidRPr="009824C6">
              <w:t>$2,169</w:t>
            </w:r>
          </w:p>
        </w:tc>
        <w:tc>
          <w:tcPr>
            <w:tcW w:w="1881" w:type="dxa"/>
            <w:vAlign w:val="center"/>
          </w:tcPr>
          <w:p w14:paraId="2FD46C56" w14:textId="7BD597C6" w:rsidR="00534AE3" w:rsidRPr="009824C6" w:rsidRDefault="00534AE3">
            <w:pPr>
              <w:pStyle w:val="COMTabletext"/>
              <w:jc w:val="center"/>
              <w:rPr>
                <w:i/>
                <w:iCs/>
              </w:rPr>
            </w:pPr>
            <w:r w:rsidRPr="009824C6">
              <w:t>-$310</w:t>
            </w:r>
          </w:p>
        </w:tc>
      </w:tr>
      <w:tr w:rsidR="00534AE3" w:rsidRPr="007F66A7" w14:paraId="44489607" w14:textId="77777777">
        <w:tc>
          <w:tcPr>
            <w:tcW w:w="3383" w:type="dxa"/>
            <w:vAlign w:val="center"/>
          </w:tcPr>
          <w:p w14:paraId="3A5E536A" w14:textId="77777777" w:rsidR="00534AE3" w:rsidRPr="007F66A7" w:rsidRDefault="00534AE3">
            <w:pPr>
              <w:pStyle w:val="COMTabletext"/>
            </w:pPr>
            <w:r w:rsidRPr="007F66A7">
              <w:t>Disease monitoring</w:t>
            </w:r>
          </w:p>
        </w:tc>
        <w:tc>
          <w:tcPr>
            <w:tcW w:w="1880" w:type="dxa"/>
            <w:vAlign w:val="center"/>
          </w:tcPr>
          <w:p w14:paraId="4FB2DF61" w14:textId="7903BD3B" w:rsidR="00534AE3" w:rsidRPr="009824C6" w:rsidRDefault="00534AE3">
            <w:pPr>
              <w:pStyle w:val="COMTabletext"/>
              <w:jc w:val="center"/>
              <w:rPr>
                <w:i/>
                <w:iCs/>
              </w:rPr>
            </w:pPr>
            <w:r w:rsidRPr="009824C6">
              <w:t>$10,030</w:t>
            </w:r>
          </w:p>
        </w:tc>
        <w:tc>
          <w:tcPr>
            <w:tcW w:w="1880" w:type="dxa"/>
            <w:vAlign w:val="center"/>
          </w:tcPr>
          <w:p w14:paraId="1C305CDD" w14:textId="3BBE6A5C" w:rsidR="00534AE3" w:rsidRPr="009824C6" w:rsidRDefault="00534AE3">
            <w:pPr>
              <w:pStyle w:val="COMTabletext"/>
              <w:jc w:val="center"/>
              <w:rPr>
                <w:i/>
                <w:iCs/>
              </w:rPr>
            </w:pPr>
            <w:r w:rsidRPr="009824C6">
              <w:t>$10,530</w:t>
            </w:r>
          </w:p>
        </w:tc>
        <w:tc>
          <w:tcPr>
            <w:tcW w:w="1881" w:type="dxa"/>
            <w:vAlign w:val="center"/>
          </w:tcPr>
          <w:p w14:paraId="06674ED9" w14:textId="73A98791" w:rsidR="00534AE3" w:rsidRPr="009824C6" w:rsidRDefault="00534AE3">
            <w:pPr>
              <w:pStyle w:val="COMTabletext"/>
              <w:jc w:val="center"/>
              <w:rPr>
                <w:i/>
                <w:iCs/>
              </w:rPr>
            </w:pPr>
            <w:r w:rsidRPr="009824C6">
              <w:t>-$500</w:t>
            </w:r>
          </w:p>
        </w:tc>
      </w:tr>
      <w:tr w:rsidR="00534AE3" w:rsidRPr="007F66A7" w14:paraId="46E0A381" w14:textId="77777777">
        <w:tc>
          <w:tcPr>
            <w:tcW w:w="3383" w:type="dxa"/>
            <w:vAlign w:val="center"/>
          </w:tcPr>
          <w:p w14:paraId="2FB0510D" w14:textId="77777777" w:rsidR="00534AE3" w:rsidRPr="007F66A7" w:rsidRDefault="00534AE3">
            <w:pPr>
              <w:pStyle w:val="COMTabletext"/>
            </w:pPr>
            <w:r w:rsidRPr="007F66A7">
              <w:t>Adverse events</w:t>
            </w:r>
          </w:p>
        </w:tc>
        <w:tc>
          <w:tcPr>
            <w:tcW w:w="1880" w:type="dxa"/>
            <w:vAlign w:val="center"/>
          </w:tcPr>
          <w:p w14:paraId="1A2236A4" w14:textId="6248BAB2" w:rsidR="00534AE3" w:rsidRPr="009824C6" w:rsidRDefault="00534AE3">
            <w:pPr>
              <w:pStyle w:val="COMTabletext"/>
              <w:jc w:val="center"/>
              <w:rPr>
                <w:i/>
                <w:iCs/>
              </w:rPr>
            </w:pPr>
            <w:r w:rsidRPr="009824C6">
              <w:t>$4,564</w:t>
            </w:r>
          </w:p>
        </w:tc>
        <w:tc>
          <w:tcPr>
            <w:tcW w:w="1880" w:type="dxa"/>
            <w:vAlign w:val="center"/>
          </w:tcPr>
          <w:p w14:paraId="2D970008" w14:textId="5F8C4FDD" w:rsidR="00534AE3" w:rsidRPr="009824C6" w:rsidRDefault="00534AE3">
            <w:pPr>
              <w:pStyle w:val="COMTabletext"/>
              <w:jc w:val="center"/>
              <w:rPr>
                <w:i/>
                <w:iCs/>
              </w:rPr>
            </w:pPr>
            <w:r w:rsidRPr="009824C6">
              <w:t>$2,888</w:t>
            </w:r>
          </w:p>
        </w:tc>
        <w:tc>
          <w:tcPr>
            <w:tcW w:w="1881" w:type="dxa"/>
            <w:vAlign w:val="center"/>
          </w:tcPr>
          <w:p w14:paraId="14E8ED34" w14:textId="3C8BCF11" w:rsidR="00534AE3" w:rsidRPr="009824C6" w:rsidRDefault="00534AE3">
            <w:pPr>
              <w:pStyle w:val="COMTabletext"/>
              <w:jc w:val="center"/>
              <w:rPr>
                <w:i/>
                <w:iCs/>
              </w:rPr>
            </w:pPr>
            <w:r w:rsidRPr="009824C6">
              <w:t>$1,676</w:t>
            </w:r>
          </w:p>
        </w:tc>
      </w:tr>
      <w:tr w:rsidR="00534AE3" w:rsidRPr="007F66A7" w14:paraId="7B0B75F1" w14:textId="77777777">
        <w:tc>
          <w:tcPr>
            <w:tcW w:w="3383" w:type="dxa"/>
            <w:vAlign w:val="center"/>
          </w:tcPr>
          <w:p w14:paraId="32ED6DDF" w14:textId="77777777" w:rsidR="00534AE3" w:rsidRPr="007F66A7" w:rsidRDefault="00534AE3">
            <w:pPr>
              <w:pStyle w:val="COMTabletext"/>
            </w:pPr>
            <w:r w:rsidRPr="007F66A7">
              <w:t xml:space="preserve">Total </w:t>
            </w:r>
          </w:p>
        </w:tc>
        <w:tc>
          <w:tcPr>
            <w:tcW w:w="1880" w:type="dxa"/>
            <w:vAlign w:val="center"/>
          </w:tcPr>
          <w:p w14:paraId="599CCDF7" w14:textId="24247D94" w:rsidR="00534AE3" w:rsidRPr="007F66A7" w:rsidRDefault="00534AE3">
            <w:pPr>
              <w:pStyle w:val="COMTabletext"/>
              <w:jc w:val="center"/>
            </w:pPr>
            <w:r w:rsidRPr="007F66A7">
              <w:t>$</w:t>
            </w:r>
            <w:r w:rsidR="00AA4CCB" w:rsidRPr="00613F63">
              <w:rPr>
                <w:color w:val="000000"/>
                <w:spacing w:val="53"/>
                <w:shd w:val="solid" w:color="000000" w:fill="000000"/>
                <w:fitText w:val="330" w:id="-628904697"/>
                <w14:textFill>
                  <w14:solidFill>
                    <w14:srgbClr w14:val="000000">
                      <w14:alpha w14:val="100000"/>
                    </w14:srgbClr>
                  </w14:solidFill>
                </w14:textFill>
              </w:rPr>
              <w:t>|||</w:t>
            </w:r>
            <w:r w:rsidR="00AA4CCB" w:rsidRPr="00613F63">
              <w:rPr>
                <w:color w:val="000000"/>
                <w:spacing w:val="1"/>
                <w:shd w:val="solid" w:color="000000" w:fill="000000"/>
                <w:fitText w:val="330" w:id="-628904697"/>
                <w14:textFill>
                  <w14:solidFill>
                    <w14:srgbClr w14:val="000000">
                      <w14:alpha w14:val="100000"/>
                    </w14:srgbClr>
                  </w14:solidFill>
                </w14:textFill>
              </w:rPr>
              <w:t>|</w:t>
            </w:r>
          </w:p>
        </w:tc>
        <w:tc>
          <w:tcPr>
            <w:tcW w:w="1880" w:type="dxa"/>
            <w:vAlign w:val="center"/>
          </w:tcPr>
          <w:p w14:paraId="6F966148" w14:textId="3949DEA6" w:rsidR="00534AE3" w:rsidRPr="007F66A7" w:rsidRDefault="00534AE3">
            <w:pPr>
              <w:pStyle w:val="COMTabletext"/>
              <w:jc w:val="center"/>
            </w:pPr>
            <w:r w:rsidRPr="009A7E69">
              <w:t>$45,723</w:t>
            </w:r>
          </w:p>
        </w:tc>
        <w:tc>
          <w:tcPr>
            <w:tcW w:w="1881" w:type="dxa"/>
            <w:vAlign w:val="center"/>
          </w:tcPr>
          <w:p w14:paraId="771EFE37" w14:textId="5B994A40" w:rsidR="00534AE3" w:rsidRPr="007F66A7" w:rsidRDefault="00534AE3">
            <w:pPr>
              <w:pStyle w:val="COMTabletext"/>
              <w:jc w:val="center"/>
            </w:pPr>
            <w:r w:rsidRPr="007F66A7">
              <w:t>$</w:t>
            </w:r>
            <w:r w:rsidR="00AA4CCB" w:rsidRPr="00613F63">
              <w:rPr>
                <w:color w:val="000000"/>
                <w:spacing w:val="53"/>
                <w:shd w:val="solid" w:color="000000" w:fill="000000"/>
                <w:fitText w:val="330" w:id="-628904696"/>
                <w14:textFill>
                  <w14:solidFill>
                    <w14:srgbClr w14:val="000000">
                      <w14:alpha w14:val="100000"/>
                    </w14:srgbClr>
                  </w14:solidFill>
                </w14:textFill>
              </w:rPr>
              <w:t>|||</w:t>
            </w:r>
            <w:r w:rsidR="00AA4CCB" w:rsidRPr="00613F63">
              <w:rPr>
                <w:color w:val="000000"/>
                <w:spacing w:val="1"/>
                <w:shd w:val="solid" w:color="000000" w:fill="000000"/>
                <w:fitText w:val="330" w:id="-628904696"/>
                <w14:textFill>
                  <w14:solidFill>
                    <w14:srgbClr w14:val="000000">
                      <w14:alpha w14:val="100000"/>
                    </w14:srgbClr>
                  </w14:solidFill>
                </w14:textFill>
              </w:rPr>
              <w:t>|</w:t>
            </w:r>
          </w:p>
        </w:tc>
      </w:tr>
      <w:tr w:rsidR="00534AE3" w:rsidRPr="007F66A7" w14:paraId="2447517F" w14:textId="77777777">
        <w:tc>
          <w:tcPr>
            <w:tcW w:w="9024" w:type="dxa"/>
            <w:gridSpan w:val="4"/>
            <w:shd w:val="clear" w:color="auto" w:fill="B8CCE4" w:themeFill="accent1" w:themeFillTint="66"/>
            <w:vAlign w:val="center"/>
          </w:tcPr>
          <w:p w14:paraId="01B8A966" w14:textId="77777777" w:rsidR="00534AE3" w:rsidRPr="007F66A7" w:rsidRDefault="00534AE3">
            <w:pPr>
              <w:pStyle w:val="COMTableheadingrow"/>
              <w:rPr>
                <w:lang w:val="en-AU"/>
              </w:rPr>
            </w:pPr>
            <w:r w:rsidRPr="007F66A7">
              <w:rPr>
                <w:lang w:val="en-AU"/>
              </w:rPr>
              <w:t>March 2024 submission</w:t>
            </w:r>
          </w:p>
        </w:tc>
      </w:tr>
      <w:tr w:rsidR="00534AE3" w:rsidRPr="007F66A7" w14:paraId="2089602F" w14:textId="77777777">
        <w:tc>
          <w:tcPr>
            <w:tcW w:w="3383" w:type="dxa"/>
            <w:shd w:val="clear" w:color="auto" w:fill="B8CCE4" w:themeFill="accent1" w:themeFillTint="66"/>
            <w:vAlign w:val="center"/>
          </w:tcPr>
          <w:p w14:paraId="5F0E4BC1" w14:textId="377CE1E7" w:rsidR="00534AE3" w:rsidRPr="007F66A7" w:rsidRDefault="009B0496">
            <w:pPr>
              <w:pStyle w:val="COMTabletext"/>
            </w:pPr>
            <w:r w:rsidRPr="007F66A7">
              <w:t>First-line</w:t>
            </w:r>
            <w:r w:rsidR="00534AE3" w:rsidRPr="007F66A7">
              <w:t xml:space="preserve"> drug costs (including supportive therapies)</w:t>
            </w:r>
          </w:p>
        </w:tc>
        <w:tc>
          <w:tcPr>
            <w:tcW w:w="1880" w:type="dxa"/>
            <w:shd w:val="clear" w:color="auto" w:fill="B8CCE4" w:themeFill="accent1" w:themeFillTint="66"/>
            <w:vAlign w:val="center"/>
          </w:tcPr>
          <w:p w14:paraId="427D1B0E" w14:textId="3B8EC772" w:rsidR="00534AE3" w:rsidRPr="007F66A7" w:rsidRDefault="00534AE3">
            <w:pPr>
              <w:pStyle w:val="COMTabletext"/>
              <w:jc w:val="center"/>
            </w:pPr>
            <w:r w:rsidRPr="007F66A7">
              <w:t>$</w:t>
            </w:r>
            <w:r w:rsidR="00AA4CCB" w:rsidRPr="00613F63">
              <w:rPr>
                <w:color w:val="000000"/>
                <w:spacing w:val="53"/>
                <w:shd w:val="solid" w:color="000000" w:fill="000000"/>
                <w:fitText w:val="330" w:id="-628904695"/>
                <w14:textFill>
                  <w14:solidFill>
                    <w14:srgbClr w14:val="000000">
                      <w14:alpha w14:val="100000"/>
                    </w14:srgbClr>
                  </w14:solidFill>
                </w14:textFill>
              </w:rPr>
              <w:t>|||</w:t>
            </w:r>
            <w:r w:rsidR="00AA4CCB" w:rsidRPr="00613F63">
              <w:rPr>
                <w:color w:val="000000"/>
                <w:spacing w:val="1"/>
                <w:shd w:val="solid" w:color="000000" w:fill="000000"/>
                <w:fitText w:val="330" w:id="-628904695"/>
                <w14:textFill>
                  <w14:solidFill>
                    <w14:srgbClr w14:val="000000">
                      <w14:alpha w14:val="100000"/>
                    </w14:srgbClr>
                  </w14:solidFill>
                </w14:textFill>
              </w:rPr>
              <w:t>|</w:t>
            </w:r>
          </w:p>
        </w:tc>
        <w:tc>
          <w:tcPr>
            <w:tcW w:w="1880" w:type="dxa"/>
            <w:shd w:val="clear" w:color="auto" w:fill="B8CCE4" w:themeFill="accent1" w:themeFillTint="66"/>
            <w:vAlign w:val="center"/>
          </w:tcPr>
          <w:p w14:paraId="5483D029" w14:textId="7DDA92CF" w:rsidR="00534AE3" w:rsidRPr="00E01A2D" w:rsidRDefault="00534AE3">
            <w:pPr>
              <w:pStyle w:val="COMTabletext"/>
              <w:jc w:val="center"/>
              <w:rPr>
                <w:vertAlign w:val="superscript"/>
              </w:rPr>
            </w:pPr>
            <w:r w:rsidRPr="00E01A2D">
              <w:t xml:space="preserve">$6,791 </w:t>
            </w:r>
            <w:r w:rsidRPr="00E01A2D">
              <w:rPr>
                <w:vertAlign w:val="superscript"/>
              </w:rPr>
              <w:t>b</w:t>
            </w:r>
          </w:p>
        </w:tc>
        <w:tc>
          <w:tcPr>
            <w:tcW w:w="1881" w:type="dxa"/>
            <w:shd w:val="clear" w:color="auto" w:fill="B8CCE4" w:themeFill="accent1" w:themeFillTint="66"/>
            <w:vAlign w:val="center"/>
          </w:tcPr>
          <w:p w14:paraId="5FD59A32" w14:textId="5C3A54EF" w:rsidR="00534AE3" w:rsidRPr="007F66A7" w:rsidRDefault="00534AE3">
            <w:pPr>
              <w:pStyle w:val="COMTabletext"/>
              <w:jc w:val="center"/>
            </w:pPr>
            <w:r w:rsidRPr="007F66A7">
              <w:t>$</w:t>
            </w:r>
            <w:r w:rsidR="00AA4CCB" w:rsidRPr="00613F63">
              <w:rPr>
                <w:color w:val="000000"/>
                <w:spacing w:val="53"/>
                <w:shd w:val="solid" w:color="000000" w:fill="000000"/>
                <w:fitText w:val="330" w:id="-628904694"/>
                <w14:textFill>
                  <w14:solidFill>
                    <w14:srgbClr w14:val="000000">
                      <w14:alpha w14:val="100000"/>
                    </w14:srgbClr>
                  </w14:solidFill>
                </w14:textFill>
              </w:rPr>
              <w:t>|||</w:t>
            </w:r>
            <w:r w:rsidR="00AA4CCB" w:rsidRPr="00613F63">
              <w:rPr>
                <w:color w:val="000000"/>
                <w:spacing w:val="1"/>
                <w:shd w:val="solid" w:color="000000" w:fill="000000"/>
                <w:fitText w:val="330" w:id="-628904694"/>
                <w14:textFill>
                  <w14:solidFill>
                    <w14:srgbClr w14:val="000000">
                      <w14:alpha w14:val="100000"/>
                    </w14:srgbClr>
                  </w14:solidFill>
                </w14:textFill>
              </w:rPr>
              <w:t>|</w:t>
            </w:r>
          </w:p>
        </w:tc>
      </w:tr>
      <w:tr w:rsidR="00534AE3" w:rsidRPr="007F66A7" w14:paraId="12B9903D" w14:textId="77777777">
        <w:tc>
          <w:tcPr>
            <w:tcW w:w="3383" w:type="dxa"/>
            <w:shd w:val="clear" w:color="auto" w:fill="B8CCE4" w:themeFill="accent1" w:themeFillTint="66"/>
            <w:vAlign w:val="center"/>
          </w:tcPr>
          <w:p w14:paraId="513BB3C1" w14:textId="77777777" w:rsidR="00534AE3" w:rsidRPr="007F66A7" w:rsidRDefault="00534AE3">
            <w:pPr>
              <w:pStyle w:val="COMTabletext"/>
              <w:rPr>
                <w:vertAlign w:val="superscript"/>
              </w:rPr>
            </w:pPr>
            <w:r w:rsidRPr="007F66A7">
              <w:t>Subsequent treatments (including supportive therapies)</w:t>
            </w:r>
          </w:p>
        </w:tc>
        <w:tc>
          <w:tcPr>
            <w:tcW w:w="1880" w:type="dxa"/>
            <w:shd w:val="clear" w:color="auto" w:fill="B8CCE4" w:themeFill="accent1" w:themeFillTint="66"/>
            <w:vAlign w:val="center"/>
          </w:tcPr>
          <w:p w14:paraId="7A6BD44B" w14:textId="125A7FFF" w:rsidR="00534AE3" w:rsidRPr="00E01A2D" w:rsidRDefault="00534AE3">
            <w:pPr>
              <w:pStyle w:val="COMTabletext"/>
              <w:jc w:val="center"/>
            </w:pPr>
            <w:r w:rsidRPr="00E01A2D">
              <w:t>$11,231</w:t>
            </w:r>
          </w:p>
        </w:tc>
        <w:tc>
          <w:tcPr>
            <w:tcW w:w="1880" w:type="dxa"/>
            <w:shd w:val="clear" w:color="auto" w:fill="B8CCE4" w:themeFill="accent1" w:themeFillTint="66"/>
            <w:vAlign w:val="center"/>
          </w:tcPr>
          <w:p w14:paraId="15BC31A4" w14:textId="50578690" w:rsidR="00534AE3" w:rsidRPr="00E01A2D" w:rsidRDefault="00534AE3">
            <w:pPr>
              <w:pStyle w:val="COMTabletext"/>
              <w:jc w:val="center"/>
            </w:pPr>
            <w:r w:rsidRPr="00E01A2D">
              <w:t>$24,501</w:t>
            </w:r>
          </w:p>
        </w:tc>
        <w:tc>
          <w:tcPr>
            <w:tcW w:w="1881" w:type="dxa"/>
            <w:shd w:val="clear" w:color="auto" w:fill="B8CCE4" w:themeFill="accent1" w:themeFillTint="66"/>
            <w:vAlign w:val="center"/>
          </w:tcPr>
          <w:p w14:paraId="6FC925BC" w14:textId="4FA7CC3A" w:rsidR="00534AE3" w:rsidRPr="00E01A2D" w:rsidRDefault="00534AE3">
            <w:pPr>
              <w:pStyle w:val="COMTabletext"/>
              <w:jc w:val="center"/>
            </w:pPr>
            <w:r w:rsidRPr="00E01A2D">
              <w:t>-$13,270</w:t>
            </w:r>
          </w:p>
        </w:tc>
      </w:tr>
      <w:tr w:rsidR="00534AE3" w:rsidRPr="007F66A7" w14:paraId="6AF70495" w14:textId="77777777">
        <w:tc>
          <w:tcPr>
            <w:tcW w:w="3383" w:type="dxa"/>
            <w:shd w:val="clear" w:color="auto" w:fill="B8CCE4" w:themeFill="accent1" w:themeFillTint="66"/>
            <w:vAlign w:val="center"/>
          </w:tcPr>
          <w:p w14:paraId="73DF4036" w14:textId="77777777" w:rsidR="00534AE3" w:rsidRPr="007F66A7" w:rsidRDefault="00534AE3">
            <w:pPr>
              <w:pStyle w:val="COMTabletext"/>
            </w:pPr>
            <w:r w:rsidRPr="007F66A7">
              <w:t>- ASCT</w:t>
            </w:r>
          </w:p>
        </w:tc>
        <w:tc>
          <w:tcPr>
            <w:tcW w:w="1880" w:type="dxa"/>
            <w:shd w:val="clear" w:color="auto" w:fill="B8CCE4" w:themeFill="accent1" w:themeFillTint="66"/>
            <w:vAlign w:val="center"/>
          </w:tcPr>
          <w:p w14:paraId="56AF3F77" w14:textId="1DDB261B" w:rsidR="00534AE3" w:rsidRPr="00E01A2D" w:rsidRDefault="00534AE3">
            <w:pPr>
              <w:pStyle w:val="COMTabletext"/>
              <w:jc w:val="center"/>
            </w:pPr>
            <w:r w:rsidRPr="00E01A2D">
              <w:t>$3,182</w:t>
            </w:r>
          </w:p>
        </w:tc>
        <w:tc>
          <w:tcPr>
            <w:tcW w:w="1880" w:type="dxa"/>
            <w:shd w:val="clear" w:color="auto" w:fill="B8CCE4" w:themeFill="accent1" w:themeFillTint="66"/>
            <w:vAlign w:val="center"/>
          </w:tcPr>
          <w:p w14:paraId="1C22AF25" w14:textId="2E426BE7" w:rsidR="00534AE3" w:rsidRPr="00E01A2D" w:rsidRDefault="00534AE3">
            <w:pPr>
              <w:pStyle w:val="COMTabletext"/>
              <w:jc w:val="center"/>
            </w:pPr>
            <w:r w:rsidRPr="00E01A2D">
              <w:t>$5,924</w:t>
            </w:r>
          </w:p>
        </w:tc>
        <w:tc>
          <w:tcPr>
            <w:tcW w:w="1881" w:type="dxa"/>
            <w:shd w:val="clear" w:color="auto" w:fill="B8CCE4" w:themeFill="accent1" w:themeFillTint="66"/>
            <w:vAlign w:val="center"/>
          </w:tcPr>
          <w:p w14:paraId="79A5DC07" w14:textId="5E14497F" w:rsidR="00534AE3" w:rsidRPr="00E01A2D" w:rsidRDefault="00534AE3">
            <w:pPr>
              <w:pStyle w:val="COMTabletext"/>
              <w:jc w:val="center"/>
            </w:pPr>
            <w:r w:rsidRPr="00E01A2D">
              <w:t>-$2,742</w:t>
            </w:r>
          </w:p>
        </w:tc>
      </w:tr>
      <w:tr w:rsidR="00534AE3" w:rsidRPr="007F66A7" w14:paraId="0C88F49F" w14:textId="77777777">
        <w:tc>
          <w:tcPr>
            <w:tcW w:w="3383" w:type="dxa"/>
            <w:shd w:val="clear" w:color="auto" w:fill="B8CCE4" w:themeFill="accent1" w:themeFillTint="66"/>
            <w:vAlign w:val="center"/>
          </w:tcPr>
          <w:p w14:paraId="2177B4B4" w14:textId="77777777" w:rsidR="00534AE3" w:rsidRPr="007F66A7" w:rsidRDefault="00534AE3">
            <w:pPr>
              <w:pStyle w:val="COMTabletext"/>
            </w:pPr>
            <w:r w:rsidRPr="007F66A7">
              <w:t>- Pembrolizumab or brentuximab vedotin</w:t>
            </w:r>
          </w:p>
        </w:tc>
        <w:tc>
          <w:tcPr>
            <w:tcW w:w="1880" w:type="dxa"/>
            <w:shd w:val="clear" w:color="auto" w:fill="B8CCE4" w:themeFill="accent1" w:themeFillTint="66"/>
            <w:vAlign w:val="center"/>
          </w:tcPr>
          <w:p w14:paraId="085C1883" w14:textId="4A9E01CB" w:rsidR="00534AE3" w:rsidRPr="00E01A2D" w:rsidRDefault="00534AE3">
            <w:pPr>
              <w:pStyle w:val="COMTabletext"/>
              <w:jc w:val="center"/>
            </w:pPr>
            <w:r w:rsidRPr="00E01A2D">
              <w:t>$</w:t>
            </w:r>
            <w:r w:rsidR="00613F63" w:rsidRPr="00613F63">
              <w:rPr>
                <w:color w:val="000000"/>
                <w:shd w:val="solid" w:color="000000" w:fill="000000"/>
                <w14:textFill>
                  <w14:solidFill>
                    <w14:srgbClr w14:val="000000">
                      <w14:alpha w14:val="100000"/>
                    </w14:srgbClr>
                  </w14:solidFill>
                </w14:textFill>
              </w:rPr>
              <w:t>|</w:t>
            </w:r>
          </w:p>
        </w:tc>
        <w:tc>
          <w:tcPr>
            <w:tcW w:w="1880" w:type="dxa"/>
            <w:shd w:val="clear" w:color="auto" w:fill="B8CCE4" w:themeFill="accent1" w:themeFillTint="66"/>
            <w:vAlign w:val="center"/>
          </w:tcPr>
          <w:p w14:paraId="50251921" w14:textId="58B37910" w:rsidR="00534AE3" w:rsidRPr="00E01A2D" w:rsidRDefault="00534AE3">
            <w:pPr>
              <w:pStyle w:val="COMTabletext"/>
              <w:jc w:val="center"/>
            </w:pPr>
            <w:r w:rsidRPr="00E01A2D">
              <w:t>$</w:t>
            </w:r>
            <w:r w:rsidR="00613F63" w:rsidRPr="00613F63">
              <w:rPr>
                <w:color w:val="000000"/>
                <w:shd w:val="solid" w:color="000000" w:fill="000000"/>
                <w14:textFill>
                  <w14:solidFill>
                    <w14:srgbClr w14:val="000000">
                      <w14:alpha w14:val="100000"/>
                    </w14:srgbClr>
                  </w14:solidFill>
                </w14:textFill>
              </w:rPr>
              <w:t>|</w:t>
            </w:r>
          </w:p>
        </w:tc>
        <w:tc>
          <w:tcPr>
            <w:tcW w:w="1881" w:type="dxa"/>
            <w:shd w:val="clear" w:color="auto" w:fill="B8CCE4" w:themeFill="accent1" w:themeFillTint="66"/>
            <w:vAlign w:val="center"/>
          </w:tcPr>
          <w:p w14:paraId="3A41E207" w14:textId="0BC8BCF5" w:rsidR="00534AE3" w:rsidRPr="00E01A2D" w:rsidRDefault="00534AE3">
            <w:pPr>
              <w:pStyle w:val="COMTabletext"/>
              <w:jc w:val="center"/>
            </w:pPr>
            <w:r w:rsidRPr="00E01A2D">
              <w:t>-$</w:t>
            </w:r>
            <w:r w:rsidR="00613F63" w:rsidRPr="00613F63">
              <w:rPr>
                <w:color w:val="000000"/>
                <w:shd w:val="solid" w:color="000000" w:fill="000000"/>
                <w14:textFill>
                  <w14:solidFill>
                    <w14:srgbClr w14:val="000000">
                      <w14:alpha w14:val="100000"/>
                    </w14:srgbClr>
                  </w14:solidFill>
                </w14:textFill>
              </w:rPr>
              <w:t>|</w:t>
            </w:r>
          </w:p>
        </w:tc>
      </w:tr>
      <w:tr w:rsidR="00534AE3" w:rsidRPr="007F66A7" w14:paraId="525E3F6C" w14:textId="77777777">
        <w:tc>
          <w:tcPr>
            <w:tcW w:w="3383" w:type="dxa"/>
            <w:shd w:val="clear" w:color="auto" w:fill="B8CCE4" w:themeFill="accent1" w:themeFillTint="66"/>
            <w:vAlign w:val="center"/>
          </w:tcPr>
          <w:p w14:paraId="7D1D3593" w14:textId="77777777" w:rsidR="00534AE3" w:rsidRPr="007F66A7" w:rsidRDefault="00534AE3">
            <w:pPr>
              <w:pStyle w:val="COMTabletext"/>
            </w:pPr>
            <w:r w:rsidRPr="007F66A7">
              <w:t>- Chemotherapy</w:t>
            </w:r>
          </w:p>
        </w:tc>
        <w:tc>
          <w:tcPr>
            <w:tcW w:w="1880" w:type="dxa"/>
            <w:shd w:val="clear" w:color="auto" w:fill="B8CCE4" w:themeFill="accent1" w:themeFillTint="66"/>
            <w:vAlign w:val="center"/>
          </w:tcPr>
          <w:p w14:paraId="649D42FC" w14:textId="1A325C10" w:rsidR="00534AE3" w:rsidRPr="00E01A2D" w:rsidRDefault="00534AE3">
            <w:pPr>
              <w:pStyle w:val="COMTabletext"/>
              <w:jc w:val="center"/>
            </w:pPr>
            <w:r w:rsidRPr="00E01A2D">
              <w:t>$865</w:t>
            </w:r>
          </w:p>
        </w:tc>
        <w:tc>
          <w:tcPr>
            <w:tcW w:w="1880" w:type="dxa"/>
            <w:shd w:val="clear" w:color="auto" w:fill="B8CCE4" w:themeFill="accent1" w:themeFillTint="66"/>
            <w:vAlign w:val="center"/>
          </w:tcPr>
          <w:p w14:paraId="001F9DAF" w14:textId="62E8B4B5" w:rsidR="00534AE3" w:rsidRPr="00E01A2D" w:rsidRDefault="00534AE3">
            <w:pPr>
              <w:pStyle w:val="COMTabletext"/>
              <w:jc w:val="center"/>
            </w:pPr>
            <w:r w:rsidRPr="00E01A2D">
              <w:t>$1,288</w:t>
            </w:r>
          </w:p>
        </w:tc>
        <w:tc>
          <w:tcPr>
            <w:tcW w:w="1881" w:type="dxa"/>
            <w:shd w:val="clear" w:color="auto" w:fill="B8CCE4" w:themeFill="accent1" w:themeFillTint="66"/>
            <w:vAlign w:val="center"/>
          </w:tcPr>
          <w:p w14:paraId="57F0F7C6" w14:textId="41C28D59" w:rsidR="00534AE3" w:rsidRPr="00E01A2D" w:rsidRDefault="00534AE3">
            <w:pPr>
              <w:pStyle w:val="COMTabletext"/>
              <w:jc w:val="center"/>
            </w:pPr>
            <w:r w:rsidRPr="00E01A2D">
              <w:t>-$423</w:t>
            </w:r>
          </w:p>
        </w:tc>
      </w:tr>
      <w:tr w:rsidR="00534AE3" w:rsidRPr="007F66A7" w14:paraId="428569EA" w14:textId="77777777">
        <w:tc>
          <w:tcPr>
            <w:tcW w:w="3383" w:type="dxa"/>
            <w:shd w:val="clear" w:color="auto" w:fill="B8CCE4" w:themeFill="accent1" w:themeFillTint="66"/>
            <w:vAlign w:val="center"/>
          </w:tcPr>
          <w:p w14:paraId="04B3E7F5" w14:textId="77777777" w:rsidR="00534AE3" w:rsidRPr="007F66A7" w:rsidRDefault="00534AE3">
            <w:pPr>
              <w:pStyle w:val="COMTabletext"/>
            </w:pPr>
            <w:r w:rsidRPr="007F66A7">
              <w:t>- Radiation therapy</w:t>
            </w:r>
          </w:p>
        </w:tc>
        <w:tc>
          <w:tcPr>
            <w:tcW w:w="1880" w:type="dxa"/>
            <w:shd w:val="clear" w:color="auto" w:fill="B8CCE4" w:themeFill="accent1" w:themeFillTint="66"/>
            <w:vAlign w:val="center"/>
          </w:tcPr>
          <w:p w14:paraId="04D64DB1" w14:textId="2AF13605" w:rsidR="00534AE3" w:rsidRPr="00E01A2D" w:rsidRDefault="00534AE3">
            <w:pPr>
              <w:pStyle w:val="COMTabletext"/>
              <w:jc w:val="center"/>
            </w:pPr>
            <w:r w:rsidRPr="00E01A2D">
              <w:t>$539</w:t>
            </w:r>
          </w:p>
        </w:tc>
        <w:tc>
          <w:tcPr>
            <w:tcW w:w="1880" w:type="dxa"/>
            <w:shd w:val="clear" w:color="auto" w:fill="B8CCE4" w:themeFill="accent1" w:themeFillTint="66"/>
            <w:vAlign w:val="center"/>
          </w:tcPr>
          <w:p w14:paraId="2C6F2ECF" w14:textId="50AFC5A0" w:rsidR="00534AE3" w:rsidRPr="00E01A2D" w:rsidRDefault="00534AE3">
            <w:pPr>
              <w:pStyle w:val="COMTabletext"/>
              <w:jc w:val="center"/>
            </w:pPr>
            <w:r w:rsidRPr="00E01A2D">
              <w:t>$632</w:t>
            </w:r>
          </w:p>
        </w:tc>
        <w:tc>
          <w:tcPr>
            <w:tcW w:w="1881" w:type="dxa"/>
            <w:shd w:val="clear" w:color="auto" w:fill="B8CCE4" w:themeFill="accent1" w:themeFillTint="66"/>
            <w:vAlign w:val="center"/>
          </w:tcPr>
          <w:p w14:paraId="406374D2" w14:textId="3152E4C4" w:rsidR="00534AE3" w:rsidRPr="00E01A2D" w:rsidRDefault="00534AE3">
            <w:pPr>
              <w:pStyle w:val="COMTabletext"/>
              <w:jc w:val="center"/>
            </w:pPr>
            <w:r w:rsidRPr="00E01A2D">
              <w:t>-$94</w:t>
            </w:r>
          </w:p>
        </w:tc>
      </w:tr>
      <w:tr w:rsidR="00534AE3" w:rsidRPr="007F66A7" w14:paraId="07FBF3CF" w14:textId="77777777">
        <w:tc>
          <w:tcPr>
            <w:tcW w:w="3383" w:type="dxa"/>
            <w:shd w:val="clear" w:color="auto" w:fill="B8CCE4" w:themeFill="accent1" w:themeFillTint="66"/>
            <w:vAlign w:val="center"/>
          </w:tcPr>
          <w:p w14:paraId="133D16BE" w14:textId="77777777" w:rsidR="00534AE3" w:rsidRPr="007F66A7" w:rsidRDefault="00534AE3">
            <w:pPr>
              <w:pStyle w:val="COMTabletext"/>
            </w:pPr>
            <w:r w:rsidRPr="007F66A7">
              <w:t xml:space="preserve">Administration </w:t>
            </w:r>
          </w:p>
        </w:tc>
        <w:tc>
          <w:tcPr>
            <w:tcW w:w="1880" w:type="dxa"/>
            <w:shd w:val="clear" w:color="auto" w:fill="B8CCE4" w:themeFill="accent1" w:themeFillTint="66"/>
            <w:vAlign w:val="center"/>
          </w:tcPr>
          <w:p w14:paraId="299E3D9C" w14:textId="3B624100" w:rsidR="00534AE3" w:rsidRPr="00E01A2D" w:rsidRDefault="00534AE3">
            <w:pPr>
              <w:pStyle w:val="COMTabletext"/>
              <w:jc w:val="center"/>
            </w:pPr>
            <w:r w:rsidRPr="00E01A2D">
              <w:t>$1,312</w:t>
            </w:r>
          </w:p>
        </w:tc>
        <w:tc>
          <w:tcPr>
            <w:tcW w:w="1880" w:type="dxa"/>
            <w:shd w:val="clear" w:color="auto" w:fill="B8CCE4" w:themeFill="accent1" w:themeFillTint="66"/>
            <w:vAlign w:val="center"/>
          </w:tcPr>
          <w:p w14:paraId="36AE4132" w14:textId="12C45093" w:rsidR="00534AE3" w:rsidRPr="00E01A2D" w:rsidRDefault="00534AE3">
            <w:pPr>
              <w:pStyle w:val="COMTabletext"/>
              <w:jc w:val="center"/>
            </w:pPr>
            <w:r w:rsidRPr="00E01A2D">
              <w:t>$1,336</w:t>
            </w:r>
          </w:p>
        </w:tc>
        <w:tc>
          <w:tcPr>
            <w:tcW w:w="1881" w:type="dxa"/>
            <w:shd w:val="clear" w:color="auto" w:fill="B8CCE4" w:themeFill="accent1" w:themeFillTint="66"/>
            <w:vAlign w:val="center"/>
          </w:tcPr>
          <w:p w14:paraId="5607E57E" w14:textId="1170D2C1" w:rsidR="00534AE3" w:rsidRPr="00E01A2D" w:rsidRDefault="00534AE3">
            <w:pPr>
              <w:pStyle w:val="COMTabletext"/>
              <w:jc w:val="center"/>
            </w:pPr>
            <w:r w:rsidRPr="00E01A2D">
              <w:t>-$23</w:t>
            </w:r>
          </w:p>
        </w:tc>
      </w:tr>
      <w:tr w:rsidR="00534AE3" w:rsidRPr="007F66A7" w14:paraId="19686573" w14:textId="77777777">
        <w:tc>
          <w:tcPr>
            <w:tcW w:w="3383" w:type="dxa"/>
            <w:shd w:val="clear" w:color="auto" w:fill="B8CCE4" w:themeFill="accent1" w:themeFillTint="66"/>
            <w:vAlign w:val="center"/>
          </w:tcPr>
          <w:p w14:paraId="67C5084A" w14:textId="77777777" w:rsidR="00534AE3" w:rsidRPr="007F66A7" w:rsidRDefault="00534AE3">
            <w:pPr>
              <w:pStyle w:val="COMTabletext"/>
            </w:pPr>
            <w:r w:rsidRPr="007F66A7">
              <w:t>Disease monitoring</w:t>
            </w:r>
          </w:p>
        </w:tc>
        <w:tc>
          <w:tcPr>
            <w:tcW w:w="1880" w:type="dxa"/>
            <w:shd w:val="clear" w:color="auto" w:fill="B8CCE4" w:themeFill="accent1" w:themeFillTint="66"/>
            <w:vAlign w:val="center"/>
          </w:tcPr>
          <w:p w14:paraId="0CDBF2A7" w14:textId="3044CAE7" w:rsidR="00534AE3" w:rsidRPr="00E01A2D" w:rsidRDefault="00534AE3">
            <w:pPr>
              <w:pStyle w:val="COMTabletext"/>
              <w:jc w:val="center"/>
            </w:pPr>
            <w:r w:rsidRPr="00E01A2D">
              <w:t>$13,200</w:t>
            </w:r>
          </w:p>
        </w:tc>
        <w:tc>
          <w:tcPr>
            <w:tcW w:w="1880" w:type="dxa"/>
            <w:shd w:val="clear" w:color="auto" w:fill="B8CCE4" w:themeFill="accent1" w:themeFillTint="66"/>
            <w:vAlign w:val="center"/>
          </w:tcPr>
          <w:p w14:paraId="6CF89621" w14:textId="1054289D" w:rsidR="00534AE3" w:rsidRPr="00E01A2D" w:rsidRDefault="00534AE3">
            <w:pPr>
              <w:pStyle w:val="COMTabletext"/>
              <w:jc w:val="center"/>
            </w:pPr>
            <w:r w:rsidRPr="00E01A2D">
              <w:t>$14,859</w:t>
            </w:r>
          </w:p>
        </w:tc>
        <w:tc>
          <w:tcPr>
            <w:tcW w:w="1881" w:type="dxa"/>
            <w:shd w:val="clear" w:color="auto" w:fill="B8CCE4" w:themeFill="accent1" w:themeFillTint="66"/>
            <w:vAlign w:val="center"/>
          </w:tcPr>
          <w:p w14:paraId="17A4694D" w14:textId="217E980F" w:rsidR="00534AE3" w:rsidRPr="00E01A2D" w:rsidRDefault="00534AE3">
            <w:pPr>
              <w:pStyle w:val="COMTabletext"/>
              <w:jc w:val="center"/>
            </w:pPr>
            <w:r w:rsidRPr="00E01A2D">
              <w:t>-$1,658</w:t>
            </w:r>
          </w:p>
        </w:tc>
      </w:tr>
      <w:tr w:rsidR="00534AE3" w:rsidRPr="007F66A7" w14:paraId="787001CD" w14:textId="77777777">
        <w:tc>
          <w:tcPr>
            <w:tcW w:w="3383" w:type="dxa"/>
            <w:shd w:val="clear" w:color="auto" w:fill="B8CCE4" w:themeFill="accent1" w:themeFillTint="66"/>
            <w:vAlign w:val="center"/>
          </w:tcPr>
          <w:p w14:paraId="5508A246" w14:textId="77777777" w:rsidR="00534AE3" w:rsidRPr="007F66A7" w:rsidRDefault="00534AE3">
            <w:pPr>
              <w:pStyle w:val="COMTabletext"/>
            </w:pPr>
            <w:r w:rsidRPr="007F66A7">
              <w:t>Adverse events</w:t>
            </w:r>
          </w:p>
        </w:tc>
        <w:tc>
          <w:tcPr>
            <w:tcW w:w="1880" w:type="dxa"/>
            <w:shd w:val="clear" w:color="auto" w:fill="B8CCE4" w:themeFill="accent1" w:themeFillTint="66"/>
            <w:vAlign w:val="center"/>
          </w:tcPr>
          <w:p w14:paraId="47464BCB" w14:textId="28C051EF" w:rsidR="00534AE3" w:rsidRPr="00E01A2D" w:rsidRDefault="00534AE3">
            <w:pPr>
              <w:pStyle w:val="COMTabletext"/>
              <w:jc w:val="center"/>
            </w:pPr>
            <w:r w:rsidRPr="00E01A2D">
              <w:t>$4,254</w:t>
            </w:r>
          </w:p>
        </w:tc>
        <w:tc>
          <w:tcPr>
            <w:tcW w:w="1880" w:type="dxa"/>
            <w:shd w:val="clear" w:color="auto" w:fill="B8CCE4" w:themeFill="accent1" w:themeFillTint="66"/>
            <w:vAlign w:val="center"/>
          </w:tcPr>
          <w:p w14:paraId="6ED687F4" w14:textId="48BA03B4" w:rsidR="00534AE3" w:rsidRPr="00E01A2D" w:rsidRDefault="00534AE3">
            <w:pPr>
              <w:pStyle w:val="COMTabletext"/>
              <w:jc w:val="center"/>
            </w:pPr>
            <w:r w:rsidRPr="00E01A2D">
              <w:t>$2,696</w:t>
            </w:r>
          </w:p>
        </w:tc>
        <w:tc>
          <w:tcPr>
            <w:tcW w:w="1881" w:type="dxa"/>
            <w:shd w:val="clear" w:color="auto" w:fill="B8CCE4" w:themeFill="accent1" w:themeFillTint="66"/>
            <w:vAlign w:val="center"/>
          </w:tcPr>
          <w:p w14:paraId="372A9A58" w14:textId="52534485" w:rsidR="00534AE3" w:rsidRPr="00E01A2D" w:rsidRDefault="00534AE3">
            <w:pPr>
              <w:pStyle w:val="COMTabletext"/>
              <w:jc w:val="center"/>
            </w:pPr>
            <w:r w:rsidRPr="00E01A2D">
              <w:t>$1,558</w:t>
            </w:r>
          </w:p>
        </w:tc>
      </w:tr>
      <w:tr w:rsidR="00534AE3" w:rsidRPr="007F66A7" w14:paraId="647CEA66" w14:textId="77777777">
        <w:tc>
          <w:tcPr>
            <w:tcW w:w="3383" w:type="dxa"/>
            <w:shd w:val="clear" w:color="auto" w:fill="B8CCE4" w:themeFill="accent1" w:themeFillTint="66"/>
            <w:vAlign w:val="center"/>
          </w:tcPr>
          <w:p w14:paraId="7C01FB86" w14:textId="77777777" w:rsidR="00534AE3" w:rsidRPr="007F66A7" w:rsidRDefault="00534AE3">
            <w:pPr>
              <w:pStyle w:val="COMTabletext"/>
            </w:pPr>
            <w:r w:rsidRPr="007F66A7">
              <w:t>Total</w:t>
            </w:r>
          </w:p>
        </w:tc>
        <w:tc>
          <w:tcPr>
            <w:tcW w:w="1880" w:type="dxa"/>
            <w:shd w:val="clear" w:color="auto" w:fill="B8CCE4" w:themeFill="accent1" w:themeFillTint="66"/>
            <w:vAlign w:val="center"/>
          </w:tcPr>
          <w:p w14:paraId="731B2CCD" w14:textId="5F082357" w:rsidR="00534AE3" w:rsidRPr="007F66A7" w:rsidRDefault="00534AE3">
            <w:pPr>
              <w:pStyle w:val="COMTabletext"/>
              <w:jc w:val="center"/>
            </w:pPr>
            <w:r w:rsidRPr="007F66A7">
              <w:t>$</w:t>
            </w:r>
            <w:r w:rsidR="00AA4CCB" w:rsidRPr="00613F63">
              <w:rPr>
                <w:color w:val="000000"/>
                <w:spacing w:val="56"/>
                <w:w w:val="95"/>
                <w:shd w:val="solid" w:color="000000" w:fill="000000"/>
                <w:fitText w:val="330" w:id="-628904693"/>
                <w14:textFill>
                  <w14:solidFill>
                    <w14:srgbClr w14:val="000000">
                      <w14:alpha w14:val="100000"/>
                    </w14:srgbClr>
                  </w14:solidFill>
                </w14:textFill>
              </w:rPr>
              <w:t>|||</w:t>
            </w:r>
            <w:r w:rsidR="00AA4CCB" w:rsidRPr="00613F63">
              <w:rPr>
                <w:color w:val="000000"/>
                <w:spacing w:val="1"/>
                <w:w w:val="95"/>
                <w:shd w:val="solid" w:color="000000" w:fill="000000"/>
                <w:fitText w:val="330" w:id="-628904693"/>
                <w14:textFill>
                  <w14:solidFill>
                    <w14:srgbClr w14:val="000000">
                      <w14:alpha w14:val="100000"/>
                    </w14:srgbClr>
                  </w14:solidFill>
                </w14:textFill>
              </w:rPr>
              <w:t>|</w:t>
            </w:r>
          </w:p>
        </w:tc>
        <w:tc>
          <w:tcPr>
            <w:tcW w:w="1880" w:type="dxa"/>
            <w:shd w:val="clear" w:color="auto" w:fill="B8CCE4" w:themeFill="accent1" w:themeFillTint="66"/>
            <w:vAlign w:val="center"/>
          </w:tcPr>
          <w:p w14:paraId="7492AEAE" w14:textId="4395BC35" w:rsidR="00534AE3" w:rsidRPr="00E01A2D" w:rsidRDefault="00534AE3">
            <w:pPr>
              <w:pStyle w:val="COMTabletext"/>
              <w:jc w:val="center"/>
            </w:pPr>
            <w:r w:rsidRPr="00E01A2D">
              <w:t>$50,182</w:t>
            </w:r>
          </w:p>
        </w:tc>
        <w:tc>
          <w:tcPr>
            <w:tcW w:w="1881" w:type="dxa"/>
            <w:shd w:val="clear" w:color="auto" w:fill="B8CCE4" w:themeFill="accent1" w:themeFillTint="66"/>
            <w:vAlign w:val="center"/>
          </w:tcPr>
          <w:p w14:paraId="3A442CF1" w14:textId="0218FFC2" w:rsidR="00534AE3" w:rsidRPr="007F66A7" w:rsidRDefault="00534AE3">
            <w:pPr>
              <w:pStyle w:val="COMTabletext"/>
              <w:jc w:val="center"/>
            </w:pPr>
            <w:r w:rsidRPr="007F66A7">
              <w:t>$</w:t>
            </w:r>
            <w:r w:rsidR="00AA4CCB" w:rsidRPr="00613F63">
              <w:rPr>
                <w:color w:val="000000"/>
                <w:spacing w:val="56"/>
                <w:w w:val="95"/>
                <w:shd w:val="solid" w:color="000000" w:fill="000000"/>
                <w:fitText w:val="330" w:id="-628904692"/>
                <w14:textFill>
                  <w14:solidFill>
                    <w14:srgbClr w14:val="000000">
                      <w14:alpha w14:val="100000"/>
                    </w14:srgbClr>
                  </w14:solidFill>
                </w14:textFill>
              </w:rPr>
              <w:t>|||</w:t>
            </w:r>
            <w:r w:rsidR="00AA4CCB" w:rsidRPr="00613F63">
              <w:rPr>
                <w:color w:val="000000"/>
                <w:spacing w:val="1"/>
                <w:w w:val="95"/>
                <w:shd w:val="solid" w:color="000000" w:fill="000000"/>
                <w:fitText w:val="330" w:id="-628904692"/>
                <w14:textFill>
                  <w14:solidFill>
                    <w14:srgbClr w14:val="000000">
                      <w14:alpha w14:val="100000"/>
                    </w14:srgbClr>
                  </w14:solidFill>
                </w14:textFill>
              </w:rPr>
              <w:t>|</w:t>
            </w:r>
          </w:p>
        </w:tc>
      </w:tr>
    </w:tbl>
    <w:p w14:paraId="27392485" w14:textId="77777777" w:rsidR="00534AE3" w:rsidRPr="007F66A7" w:rsidRDefault="00534AE3" w:rsidP="00534AE3">
      <w:pPr>
        <w:pStyle w:val="COMTablefooter"/>
      </w:pPr>
      <w:r w:rsidRPr="007F66A7">
        <w:t>Source: Table 3.8-2, p244 and the brentuximab vedotin economic model of the resubmission; Table 3.8.1, brentuximab vedotin commentary March 2024 PBAC meeting</w:t>
      </w:r>
    </w:p>
    <w:p w14:paraId="563AD782" w14:textId="77777777" w:rsidR="00534AE3" w:rsidRPr="007F66A7" w:rsidRDefault="00534AE3" w:rsidP="00534AE3">
      <w:pPr>
        <w:pStyle w:val="COMTablefooter"/>
      </w:pPr>
      <w:r w:rsidRPr="007F66A7">
        <w:t xml:space="preserve">Abbreviations: A+AVD, brentuximab vedotin plus doxorubicin, vinblastine, dacarbazine; ABVD, doxorubicin, bleomycin, vinblastine, and dacarbazine; ASCT, allogeneic or autologous stem cell transplant; DHAP, dexamethasone, cytarabine, cisplatin; </w:t>
      </w:r>
      <w:proofErr w:type="spellStart"/>
      <w:r w:rsidRPr="007F66A7">
        <w:t>eBEACOPP</w:t>
      </w:r>
      <w:proofErr w:type="spellEnd"/>
      <w:r w:rsidRPr="007F66A7">
        <w:t xml:space="preserve">, escalated bleomycin, etoposide, doxorubicin, cyclophosphamide, vincristine, procarbazine, and prednisolone; GemVino, gemcitabine and vinorelbine; ICE, </w:t>
      </w:r>
      <w:proofErr w:type="spellStart"/>
      <w:r w:rsidRPr="007F66A7">
        <w:t>ifosfamide</w:t>
      </w:r>
      <w:proofErr w:type="spellEnd"/>
      <w:r w:rsidRPr="007F66A7">
        <w:t>, carboplatin, etoposide; PET, positron emission tomography</w:t>
      </w:r>
    </w:p>
    <w:p w14:paraId="2A6A8439" w14:textId="77777777" w:rsidR="00534AE3" w:rsidRPr="007F66A7" w:rsidRDefault="00534AE3" w:rsidP="00534AE3">
      <w:pPr>
        <w:pStyle w:val="COMTablefooter"/>
      </w:pPr>
      <w:r w:rsidRPr="007F66A7">
        <w:rPr>
          <w:vertAlign w:val="superscript"/>
        </w:rPr>
        <w:t>a</w:t>
      </w:r>
      <w:r w:rsidRPr="007F66A7">
        <w:t xml:space="preserve"> Based on drug costs associated with PET-adapted ABVD (2 cycles of ABVD followed by 4 cycles of AVD (91.3% of patients) and 4 cycles of </w:t>
      </w:r>
      <w:proofErr w:type="spellStart"/>
      <w:r w:rsidRPr="007F66A7">
        <w:t>eBEACOPP</w:t>
      </w:r>
      <w:proofErr w:type="spellEnd"/>
      <w:r w:rsidRPr="007F66A7">
        <w:t xml:space="preserve"> (8.7% of patients))</w:t>
      </w:r>
    </w:p>
    <w:p w14:paraId="535F4B0F" w14:textId="77777777" w:rsidR="00534AE3" w:rsidRPr="007F66A7" w:rsidRDefault="00534AE3" w:rsidP="00534AE3">
      <w:pPr>
        <w:pStyle w:val="COMTablefooter"/>
      </w:pPr>
      <w:r w:rsidRPr="007F66A7">
        <w:rPr>
          <w:vertAlign w:val="superscript"/>
        </w:rPr>
        <w:t>b</w:t>
      </w:r>
      <w:r w:rsidRPr="007F66A7">
        <w:t xml:space="preserve"> Based on drug costs associated with ABVD given for 5.7 cycles</w:t>
      </w:r>
    </w:p>
    <w:p w14:paraId="2EAC4C73" w14:textId="579967B6" w:rsidR="007D6DE6" w:rsidRPr="007F66A7" w:rsidRDefault="007D6DE6" w:rsidP="00534AE3">
      <w:pPr>
        <w:pStyle w:val="COMTablefooter"/>
      </w:pPr>
      <w:r w:rsidRPr="007F66A7">
        <w:t>Note: Blue shading delineates data presented in the March 2024 submission</w:t>
      </w:r>
    </w:p>
    <w:p w14:paraId="76D74835" w14:textId="28C5ED74" w:rsidR="00534AE3" w:rsidRPr="007F66A7" w:rsidRDefault="00534AE3" w:rsidP="00A203DD">
      <w:pPr>
        <w:pStyle w:val="COMexecsummnumbered"/>
      </w:pPr>
      <w:r w:rsidRPr="007F66A7">
        <w:t xml:space="preserve">The difference in total cost between treatment arms was primarily driven by higher </w:t>
      </w:r>
      <w:r w:rsidR="009B0496" w:rsidRPr="007F66A7">
        <w:t>first-line</w:t>
      </w:r>
      <w:r w:rsidRPr="007F66A7">
        <w:t xml:space="preserve"> drug costs in the A+AVD arm, partially offset by the reduced use of subsequent therapies.</w:t>
      </w:r>
    </w:p>
    <w:p w14:paraId="7F5B2F5E" w14:textId="17BCD2B7" w:rsidR="00534AE3" w:rsidRPr="007F66A7" w:rsidRDefault="00534AE3" w:rsidP="002D4C45">
      <w:pPr>
        <w:pStyle w:val="COMexecsummnumbered"/>
      </w:pPr>
      <w:r w:rsidRPr="007F66A7">
        <w:t>The PBAC previously considered that the impact of subsequent treatments in the relapsed</w:t>
      </w:r>
      <w:r w:rsidR="00AF77CD">
        <w:t xml:space="preserve"> or </w:t>
      </w:r>
      <w:r w:rsidRPr="007F66A7">
        <w:t>refractory setting was a key driver of the economic model with a high level of impact in favour of A+AVD. Furthermore, the PBAC considered that there were additional uncertainties associated with the implementation of subsequent treatment costs that could not be quantified (para 7.11. brentuximab vedotin PSD, March 2024 PBAC meeting).</w:t>
      </w:r>
    </w:p>
    <w:p w14:paraId="16B26030" w14:textId="596C0BFC" w:rsidR="00596A8D" w:rsidRPr="007F66A7" w:rsidRDefault="00534AE3" w:rsidP="00534AE3">
      <w:pPr>
        <w:pStyle w:val="COMexecsummnumbered"/>
      </w:pPr>
      <w:r w:rsidRPr="007F66A7">
        <w:lastRenderedPageBreak/>
        <w:t xml:space="preserve">The estimated cost of subsequent treatments in the March 2024 submission was highly uncertain due to multiple issues associated with the implementation of these costs including the use of a weighted cost that effectively distributed the full cost of all treatments in a single model cycle irrespective of time on treatment or treatment modality. </w:t>
      </w:r>
      <w:r w:rsidR="0093406E" w:rsidRPr="007F66A7">
        <w:t>Additionally, t</w:t>
      </w:r>
      <w:r w:rsidRPr="007F66A7">
        <w:t>he cost was likely overestimated given the relatively high cost of pembrolizumab based on the maximum length of treatment (35</w:t>
      </w:r>
      <w:r w:rsidR="00066D70" w:rsidRPr="007F66A7">
        <w:t xml:space="preserve"> × </w:t>
      </w:r>
      <w:r w:rsidRPr="007F66A7">
        <w:t xml:space="preserve">21-day cycles). </w:t>
      </w:r>
    </w:p>
    <w:p w14:paraId="15F2B379" w14:textId="6DBB7E78" w:rsidR="00534AE3" w:rsidRPr="007F66A7" w:rsidRDefault="006C57C5" w:rsidP="00534AE3">
      <w:pPr>
        <w:pStyle w:val="COMexecsummnumbered"/>
      </w:pPr>
      <w:r w:rsidRPr="007F66A7">
        <w:t>The evaluation considered that c</w:t>
      </w:r>
      <w:r w:rsidR="00534AE3" w:rsidRPr="007F66A7">
        <w:t>osts associated with subsequent treatments in the resubmission were more appropriately applied in each model cycle, to patients who were alive and had not failed therapy.</w:t>
      </w:r>
    </w:p>
    <w:p w14:paraId="526BF1DA" w14:textId="43F65359" w:rsidR="00534AE3" w:rsidRPr="007F66A7" w:rsidRDefault="00534AE3" w:rsidP="00534AE3">
      <w:pPr>
        <w:pStyle w:val="COMexecsummnumbered"/>
      </w:pPr>
      <w:r w:rsidRPr="007F66A7">
        <w:t xml:space="preserve">Incremental costs were higher in the resubmission compared to the previous submission, </w:t>
      </w:r>
      <w:r w:rsidR="006C57C5" w:rsidRPr="007F66A7">
        <w:t xml:space="preserve">which the evaluation noted was </w:t>
      </w:r>
      <w:r w:rsidRPr="007F66A7">
        <w:t>primarily driven by smaller cost offsets associated with the reduced use of subsequent therapies. The</w:t>
      </w:r>
      <w:r w:rsidR="006C57C5" w:rsidRPr="007F66A7">
        <w:t xml:space="preserve"> evaluation considered that the</w:t>
      </w:r>
      <w:r w:rsidRPr="007F66A7">
        <w:t xml:space="preserve"> difference in incremental costs appears to be due to an increase in the cost of immunotherapies (pembrolizumab) in the A+AVD arm while costs in the ABVD arm appeared similar.</w:t>
      </w:r>
    </w:p>
    <w:p w14:paraId="52366A4F" w14:textId="78A24E55" w:rsidR="00534AE3" w:rsidRPr="007F66A7" w:rsidRDefault="00FD34D9" w:rsidP="00534AE3">
      <w:pPr>
        <w:pStyle w:val="COMexecsummnumbered"/>
      </w:pPr>
      <w:r w:rsidRPr="007F66A7">
        <w:fldChar w:fldCharType="begin"/>
      </w:r>
      <w:r w:rsidRPr="007F66A7">
        <w:instrText xml:space="preserve"> REF _Ref197700769 \h </w:instrText>
      </w:r>
      <w:r w:rsidRPr="007F66A7">
        <w:fldChar w:fldCharType="separate"/>
      </w:r>
      <w:r w:rsidR="00293B06" w:rsidRPr="007F66A7">
        <w:t xml:space="preserve">Table </w:t>
      </w:r>
      <w:r w:rsidR="00293B06">
        <w:rPr>
          <w:noProof/>
        </w:rPr>
        <w:t>11</w:t>
      </w:r>
      <w:r w:rsidRPr="007F66A7">
        <w:fldChar w:fldCharType="end"/>
      </w:r>
      <w:r w:rsidRPr="007F66A7">
        <w:t xml:space="preserve"> </w:t>
      </w:r>
      <w:r w:rsidR="0068349B" w:rsidRPr="007F66A7">
        <w:t>summarises the incremental difference in health outcomes estimated in the economic evaluation. The health outcomes categories have been simplified for ease of comparison with estimates from the previous submission.</w:t>
      </w:r>
    </w:p>
    <w:p w14:paraId="34BBA7A7" w14:textId="64AB1087" w:rsidR="0068349B" w:rsidRPr="007F66A7" w:rsidRDefault="00FD34D9" w:rsidP="0068349B">
      <w:pPr>
        <w:pStyle w:val="COMtablefigcaption"/>
        <w:rPr>
          <w:b w:val="0"/>
        </w:rPr>
      </w:pPr>
      <w:bookmarkStart w:id="43" w:name="_Ref197700769"/>
      <w:r w:rsidRPr="007F66A7">
        <w:t xml:space="preserve">Table </w:t>
      </w:r>
      <w:r w:rsidR="006A25C4">
        <w:fldChar w:fldCharType="begin"/>
      </w:r>
      <w:r w:rsidR="006A25C4">
        <w:instrText xml:space="preserve"> SEQ Table \* ARABIC </w:instrText>
      </w:r>
      <w:r w:rsidR="006A25C4">
        <w:fldChar w:fldCharType="separate"/>
      </w:r>
      <w:r w:rsidR="00293B06">
        <w:rPr>
          <w:noProof/>
        </w:rPr>
        <w:t>11</w:t>
      </w:r>
      <w:r w:rsidR="006A25C4">
        <w:fldChar w:fldCharType="end"/>
      </w:r>
      <w:bookmarkEnd w:id="43"/>
      <w:r w:rsidRPr="007F66A7">
        <w:t>: Disaggregated summary of health outcomes included in the economic evaluation</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Disaggregated summary of health outcomes included in the economic evaluation"/>
      </w:tblPr>
      <w:tblGrid>
        <w:gridCol w:w="3383"/>
        <w:gridCol w:w="1880"/>
        <w:gridCol w:w="1880"/>
        <w:gridCol w:w="1881"/>
      </w:tblGrid>
      <w:tr w:rsidR="0068349B" w:rsidRPr="007F66A7" w14:paraId="3D51DA55" w14:textId="77777777">
        <w:trPr>
          <w:tblHeader/>
        </w:trPr>
        <w:tc>
          <w:tcPr>
            <w:tcW w:w="3383" w:type="dxa"/>
            <w:vAlign w:val="center"/>
          </w:tcPr>
          <w:p w14:paraId="1E1B7A5A" w14:textId="77777777" w:rsidR="0068349B" w:rsidRPr="007F66A7" w:rsidRDefault="0068349B">
            <w:pPr>
              <w:pStyle w:val="COMTableheadingrow"/>
              <w:rPr>
                <w:lang w:val="en-AU"/>
              </w:rPr>
            </w:pPr>
            <w:r w:rsidRPr="007F66A7">
              <w:rPr>
                <w:lang w:val="en-AU"/>
              </w:rPr>
              <w:t>Outcome</w:t>
            </w:r>
          </w:p>
        </w:tc>
        <w:tc>
          <w:tcPr>
            <w:tcW w:w="1880" w:type="dxa"/>
            <w:vAlign w:val="center"/>
          </w:tcPr>
          <w:p w14:paraId="1F318984" w14:textId="77777777" w:rsidR="0068349B" w:rsidRPr="007F66A7" w:rsidRDefault="0068349B">
            <w:pPr>
              <w:pStyle w:val="COMTableheadingrow"/>
              <w:jc w:val="center"/>
              <w:rPr>
                <w:lang w:val="en-AU"/>
              </w:rPr>
            </w:pPr>
            <w:r w:rsidRPr="007F66A7">
              <w:rPr>
                <w:lang w:val="en-AU"/>
              </w:rPr>
              <w:t>A+AVD</w:t>
            </w:r>
          </w:p>
        </w:tc>
        <w:tc>
          <w:tcPr>
            <w:tcW w:w="1880" w:type="dxa"/>
            <w:vAlign w:val="center"/>
          </w:tcPr>
          <w:p w14:paraId="4A7556FB" w14:textId="77777777" w:rsidR="0068349B" w:rsidRPr="007F66A7" w:rsidRDefault="0068349B">
            <w:pPr>
              <w:pStyle w:val="COMTableheadingrow"/>
              <w:jc w:val="center"/>
              <w:rPr>
                <w:lang w:val="en-AU"/>
              </w:rPr>
            </w:pPr>
            <w:r w:rsidRPr="007F66A7">
              <w:rPr>
                <w:lang w:val="en-AU"/>
              </w:rPr>
              <w:t>ABVD</w:t>
            </w:r>
          </w:p>
        </w:tc>
        <w:tc>
          <w:tcPr>
            <w:tcW w:w="1881" w:type="dxa"/>
            <w:vAlign w:val="center"/>
          </w:tcPr>
          <w:p w14:paraId="1296C6B5" w14:textId="77777777" w:rsidR="0068349B" w:rsidRPr="007F66A7" w:rsidRDefault="0068349B">
            <w:pPr>
              <w:pStyle w:val="COMTableheadingrow"/>
              <w:jc w:val="center"/>
              <w:rPr>
                <w:lang w:val="en-AU"/>
              </w:rPr>
            </w:pPr>
            <w:r w:rsidRPr="007F66A7">
              <w:rPr>
                <w:lang w:val="en-AU"/>
              </w:rPr>
              <w:t>Incremental outcome</w:t>
            </w:r>
          </w:p>
        </w:tc>
      </w:tr>
      <w:tr w:rsidR="0068349B" w:rsidRPr="007F66A7" w14:paraId="76D76491" w14:textId="77777777">
        <w:tc>
          <w:tcPr>
            <w:tcW w:w="9024" w:type="dxa"/>
            <w:gridSpan w:val="4"/>
            <w:vAlign w:val="center"/>
          </w:tcPr>
          <w:p w14:paraId="0831BAC9" w14:textId="77777777" w:rsidR="0068349B" w:rsidRPr="007F66A7" w:rsidRDefault="0068349B">
            <w:pPr>
              <w:pStyle w:val="COMTableheadingrow"/>
              <w:rPr>
                <w:lang w:val="en-AU"/>
              </w:rPr>
            </w:pPr>
            <w:r w:rsidRPr="007F66A7">
              <w:rPr>
                <w:lang w:val="en-AU"/>
              </w:rPr>
              <w:t>Current resubmission</w:t>
            </w:r>
          </w:p>
        </w:tc>
      </w:tr>
      <w:tr w:rsidR="0068349B" w:rsidRPr="007F66A7" w14:paraId="6995D5B0" w14:textId="77777777">
        <w:tc>
          <w:tcPr>
            <w:tcW w:w="3383" w:type="dxa"/>
            <w:vAlign w:val="center"/>
          </w:tcPr>
          <w:p w14:paraId="403A0DAE" w14:textId="64D1FB13" w:rsidR="0068349B" w:rsidRPr="007F66A7" w:rsidRDefault="009B0496">
            <w:pPr>
              <w:pStyle w:val="COMTabletext"/>
            </w:pPr>
            <w:r w:rsidRPr="007F66A7">
              <w:t>First-line</w:t>
            </w:r>
            <w:r w:rsidR="0068349B" w:rsidRPr="007F66A7">
              <w:t xml:space="preserve"> treatment, progression-free life years (undiscounted)</w:t>
            </w:r>
          </w:p>
        </w:tc>
        <w:tc>
          <w:tcPr>
            <w:tcW w:w="1880" w:type="dxa"/>
            <w:vAlign w:val="center"/>
          </w:tcPr>
          <w:p w14:paraId="0E2BA18F" w14:textId="77777777" w:rsidR="0068349B" w:rsidRPr="007F66A7" w:rsidRDefault="0068349B">
            <w:pPr>
              <w:pStyle w:val="COMTabletext"/>
              <w:jc w:val="center"/>
            </w:pPr>
            <w:r w:rsidRPr="007F66A7">
              <w:t>30.114</w:t>
            </w:r>
          </w:p>
        </w:tc>
        <w:tc>
          <w:tcPr>
            <w:tcW w:w="1880" w:type="dxa"/>
            <w:vAlign w:val="center"/>
          </w:tcPr>
          <w:p w14:paraId="3AE19A28" w14:textId="77777777" w:rsidR="0068349B" w:rsidRPr="007F66A7" w:rsidRDefault="0068349B">
            <w:pPr>
              <w:pStyle w:val="COMTabletext"/>
              <w:jc w:val="center"/>
            </w:pPr>
            <w:r w:rsidRPr="007F66A7">
              <w:t>27.260</w:t>
            </w:r>
          </w:p>
        </w:tc>
        <w:tc>
          <w:tcPr>
            <w:tcW w:w="1881" w:type="dxa"/>
            <w:vAlign w:val="center"/>
          </w:tcPr>
          <w:p w14:paraId="7BE3B4A3" w14:textId="77777777" w:rsidR="0068349B" w:rsidRPr="007F66A7" w:rsidRDefault="0068349B">
            <w:pPr>
              <w:pStyle w:val="COMTabletext"/>
              <w:jc w:val="center"/>
            </w:pPr>
            <w:r w:rsidRPr="007F66A7">
              <w:t>2.854</w:t>
            </w:r>
          </w:p>
        </w:tc>
      </w:tr>
      <w:tr w:rsidR="0068349B" w:rsidRPr="007F66A7" w14:paraId="43584EBB" w14:textId="77777777">
        <w:tc>
          <w:tcPr>
            <w:tcW w:w="3383" w:type="dxa"/>
            <w:tcBorders>
              <w:bottom w:val="single" w:sz="4" w:space="0" w:color="auto"/>
            </w:tcBorders>
            <w:vAlign w:val="center"/>
          </w:tcPr>
          <w:p w14:paraId="3433A02C" w14:textId="77777777" w:rsidR="0068349B" w:rsidRPr="007F66A7" w:rsidRDefault="0068349B">
            <w:pPr>
              <w:pStyle w:val="COMTabletext"/>
            </w:pPr>
            <w:r w:rsidRPr="007F66A7">
              <w:t>Subsequent treatments, post-progression life years (undiscounted)</w:t>
            </w:r>
          </w:p>
        </w:tc>
        <w:tc>
          <w:tcPr>
            <w:tcW w:w="1880" w:type="dxa"/>
            <w:tcBorders>
              <w:bottom w:val="single" w:sz="4" w:space="0" w:color="auto"/>
            </w:tcBorders>
            <w:vAlign w:val="center"/>
          </w:tcPr>
          <w:p w14:paraId="3B948CA7" w14:textId="77777777" w:rsidR="0068349B" w:rsidRPr="007F66A7" w:rsidRDefault="0068349B">
            <w:pPr>
              <w:pStyle w:val="COMTabletext"/>
              <w:jc w:val="center"/>
            </w:pPr>
            <w:r w:rsidRPr="007F66A7">
              <w:t>3.318</w:t>
            </w:r>
          </w:p>
        </w:tc>
        <w:tc>
          <w:tcPr>
            <w:tcW w:w="1880" w:type="dxa"/>
            <w:tcBorders>
              <w:bottom w:val="single" w:sz="4" w:space="0" w:color="auto"/>
            </w:tcBorders>
            <w:vAlign w:val="center"/>
          </w:tcPr>
          <w:p w14:paraId="4CE4C63F" w14:textId="77777777" w:rsidR="0068349B" w:rsidRPr="007F66A7" w:rsidRDefault="0068349B">
            <w:pPr>
              <w:pStyle w:val="COMTabletext"/>
              <w:jc w:val="center"/>
            </w:pPr>
            <w:r w:rsidRPr="007F66A7">
              <w:t>4.549</w:t>
            </w:r>
          </w:p>
        </w:tc>
        <w:tc>
          <w:tcPr>
            <w:tcW w:w="1881" w:type="dxa"/>
            <w:tcBorders>
              <w:bottom w:val="single" w:sz="4" w:space="0" w:color="auto"/>
            </w:tcBorders>
            <w:vAlign w:val="center"/>
          </w:tcPr>
          <w:p w14:paraId="7F964815" w14:textId="77777777" w:rsidR="0068349B" w:rsidRPr="007F66A7" w:rsidRDefault="0068349B">
            <w:pPr>
              <w:pStyle w:val="COMTabletext"/>
              <w:jc w:val="center"/>
            </w:pPr>
            <w:r w:rsidRPr="007F66A7">
              <w:t>-1.231</w:t>
            </w:r>
          </w:p>
        </w:tc>
      </w:tr>
      <w:tr w:rsidR="0068349B" w:rsidRPr="007F66A7" w14:paraId="76766970" w14:textId="77777777">
        <w:tc>
          <w:tcPr>
            <w:tcW w:w="3383" w:type="dxa"/>
            <w:tcBorders>
              <w:bottom w:val="single" w:sz="8" w:space="0" w:color="auto"/>
            </w:tcBorders>
            <w:vAlign w:val="center"/>
          </w:tcPr>
          <w:p w14:paraId="2DD13493" w14:textId="77777777" w:rsidR="0068349B" w:rsidRPr="007F66A7" w:rsidRDefault="0068349B">
            <w:pPr>
              <w:pStyle w:val="COMTabletext"/>
            </w:pPr>
            <w:r w:rsidRPr="007F66A7">
              <w:t>Total life years (undiscounted)</w:t>
            </w:r>
          </w:p>
        </w:tc>
        <w:tc>
          <w:tcPr>
            <w:tcW w:w="1880" w:type="dxa"/>
            <w:tcBorders>
              <w:bottom w:val="single" w:sz="8" w:space="0" w:color="auto"/>
            </w:tcBorders>
            <w:vAlign w:val="center"/>
          </w:tcPr>
          <w:p w14:paraId="4DDAC0AC" w14:textId="77777777" w:rsidR="0068349B" w:rsidRPr="007F66A7" w:rsidRDefault="0068349B">
            <w:pPr>
              <w:pStyle w:val="COMTabletext"/>
              <w:jc w:val="center"/>
            </w:pPr>
            <w:r w:rsidRPr="007F66A7">
              <w:t>33.433</w:t>
            </w:r>
          </w:p>
        </w:tc>
        <w:tc>
          <w:tcPr>
            <w:tcW w:w="1880" w:type="dxa"/>
            <w:tcBorders>
              <w:bottom w:val="single" w:sz="8" w:space="0" w:color="auto"/>
            </w:tcBorders>
            <w:vAlign w:val="center"/>
          </w:tcPr>
          <w:p w14:paraId="5C1E5515" w14:textId="77777777" w:rsidR="0068349B" w:rsidRPr="007F66A7" w:rsidRDefault="0068349B">
            <w:pPr>
              <w:pStyle w:val="COMTabletext"/>
              <w:jc w:val="center"/>
            </w:pPr>
            <w:r w:rsidRPr="007F66A7">
              <w:t>31.809</w:t>
            </w:r>
          </w:p>
        </w:tc>
        <w:tc>
          <w:tcPr>
            <w:tcW w:w="1881" w:type="dxa"/>
            <w:tcBorders>
              <w:bottom w:val="single" w:sz="8" w:space="0" w:color="auto"/>
            </w:tcBorders>
            <w:vAlign w:val="center"/>
          </w:tcPr>
          <w:p w14:paraId="12B2F53A" w14:textId="77777777" w:rsidR="0068349B" w:rsidRPr="007F66A7" w:rsidRDefault="0068349B">
            <w:pPr>
              <w:pStyle w:val="COMTabletext"/>
              <w:jc w:val="center"/>
            </w:pPr>
            <w:r w:rsidRPr="007F66A7">
              <w:t>1.623</w:t>
            </w:r>
          </w:p>
        </w:tc>
      </w:tr>
      <w:tr w:rsidR="0068349B" w:rsidRPr="007F66A7" w14:paraId="4810FF27" w14:textId="77777777">
        <w:tc>
          <w:tcPr>
            <w:tcW w:w="3383" w:type="dxa"/>
            <w:tcBorders>
              <w:top w:val="single" w:sz="8" w:space="0" w:color="auto"/>
            </w:tcBorders>
            <w:vAlign w:val="center"/>
          </w:tcPr>
          <w:p w14:paraId="37B7F6CF" w14:textId="3ABD8D71" w:rsidR="0068349B" w:rsidRPr="007F66A7" w:rsidRDefault="009B0496">
            <w:pPr>
              <w:pStyle w:val="COMTabletext"/>
            </w:pPr>
            <w:r w:rsidRPr="007F66A7">
              <w:t>First-line</w:t>
            </w:r>
            <w:r w:rsidR="0068349B" w:rsidRPr="007F66A7">
              <w:t xml:space="preserve"> treatment, progression-free QALYs (undiscounted)</w:t>
            </w:r>
          </w:p>
        </w:tc>
        <w:tc>
          <w:tcPr>
            <w:tcW w:w="1880" w:type="dxa"/>
            <w:tcBorders>
              <w:top w:val="single" w:sz="8" w:space="0" w:color="auto"/>
            </w:tcBorders>
            <w:vAlign w:val="center"/>
          </w:tcPr>
          <w:p w14:paraId="27842643" w14:textId="77777777" w:rsidR="0068349B" w:rsidRPr="007F66A7" w:rsidRDefault="0068349B">
            <w:pPr>
              <w:pStyle w:val="COMTabletext"/>
              <w:jc w:val="center"/>
            </w:pPr>
            <w:r w:rsidRPr="007F66A7">
              <w:t>23.984</w:t>
            </w:r>
          </w:p>
        </w:tc>
        <w:tc>
          <w:tcPr>
            <w:tcW w:w="1880" w:type="dxa"/>
            <w:tcBorders>
              <w:top w:val="single" w:sz="8" w:space="0" w:color="auto"/>
            </w:tcBorders>
            <w:vAlign w:val="center"/>
          </w:tcPr>
          <w:p w14:paraId="13BCA19F" w14:textId="77777777" w:rsidR="0068349B" w:rsidRPr="007F66A7" w:rsidRDefault="0068349B">
            <w:pPr>
              <w:pStyle w:val="COMTabletext"/>
              <w:jc w:val="center"/>
            </w:pPr>
            <w:r w:rsidRPr="007F66A7">
              <w:t>21.735</w:t>
            </w:r>
          </w:p>
        </w:tc>
        <w:tc>
          <w:tcPr>
            <w:tcW w:w="1881" w:type="dxa"/>
            <w:tcBorders>
              <w:top w:val="single" w:sz="8" w:space="0" w:color="auto"/>
            </w:tcBorders>
            <w:vAlign w:val="center"/>
          </w:tcPr>
          <w:p w14:paraId="46911CF7" w14:textId="77777777" w:rsidR="0068349B" w:rsidRPr="007F66A7" w:rsidRDefault="0068349B">
            <w:pPr>
              <w:pStyle w:val="COMTabletext"/>
              <w:jc w:val="center"/>
            </w:pPr>
            <w:r w:rsidRPr="007F66A7">
              <w:t>2.249</w:t>
            </w:r>
          </w:p>
        </w:tc>
      </w:tr>
      <w:tr w:rsidR="0068349B" w:rsidRPr="007F66A7" w14:paraId="5BDEB52C" w14:textId="77777777">
        <w:tc>
          <w:tcPr>
            <w:tcW w:w="3383" w:type="dxa"/>
            <w:vAlign w:val="center"/>
          </w:tcPr>
          <w:p w14:paraId="4F1969B0" w14:textId="77777777" w:rsidR="0068349B" w:rsidRPr="007F66A7" w:rsidRDefault="0068349B">
            <w:pPr>
              <w:pStyle w:val="COMTabletext"/>
            </w:pPr>
            <w:r w:rsidRPr="007F66A7">
              <w:t>Subsequent treatments, post-progression QALYs (undiscounted)</w:t>
            </w:r>
          </w:p>
        </w:tc>
        <w:tc>
          <w:tcPr>
            <w:tcW w:w="1880" w:type="dxa"/>
            <w:vAlign w:val="center"/>
          </w:tcPr>
          <w:p w14:paraId="1CF85BB5" w14:textId="77777777" w:rsidR="0068349B" w:rsidRPr="007F66A7" w:rsidRDefault="0068349B">
            <w:pPr>
              <w:pStyle w:val="COMTabletext"/>
              <w:jc w:val="center"/>
            </w:pPr>
            <w:r w:rsidRPr="007F66A7">
              <w:t>2.286</w:t>
            </w:r>
          </w:p>
        </w:tc>
        <w:tc>
          <w:tcPr>
            <w:tcW w:w="1880" w:type="dxa"/>
            <w:vAlign w:val="center"/>
          </w:tcPr>
          <w:p w14:paraId="7EE2EF43" w14:textId="77777777" w:rsidR="0068349B" w:rsidRPr="007F66A7" w:rsidRDefault="0068349B">
            <w:pPr>
              <w:pStyle w:val="COMTabletext"/>
              <w:jc w:val="center"/>
            </w:pPr>
            <w:r w:rsidRPr="007F66A7">
              <w:t>3.200</w:t>
            </w:r>
          </w:p>
        </w:tc>
        <w:tc>
          <w:tcPr>
            <w:tcW w:w="1881" w:type="dxa"/>
            <w:vAlign w:val="center"/>
          </w:tcPr>
          <w:p w14:paraId="6301EC9A" w14:textId="77777777" w:rsidR="0068349B" w:rsidRPr="007F66A7" w:rsidRDefault="0068349B">
            <w:pPr>
              <w:pStyle w:val="COMTabletext"/>
              <w:jc w:val="center"/>
            </w:pPr>
            <w:r w:rsidRPr="007F66A7">
              <w:t>-0.914</w:t>
            </w:r>
          </w:p>
        </w:tc>
      </w:tr>
      <w:tr w:rsidR="0068349B" w:rsidRPr="007F66A7" w14:paraId="5B8479DD" w14:textId="77777777">
        <w:tc>
          <w:tcPr>
            <w:tcW w:w="3383" w:type="dxa"/>
            <w:vAlign w:val="center"/>
          </w:tcPr>
          <w:p w14:paraId="09D9420A" w14:textId="77777777" w:rsidR="0068349B" w:rsidRPr="007F66A7" w:rsidRDefault="0068349B">
            <w:pPr>
              <w:pStyle w:val="COMTabletext"/>
            </w:pPr>
            <w:r w:rsidRPr="007F66A7">
              <w:t>Adverse events QALYs loss (undiscounted)</w:t>
            </w:r>
          </w:p>
        </w:tc>
        <w:tc>
          <w:tcPr>
            <w:tcW w:w="1880" w:type="dxa"/>
            <w:vAlign w:val="center"/>
          </w:tcPr>
          <w:p w14:paraId="6EC72012" w14:textId="77777777" w:rsidR="0068349B" w:rsidRPr="007F66A7" w:rsidRDefault="0068349B">
            <w:pPr>
              <w:pStyle w:val="COMTabletext"/>
              <w:jc w:val="center"/>
            </w:pPr>
            <w:r w:rsidRPr="007F66A7">
              <w:t>-0.003</w:t>
            </w:r>
          </w:p>
        </w:tc>
        <w:tc>
          <w:tcPr>
            <w:tcW w:w="1880" w:type="dxa"/>
            <w:vAlign w:val="center"/>
          </w:tcPr>
          <w:p w14:paraId="68263358" w14:textId="77777777" w:rsidR="0068349B" w:rsidRPr="007F66A7" w:rsidRDefault="0068349B">
            <w:pPr>
              <w:pStyle w:val="COMTabletext"/>
              <w:jc w:val="center"/>
            </w:pPr>
            <w:r w:rsidRPr="007F66A7">
              <w:t>-0.002</w:t>
            </w:r>
          </w:p>
        </w:tc>
        <w:tc>
          <w:tcPr>
            <w:tcW w:w="1881" w:type="dxa"/>
            <w:vAlign w:val="center"/>
          </w:tcPr>
          <w:p w14:paraId="1C8CAAE3" w14:textId="77777777" w:rsidR="0068349B" w:rsidRPr="007F66A7" w:rsidRDefault="0068349B">
            <w:pPr>
              <w:pStyle w:val="COMTabletext"/>
              <w:jc w:val="center"/>
            </w:pPr>
            <w:r w:rsidRPr="007F66A7">
              <w:t>-0.001</w:t>
            </w:r>
          </w:p>
        </w:tc>
      </w:tr>
      <w:tr w:rsidR="0068349B" w:rsidRPr="007F66A7" w14:paraId="2AF59237" w14:textId="77777777">
        <w:tc>
          <w:tcPr>
            <w:tcW w:w="3383" w:type="dxa"/>
            <w:tcBorders>
              <w:bottom w:val="single" w:sz="4" w:space="0" w:color="auto"/>
            </w:tcBorders>
            <w:vAlign w:val="center"/>
          </w:tcPr>
          <w:p w14:paraId="0444045B" w14:textId="77777777" w:rsidR="0068349B" w:rsidRPr="007F66A7" w:rsidRDefault="0068349B">
            <w:pPr>
              <w:pStyle w:val="COMTabletext"/>
            </w:pPr>
            <w:r w:rsidRPr="007F66A7">
              <w:t>Total QALYs (undiscounted)</w:t>
            </w:r>
          </w:p>
        </w:tc>
        <w:tc>
          <w:tcPr>
            <w:tcW w:w="1880" w:type="dxa"/>
            <w:tcBorders>
              <w:bottom w:val="single" w:sz="4" w:space="0" w:color="auto"/>
            </w:tcBorders>
            <w:vAlign w:val="center"/>
          </w:tcPr>
          <w:p w14:paraId="4067CE35" w14:textId="77777777" w:rsidR="0068349B" w:rsidRPr="007F66A7" w:rsidRDefault="0068349B">
            <w:pPr>
              <w:pStyle w:val="COMTabletext"/>
              <w:jc w:val="center"/>
            </w:pPr>
            <w:r w:rsidRPr="007F66A7">
              <w:t>26.267</w:t>
            </w:r>
          </w:p>
        </w:tc>
        <w:tc>
          <w:tcPr>
            <w:tcW w:w="1880" w:type="dxa"/>
            <w:tcBorders>
              <w:bottom w:val="single" w:sz="4" w:space="0" w:color="auto"/>
            </w:tcBorders>
            <w:vAlign w:val="center"/>
          </w:tcPr>
          <w:p w14:paraId="695E951A" w14:textId="77777777" w:rsidR="0068349B" w:rsidRPr="007F66A7" w:rsidRDefault="0068349B">
            <w:pPr>
              <w:pStyle w:val="COMTabletext"/>
              <w:jc w:val="center"/>
            </w:pPr>
            <w:r w:rsidRPr="007F66A7">
              <w:t>24.933</w:t>
            </w:r>
          </w:p>
        </w:tc>
        <w:tc>
          <w:tcPr>
            <w:tcW w:w="1881" w:type="dxa"/>
            <w:tcBorders>
              <w:bottom w:val="single" w:sz="4" w:space="0" w:color="auto"/>
            </w:tcBorders>
            <w:vAlign w:val="center"/>
          </w:tcPr>
          <w:p w14:paraId="6C8AFC15" w14:textId="77777777" w:rsidR="0068349B" w:rsidRPr="007F66A7" w:rsidRDefault="0068349B">
            <w:pPr>
              <w:pStyle w:val="COMTabletext"/>
              <w:jc w:val="center"/>
            </w:pPr>
            <w:r w:rsidRPr="007F66A7">
              <w:t>1.333</w:t>
            </w:r>
          </w:p>
        </w:tc>
      </w:tr>
      <w:tr w:rsidR="0068349B" w:rsidRPr="007F66A7" w14:paraId="333E900C" w14:textId="77777777">
        <w:tc>
          <w:tcPr>
            <w:tcW w:w="3383" w:type="dxa"/>
            <w:tcBorders>
              <w:bottom w:val="single" w:sz="8" w:space="0" w:color="auto"/>
            </w:tcBorders>
            <w:vAlign w:val="center"/>
          </w:tcPr>
          <w:p w14:paraId="29F700B4" w14:textId="77777777" w:rsidR="0068349B" w:rsidRPr="007F66A7" w:rsidRDefault="0068349B">
            <w:pPr>
              <w:pStyle w:val="COMTabletext"/>
            </w:pPr>
            <w:r w:rsidRPr="007F66A7">
              <w:t>Total QALYs (discounted)</w:t>
            </w:r>
          </w:p>
        </w:tc>
        <w:tc>
          <w:tcPr>
            <w:tcW w:w="1880" w:type="dxa"/>
            <w:tcBorders>
              <w:bottom w:val="single" w:sz="8" w:space="0" w:color="auto"/>
            </w:tcBorders>
            <w:vAlign w:val="center"/>
          </w:tcPr>
          <w:p w14:paraId="03E2C020" w14:textId="77777777" w:rsidR="0068349B" w:rsidRPr="007F66A7" w:rsidRDefault="0068349B">
            <w:pPr>
              <w:pStyle w:val="COMTabletext"/>
              <w:jc w:val="center"/>
            </w:pPr>
            <w:r w:rsidRPr="007F66A7">
              <w:t>12.262</w:t>
            </w:r>
          </w:p>
        </w:tc>
        <w:tc>
          <w:tcPr>
            <w:tcW w:w="1880" w:type="dxa"/>
            <w:tcBorders>
              <w:bottom w:val="single" w:sz="8" w:space="0" w:color="auto"/>
            </w:tcBorders>
            <w:vAlign w:val="center"/>
          </w:tcPr>
          <w:p w14:paraId="2CF15116" w14:textId="77777777" w:rsidR="0068349B" w:rsidRPr="007F66A7" w:rsidRDefault="0068349B">
            <w:pPr>
              <w:pStyle w:val="COMTabletext"/>
              <w:jc w:val="center"/>
            </w:pPr>
            <w:r w:rsidRPr="007F66A7">
              <w:t>11.723</w:t>
            </w:r>
          </w:p>
        </w:tc>
        <w:tc>
          <w:tcPr>
            <w:tcW w:w="1881" w:type="dxa"/>
            <w:tcBorders>
              <w:bottom w:val="single" w:sz="8" w:space="0" w:color="auto"/>
            </w:tcBorders>
            <w:vAlign w:val="center"/>
          </w:tcPr>
          <w:p w14:paraId="40C07B14" w14:textId="77777777" w:rsidR="0068349B" w:rsidRPr="007F66A7" w:rsidRDefault="0068349B">
            <w:pPr>
              <w:pStyle w:val="COMTabletext"/>
              <w:jc w:val="center"/>
            </w:pPr>
            <w:r w:rsidRPr="007F66A7">
              <w:t>0.539</w:t>
            </w:r>
          </w:p>
        </w:tc>
      </w:tr>
      <w:tr w:rsidR="0068349B" w:rsidRPr="007F66A7" w14:paraId="78B6317B" w14:textId="77777777">
        <w:tc>
          <w:tcPr>
            <w:tcW w:w="9024" w:type="dxa"/>
            <w:gridSpan w:val="4"/>
            <w:tcBorders>
              <w:top w:val="single" w:sz="8" w:space="0" w:color="auto"/>
            </w:tcBorders>
            <w:shd w:val="clear" w:color="auto" w:fill="B8CCE4" w:themeFill="accent1" w:themeFillTint="66"/>
            <w:vAlign w:val="center"/>
          </w:tcPr>
          <w:p w14:paraId="0228F7C7" w14:textId="77777777" w:rsidR="0068349B" w:rsidRPr="007F66A7" w:rsidRDefault="0068349B">
            <w:pPr>
              <w:pStyle w:val="COMTableheadingrow"/>
              <w:rPr>
                <w:lang w:val="en-AU"/>
              </w:rPr>
            </w:pPr>
            <w:r w:rsidRPr="007F66A7">
              <w:rPr>
                <w:lang w:val="en-AU"/>
              </w:rPr>
              <w:t>March 2024 submission</w:t>
            </w:r>
          </w:p>
        </w:tc>
      </w:tr>
      <w:tr w:rsidR="0068349B" w:rsidRPr="007F66A7" w14:paraId="489A7101" w14:textId="77777777">
        <w:tc>
          <w:tcPr>
            <w:tcW w:w="3383" w:type="dxa"/>
            <w:shd w:val="clear" w:color="auto" w:fill="B8CCE4" w:themeFill="accent1" w:themeFillTint="66"/>
            <w:vAlign w:val="center"/>
          </w:tcPr>
          <w:p w14:paraId="009531A1" w14:textId="77777777" w:rsidR="0068349B" w:rsidRPr="007F66A7" w:rsidRDefault="0068349B">
            <w:pPr>
              <w:pStyle w:val="COMTabletext"/>
            </w:pPr>
            <w:r w:rsidRPr="007F66A7">
              <w:t>Progression-free life years (undiscounted)</w:t>
            </w:r>
          </w:p>
        </w:tc>
        <w:tc>
          <w:tcPr>
            <w:tcW w:w="1880" w:type="dxa"/>
            <w:shd w:val="clear" w:color="auto" w:fill="B8CCE4" w:themeFill="accent1" w:themeFillTint="66"/>
          </w:tcPr>
          <w:p w14:paraId="769D8DEE" w14:textId="77777777" w:rsidR="0068349B" w:rsidRPr="007F66A7" w:rsidRDefault="0068349B">
            <w:pPr>
              <w:pStyle w:val="COMTabletext"/>
              <w:jc w:val="center"/>
            </w:pPr>
            <w:r w:rsidRPr="007F66A7">
              <w:t>24.199</w:t>
            </w:r>
          </w:p>
        </w:tc>
        <w:tc>
          <w:tcPr>
            <w:tcW w:w="1880" w:type="dxa"/>
            <w:shd w:val="clear" w:color="auto" w:fill="B8CCE4" w:themeFill="accent1" w:themeFillTint="66"/>
          </w:tcPr>
          <w:p w14:paraId="155AD641" w14:textId="77777777" w:rsidR="0068349B" w:rsidRPr="007F66A7" w:rsidRDefault="0068349B">
            <w:pPr>
              <w:pStyle w:val="COMTabletext"/>
              <w:jc w:val="center"/>
            </w:pPr>
            <w:r w:rsidRPr="007F66A7">
              <w:t>21.896</w:t>
            </w:r>
          </w:p>
        </w:tc>
        <w:tc>
          <w:tcPr>
            <w:tcW w:w="1881" w:type="dxa"/>
            <w:shd w:val="clear" w:color="auto" w:fill="B8CCE4" w:themeFill="accent1" w:themeFillTint="66"/>
          </w:tcPr>
          <w:p w14:paraId="58DA451E" w14:textId="77777777" w:rsidR="0068349B" w:rsidRPr="007F66A7" w:rsidRDefault="0068349B">
            <w:pPr>
              <w:pStyle w:val="COMTabletext"/>
              <w:jc w:val="center"/>
            </w:pPr>
            <w:r w:rsidRPr="007F66A7">
              <w:t>2.303</w:t>
            </w:r>
          </w:p>
        </w:tc>
      </w:tr>
      <w:tr w:rsidR="0068349B" w:rsidRPr="007F66A7" w14:paraId="442BFEE7" w14:textId="77777777">
        <w:tc>
          <w:tcPr>
            <w:tcW w:w="3383" w:type="dxa"/>
            <w:tcBorders>
              <w:bottom w:val="single" w:sz="4" w:space="0" w:color="auto"/>
            </w:tcBorders>
            <w:shd w:val="clear" w:color="auto" w:fill="B8CCE4" w:themeFill="accent1" w:themeFillTint="66"/>
            <w:vAlign w:val="center"/>
          </w:tcPr>
          <w:p w14:paraId="67EE1CC9" w14:textId="77777777" w:rsidR="0068349B" w:rsidRPr="007F66A7" w:rsidRDefault="0068349B">
            <w:pPr>
              <w:pStyle w:val="COMTabletext"/>
            </w:pPr>
            <w:r w:rsidRPr="007F66A7">
              <w:t>Post-progression life years (undiscounted)</w:t>
            </w:r>
          </w:p>
        </w:tc>
        <w:tc>
          <w:tcPr>
            <w:tcW w:w="1880" w:type="dxa"/>
            <w:tcBorders>
              <w:bottom w:val="single" w:sz="4" w:space="0" w:color="auto"/>
            </w:tcBorders>
            <w:shd w:val="clear" w:color="auto" w:fill="B8CCE4" w:themeFill="accent1" w:themeFillTint="66"/>
          </w:tcPr>
          <w:p w14:paraId="34D33AAA" w14:textId="77777777" w:rsidR="0068349B" w:rsidRPr="007F66A7" w:rsidRDefault="0068349B">
            <w:pPr>
              <w:pStyle w:val="COMTabletext"/>
              <w:jc w:val="center"/>
            </w:pPr>
            <w:r w:rsidRPr="007F66A7">
              <w:t>4.599</w:t>
            </w:r>
          </w:p>
        </w:tc>
        <w:tc>
          <w:tcPr>
            <w:tcW w:w="1880" w:type="dxa"/>
            <w:tcBorders>
              <w:bottom w:val="single" w:sz="4" w:space="0" w:color="auto"/>
            </w:tcBorders>
            <w:shd w:val="clear" w:color="auto" w:fill="B8CCE4" w:themeFill="accent1" w:themeFillTint="66"/>
          </w:tcPr>
          <w:p w14:paraId="267E57F6" w14:textId="77777777" w:rsidR="0068349B" w:rsidRPr="007F66A7" w:rsidRDefault="0068349B">
            <w:pPr>
              <w:pStyle w:val="COMTabletext"/>
              <w:jc w:val="center"/>
            </w:pPr>
            <w:r w:rsidRPr="007F66A7">
              <w:t>5.424</w:t>
            </w:r>
          </w:p>
        </w:tc>
        <w:tc>
          <w:tcPr>
            <w:tcW w:w="1881" w:type="dxa"/>
            <w:tcBorders>
              <w:bottom w:val="single" w:sz="4" w:space="0" w:color="auto"/>
            </w:tcBorders>
            <w:shd w:val="clear" w:color="auto" w:fill="B8CCE4" w:themeFill="accent1" w:themeFillTint="66"/>
          </w:tcPr>
          <w:p w14:paraId="580147CA" w14:textId="77777777" w:rsidR="0068349B" w:rsidRPr="007F66A7" w:rsidRDefault="0068349B">
            <w:pPr>
              <w:pStyle w:val="COMTabletext"/>
              <w:jc w:val="center"/>
            </w:pPr>
            <w:r w:rsidRPr="007F66A7">
              <w:t>-0.826</w:t>
            </w:r>
          </w:p>
        </w:tc>
      </w:tr>
      <w:tr w:rsidR="0068349B" w:rsidRPr="007F66A7" w14:paraId="7403C9F3" w14:textId="77777777">
        <w:tc>
          <w:tcPr>
            <w:tcW w:w="3383" w:type="dxa"/>
            <w:tcBorders>
              <w:bottom w:val="single" w:sz="8" w:space="0" w:color="auto"/>
            </w:tcBorders>
            <w:shd w:val="clear" w:color="auto" w:fill="B8CCE4" w:themeFill="accent1" w:themeFillTint="66"/>
            <w:vAlign w:val="center"/>
          </w:tcPr>
          <w:p w14:paraId="66DEBAAF" w14:textId="77777777" w:rsidR="0068349B" w:rsidRPr="007F66A7" w:rsidRDefault="0068349B">
            <w:pPr>
              <w:pStyle w:val="COMTabletext"/>
            </w:pPr>
            <w:r w:rsidRPr="007F66A7">
              <w:t>Total life years (undiscounted)</w:t>
            </w:r>
          </w:p>
        </w:tc>
        <w:tc>
          <w:tcPr>
            <w:tcW w:w="1880" w:type="dxa"/>
            <w:tcBorders>
              <w:bottom w:val="single" w:sz="8" w:space="0" w:color="auto"/>
            </w:tcBorders>
            <w:shd w:val="clear" w:color="auto" w:fill="B8CCE4" w:themeFill="accent1" w:themeFillTint="66"/>
          </w:tcPr>
          <w:p w14:paraId="09ACB274" w14:textId="77777777" w:rsidR="0068349B" w:rsidRPr="007F66A7" w:rsidRDefault="0068349B">
            <w:pPr>
              <w:pStyle w:val="COMTabletext"/>
              <w:jc w:val="center"/>
            </w:pPr>
            <w:r w:rsidRPr="007F66A7">
              <w:t>28.798</w:t>
            </w:r>
          </w:p>
        </w:tc>
        <w:tc>
          <w:tcPr>
            <w:tcW w:w="1880" w:type="dxa"/>
            <w:tcBorders>
              <w:bottom w:val="single" w:sz="8" w:space="0" w:color="auto"/>
            </w:tcBorders>
            <w:shd w:val="clear" w:color="auto" w:fill="B8CCE4" w:themeFill="accent1" w:themeFillTint="66"/>
          </w:tcPr>
          <w:p w14:paraId="4146CEAD" w14:textId="77777777" w:rsidR="0068349B" w:rsidRPr="007F66A7" w:rsidRDefault="0068349B">
            <w:pPr>
              <w:pStyle w:val="COMTabletext"/>
              <w:jc w:val="center"/>
            </w:pPr>
            <w:r w:rsidRPr="007F66A7">
              <w:t>27.320</w:t>
            </w:r>
          </w:p>
        </w:tc>
        <w:tc>
          <w:tcPr>
            <w:tcW w:w="1881" w:type="dxa"/>
            <w:tcBorders>
              <w:bottom w:val="single" w:sz="8" w:space="0" w:color="auto"/>
            </w:tcBorders>
            <w:shd w:val="clear" w:color="auto" w:fill="B8CCE4" w:themeFill="accent1" w:themeFillTint="66"/>
          </w:tcPr>
          <w:p w14:paraId="5473A813" w14:textId="77777777" w:rsidR="0068349B" w:rsidRPr="007F66A7" w:rsidRDefault="0068349B">
            <w:pPr>
              <w:pStyle w:val="COMTabletext"/>
              <w:jc w:val="center"/>
            </w:pPr>
            <w:r w:rsidRPr="007F66A7">
              <w:t>1.478</w:t>
            </w:r>
          </w:p>
        </w:tc>
      </w:tr>
      <w:tr w:rsidR="0068349B" w:rsidRPr="007F66A7" w14:paraId="197ABD31" w14:textId="77777777">
        <w:tc>
          <w:tcPr>
            <w:tcW w:w="3383" w:type="dxa"/>
            <w:tcBorders>
              <w:top w:val="single" w:sz="8" w:space="0" w:color="auto"/>
            </w:tcBorders>
            <w:shd w:val="clear" w:color="auto" w:fill="B8CCE4" w:themeFill="accent1" w:themeFillTint="66"/>
            <w:vAlign w:val="center"/>
          </w:tcPr>
          <w:p w14:paraId="50676271" w14:textId="77777777" w:rsidR="0068349B" w:rsidRPr="007F66A7" w:rsidRDefault="0068349B">
            <w:pPr>
              <w:pStyle w:val="COMTabletext"/>
            </w:pPr>
            <w:r w:rsidRPr="007F66A7">
              <w:t>Progression-free QALYs (undiscounted)</w:t>
            </w:r>
          </w:p>
        </w:tc>
        <w:tc>
          <w:tcPr>
            <w:tcW w:w="1880" w:type="dxa"/>
            <w:tcBorders>
              <w:top w:val="single" w:sz="8" w:space="0" w:color="auto"/>
            </w:tcBorders>
            <w:shd w:val="clear" w:color="auto" w:fill="B8CCE4" w:themeFill="accent1" w:themeFillTint="66"/>
          </w:tcPr>
          <w:p w14:paraId="293869EF" w14:textId="77777777" w:rsidR="0068349B" w:rsidRPr="007F66A7" w:rsidRDefault="0068349B">
            <w:pPr>
              <w:pStyle w:val="COMTabletext"/>
              <w:jc w:val="center"/>
            </w:pPr>
            <w:r w:rsidRPr="007F66A7">
              <w:t>20.149</w:t>
            </w:r>
          </w:p>
        </w:tc>
        <w:tc>
          <w:tcPr>
            <w:tcW w:w="1880" w:type="dxa"/>
            <w:tcBorders>
              <w:top w:val="single" w:sz="8" w:space="0" w:color="auto"/>
            </w:tcBorders>
            <w:shd w:val="clear" w:color="auto" w:fill="B8CCE4" w:themeFill="accent1" w:themeFillTint="66"/>
          </w:tcPr>
          <w:p w14:paraId="7444CA57" w14:textId="77777777" w:rsidR="0068349B" w:rsidRPr="007F66A7" w:rsidRDefault="0068349B">
            <w:pPr>
              <w:pStyle w:val="COMTabletext"/>
              <w:jc w:val="center"/>
            </w:pPr>
            <w:r w:rsidRPr="007F66A7">
              <w:t>18.251</w:t>
            </w:r>
          </w:p>
        </w:tc>
        <w:tc>
          <w:tcPr>
            <w:tcW w:w="1881" w:type="dxa"/>
            <w:tcBorders>
              <w:top w:val="single" w:sz="8" w:space="0" w:color="auto"/>
            </w:tcBorders>
            <w:shd w:val="clear" w:color="auto" w:fill="B8CCE4" w:themeFill="accent1" w:themeFillTint="66"/>
          </w:tcPr>
          <w:p w14:paraId="0E13679D" w14:textId="77777777" w:rsidR="0068349B" w:rsidRPr="007F66A7" w:rsidRDefault="0068349B">
            <w:pPr>
              <w:pStyle w:val="COMTabletext"/>
              <w:jc w:val="center"/>
            </w:pPr>
            <w:r w:rsidRPr="007F66A7">
              <w:t>1.898</w:t>
            </w:r>
          </w:p>
        </w:tc>
      </w:tr>
      <w:tr w:rsidR="0068349B" w:rsidRPr="007F66A7" w14:paraId="25B7F9B8" w14:textId="77777777">
        <w:tc>
          <w:tcPr>
            <w:tcW w:w="3383" w:type="dxa"/>
            <w:shd w:val="clear" w:color="auto" w:fill="B8CCE4" w:themeFill="accent1" w:themeFillTint="66"/>
            <w:vAlign w:val="center"/>
          </w:tcPr>
          <w:p w14:paraId="14B8BB66" w14:textId="77777777" w:rsidR="0068349B" w:rsidRPr="007F66A7" w:rsidRDefault="0068349B">
            <w:pPr>
              <w:pStyle w:val="COMTabletext"/>
            </w:pPr>
            <w:r w:rsidRPr="007F66A7">
              <w:t>Post-progression QALYs (undiscounted)</w:t>
            </w:r>
          </w:p>
        </w:tc>
        <w:tc>
          <w:tcPr>
            <w:tcW w:w="1880" w:type="dxa"/>
            <w:shd w:val="clear" w:color="auto" w:fill="B8CCE4" w:themeFill="accent1" w:themeFillTint="66"/>
          </w:tcPr>
          <w:p w14:paraId="0DF9ED2F" w14:textId="77777777" w:rsidR="0068349B" w:rsidRPr="007F66A7" w:rsidRDefault="0068349B">
            <w:pPr>
              <w:pStyle w:val="COMTabletext"/>
              <w:jc w:val="center"/>
            </w:pPr>
            <w:r w:rsidRPr="007F66A7">
              <w:t>3.694</w:t>
            </w:r>
          </w:p>
        </w:tc>
        <w:tc>
          <w:tcPr>
            <w:tcW w:w="1880" w:type="dxa"/>
            <w:shd w:val="clear" w:color="auto" w:fill="B8CCE4" w:themeFill="accent1" w:themeFillTint="66"/>
          </w:tcPr>
          <w:p w14:paraId="480CCF3C" w14:textId="77777777" w:rsidR="0068349B" w:rsidRPr="007F66A7" w:rsidRDefault="0068349B">
            <w:pPr>
              <w:pStyle w:val="COMTabletext"/>
              <w:jc w:val="center"/>
            </w:pPr>
            <w:r w:rsidRPr="007F66A7">
              <w:t>4.357</w:t>
            </w:r>
          </w:p>
        </w:tc>
        <w:tc>
          <w:tcPr>
            <w:tcW w:w="1881" w:type="dxa"/>
            <w:shd w:val="clear" w:color="auto" w:fill="B8CCE4" w:themeFill="accent1" w:themeFillTint="66"/>
          </w:tcPr>
          <w:p w14:paraId="2E76FC40" w14:textId="77777777" w:rsidR="0068349B" w:rsidRPr="007F66A7" w:rsidRDefault="0068349B">
            <w:pPr>
              <w:pStyle w:val="COMTabletext"/>
              <w:jc w:val="center"/>
            </w:pPr>
            <w:r w:rsidRPr="007F66A7">
              <w:t>-0.663</w:t>
            </w:r>
          </w:p>
        </w:tc>
      </w:tr>
      <w:tr w:rsidR="0068349B" w:rsidRPr="007F66A7" w14:paraId="09366483" w14:textId="77777777">
        <w:tc>
          <w:tcPr>
            <w:tcW w:w="3383" w:type="dxa"/>
            <w:shd w:val="clear" w:color="auto" w:fill="B8CCE4" w:themeFill="accent1" w:themeFillTint="66"/>
            <w:vAlign w:val="center"/>
          </w:tcPr>
          <w:p w14:paraId="1DF3D2D9" w14:textId="77777777" w:rsidR="0068349B" w:rsidRPr="007F66A7" w:rsidRDefault="0068349B">
            <w:pPr>
              <w:pStyle w:val="COMTabletext"/>
            </w:pPr>
            <w:r w:rsidRPr="007F66A7">
              <w:t>Total QALYs (undiscounted)</w:t>
            </w:r>
          </w:p>
        </w:tc>
        <w:tc>
          <w:tcPr>
            <w:tcW w:w="1880" w:type="dxa"/>
            <w:shd w:val="clear" w:color="auto" w:fill="B8CCE4" w:themeFill="accent1" w:themeFillTint="66"/>
          </w:tcPr>
          <w:p w14:paraId="2DECA1DB" w14:textId="77777777" w:rsidR="0068349B" w:rsidRPr="007F66A7" w:rsidRDefault="0068349B">
            <w:pPr>
              <w:pStyle w:val="COMTabletext"/>
              <w:jc w:val="center"/>
            </w:pPr>
            <w:r w:rsidRPr="007F66A7">
              <w:t>23.843</w:t>
            </w:r>
          </w:p>
        </w:tc>
        <w:tc>
          <w:tcPr>
            <w:tcW w:w="1880" w:type="dxa"/>
            <w:shd w:val="clear" w:color="auto" w:fill="B8CCE4" w:themeFill="accent1" w:themeFillTint="66"/>
          </w:tcPr>
          <w:p w14:paraId="6A0A0BEC" w14:textId="77777777" w:rsidR="0068349B" w:rsidRPr="007F66A7" w:rsidRDefault="0068349B">
            <w:pPr>
              <w:pStyle w:val="COMTabletext"/>
              <w:jc w:val="center"/>
            </w:pPr>
            <w:r w:rsidRPr="007F66A7">
              <w:t>22.608</w:t>
            </w:r>
          </w:p>
        </w:tc>
        <w:tc>
          <w:tcPr>
            <w:tcW w:w="1881" w:type="dxa"/>
            <w:shd w:val="clear" w:color="auto" w:fill="B8CCE4" w:themeFill="accent1" w:themeFillTint="66"/>
          </w:tcPr>
          <w:p w14:paraId="1E7853DF" w14:textId="77777777" w:rsidR="0068349B" w:rsidRPr="007F66A7" w:rsidRDefault="0068349B">
            <w:pPr>
              <w:pStyle w:val="COMTabletext"/>
              <w:jc w:val="center"/>
            </w:pPr>
            <w:r w:rsidRPr="007F66A7">
              <w:t>1.235</w:t>
            </w:r>
          </w:p>
        </w:tc>
      </w:tr>
      <w:tr w:rsidR="0068349B" w:rsidRPr="007F66A7" w14:paraId="4CF848FE" w14:textId="77777777">
        <w:tc>
          <w:tcPr>
            <w:tcW w:w="3383" w:type="dxa"/>
            <w:shd w:val="clear" w:color="auto" w:fill="B8CCE4" w:themeFill="accent1" w:themeFillTint="66"/>
            <w:vAlign w:val="center"/>
          </w:tcPr>
          <w:p w14:paraId="06BAA88B" w14:textId="77777777" w:rsidR="0068349B" w:rsidRPr="007F66A7" w:rsidRDefault="0068349B">
            <w:pPr>
              <w:pStyle w:val="COMTabletext"/>
            </w:pPr>
            <w:r w:rsidRPr="007F66A7">
              <w:t>Total QALYs (discounted)</w:t>
            </w:r>
          </w:p>
        </w:tc>
        <w:tc>
          <w:tcPr>
            <w:tcW w:w="1880" w:type="dxa"/>
            <w:shd w:val="clear" w:color="auto" w:fill="B8CCE4" w:themeFill="accent1" w:themeFillTint="66"/>
          </w:tcPr>
          <w:p w14:paraId="41E0A3C1" w14:textId="77777777" w:rsidR="0068349B" w:rsidRPr="007F66A7" w:rsidRDefault="0068349B">
            <w:pPr>
              <w:pStyle w:val="COMTabletext"/>
              <w:jc w:val="center"/>
            </w:pPr>
            <w:r w:rsidRPr="007F66A7">
              <w:t>11.655</w:t>
            </w:r>
          </w:p>
        </w:tc>
        <w:tc>
          <w:tcPr>
            <w:tcW w:w="1880" w:type="dxa"/>
            <w:shd w:val="clear" w:color="auto" w:fill="B8CCE4" w:themeFill="accent1" w:themeFillTint="66"/>
          </w:tcPr>
          <w:p w14:paraId="61F6F2FC" w14:textId="77777777" w:rsidR="0068349B" w:rsidRPr="007F66A7" w:rsidRDefault="0068349B">
            <w:pPr>
              <w:pStyle w:val="COMTabletext"/>
              <w:jc w:val="center"/>
            </w:pPr>
            <w:r w:rsidRPr="007F66A7">
              <w:t>11.136</w:t>
            </w:r>
          </w:p>
        </w:tc>
        <w:tc>
          <w:tcPr>
            <w:tcW w:w="1881" w:type="dxa"/>
            <w:shd w:val="clear" w:color="auto" w:fill="B8CCE4" w:themeFill="accent1" w:themeFillTint="66"/>
          </w:tcPr>
          <w:p w14:paraId="59D49F83" w14:textId="77777777" w:rsidR="0068349B" w:rsidRPr="007F66A7" w:rsidRDefault="0068349B">
            <w:pPr>
              <w:pStyle w:val="COMTabletext"/>
              <w:jc w:val="center"/>
            </w:pPr>
            <w:r w:rsidRPr="007F66A7">
              <w:t>0.520</w:t>
            </w:r>
          </w:p>
        </w:tc>
      </w:tr>
    </w:tbl>
    <w:p w14:paraId="6C152165" w14:textId="77777777" w:rsidR="0068349B" w:rsidRPr="007F66A7" w:rsidRDefault="0068349B" w:rsidP="0068349B">
      <w:pPr>
        <w:pStyle w:val="COMTablefooter"/>
      </w:pPr>
      <w:r w:rsidRPr="007F66A7">
        <w:t>Source: Table 3.8-3, p244 and the brentuximab vedotin economic model of the submission; Table 3.8.2, brentuximab vedotin commentary March 2024 PBAC meeting</w:t>
      </w:r>
    </w:p>
    <w:p w14:paraId="49D2C0FE" w14:textId="50BB8602" w:rsidR="0068349B" w:rsidRPr="007F66A7" w:rsidRDefault="0068349B" w:rsidP="0068349B">
      <w:pPr>
        <w:pStyle w:val="COMTablefooter"/>
      </w:pPr>
      <w:r w:rsidRPr="007F66A7">
        <w:t>Abbreviations: A+AVD, brentuximab vedotin plus doxorubicin, vinblastine, dacarbazine; ABVD, doxorubicin, bleomycin, vinblastine, and dacarbazine; QALYs, quality adjusted life years</w:t>
      </w:r>
    </w:p>
    <w:p w14:paraId="2EC30A69" w14:textId="77777777" w:rsidR="00784B55" w:rsidRPr="007F66A7" w:rsidRDefault="00784B55" w:rsidP="00784B55">
      <w:pPr>
        <w:pStyle w:val="COMTablefooter"/>
      </w:pPr>
      <w:r w:rsidRPr="007F66A7">
        <w:t>Note: Blue shading delineates data presented in the March 2024 submission</w:t>
      </w:r>
    </w:p>
    <w:p w14:paraId="3BFA20F3" w14:textId="24A8AD7A" w:rsidR="00534AE3" w:rsidRPr="007F66A7" w:rsidRDefault="0068349B" w:rsidP="00534AE3">
      <w:pPr>
        <w:pStyle w:val="COMexecsummnumbered"/>
      </w:pPr>
      <w:r w:rsidRPr="007F66A7">
        <w:lastRenderedPageBreak/>
        <w:t xml:space="preserve">The difference in health outcomes between treatment arms was driven by improved survival in patients who were progression-free after </w:t>
      </w:r>
      <w:r w:rsidR="009B0496" w:rsidRPr="007F66A7">
        <w:t>first-line</w:t>
      </w:r>
      <w:r w:rsidRPr="007F66A7">
        <w:t xml:space="preserve"> therapy.</w:t>
      </w:r>
    </w:p>
    <w:p w14:paraId="6E425A5E" w14:textId="21D1248D" w:rsidR="0068349B" w:rsidRPr="007F66A7" w:rsidRDefault="0068349B" w:rsidP="00143E80">
      <w:pPr>
        <w:pStyle w:val="COMexecsummnumbered"/>
      </w:pPr>
      <w:r w:rsidRPr="007F66A7">
        <w:t xml:space="preserve">Total undiscounted life years in patients who are progression-free after </w:t>
      </w:r>
      <w:r w:rsidR="009B0496" w:rsidRPr="007F66A7">
        <w:t>first-line</w:t>
      </w:r>
      <w:r w:rsidRPr="007F66A7">
        <w:t xml:space="preserve"> treatment in the resubmission were substantially higher compared to the previous submission. </w:t>
      </w:r>
      <w:r w:rsidR="006D4B11" w:rsidRPr="007F66A7">
        <w:t>The evaluation considered that t</w:t>
      </w:r>
      <w:r w:rsidRPr="007F66A7">
        <w:t>his is primarily due to differences in background mortality estimates in the resubmission (general population mortality based on mean age and sex distribution, adjusted for excess mortality using an SMR of 2.20) compared to the previous submission (general population mortality based on individual patient data for age and sex, adjusted for excess mortality using an SMR of 2.87).</w:t>
      </w:r>
      <w:r w:rsidR="00143E80" w:rsidRPr="007F66A7">
        <w:t xml:space="preserve"> </w:t>
      </w:r>
    </w:p>
    <w:p w14:paraId="3547364C" w14:textId="77CA894A" w:rsidR="0068349B" w:rsidRPr="007F66A7" w:rsidRDefault="0068349B" w:rsidP="00534AE3">
      <w:pPr>
        <w:pStyle w:val="COMexecsummnumbered"/>
      </w:pPr>
      <w:r w:rsidRPr="007F66A7">
        <w:t xml:space="preserve">The outcomes also indicate poorer prognosis in patients who progressed after </w:t>
      </w:r>
      <w:r w:rsidR="009B0496" w:rsidRPr="007F66A7">
        <w:t>first-line</w:t>
      </w:r>
      <w:r w:rsidRPr="007F66A7">
        <w:t xml:space="preserve"> treatment in the resubmission (based on published estimates and assumptions for progression-free survival and overall survival at each subsequent line of therapy) compared to the previous submission (based on the difference in area under the curve between modelled overall survival and progression-free survival curves, extrapolated using ECHELON-1 trial data).</w:t>
      </w:r>
    </w:p>
    <w:p w14:paraId="1C957568" w14:textId="7E31FAB7" w:rsidR="0068349B" w:rsidRPr="007F66A7" w:rsidRDefault="0068349B" w:rsidP="00534AE3">
      <w:pPr>
        <w:pStyle w:val="COMexecsummnumbered"/>
      </w:pPr>
      <w:r w:rsidRPr="007F66A7">
        <w:t>The incremental life years and QALYs in the resubmission (undiscounted life years 1.623, undiscounted QALYs 1.333) were slightly higher compared to the previous submission (undiscounted life years 1.478, undiscounted QALYs 1.235).</w:t>
      </w:r>
    </w:p>
    <w:p w14:paraId="262C2171" w14:textId="5032DDD7" w:rsidR="00A203DD" w:rsidRPr="007F66A7" w:rsidRDefault="00CE7824" w:rsidP="00A203DD">
      <w:pPr>
        <w:pStyle w:val="COMexecsummnumbered"/>
      </w:pPr>
      <w:r w:rsidRPr="007F66A7">
        <w:t xml:space="preserve">The results of the stepped economic evaluation are presented in </w:t>
      </w:r>
      <w:r w:rsidR="00FD34D9" w:rsidRPr="007F66A7">
        <w:fldChar w:fldCharType="begin"/>
      </w:r>
      <w:r w:rsidR="00FD34D9" w:rsidRPr="007F66A7">
        <w:instrText xml:space="preserve"> REF _Ref104805160 \h </w:instrText>
      </w:r>
      <w:r w:rsidR="00FD34D9" w:rsidRPr="007F66A7">
        <w:fldChar w:fldCharType="separate"/>
      </w:r>
      <w:r w:rsidR="00293B06" w:rsidRPr="007F66A7">
        <w:t xml:space="preserve">Table </w:t>
      </w:r>
      <w:r w:rsidR="00293B06">
        <w:rPr>
          <w:noProof/>
        </w:rPr>
        <w:t>12</w:t>
      </w:r>
      <w:r w:rsidR="00FD34D9" w:rsidRPr="007F66A7">
        <w:fldChar w:fldCharType="end"/>
      </w:r>
      <w:r w:rsidRPr="007F66A7">
        <w:t>.</w:t>
      </w:r>
    </w:p>
    <w:p w14:paraId="63D487B8" w14:textId="3909084A" w:rsidR="00D110BD" w:rsidRPr="007F66A7" w:rsidRDefault="00E16AD8" w:rsidP="00D920A9">
      <w:pPr>
        <w:pStyle w:val="COMtablefigcaption"/>
        <w:keepLines/>
      </w:pPr>
      <w:bookmarkStart w:id="44" w:name="_Ref104805160"/>
      <w:r w:rsidRPr="007F66A7">
        <w:lastRenderedPageBreak/>
        <w:t xml:space="preserve">Table </w:t>
      </w:r>
      <w:r w:rsidR="006A25C4">
        <w:fldChar w:fldCharType="begin"/>
      </w:r>
      <w:r w:rsidR="006A25C4">
        <w:instrText xml:space="preserve"> SEQ Table \* ARABIC </w:instrText>
      </w:r>
      <w:r w:rsidR="006A25C4">
        <w:fldChar w:fldCharType="separate"/>
      </w:r>
      <w:r w:rsidR="00293B06">
        <w:rPr>
          <w:noProof/>
        </w:rPr>
        <w:t>12</w:t>
      </w:r>
      <w:r w:rsidR="006A25C4">
        <w:fldChar w:fldCharType="end"/>
      </w:r>
      <w:bookmarkEnd w:id="44"/>
      <w:r w:rsidRPr="007F66A7">
        <w:t>:</w:t>
      </w:r>
      <w:r w:rsidR="005A373D" w:rsidRPr="007F66A7">
        <w:t xml:space="preserve"> Results of the stepped economic evaluation</w:t>
      </w:r>
    </w:p>
    <w:tbl>
      <w:tblPr>
        <w:tblW w:w="5018"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w:tblPr>
      <w:tblGrid>
        <w:gridCol w:w="2793"/>
        <w:gridCol w:w="2450"/>
        <w:gridCol w:w="2298"/>
        <w:gridCol w:w="1508"/>
      </w:tblGrid>
      <w:tr w:rsidR="00CE7824" w:rsidRPr="007F66A7" w14:paraId="3F39D260" w14:textId="77777777">
        <w:trPr>
          <w:tblHeader/>
        </w:trPr>
        <w:tc>
          <w:tcPr>
            <w:tcW w:w="1543" w:type="pct"/>
            <w:vAlign w:val="center"/>
          </w:tcPr>
          <w:p w14:paraId="6DC5505D" w14:textId="77777777" w:rsidR="00CE7824" w:rsidRPr="007F66A7" w:rsidRDefault="00CE7824" w:rsidP="00D920A9">
            <w:pPr>
              <w:pStyle w:val="COMTableheadingrow"/>
              <w:keepLines/>
              <w:rPr>
                <w:lang w:val="en-AU"/>
              </w:rPr>
            </w:pPr>
            <w:r w:rsidRPr="007F66A7">
              <w:rPr>
                <w:lang w:val="en-AU"/>
              </w:rPr>
              <w:t>Step and component</w:t>
            </w:r>
          </w:p>
        </w:tc>
        <w:tc>
          <w:tcPr>
            <w:tcW w:w="1354" w:type="pct"/>
            <w:vAlign w:val="center"/>
          </w:tcPr>
          <w:p w14:paraId="45A8EA1C" w14:textId="77777777" w:rsidR="00CE7824" w:rsidRPr="007F66A7" w:rsidRDefault="00CE7824" w:rsidP="00D920A9">
            <w:pPr>
              <w:pStyle w:val="COMTableheadingrow"/>
              <w:keepLines/>
              <w:jc w:val="center"/>
              <w:rPr>
                <w:lang w:val="en-AU"/>
              </w:rPr>
            </w:pPr>
            <w:r w:rsidRPr="007F66A7">
              <w:rPr>
                <w:lang w:val="en-AU"/>
              </w:rPr>
              <w:t>A+AVD</w:t>
            </w:r>
          </w:p>
        </w:tc>
        <w:tc>
          <w:tcPr>
            <w:tcW w:w="1270" w:type="pct"/>
            <w:vAlign w:val="center"/>
          </w:tcPr>
          <w:p w14:paraId="7C2A046B" w14:textId="77777777" w:rsidR="00CE7824" w:rsidRPr="007F66A7" w:rsidRDefault="00CE7824" w:rsidP="00D920A9">
            <w:pPr>
              <w:pStyle w:val="COMTableheadingrow"/>
              <w:keepLines/>
              <w:jc w:val="center"/>
              <w:rPr>
                <w:lang w:val="en-AU"/>
              </w:rPr>
            </w:pPr>
            <w:r w:rsidRPr="007F66A7">
              <w:rPr>
                <w:lang w:val="en-AU"/>
              </w:rPr>
              <w:t>ABVD</w:t>
            </w:r>
          </w:p>
        </w:tc>
        <w:tc>
          <w:tcPr>
            <w:tcW w:w="833" w:type="pct"/>
            <w:vAlign w:val="center"/>
          </w:tcPr>
          <w:p w14:paraId="72F86B50" w14:textId="77777777" w:rsidR="00CE7824" w:rsidRPr="007F66A7" w:rsidRDefault="00CE7824" w:rsidP="00D920A9">
            <w:pPr>
              <w:pStyle w:val="COMTableheadingrow"/>
              <w:keepLines/>
              <w:jc w:val="center"/>
              <w:rPr>
                <w:lang w:val="en-AU"/>
              </w:rPr>
            </w:pPr>
            <w:r w:rsidRPr="007F66A7">
              <w:rPr>
                <w:lang w:val="en-AU"/>
              </w:rPr>
              <w:t>Increment</w:t>
            </w:r>
          </w:p>
        </w:tc>
      </w:tr>
      <w:tr w:rsidR="00CE7824" w:rsidRPr="007F66A7" w14:paraId="0050F892" w14:textId="77777777">
        <w:tc>
          <w:tcPr>
            <w:tcW w:w="5000" w:type="pct"/>
            <w:gridSpan w:val="4"/>
            <w:vAlign w:val="center"/>
          </w:tcPr>
          <w:p w14:paraId="28487F86" w14:textId="74B681E6" w:rsidR="00CE7824" w:rsidRPr="007F66A7" w:rsidRDefault="00CE7824" w:rsidP="00D920A9">
            <w:pPr>
              <w:pStyle w:val="COMTableheadingrow"/>
              <w:keepLines/>
              <w:rPr>
                <w:lang w:val="en-AU"/>
              </w:rPr>
            </w:pPr>
            <w:r w:rsidRPr="007F66A7">
              <w:rPr>
                <w:lang w:val="en-AU"/>
              </w:rPr>
              <w:t>Step 1: Time horizon 8.1 years (maximum follow-up, June 2021 data cut), modelled OS and PFS for all health states based on the ECHELON-1 trial (</w:t>
            </w:r>
            <w:r w:rsidR="009B0496" w:rsidRPr="007F66A7">
              <w:rPr>
                <w:lang w:val="en-AU"/>
              </w:rPr>
              <w:t>first-line</w:t>
            </w:r>
            <w:r w:rsidRPr="007F66A7">
              <w:rPr>
                <w:lang w:val="en-AU"/>
              </w:rPr>
              <w:t xml:space="preserve"> treatment), </w:t>
            </w:r>
            <w:proofErr w:type="spellStart"/>
            <w:r w:rsidRPr="007F66A7">
              <w:rPr>
                <w:lang w:val="en-AU"/>
              </w:rPr>
              <w:t>Brockelmann</w:t>
            </w:r>
            <w:proofErr w:type="spellEnd"/>
            <w:r w:rsidRPr="007F66A7">
              <w:rPr>
                <w:lang w:val="en-AU"/>
              </w:rPr>
              <w:t xml:space="preserve"> 2021 and Viviani 2024 (</w:t>
            </w:r>
            <w:r w:rsidR="009B0496" w:rsidRPr="007F66A7">
              <w:rPr>
                <w:lang w:val="en-AU"/>
              </w:rPr>
              <w:t>second-line</w:t>
            </w:r>
            <w:r w:rsidRPr="007F66A7">
              <w:rPr>
                <w:lang w:val="en-AU"/>
              </w:rPr>
              <w:t xml:space="preserve"> treatment) and Younes 2012 and </w:t>
            </w:r>
            <w:proofErr w:type="spellStart"/>
            <w:r w:rsidRPr="007F66A7">
              <w:rPr>
                <w:lang w:val="en-AU"/>
              </w:rPr>
              <w:t>Brockelmann</w:t>
            </w:r>
            <w:proofErr w:type="spellEnd"/>
            <w:r w:rsidRPr="007F66A7">
              <w:rPr>
                <w:lang w:val="en-AU"/>
              </w:rPr>
              <w:t xml:space="preserve"> 2017 (third</w:t>
            </w:r>
            <w:r w:rsidR="0063720C" w:rsidRPr="007F66A7">
              <w:rPr>
                <w:lang w:val="en-AU"/>
              </w:rPr>
              <w:t>-</w:t>
            </w:r>
            <w:r w:rsidRPr="007F66A7">
              <w:rPr>
                <w:lang w:val="en-AU"/>
              </w:rPr>
              <w:t xml:space="preserve"> and </w:t>
            </w:r>
            <w:r w:rsidR="009B0496" w:rsidRPr="007F66A7">
              <w:rPr>
                <w:lang w:val="en-AU"/>
              </w:rPr>
              <w:t>fourth-line</w:t>
            </w:r>
            <w:r w:rsidRPr="007F66A7">
              <w:rPr>
                <w:lang w:val="en-AU"/>
              </w:rPr>
              <w:t xml:space="preserve"> treatment) publications; includes costs for A+AVD and ABVD treatment, administration and supportive therapies; 5% discounting to costs and outcomes</w:t>
            </w:r>
          </w:p>
        </w:tc>
      </w:tr>
      <w:tr w:rsidR="00CE7824" w:rsidRPr="007F66A7" w14:paraId="66773C4B" w14:textId="77777777">
        <w:tc>
          <w:tcPr>
            <w:tcW w:w="1543" w:type="pct"/>
            <w:vAlign w:val="center"/>
          </w:tcPr>
          <w:p w14:paraId="3D5CB80E" w14:textId="77777777" w:rsidR="00CE7824" w:rsidRPr="007F66A7" w:rsidRDefault="00CE7824" w:rsidP="00D920A9">
            <w:pPr>
              <w:pStyle w:val="COMTabletext"/>
              <w:keepLines/>
              <w:rPr>
                <w:rFonts w:ascii="Times" w:hAnsi="Times"/>
              </w:rPr>
            </w:pPr>
            <w:r w:rsidRPr="007F66A7">
              <w:t>Costs</w:t>
            </w:r>
          </w:p>
        </w:tc>
        <w:tc>
          <w:tcPr>
            <w:tcW w:w="1354" w:type="pct"/>
            <w:vAlign w:val="center"/>
          </w:tcPr>
          <w:p w14:paraId="290DC1B6" w14:textId="35D52612" w:rsidR="00CE7824" w:rsidRPr="007F66A7" w:rsidRDefault="00CE7824" w:rsidP="00D920A9">
            <w:pPr>
              <w:pStyle w:val="COMTabletext"/>
              <w:keepLines/>
              <w:jc w:val="center"/>
            </w:pPr>
            <w:r w:rsidRPr="007F66A7">
              <w:t>$</w:t>
            </w:r>
            <w:r w:rsidR="00AA4CCB" w:rsidRPr="00AA4CCB">
              <w:rPr>
                <w:color w:val="000000"/>
                <w:spacing w:val="48"/>
                <w:shd w:val="solid" w:color="000000" w:fill="000000"/>
                <w:fitText w:val="315" w:id="-628904691"/>
                <w14:textFill>
                  <w14:solidFill>
                    <w14:srgbClr w14:val="000000">
                      <w14:alpha w14:val="100000"/>
                    </w14:srgbClr>
                  </w14:solidFill>
                </w14:textFill>
              </w:rPr>
              <w:t>|||</w:t>
            </w:r>
            <w:r w:rsidR="00AA4CCB" w:rsidRPr="00AA4CCB">
              <w:rPr>
                <w:color w:val="000000"/>
                <w:spacing w:val="1"/>
                <w:shd w:val="solid" w:color="000000" w:fill="000000"/>
                <w:fitText w:val="315" w:id="-628904691"/>
                <w14:textFill>
                  <w14:solidFill>
                    <w14:srgbClr w14:val="000000">
                      <w14:alpha w14:val="100000"/>
                    </w14:srgbClr>
                  </w14:solidFill>
                </w14:textFill>
              </w:rPr>
              <w:t>|</w:t>
            </w:r>
          </w:p>
        </w:tc>
        <w:tc>
          <w:tcPr>
            <w:tcW w:w="1270" w:type="pct"/>
            <w:vAlign w:val="center"/>
          </w:tcPr>
          <w:p w14:paraId="0FCD3611" w14:textId="77777777" w:rsidR="00CE7824" w:rsidRPr="007F66A7" w:rsidRDefault="00CE7824" w:rsidP="00D920A9">
            <w:pPr>
              <w:pStyle w:val="COMTabletext"/>
              <w:keepLines/>
              <w:jc w:val="center"/>
            </w:pPr>
            <w:r w:rsidRPr="007F66A7">
              <w:t>$8,313</w:t>
            </w:r>
          </w:p>
        </w:tc>
        <w:tc>
          <w:tcPr>
            <w:tcW w:w="833" w:type="pct"/>
            <w:vAlign w:val="center"/>
          </w:tcPr>
          <w:p w14:paraId="4E9FE093" w14:textId="0A6F0F18" w:rsidR="00CE7824" w:rsidRPr="007F66A7" w:rsidRDefault="00CE7824" w:rsidP="00D920A9">
            <w:pPr>
              <w:pStyle w:val="COMTabletext"/>
              <w:keepLines/>
              <w:jc w:val="center"/>
            </w:pPr>
            <w:r w:rsidRPr="007F66A7">
              <w:t>$</w:t>
            </w:r>
            <w:r w:rsidR="00AA4CCB" w:rsidRPr="00AA4CCB">
              <w:rPr>
                <w:color w:val="000000"/>
                <w:spacing w:val="53"/>
                <w:shd w:val="solid" w:color="000000" w:fill="000000"/>
                <w:fitText w:val="330" w:id="-628904690"/>
                <w14:textFill>
                  <w14:solidFill>
                    <w14:srgbClr w14:val="000000">
                      <w14:alpha w14:val="100000"/>
                    </w14:srgbClr>
                  </w14:solidFill>
                </w14:textFill>
              </w:rPr>
              <w:t>|||</w:t>
            </w:r>
            <w:r w:rsidR="00AA4CCB" w:rsidRPr="00AA4CCB">
              <w:rPr>
                <w:color w:val="000000"/>
                <w:spacing w:val="1"/>
                <w:shd w:val="solid" w:color="000000" w:fill="000000"/>
                <w:fitText w:val="330" w:id="-628904690"/>
                <w14:textFill>
                  <w14:solidFill>
                    <w14:srgbClr w14:val="000000">
                      <w14:alpha w14:val="100000"/>
                    </w14:srgbClr>
                  </w14:solidFill>
                </w14:textFill>
              </w:rPr>
              <w:t>|</w:t>
            </w:r>
          </w:p>
        </w:tc>
      </w:tr>
      <w:tr w:rsidR="00CE7824" w:rsidRPr="007F66A7" w14:paraId="3973A394" w14:textId="77777777">
        <w:tc>
          <w:tcPr>
            <w:tcW w:w="1543" w:type="pct"/>
            <w:vAlign w:val="center"/>
          </w:tcPr>
          <w:p w14:paraId="075101BC" w14:textId="77777777" w:rsidR="00CE7824" w:rsidRPr="007F66A7" w:rsidRDefault="00CE7824" w:rsidP="00D920A9">
            <w:pPr>
              <w:pStyle w:val="COMTabletext"/>
              <w:keepLines/>
              <w:rPr>
                <w:rFonts w:ascii="Times" w:hAnsi="Times"/>
              </w:rPr>
            </w:pPr>
            <w:r w:rsidRPr="007F66A7">
              <w:t xml:space="preserve">Life years </w:t>
            </w:r>
          </w:p>
        </w:tc>
        <w:tc>
          <w:tcPr>
            <w:tcW w:w="1354" w:type="pct"/>
            <w:vAlign w:val="center"/>
          </w:tcPr>
          <w:p w14:paraId="49BC3FC5" w14:textId="77777777" w:rsidR="00CE7824" w:rsidRPr="007F66A7" w:rsidRDefault="00CE7824" w:rsidP="00D920A9">
            <w:pPr>
              <w:pStyle w:val="COMTabletext"/>
              <w:keepLines/>
              <w:jc w:val="center"/>
            </w:pPr>
            <w:r w:rsidRPr="007F66A7">
              <w:t>6.494</w:t>
            </w:r>
          </w:p>
        </w:tc>
        <w:tc>
          <w:tcPr>
            <w:tcW w:w="1270" w:type="pct"/>
            <w:vAlign w:val="center"/>
          </w:tcPr>
          <w:p w14:paraId="55E7446D" w14:textId="77777777" w:rsidR="00CE7824" w:rsidRPr="007F66A7" w:rsidRDefault="00CE7824" w:rsidP="00D920A9">
            <w:pPr>
              <w:pStyle w:val="COMTabletext"/>
              <w:keepLines/>
              <w:jc w:val="center"/>
            </w:pPr>
            <w:r w:rsidRPr="007F66A7">
              <w:t>6.324</w:t>
            </w:r>
          </w:p>
        </w:tc>
        <w:tc>
          <w:tcPr>
            <w:tcW w:w="833" w:type="pct"/>
            <w:vAlign w:val="center"/>
          </w:tcPr>
          <w:p w14:paraId="2438FDF7" w14:textId="77777777" w:rsidR="00CE7824" w:rsidRPr="007F66A7" w:rsidRDefault="00CE7824" w:rsidP="00D920A9">
            <w:pPr>
              <w:pStyle w:val="COMTabletext"/>
              <w:keepLines/>
              <w:jc w:val="center"/>
            </w:pPr>
            <w:r w:rsidRPr="007F66A7">
              <w:t>0.169</w:t>
            </w:r>
          </w:p>
        </w:tc>
      </w:tr>
      <w:tr w:rsidR="00CE7824" w:rsidRPr="007F66A7" w14:paraId="66B1DDC2" w14:textId="77777777">
        <w:tc>
          <w:tcPr>
            <w:tcW w:w="4167" w:type="pct"/>
            <w:gridSpan w:val="3"/>
            <w:vAlign w:val="center"/>
          </w:tcPr>
          <w:p w14:paraId="24573D1C" w14:textId="77777777" w:rsidR="00CE7824" w:rsidRPr="007F66A7" w:rsidRDefault="00CE7824" w:rsidP="00D920A9">
            <w:pPr>
              <w:pStyle w:val="COMTabletext"/>
              <w:keepLines/>
              <w:rPr>
                <w:rFonts w:ascii="Times" w:hAnsi="Times"/>
              </w:rPr>
            </w:pPr>
            <w:r w:rsidRPr="007F66A7">
              <w:rPr>
                <w:b/>
                <w:bCs w:val="0"/>
              </w:rPr>
              <w:t>Incremental cost per life year gained</w:t>
            </w:r>
          </w:p>
        </w:tc>
        <w:tc>
          <w:tcPr>
            <w:tcW w:w="833" w:type="pct"/>
            <w:vAlign w:val="center"/>
          </w:tcPr>
          <w:p w14:paraId="41D01491" w14:textId="7F0C5A10" w:rsidR="00CE7824" w:rsidRPr="0099766D" w:rsidRDefault="00CE7824" w:rsidP="00D920A9">
            <w:pPr>
              <w:pStyle w:val="COMTabletext"/>
              <w:keepLines/>
              <w:jc w:val="center"/>
              <w:rPr>
                <w:b/>
                <w:bCs w:val="0"/>
                <w:vertAlign w:val="superscript"/>
              </w:rPr>
            </w:pPr>
            <w:r w:rsidRPr="007F66A7">
              <w:rPr>
                <w:b/>
                <w:bCs w:val="0"/>
              </w:rPr>
              <w:t>$</w:t>
            </w:r>
            <w:r w:rsidR="00AA4CCB" w:rsidRPr="00AA4CCB">
              <w:rPr>
                <w:b/>
                <w:bCs w:val="0"/>
                <w:color w:val="000000"/>
                <w:spacing w:val="53"/>
                <w:shd w:val="solid" w:color="000000" w:fill="000000"/>
                <w:fitText w:val="345" w:id="-628904689"/>
                <w14:textFill>
                  <w14:solidFill>
                    <w14:srgbClr w14:val="000000">
                      <w14:alpha w14:val="100000"/>
                    </w14:srgbClr>
                  </w14:solidFill>
                </w14:textFill>
              </w:rPr>
              <w:t>|||</w:t>
            </w:r>
            <w:r w:rsidR="00AA4CCB" w:rsidRPr="00AA4CCB">
              <w:rPr>
                <w:b/>
                <w:bCs w:val="0"/>
                <w:color w:val="000000"/>
                <w:spacing w:val="3"/>
                <w:shd w:val="solid" w:color="000000" w:fill="000000"/>
                <w:fitText w:val="345" w:id="-628904689"/>
                <w14:textFill>
                  <w14:solidFill>
                    <w14:srgbClr w14:val="000000">
                      <w14:alpha w14:val="100000"/>
                    </w14:srgbClr>
                  </w14:solidFill>
                </w14:textFill>
              </w:rPr>
              <w:t>|</w:t>
            </w:r>
            <w:r w:rsidR="0099766D">
              <w:rPr>
                <w:b/>
                <w:bCs w:val="0"/>
                <w:vertAlign w:val="superscript"/>
              </w:rPr>
              <w:t>1</w:t>
            </w:r>
          </w:p>
        </w:tc>
      </w:tr>
      <w:tr w:rsidR="00CE7824" w:rsidRPr="007F66A7" w14:paraId="0A0DF4DD" w14:textId="77777777">
        <w:tc>
          <w:tcPr>
            <w:tcW w:w="5000" w:type="pct"/>
            <w:gridSpan w:val="4"/>
            <w:vAlign w:val="center"/>
          </w:tcPr>
          <w:p w14:paraId="50954892" w14:textId="77777777" w:rsidR="00CE7824" w:rsidRPr="007F66A7" w:rsidRDefault="00CE7824" w:rsidP="00D920A9">
            <w:pPr>
              <w:pStyle w:val="COMTableheadingrow"/>
              <w:keepLines/>
              <w:rPr>
                <w:lang w:val="en-AU"/>
              </w:rPr>
            </w:pPr>
            <w:r w:rsidRPr="007F66A7">
              <w:rPr>
                <w:lang w:val="en-AU"/>
              </w:rPr>
              <w:t>Step 2: Extrapolate to 65 years</w:t>
            </w:r>
          </w:p>
        </w:tc>
      </w:tr>
      <w:tr w:rsidR="00CE7824" w:rsidRPr="007F66A7" w14:paraId="14A0F4DB" w14:textId="77777777">
        <w:tc>
          <w:tcPr>
            <w:tcW w:w="1543" w:type="pct"/>
            <w:vAlign w:val="center"/>
          </w:tcPr>
          <w:p w14:paraId="5477845F" w14:textId="77777777" w:rsidR="00CE7824" w:rsidRPr="007F66A7" w:rsidRDefault="00CE7824" w:rsidP="00D920A9">
            <w:pPr>
              <w:pStyle w:val="COMTabletext"/>
              <w:keepLines/>
              <w:rPr>
                <w:rFonts w:ascii="Times" w:hAnsi="Times"/>
              </w:rPr>
            </w:pPr>
            <w:r w:rsidRPr="007F66A7">
              <w:t>Costs</w:t>
            </w:r>
          </w:p>
        </w:tc>
        <w:tc>
          <w:tcPr>
            <w:tcW w:w="1354" w:type="pct"/>
            <w:vAlign w:val="center"/>
          </w:tcPr>
          <w:p w14:paraId="081E124C" w14:textId="6E1FC722" w:rsidR="00CE7824" w:rsidRPr="007F66A7" w:rsidRDefault="00CE7824" w:rsidP="00D920A9">
            <w:pPr>
              <w:pStyle w:val="COMTabletext"/>
              <w:keepLines/>
              <w:jc w:val="center"/>
            </w:pPr>
            <w:r w:rsidRPr="007F66A7">
              <w:t>$</w:t>
            </w:r>
            <w:r w:rsidR="00AA4CCB" w:rsidRPr="00AA4CCB">
              <w:rPr>
                <w:color w:val="000000"/>
                <w:spacing w:val="48"/>
                <w:shd w:val="solid" w:color="000000" w:fill="000000"/>
                <w:fitText w:val="315" w:id="-628904688"/>
                <w14:textFill>
                  <w14:solidFill>
                    <w14:srgbClr w14:val="000000">
                      <w14:alpha w14:val="100000"/>
                    </w14:srgbClr>
                  </w14:solidFill>
                </w14:textFill>
              </w:rPr>
              <w:t>|||</w:t>
            </w:r>
            <w:r w:rsidR="00AA4CCB" w:rsidRPr="00AA4CCB">
              <w:rPr>
                <w:color w:val="000000"/>
                <w:spacing w:val="1"/>
                <w:shd w:val="solid" w:color="000000" w:fill="000000"/>
                <w:fitText w:val="315" w:id="-628904688"/>
                <w14:textFill>
                  <w14:solidFill>
                    <w14:srgbClr w14:val="000000">
                      <w14:alpha w14:val="100000"/>
                    </w14:srgbClr>
                  </w14:solidFill>
                </w14:textFill>
              </w:rPr>
              <w:t>|</w:t>
            </w:r>
          </w:p>
        </w:tc>
        <w:tc>
          <w:tcPr>
            <w:tcW w:w="1270" w:type="pct"/>
            <w:vAlign w:val="center"/>
          </w:tcPr>
          <w:p w14:paraId="04B0A2AA" w14:textId="77777777" w:rsidR="00CE7824" w:rsidRPr="007F66A7" w:rsidRDefault="00CE7824" w:rsidP="00D920A9">
            <w:pPr>
              <w:pStyle w:val="COMTabletext"/>
              <w:keepLines/>
              <w:jc w:val="center"/>
            </w:pPr>
            <w:r w:rsidRPr="007F66A7">
              <w:t>$8,313</w:t>
            </w:r>
          </w:p>
        </w:tc>
        <w:tc>
          <w:tcPr>
            <w:tcW w:w="833" w:type="pct"/>
            <w:vAlign w:val="center"/>
          </w:tcPr>
          <w:p w14:paraId="075CF7F4" w14:textId="624F122A" w:rsidR="00CE7824" w:rsidRPr="007F66A7" w:rsidRDefault="00CE7824" w:rsidP="00D920A9">
            <w:pPr>
              <w:pStyle w:val="COMTabletext"/>
              <w:keepLines/>
              <w:jc w:val="center"/>
            </w:pPr>
            <w:r w:rsidRPr="007F66A7">
              <w:t>$</w:t>
            </w:r>
            <w:r w:rsidR="00AA4CCB" w:rsidRPr="00AA4CCB">
              <w:rPr>
                <w:color w:val="000000"/>
                <w:spacing w:val="53"/>
                <w:shd w:val="solid" w:color="000000" w:fill="000000"/>
                <w:fitText w:val="330" w:id="-628904704"/>
                <w14:textFill>
                  <w14:solidFill>
                    <w14:srgbClr w14:val="000000">
                      <w14:alpha w14:val="100000"/>
                    </w14:srgbClr>
                  </w14:solidFill>
                </w14:textFill>
              </w:rPr>
              <w:t>|||</w:t>
            </w:r>
            <w:r w:rsidR="00AA4CCB" w:rsidRPr="00AA4CCB">
              <w:rPr>
                <w:color w:val="000000"/>
                <w:spacing w:val="1"/>
                <w:shd w:val="solid" w:color="000000" w:fill="000000"/>
                <w:fitText w:val="330" w:id="-628904704"/>
                <w14:textFill>
                  <w14:solidFill>
                    <w14:srgbClr w14:val="000000">
                      <w14:alpha w14:val="100000"/>
                    </w14:srgbClr>
                  </w14:solidFill>
                </w14:textFill>
              </w:rPr>
              <w:t>|</w:t>
            </w:r>
          </w:p>
        </w:tc>
      </w:tr>
      <w:tr w:rsidR="00CE7824" w:rsidRPr="007F66A7" w14:paraId="776C5DBE" w14:textId="77777777">
        <w:tc>
          <w:tcPr>
            <w:tcW w:w="1543" w:type="pct"/>
            <w:vAlign w:val="center"/>
          </w:tcPr>
          <w:p w14:paraId="7DDE2549" w14:textId="77777777" w:rsidR="00CE7824" w:rsidRPr="007F66A7" w:rsidRDefault="00CE7824" w:rsidP="00D920A9">
            <w:pPr>
              <w:pStyle w:val="COMTabletext"/>
              <w:keepLines/>
              <w:rPr>
                <w:rFonts w:ascii="Times" w:hAnsi="Times"/>
              </w:rPr>
            </w:pPr>
            <w:r w:rsidRPr="007F66A7">
              <w:t>Life years</w:t>
            </w:r>
          </w:p>
        </w:tc>
        <w:tc>
          <w:tcPr>
            <w:tcW w:w="1354" w:type="pct"/>
            <w:vAlign w:val="center"/>
          </w:tcPr>
          <w:p w14:paraId="4E495668" w14:textId="77777777" w:rsidR="00CE7824" w:rsidRPr="007F66A7" w:rsidRDefault="00CE7824" w:rsidP="00D920A9">
            <w:pPr>
              <w:pStyle w:val="COMTabletext"/>
              <w:keepLines/>
              <w:jc w:val="center"/>
            </w:pPr>
            <w:r w:rsidRPr="007F66A7">
              <w:t>15.484</w:t>
            </w:r>
          </w:p>
        </w:tc>
        <w:tc>
          <w:tcPr>
            <w:tcW w:w="1270" w:type="pct"/>
            <w:vAlign w:val="center"/>
          </w:tcPr>
          <w:p w14:paraId="6E84BB68" w14:textId="77777777" w:rsidR="00CE7824" w:rsidRPr="007F66A7" w:rsidRDefault="00CE7824" w:rsidP="00D920A9">
            <w:pPr>
              <w:pStyle w:val="COMTabletext"/>
              <w:keepLines/>
              <w:jc w:val="center"/>
            </w:pPr>
            <w:r w:rsidRPr="007F66A7">
              <w:t>14.844</w:t>
            </w:r>
          </w:p>
        </w:tc>
        <w:tc>
          <w:tcPr>
            <w:tcW w:w="833" w:type="pct"/>
            <w:vAlign w:val="center"/>
          </w:tcPr>
          <w:p w14:paraId="751666A2" w14:textId="77777777" w:rsidR="00CE7824" w:rsidRPr="007F66A7" w:rsidRDefault="00CE7824" w:rsidP="00D920A9">
            <w:pPr>
              <w:pStyle w:val="COMTabletext"/>
              <w:keepLines/>
              <w:jc w:val="center"/>
            </w:pPr>
            <w:r w:rsidRPr="007F66A7">
              <w:t>0.639</w:t>
            </w:r>
          </w:p>
        </w:tc>
      </w:tr>
      <w:tr w:rsidR="00CE7824" w:rsidRPr="007F66A7" w14:paraId="7D257627" w14:textId="77777777">
        <w:tc>
          <w:tcPr>
            <w:tcW w:w="4167" w:type="pct"/>
            <w:gridSpan w:val="3"/>
            <w:vAlign w:val="center"/>
          </w:tcPr>
          <w:p w14:paraId="13553CD5" w14:textId="77777777" w:rsidR="00CE7824" w:rsidRPr="007F66A7" w:rsidRDefault="00CE7824" w:rsidP="00D920A9">
            <w:pPr>
              <w:pStyle w:val="COMTabletext"/>
              <w:keepLines/>
              <w:rPr>
                <w:rFonts w:ascii="Times" w:hAnsi="Times"/>
              </w:rPr>
            </w:pPr>
            <w:r w:rsidRPr="007F66A7">
              <w:rPr>
                <w:b/>
                <w:bCs w:val="0"/>
              </w:rPr>
              <w:t>Incremental cost per life year gained</w:t>
            </w:r>
          </w:p>
        </w:tc>
        <w:tc>
          <w:tcPr>
            <w:tcW w:w="833" w:type="pct"/>
            <w:vAlign w:val="center"/>
          </w:tcPr>
          <w:p w14:paraId="480B8621" w14:textId="5B9B2ADB" w:rsidR="00CE7824" w:rsidRPr="00966FFF" w:rsidRDefault="00CE7824" w:rsidP="00D920A9">
            <w:pPr>
              <w:pStyle w:val="COMTabletext"/>
              <w:keepLines/>
              <w:jc w:val="center"/>
              <w:rPr>
                <w:b/>
                <w:bCs w:val="0"/>
                <w:vertAlign w:val="superscript"/>
              </w:rPr>
            </w:pPr>
            <w:r w:rsidRPr="007F66A7">
              <w:rPr>
                <w:b/>
                <w:bCs w:val="0"/>
              </w:rPr>
              <w:t>$</w:t>
            </w:r>
            <w:r w:rsidR="00AA4CCB" w:rsidRPr="00AA4CCB">
              <w:rPr>
                <w:b/>
                <w:bCs w:val="0"/>
                <w:color w:val="000000"/>
                <w:spacing w:val="53"/>
                <w:shd w:val="solid" w:color="000000" w:fill="000000"/>
                <w:fitText w:val="345" w:id="-628904703"/>
                <w14:textFill>
                  <w14:solidFill>
                    <w14:srgbClr w14:val="000000">
                      <w14:alpha w14:val="100000"/>
                    </w14:srgbClr>
                  </w14:solidFill>
                </w14:textFill>
              </w:rPr>
              <w:t>|||</w:t>
            </w:r>
            <w:r w:rsidR="00AA4CCB" w:rsidRPr="00AA4CCB">
              <w:rPr>
                <w:b/>
                <w:bCs w:val="0"/>
                <w:color w:val="000000"/>
                <w:spacing w:val="3"/>
                <w:shd w:val="solid" w:color="000000" w:fill="000000"/>
                <w:fitText w:val="345" w:id="-628904703"/>
                <w14:textFill>
                  <w14:solidFill>
                    <w14:srgbClr w14:val="000000">
                      <w14:alpha w14:val="100000"/>
                    </w14:srgbClr>
                  </w14:solidFill>
                </w14:textFill>
              </w:rPr>
              <w:t>|</w:t>
            </w:r>
            <w:r w:rsidR="00966FFF">
              <w:rPr>
                <w:b/>
                <w:bCs w:val="0"/>
                <w:vertAlign w:val="superscript"/>
              </w:rPr>
              <w:t>2</w:t>
            </w:r>
          </w:p>
        </w:tc>
      </w:tr>
      <w:tr w:rsidR="00CE7824" w:rsidRPr="007F66A7" w14:paraId="30E473C3" w14:textId="77777777">
        <w:tc>
          <w:tcPr>
            <w:tcW w:w="5000" w:type="pct"/>
            <w:gridSpan w:val="4"/>
            <w:vAlign w:val="center"/>
          </w:tcPr>
          <w:p w14:paraId="2132B207" w14:textId="67727C8E" w:rsidR="00CE7824" w:rsidRPr="007F66A7" w:rsidRDefault="00CE7824" w:rsidP="00D920A9">
            <w:pPr>
              <w:pStyle w:val="COMTableheadingrow"/>
              <w:keepLines/>
              <w:rPr>
                <w:lang w:val="en-AU"/>
              </w:rPr>
            </w:pPr>
            <w:r w:rsidRPr="007F66A7">
              <w:rPr>
                <w:lang w:val="en-AU"/>
              </w:rPr>
              <w:t xml:space="preserve">Step 3: Add costs of subsequent treatments, administration and supportive therapies; add costs of disease monitoring and adverse events (one-off, </w:t>
            </w:r>
            <w:r w:rsidR="009B0496" w:rsidRPr="007F66A7">
              <w:rPr>
                <w:lang w:val="en-AU"/>
              </w:rPr>
              <w:t>first-line</w:t>
            </w:r>
            <w:r w:rsidRPr="007F66A7">
              <w:rPr>
                <w:lang w:val="en-AU"/>
              </w:rPr>
              <w:t xml:space="preserve"> treatment only)</w:t>
            </w:r>
          </w:p>
        </w:tc>
      </w:tr>
      <w:tr w:rsidR="00CE7824" w:rsidRPr="007F66A7" w14:paraId="7701C178" w14:textId="77777777">
        <w:tc>
          <w:tcPr>
            <w:tcW w:w="1543" w:type="pct"/>
            <w:vAlign w:val="center"/>
          </w:tcPr>
          <w:p w14:paraId="4739C2AD" w14:textId="77777777" w:rsidR="00CE7824" w:rsidRPr="007F66A7" w:rsidRDefault="00CE7824" w:rsidP="00D920A9">
            <w:pPr>
              <w:pStyle w:val="COMTabletext"/>
              <w:keepLines/>
              <w:rPr>
                <w:rFonts w:ascii="Times" w:hAnsi="Times"/>
              </w:rPr>
            </w:pPr>
            <w:r w:rsidRPr="007F66A7">
              <w:t>Costs</w:t>
            </w:r>
          </w:p>
        </w:tc>
        <w:tc>
          <w:tcPr>
            <w:tcW w:w="1354" w:type="pct"/>
            <w:vAlign w:val="center"/>
          </w:tcPr>
          <w:p w14:paraId="0DEE4197" w14:textId="24287E45" w:rsidR="00CE7824" w:rsidRPr="007F66A7" w:rsidRDefault="00CE7824" w:rsidP="00D920A9">
            <w:pPr>
              <w:pStyle w:val="COMTabletext"/>
              <w:keepLines/>
              <w:jc w:val="center"/>
            </w:pPr>
            <w:r w:rsidRPr="007F66A7">
              <w:t>$</w:t>
            </w:r>
            <w:r w:rsidR="00AA4CCB" w:rsidRPr="00AA4CCB">
              <w:rPr>
                <w:color w:val="000000"/>
                <w:spacing w:val="48"/>
                <w:shd w:val="solid" w:color="000000" w:fill="000000"/>
                <w:fitText w:val="315" w:id="-628904702"/>
                <w14:textFill>
                  <w14:solidFill>
                    <w14:srgbClr w14:val="000000">
                      <w14:alpha w14:val="100000"/>
                    </w14:srgbClr>
                  </w14:solidFill>
                </w14:textFill>
              </w:rPr>
              <w:t>|||</w:t>
            </w:r>
            <w:r w:rsidR="00AA4CCB" w:rsidRPr="00AA4CCB">
              <w:rPr>
                <w:color w:val="000000"/>
                <w:spacing w:val="1"/>
                <w:shd w:val="solid" w:color="000000" w:fill="000000"/>
                <w:fitText w:val="315" w:id="-628904702"/>
                <w14:textFill>
                  <w14:solidFill>
                    <w14:srgbClr w14:val="000000">
                      <w14:alpha w14:val="100000"/>
                    </w14:srgbClr>
                  </w14:solidFill>
                </w14:textFill>
              </w:rPr>
              <w:t>|</w:t>
            </w:r>
          </w:p>
        </w:tc>
        <w:tc>
          <w:tcPr>
            <w:tcW w:w="1270" w:type="pct"/>
            <w:vAlign w:val="center"/>
          </w:tcPr>
          <w:p w14:paraId="0856F010" w14:textId="77777777" w:rsidR="00CE7824" w:rsidRPr="007F66A7" w:rsidRDefault="00CE7824" w:rsidP="00D920A9">
            <w:pPr>
              <w:pStyle w:val="COMTabletext"/>
              <w:keepLines/>
              <w:jc w:val="center"/>
            </w:pPr>
            <w:r w:rsidRPr="007F66A7">
              <w:t>$46,487</w:t>
            </w:r>
          </w:p>
        </w:tc>
        <w:tc>
          <w:tcPr>
            <w:tcW w:w="833" w:type="pct"/>
            <w:vAlign w:val="center"/>
          </w:tcPr>
          <w:p w14:paraId="0A443DC1" w14:textId="48992426" w:rsidR="00CE7824" w:rsidRPr="007F66A7" w:rsidRDefault="00CE7824" w:rsidP="00D920A9">
            <w:pPr>
              <w:pStyle w:val="COMTabletext"/>
              <w:keepLines/>
              <w:jc w:val="center"/>
            </w:pPr>
            <w:r w:rsidRPr="007F66A7">
              <w:t>$</w:t>
            </w:r>
            <w:r w:rsidR="00AA4CCB" w:rsidRPr="00AA4CCB">
              <w:rPr>
                <w:color w:val="000000"/>
                <w:spacing w:val="53"/>
                <w:shd w:val="solid" w:color="000000" w:fill="000000"/>
                <w:fitText w:val="330" w:id="-628904701"/>
                <w14:textFill>
                  <w14:solidFill>
                    <w14:srgbClr w14:val="000000">
                      <w14:alpha w14:val="100000"/>
                    </w14:srgbClr>
                  </w14:solidFill>
                </w14:textFill>
              </w:rPr>
              <w:t>|||</w:t>
            </w:r>
            <w:r w:rsidR="00AA4CCB" w:rsidRPr="00AA4CCB">
              <w:rPr>
                <w:color w:val="000000"/>
                <w:spacing w:val="1"/>
                <w:shd w:val="solid" w:color="000000" w:fill="000000"/>
                <w:fitText w:val="330" w:id="-628904701"/>
                <w14:textFill>
                  <w14:solidFill>
                    <w14:srgbClr w14:val="000000">
                      <w14:alpha w14:val="100000"/>
                    </w14:srgbClr>
                  </w14:solidFill>
                </w14:textFill>
              </w:rPr>
              <w:t>|</w:t>
            </w:r>
          </w:p>
        </w:tc>
      </w:tr>
      <w:tr w:rsidR="00CE7824" w:rsidRPr="007F66A7" w14:paraId="2C4D08E4" w14:textId="77777777">
        <w:tc>
          <w:tcPr>
            <w:tcW w:w="1543" w:type="pct"/>
            <w:vAlign w:val="center"/>
          </w:tcPr>
          <w:p w14:paraId="196806D1" w14:textId="77777777" w:rsidR="00CE7824" w:rsidRPr="007F66A7" w:rsidRDefault="00CE7824" w:rsidP="00D920A9">
            <w:pPr>
              <w:pStyle w:val="COMTabletext"/>
              <w:keepLines/>
              <w:rPr>
                <w:rFonts w:ascii="Times" w:hAnsi="Times"/>
              </w:rPr>
            </w:pPr>
            <w:r w:rsidRPr="007F66A7">
              <w:t>Life years</w:t>
            </w:r>
          </w:p>
        </w:tc>
        <w:tc>
          <w:tcPr>
            <w:tcW w:w="1354" w:type="pct"/>
            <w:vAlign w:val="center"/>
          </w:tcPr>
          <w:p w14:paraId="46DA3AE5" w14:textId="77777777" w:rsidR="00CE7824" w:rsidRPr="007F66A7" w:rsidRDefault="00CE7824" w:rsidP="00D920A9">
            <w:pPr>
              <w:pStyle w:val="COMTabletext"/>
              <w:keepLines/>
              <w:jc w:val="center"/>
            </w:pPr>
            <w:r w:rsidRPr="007F66A7">
              <w:t>15.440</w:t>
            </w:r>
          </w:p>
        </w:tc>
        <w:tc>
          <w:tcPr>
            <w:tcW w:w="1270" w:type="pct"/>
            <w:vAlign w:val="center"/>
          </w:tcPr>
          <w:p w14:paraId="3D123B28" w14:textId="77777777" w:rsidR="00CE7824" w:rsidRPr="007F66A7" w:rsidRDefault="00CE7824" w:rsidP="00D920A9">
            <w:pPr>
              <w:pStyle w:val="COMTabletext"/>
              <w:keepLines/>
              <w:jc w:val="center"/>
            </w:pPr>
            <w:r w:rsidRPr="007F66A7">
              <w:t>14.797</w:t>
            </w:r>
          </w:p>
        </w:tc>
        <w:tc>
          <w:tcPr>
            <w:tcW w:w="833" w:type="pct"/>
            <w:vAlign w:val="center"/>
          </w:tcPr>
          <w:p w14:paraId="7F7450CF" w14:textId="77777777" w:rsidR="00CE7824" w:rsidRPr="007F66A7" w:rsidRDefault="00CE7824" w:rsidP="00D920A9">
            <w:pPr>
              <w:pStyle w:val="COMTabletext"/>
              <w:keepLines/>
              <w:jc w:val="center"/>
            </w:pPr>
            <w:r w:rsidRPr="007F66A7">
              <w:t>0.643</w:t>
            </w:r>
          </w:p>
        </w:tc>
      </w:tr>
      <w:tr w:rsidR="00CE7824" w:rsidRPr="007F66A7" w14:paraId="3D83CCC0" w14:textId="77777777">
        <w:tc>
          <w:tcPr>
            <w:tcW w:w="4167" w:type="pct"/>
            <w:gridSpan w:val="3"/>
            <w:vAlign w:val="center"/>
          </w:tcPr>
          <w:p w14:paraId="225AD7B0" w14:textId="77777777" w:rsidR="00CE7824" w:rsidRPr="007F66A7" w:rsidRDefault="00CE7824" w:rsidP="00D920A9">
            <w:pPr>
              <w:pStyle w:val="COMTabletext"/>
              <w:keepLines/>
              <w:rPr>
                <w:b/>
              </w:rPr>
            </w:pPr>
            <w:r w:rsidRPr="007F66A7">
              <w:rPr>
                <w:b/>
              </w:rPr>
              <w:t>Incremental cost per life year gained</w:t>
            </w:r>
          </w:p>
        </w:tc>
        <w:tc>
          <w:tcPr>
            <w:tcW w:w="833" w:type="pct"/>
            <w:vAlign w:val="center"/>
          </w:tcPr>
          <w:p w14:paraId="12115202" w14:textId="5845271F" w:rsidR="00CE7824" w:rsidRPr="00BF2C0A" w:rsidRDefault="00CE7824" w:rsidP="00D920A9">
            <w:pPr>
              <w:pStyle w:val="COMTabletext"/>
              <w:keepLines/>
              <w:jc w:val="center"/>
              <w:rPr>
                <w:b/>
                <w:bCs w:val="0"/>
                <w:vertAlign w:val="superscript"/>
              </w:rPr>
            </w:pPr>
            <w:r w:rsidRPr="007F66A7">
              <w:rPr>
                <w:b/>
                <w:bCs w:val="0"/>
              </w:rPr>
              <w:t>$</w:t>
            </w:r>
            <w:r w:rsidR="00AA4CCB" w:rsidRPr="00AA4CCB">
              <w:rPr>
                <w:b/>
                <w:bCs w:val="0"/>
                <w:color w:val="000000"/>
                <w:spacing w:val="53"/>
                <w:shd w:val="solid" w:color="000000" w:fill="000000"/>
                <w:fitText w:val="345" w:id="-628904700"/>
                <w14:textFill>
                  <w14:solidFill>
                    <w14:srgbClr w14:val="000000">
                      <w14:alpha w14:val="100000"/>
                    </w14:srgbClr>
                  </w14:solidFill>
                </w14:textFill>
              </w:rPr>
              <w:t>|||</w:t>
            </w:r>
            <w:r w:rsidR="00AA4CCB" w:rsidRPr="00AA4CCB">
              <w:rPr>
                <w:b/>
                <w:bCs w:val="0"/>
                <w:color w:val="000000"/>
                <w:spacing w:val="3"/>
                <w:shd w:val="solid" w:color="000000" w:fill="000000"/>
                <w:fitText w:val="345" w:id="-628904700"/>
                <w14:textFill>
                  <w14:solidFill>
                    <w14:srgbClr w14:val="000000">
                      <w14:alpha w14:val="100000"/>
                    </w14:srgbClr>
                  </w14:solidFill>
                </w14:textFill>
              </w:rPr>
              <w:t>|</w:t>
            </w:r>
            <w:r w:rsidR="00BF2C0A">
              <w:rPr>
                <w:b/>
                <w:bCs w:val="0"/>
                <w:vertAlign w:val="superscript"/>
              </w:rPr>
              <w:t>3</w:t>
            </w:r>
          </w:p>
        </w:tc>
      </w:tr>
      <w:tr w:rsidR="00CE7824" w:rsidRPr="007F66A7" w14:paraId="74BCC3FB" w14:textId="77777777">
        <w:tc>
          <w:tcPr>
            <w:tcW w:w="5000" w:type="pct"/>
            <w:gridSpan w:val="4"/>
            <w:vAlign w:val="center"/>
          </w:tcPr>
          <w:p w14:paraId="0452BA2B" w14:textId="136346F2" w:rsidR="00CE7824" w:rsidRPr="007F66A7" w:rsidRDefault="00CE7824" w:rsidP="00D920A9">
            <w:pPr>
              <w:pStyle w:val="COMTableheadingrow"/>
              <w:keepLines/>
              <w:rPr>
                <w:lang w:val="en-AU"/>
              </w:rPr>
            </w:pPr>
            <w:r w:rsidRPr="007F66A7">
              <w:rPr>
                <w:lang w:val="en-AU"/>
              </w:rPr>
              <w:t xml:space="preserve">Step 4: First-line treatment costs in the ABVD arm based on PET-adapted ABVD (2 cycles of ABVD followed by 91.3% receiving a further 4 cycles of AVD and 8.7% receiving a further 4 cycles of </w:t>
            </w:r>
            <w:proofErr w:type="spellStart"/>
            <w:r w:rsidRPr="007F66A7">
              <w:rPr>
                <w:lang w:val="en-AU"/>
              </w:rPr>
              <w:t>eBEACOPP</w:t>
            </w:r>
            <w:proofErr w:type="spellEnd"/>
            <w:r w:rsidRPr="007F66A7">
              <w:rPr>
                <w:lang w:val="en-AU"/>
              </w:rPr>
              <w:t>)</w:t>
            </w:r>
          </w:p>
        </w:tc>
      </w:tr>
      <w:tr w:rsidR="00CE7824" w:rsidRPr="007F66A7" w14:paraId="7DD372EC" w14:textId="77777777">
        <w:tc>
          <w:tcPr>
            <w:tcW w:w="1543" w:type="pct"/>
            <w:vAlign w:val="center"/>
          </w:tcPr>
          <w:p w14:paraId="08B77583" w14:textId="77777777" w:rsidR="00CE7824" w:rsidRPr="007F66A7" w:rsidRDefault="00CE7824" w:rsidP="00D920A9">
            <w:pPr>
              <w:pStyle w:val="COMTabletext"/>
              <w:keepLines/>
              <w:rPr>
                <w:rFonts w:ascii="Times" w:hAnsi="Times"/>
              </w:rPr>
            </w:pPr>
            <w:r w:rsidRPr="007F66A7">
              <w:t>Costs</w:t>
            </w:r>
          </w:p>
        </w:tc>
        <w:tc>
          <w:tcPr>
            <w:tcW w:w="1354" w:type="pct"/>
            <w:vAlign w:val="center"/>
          </w:tcPr>
          <w:p w14:paraId="0123E9DA" w14:textId="7752A583" w:rsidR="00CE7824" w:rsidRPr="007F66A7" w:rsidRDefault="00CE7824" w:rsidP="00D920A9">
            <w:pPr>
              <w:pStyle w:val="COMTabletext"/>
              <w:keepLines/>
              <w:jc w:val="center"/>
            </w:pPr>
            <w:r w:rsidRPr="007F66A7">
              <w:t>$</w:t>
            </w:r>
            <w:r w:rsidR="00AA4CCB" w:rsidRPr="00AA4CCB">
              <w:rPr>
                <w:color w:val="000000"/>
                <w:spacing w:val="48"/>
                <w:shd w:val="solid" w:color="000000" w:fill="000000"/>
                <w:fitText w:val="315" w:id="-628904699"/>
                <w14:textFill>
                  <w14:solidFill>
                    <w14:srgbClr w14:val="000000">
                      <w14:alpha w14:val="100000"/>
                    </w14:srgbClr>
                  </w14:solidFill>
                </w14:textFill>
              </w:rPr>
              <w:t>|||</w:t>
            </w:r>
            <w:r w:rsidR="00AA4CCB" w:rsidRPr="00AA4CCB">
              <w:rPr>
                <w:color w:val="000000"/>
                <w:spacing w:val="1"/>
                <w:shd w:val="solid" w:color="000000" w:fill="000000"/>
                <w:fitText w:val="315" w:id="-628904699"/>
                <w14:textFill>
                  <w14:solidFill>
                    <w14:srgbClr w14:val="000000">
                      <w14:alpha w14:val="100000"/>
                    </w14:srgbClr>
                  </w14:solidFill>
                </w14:textFill>
              </w:rPr>
              <w:t>|</w:t>
            </w:r>
          </w:p>
        </w:tc>
        <w:tc>
          <w:tcPr>
            <w:tcW w:w="1270" w:type="pct"/>
            <w:vAlign w:val="center"/>
          </w:tcPr>
          <w:p w14:paraId="59CEF9B4" w14:textId="77777777" w:rsidR="00CE7824" w:rsidRPr="007F66A7" w:rsidRDefault="00CE7824" w:rsidP="00D920A9">
            <w:pPr>
              <w:pStyle w:val="COMTabletext"/>
              <w:keepLines/>
              <w:jc w:val="center"/>
            </w:pPr>
            <w:r w:rsidRPr="007F66A7">
              <w:t>$45,723</w:t>
            </w:r>
          </w:p>
        </w:tc>
        <w:tc>
          <w:tcPr>
            <w:tcW w:w="833" w:type="pct"/>
            <w:vAlign w:val="center"/>
          </w:tcPr>
          <w:p w14:paraId="744E605B" w14:textId="748EE0B2" w:rsidR="00CE7824" w:rsidRPr="007F66A7" w:rsidRDefault="00CE7824" w:rsidP="00D920A9">
            <w:pPr>
              <w:pStyle w:val="COMTabletext"/>
              <w:keepLines/>
              <w:jc w:val="center"/>
            </w:pPr>
            <w:r w:rsidRPr="007F66A7">
              <w:t>$</w:t>
            </w:r>
            <w:r w:rsidR="00AA4CCB" w:rsidRPr="00AA4CCB">
              <w:rPr>
                <w:color w:val="000000"/>
                <w:spacing w:val="53"/>
                <w:shd w:val="solid" w:color="000000" w:fill="000000"/>
                <w:fitText w:val="330" w:id="-628904698"/>
                <w14:textFill>
                  <w14:solidFill>
                    <w14:srgbClr w14:val="000000">
                      <w14:alpha w14:val="100000"/>
                    </w14:srgbClr>
                  </w14:solidFill>
                </w14:textFill>
              </w:rPr>
              <w:t>|||</w:t>
            </w:r>
            <w:r w:rsidR="00AA4CCB" w:rsidRPr="00AA4CCB">
              <w:rPr>
                <w:color w:val="000000"/>
                <w:spacing w:val="1"/>
                <w:shd w:val="solid" w:color="000000" w:fill="000000"/>
                <w:fitText w:val="330" w:id="-628904698"/>
                <w14:textFill>
                  <w14:solidFill>
                    <w14:srgbClr w14:val="000000">
                      <w14:alpha w14:val="100000"/>
                    </w14:srgbClr>
                  </w14:solidFill>
                </w14:textFill>
              </w:rPr>
              <w:t>|</w:t>
            </w:r>
          </w:p>
        </w:tc>
      </w:tr>
      <w:tr w:rsidR="00CE7824" w:rsidRPr="007F66A7" w14:paraId="4BF3DC13" w14:textId="77777777">
        <w:tc>
          <w:tcPr>
            <w:tcW w:w="1543" w:type="pct"/>
            <w:vAlign w:val="center"/>
          </w:tcPr>
          <w:p w14:paraId="33ECCF48" w14:textId="77777777" w:rsidR="00CE7824" w:rsidRPr="007F66A7" w:rsidRDefault="00CE7824" w:rsidP="00D920A9">
            <w:pPr>
              <w:pStyle w:val="COMTabletext"/>
              <w:keepLines/>
              <w:rPr>
                <w:rFonts w:ascii="Times" w:hAnsi="Times"/>
              </w:rPr>
            </w:pPr>
            <w:r w:rsidRPr="007F66A7">
              <w:t>Life years</w:t>
            </w:r>
          </w:p>
        </w:tc>
        <w:tc>
          <w:tcPr>
            <w:tcW w:w="1354" w:type="pct"/>
            <w:vAlign w:val="center"/>
          </w:tcPr>
          <w:p w14:paraId="1ED8C743" w14:textId="77777777" w:rsidR="00CE7824" w:rsidRPr="007F66A7" w:rsidRDefault="00CE7824" w:rsidP="00D920A9">
            <w:pPr>
              <w:pStyle w:val="COMTabletext"/>
              <w:keepLines/>
              <w:jc w:val="center"/>
            </w:pPr>
            <w:r w:rsidRPr="007F66A7">
              <w:t>15.440</w:t>
            </w:r>
          </w:p>
        </w:tc>
        <w:tc>
          <w:tcPr>
            <w:tcW w:w="1270" w:type="pct"/>
            <w:vAlign w:val="center"/>
          </w:tcPr>
          <w:p w14:paraId="7D612177" w14:textId="77777777" w:rsidR="00CE7824" w:rsidRPr="007F66A7" w:rsidRDefault="00CE7824" w:rsidP="00D920A9">
            <w:pPr>
              <w:pStyle w:val="COMTabletext"/>
              <w:keepLines/>
              <w:jc w:val="center"/>
            </w:pPr>
            <w:r w:rsidRPr="007F66A7">
              <w:t>14.797</w:t>
            </w:r>
          </w:p>
        </w:tc>
        <w:tc>
          <w:tcPr>
            <w:tcW w:w="833" w:type="pct"/>
            <w:vAlign w:val="center"/>
          </w:tcPr>
          <w:p w14:paraId="124DC10D" w14:textId="77777777" w:rsidR="00CE7824" w:rsidRPr="007F66A7" w:rsidRDefault="00CE7824" w:rsidP="00D920A9">
            <w:pPr>
              <w:pStyle w:val="COMTabletext"/>
              <w:keepLines/>
              <w:jc w:val="center"/>
            </w:pPr>
            <w:r w:rsidRPr="007F66A7">
              <w:t>0.643</w:t>
            </w:r>
          </w:p>
        </w:tc>
      </w:tr>
      <w:tr w:rsidR="00CE7824" w:rsidRPr="007F66A7" w14:paraId="5070E6EA" w14:textId="77777777">
        <w:tc>
          <w:tcPr>
            <w:tcW w:w="4167" w:type="pct"/>
            <w:gridSpan w:val="3"/>
            <w:vAlign w:val="center"/>
          </w:tcPr>
          <w:p w14:paraId="654EA243" w14:textId="77777777" w:rsidR="00CE7824" w:rsidRPr="007F66A7" w:rsidRDefault="00CE7824" w:rsidP="00D920A9">
            <w:pPr>
              <w:pStyle w:val="COMTabletext"/>
              <w:keepLines/>
              <w:rPr>
                <w:rFonts w:ascii="Times" w:hAnsi="Times"/>
              </w:rPr>
            </w:pPr>
            <w:r w:rsidRPr="007F66A7">
              <w:rPr>
                <w:b/>
              </w:rPr>
              <w:t>Incremental cost per life year gained</w:t>
            </w:r>
          </w:p>
        </w:tc>
        <w:tc>
          <w:tcPr>
            <w:tcW w:w="833" w:type="pct"/>
            <w:vAlign w:val="center"/>
          </w:tcPr>
          <w:p w14:paraId="14B3CA9F" w14:textId="4268A6B9" w:rsidR="00CE7824" w:rsidRPr="00BF2C0A" w:rsidRDefault="00CE7824" w:rsidP="00D920A9">
            <w:pPr>
              <w:pStyle w:val="COMTabletext"/>
              <w:keepLines/>
              <w:jc w:val="center"/>
              <w:rPr>
                <w:b/>
                <w:bCs w:val="0"/>
                <w:vertAlign w:val="superscript"/>
              </w:rPr>
            </w:pPr>
            <w:r w:rsidRPr="007F66A7">
              <w:rPr>
                <w:b/>
                <w:bCs w:val="0"/>
              </w:rPr>
              <w:t>$</w:t>
            </w:r>
            <w:r w:rsidR="00AA4CCB" w:rsidRPr="00AA4CCB">
              <w:rPr>
                <w:b/>
                <w:bCs w:val="0"/>
                <w:color w:val="000000"/>
                <w:spacing w:val="53"/>
                <w:shd w:val="solid" w:color="000000" w:fill="000000"/>
                <w:fitText w:val="345" w:id="-628904697"/>
                <w14:textFill>
                  <w14:solidFill>
                    <w14:srgbClr w14:val="000000">
                      <w14:alpha w14:val="100000"/>
                    </w14:srgbClr>
                  </w14:solidFill>
                </w14:textFill>
              </w:rPr>
              <w:t>|||</w:t>
            </w:r>
            <w:r w:rsidR="00AA4CCB" w:rsidRPr="00AA4CCB">
              <w:rPr>
                <w:b/>
                <w:bCs w:val="0"/>
                <w:color w:val="000000"/>
                <w:spacing w:val="3"/>
                <w:shd w:val="solid" w:color="000000" w:fill="000000"/>
                <w:fitText w:val="345" w:id="-628904697"/>
                <w14:textFill>
                  <w14:solidFill>
                    <w14:srgbClr w14:val="000000">
                      <w14:alpha w14:val="100000"/>
                    </w14:srgbClr>
                  </w14:solidFill>
                </w14:textFill>
              </w:rPr>
              <w:t>|</w:t>
            </w:r>
            <w:r w:rsidR="00BF2C0A">
              <w:rPr>
                <w:b/>
                <w:bCs w:val="0"/>
                <w:vertAlign w:val="superscript"/>
              </w:rPr>
              <w:t>3</w:t>
            </w:r>
          </w:p>
        </w:tc>
      </w:tr>
      <w:tr w:rsidR="00CE7824" w:rsidRPr="007F66A7" w14:paraId="35A9E429" w14:textId="77777777">
        <w:tc>
          <w:tcPr>
            <w:tcW w:w="5000" w:type="pct"/>
            <w:gridSpan w:val="4"/>
            <w:vAlign w:val="center"/>
          </w:tcPr>
          <w:p w14:paraId="16577ED8" w14:textId="77777777" w:rsidR="00CE7824" w:rsidRPr="007F66A7" w:rsidRDefault="00CE7824" w:rsidP="00D920A9">
            <w:pPr>
              <w:pStyle w:val="COMTableheadingrow"/>
              <w:keepLines/>
              <w:rPr>
                <w:lang w:val="en-AU"/>
              </w:rPr>
            </w:pPr>
            <w:r w:rsidRPr="007F66A7">
              <w:rPr>
                <w:lang w:val="en-AU"/>
              </w:rPr>
              <w:t>Step 5: Add health state utilities and adverse event disutilities</w:t>
            </w:r>
          </w:p>
        </w:tc>
      </w:tr>
      <w:tr w:rsidR="00CE7824" w:rsidRPr="007F66A7" w14:paraId="17CA11AB" w14:textId="77777777">
        <w:tc>
          <w:tcPr>
            <w:tcW w:w="1543" w:type="pct"/>
            <w:vAlign w:val="center"/>
          </w:tcPr>
          <w:p w14:paraId="51A2BB81" w14:textId="77777777" w:rsidR="00CE7824" w:rsidRPr="007F66A7" w:rsidRDefault="00CE7824" w:rsidP="00D920A9">
            <w:pPr>
              <w:pStyle w:val="COMTabletext"/>
              <w:keepLines/>
              <w:rPr>
                <w:rFonts w:ascii="Times" w:hAnsi="Times"/>
              </w:rPr>
            </w:pPr>
            <w:r w:rsidRPr="007F66A7">
              <w:t>Costs</w:t>
            </w:r>
          </w:p>
        </w:tc>
        <w:tc>
          <w:tcPr>
            <w:tcW w:w="1354" w:type="pct"/>
            <w:vAlign w:val="center"/>
          </w:tcPr>
          <w:p w14:paraId="6B00300F" w14:textId="42AA96D6" w:rsidR="00CE7824" w:rsidRPr="007F66A7" w:rsidRDefault="00CE7824" w:rsidP="00D920A9">
            <w:pPr>
              <w:pStyle w:val="COMTabletext"/>
              <w:keepLines/>
              <w:jc w:val="center"/>
            </w:pPr>
            <w:r w:rsidRPr="007F66A7">
              <w:t>$</w:t>
            </w:r>
            <w:r w:rsidR="00AA4CCB" w:rsidRPr="00AA4CCB">
              <w:rPr>
                <w:color w:val="000000"/>
                <w:spacing w:val="48"/>
                <w:shd w:val="solid" w:color="000000" w:fill="000000"/>
                <w:fitText w:val="315" w:id="-628904696"/>
                <w14:textFill>
                  <w14:solidFill>
                    <w14:srgbClr w14:val="000000">
                      <w14:alpha w14:val="100000"/>
                    </w14:srgbClr>
                  </w14:solidFill>
                </w14:textFill>
              </w:rPr>
              <w:t>|||</w:t>
            </w:r>
            <w:r w:rsidR="00AA4CCB" w:rsidRPr="00AA4CCB">
              <w:rPr>
                <w:color w:val="000000"/>
                <w:spacing w:val="1"/>
                <w:shd w:val="solid" w:color="000000" w:fill="000000"/>
                <w:fitText w:val="315" w:id="-628904696"/>
                <w14:textFill>
                  <w14:solidFill>
                    <w14:srgbClr w14:val="000000">
                      <w14:alpha w14:val="100000"/>
                    </w14:srgbClr>
                  </w14:solidFill>
                </w14:textFill>
              </w:rPr>
              <w:t>|</w:t>
            </w:r>
          </w:p>
        </w:tc>
        <w:tc>
          <w:tcPr>
            <w:tcW w:w="1270" w:type="pct"/>
            <w:vAlign w:val="center"/>
          </w:tcPr>
          <w:p w14:paraId="01409462" w14:textId="77777777" w:rsidR="00CE7824" w:rsidRPr="007F66A7" w:rsidRDefault="00CE7824" w:rsidP="00D920A9">
            <w:pPr>
              <w:pStyle w:val="COMTabletext"/>
              <w:keepLines/>
              <w:jc w:val="center"/>
            </w:pPr>
            <w:r w:rsidRPr="007F66A7">
              <w:t>$45,723</w:t>
            </w:r>
          </w:p>
        </w:tc>
        <w:tc>
          <w:tcPr>
            <w:tcW w:w="833" w:type="pct"/>
            <w:vAlign w:val="center"/>
          </w:tcPr>
          <w:p w14:paraId="25891A7E" w14:textId="203F434B" w:rsidR="00CE7824" w:rsidRPr="007F66A7" w:rsidRDefault="00CE7824" w:rsidP="00D920A9">
            <w:pPr>
              <w:pStyle w:val="COMTabletext"/>
              <w:keepLines/>
              <w:jc w:val="center"/>
            </w:pPr>
            <w:r w:rsidRPr="007F66A7">
              <w:t>$</w:t>
            </w:r>
            <w:r w:rsidR="00AA4CCB" w:rsidRPr="00AA4CCB">
              <w:rPr>
                <w:color w:val="000000"/>
                <w:spacing w:val="53"/>
                <w:shd w:val="solid" w:color="000000" w:fill="000000"/>
                <w:fitText w:val="330" w:id="-628904695"/>
                <w14:textFill>
                  <w14:solidFill>
                    <w14:srgbClr w14:val="000000">
                      <w14:alpha w14:val="100000"/>
                    </w14:srgbClr>
                  </w14:solidFill>
                </w14:textFill>
              </w:rPr>
              <w:t>|||</w:t>
            </w:r>
            <w:r w:rsidR="00AA4CCB" w:rsidRPr="00AA4CCB">
              <w:rPr>
                <w:color w:val="000000"/>
                <w:spacing w:val="1"/>
                <w:shd w:val="solid" w:color="000000" w:fill="000000"/>
                <w:fitText w:val="330" w:id="-628904695"/>
                <w14:textFill>
                  <w14:solidFill>
                    <w14:srgbClr w14:val="000000">
                      <w14:alpha w14:val="100000"/>
                    </w14:srgbClr>
                  </w14:solidFill>
                </w14:textFill>
              </w:rPr>
              <w:t>|</w:t>
            </w:r>
          </w:p>
        </w:tc>
      </w:tr>
      <w:tr w:rsidR="00CE7824" w:rsidRPr="007F66A7" w14:paraId="000BED73" w14:textId="77777777">
        <w:tc>
          <w:tcPr>
            <w:tcW w:w="1543" w:type="pct"/>
            <w:vAlign w:val="center"/>
          </w:tcPr>
          <w:p w14:paraId="3E148D73" w14:textId="77777777" w:rsidR="00CE7824" w:rsidRPr="007F66A7" w:rsidRDefault="00CE7824" w:rsidP="00D920A9">
            <w:pPr>
              <w:pStyle w:val="COMTabletext"/>
              <w:keepLines/>
              <w:rPr>
                <w:rFonts w:ascii="Times" w:hAnsi="Times"/>
              </w:rPr>
            </w:pPr>
            <w:r w:rsidRPr="007F66A7">
              <w:t>QALYs</w:t>
            </w:r>
          </w:p>
        </w:tc>
        <w:tc>
          <w:tcPr>
            <w:tcW w:w="1354" w:type="pct"/>
            <w:vAlign w:val="center"/>
          </w:tcPr>
          <w:p w14:paraId="35833913" w14:textId="77777777" w:rsidR="00CE7824" w:rsidRPr="007F66A7" w:rsidRDefault="00CE7824" w:rsidP="00D920A9">
            <w:pPr>
              <w:pStyle w:val="COMTabletext"/>
              <w:keepLines/>
              <w:jc w:val="center"/>
            </w:pPr>
            <w:r w:rsidRPr="007F66A7">
              <w:t>12.262</w:t>
            </w:r>
          </w:p>
        </w:tc>
        <w:tc>
          <w:tcPr>
            <w:tcW w:w="1270" w:type="pct"/>
            <w:vAlign w:val="center"/>
          </w:tcPr>
          <w:p w14:paraId="06316A38" w14:textId="77777777" w:rsidR="00CE7824" w:rsidRPr="007F66A7" w:rsidRDefault="00CE7824" w:rsidP="00D920A9">
            <w:pPr>
              <w:pStyle w:val="COMTabletext"/>
              <w:keepLines/>
              <w:jc w:val="center"/>
            </w:pPr>
            <w:r w:rsidRPr="007F66A7">
              <w:t>11.723</w:t>
            </w:r>
          </w:p>
        </w:tc>
        <w:tc>
          <w:tcPr>
            <w:tcW w:w="833" w:type="pct"/>
            <w:vAlign w:val="center"/>
          </w:tcPr>
          <w:p w14:paraId="30C4916E" w14:textId="77777777" w:rsidR="00CE7824" w:rsidRPr="007F66A7" w:rsidRDefault="00CE7824" w:rsidP="00D920A9">
            <w:pPr>
              <w:pStyle w:val="COMTabletext"/>
              <w:keepLines/>
              <w:jc w:val="center"/>
            </w:pPr>
            <w:r w:rsidRPr="007F66A7">
              <w:t>0.539</w:t>
            </w:r>
          </w:p>
        </w:tc>
      </w:tr>
      <w:tr w:rsidR="00CE7824" w:rsidRPr="007F66A7" w14:paraId="779B3573" w14:textId="77777777">
        <w:tc>
          <w:tcPr>
            <w:tcW w:w="4167" w:type="pct"/>
            <w:gridSpan w:val="3"/>
            <w:vAlign w:val="center"/>
          </w:tcPr>
          <w:p w14:paraId="64A10900" w14:textId="77777777" w:rsidR="00CE7824" w:rsidRPr="007F66A7" w:rsidRDefault="00CE7824" w:rsidP="00D920A9">
            <w:pPr>
              <w:pStyle w:val="COMTabletext"/>
              <w:keepLines/>
              <w:rPr>
                <w:rFonts w:ascii="Times" w:hAnsi="Times"/>
                <w:b/>
              </w:rPr>
            </w:pPr>
            <w:r w:rsidRPr="007F66A7">
              <w:rPr>
                <w:b/>
              </w:rPr>
              <w:t xml:space="preserve">Incremental cost per QALY gained </w:t>
            </w:r>
          </w:p>
        </w:tc>
        <w:tc>
          <w:tcPr>
            <w:tcW w:w="833" w:type="pct"/>
            <w:vAlign w:val="center"/>
          </w:tcPr>
          <w:p w14:paraId="10E335FF" w14:textId="6D9CBCED" w:rsidR="00CE7824" w:rsidRPr="00966FFF" w:rsidRDefault="00CE7824" w:rsidP="00D920A9">
            <w:pPr>
              <w:pStyle w:val="COMTabletext"/>
              <w:keepLines/>
              <w:jc w:val="center"/>
              <w:rPr>
                <w:b/>
                <w:bCs w:val="0"/>
                <w:vertAlign w:val="superscript"/>
              </w:rPr>
            </w:pPr>
            <w:r w:rsidRPr="007F66A7">
              <w:rPr>
                <w:b/>
                <w:bCs w:val="0"/>
              </w:rPr>
              <w:t>$</w:t>
            </w:r>
            <w:r w:rsidR="00AA4CCB" w:rsidRPr="00AA4CCB">
              <w:rPr>
                <w:b/>
                <w:bCs w:val="0"/>
                <w:color w:val="000000"/>
                <w:spacing w:val="53"/>
                <w:shd w:val="solid" w:color="000000" w:fill="000000"/>
                <w:fitText w:val="345" w:id="-628904694"/>
                <w14:textFill>
                  <w14:solidFill>
                    <w14:srgbClr w14:val="000000">
                      <w14:alpha w14:val="100000"/>
                    </w14:srgbClr>
                  </w14:solidFill>
                </w14:textFill>
              </w:rPr>
              <w:t>|||</w:t>
            </w:r>
            <w:r w:rsidR="00AA4CCB" w:rsidRPr="00AA4CCB">
              <w:rPr>
                <w:b/>
                <w:bCs w:val="0"/>
                <w:color w:val="000000"/>
                <w:spacing w:val="3"/>
                <w:shd w:val="solid" w:color="000000" w:fill="000000"/>
                <w:fitText w:val="345" w:id="-628904694"/>
                <w14:textFill>
                  <w14:solidFill>
                    <w14:srgbClr w14:val="000000">
                      <w14:alpha w14:val="100000"/>
                    </w14:srgbClr>
                  </w14:solidFill>
                </w14:textFill>
              </w:rPr>
              <w:t>|</w:t>
            </w:r>
            <w:r w:rsidR="00966FFF">
              <w:rPr>
                <w:b/>
                <w:bCs w:val="0"/>
                <w:vertAlign w:val="superscript"/>
              </w:rPr>
              <w:t>2</w:t>
            </w:r>
          </w:p>
        </w:tc>
      </w:tr>
      <w:tr w:rsidR="00CE7824" w:rsidRPr="007F66A7" w14:paraId="7B15E48D" w14:textId="77777777">
        <w:tc>
          <w:tcPr>
            <w:tcW w:w="5000" w:type="pct"/>
            <w:gridSpan w:val="4"/>
            <w:shd w:val="clear" w:color="auto" w:fill="B8CCE4" w:themeFill="accent1" w:themeFillTint="66"/>
            <w:vAlign w:val="center"/>
          </w:tcPr>
          <w:p w14:paraId="185E775D" w14:textId="77777777" w:rsidR="00CE7824" w:rsidRPr="007F66A7" w:rsidRDefault="00CE7824" w:rsidP="00D920A9">
            <w:pPr>
              <w:pStyle w:val="COMTableheadingrow"/>
              <w:keepLines/>
              <w:rPr>
                <w:lang w:val="en-AU"/>
              </w:rPr>
            </w:pPr>
            <w:r w:rsidRPr="007F66A7">
              <w:rPr>
                <w:lang w:val="en-AU"/>
              </w:rPr>
              <w:t xml:space="preserve">March 2024 submission </w:t>
            </w:r>
          </w:p>
        </w:tc>
      </w:tr>
      <w:tr w:rsidR="00CE7824" w:rsidRPr="007F66A7" w14:paraId="3C8A4152" w14:textId="77777777">
        <w:tc>
          <w:tcPr>
            <w:tcW w:w="1543" w:type="pct"/>
            <w:shd w:val="clear" w:color="auto" w:fill="B8CCE4" w:themeFill="accent1" w:themeFillTint="66"/>
            <w:vAlign w:val="center"/>
          </w:tcPr>
          <w:p w14:paraId="11EDF727" w14:textId="77777777" w:rsidR="00CE7824" w:rsidRPr="007F66A7" w:rsidRDefault="00CE7824" w:rsidP="00D920A9">
            <w:pPr>
              <w:pStyle w:val="COMTabletext"/>
              <w:keepLines/>
              <w:rPr>
                <w:rFonts w:ascii="Times" w:hAnsi="Times"/>
              </w:rPr>
            </w:pPr>
            <w:r w:rsidRPr="007F66A7">
              <w:t>Costs</w:t>
            </w:r>
          </w:p>
        </w:tc>
        <w:tc>
          <w:tcPr>
            <w:tcW w:w="1354" w:type="pct"/>
            <w:shd w:val="clear" w:color="auto" w:fill="B8CCE4" w:themeFill="accent1" w:themeFillTint="66"/>
            <w:vAlign w:val="center"/>
          </w:tcPr>
          <w:p w14:paraId="712F4571" w14:textId="13B132CD" w:rsidR="00CE7824" w:rsidRPr="007F66A7" w:rsidRDefault="00CE7824" w:rsidP="00D920A9">
            <w:pPr>
              <w:pStyle w:val="COMTabletext"/>
              <w:keepLines/>
              <w:jc w:val="center"/>
            </w:pPr>
            <w:r w:rsidRPr="007F66A7">
              <w:t>$</w:t>
            </w:r>
            <w:r w:rsidR="00AA4CCB" w:rsidRPr="00AA4CCB">
              <w:rPr>
                <w:color w:val="000000"/>
                <w:spacing w:val="48"/>
                <w:shd w:val="solid" w:color="000000" w:fill="000000"/>
                <w:fitText w:val="315" w:id="-628904693"/>
                <w14:textFill>
                  <w14:solidFill>
                    <w14:srgbClr w14:val="000000">
                      <w14:alpha w14:val="100000"/>
                    </w14:srgbClr>
                  </w14:solidFill>
                </w14:textFill>
              </w:rPr>
              <w:t>|||</w:t>
            </w:r>
            <w:r w:rsidR="00AA4CCB" w:rsidRPr="00AA4CCB">
              <w:rPr>
                <w:color w:val="000000"/>
                <w:spacing w:val="1"/>
                <w:shd w:val="solid" w:color="000000" w:fill="000000"/>
                <w:fitText w:val="315" w:id="-628904693"/>
                <w14:textFill>
                  <w14:solidFill>
                    <w14:srgbClr w14:val="000000">
                      <w14:alpha w14:val="100000"/>
                    </w14:srgbClr>
                  </w14:solidFill>
                </w14:textFill>
              </w:rPr>
              <w:t>|</w:t>
            </w:r>
          </w:p>
        </w:tc>
        <w:tc>
          <w:tcPr>
            <w:tcW w:w="1270" w:type="pct"/>
            <w:shd w:val="clear" w:color="auto" w:fill="B8CCE4" w:themeFill="accent1" w:themeFillTint="66"/>
            <w:vAlign w:val="center"/>
          </w:tcPr>
          <w:p w14:paraId="3D87FBAF" w14:textId="77777777" w:rsidR="00CE7824" w:rsidRPr="007F66A7" w:rsidRDefault="00CE7824" w:rsidP="00D920A9">
            <w:pPr>
              <w:pStyle w:val="COMTabletext"/>
              <w:keepLines/>
              <w:jc w:val="center"/>
            </w:pPr>
            <w:r w:rsidRPr="007F66A7">
              <w:t>$50,182</w:t>
            </w:r>
          </w:p>
        </w:tc>
        <w:tc>
          <w:tcPr>
            <w:tcW w:w="833" w:type="pct"/>
            <w:shd w:val="clear" w:color="auto" w:fill="B8CCE4" w:themeFill="accent1" w:themeFillTint="66"/>
            <w:vAlign w:val="center"/>
          </w:tcPr>
          <w:p w14:paraId="24CF3753" w14:textId="611FBECF" w:rsidR="00CE7824" w:rsidRPr="007F66A7" w:rsidRDefault="00CE7824" w:rsidP="00D920A9">
            <w:pPr>
              <w:pStyle w:val="COMTabletext"/>
              <w:keepLines/>
              <w:jc w:val="center"/>
            </w:pPr>
            <w:r w:rsidRPr="007F66A7">
              <w:t>$</w:t>
            </w:r>
            <w:r w:rsidR="00AA4CCB" w:rsidRPr="00AA4CCB">
              <w:rPr>
                <w:color w:val="000000"/>
                <w:spacing w:val="53"/>
                <w:shd w:val="solid" w:color="000000" w:fill="000000"/>
                <w:fitText w:val="330" w:id="-628904692"/>
                <w14:textFill>
                  <w14:solidFill>
                    <w14:srgbClr w14:val="000000">
                      <w14:alpha w14:val="100000"/>
                    </w14:srgbClr>
                  </w14:solidFill>
                </w14:textFill>
              </w:rPr>
              <w:t>|||</w:t>
            </w:r>
            <w:r w:rsidR="00AA4CCB" w:rsidRPr="00AA4CCB">
              <w:rPr>
                <w:color w:val="000000"/>
                <w:spacing w:val="1"/>
                <w:shd w:val="solid" w:color="000000" w:fill="000000"/>
                <w:fitText w:val="330" w:id="-628904692"/>
                <w14:textFill>
                  <w14:solidFill>
                    <w14:srgbClr w14:val="000000">
                      <w14:alpha w14:val="100000"/>
                    </w14:srgbClr>
                  </w14:solidFill>
                </w14:textFill>
              </w:rPr>
              <w:t>|</w:t>
            </w:r>
          </w:p>
        </w:tc>
      </w:tr>
      <w:tr w:rsidR="00CE7824" w:rsidRPr="007F66A7" w14:paraId="7B198DBC" w14:textId="77777777">
        <w:tc>
          <w:tcPr>
            <w:tcW w:w="1543" w:type="pct"/>
            <w:shd w:val="clear" w:color="auto" w:fill="B8CCE4" w:themeFill="accent1" w:themeFillTint="66"/>
            <w:vAlign w:val="center"/>
          </w:tcPr>
          <w:p w14:paraId="1EF8BC49" w14:textId="77777777" w:rsidR="00CE7824" w:rsidRPr="007F66A7" w:rsidRDefault="00CE7824" w:rsidP="00D920A9">
            <w:pPr>
              <w:pStyle w:val="COMTabletext"/>
              <w:keepLines/>
              <w:rPr>
                <w:rFonts w:ascii="Times" w:hAnsi="Times"/>
              </w:rPr>
            </w:pPr>
            <w:r w:rsidRPr="007F66A7">
              <w:t>QALYs</w:t>
            </w:r>
          </w:p>
        </w:tc>
        <w:tc>
          <w:tcPr>
            <w:tcW w:w="1354" w:type="pct"/>
            <w:shd w:val="clear" w:color="auto" w:fill="B8CCE4" w:themeFill="accent1" w:themeFillTint="66"/>
          </w:tcPr>
          <w:p w14:paraId="475BF9A9" w14:textId="77777777" w:rsidR="00CE7824" w:rsidRPr="007F66A7" w:rsidRDefault="00CE7824" w:rsidP="00D920A9">
            <w:pPr>
              <w:pStyle w:val="COMTabletext"/>
              <w:keepLines/>
              <w:jc w:val="center"/>
            </w:pPr>
            <w:r w:rsidRPr="007F66A7">
              <w:t>11.655</w:t>
            </w:r>
          </w:p>
        </w:tc>
        <w:tc>
          <w:tcPr>
            <w:tcW w:w="1270" w:type="pct"/>
            <w:shd w:val="clear" w:color="auto" w:fill="B8CCE4" w:themeFill="accent1" w:themeFillTint="66"/>
          </w:tcPr>
          <w:p w14:paraId="2E85AAA0" w14:textId="77777777" w:rsidR="00CE7824" w:rsidRPr="007F66A7" w:rsidRDefault="00CE7824" w:rsidP="00D920A9">
            <w:pPr>
              <w:pStyle w:val="COMTabletext"/>
              <w:keepLines/>
              <w:jc w:val="center"/>
            </w:pPr>
            <w:r w:rsidRPr="007F66A7">
              <w:t>11.136</w:t>
            </w:r>
          </w:p>
        </w:tc>
        <w:tc>
          <w:tcPr>
            <w:tcW w:w="833" w:type="pct"/>
            <w:shd w:val="clear" w:color="auto" w:fill="B8CCE4" w:themeFill="accent1" w:themeFillTint="66"/>
          </w:tcPr>
          <w:p w14:paraId="58EF9AFC" w14:textId="77777777" w:rsidR="00CE7824" w:rsidRPr="007F66A7" w:rsidRDefault="00CE7824" w:rsidP="00D920A9">
            <w:pPr>
              <w:pStyle w:val="COMTabletext"/>
              <w:keepLines/>
              <w:jc w:val="center"/>
            </w:pPr>
            <w:r w:rsidRPr="007F66A7">
              <w:t>0.520</w:t>
            </w:r>
          </w:p>
        </w:tc>
      </w:tr>
      <w:tr w:rsidR="00CE7824" w:rsidRPr="007F66A7" w14:paraId="3FBC7C13" w14:textId="77777777">
        <w:tc>
          <w:tcPr>
            <w:tcW w:w="4167" w:type="pct"/>
            <w:gridSpan w:val="3"/>
            <w:shd w:val="clear" w:color="auto" w:fill="B8CCE4" w:themeFill="accent1" w:themeFillTint="66"/>
            <w:vAlign w:val="center"/>
          </w:tcPr>
          <w:p w14:paraId="1E5F5D7C" w14:textId="77777777" w:rsidR="00CE7824" w:rsidRPr="007F66A7" w:rsidRDefault="00CE7824" w:rsidP="00D920A9">
            <w:pPr>
              <w:pStyle w:val="COMTabletext"/>
              <w:keepLines/>
              <w:rPr>
                <w:rFonts w:ascii="Times" w:hAnsi="Times"/>
                <w:b/>
              </w:rPr>
            </w:pPr>
            <w:r w:rsidRPr="007F66A7">
              <w:rPr>
                <w:b/>
              </w:rPr>
              <w:t xml:space="preserve">Incremental cost per QALY gained </w:t>
            </w:r>
          </w:p>
        </w:tc>
        <w:tc>
          <w:tcPr>
            <w:tcW w:w="833" w:type="pct"/>
            <w:shd w:val="clear" w:color="auto" w:fill="B8CCE4" w:themeFill="accent1" w:themeFillTint="66"/>
            <w:vAlign w:val="center"/>
          </w:tcPr>
          <w:p w14:paraId="4B921F02" w14:textId="206C715D" w:rsidR="00CE7824" w:rsidRPr="007F66A7" w:rsidRDefault="00CE7824" w:rsidP="00D920A9">
            <w:pPr>
              <w:pStyle w:val="COMTabletext"/>
              <w:keepLines/>
              <w:jc w:val="center"/>
              <w:rPr>
                <w:b/>
                <w:bCs w:val="0"/>
                <w:vertAlign w:val="superscript"/>
              </w:rPr>
            </w:pPr>
            <w:r w:rsidRPr="007F66A7">
              <w:rPr>
                <w:b/>
                <w:bCs w:val="0"/>
              </w:rPr>
              <w:t>$</w:t>
            </w:r>
            <w:r w:rsidR="00AA4CCB">
              <w:rPr>
                <w:b/>
                <w:bCs w:val="0"/>
                <w:color w:val="000000"/>
                <w:spacing w:val="58"/>
                <w:shd w:val="solid" w:color="000000" w:fill="000000"/>
                <w:fitText w:val="360" w:id="-628904691"/>
                <w14:textFill>
                  <w14:solidFill>
                    <w14:srgbClr w14:val="000000">
                      <w14:alpha w14:val="100000"/>
                    </w14:srgbClr>
                  </w14:solidFill>
                </w14:textFill>
              </w:rPr>
              <w:t>|||</w:t>
            </w:r>
            <w:r w:rsidR="00AA4CCB">
              <w:rPr>
                <w:b/>
                <w:bCs w:val="0"/>
                <w:color w:val="000000"/>
                <w:spacing w:val="2"/>
                <w:shd w:val="solid" w:color="000000" w:fill="000000"/>
                <w:fitText w:val="360" w:id="-628904691"/>
                <w14:textFill>
                  <w14:solidFill>
                    <w14:srgbClr w14:val="000000">
                      <w14:alpha w14:val="100000"/>
                    </w14:srgbClr>
                  </w14:solidFill>
                </w14:textFill>
              </w:rPr>
              <w:t>|</w:t>
            </w:r>
            <w:r w:rsidR="003266A0" w:rsidRPr="007F66A7">
              <w:rPr>
                <w:b/>
                <w:bCs w:val="0"/>
              </w:rPr>
              <w:t xml:space="preserve"> </w:t>
            </w:r>
            <w:r w:rsidR="003266A0" w:rsidRPr="007F66A7">
              <w:rPr>
                <w:b/>
                <w:bCs w:val="0"/>
                <w:vertAlign w:val="superscript"/>
              </w:rPr>
              <w:t>a</w:t>
            </w:r>
            <w:r w:rsidR="00BF2C0A">
              <w:rPr>
                <w:b/>
                <w:bCs w:val="0"/>
                <w:vertAlign w:val="superscript"/>
              </w:rPr>
              <w:t>3</w:t>
            </w:r>
          </w:p>
        </w:tc>
      </w:tr>
    </w:tbl>
    <w:p w14:paraId="4478F584" w14:textId="77777777" w:rsidR="00CE7824" w:rsidRPr="007F66A7" w:rsidRDefault="00CE7824" w:rsidP="00D920A9">
      <w:pPr>
        <w:pStyle w:val="COMTablefooter"/>
        <w:keepNext/>
        <w:keepLines/>
      </w:pPr>
      <w:r w:rsidRPr="007F66A7">
        <w:t>Source: pp183-185 and Table 3.28, p258 of the resubmission; Section 3 economic model of the resubmission</w:t>
      </w:r>
    </w:p>
    <w:p w14:paraId="1DA652A8" w14:textId="6ED9972A" w:rsidR="00CE7824" w:rsidRPr="007F66A7" w:rsidRDefault="00CE7824" w:rsidP="00D920A9">
      <w:pPr>
        <w:pStyle w:val="COMTablefooter"/>
        <w:keepNext/>
        <w:keepLines/>
      </w:pPr>
      <w:r w:rsidRPr="007F66A7">
        <w:t xml:space="preserve">Abbreviations: A+AVD, brentuximab vedotin plus doxorubicin, vinblastine, dacarbazine; ABVD, doxorubicin, bleomycin, vinblastine, and dacarbazine; </w:t>
      </w:r>
      <w:proofErr w:type="spellStart"/>
      <w:r w:rsidRPr="007F66A7">
        <w:t>eBEACOPP</w:t>
      </w:r>
      <w:proofErr w:type="spellEnd"/>
      <w:r w:rsidRPr="007F66A7">
        <w:t>, escalated bleomycin, etoposide, doxorubicin, cyclophosphamide, vincristine, procarbazine, and prednisolone; OS, overall survival; PFS, progression-free survival; QALY, quality adjusted life year</w:t>
      </w:r>
    </w:p>
    <w:p w14:paraId="57EF4C37" w14:textId="49FA5C8D" w:rsidR="003266A0" w:rsidRPr="007F66A7" w:rsidRDefault="003266A0" w:rsidP="00D920A9">
      <w:pPr>
        <w:pStyle w:val="COMTablefooter"/>
        <w:keepNext/>
        <w:keepLines/>
      </w:pPr>
      <w:r w:rsidRPr="007F66A7">
        <w:rPr>
          <w:vertAlign w:val="superscript"/>
        </w:rPr>
        <w:t>a</w:t>
      </w:r>
      <w:r w:rsidRPr="007F66A7">
        <w:t xml:space="preserve"> Revised base case </w:t>
      </w:r>
      <w:r w:rsidR="00CE17C4" w:rsidRPr="007F66A7">
        <w:t>corrected for errors identified during the evaluation</w:t>
      </w:r>
    </w:p>
    <w:p w14:paraId="2ABC1919" w14:textId="77777777" w:rsidR="00664440" w:rsidRDefault="002C6610" w:rsidP="00664440">
      <w:pPr>
        <w:pStyle w:val="COMTablefooter"/>
        <w:keepNext/>
        <w:keepLines/>
        <w:rPr>
          <w:i/>
          <w:szCs w:val="18"/>
        </w:rPr>
      </w:pPr>
      <w:r w:rsidRPr="007F66A7">
        <w:t>Note: Blue shading delineates data presented in the March 2024 submission</w:t>
      </w:r>
      <w:r w:rsidR="00664440" w:rsidRPr="00664440">
        <w:rPr>
          <w:i/>
          <w:szCs w:val="18"/>
        </w:rPr>
        <w:t xml:space="preserve"> </w:t>
      </w:r>
    </w:p>
    <w:p w14:paraId="4FA79C55" w14:textId="1B6C7473" w:rsidR="00664440" w:rsidRPr="00664440" w:rsidRDefault="00664440" w:rsidP="00664440">
      <w:pPr>
        <w:pStyle w:val="COMTablefooter"/>
        <w:keepNext/>
        <w:keepLines/>
        <w:rPr>
          <w:i/>
        </w:rPr>
      </w:pPr>
      <w:r w:rsidRPr="00664440">
        <w:rPr>
          <w:i/>
        </w:rPr>
        <w:t xml:space="preserve">The redacted values correspond to the following ranges: </w:t>
      </w:r>
    </w:p>
    <w:p w14:paraId="6C255719" w14:textId="659E804E" w:rsidR="00664440" w:rsidRPr="00664440" w:rsidRDefault="00664440" w:rsidP="00664440">
      <w:pPr>
        <w:pStyle w:val="COMTablefooter"/>
        <w:keepNext/>
        <w:keepLines/>
        <w:rPr>
          <w:i/>
        </w:rPr>
      </w:pPr>
      <w:r w:rsidRPr="00664440">
        <w:rPr>
          <w:i/>
          <w:vertAlign w:val="superscript"/>
        </w:rPr>
        <w:t>1</w:t>
      </w:r>
      <w:r w:rsidRPr="00664440">
        <w:rPr>
          <w:i/>
        </w:rPr>
        <w:t xml:space="preserve"> </w:t>
      </w:r>
      <w:r w:rsidR="0099766D" w:rsidRPr="0099766D">
        <w:rPr>
          <w:i/>
        </w:rPr>
        <w:t>$155,000 to &lt; $255,000</w:t>
      </w:r>
    </w:p>
    <w:p w14:paraId="6F8B3B56" w14:textId="55DDFEC3" w:rsidR="00664440" w:rsidRPr="00664440" w:rsidRDefault="00664440" w:rsidP="00664440">
      <w:pPr>
        <w:pStyle w:val="COMTablefooter"/>
        <w:keepNext/>
        <w:keepLines/>
        <w:rPr>
          <w:i/>
        </w:rPr>
      </w:pPr>
      <w:r w:rsidRPr="00664440">
        <w:rPr>
          <w:i/>
          <w:vertAlign w:val="superscript"/>
        </w:rPr>
        <w:t>2</w:t>
      </w:r>
      <w:r w:rsidRPr="00664440">
        <w:rPr>
          <w:i/>
        </w:rPr>
        <w:t xml:space="preserve"> </w:t>
      </w:r>
      <w:r w:rsidR="00966FFF" w:rsidRPr="00966FFF">
        <w:rPr>
          <w:i/>
        </w:rPr>
        <w:t>$55,000 to &lt; $75,000</w:t>
      </w:r>
    </w:p>
    <w:p w14:paraId="4B7049C1" w14:textId="4F6E25AD" w:rsidR="00664440" w:rsidRPr="00664440" w:rsidRDefault="00664440" w:rsidP="00664440">
      <w:pPr>
        <w:pStyle w:val="COMTablefooter"/>
        <w:keepNext/>
        <w:keepLines/>
        <w:rPr>
          <w:i/>
        </w:rPr>
      </w:pPr>
      <w:r w:rsidRPr="00664440">
        <w:rPr>
          <w:i/>
          <w:vertAlign w:val="superscript"/>
        </w:rPr>
        <w:t>3</w:t>
      </w:r>
      <w:r w:rsidRPr="00664440">
        <w:rPr>
          <w:i/>
        </w:rPr>
        <w:t xml:space="preserve"> </w:t>
      </w:r>
      <w:r w:rsidR="00BF2C0A" w:rsidRPr="00BF2C0A">
        <w:rPr>
          <w:i/>
        </w:rPr>
        <w:t>$45,000 to &lt; $55,000</w:t>
      </w:r>
    </w:p>
    <w:p w14:paraId="5ADD74C4" w14:textId="21DE352B" w:rsidR="002C6610" w:rsidRDefault="002C6610" w:rsidP="00D920A9">
      <w:pPr>
        <w:pStyle w:val="COMTablefooter"/>
        <w:keepNext/>
        <w:keepLines/>
      </w:pPr>
    </w:p>
    <w:p w14:paraId="3BDC194C" w14:textId="77777777" w:rsidR="00A64436" w:rsidRPr="007F66A7" w:rsidRDefault="00A64436" w:rsidP="00D920A9">
      <w:pPr>
        <w:pStyle w:val="COMTablefooter"/>
        <w:keepNext/>
        <w:keepLines/>
      </w:pPr>
    </w:p>
    <w:p w14:paraId="5CE47641" w14:textId="3FE030B8" w:rsidR="00DF08DE" w:rsidRPr="00573192" w:rsidRDefault="00DF08DE" w:rsidP="00260732">
      <w:pPr>
        <w:pStyle w:val="COMexecsummnumbered"/>
      </w:pPr>
      <w:r w:rsidRPr="00573192">
        <w:t xml:space="preserve">Based on the economic model, treatment with A+AVD was associated with an incremental cost per QALY gained of </w:t>
      </w:r>
      <w:r w:rsidR="00B00730" w:rsidRPr="00B00730">
        <w:t xml:space="preserve">$55,000 to &lt; $75,000 </w:t>
      </w:r>
      <w:r w:rsidRPr="00573192">
        <w:t xml:space="preserve"> compared to ABVD (as a proxy for PET-adapted ABVD). This was higher than estimated in the previous submission based on the revised base case for A+AVD versus ABVD</w:t>
      </w:r>
      <w:r w:rsidR="007E4476" w:rsidRPr="00573192">
        <w:t xml:space="preserve"> </w:t>
      </w:r>
      <w:r w:rsidR="002F5304" w:rsidRPr="002F5304">
        <w:t>$45,000 to &lt; $55,000</w:t>
      </w:r>
      <w:r w:rsidR="007E4476" w:rsidRPr="00573192">
        <w:t xml:space="preserve"> per QALY gained)</w:t>
      </w:r>
      <w:r w:rsidRPr="00573192">
        <w:t xml:space="preserve">. The </w:t>
      </w:r>
      <w:r w:rsidR="00AB7EC2" w:rsidRPr="00573192">
        <w:t xml:space="preserve">evaluation </w:t>
      </w:r>
      <w:r w:rsidR="009734B3" w:rsidRPr="00573192">
        <w:t xml:space="preserve">and the ESC </w:t>
      </w:r>
      <w:r w:rsidR="00AB7EC2" w:rsidRPr="00573192">
        <w:t xml:space="preserve">noted that the </w:t>
      </w:r>
      <w:r w:rsidRPr="00573192">
        <w:t>difference was primarily due to reduced cost offsets associated with subsequent treatments in the current resubmission</w:t>
      </w:r>
      <w:r w:rsidR="00BC24C5" w:rsidRPr="00573192">
        <w:t>,</w:t>
      </w:r>
      <w:r w:rsidRPr="00573192">
        <w:t xml:space="preserve"> although there was also a marginal increase in incremental QALYs.</w:t>
      </w:r>
    </w:p>
    <w:p w14:paraId="2A9C6FF3" w14:textId="1AF1F0D6" w:rsidR="00E02B6E" w:rsidRPr="00573192" w:rsidRDefault="00DF08DE" w:rsidP="00E7551F">
      <w:pPr>
        <w:pStyle w:val="COMexecsummnumbered"/>
      </w:pPr>
      <w:r w:rsidRPr="00573192">
        <w:lastRenderedPageBreak/>
        <w:t>The extrapolation of survival benefits to 65 years had the largest impact on the economic analysis. In the model, 73% of incremental QALYs were accrued in the extrapolated period beyond 8.1 years. The incremental cost reduced by 2% during the extrapolated period due to increased cost offsets associated with the use of subsequent treatments.</w:t>
      </w:r>
      <w:r w:rsidR="00A96118" w:rsidRPr="00573192">
        <w:t xml:space="preserve"> </w:t>
      </w:r>
      <w:bookmarkStart w:id="45" w:name="_Ref201140932"/>
      <w:r w:rsidR="00424F2B" w:rsidRPr="00573192">
        <w:t>Acknowledging the PBAC had previously accepted a 65 year time horizon</w:t>
      </w:r>
      <w:r w:rsidR="00E03D11" w:rsidRPr="00573192">
        <w:t xml:space="preserve"> the ESC </w:t>
      </w:r>
      <w:r w:rsidR="001864D0" w:rsidRPr="00573192">
        <w:t>considered that it would be useful to explore impacts of a 45 year and a 55 year time horizon</w:t>
      </w:r>
      <w:r w:rsidR="00E7551F" w:rsidRPr="00573192">
        <w:t xml:space="preserve"> to see where QALYs are accrued</w:t>
      </w:r>
      <w:r w:rsidR="00E03D11" w:rsidRPr="00573192">
        <w:t xml:space="preserve"> given the bimodal distribution of the disease. As such additional sensitivity analyses around the time horizon were </w:t>
      </w:r>
      <w:r w:rsidR="001864D0" w:rsidRPr="00573192">
        <w:t xml:space="preserve">added to </w:t>
      </w:r>
      <w:r w:rsidR="001864D0" w:rsidRPr="00573192">
        <w:fldChar w:fldCharType="begin"/>
      </w:r>
      <w:r w:rsidR="001864D0" w:rsidRPr="00573192">
        <w:instrText xml:space="preserve"> REF _Ref104804865 \h  \* MERGEFORMAT </w:instrText>
      </w:r>
      <w:r w:rsidR="001864D0" w:rsidRPr="00573192">
        <w:fldChar w:fldCharType="separate"/>
      </w:r>
      <w:r w:rsidR="00293B06" w:rsidRPr="007F66A7">
        <w:t xml:space="preserve">Table </w:t>
      </w:r>
      <w:r w:rsidR="00293B06">
        <w:t>13</w:t>
      </w:r>
      <w:r w:rsidR="001864D0" w:rsidRPr="00573192">
        <w:fldChar w:fldCharType="end"/>
      </w:r>
      <w:r w:rsidR="001864D0" w:rsidRPr="00573192">
        <w:t>.</w:t>
      </w:r>
      <w:bookmarkEnd w:id="45"/>
    </w:p>
    <w:p w14:paraId="5188509F" w14:textId="4764E63F" w:rsidR="00931D26" w:rsidRPr="007F66A7" w:rsidRDefault="00931D26" w:rsidP="00260732">
      <w:pPr>
        <w:pStyle w:val="COMexecsummnumbered"/>
      </w:pPr>
      <w:r w:rsidRPr="007F66A7">
        <w:t>For every patient treated with A+AVD versus ABVD (as a proxy for PET-adapted ABVD) and followed up for 65 years, the economic model (without discounting) estimated that there would be:</w:t>
      </w:r>
    </w:p>
    <w:p w14:paraId="68F08CF9" w14:textId="39DCE78A" w:rsidR="00931D26" w:rsidRPr="007F66A7" w:rsidRDefault="00931D26" w:rsidP="005D629C">
      <w:pPr>
        <w:pStyle w:val="COMexecsummbulletlist"/>
        <w:numPr>
          <w:ilvl w:val="0"/>
          <w:numId w:val="17"/>
        </w:numPr>
        <w:spacing w:after="0"/>
        <w:ind w:left="1134" w:hanging="306"/>
      </w:pPr>
      <w:r w:rsidRPr="007F66A7">
        <w:t>Additional treatment costs (drug acquisition, supportive therapies, administration) of $</w:t>
      </w:r>
      <w:r w:rsidR="00AA4CCB" w:rsidRPr="00AA4CCB">
        <w:rPr>
          <w:color w:val="000000"/>
          <w:w w:val="61"/>
          <w:shd w:val="solid" w:color="000000" w:fill="000000"/>
          <w:fitText w:val="475" w:id="-628904690"/>
          <w14:textFill>
            <w14:solidFill>
              <w14:srgbClr w14:val="000000">
                <w14:alpha w14:val="100000"/>
              </w14:srgbClr>
            </w14:solidFill>
          </w14:textFill>
        </w:rPr>
        <w:t>|||  ||</w:t>
      </w:r>
      <w:r w:rsidR="00AA4CCB" w:rsidRPr="00AA4CCB">
        <w:rPr>
          <w:color w:val="000000"/>
          <w:spacing w:val="5"/>
          <w:w w:val="61"/>
          <w:shd w:val="solid" w:color="000000" w:fill="000000"/>
          <w:fitText w:val="475" w:id="-628904690"/>
          <w14:textFill>
            <w14:solidFill>
              <w14:srgbClr w14:val="000000">
                <w14:alpha w14:val="100000"/>
              </w14:srgbClr>
            </w14:solidFill>
          </w14:textFill>
        </w:rPr>
        <w:t>|</w:t>
      </w:r>
      <w:r w:rsidRPr="007F66A7">
        <w:t xml:space="preserve"> and additional adverse event management costs of $1,676.</w:t>
      </w:r>
    </w:p>
    <w:p w14:paraId="2D7F7131" w14:textId="40E05B5D" w:rsidR="00931D26" w:rsidRPr="007F66A7" w:rsidRDefault="00931D26" w:rsidP="005D629C">
      <w:pPr>
        <w:pStyle w:val="COMexecsummbulletlist"/>
        <w:numPr>
          <w:ilvl w:val="0"/>
          <w:numId w:val="17"/>
        </w:numPr>
        <w:spacing w:after="0"/>
        <w:ind w:left="1134" w:hanging="306"/>
      </w:pPr>
      <w:r w:rsidRPr="007F66A7">
        <w:t xml:space="preserve">Reduced costs of subsequent therapies (drug acquisition, supportive therapies, administration, stem cell transplantation) </w:t>
      </w:r>
      <w:r w:rsidRPr="00A667D9">
        <w:t>of $6,979</w:t>
      </w:r>
      <w:r w:rsidRPr="007F66A7">
        <w:t xml:space="preserve"> and reduced disease monitoring costs of $677. </w:t>
      </w:r>
    </w:p>
    <w:p w14:paraId="16B537A0" w14:textId="77777777" w:rsidR="00931D26" w:rsidRPr="007F66A7" w:rsidRDefault="00931D26" w:rsidP="005D629C">
      <w:pPr>
        <w:pStyle w:val="COMexecsummbulletlist"/>
        <w:numPr>
          <w:ilvl w:val="0"/>
          <w:numId w:val="17"/>
        </w:numPr>
        <w:spacing w:after="0"/>
        <w:ind w:left="1134" w:hanging="306"/>
      </w:pPr>
      <w:r w:rsidRPr="007F66A7">
        <w:t>An additional 1.62 years of life lived and an additional 1.33 quality-adjusted life years.</w:t>
      </w:r>
    </w:p>
    <w:p w14:paraId="2F2A5767" w14:textId="7D8FAF76" w:rsidR="00931D26" w:rsidRPr="007F66A7" w:rsidRDefault="00931D26" w:rsidP="005D629C">
      <w:pPr>
        <w:pStyle w:val="COMexecsummbulletlist"/>
        <w:numPr>
          <w:ilvl w:val="0"/>
          <w:numId w:val="17"/>
        </w:numPr>
        <w:ind w:left="1134" w:hanging="306"/>
      </w:pPr>
      <w:r w:rsidRPr="007F66A7">
        <w:t xml:space="preserve">No difference in long term treatment-related or disease-related complications. </w:t>
      </w:r>
    </w:p>
    <w:p w14:paraId="1BAC1159" w14:textId="03FEB23F" w:rsidR="00A86E8B" w:rsidRPr="007F66A7" w:rsidRDefault="00D23D11" w:rsidP="00BB732D">
      <w:pPr>
        <w:pStyle w:val="COMexecsummnumbered"/>
      </w:pPr>
      <w:r w:rsidRPr="007F66A7">
        <w:t xml:space="preserve">The results of key sensitivity analyses are summarised </w:t>
      </w:r>
      <w:r w:rsidR="00E16AD8" w:rsidRPr="007F66A7">
        <w:t xml:space="preserve">in </w:t>
      </w:r>
      <w:r w:rsidR="00FD34D9" w:rsidRPr="007F66A7">
        <w:fldChar w:fldCharType="begin"/>
      </w:r>
      <w:r w:rsidR="00FD34D9" w:rsidRPr="007F66A7">
        <w:instrText xml:space="preserve"> REF _Ref104804865 \h </w:instrText>
      </w:r>
      <w:r w:rsidR="00FD34D9" w:rsidRPr="007F66A7">
        <w:fldChar w:fldCharType="separate"/>
      </w:r>
      <w:r w:rsidR="00293B06" w:rsidRPr="007F66A7">
        <w:t xml:space="preserve">Table </w:t>
      </w:r>
      <w:r w:rsidR="00293B06">
        <w:rPr>
          <w:noProof/>
        </w:rPr>
        <w:t>13</w:t>
      </w:r>
      <w:r w:rsidR="00FD34D9" w:rsidRPr="007F66A7">
        <w:fldChar w:fldCharType="end"/>
      </w:r>
      <w:r w:rsidR="00FD34D9" w:rsidRPr="007F66A7">
        <w:t>.</w:t>
      </w:r>
    </w:p>
    <w:p w14:paraId="3A64F4E7" w14:textId="142FB304" w:rsidR="00D23D11" w:rsidRPr="007F66A7" w:rsidRDefault="00E16AD8" w:rsidP="00FF3ECD">
      <w:pPr>
        <w:pStyle w:val="COMtablefigcaption"/>
      </w:pPr>
      <w:bookmarkStart w:id="46" w:name="_Ref104804865"/>
      <w:r w:rsidRPr="007F66A7">
        <w:t xml:space="preserve">Table </w:t>
      </w:r>
      <w:r w:rsidR="006A25C4">
        <w:fldChar w:fldCharType="begin"/>
      </w:r>
      <w:r w:rsidR="006A25C4">
        <w:instrText xml:space="preserve"> SEQ Table \* ARABIC </w:instrText>
      </w:r>
      <w:r w:rsidR="006A25C4">
        <w:fldChar w:fldCharType="separate"/>
      </w:r>
      <w:r w:rsidR="00293B06">
        <w:rPr>
          <w:noProof/>
        </w:rPr>
        <w:t>13</w:t>
      </w:r>
      <w:r w:rsidR="006A25C4">
        <w:fldChar w:fldCharType="end"/>
      </w:r>
      <w:bookmarkEnd w:id="46"/>
      <w:r w:rsidRPr="007F66A7">
        <w:t>:</w:t>
      </w:r>
      <w:r w:rsidR="00354F64" w:rsidRPr="007F66A7">
        <w:t xml:space="preserve"> </w:t>
      </w:r>
      <w:r w:rsidR="00D15314" w:rsidRPr="007F66A7">
        <w:t>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Sensitivity analyses"/>
      </w:tblPr>
      <w:tblGrid>
        <w:gridCol w:w="4547"/>
        <w:gridCol w:w="1190"/>
        <w:gridCol w:w="1071"/>
        <w:gridCol w:w="1069"/>
        <w:gridCol w:w="1140"/>
      </w:tblGrid>
      <w:tr w:rsidR="00751ED6" w:rsidRPr="007F66A7" w14:paraId="6060A1C2" w14:textId="77777777" w:rsidTr="000C414C">
        <w:trPr>
          <w:cantSplit/>
          <w:tblHeader/>
        </w:trPr>
        <w:tc>
          <w:tcPr>
            <w:tcW w:w="2521" w:type="pct"/>
            <w:vAlign w:val="center"/>
          </w:tcPr>
          <w:p w14:paraId="1CBF2C9D" w14:textId="77777777" w:rsidR="00945AB9" w:rsidRPr="007F66A7" w:rsidRDefault="00945AB9">
            <w:pPr>
              <w:pStyle w:val="COMTableheadingrow"/>
              <w:keepNext w:val="0"/>
              <w:rPr>
                <w:lang w:val="en-AU"/>
              </w:rPr>
            </w:pPr>
            <w:r w:rsidRPr="007F66A7">
              <w:rPr>
                <w:lang w:val="en-AU"/>
              </w:rPr>
              <w:t>Analysis</w:t>
            </w:r>
          </w:p>
        </w:tc>
        <w:tc>
          <w:tcPr>
            <w:tcW w:w="660" w:type="pct"/>
            <w:vAlign w:val="center"/>
          </w:tcPr>
          <w:p w14:paraId="6D1F3EAD" w14:textId="77777777" w:rsidR="00945AB9" w:rsidRPr="007F66A7" w:rsidRDefault="00945AB9">
            <w:pPr>
              <w:pStyle w:val="COMTableheadingrow"/>
              <w:keepNext w:val="0"/>
              <w:jc w:val="center"/>
              <w:rPr>
                <w:lang w:val="en-AU"/>
              </w:rPr>
            </w:pPr>
            <w:r w:rsidRPr="007F66A7">
              <w:rPr>
                <w:lang w:val="en-AU"/>
              </w:rPr>
              <w:t>Incremental cost</w:t>
            </w:r>
          </w:p>
        </w:tc>
        <w:tc>
          <w:tcPr>
            <w:tcW w:w="594" w:type="pct"/>
            <w:vAlign w:val="center"/>
          </w:tcPr>
          <w:p w14:paraId="62B4632A" w14:textId="77777777" w:rsidR="00945AB9" w:rsidRPr="007F66A7" w:rsidRDefault="00945AB9">
            <w:pPr>
              <w:pStyle w:val="COMTableheadingrow"/>
              <w:keepNext w:val="0"/>
              <w:jc w:val="center"/>
              <w:rPr>
                <w:lang w:val="en-AU"/>
              </w:rPr>
            </w:pPr>
            <w:r w:rsidRPr="007F66A7">
              <w:rPr>
                <w:lang w:val="en-AU"/>
              </w:rPr>
              <w:t>Incremental QALY</w:t>
            </w:r>
          </w:p>
        </w:tc>
        <w:tc>
          <w:tcPr>
            <w:tcW w:w="593" w:type="pct"/>
            <w:vAlign w:val="center"/>
          </w:tcPr>
          <w:p w14:paraId="3D4D26E3" w14:textId="77777777" w:rsidR="00945AB9" w:rsidRPr="007F66A7" w:rsidRDefault="00945AB9">
            <w:pPr>
              <w:pStyle w:val="COMTableheadingrow"/>
              <w:keepNext w:val="0"/>
              <w:jc w:val="center"/>
              <w:rPr>
                <w:lang w:val="en-AU"/>
              </w:rPr>
            </w:pPr>
            <w:r w:rsidRPr="007F66A7">
              <w:rPr>
                <w:lang w:val="en-AU"/>
              </w:rPr>
              <w:t>ICER</w:t>
            </w:r>
          </w:p>
        </w:tc>
        <w:tc>
          <w:tcPr>
            <w:tcW w:w="632" w:type="pct"/>
            <w:vAlign w:val="center"/>
          </w:tcPr>
          <w:p w14:paraId="53D9AA21" w14:textId="77777777" w:rsidR="00945AB9" w:rsidRPr="007F66A7" w:rsidRDefault="00945AB9">
            <w:pPr>
              <w:pStyle w:val="COMTableheadingrow"/>
              <w:keepNext w:val="0"/>
              <w:jc w:val="center"/>
              <w:rPr>
                <w:lang w:val="en-AU"/>
              </w:rPr>
            </w:pPr>
            <w:r w:rsidRPr="007F66A7">
              <w:rPr>
                <w:lang w:val="en-AU"/>
              </w:rPr>
              <w:t>% change</w:t>
            </w:r>
          </w:p>
        </w:tc>
      </w:tr>
      <w:tr w:rsidR="00751ED6" w:rsidRPr="007F66A7" w14:paraId="0E7D1B3E" w14:textId="77777777" w:rsidTr="000C414C">
        <w:trPr>
          <w:cantSplit/>
        </w:trPr>
        <w:tc>
          <w:tcPr>
            <w:tcW w:w="2521" w:type="pct"/>
            <w:vAlign w:val="center"/>
          </w:tcPr>
          <w:p w14:paraId="762A6D49" w14:textId="77777777" w:rsidR="00945AB9" w:rsidRPr="007F66A7" w:rsidRDefault="00945AB9">
            <w:pPr>
              <w:pStyle w:val="COMTabletext"/>
              <w:keepNext w:val="0"/>
              <w:rPr>
                <w:b/>
                <w:bCs w:val="0"/>
                <w:caps/>
              </w:rPr>
            </w:pPr>
            <w:r w:rsidRPr="007F66A7">
              <w:rPr>
                <w:b/>
                <w:bCs w:val="0"/>
              </w:rPr>
              <w:t>Base case</w:t>
            </w:r>
          </w:p>
        </w:tc>
        <w:tc>
          <w:tcPr>
            <w:tcW w:w="660" w:type="pct"/>
            <w:vAlign w:val="center"/>
          </w:tcPr>
          <w:p w14:paraId="54AF733E" w14:textId="400D4D9E" w:rsidR="00945AB9" w:rsidRPr="007F66A7" w:rsidRDefault="00945AB9">
            <w:pPr>
              <w:pStyle w:val="COMTabletext"/>
              <w:keepNext w:val="0"/>
              <w:jc w:val="center"/>
              <w:rPr>
                <w:b/>
                <w:bCs w:val="0"/>
              </w:rPr>
            </w:pPr>
            <w:r w:rsidRPr="007F66A7">
              <w:rPr>
                <w:b/>
                <w:bCs w:val="0"/>
              </w:rPr>
              <w:t>$</w:t>
            </w:r>
            <w:r w:rsidR="00AA4CCB" w:rsidRPr="00AA4CCB">
              <w:rPr>
                <w:b/>
                <w:bCs w:val="0"/>
                <w:color w:val="000000"/>
                <w:spacing w:val="58"/>
                <w:shd w:val="solid" w:color="000000" w:fill="000000"/>
                <w:fitText w:val="360" w:id="-628904689"/>
                <w14:textFill>
                  <w14:solidFill>
                    <w14:srgbClr w14:val="000000">
                      <w14:alpha w14:val="100000"/>
                    </w14:srgbClr>
                  </w14:solidFill>
                </w14:textFill>
              </w:rPr>
              <w:t>|||</w:t>
            </w:r>
            <w:r w:rsidR="00AA4CCB" w:rsidRPr="00AA4CCB">
              <w:rPr>
                <w:b/>
                <w:bCs w:val="0"/>
                <w:color w:val="000000"/>
                <w:spacing w:val="3"/>
                <w:shd w:val="solid" w:color="000000" w:fill="000000"/>
                <w:fitText w:val="360" w:id="-628904689"/>
                <w14:textFill>
                  <w14:solidFill>
                    <w14:srgbClr w14:val="000000">
                      <w14:alpha w14:val="100000"/>
                    </w14:srgbClr>
                  </w14:solidFill>
                </w14:textFill>
              </w:rPr>
              <w:t>|</w:t>
            </w:r>
          </w:p>
        </w:tc>
        <w:tc>
          <w:tcPr>
            <w:tcW w:w="594" w:type="pct"/>
            <w:vAlign w:val="center"/>
          </w:tcPr>
          <w:p w14:paraId="69E4F6C0" w14:textId="77777777" w:rsidR="00945AB9" w:rsidRPr="007F66A7" w:rsidRDefault="00945AB9">
            <w:pPr>
              <w:pStyle w:val="COMTabletext"/>
              <w:keepNext w:val="0"/>
              <w:jc w:val="center"/>
              <w:rPr>
                <w:b/>
                <w:bCs w:val="0"/>
              </w:rPr>
            </w:pPr>
            <w:r w:rsidRPr="007F66A7">
              <w:rPr>
                <w:b/>
                <w:bCs w:val="0"/>
              </w:rPr>
              <w:t>0.539</w:t>
            </w:r>
          </w:p>
        </w:tc>
        <w:tc>
          <w:tcPr>
            <w:tcW w:w="593" w:type="pct"/>
            <w:vAlign w:val="center"/>
          </w:tcPr>
          <w:p w14:paraId="0FDB0CCD" w14:textId="2DF2A979" w:rsidR="00945AB9" w:rsidRPr="00512CEF" w:rsidRDefault="00945AB9">
            <w:pPr>
              <w:pStyle w:val="COMTabletext"/>
              <w:keepNext w:val="0"/>
              <w:jc w:val="center"/>
              <w:rPr>
                <w:b/>
                <w:bCs w:val="0"/>
                <w:vertAlign w:val="superscript"/>
              </w:rPr>
            </w:pPr>
            <w:r w:rsidRPr="007F66A7">
              <w:rPr>
                <w:b/>
                <w:bCs w:val="0"/>
              </w:rPr>
              <w:t>$</w:t>
            </w:r>
            <w:r w:rsidR="00AA4CCB" w:rsidRPr="00AA4CCB">
              <w:rPr>
                <w:b/>
                <w:bCs w:val="0"/>
                <w:color w:val="000000"/>
                <w:spacing w:val="58"/>
                <w:shd w:val="solid" w:color="000000" w:fill="000000"/>
                <w:fitText w:val="360" w:id="-628904688"/>
                <w14:textFill>
                  <w14:solidFill>
                    <w14:srgbClr w14:val="000000">
                      <w14:alpha w14:val="100000"/>
                    </w14:srgbClr>
                  </w14:solidFill>
                </w14:textFill>
              </w:rPr>
              <w:t>|||</w:t>
            </w:r>
            <w:r w:rsidR="00AA4CCB" w:rsidRPr="00AA4CCB">
              <w:rPr>
                <w:b/>
                <w:bCs w:val="0"/>
                <w:color w:val="000000"/>
                <w:spacing w:val="3"/>
                <w:shd w:val="solid" w:color="000000" w:fill="000000"/>
                <w:fitText w:val="360" w:id="-628904688"/>
                <w14:textFill>
                  <w14:solidFill>
                    <w14:srgbClr w14:val="000000">
                      <w14:alpha w14:val="100000"/>
                    </w14:srgbClr>
                  </w14:solidFill>
                </w14:textFill>
              </w:rPr>
              <w:t>|</w:t>
            </w:r>
            <w:r w:rsidR="00512CEF">
              <w:rPr>
                <w:b/>
                <w:bCs w:val="0"/>
                <w:vertAlign w:val="superscript"/>
              </w:rPr>
              <w:t>1</w:t>
            </w:r>
          </w:p>
        </w:tc>
        <w:tc>
          <w:tcPr>
            <w:tcW w:w="632" w:type="pct"/>
          </w:tcPr>
          <w:p w14:paraId="6186E146" w14:textId="77777777" w:rsidR="00945AB9" w:rsidRPr="007F66A7" w:rsidRDefault="00945AB9">
            <w:pPr>
              <w:pStyle w:val="COMTabletext"/>
              <w:keepNext w:val="0"/>
              <w:jc w:val="center"/>
              <w:rPr>
                <w:b/>
                <w:bCs w:val="0"/>
              </w:rPr>
            </w:pPr>
            <w:r w:rsidRPr="007F66A7">
              <w:rPr>
                <w:b/>
                <w:bCs w:val="0"/>
              </w:rPr>
              <w:t>-</w:t>
            </w:r>
          </w:p>
        </w:tc>
      </w:tr>
      <w:tr w:rsidR="00945AB9" w:rsidRPr="007F66A7" w14:paraId="160FDFE2" w14:textId="77777777">
        <w:trPr>
          <w:cantSplit/>
        </w:trPr>
        <w:tc>
          <w:tcPr>
            <w:tcW w:w="5000" w:type="pct"/>
            <w:gridSpan w:val="5"/>
            <w:vAlign w:val="center"/>
          </w:tcPr>
          <w:p w14:paraId="708AC0B5" w14:textId="77777777" w:rsidR="00945AB9" w:rsidRPr="007F66A7" w:rsidRDefault="00945AB9">
            <w:pPr>
              <w:pStyle w:val="COMTabletext"/>
              <w:keepNext w:val="0"/>
              <w:rPr>
                <w:b/>
                <w:bCs w:val="0"/>
              </w:rPr>
            </w:pPr>
            <w:r w:rsidRPr="007F66A7">
              <w:rPr>
                <w:b/>
                <w:bCs w:val="0"/>
              </w:rPr>
              <w:t>Discount rate (base case 5% costs and outcomes)</w:t>
            </w:r>
          </w:p>
        </w:tc>
      </w:tr>
      <w:tr w:rsidR="00751ED6" w:rsidRPr="007F66A7" w14:paraId="6BF05D4F" w14:textId="77777777" w:rsidTr="000C414C">
        <w:trPr>
          <w:cantSplit/>
        </w:trPr>
        <w:tc>
          <w:tcPr>
            <w:tcW w:w="2521" w:type="pct"/>
          </w:tcPr>
          <w:p w14:paraId="7A0CABF4" w14:textId="77777777" w:rsidR="00945AB9" w:rsidRPr="007F66A7" w:rsidRDefault="00945AB9">
            <w:pPr>
              <w:pStyle w:val="COMTabletext"/>
              <w:keepNext w:val="0"/>
            </w:pPr>
            <w:r w:rsidRPr="007F66A7">
              <w:t>0%</w:t>
            </w:r>
          </w:p>
        </w:tc>
        <w:tc>
          <w:tcPr>
            <w:tcW w:w="660" w:type="pct"/>
          </w:tcPr>
          <w:p w14:paraId="532D9B16" w14:textId="05418A93" w:rsidR="00945AB9" w:rsidRPr="007F66A7" w:rsidRDefault="00945AB9">
            <w:pPr>
              <w:pStyle w:val="COMTabletext"/>
              <w:keepNext w:val="0"/>
              <w:jc w:val="center"/>
            </w:pPr>
            <w:r w:rsidRPr="007F66A7">
              <w:t>$</w:t>
            </w:r>
            <w:r w:rsidR="00AA4CCB" w:rsidRPr="00AA4CCB">
              <w:rPr>
                <w:color w:val="000000"/>
                <w:spacing w:val="48"/>
                <w:shd w:val="solid" w:color="000000" w:fill="000000"/>
                <w:fitText w:val="315" w:id="-628904704"/>
                <w14:textFill>
                  <w14:solidFill>
                    <w14:srgbClr w14:val="000000">
                      <w14:alpha w14:val="100000"/>
                    </w14:srgbClr>
                  </w14:solidFill>
                </w14:textFill>
              </w:rPr>
              <w:t>|||</w:t>
            </w:r>
            <w:r w:rsidR="00AA4CCB" w:rsidRPr="00AA4CCB">
              <w:rPr>
                <w:color w:val="000000"/>
                <w:spacing w:val="1"/>
                <w:shd w:val="solid" w:color="000000" w:fill="000000"/>
                <w:fitText w:val="315" w:id="-628904704"/>
                <w14:textFill>
                  <w14:solidFill>
                    <w14:srgbClr w14:val="000000">
                      <w14:alpha w14:val="100000"/>
                    </w14:srgbClr>
                  </w14:solidFill>
                </w14:textFill>
              </w:rPr>
              <w:t>|</w:t>
            </w:r>
          </w:p>
        </w:tc>
        <w:tc>
          <w:tcPr>
            <w:tcW w:w="594" w:type="pct"/>
          </w:tcPr>
          <w:p w14:paraId="17A3871E" w14:textId="77777777" w:rsidR="00945AB9" w:rsidRPr="007F66A7" w:rsidRDefault="00945AB9">
            <w:pPr>
              <w:pStyle w:val="COMTabletext"/>
              <w:keepNext w:val="0"/>
              <w:jc w:val="center"/>
            </w:pPr>
            <w:r w:rsidRPr="007F66A7">
              <w:t>1.333</w:t>
            </w:r>
          </w:p>
        </w:tc>
        <w:tc>
          <w:tcPr>
            <w:tcW w:w="593" w:type="pct"/>
          </w:tcPr>
          <w:p w14:paraId="7783417E" w14:textId="58629BD3" w:rsidR="00945AB9" w:rsidRPr="007210CC" w:rsidRDefault="00945AB9">
            <w:pPr>
              <w:pStyle w:val="COMTabletext"/>
              <w:keepNext w:val="0"/>
              <w:jc w:val="center"/>
              <w:rPr>
                <w:vertAlign w:val="superscript"/>
              </w:rPr>
            </w:pPr>
            <w:r w:rsidRPr="007F66A7">
              <w:t>$</w:t>
            </w:r>
            <w:r w:rsidR="00AA4CCB" w:rsidRPr="00AA4CCB">
              <w:rPr>
                <w:color w:val="000000"/>
                <w:spacing w:val="48"/>
                <w:shd w:val="solid" w:color="000000" w:fill="000000"/>
                <w:fitText w:val="315" w:id="-628904703"/>
                <w14:textFill>
                  <w14:solidFill>
                    <w14:srgbClr w14:val="000000">
                      <w14:alpha w14:val="100000"/>
                    </w14:srgbClr>
                  </w14:solidFill>
                </w14:textFill>
              </w:rPr>
              <w:t>|||</w:t>
            </w:r>
            <w:r w:rsidR="00AA4CCB" w:rsidRPr="00AA4CCB">
              <w:rPr>
                <w:color w:val="000000"/>
                <w:spacing w:val="1"/>
                <w:shd w:val="solid" w:color="000000" w:fill="000000"/>
                <w:fitText w:val="315" w:id="-628904703"/>
                <w14:textFill>
                  <w14:solidFill>
                    <w14:srgbClr w14:val="000000">
                      <w14:alpha w14:val="100000"/>
                    </w14:srgbClr>
                  </w14:solidFill>
                </w14:textFill>
              </w:rPr>
              <w:t>|</w:t>
            </w:r>
            <w:r w:rsidR="007210CC">
              <w:rPr>
                <w:vertAlign w:val="superscript"/>
              </w:rPr>
              <w:t>2</w:t>
            </w:r>
          </w:p>
        </w:tc>
        <w:tc>
          <w:tcPr>
            <w:tcW w:w="632" w:type="pct"/>
          </w:tcPr>
          <w:p w14:paraId="01747670" w14:textId="040C41C1" w:rsidR="00945AB9" w:rsidRPr="007F66A7" w:rsidRDefault="00945AB9">
            <w:pPr>
              <w:pStyle w:val="COMTabletext"/>
              <w:keepNext w:val="0"/>
              <w:jc w:val="center"/>
            </w:pPr>
            <w:r w:rsidRPr="007F66A7">
              <w:t>-</w:t>
            </w:r>
            <w:r w:rsidR="00AA4CCB" w:rsidRPr="00AA4CCB">
              <w:rPr>
                <w:color w:val="000000"/>
                <w:spacing w:val="53"/>
                <w:shd w:val="solid" w:color="000000" w:fill="000000"/>
                <w:fitText w:val="330" w:id="-628904702"/>
                <w14:textFill>
                  <w14:solidFill>
                    <w14:srgbClr w14:val="000000">
                      <w14:alpha w14:val="100000"/>
                    </w14:srgbClr>
                  </w14:solidFill>
                </w14:textFill>
              </w:rPr>
              <w:t>|||</w:t>
            </w:r>
            <w:r w:rsidR="00AA4CCB" w:rsidRPr="00AA4CCB">
              <w:rPr>
                <w:color w:val="000000"/>
                <w:spacing w:val="1"/>
                <w:shd w:val="solid" w:color="000000" w:fill="000000"/>
                <w:fitText w:val="330" w:id="-628904702"/>
                <w14:textFill>
                  <w14:solidFill>
                    <w14:srgbClr w14:val="000000">
                      <w14:alpha w14:val="100000"/>
                    </w14:srgbClr>
                  </w14:solidFill>
                </w14:textFill>
              </w:rPr>
              <w:t>|</w:t>
            </w:r>
            <w:r w:rsidRPr="007F66A7">
              <w:t>%</w:t>
            </w:r>
          </w:p>
        </w:tc>
      </w:tr>
      <w:tr w:rsidR="00751ED6" w:rsidRPr="007F66A7" w14:paraId="00D55BDE" w14:textId="77777777" w:rsidTr="000C414C">
        <w:trPr>
          <w:cantSplit/>
        </w:trPr>
        <w:tc>
          <w:tcPr>
            <w:tcW w:w="2521" w:type="pct"/>
          </w:tcPr>
          <w:p w14:paraId="7F38897F" w14:textId="77777777" w:rsidR="00945AB9" w:rsidRPr="007F66A7" w:rsidRDefault="00945AB9">
            <w:pPr>
              <w:pStyle w:val="COMTabletext"/>
              <w:keepNext w:val="0"/>
            </w:pPr>
            <w:r w:rsidRPr="007F66A7">
              <w:t>3.5%</w:t>
            </w:r>
          </w:p>
        </w:tc>
        <w:tc>
          <w:tcPr>
            <w:tcW w:w="660" w:type="pct"/>
          </w:tcPr>
          <w:p w14:paraId="36FFC4CC" w14:textId="70BF6822" w:rsidR="00945AB9" w:rsidRPr="007F66A7" w:rsidRDefault="00945AB9">
            <w:pPr>
              <w:pStyle w:val="COMTabletext"/>
              <w:keepNext w:val="0"/>
              <w:jc w:val="center"/>
            </w:pPr>
            <w:r w:rsidRPr="007F66A7">
              <w:t>$</w:t>
            </w:r>
            <w:r w:rsidR="00AA4CCB" w:rsidRPr="00AA4CCB">
              <w:rPr>
                <w:color w:val="000000"/>
                <w:spacing w:val="48"/>
                <w:shd w:val="solid" w:color="000000" w:fill="000000"/>
                <w:fitText w:val="315" w:id="-628904701"/>
                <w14:textFill>
                  <w14:solidFill>
                    <w14:srgbClr w14:val="000000">
                      <w14:alpha w14:val="100000"/>
                    </w14:srgbClr>
                  </w14:solidFill>
                </w14:textFill>
              </w:rPr>
              <w:t>|||</w:t>
            </w:r>
            <w:r w:rsidR="00AA4CCB" w:rsidRPr="00AA4CCB">
              <w:rPr>
                <w:color w:val="000000"/>
                <w:spacing w:val="1"/>
                <w:shd w:val="solid" w:color="000000" w:fill="000000"/>
                <w:fitText w:val="315" w:id="-628904701"/>
                <w14:textFill>
                  <w14:solidFill>
                    <w14:srgbClr w14:val="000000">
                      <w14:alpha w14:val="100000"/>
                    </w14:srgbClr>
                  </w14:solidFill>
                </w14:textFill>
              </w:rPr>
              <w:t>|</w:t>
            </w:r>
          </w:p>
        </w:tc>
        <w:tc>
          <w:tcPr>
            <w:tcW w:w="594" w:type="pct"/>
          </w:tcPr>
          <w:p w14:paraId="0D2DA319" w14:textId="77777777" w:rsidR="00945AB9" w:rsidRPr="007F66A7" w:rsidRDefault="00945AB9">
            <w:pPr>
              <w:pStyle w:val="COMTabletext"/>
              <w:keepNext w:val="0"/>
              <w:jc w:val="center"/>
            </w:pPr>
            <w:r w:rsidRPr="007F66A7">
              <w:t>0.682</w:t>
            </w:r>
          </w:p>
        </w:tc>
        <w:tc>
          <w:tcPr>
            <w:tcW w:w="593" w:type="pct"/>
          </w:tcPr>
          <w:p w14:paraId="2AD6B985" w14:textId="288F7973" w:rsidR="00945AB9" w:rsidRPr="00826EB3" w:rsidRDefault="00945AB9">
            <w:pPr>
              <w:pStyle w:val="COMTabletext"/>
              <w:keepNext w:val="0"/>
              <w:jc w:val="center"/>
              <w:rPr>
                <w:vertAlign w:val="superscript"/>
              </w:rPr>
            </w:pPr>
            <w:r w:rsidRPr="007F66A7">
              <w:t>$</w:t>
            </w:r>
            <w:r w:rsidR="00AA4CCB" w:rsidRPr="00AA4CCB">
              <w:rPr>
                <w:color w:val="000000"/>
                <w:spacing w:val="48"/>
                <w:shd w:val="solid" w:color="000000" w:fill="000000"/>
                <w:fitText w:val="315" w:id="-628904700"/>
                <w14:textFill>
                  <w14:solidFill>
                    <w14:srgbClr w14:val="000000">
                      <w14:alpha w14:val="100000"/>
                    </w14:srgbClr>
                  </w14:solidFill>
                </w14:textFill>
              </w:rPr>
              <w:t>|||</w:t>
            </w:r>
            <w:r w:rsidR="00AA4CCB" w:rsidRPr="00AA4CCB">
              <w:rPr>
                <w:color w:val="000000"/>
                <w:spacing w:val="1"/>
                <w:shd w:val="solid" w:color="000000" w:fill="000000"/>
                <w:fitText w:val="315" w:id="-628904700"/>
                <w14:textFill>
                  <w14:solidFill>
                    <w14:srgbClr w14:val="000000">
                      <w14:alpha w14:val="100000"/>
                    </w14:srgbClr>
                  </w14:solidFill>
                </w14:textFill>
              </w:rPr>
              <w:t>|</w:t>
            </w:r>
            <w:r w:rsidR="00826EB3">
              <w:rPr>
                <w:vertAlign w:val="superscript"/>
              </w:rPr>
              <w:t>3</w:t>
            </w:r>
          </w:p>
        </w:tc>
        <w:tc>
          <w:tcPr>
            <w:tcW w:w="632" w:type="pct"/>
          </w:tcPr>
          <w:p w14:paraId="0A97E914" w14:textId="281B5F37" w:rsidR="00945AB9" w:rsidRPr="007F66A7" w:rsidRDefault="00945AB9">
            <w:pPr>
              <w:pStyle w:val="COMTabletext"/>
              <w:keepNext w:val="0"/>
              <w:jc w:val="center"/>
            </w:pPr>
            <w:r w:rsidRPr="007F66A7">
              <w:t>-</w:t>
            </w:r>
            <w:r w:rsidR="00AA4CCB" w:rsidRPr="00AA4CCB">
              <w:rPr>
                <w:color w:val="000000"/>
                <w:spacing w:val="53"/>
                <w:shd w:val="solid" w:color="000000" w:fill="000000"/>
                <w:fitText w:val="330" w:id="-628904699"/>
                <w14:textFill>
                  <w14:solidFill>
                    <w14:srgbClr w14:val="000000">
                      <w14:alpha w14:val="100000"/>
                    </w14:srgbClr>
                  </w14:solidFill>
                </w14:textFill>
              </w:rPr>
              <w:t>|||</w:t>
            </w:r>
            <w:r w:rsidR="00AA4CCB" w:rsidRPr="00AA4CCB">
              <w:rPr>
                <w:color w:val="000000"/>
                <w:spacing w:val="1"/>
                <w:shd w:val="solid" w:color="000000" w:fill="000000"/>
                <w:fitText w:val="330" w:id="-628904699"/>
                <w14:textFill>
                  <w14:solidFill>
                    <w14:srgbClr w14:val="000000">
                      <w14:alpha w14:val="100000"/>
                    </w14:srgbClr>
                  </w14:solidFill>
                </w14:textFill>
              </w:rPr>
              <w:t>|</w:t>
            </w:r>
            <w:r w:rsidRPr="007F66A7">
              <w:t>%</w:t>
            </w:r>
          </w:p>
        </w:tc>
      </w:tr>
      <w:tr w:rsidR="00945AB9" w:rsidRPr="007F66A7" w14:paraId="5D00770A" w14:textId="77777777">
        <w:trPr>
          <w:cantSplit/>
        </w:trPr>
        <w:tc>
          <w:tcPr>
            <w:tcW w:w="5000" w:type="pct"/>
            <w:gridSpan w:val="5"/>
            <w:vAlign w:val="center"/>
          </w:tcPr>
          <w:p w14:paraId="1431FE96" w14:textId="77777777" w:rsidR="00945AB9" w:rsidRPr="007F66A7" w:rsidRDefault="00945AB9">
            <w:pPr>
              <w:pStyle w:val="COMTableheadingrow"/>
              <w:keepNext w:val="0"/>
              <w:rPr>
                <w:lang w:val="en-AU"/>
              </w:rPr>
            </w:pPr>
            <w:r w:rsidRPr="007F66A7">
              <w:rPr>
                <w:lang w:val="en-AU"/>
              </w:rPr>
              <w:t>Time horizon (base case 65 years)</w:t>
            </w:r>
          </w:p>
        </w:tc>
      </w:tr>
      <w:tr w:rsidR="00751ED6" w:rsidRPr="007F66A7" w14:paraId="287CCC1A" w14:textId="77777777" w:rsidTr="000C414C">
        <w:trPr>
          <w:cantSplit/>
        </w:trPr>
        <w:tc>
          <w:tcPr>
            <w:tcW w:w="2521" w:type="pct"/>
          </w:tcPr>
          <w:p w14:paraId="75E3A8F6" w14:textId="77777777" w:rsidR="00945AB9" w:rsidRPr="007F66A7" w:rsidRDefault="00945AB9">
            <w:pPr>
              <w:pStyle w:val="COMTabletext"/>
              <w:keepNext w:val="0"/>
            </w:pPr>
            <w:r w:rsidRPr="007F66A7">
              <w:t>8.1 years</w:t>
            </w:r>
          </w:p>
        </w:tc>
        <w:tc>
          <w:tcPr>
            <w:tcW w:w="660" w:type="pct"/>
            <w:vAlign w:val="center"/>
          </w:tcPr>
          <w:p w14:paraId="39D5E44C" w14:textId="5AC53F32" w:rsidR="00945AB9" w:rsidRPr="007F66A7" w:rsidRDefault="00945AB9">
            <w:pPr>
              <w:pStyle w:val="COMTabletext"/>
              <w:keepNext w:val="0"/>
              <w:jc w:val="center"/>
            </w:pPr>
            <w:r w:rsidRPr="007F66A7">
              <w:t>$</w:t>
            </w:r>
            <w:r w:rsidR="00AA4CCB" w:rsidRPr="00AA4CCB">
              <w:rPr>
                <w:color w:val="000000"/>
                <w:spacing w:val="48"/>
                <w:shd w:val="solid" w:color="000000" w:fill="000000"/>
                <w:fitText w:val="315" w:id="-628904698"/>
                <w14:textFill>
                  <w14:solidFill>
                    <w14:srgbClr w14:val="000000">
                      <w14:alpha w14:val="100000"/>
                    </w14:srgbClr>
                  </w14:solidFill>
                </w14:textFill>
              </w:rPr>
              <w:t>|||</w:t>
            </w:r>
            <w:r w:rsidR="00AA4CCB" w:rsidRPr="00AA4CCB">
              <w:rPr>
                <w:color w:val="000000"/>
                <w:spacing w:val="1"/>
                <w:shd w:val="solid" w:color="000000" w:fill="000000"/>
                <w:fitText w:val="315" w:id="-628904698"/>
                <w14:textFill>
                  <w14:solidFill>
                    <w14:srgbClr w14:val="000000">
                      <w14:alpha w14:val="100000"/>
                    </w14:srgbClr>
                  </w14:solidFill>
                </w14:textFill>
              </w:rPr>
              <w:t>|</w:t>
            </w:r>
          </w:p>
        </w:tc>
        <w:tc>
          <w:tcPr>
            <w:tcW w:w="594" w:type="pct"/>
            <w:vAlign w:val="center"/>
          </w:tcPr>
          <w:p w14:paraId="5DA4060F" w14:textId="77777777" w:rsidR="00945AB9" w:rsidRPr="007F66A7" w:rsidRDefault="00945AB9">
            <w:pPr>
              <w:pStyle w:val="COMTabletext"/>
              <w:keepNext w:val="0"/>
              <w:jc w:val="center"/>
            </w:pPr>
            <w:r w:rsidRPr="007F66A7">
              <w:t>0.148</w:t>
            </w:r>
          </w:p>
        </w:tc>
        <w:tc>
          <w:tcPr>
            <w:tcW w:w="593" w:type="pct"/>
            <w:vAlign w:val="center"/>
          </w:tcPr>
          <w:p w14:paraId="78894E1B" w14:textId="2E762D97" w:rsidR="00945AB9" w:rsidRPr="00642745" w:rsidRDefault="00945AB9">
            <w:pPr>
              <w:pStyle w:val="COMTabletext"/>
              <w:keepNext w:val="0"/>
              <w:jc w:val="center"/>
              <w:rPr>
                <w:vertAlign w:val="superscript"/>
              </w:rPr>
            </w:pPr>
            <w:r w:rsidRPr="007F66A7">
              <w:t>$</w:t>
            </w:r>
            <w:r w:rsidR="00AA4CCB" w:rsidRPr="00AA4CCB">
              <w:rPr>
                <w:color w:val="000000"/>
                <w:spacing w:val="48"/>
                <w:shd w:val="solid" w:color="000000" w:fill="000000"/>
                <w:fitText w:val="315" w:id="-628904697"/>
                <w14:textFill>
                  <w14:solidFill>
                    <w14:srgbClr w14:val="000000">
                      <w14:alpha w14:val="100000"/>
                    </w14:srgbClr>
                  </w14:solidFill>
                </w14:textFill>
              </w:rPr>
              <w:t>|||</w:t>
            </w:r>
            <w:r w:rsidR="00AA4CCB" w:rsidRPr="00AA4CCB">
              <w:rPr>
                <w:color w:val="000000"/>
                <w:spacing w:val="1"/>
                <w:shd w:val="solid" w:color="000000" w:fill="000000"/>
                <w:fitText w:val="315" w:id="-628904697"/>
                <w14:textFill>
                  <w14:solidFill>
                    <w14:srgbClr w14:val="000000">
                      <w14:alpha w14:val="100000"/>
                    </w14:srgbClr>
                  </w14:solidFill>
                </w14:textFill>
              </w:rPr>
              <w:t>|</w:t>
            </w:r>
            <w:r w:rsidR="00642745">
              <w:rPr>
                <w:vertAlign w:val="superscript"/>
              </w:rPr>
              <w:t>4</w:t>
            </w:r>
          </w:p>
        </w:tc>
        <w:tc>
          <w:tcPr>
            <w:tcW w:w="632" w:type="pct"/>
          </w:tcPr>
          <w:p w14:paraId="468647C9" w14:textId="0CD1FB58" w:rsidR="00945AB9" w:rsidRPr="007F66A7" w:rsidRDefault="00945AB9">
            <w:pPr>
              <w:pStyle w:val="COMTabletext"/>
              <w:keepNext w:val="0"/>
              <w:jc w:val="center"/>
            </w:pPr>
            <w:r w:rsidRPr="007F66A7">
              <w:t>+</w:t>
            </w:r>
            <w:r w:rsidR="00AA4CCB" w:rsidRPr="00AA4CCB">
              <w:rPr>
                <w:color w:val="000000"/>
                <w:spacing w:val="53"/>
                <w:shd w:val="solid" w:color="000000" w:fill="000000"/>
                <w:fitText w:val="330" w:id="-628904696"/>
                <w14:textFill>
                  <w14:solidFill>
                    <w14:srgbClr w14:val="000000">
                      <w14:alpha w14:val="100000"/>
                    </w14:srgbClr>
                  </w14:solidFill>
                </w14:textFill>
              </w:rPr>
              <w:t>|||</w:t>
            </w:r>
            <w:r w:rsidR="00AA4CCB" w:rsidRPr="00AA4CCB">
              <w:rPr>
                <w:color w:val="000000"/>
                <w:spacing w:val="1"/>
                <w:shd w:val="solid" w:color="000000" w:fill="000000"/>
                <w:fitText w:val="330" w:id="-628904696"/>
                <w14:textFill>
                  <w14:solidFill>
                    <w14:srgbClr w14:val="000000">
                      <w14:alpha w14:val="100000"/>
                    </w14:srgbClr>
                  </w14:solidFill>
                </w14:textFill>
              </w:rPr>
              <w:t>|</w:t>
            </w:r>
            <w:r w:rsidRPr="007F66A7">
              <w:t>%</w:t>
            </w:r>
          </w:p>
        </w:tc>
      </w:tr>
      <w:tr w:rsidR="00751ED6" w:rsidRPr="007F66A7" w14:paraId="735B79B8" w14:textId="77777777" w:rsidTr="000C414C">
        <w:trPr>
          <w:cantSplit/>
        </w:trPr>
        <w:tc>
          <w:tcPr>
            <w:tcW w:w="2521" w:type="pct"/>
          </w:tcPr>
          <w:p w14:paraId="56AED25E" w14:textId="77777777" w:rsidR="00945AB9" w:rsidRPr="007F66A7" w:rsidRDefault="00945AB9">
            <w:pPr>
              <w:pStyle w:val="COMTabletext"/>
              <w:keepNext w:val="0"/>
            </w:pPr>
            <w:r w:rsidRPr="007F66A7">
              <w:t>10 years</w:t>
            </w:r>
          </w:p>
        </w:tc>
        <w:tc>
          <w:tcPr>
            <w:tcW w:w="660" w:type="pct"/>
            <w:vAlign w:val="center"/>
          </w:tcPr>
          <w:p w14:paraId="0BC94096" w14:textId="61E3631A" w:rsidR="00945AB9" w:rsidRPr="007F66A7" w:rsidRDefault="00945AB9">
            <w:pPr>
              <w:pStyle w:val="COMTabletext"/>
              <w:keepNext w:val="0"/>
              <w:jc w:val="center"/>
            </w:pPr>
            <w:r w:rsidRPr="007F66A7">
              <w:t>$</w:t>
            </w:r>
            <w:r w:rsidR="00AA4CCB" w:rsidRPr="00AA4CCB">
              <w:rPr>
                <w:color w:val="000000"/>
                <w:spacing w:val="48"/>
                <w:shd w:val="solid" w:color="000000" w:fill="000000"/>
                <w:fitText w:val="315" w:id="-628904695"/>
                <w14:textFill>
                  <w14:solidFill>
                    <w14:srgbClr w14:val="000000">
                      <w14:alpha w14:val="100000"/>
                    </w14:srgbClr>
                  </w14:solidFill>
                </w14:textFill>
              </w:rPr>
              <w:t>|||</w:t>
            </w:r>
            <w:r w:rsidR="00AA4CCB" w:rsidRPr="00AA4CCB">
              <w:rPr>
                <w:color w:val="000000"/>
                <w:spacing w:val="1"/>
                <w:shd w:val="solid" w:color="000000" w:fill="000000"/>
                <w:fitText w:val="315" w:id="-628904695"/>
                <w14:textFill>
                  <w14:solidFill>
                    <w14:srgbClr w14:val="000000">
                      <w14:alpha w14:val="100000"/>
                    </w14:srgbClr>
                  </w14:solidFill>
                </w14:textFill>
              </w:rPr>
              <w:t>|</w:t>
            </w:r>
          </w:p>
        </w:tc>
        <w:tc>
          <w:tcPr>
            <w:tcW w:w="594" w:type="pct"/>
            <w:vAlign w:val="center"/>
          </w:tcPr>
          <w:p w14:paraId="42BF6534" w14:textId="77777777" w:rsidR="00945AB9" w:rsidRPr="007F66A7" w:rsidRDefault="00945AB9">
            <w:pPr>
              <w:pStyle w:val="COMTabletext"/>
              <w:keepNext w:val="0"/>
              <w:jc w:val="center"/>
            </w:pPr>
            <w:r w:rsidRPr="007F66A7">
              <w:t>0.191</w:t>
            </w:r>
          </w:p>
        </w:tc>
        <w:tc>
          <w:tcPr>
            <w:tcW w:w="593" w:type="pct"/>
            <w:vAlign w:val="center"/>
          </w:tcPr>
          <w:p w14:paraId="439A43E6" w14:textId="143F3A48" w:rsidR="00945AB9" w:rsidRPr="00F215C7" w:rsidRDefault="00945AB9">
            <w:pPr>
              <w:pStyle w:val="COMTabletext"/>
              <w:keepNext w:val="0"/>
              <w:jc w:val="center"/>
              <w:rPr>
                <w:vertAlign w:val="superscript"/>
              </w:rPr>
            </w:pPr>
            <w:r w:rsidRPr="007F66A7">
              <w:t>$</w:t>
            </w:r>
            <w:r w:rsidR="00AA4CCB" w:rsidRPr="00AA4CCB">
              <w:rPr>
                <w:color w:val="000000"/>
                <w:spacing w:val="48"/>
                <w:shd w:val="solid" w:color="000000" w:fill="000000"/>
                <w:fitText w:val="315" w:id="-628904694"/>
                <w14:textFill>
                  <w14:solidFill>
                    <w14:srgbClr w14:val="000000">
                      <w14:alpha w14:val="100000"/>
                    </w14:srgbClr>
                  </w14:solidFill>
                </w14:textFill>
              </w:rPr>
              <w:t>|||</w:t>
            </w:r>
            <w:r w:rsidR="00AA4CCB" w:rsidRPr="00AA4CCB">
              <w:rPr>
                <w:color w:val="000000"/>
                <w:spacing w:val="1"/>
                <w:shd w:val="solid" w:color="000000" w:fill="000000"/>
                <w:fitText w:val="315" w:id="-628904694"/>
                <w14:textFill>
                  <w14:solidFill>
                    <w14:srgbClr w14:val="000000">
                      <w14:alpha w14:val="100000"/>
                    </w14:srgbClr>
                  </w14:solidFill>
                </w14:textFill>
              </w:rPr>
              <w:t>|</w:t>
            </w:r>
            <w:r w:rsidR="00F215C7">
              <w:rPr>
                <w:vertAlign w:val="superscript"/>
              </w:rPr>
              <w:t>4</w:t>
            </w:r>
          </w:p>
        </w:tc>
        <w:tc>
          <w:tcPr>
            <w:tcW w:w="632" w:type="pct"/>
          </w:tcPr>
          <w:p w14:paraId="102B9763" w14:textId="51D2C8EF" w:rsidR="00945AB9" w:rsidRPr="007F66A7" w:rsidRDefault="00945AB9">
            <w:pPr>
              <w:pStyle w:val="COMTabletext"/>
              <w:keepNext w:val="0"/>
              <w:jc w:val="center"/>
            </w:pPr>
            <w:r w:rsidRPr="007F66A7">
              <w:t>+</w:t>
            </w:r>
            <w:r w:rsidR="00AA4CCB" w:rsidRPr="00AA4CCB">
              <w:rPr>
                <w:color w:val="000000"/>
                <w:spacing w:val="53"/>
                <w:shd w:val="solid" w:color="000000" w:fill="000000"/>
                <w:fitText w:val="330" w:id="-628904693"/>
                <w14:textFill>
                  <w14:solidFill>
                    <w14:srgbClr w14:val="000000">
                      <w14:alpha w14:val="100000"/>
                    </w14:srgbClr>
                  </w14:solidFill>
                </w14:textFill>
              </w:rPr>
              <w:t>|||</w:t>
            </w:r>
            <w:r w:rsidR="00AA4CCB" w:rsidRPr="00AA4CCB">
              <w:rPr>
                <w:color w:val="000000"/>
                <w:spacing w:val="1"/>
                <w:shd w:val="solid" w:color="000000" w:fill="000000"/>
                <w:fitText w:val="330" w:id="-628904693"/>
                <w14:textFill>
                  <w14:solidFill>
                    <w14:srgbClr w14:val="000000">
                      <w14:alpha w14:val="100000"/>
                    </w14:srgbClr>
                  </w14:solidFill>
                </w14:textFill>
              </w:rPr>
              <w:t>|</w:t>
            </w:r>
            <w:r w:rsidRPr="007F66A7">
              <w:t>%</w:t>
            </w:r>
          </w:p>
        </w:tc>
      </w:tr>
      <w:tr w:rsidR="00751ED6" w:rsidRPr="007F66A7" w14:paraId="045781E3" w14:textId="77777777" w:rsidTr="000C414C">
        <w:trPr>
          <w:cantSplit/>
        </w:trPr>
        <w:tc>
          <w:tcPr>
            <w:tcW w:w="2521" w:type="pct"/>
          </w:tcPr>
          <w:p w14:paraId="17596FFF" w14:textId="77777777" w:rsidR="00945AB9" w:rsidRPr="007F66A7" w:rsidRDefault="00945AB9">
            <w:pPr>
              <w:pStyle w:val="COMTabletext"/>
              <w:keepNext w:val="0"/>
            </w:pPr>
            <w:r w:rsidRPr="007F66A7">
              <w:t>15 years</w:t>
            </w:r>
          </w:p>
        </w:tc>
        <w:tc>
          <w:tcPr>
            <w:tcW w:w="660" w:type="pct"/>
            <w:vAlign w:val="center"/>
          </w:tcPr>
          <w:p w14:paraId="5D2A4FB1" w14:textId="74674323" w:rsidR="00945AB9" w:rsidRPr="007F66A7" w:rsidRDefault="00945AB9">
            <w:pPr>
              <w:pStyle w:val="COMTabletext"/>
              <w:keepNext w:val="0"/>
              <w:jc w:val="center"/>
            </w:pPr>
            <w:r w:rsidRPr="007F66A7">
              <w:t>$</w:t>
            </w:r>
            <w:r w:rsidR="00AA4CCB" w:rsidRPr="00AA4CCB">
              <w:rPr>
                <w:color w:val="000000"/>
                <w:spacing w:val="48"/>
                <w:shd w:val="solid" w:color="000000" w:fill="000000"/>
                <w:fitText w:val="315" w:id="-628904692"/>
                <w14:textFill>
                  <w14:solidFill>
                    <w14:srgbClr w14:val="000000">
                      <w14:alpha w14:val="100000"/>
                    </w14:srgbClr>
                  </w14:solidFill>
                </w14:textFill>
              </w:rPr>
              <w:t>|||</w:t>
            </w:r>
            <w:r w:rsidR="00AA4CCB" w:rsidRPr="00AA4CCB">
              <w:rPr>
                <w:color w:val="000000"/>
                <w:spacing w:val="1"/>
                <w:shd w:val="solid" w:color="000000" w:fill="000000"/>
                <w:fitText w:val="315" w:id="-628904692"/>
                <w14:textFill>
                  <w14:solidFill>
                    <w14:srgbClr w14:val="000000">
                      <w14:alpha w14:val="100000"/>
                    </w14:srgbClr>
                  </w14:solidFill>
                </w14:textFill>
              </w:rPr>
              <w:t>|</w:t>
            </w:r>
          </w:p>
        </w:tc>
        <w:tc>
          <w:tcPr>
            <w:tcW w:w="594" w:type="pct"/>
            <w:vAlign w:val="center"/>
          </w:tcPr>
          <w:p w14:paraId="3B403323" w14:textId="77777777" w:rsidR="00945AB9" w:rsidRPr="007F66A7" w:rsidRDefault="00945AB9">
            <w:pPr>
              <w:pStyle w:val="COMTabletext"/>
              <w:keepNext w:val="0"/>
              <w:jc w:val="center"/>
            </w:pPr>
            <w:r w:rsidRPr="007F66A7">
              <w:t>0.292</w:t>
            </w:r>
          </w:p>
        </w:tc>
        <w:tc>
          <w:tcPr>
            <w:tcW w:w="593" w:type="pct"/>
            <w:vAlign w:val="center"/>
          </w:tcPr>
          <w:p w14:paraId="28F68688" w14:textId="4E230228" w:rsidR="00945AB9" w:rsidRPr="00F215C7" w:rsidRDefault="00945AB9">
            <w:pPr>
              <w:pStyle w:val="COMTabletext"/>
              <w:keepNext w:val="0"/>
              <w:jc w:val="center"/>
              <w:rPr>
                <w:vertAlign w:val="superscript"/>
              </w:rPr>
            </w:pPr>
            <w:r w:rsidRPr="007F66A7">
              <w:t>$</w:t>
            </w:r>
            <w:r w:rsidR="00AA4CCB" w:rsidRPr="00AA4CCB">
              <w:rPr>
                <w:color w:val="000000"/>
                <w:spacing w:val="48"/>
                <w:shd w:val="solid" w:color="000000" w:fill="000000"/>
                <w:fitText w:val="315" w:id="-628904691"/>
                <w14:textFill>
                  <w14:solidFill>
                    <w14:srgbClr w14:val="000000">
                      <w14:alpha w14:val="100000"/>
                    </w14:srgbClr>
                  </w14:solidFill>
                </w14:textFill>
              </w:rPr>
              <w:t>|||</w:t>
            </w:r>
            <w:r w:rsidR="00AA4CCB" w:rsidRPr="00AA4CCB">
              <w:rPr>
                <w:color w:val="000000"/>
                <w:spacing w:val="1"/>
                <w:shd w:val="solid" w:color="000000" w:fill="000000"/>
                <w:fitText w:val="315" w:id="-628904691"/>
                <w14:textFill>
                  <w14:solidFill>
                    <w14:srgbClr w14:val="000000">
                      <w14:alpha w14:val="100000"/>
                    </w14:srgbClr>
                  </w14:solidFill>
                </w14:textFill>
              </w:rPr>
              <w:t>|</w:t>
            </w:r>
            <w:r w:rsidR="00F215C7">
              <w:rPr>
                <w:vertAlign w:val="superscript"/>
              </w:rPr>
              <w:t>5</w:t>
            </w:r>
          </w:p>
        </w:tc>
        <w:tc>
          <w:tcPr>
            <w:tcW w:w="632" w:type="pct"/>
          </w:tcPr>
          <w:p w14:paraId="1493C775" w14:textId="1E2B5CCE" w:rsidR="00945AB9" w:rsidRPr="007F66A7" w:rsidRDefault="00945AB9">
            <w:pPr>
              <w:pStyle w:val="COMTabletext"/>
              <w:keepNext w:val="0"/>
              <w:jc w:val="center"/>
            </w:pPr>
            <w:r w:rsidRPr="007F66A7">
              <w:t>+</w:t>
            </w:r>
            <w:r w:rsidR="00AA4CCB" w:rsidRPr="00AA4CCB">
              <w:rPr>
                <w:color w:val="000000"/>
                <w:spacing w:val="53"/>
                <w:shd w:val="solid" w:color="000000" w:fill="000000"/>
                <w:fitText w:val="330" w:id="-628904690"/>
                <w14:textFill>
                  <w14:solidFill>
                    <w14:srgbClr w14:val="000000">
                      <w14:alpha w14:val="100000"/>
                    </w14:srgbClr>
                  </w14:solidFill>
                </w14:textFill>
              </w:rPr>
              <w:t>|||</w:t>
            </w:r>
            <w:r w:rsidR="00AA4CCB" w:rsidRPr="00AA4CCB">
              <w:rPr>
                <w:color w:val="000000"/>
                <w:spacing w:val="1"/>
                <w:shd w:val="solid" w:color="000000" w:fill="000000"/>
                <w:fitText w:val="330" w:id="-628904690"/>
                <w14:textFill>
                  <w14:solidFill>
                    <w14:srgbClr w14:val="000000">
                      <w14:alpha w14:val="100000"/>
                    </w14:srgbClr>
                  </w14:solidFill>
                </w14:textFill>
              </w:rPr>
              <w:t>|</w:t>
            </w:r>
            <w:r w:rsidRPr="007F66A7">
              <w:t>%</w:t>
            </w:r>
          </w:p>
        </w:tc>
      </w:tr>
      <w:tr w:rsidR="00644664" w:rsidRPr="007F66A7" w14:paraId="6C08130E" w14:textId="77777777" w:rsidTr="000C414C">
        <w:trPr>
          <w:cantSplit/>
        </w:trPr>
        <w:tc>
          <w:tcPr>
            <w:tcW w:w="2521" w:type="pct"/>
          </w:tcPr>
          <w:p w14:paraId="797A5769" w14:textId="4E9896E5" w:rsidR="00644664" w:rsidRPr="00912E7B" w:rsidRDefault="00644664" w:rsidP="00644664">
            <w:pPr>
              <w:pStyle w:val="COMTabletext"/>
              <w:keepNext w:val="0"/>
            </w:pPr>
            <w:r w:rsidRPr="00912E7B">
              <w:t>45 years</w:t>
            </w:r>
          </w:p>
        </w:tc>
        <w:tc>
          <w:tcPr>
            <w:tcW w:w="660" w:type="pct"/>
            <w:vAlign w:val="center"/>
          </w:tcPr>
          <w:p w14:paraId="65785A7E" w14:textId="17F9EB60" w:rsidR="00644664" w:rsidRPr="00912E7B" w:rsidRDefault="00644664" w:rsidP="00644664">
            <w:pPr>
              <w:pStyle w:val="COMTabletext"/>
              <w:keepNext w:val="0"/>
              <w:jc w:val="center"/>
            </w:pPr>
            <w:r w:rsidRPr="00912E7B">
              <w:t>$</w:t>
            </w:r>
            <w:r w:rsidR="00AA4CCB" w:rsidRPr="00AA4CCB">
              <w:rPr>
                <w:color w:val="000000"/>
                <w:spacing w:val="48"/>
                <w:shd w:val="solid" w:color="000000" w:fill="000000"/>
                <w:fitText w:val="315" w:id="-628904689"/>
                <w14:textFill>
                  <w14:solidFill>
                    <w14:srgbClr w14:val="000000">
                      <w14:alpha w14:val="100000"/>
                    </w14:srgbClr>
                  </w14:solidFill>
                </w14:textFill>
              </w:rPr>
              <w:t>|||</w:t>
            </w:r>
            <w:r w:rsidR="00AA4CCB" w:rsidRPr="00AA4CCB">
              <w:rPr>
                <w:color w:val="000000"/>
                <w:spacing w:val="1"/>
                <w:shd w:val="solid" w:color="000000" w:fill="000000"/>
                <w:fitText w:val="315" w:id="-628904689"/>
                <w14:textFill>
                  <w14:solidFill>
                    <w14:srgbClr w14:val="000000">
                      <w14:alpha w14:val="100000"/>
                    </w14:srgbClr>
                  </w14:solidFill>
                </w14:textFill>
              </w:rPr>
              <w:t>|</w:t>
            </w:r>
          </w:p>
        </w:tc>
        <w:tc>
          <w:tcPr>
            <w:tcW w:w="594" w:type="pct"/>
            <w:vAlign w:val="center"/>
          </w:tcPr>
          <w:p w14:paraId="55347DA5" w14:textId="51437B50" w:rsidR="00644664" w:rsidRPr="00912E7B" w:rsidRDefault="00644664" w:rsidP="00644664">
            <w:pPr>
              <w:pStyle w:val="COMTabletext"/>
              <w:keepNext w:val="0"/>
              <w:jc w:val="center"/>
            </w:pPr>
            <w:r w:rsidRPr="00912E7B">
              <w:t>0.534</w:t>
            </w:r>
          </w:p>
        </w:tc>
        <w:tc>
          <w:tcPr>
            <w:tcW w:w="593" w:type="pct"/>
            <w:vAlign w:val="center"/>
          </w:tcPr>
          <w:p w14:paraId="59C51608" w14:textId="322BC7A5" w:rsidR="00644664" w:rsidRPr="007210CC" w:rsidRDefault="00644664" w:rsidP="00644664">
            <w:pPr>
              <w:pStyle w:val="COMTabletext"/>
              <w:keepNext w:val="0"/>
              <w:jc w:val="center"/>
              <w:rPr>
                <w:vertAlign w:val="superscript"/>
              </w:rPr>
            </w:pPr>
            <w:r w:rsidRPr="00912E7B">
              <w:t>$</w:t>
            </w:r>
            <w:r w:rsidR="00AA4CCB" w:rsidRPr="00AA4CCB">
              <w:rPr>
                <w:color w:val="000000"/>
                <w:spacing w:val="48"/>
                <w:shd w:val="solid" w:color="000000" w:fill="000000"/>
                <w:fitText w:val="315" w:id="-628904688"/>
                <w14:textFill>
                  <w14:solidFill>
                    <w14:srgbClr w14:val="000000">
                      <w14:alpha w14:val="100000"/>
                    </w14:srgbClr>
                  </w14:solidFill>
                </w14:textFill>
              </w:rPr>
              <w:t>|||</w:t>
            </w:r>
            <w:r w:rsidR="00AA4CCB" w:rsidRPr="00AA4CCB">
              <w:rPr>
                <w:color w:val="000000"/>
                <w:spacing w:val="1"/>
                <w:shd w:val="solid" w:color="000000" w:fill="000000"/>
                <w:fitText w:val="315" w:id="-628904688"/>
                <w14:textFill>
                  <w14:solidFill>
                    <w14:srgbClr w14:val="000000">
                      <w14:alpha w14:val="100000"/>
                    </w14:srgbClr>
                  </w14:solidFill>
                </w14:textFill>
              </w:rPr>
              <w:t>|</w:t>
            </w:r>
            <w:r w:rsidR="007210CC">
              <w:rPr>
                <w:vertAlign w:val="superscript"/>
              </w:rPr>
              <w:t>1</w:t>
            </w:r>
          </w:p>
        </w:tc>
        <w:tc>
          <w:tcPr>
            <w:tcW w:w="632" w:type="pct"/>
          </w:tcPr>
          <w:p w14:paraId="78EB0ABE" w14:textId="2BD73194" w:rsidR="00644664" w:rsidRPr="00912E7B" w:rsidRDefault="00644664" w:rsidP="00644664">
            <w:pPr>
              <w:pStyle w:val="COMTabletext"/>
              <w:keepNext w:val="0"/>
              <w:jc w:val="center"/>
            </w:pPr>
            <w:r w:rsidRPr="00912E7B">
              <w:t>&lt;</w:t>
            </w:r>
            <w:r w:rsidR="00AA4CCB" w:rsidRPr="00AA4CCB">
              <w:rPr>
                <w:color w:val="000000"/>
                <w:spacing w:val="53"/>
                <w:shd w:val="solid" w:color="000000" w:fill="000000"/>
                <w:fitText w:val="330" w:id="-628904704"/>
                <w14:textFill>
                  <w14:solidFill>
                    <w14:srgbClr w14:val="000000">
                      <w14:alpha w14:val="100000"/>
                    </w14:srgbClr>
                  </w14:solidFill>
                </w14:textFill>
              </w:rPr>
              <w:t>|||</w:t>
            </w:r>
            <w:r w:rsidR="00AA4CCB" w:rsidRPr="00AA4CCB">
              <w:rPr>
                <w:color w:val="000000"/>
                <w:spacing w:val="1"/>
                <w:shd w:val="solid" w:color="000000" w:fill="000000"/>
                <w:fitText w:val="330" w:id="-628904704"/>
                <w14:textFill>
                  <w14:solidFill>
                    <w14:srgbClr w14:val="000000">
                      <w14:alpha w14:val="100000"/>
                    </w14:srgbClr>
                  </w14:solidFill>
                </w14:textFill>
              </w:rPr>
              <w:t>|</w:t>
            </w:r>
            <w:r w:rsidRPr="00912E7B">
              <w:t>%</w:t>
            </w:r>
          </w:p>
        </w:tc>
      </w:tr>
      <w:tr w:rsidR="00644664" w:rsidRPr="007F66A7" w14:paraId="5B765D41" w14:textId="77777777" w:rsidTr="000C414C">
        <w:trPr>
          <w:cantSplit/>
        </w:trPr>
        <w:tc>
          <w:tcPr>
            <w:tcW w:w="2521" w:type="pct"/>
          </w:tcPr>
          <w:p w14:paraId="0CCFFFFE" w14:textId="1BFAAF5A" w:rsidR="00644664" w:rsidRPr="00912E7B" w:rsidRDefault="00644664" w:rsidP="00644664">
            <w:pPr>
              <w:pStyle w:val="COMTabletext"/>
              <w:keepNext w:val="0"/>
            </w:pPr>
            <w:r w:rsidRPr="00912E7B">
              <w:t>55 years</w:t>
            </w:r>
          </w:p>
        </w:tc>
        <w:tc>
          <w:tcPr>
            <w:tcW w:w="660" w:type="pct"/>
            <w:vAlign w:val="center"/>
          </w:tcPr>
          <w:p w14:paraId="229C6926" w14:textId="484007B8" w:rsidR="00644664" w:rsidRPr="00912E7B" w:rsidRDefault="00644664" w:rsidP="00644664">
            <w:pPr>
              <w:pStyle w:val="COMTabletext"/>
              <w:keepNext w:val="0"/>
              <w:jc w:val="center"/>
            </w:pPr>
            <w:r w:rsidRPr="00912E7B">
              <w:t>$</w:t>
            </w:r>
            <w:r w:rsidR="00AA4CCB" w:rsidRPr="00AA4CCB">
              <w:rPr>
                <w:color w:val="000000"/>
                <w:spacing w:val="48"/>
                <w:shd w:val="solid" w:color="000000" w:fill="000000"/>
                <w:fitText w:val="315" w:id="-628904703"/>
                <w14:textFill>
                  <w14:solidFill>
                    <w14:srgbClr w14:val="000000">
                      <w14:alpha w14:val="100000"/>
                    </w14:srgbClr>
                  </w14:solidFill>
                </w14:textFill>
              </w:rPr>
              <w:t>|||</w:t>
            </w:r>
            <w:r w:rsidR="00AA4CCB" w:rsidRPr="00AA4CCB">
              <w:rPr>
                <w:color w:val="000000"/>
                <w:spacing w:val="1"/>
                <w:shd w:val="solid" w:color="000000" w:fill="000000"/>
                <w:fitText w:val="315" w:id="-628904703"/>
                <w14:textFill>
                  <w14:solidFill>
                    <w14:srgbClr w14:val="000000">
                      <w14:alpha w14:val="100000"/>
                    </w14:srgbClr>
                  </w14:solidFill>
                </w14:textFill>
              </w:rPr>
              <w:t>|</w:t>
            </w:r>
          </w:p>
        </w:tc>
        <w:tc>
          <w:tcPr>
            <w:tcW w:w="594" w:type="pct"/>
            <w:vAlign w:val="center"/>
          </w:tcPr>
          <w:p w14:paraId="657AA148" w14:textId="1FEEB773" w:rsidR="00644664" w:rsidRPr="00912E7B" w:rsidRDefault="00644664" w:rsidP="00644664">
            <w:pPr>
              <w:pStyle w:val="COMTabletext"/>
              <w:keepNext w:val="0"/>
              <w:jc w:val="center"/>
            </w:pPr>
            <w:r w:rsidRPr="00912E7B">
              <w:t>0.539</w:t>
            </w:r>
          </w:p>
        </w:tc>
        <w:tc>
          <w:tcPr>
            <w:tcW w:w="593" w:type="pct"/>
            <w:vAlign w:val="center"/>
          </w:tcPr>
          <w:p w14:paraId="2C8A3620" w14:textId="6DCDC0DC" w:rsidR="00644664" w:rsidRPr="007210CC" w:rsidRDefault="00644664" w:rsidP="00644664">
            <w:pPr>
              <w:pStyle w:val="COMTabletext"/>
              <w:keepNext w:val="0"/>
              <w:jc w:val="center"/>
              <w:rPr>
                <w:vertAlign w:val="superscript"/>
              </w:rPr>
            </w:pPr>
            <w:r w:rsidRPr="00912E7B">
              <w:t>$</w:t>
            </w:r>
            <w:r w:rsidR="00AA4CCB" w:rsidRPr="00AA4CCB">
              <w:rPr>
                <w:color w:val="000000"/>
                <w:spacing w:val="48"/>
                <w:shd w:val="solid" w:color="000000" w:fill="000000"/>
                <w:fitText w:val="315" w:id="-628904702"/>
                <w14:textFill>
                  <w14:solidFill>
                    <w14:srgbClr w14:val="000000">
                      <w14:alpha w14:val="100000"/>
                    </w14:srgbClr>
                  </w14:solidFill>
                </w14:textFill>
              </w:rPr>
              <w:t>|||</w:t>
            </w:r>
            <w:r w:rsidR="00AA4CCB" w:rsidRPr="00AA4CCB">
              <w:rPr>
                <w:color w:val="000000"/>
                <w:spacing w:val="1"/>
                <w:shd w:val="solid" w:color="000000" w:fill="000000"/>
                <w:fitText w:val="315" w:id="-628904702"/>
                <w14:textFill>
                  <w14:solidFill>
                    <w14:srgbClr w14:val="000000">
                      <w14:alpha w14:val="100000"/>
                    </w14:srgbClr>
                  </w14:solidFill>
                </w14:textFill>
              </w:rPr>
              <w:t>|</w:t>
            </w:r>
            <w:r w:rsidR="007210CC">
              <w:rPr>
                <w:vertAlign w:val="superscript"/>
              </w:rPr>
              <w:t>1</w:t>
            </w:r>
          </w:p>
        </w:tc>
        <w:tc>
          <w:tcPr>
            <w:tcW w:w="632" w:type="pct"/>
          </w:tcPr>
          <w:p w14:paraId="4D4B43D7" w14:textId="7AE8685C" w:rsidR="00644664" w:rsidRPr="00912E7B" w:rsidRDefault="00644664" w:rsidP="00644664">
            <w:pPr>
              <w:pStyle w:val="COMTabletext"/>
              <w:keepNext w:val="0"/>
              <w:jc w:val="center"/>
            </w:pPr>
            <w:r w:rsidRPr="00912E7B">
              <w:t>&lt;</w:t>
            </w:r>
            <w:r w:rsidR="00AA4CCB" w:rsidRPr="00AA4CCB">
              <w:rPr>
                <w:color w:val="000000"/>
                <w:spacing w:val="53"/>
                <w:shd w:val="solid" w:color="000000" w:fill="000000"/>
                <w:fitText w:val="330" w:id="-628904701"/>
                <w14:textFill>
                  <w14:solidFill>
                    <w14:srgbClr w14:val="000000">
                      <w14:alpha w14:val="100000"/>
                    </w14:srgbClr>
                  </w14:solidFill>
                </w14:textFill>
              </w:rPr>
              <w:t>|||</w:t>
            </w:r>
            <w:r w:rsidR="00AA4CCB" w:rsidRPr="00AA4CCB">
              <w:rPr>
                <w:color w:val="000000"/>
                <w:spacing w:val="1"/>
                <w:shd w:val="solid" w:color="000000" w:fill="000000"/>
                <w:fitText w:val="330" w:id="-628904701"/>
                <w14:textFill>
                  <w14:solidFill>
                    <w14:srgbClr w14:val="000000">
                      <w14:alpha w14:val="100000"/>
                    </w14:srgbClr>
                  </w14:solidFill>
                </w14:textFill>
              </w:rPr>
              <w:t>|</w:t>
            </w:r>
            <w:r w:rsidRPr="00912E7B">
              <w:t>%</w:t>
            </w:r>
          </w:p>
        </w:tc>
      </w:tr>
      <w:tr w:rsidR="00644664" w:rsidRPr="007F66A7" w14:paraId="10A7CC8E" w14:textId="77777777">
        <w:trPr>
          <w:cantSplit/>
        </w:trPr>
        <w:tc>
          <w:tcPr>
            <w:tcW w:w="5000" w:type="pct"/>
            <w:gridSpan w:val="5"/>
          </w:tcPr>
          <w:p w14:paraId="52F80A16" w14:textId="77777777" w:rsidR="00644664" w:rsidRPr="007F66A7" w:rsidRDefault="00644664" w:rsidP="00644664">
            <w:pPr>
              <w:pStyle w:val="COMTableheadingrow"/>
              <w:rPr>
                <w:lang w:val="en-AU"/>
              </w:rPr>
            </w:pPr>
            <w:r w:rsidRPr="007F66A7">
              <w:rPr>
                <w:lang w:val="en-AU"/>
              </w:rPr>
              <w:t>Baseline age (base case 39.5 years)</w:t>
            </w:r>
          </w:p>
        </w:tc>
      </w:tr>
      <w:tr w:rsidR="00644664" w:rsidRPr="007F66A7" w14:paraId="3B74E277" w14:textId="77777777" w:rsidTr="000C414C">
        <w:trPr>
          <w:cantSplit/>
        </w:trPr>
        <w:tc>
          <w:tcPr>
            <w:tcW w:w="2521" w:type="pct"/>
          </w:tcPr>
          <w:p w14:paraId="105F2B5F" w14:textId="77777777" w:rsidR="00644664" w:rsidRPr="007F66A7" w:rsidRDefault="00644664" w:rsidP="00644664">
            <w:pPr>
              <w:pStyle w:val="COMTabletext"/>
              <w:keepNext w:val="0"/>
            </w:pPr>
            <w:r w:rsidRPr="007F66A7">
              <w:t>30 years</w:t>
            </w:r>
          </w:p>
        </w:tc>
        <w:tc>
          <w:tcPr>
            <w:tcW w:w="660" w:type="pct"/>
          </w:tcPr>
          <w:p w14:paraId="2E0F8F70" w14:textId="4F8A8E9E"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700"/>
                <w14:textFill>
                  <w14:solidFill>
                    <w14:srgbClr w14:val="000000">
                      <w14:alpha w14:val="100000"/>
                    </w14:srgbClr>
                  </w14:solidFill>
                </w14:textFill>
              </w:rPr>
              <w:t>|||</w:t>
            </w:r>
            <w:r w:rsidR="00AA4CCB" w:rsidRPr="00AA4CCB">
              <w:rPr>
                <w:color w:val="000000"/>
                <w:spacing w:val="1"/>
                <w:shd w:val="solid" w:color="000000" w:fill="000000"/>
                <w:fitText w:val="315" w:id="-628904700"/>
                <w14:textFill>
                  <w14:solidFill>
                    <w14:srgbClr w14:val="000000">
                      <w14:alpha w14:val="100000"/>
                    </w14:srgbClr>
                  </w14:solidFill>
                </w14:textFill>
              </w:rPr>
              <w:t>|</w:t>
            </w:r>
          </w:p>
        </w:tc>
        <w:tc>
          <w:tcPr>
            <w:tcW w:w="594" w:type="pct"/>
          </w:tcPr>
          <w:p w14:paraId="25FE90CF" w14:textId="77777777" w:rsidR="00644664" w:rsidRPr="007F66A7" w:rsidRDefault="00644664" w:rsidP="00644664">
            <w:pPr>
              <w:pStyle w:val="COMTabletext"/>
              <w:keepNext w:val="0"/>
              <w:jc w:val="center"/>
            </w:pPr>
            <w:r w:rsidRPr="007F66A7">
              <w:t>0.586</w:t>
            </w:r>
          </w:p>
        </w:tc>
        <w:tc>
          <w:tcPr>
            <w:tcW w:w="593" w:type="pct"/>
          </w:tcPr>
          <w:p w14:paraId="320615DD" w14:textId="063D3B1D" w:rsidR="00644664" w:rsidRPr="007210C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99"/>
                <w14:textFill>
                  <w14:solidFill>
                    <w14:srgbClr w14:val="000000">
                      <w14:alpha w14:val="100000"/>
                    </w14:srgbClr>
                  </w14:solidFill>
                </w14:textFill>
              </w:rPr>
              <w:t>|||</w:t>
            </w:r>
            <w:r w:rsidR="00AA4CCB" w:rsidRPr="00AA4CCB">
              <w:rPr>
                <w:color w:val="000000"/>
                <w:spacing w:val="1"/>
                <w:shd w:val="solid" w:color="000000" w:fill="000000"/>
                <w:fitText w:val="315" w:id="-628904699"/>
                <w14:textFill>
                  <w14:solidFill>
                    <w14:srgbClr w14:val="000000">
                      <w14:alpha w14:val="100000"/>
                    </w14:srgbClr>
                  </w14:solidFill>
                </w14:textFill>
              </w:rPr>
              <w:t>|</w:t>
            </w:r>
            <w:r w:rsidR="007210CC">
              <w:rPr>
                <w:vertAlign w:val="superscript"/>
              </w:rPr>
              <w:t>1</w:t>
            </w:r>
          </w:p>
        </w:tc>
        <w:tc>
          <w:tcPr>
            <w:tcW w:w="632" w:type="pct"/>
          </w:tcPr>
          <w:p w14:paraId="2E818FC2" w14:textId="64EF33A9" w:rsidR="00644664" w:rsidRPr="007F66A7" w:rsidRDefault="00644664" w:rsidP="00644664">
            <w:pPr>
              <w:pStyle w:val="COMTabletext"/>
              <w:keepNext w:val="0"/>
              <w:jc w:val="center"/>
            </w:pPr>
            <w:r w:rsidRPr="007F66A7">
              <w:t>-</w:t>
            </w:r>
            <w:r w:rsidR="00AA4CCB" w:rsidRPr="00AA4CCB">
              <w:rPr>
                <w:color w:val="000000"/>
                <w:spacing w:val="53"/>
                <w:shd w:val="solid" w:color="000000" w:fill="000000"/>
                <w:fitText w:val="330" w:id="-628904698"/>
                <w14:textFill>
                  <w14:solidFill>
                    <w14:srgbClr w14:val="000000">
                      <w14:alpha w14:val="100000"/>
                    </w14:srgbClr>
                  </w14:solidFill>
                </w14:textFill>
              </w:rPr>
              <w:t>|||</w:t>
            </w:r>
            <w:r w:rsidR="00AA4CCB" w:rsidRPr="00AA4CCB">
              <w:rPr>
                <w:color w:val="000000"/>
                <w:spacing w:val="1"/>
                <w:shd w:val="solid" w:color="000000" w:fill="000000"/>
                <w:fitText w:val="330" w:id="-628904698"/>
                <w14:textFill>
                  <w14:solidFill>
                    <w14:srgbClr w14:val="000000">
                      <w14:alpha w14:val="100000"/>
                    </w14:srgbClr>
                  </w14:solidFill>
                </w14:textFill>
              </w:rPr>
              <w:t>|</w:t>
            </w:r>
            <w:r w:rsidRPr="007F66A7">
              <w:t>%</w:t>
            </w:r>
          </w:p>
        </w:tc>
      </w:tr>
      <w:tr w:rsidR="00644664" w:rsidRPr="007F66A7" w14:paraId="322B2DA5" w14:textId="77777777" w:rsidTr="000C414C">
        <w:trPr>
          <w:cantSplit/>
        </w:trPr>
        <w:tc>
          <w:tcPr>
            <w:tcW w:w="2521" w:type="pct"/>
          </w:tcPr>
          <w:p w14:paraId="0E20B2AB" w14:textId="77777777" w:rsidR="00644664" w:rsidRPr="007F66A7" w:rsidRDefault="00644664" w:rsidP="00644664">
            <w:pPr>
              <w:pStyle w:val="COMTabletext"/>
              <w:keepNext w:val="0"/>
            </w:pPr>
            <w:r w:rsidRPr="007F66A7">
              <w:t>60 years</w:t>
            </w:r>
          </w:p>
        </w:tc>
        <w:tc>
          <w:tcPr>
            <w:tcW w:w="660" w:type="pct"/>
          </w:tcPr>
          <w:p w14:paraId="17730FE2" w14:textId="600C9F53"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697"/>
                <w14:textFill>
                  <w14:solidFill>
                    <w14:srgbClr w14:val="000000">
                      <w14:alpha w14:val="100000"/>
                    </w14:srgbClr>
                  </w14:solidFill>
                </w14:textFill>
              </w:rPr>
              <w:t>|||</w:t>
            </w:r>
            <w:r w:rsidR="00AA4CCB" w:rsidRPr="00AA4CCB">
              <w:rPr>
                <w:color w:val="000000"/>
                <w:spacing w:val="1"/>
                <w:shd w:val="solid" w:color="000000" w:fill="000000"/>
                <w:fitText w:val="315" w:id="-628904697"/>
                <w14:textFill>
                  <w14:solidFill>
                    <w14:srgbClr w14:val="000000">
                      <w14:alpha w14:val="100000"/>
                    </w14:srgbClr>
                  </w14:solidFill>
                </w14:textFill>
              </w:rPr>
              <w:t>|</w:t>
            </w:r>
          </w:p>
        </w:tc>
        <w:tc>
          <w:tcPr>
            <w:tcW w:w="594" w:type="pct"/>
          </w:tcPr>
          <w:p w14:paraId="343508B3" w14:textId="77777777" w:rsidR="00644664" w:rsidRPr="007F66A7" w:rsidRDefault="00644664" w:rsidP="00644664">
            <w:pPr>
              <w:pStyle w:val="COMTabletext"/>
              <w:keepNext w:val="0"/>
              <w:jc w:val="center"/>
            </w:pPr>
            <w:r w:rsidRPr="007F66A7">
              <w:t>0.394</w:t>
            </w:r>
          </w:p>
        </w:tc>
        <w:tc>
          <w:tcPr>
            <w:tcW w:w="593" w:type="pct"/>
          </w:tcPr>
          <w:p w14:paraId="719B8C52" w14:textId="03F6D49B" w:rsidR="00644664" w:rsidRPr="0032034F"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96"/>
                <w14:textFill>
                  <w14:solidFill>
                    <w14:srgbClr w14:val="000000">
                      <w14:alpha w14:val="100000"/>
                    </w14:srgbClr>
                  </w14:solidFill>
                </w14:textFill>
              </w:rPr>
              <w:t>|||</w:t>
            </w:r>
            <w:r w:rsidR="00AA4CCB" w:rsidRPr="00AA4CCB">
              <w:rPr>
                <w:color w:val="000000"/>
                <w:spacing w:val="1"/>
                <w:shd w:val="solid" w:color="000000" w:fill="000000"/>
                <w:fitText w:val="315" w:id="-628904696"/>
                <w14:textFill>
                  <w14:solidFill>
                    <w14:srgbClr w14:val="000000">
                      <w14:alpha w14:val="100000"/>
                    </w14:srgbClr>
                  </w14:solidFill>
                </w14:textFill>
              </w:rPr>
              <w:t>|</w:t>
            </w:r>
            <w:r w:rsidR="0032034F">
              <w:rPr>
                <w:vertAlign w:val="superscript"/>
              </w:rPr>
              <w:t>6</w:t>
            </w:r>
          </w:p>
        </w:tc>
        <w:tc>
          <w:tcPr>
            <w:tcW w:w="632" w:type="pct"/>
          </w:tcPr>
          <w:p w14:paraId="7763290F" w14:textId="35B6225E" w:rsidR="00644664" w:rsidRPr="007F66A7" w:rsidRDefault="00644664" w:rsidP="00644664">
            <w:pPr>
              <w:pStyle w:val="COMTabletext"/>
              <w:keepNext w:val="0"/>
              <w:jc w:val="center"/>
            </w:pPr>
            <w:r w:rsidRPr="007F66A7">
              <w:t>+</w:t>
            </w:r>
            <w:r w:rsidR="00AA4CCB" w:rsidRPr="00AA4CCB">
              <w:rPr>
                <w:color w:val="000000"/>
                <w:spacing w:val="53"/>
                <w:shd w:val="solid" w:color="000000" w:fill="000000"/>
                <w:fitText w:val="330" w:id="-628904695"/>
                <w14:textFill>
                  <w14:solidFill>
                    <w14:srgbClr w14:val="000000">
                      <w14:alpha w14:val="100000"/>
                    </w14:srgbClr>
                  </w14:solidFill>
                </w14:textFill>
              </w:rPr>
              <w:t>|||</w:t>
            </w:r>
            <w:r w:rsidR="00AA4CCB" w:rsidRPr="00AA4CCB">
              <w:rPr>
                <w:color w:val="000000"/>
                <w:spacing w:val="1"/>
                <w:shd w:val="solid" w:color="000000" w:fill="000000"/>
                <w:fitText w:val="330" w:id="-628904695"/>
                <w14:textFill>
                  <w14:solidFill>
                    <w14:srgbClr w14:val="000000">
                      <w14:alpha w14:val="100000"/>
                    </w14:srgbClr>
                  </w14:solidFill>
                </w14:textFill>
              </w:rPr>
              <w:t>|</w:t>
            </w:r>
            <w:r w:rsidRPr="007F66A7">
              <w:t>%</w:t>
            </w:r>
          </w:p>
        </w:tc>
      </w:tr>
      <w:tr w:rsidR="00644664" w:rsidRPr="007F66A7" w14:paraId="1524F396" w14:textId="77777777">
        <w:trPr>
          <w:cantSplit/>
        </w:trPr>
        <w:tc>
          <w:tcPr>
            <w:tcW w:w="5000" w:type="pct"/>
            <w:gridSpan w:val="5"/>
          </w:tcPr>
          <w:p w14:paraId="23447ABA" w14:textId="518E3BE8" w:rsidR="00644664" w:rsidRPr="007F66A7" w:rsidRDefault="00644664" w:rsidP="00644664">
            <w:pPr>
              <w:pStyle w:val="COMTableheadingrow"/>
              <w:rPr>
                <w:lang w:val="en-AU"/>
              </w:rPr>
            </w:pPr>
            <w:r w:rsidRPr="007F66A7">
              <w:rPr>
                <w:lang w:val="en-AU"/>
              </w:rPr>
              <w:t xml:space="preserve">Mortality due to disease progression (base case proportion of disease progression events that are death: </w:t>
            </w:r>
            <w:r w:rsidR="00C14435" w:rsidRPr="007F66A7">
              <w:rPr>
                <w:lang w:val="en-AU"/>
              </w:rPr>
              <w:t xml:space="preserve">1L </w:t>
            </w:r>
            <w:r w:rsidRPr="007F66A7">
              <w:rPr>
                <w:lang w:val="en-AU"/>
              </w:rPr>
              <w:t xml:space="preserve">treatment: A+AVD 12%, ABVD 15% based on </w:t>
            </w:r>
            <w:proofErr w:type="spellStart"/>
            <w:r w:rsidRPr="007F66A7">
              <w:rPr>
                <w:lang w:val="en-AU"/>
              </w:rPr>
              <w:t>mPFS</w:t>
            </w:r>
            <w:proofErr w:type="spellEnd"/>
            <w:r w:rsidRPr="007F66A7">
              <w:rPr>
                <w:lang w:val="en-AU"/>
              </w:rPr>
              <w:t xml:space="preserve"> in ECHELON-1, </w:t>
            </w:r>
            <w:r w:rsidR="00923070" w:rsidRPr="007F66A7">
              <w:rPr>
                <w:lang w:val="en-AU"/>
              </w:rPr>
              <w:t>2</w:t>
            </w:r>
            <w:r w:rsidRPr="007F66A7">
              <w:rPr>
                <w:lang w:val="en-AU"/>
              </w:rPr>
              <w:t xml:space="preserve">- and </w:t>
            </w:r>
            <w:r w:rsidR="00923070" w:rsidRPr="007F66A7">
              <w:rPr>
                <w:lang w:val="en-AU"/>
              </w:rPr>
              <w:t>3L</w:t>
            </w:r>
            <w:r w:rsidRPr="007F66A7">
              <w:rPr>
                <w:lang w:val="en-AU"/>
              </w:rPr>
              <w:t xml:space="preserve"> treatments: 17% based on PFS in ECHELON-1)</w:t>
            </w:r>
          </w:p>
        </w:tc>
      </w:tr>
      <w:tr w:rsidR="00644664" w:rsidRPr="007F66A7" w14:paraId="0B7FA442" w14:textId="77777777" w:rsidTr="000C414C">
        <w:trPr>
          <w:cantSplit/>
        </w:trPr>
        <w:tc>
          <w:tcPr>
            <w:tcW w:w="2521" w:type="pct"/>
          </w:tcPr>
          <w:p w14:paraId="45A175F1" w14:textId="3C80848C" w:rsidR="00644664" w:rsidRPr="007F66A7" w:rsidRDefault="00644664" w:rsidP="00644664">
            <w:pPr>
              <w:pStyle w:val="COMTabletext"/>
              <w:keepNext w:val="0"/>
            </w:pPr>
            <w:r w:rsidRPr="007F66A7">
              <w:t>1L</w:t>
            </w:r>
            <w:r w:rsidRPr="007F66A7" w:rsidDel="00D178B2">
              <w:t xml:space="preserve"> </w:t>
            </w:r>
            <w:r w:rsidRPr="007F66A7">
              <w:t xml:space="preserve">mortality rates doubled </w:t>
            </w:r>
          </w:p>
        </w:tc>
        <w:tc>
          <w:tcPr>
            <w:tcW w:w="660" w:type="pct"/>
            <w:vAlign w:val="center"/>
          </w:tcPr>
          <w:p w14:paraId="5E367E15" w14:textId="45BED3A0"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694"/>
                <w14:textFill>
                  <w14:solidFill>
                    <w14:srgbClr w14:val="000000">
                      <w14:alpha w14:val="100000"/>
                    </w14:srgbClr>
                  </w14:solidFill>
                </w14:textFill>
              </w:rPr>
              <w:t>|||</w:t>
            </w:r>
            <w:r w:rsidR="00AA4CCB" w:rsidRPr="00AA4CCB">
              <w:rPr>
                <w:color w:val="000000"/>
                <w:spacing w:val="1"/>
                <w:shd w:val="solid" w:color="000000" w:fill="000000"/>
                <w:fitText w:val="315" w:id="-628904694"/>
                <w14:textFill>
                  <w14:solidFill>
                    <w14:srgbClr w14:val="000000">
                      <w14:alpha w14:val="100000"/>
                    </w14:srgbClr>
                  </w14:solidFill>
                </w14:textFill>
              </w:rPr>
              <w:t>|</w:t>
            </w:r>
          </w:p>
        </w:tc>
        <w:tc>
          <w:tcPr>
            <w:tcW w:w="594" w:type="pct"/>
            <w:vAlign w:val="center"/>
          </w:tcPr>
          <w:p w14:paraId="6B8FDC2B" w14:textId="77777777" w:rsidR="00644664" w:rsidRPr="007F66A7" w:rsidRDefault="00644664" w:rsidP="00644664">
            <w:pPr>
              <w:pStyle w:val="COMTabletext"/>
              <w:keepNext w:val="0"/>
              <w:jc w:val="center"/>
            </w:pPr>
            <w:r w:rsidRPr="007F66A7">
              <w:t>0.673</w:t>
            </w:r>
          </w:p>
        </w:tc>
        <w:tc>
          <w:tcPr>
            <w:tcW w:w="593" w:type="pct"/>
            <w:vAlign w:val="center"/>
          </w:tcPr>
          <w:p w14:paraId="08FE5715" w14:textId="3077525F" w:rsidR="00644664" w:rsidRPr="00997F8F"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93"/>
                <w14:textFill>
                  <w14:solidFill>
                    <w14:srgbClr w14:val="000000">
                      <w14:alpha w14:val="100000"/>
                    </w14:srgbClr>
                  </w14:solidFill>
                </w14:textFill>
              </w:rPr>
              <w:t>|||</w:t>
            </w:r>
            <w:r w:rsidR="00AA4CCB" w:rsidRPr="00AA4CCB">
              <w:rPr>
                <w:color w:val="000000"/>
                <w:spacing w:val="1"/>
                <w:shd w:val="solid" w:color="000000" w:fill="000000"/>
                <w:fitText w:val="315" w:id="-628904693"/>
                <w14:textFill>
                  <w14:solidFill>
                    <w14:srgbClr w14:val="000000">
                      <w14:alpha w14:val="100000"/>
                    </w14:srgbClr>
                  </w14:solidFill>
                </w14:textFill>
              </w:rPr>
              <w:t>|</w:t>
            </w:r>
            <w:r w:rsidR="00997F8F">
              <w:rPr>
                <w:vertAlign w:val="superscript"/>
              </w:rPr>
              <w:t>3</w:t>
            </w:r>
          </w:p>
        </w:tc>
        <w:tc>
          <w:tcPr>
            <w:tcW w:w="632" w:type="pct"/>
            <w:vAlign w:val="center"/>
          </w:tcPr>
          <w:p w14:paraId="205F850A" w14:textId="4521FCD3" w:rsidR="00644664" w:rsidRPr="007F66A7" w:rsidRDefault="00644664" w:rsidP="00644664">
            <w:pPr>
              <w:pStyle w:val="COMTabletext"/>
              <w:keepNext w:val="0"/>
              <w:jc w:val="center"/>
            </w:pPr>
            <w:r w:rsidRPr="007F66A7">
              <w:t>-</w:t>
            </w:r>
            <w:r w:rsidR="00AA4CCB" w:rsidRPr="00AA4CCB">
              <w:rPr>
                <w:color w:val="000000"/>
                <w:spacing w:val="53"/>
                <w:shd w:val="solid" w:color="000000" w:fill="000000"/>
                <w:fitText w:val="330" w:id="-628904692"/>
                <w14:textFill>
                  <w14:solidFill>
                    <w14:srgbClr w14:val="000000">
                      <w14:alpha w14:val="100000"/>
                    </w14:srgbClr>
                  </w14:solidFill>
                </w14:textFill>
              </w:rPr>
              <w:t>|||</w:t>
            </w:r>
            <w:r w:rsidR="00AA4CCB" w:rsidRPr="00AA4CCB">
              <w:rPr>
                <w:color w:val="000000"/>
                <w:spacing w:val="1"/>
                <w:shd w:val="solid" w:color="000000" w:fill="000000"/>
                <w:fitText w:val="330" w:id="-628904692"/>
                <w14:textFill>
                  <w14:solidFill>
                    <w14:srgbClr w14:val="000000">
                      <w14:alpha w14:val="100000"/>
                    </w14:srgbClr>
                  </w14:solidFill>
                </w14:textFill>
              </w:rPr>
              <w:t>|</w:t>
            </w:r>
            <w:r w:rsidRPr="007F66A7">
              <w:t>%</w:t>
            </w:r>
          </w:p>
        </w:tc>
      </w:tr>
      <w:tr w:rsidR="00644664" w:rsidRPr="007F66A7" w14:paraId="1AEFB13F" w14:textId="77777777" w:rsidTr="000C414C">
        <w:trPr>
          <w:cantSplit/>
        </w:trPr>
        <w:tc>
          <w:tcPr>
            <w:tcW w:w="2521" w:type="pct"/>
          </w:tcPr>
          <w:p w14:paraId="3ACD205D" w14:textId="2969D3A4" w:rsidR="00644664" w:rsidRPr="007F66A7" w:rsidRDefault="00644664" w:rsidP="00644664">
            <w:pPr>
              <w:pStyle w:val="COMTabletext"/>
              <w:keepNext w:val="0"/>
            </w:pPr>
            <w:r w:rsidRPr="007F66A7">
              <w:t>1L mortality rates halved</w:t>
            </w:r>
          </w:p>
        </w:tc>
        <w:tc>
          <w:tcPr>
            <w:tcW w:w="660" w:type="pct"/>
            <w:vAlign w:val="center"/>
          </w:tcPr>
          <w:p w14:paraId="6A5F65F3" w14:textId="2B6B2CBA"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691"/>
                <w14:textFill>
                  <w14:solidFill>
                    <w14:srgbClr w14:val="000000">
                      <w14:alpha w14:val="100000"/>
                    </w14:srgbClr>
                  </w14:solidFill>
                </w14:textFill>
              </w:rPr>
              <w:t>|||</w:t>
            </w:r>
            <w:r w:rsidR="00AA4CCB" w:rsidRPr="00AA4CCB">
              <w:rPr>
                <w:color w:val="000000"/>
                <w:spacing w:val="1"/>
                <w:shd w:val="solid" w:color="000000" w:fill="000000"/>
                <w:fitText w:val="315" w:id="-628904691"/>
                <w14:textFill>
                  <w14:solidFill>
                    <w14:srgbClr w14:val="000000">
                      <w14:alpha w14:val="100000"/>
                    </w14:srgbClr>
                  </w14:solidFill>
                </w14:textFill>
              </w:rPr>
              <w:t>|</w:t>
            </w:r>
          </w:p>
        </w:tc>
        <w:tc>
          <w:tcPr>
            <w:tcW w:w="594" w:type="pct"/>
            <w:vAlign w:val="center"/>
          </w:tcPr>
          <w:p w14:paraId="68D71722" w14:textId="77777777" w:rsidR="00644664" w:rsidRPr="007F66A7" w:rsidRDefault="00644664" w:rsidP="00644664">
            <w:pPr>
              <w:pStyle w:val="COMTabletext"/>
              <w:keepNext w:val="0"/>
              <w:jc w:val="center"/>
            </w:pPr>
            <w:r w:rsidRPr="007F66A7">
              <w:t>0.472</w:t>
            </w:r>
          </w:p>
        </w:tc>
        <w:tc>
          <w:tcPr>
            <w:tcW w:w="593" w:type="pct"/>
            <w:vAlign w:val="center"/>
          </w:tcPr>
          <w:p w14:paraId="1E9F56DC" w14:textId="594CD2D0" w:rsidR="00644664" w:rsidRPr="007210C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90"/>
                <w14:textFill>
                  <w14:solidFill>
                    <w14:srgbClr w14:val="000000">
                      <w14:alpha w14:val="100000"/>
                    </w14:srgbClr>
                  </w14:solidFill>
                </w14:textFill>
              </w:rPr>
              <w:t>|||</w:t>
            </w:r>
            <w:r w:rsidR="00AA4CCB" w:rsidRPr="00AA4CCB">
              <w:rPr>
                <w:color w:val="000000"/>
                <w:spacing w:val="1"/>
                <w:shd w:val="solid" w:color="000000" w:fill="000000"/>
                <w:fitText w:val="315" w:id="-628904690"/>
                <w14:textFill>
                  <w14:solidFill>
                    <w14:srgbClr w14:val="000000">
                      <w14:alpha w14:val="100000"/>
                    </w14:srgbClr>
                  </w14:solidFill>
                </w14:textFill>
              </w:rPr>
              <w:t>|</w:t>
            </w:r>
            <w:r w:rsidR="007210CC">
              <w:rPr>
                <w:vertAlign w:val="superscript"/>
              </w:rPr>
              <w:t>1</w:t>
            </w:r>
          </w:p>
        </w:tc>
        <w:tc>
          <w:tcPr>
            <w:tcW w:w="632" w:type="pct"/>
            <w:vAlign w:val="center"/>
          </w:tcPr>
          <w:p w14:paraId="61D3F1CA" w14:textId="0CEC7458" w:rsidR="00644664" w:rsidRPr="007F66A7" w:rsidRDefault="00644664" w:rsidP="00644664">
            <w:pPr>
              <w:pStyle w:val="COMTabletext"/>
              <w:keepNext w:val="0"/>
              <w:jc w:val="center"/>
            </w:pPr>
            <w:r w:rsidRPr="007F66A7">
              <w:t>+</w:t>
            </w:r>
            <w:r w:rsidR="00AA4CCB" w:rsidRPr="00AA4CCB">
              <w:rPr>
                <w:color w:val="000000"/>
                <w:spacing w:val="53"/>
                <w:shd w:val="solid" w:color="000000" w:fill="000000"/>
                <w:fitText w:val="330" w:id="-628904689"/>
                <w14:textFill>
                  <w14:solidFill>
                    <w14:srgbClr w14:val="000000">
                      <w14:alpha w14:val="100000"/>
                    </w14:srgbClr>
                  </w14:solidFill>
                </w14:textFill>
              </w:rPr>
              <w:t>|||</w:t>
            </w:r>
            <w:r w:rsidR="00AA4CCB" w:rsidRPr="00AA4CCB">
              <w:rPr>
                <w:color w:val="000000"/>
                <w:spacing w:val="1"/>
                <w:shd w:val="solid" w:color="000000" w:fill="000000"/>
                <w:fitText w:val="330" w:id="-628904689"/>
                <w14:textFill>
                  <w14:solidFill>
                    <w14:srgbClr w14:val="000000">
                      <w14:alpha w14:val="100000"/>
                    </w14:srgbClr>
                  </w14:solidFill>
                </w14:textFill>
              </w:rPr>
              <w:t>|</w:t>
            </w:r>
            <w:r w:rsidRPr="007F66A7">
              <w:t>%</w:t>
            </w:r>
          </w:p>
        </w:tc>
      </w:tr>
      <w:tr w:rsidR="00644664" w:rsidRPr="007F66A7" w14:paraId="2534742A" w14:textId="77777777" w:rsidTr="000C414C">
        <w:trPr>
          <w:cantSplit/>
        </w:trPr>
        <w:tc>
          <w:tcPr>
            <w:tcW w:w="2521" w:type="pct"/>
          </w:tcPr>
          <w:p w14:paraId="786F6FB6" w14:textId="5BE8F9D1" w:rsidR="00644664" w:rsidRPr="007F66A7" w:rsidRDefault="00644664" w:rsidP="00644664">
            <w:pPr>
              <w:pStyle w:val="COMTabletext"/>
              <w:keepNext w:val="0"/>
            </w:pPr>
            <w:r w:rsidRPr="007F66A7">
              <w:t>2L, transplant eligible, ICE+ASCT mortality rates doubled</w:t>
            </w:r>
          </w:p>
        </w:tc>
        <w:tc>
          <w:tcPr>
            <w:tcW w:w="660" w:type="pct"/>
            <w:vAlign w:val="center"/>
          </w:tcPr>
          <w:p w14:paraId="661D914D" w14:textId="67BC85AF"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688"/>
                <w14:textFill>
                  <w14:solidFill>
                    <w14:srgbClr w14:val="000000">
                      <w14:alpha w14:val="100000"/>
                    </w14:srgbClr>
                  </w14:solidFill>
                </w14:textFill>
              </w:rPr>
              <w:t>|||</w:t>
            </w:r>
            <w:r w:rsidR="00AA4CCB" w:rsidRPr="00AA4CCB">
              <w:rPr>
                <w:color w:val="000000"/>
                <w:spacing w:val="1"/>
                <w:shd w:val="solid" w:color="000000" w:fill="000000"/>
                <w:fitText w:val="315" w:id="-628904688"/>
                <w14:textFill>
                  <w14:solidFill>
                    <w14:srgbClr w14:val="000000">
                      <w14:alpha w14:val="100000"/>
                    </w14:srgbClr>
                  </w14:solidFill>
                </w14:textFill>
              </w:rPr>
              <w:t>|</w:t>
            </w:r>
          </w:p>
        </w:tc>
        <w:tc>
          <w:tcPr>
            <w:tcW w:w="594" w:type="pct"/>
            <w:vAlign w:val="center"/>
          </w:tcPr>
          <w:p w14:paraId="175C1E4D" w14:textId="77777777" w:rsidR="00644664" w:rsidRPr="007F66A7" w:rsidRDefault="00644664" w:rsidP="00644664">
            <w:pPr>
              <w:pStyle w:val="COMTabletext"/>
              <w:keepNext w:val="0"/>
              <w:jc w:val="center"/>
            </w:pPr>
            <w:r w:rsidRPr="007F66A7">
              <w:t>0.543</w:t>
            </w:r>
          </w:p>
        </w:tc>
        <w:tc>
          <w:tcPr>
            <w:tcW w:w="593" w:type="pct"/>
            <w:vAlign w:val="center"/>
          </w:tcPr>
          <w:p w14:paraId="440335F5" w14:textId="7FA1EB79" w:rsidR="00644664" w:rsidRPr="007210C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704"/>
                <w14:textFill>
                  <w14:solidFill>
                    <w14:srgbClr w14:val="000000">
                      <w14:alpha w14:val="100000"/>
                    </w14:srgbClr>
                  </w14:solidFill>
                </w14:textFill>
              </w:rPr>
              <w:t>|||</w:t>
            </w:r>
            <w:r w:rsidR="00AA4CCB" w:rsidRPr="00AA4CCB">
              <w:rPr>
                <w:color w:val="000000"/>
                <w:spacing w:val="1"/>
                <w:shd w:val="solid" w:color="000000" w:fill="000000"/>
                <w:fitText w:val="315" w:id="-628904704"/>
                <w14:textFill>
                  <w14:solidFill>
                    <w14:srgbClr w14:val="000000">
                      <w14:alpha w14:val="100000"/>
                    </w14:srgbClr>
                  </w14:solidFill>
                </w14:textFill>
              </w:rPr>
              <w:t>|</w:t>
            </w:r>
            <w:r w:rsidR="007210CC">
              <w:rPr>
                <w:vertAlign w:val="superscript"/>
              </w:rPr>
              <w:t>1</w:t>
            </w:r>
          </w:p>
        </w:tc>
        <w:tc>
          <w:tcPr>
            <w:tcW w:w="632" w:type="pct"/>
            <w:vAlign w:val="center"/>
          </w:tcPr>
          <w:p w14:paraId="4A39C481" w14:textId="18DE5FCD" w:rsidR="00644664" w:rsidRPr="007F66A7" w:rsidRDefault="00644664" w:rsidP="00644664">
            <w:pPr>
              <w:pStyle w:val="COMTabletext"/>
              <w:keepNext w:val="0"/>
              <w:jc w:val="center"/>
            </w:pPr>
            <w:r w:rsidRPr="007F66A7">
              <w:t>+</w:t>
            </w:r>
            <w:r w:rsidR="00AA4CCB" w:rsidRPr="00AA4CCB">
              <w:rPr>
                <w:color w:val="000000"/>
                <w:spacing w:val="53"/>
                <w:shd w:val="solid" w:color="000000" w:fill="000000"/>
                <w:fitText w:val="330" w:id="-628904703"/>
                <w14:textFill>
                  <w14:solidFill>
                    <w14:srgbClr w14:val="000000">
                      <w14:alpha w14:val="100000"/>
                    </w14:srgbClr>
                  </w14:solidFill>
                </w14:textFill>
              </w:rPr>
              <w:t>|||</w:t>
            </w:r>
            <w:r w:rsidR="00AA4CCB" w:rsidRPr="00AA4CCB">
              <w:rPr>
                <w:color w:val="000000"/>
                <w:spacing w:val="1"/>
                <w:shd w:val="solid" w:color="000000" w:fill="000000"/>
                <w:fitText w:val="330" w:id="-628904703"/>
                <w14:textFill>
                  <w14:solidFill>
                    <w14:srgbClr w14:val="000000">
                      <w14:alpha w14:val="100000"/>
                    </w14:srgbClr>
                  </w14:solidFill>
                </w14:textFill>
              </w:rPr>
              <w:t>|</w:t>
            </w:r>
            <w:r w:rsidRPr="007F66A7">
              <w:t>%</w:t>
            </w:r>
          </w:p>
        </w:tc>
      </w:tr>
      <w:tr w:rsidR="00644664" w:rsidRPr="007F66A7" w14:paraId="1B89CFD1" w14:textId="77777777" w:rsidTr="000C414C">
        <w:trPr>
          <w:cantSplit/>
        </w:trPr>
        <w:tc>
          <w:tcPr>
            <w:tcW w:w="2521" w:type="pct"/>
          </w:tcPr>
          <w:p w14:paraId="685926ED" w14:textId="13C4AC75" w:rsidR="00644664" w:rsidRPr="007F66A7" w:rsidRDefault="00644664" w:rsidP="00644664">
            <w:pPr>
              <w:pStyle w:val="COMTabletext"/>
              <w:keepNext w:val="0"/>
            </w:pPr>
            <w:r w:rsidRPr="007F66A7">
              <w:t>2L, transplant eligible, ICE+ASCT mortality rates halved</w:t>
            </w:r>
          </w:p>
        </w:tc>
        <w:tc>
          <w:tcPr>
            <w:tcW w:w="660" w:type="pct"/>
            <w:vAlign w:val="center"/>
          </w:tcPr>
          <w:p w14:paraId="3F3750BA" w14:textId="2F29A77E"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702"/>
                <w14:textFill>
                  <w14:solidFill>
                    <w14:srgbClr w14:val="000000">
                      <w14:alpha w14:val="100000"/>
                    </w14:srgbClr>
                  </w14:solidFill>
                </w14:textFill>
              </w:rPr>
              <w:t>|||</w:t>
            </w:r>
            <w:r w:rsidR="00AA4CCB" w:rsidRPr="00AA4CCB">
              <w:rPr>
                <w:color w:val="000000"/>
                <w:spacing w:val="1"/>
                <w:shd w:val="solid" w:color="000000" w:fill="000000"/>
                <w:fitText w:val="315" w:id="-628904702"/>
                <w14:textFill>
                  <w14:solidFill>
                    <w14:srgbClr w14:val="000000">
                      <w14:alpha w14:val="100000"/>
                    </w14:srgbClr>
                  </w14:solidFill>
                </w14:textFill>
              </w:rPr>
              <w:t>|</w:t>
            </w:r>
          </w:p>
        </w:tc>
        <w:tc>
          <w:tcPr>
            <w:tcW w:w="594" w:type="pct"/>
            <w:vAlign w:val="center"/>
          </w:tcPr>
          <w:p w14:paraId="4820C85C" w14:textId="77777777" w:rsidR="00644664" w:rsidRPr="007F66A7" w:rsidRDefault="00644664" w:rsidP="00644664">
            <w:pPr>
              <w:pStyle w:val="COMTabletext"/>
              <w:keepNext w:val="0"/>
              <w:jc w:val="center"/>
            </w:pPr>
            <w:r w:rsidRPr="007F66A7">
              <w:t>0.537</w:t>
            </w:r>
          </w:p>
        </w:tc>
        <w:tc>
          <w:tcPr>
            <w:tcW w:w="593" w:type="pct"/>
            <w:vAlign w:val="center"/>
          </w:tcPr>
          <w:p w14:paraId="2CB354A1" w14:textId="00F51BD3" w:rsidR="00644664" w:rsidRPr="007210C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701"/>
                <w14:textFill>
                  <w14:solidFill>
                    <w14:srgbClr w14:val="000000">
                      <w14:alpha w14:val="100000"/>
                    </w14:srgbClr>
                  </w14:solidFill>
                </w14:textFill>
              </w:rPr>
              <w:t>|||</w:t>
            </w:r>
            <w:r w:rsidR="00AA4CCB" w:rsidRPr="00AA4CCB">
              <w:rPr>
                <w:color w:val="000000"/>
                <w:spacing w:val="1"/>
                <w:shd w:val="solid" w:color="000000" w:fill="000000"/>
                <w:fitText w:val="315" w:id="-628904701"/>
                <w14:textFill>
                  <w14:solidFill>
                    <w14:srgbClr w14:val="000000">
                      <w14:alpha w14:val="100000"/>
                    </w14:srgbClr>
                  </w14:solidFill>
                </w14:textFill>
              </w:rPr>
              <w:t>|</w:t>
            </w:r>
            <w:r w:rsidR="007210CC">
              <w:rPr>
                <w:vertAlign w:val="superscript"/>
              </w:rPr>
              <w:t>1</w:t>
            </w:r>
          </w:p>
        </w:tc>
        <w:tc>
          <w:tcPr>
            <w:tcW w:w="632" w:type="pct"/>
            <w:vAlign w:val="center"/>
          </w:tcPr>
          <w:p w14:paraId="76C26AD8" w14:textId="71788F9F" w:rsidR="00644664" w:rsidRPr="007F66A7" w:rsidRDefault="00644664" w:rsidP="00644664">
            <w:pPr>
              <w:pStyle w:val="COMTabletext"/>
              <w:keepNext w:val="0"/>
              <w:jc w:val="center"/>
            </w:pPr>
            <w:r w:rsidRPr="007F66A7">
              <w:t>&lt;</w:t>
            </w:r>
            <w:r w:rsidR="00AA4CCB" w:rsidRPr="00AA4CCB">
              <w:rPr>
                <w:color w:val="000000"/>
                <w:spacing w:val="53"/>
                <w:shd w:val="solid" w:color="000000" w:fill="000000"/>
                <w:fitText w:val="330" w:id="-628904700"/>
                <w14:textFill>
                  <w14:solidFill>
                    <w14:srgbClr w14:val="000000">
                      <w14:alpha w14:val="100000"/>
                    </w14:srgbClr>
                  </w14:solidFill>
                </w14:textFill>
              </w:rPr>
              <w:t>|||</w:t>
            </w:r>
            <w:r w:rsidR="00AA4CCB" w:rsidRPr="00AA4CCB">
              <w:rPr>
                <w:color w:val="000000"/>
                <w:spacing w:val="1"/>
                <w:shd w:val="solid" w:color="000000" w:fill="000000"/>
                <w:fitText w:val="330" w:id="-628904700"/>
                <w14:textFill>
                  <w14:solidFill>
                    <w14:srgbClr w14:val="000000">
                      <w14:alpha w14:val="100000"/>
                    </w14:srgbClr>
                  </w14:solidFill>
                </w14:textFill>
              </w:rPr>
              <w:t>|</w:t>
            </w:r>
            <w:r w:rsidRPr="007F66A7">
              <w:t>%</w:t>
            </w:r>
          </w:p>
        </w:tc>
      </w:tr>
      <w:tr w:rsidR="00644664" w:rsidRPr="007F66A7" w14:paraId="0FC15C1B" w14:textId="77777777" w:rsidTr="000C414C">
        <w:trPr>
          <w:cantSplit/>
        </w:trPr>
        <w:tc>
          <w:tcPr>
            <w:tcW w:w="2521" w:type="pct"/>
          </w:tcPr>
          <w:p w14:paraId="10F63568" w14:textId="7B18BCB2" w:rsidR="00644664" w:rsidRPr="007F66A7" w:rsidRDefault="00644664" w:rsidP="00644664">
            <w:pPr>
              <w:pStyle w:val="COMTabletext"/>
              <w:keepNext w:val="0"/>
            </w:pPr>
            <w:r w:rsidRPr="007F66A7">
              <w:t>2L, transplant ineligible, DHAP mortality rates doubled</w:t>
            </w:r>
          </w:p>
        </w:tc>
        <w:tc>
          <w:tcPr>
            <w:tcW w:w="660" w:type="pct"/>
            <w:vAlign w:val="center"/>
          </w:tcPr>
          <w:p w14:paraId="506B9E43" w14:textId="478AF264"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699"/>
                <w14:textFill>
                  <w14:solidFill>
                    <w14:srgbClr w14:val="000000">
                      <w14:alpha w14:val="100000"/>
                    </w14:srgbClr>
                  </w14:solidFill>
                </w14:textFill>
              </w:rPr>
              <w:t>|||</w:t>
            </w:r>
            <w:r w:rsidR="00AA4CCB" w:rsidRPr="00AA4CCB">
              <w:rPr>
                <w:color w:val="000000"/>
                <w:spacing w:val="1"/>
                <w:shd w:val="solid" w:color="000000" w:fill="000000"/>
                <w:fitText w:val="315" w:id="-628904699"/>
                <w14:textFill>
                  <w14:solidFill>
                    <w14:srgbClr w14:val="000000">
                      <w14:alpha w14:val="100000"/>
                    </w14:srgbClr>
                  </w14:solidFill>
                </w14:textFill>
              </w:rPr>
              <w:t>|</w:t>
            </w:r>
          </w:p>
        </w:tc>
        <w:tc>
          <w:tcPr>
            <w:tcW w:w="594" w:type="pct"/>
            <w:vAlign w:val="center"/>
          </w:tcPr>
          <w:p w14:paraId="4BA3551E" w14:textId="77777777" w:rsidR="00644664" w:rsidRPr="007F66A7" w:rsidRDefault="00644664" w:rsidP="00644664">
            <w:pPr>
              <w:pStyle w:val="COMTabletext"/>
              <w:keepNext w:val="0"/>
              <w:jc w:val="center"/>
            </w:pPr>
            <w:r w:rsidRPr="007F66A7">
              <w:t>0.540</w:t>
            </w:r>
          </w:p>
        </w:tc>
        <w:tc>
          <w:tcPr>
            <w:tcW w:w="593" w:type="pct"/>
            <w:vAlign w:val="center"/>
          </w:tcPr>
          <w:p w14:paraId="54054580" w14:textId="0B550B80" w:rsidR="00644664" w:rsidRPr="007210C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98"/>
                <w14:textFill>
                  <w14:solidFill>
                    <w14:srgbClr w14:val="000000">
                      <w14:alpha w14:val="100000"/>
                    </w14:srgbClr>
                  </w14:solidFill>
                </w14:textFill>
              </w:rPr>
              <w:t>|||</w:t>
            </w:r>
            <w:r w:rsidR="00AA4CCB" w:rsidRPr="00AA4CCB">
              <w:rPr>
                <w:color w:val="000000"/>
                <w:spacing w:val="1"/>
                <w:shd w:val="solid" w:color="000000" w:fill="000000"/>
                <w:fitText w:val="315" w:id="-628904698"/>
                <w14:textFill>
                  <w14:solidFill>
                    <w14:srgbClr w14:val="000000">
                      <w14:alpha w14:val="100000"/>
                    </w14:srgbClr>
                  </w14:solidFill>
                </w14:textFill>
              </w:rPr>
              <w:t>|</w:t>
            </w:r>
            <w:r w:rsidR="007210CC">
              <w:rPr>
                <w:vertAlign w:val="superscript"/>
              </w:rPr>
              <w:t>1</w:t>
            </w:r>
          </w:p>
        </w:tc>
        <w:tc>
          <w:tcPr>
            <w:tcW w:w="632" w:type="pct"/>
            <w:vAlign w:val="center"/>
          </w:tcPr>
          <w:p w14:paraId="69482507" w14:textId="5FD0B179" w:rsidR="00644664" w:rsidRPr="007F66A7" w:rsidRDefault="00644664" w:rsidP="00644664">
            <w:pPr>
              <w:pStyle w:val="COMTabletext"/>
              <w:keepNext w:val="0"/>
              <w:jc w:val="center"/>
            </w:pPr>
            <w:r w:rsidRPr="007F66A7">
              <w:t>&lt;</w:t>
            </w:r>
            <w:r w:rsidR="00AA4CCB" w:rsidRPr="00AA4CCB">
              <w:rPr>
                <w:color w:val="000000"/>
                <w:spacing w:val="53"/>
                <w:shd w:val="solid" w:color="000000" w:fill="000000"/>
                <w:fitText w:val="330" w:id="-628904697"/>
                <w14:textFill>
                  <w14:solidFill>
                    <w14:srgbClr w14:val="000000">
                      <w14:alpha w14:val="100000"/>
                    </w14:srgbClr>
                  </w14:solidFill>
                </w14:textFill>
              </w:rPr>
              <w:t>|||</w:t>
            </w:r>
            <w:r w:rsidR="00AA4CCB" w:rsidRPr="00AA4CCB">
              <w:rPr>
                <w:color w:val="000000"/>
                <w:spacing w:val="1"/>
                <w:shd w:val="solid" w:color="000000" w:fill="000000"/>
                <w:fitText w:val="330" w:id="-628904697"/>
                <w14:textFill>
                  <w14:solidFill>
                    <w14:srgbClr w14:val="000000">
                      <w14:alpha w14:val="100000"/>
                    </w14:srgbClr>
                  </w14:solidFill>
                </w14:textFill>
              </w:rPr>
              <w:t>|</w:t>
            </w:r>
            <w:r w:rsidRPr="007F66A7">
              <w:t>%</w:t>
            </w:r>
          </w:p>
        </w:tc>
      </w:tr>
      <w:tr w:rsidR="00644664" w:rsidRPr="007F66A7" w14:paraId="14B97A8D" w14:textId="77777777" w:rsidTr="000C414C">
        <w:trPr>
          <w:cantSplit/>
        </w:trPr>
        <w:tc>
          <w:tcPr>
            <w:tcW w:w="2521" w:type="pct"/>
          </w:tcPr>
          <w:p w14:paraId="07F73421" w14:textId="7F0C01B4" w:rsidR="00644664" w:rsidRPr="007F66A7" w:rsidRDefault="00644664" w:rsidP="00644664">
            <w:pPr>
              <w:pStyle w:val="COMTabletext"/>
              <w:keepNext w:val="0"/>
            </w:pPr>
            <w:r w:rsidRPr="007F66A7">
              <w:lastRenderedPageBreak/>
              <w:t>2L, transplant ineligible, DHAP mortality rates halved</w:t>
            </w:r>
          </w:p>
        </w:tc>
        <w:tc>
          <w:tcPr>
            <w:tcW w:w="660" w:type="pct"/>
            <w:vAlign w:val="center"/>
          </w:tcPr>
          <w:p w14:paraId="319791EF" w14:textId="2F7E4E00"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696"/>
                <w14:textFill>
                  <w14:solidFill>
                    <w14:srgbClr w14:val="000000">
                      <w14:alpha w14:val="100000"/>
                    </w14:srgbClr>
                  </w14:solidFill>
                </w14:textFill>
              </w:rPr>
              <w:t>|||</w:t>
            </w:r>
            <w:r w:rsidR="00AA4CCB" w:rsidRPr="00AA4CCB">
              <w:rPr>
                <w:color w:val="000000"/>
                <w:spacing w:val="1"/>
                <w:shd w:val="solid" w:color="000000" w:fill="000000"/>
                <w:fitText w:val="315" w:id="-628904696"/>
                <w14:textFill>
                  <w14:solidFill>
                    <w14:srgbClr w14:val="000000">
                      <w14:alpha w14:val="100000"/>
                    </w14:srgbClr>
                  </w14:solidFill>
                </w14:textFill>
              </w:rPr>
              <w:t>|</w:t>
            </w:r>
          </w:p>
        </w:tc>
        <w:tc>
          <w:tcPr>
            <w:tcW w:w="594" w:type="pct"/>
            <w:vAlign w:val="center"/>
          </w:tcPr>
          <w:p w14:paraId="1EC63D4A" w14:textId="77777777" w:rsidR="00644664" w:rsidRPr="007F66A7" w:rsidRDefault="00644664" w:rsidP="00644664">
            <w:pPr>
              <w:pStyle w:val="COMTabletext"/>
              <w:keepNext w:val="0"/>
              <w:jc w:val="center"/>
            </w:pPr>
            <w:r w:rsidRPr="007F66A7">
              <w:t>0.538</w:t>
            </w:r>
          </w:p>
        </w:tc>
        <w:tc>
          <w:tcPr>
            <w:tcW w:w="593" w:type="pct"/>
            <w:vAlign w:val="center"/>
          </w:tcPr>
          <w:p w14:paraId="362A13F4" w14:textId="647AE2E3" w:rsidR="00644664" w:rsidRPr="007210C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95"/>
                <w14:textFill>
                  <w14:solidFill>
                    <w14:srgbClr w14:val="000000">
                      <w14:alpha w14:val="100000"/>
                    </w14:srgbClr>
                  </w14:solidFill>
                </w14:textFill>
              </w:rPr>
              <w:t>|||</w:t>
            </w:r>
            <w:r w:rsidR="00AA4CCB" w:rsidRPr="00AA4CCB">
              <w:rPr>
                <w:color w:val="000000"/>
                <w:spacing w:val="1"/>
                <w:shd w:val="solid" w:color="000000" w:fill="000000"/>
                <w:fitText w:val="315" w:id="-628904695"/>
                <w14:textFill>
                  <w14:solidFill>
                    <w14:srgbClr w14:val="000000">
                      <w14:alpha w14:val="100000"/>
                    </w14:srgbClr>
                  </w14:solidFill>
                </w14:textFill>
              </w:rPr>
              <w:t>|</w:t>
            </w:r>
            <w:r w:rsidR="007210CC">
              <w:rPr>
                <w:vertAlign w:val="superscript"/>
              </w:rPr>
              <w:t>1</w:t>
            </w:r>
          </w:p>
        </w:tc>
        <w:tc>
          <w:tcPr>
            <w:tcW w:w="632" w:type="pct"/>
            <w:vAlign w:val="center"/>
          </w:tcPr>
          <w:p w14:paraId="074C49D7" w14:textId="39132DD7" w:rsidR="00644664" w:rsidRPr="007F66A7" w:rsidRDefault="00644664" w:rsidP="00644664">
            <w:pPr>
              <w:pStyle w:val="COMTabletext"/>
              <w:keepNext w:val="0"/>
              <w:jc w:val="center"/>
            </w:pPr>
            <w:r w:rsidRPr="007F66A7">
              <w:t>&lt;</w:t>
            </w:r>
            <w:r w:rsidR="00AA4CCB" w:rsidRPr="00AA4CCB">
              <w:rPr>
                <w:color w:val="000000"/>
                <w:spacing w:val="53"/>
                <w:shd w:val="solid" w:color="000000" w:fill="000000"/>
                <w:fitText w:val="330" w:id="-628904694"/>
                <w14:textFill>
                  <w14:solidFill>
                    <w14:srgbClr w14:val="000000">
                      <w14:alpha w14:val="100000"/>
                    </w14:srgbClr>
                  </w14:solidFill>
                </w14:textFill>
              </w:rPr>
              <w:t>|||</w:t>
            </w:r>
            <w:r w:rsidR="00AA4CCB" w:rsidRPr="00AA4CCB">
              <w:rPr>
                <w:color w:val="000000"/>
                <w:spacing w:val="1"/>
                <w:shd w:val="solid" w:color="000000" w:fill="000000"/>
                <w:fitText w:val="330" w:id="-628904694"/>
                <w14:textFill>
                  <w14:solidFill>
                    <w14:srgbClr w14:val="000000">
                      <w14:alpha w14:val="100000"/>
                    </w14:srgbClr>
                  </w14:solidFill>
                </w14:textFill>
              </w:rPr>
              <w:t>|</w:t>
            </w:r>
            <w:r w:rsidRPr="007F66A7">
              <w:t>%</w:t>
            </w:r>
          </w:p>
        </w:tc>
      </w:tr>
      <w:tr w:rsidR="00644664" w:rsidRPr="007F66A7" w14:paraId="0898EB6B" w14:textId="77777777" w:rsidTr="000C414C">
        <w:trPr>
          <w:cantSplit/>
        </w:trPr>
        <w:tc>
          <w:tcPr>
            <w:tcW w:w="2521" w:type="pct"/>
          </w:tcPr>
          <w:p w14:paraId="2A9F249A" w14:textId="0AAA5F23" w:rsidR="00644664" w:rsidRPr="007F66A7" w:rsidRDefault="00644664" w:rsidP="00644664">
            <w:pPr>
              <w:pStyle w:val="COMTabletext"/>
              <w:keepNext w:val="0"/>
            </w:pPr>
            <w:r w:rsidRPr="007F66A7">
              <w:t>3L, transplant eligible, pembrolizumab mortality rates doubled</w:t>
            </w:r>
          </w:p>
        </w:tc>
        <w:tc>
          <w:tcPr>
            <w:tcW w:w="660" w:type="pct"/>
            <w:vAlign w:val="center"/>
          </w:tcPr>
          <w:p w14:paraId="364BF652" w14:textId="291DDE53"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693"/>
                <w14:textFill>
                  <w14:solidFill>
                    <w14:srgbClr w14:val="000000">
                      <w14:alpha w14:val="100000"/>
                    </w14:srgbClr>
                  </w14:solidFill>
                </w14:textFill>
              </w:rPr>
              <w:t>|||</w:t>
            </w:r>
            <w:r w:rsidR="00AA4CCB" w:rsidRPr="00AA4CCB">
              <w:rPr>
                <w:color w:val="000000"/>
                <w:spacing w:val="1"/>
                <w:shd w:val="solid" w:color="000000" w:fill="000000"/>
                <w:fitText w:val="315" w:id="-628904693"/>
                <w14:textFill>
                  <w14:solidFill>
                    <w14:srgbClr w14:val="000000">
                      <w14:alpha w14:val="100000"/>
                    </w14:srgbClr>
                  </w14:solidFill>
                </w14:textFill>
              </w:rPr>
              <w:t>|</w:t>
            </w:r>
          </w:p>
        </w:tc>
        <w:tc>
          <w:tcPr>
            <w:tcW w:w="594" w:type="pct"/>
            <w:vAlign w:val="center"/>
          </w:tcPr>
          <w:p w14:paraId="1B35817B" w14:textId="77777777" w:rsidR="00644664" w:rsidRPr="007F66A7" w:rsidRDefault="00644664" w:rsidP="00644664">
            <w:pPr>
              <w:pStyle w:val="COMTabletext"/>
              <w:keepNext w:val="0"/>
              <w:jc w:val="center"/>
            </w:pPr>
            <w:r w:rsidRPr="007F66A7">
              <w:t>0.539</w:t>
            </w:r>
          </w:p>
        </w:tc>
        <w:tc>
          <w:tcPr>
            <w:tcW w:w="593" w:type="pct"/>
            <w:vAlign w:val="center"/>
          </w:tcPr>
          <w:p w14:paraId="6EB50F6B" w14:textId="7BD7FB2F" w:rsidR="00644664" w:rsidRPr="007210C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92"/>
                <w14:textFill>
                  <w14:solidFill>
                    <w14:srgbClr w14:val="000000">
                      <w14:alpha w14:val="100000"/>
                    </w14:srgbClr>
                  </w14:solidFill>
                </w14:textFill>
              </w:rPr>
              <w:t>|||</w:t>
            </w:r>
            <w:r w:rsidR="00AA4CCB" w:rsidRPr="00AA4CCB">
              <w:rPr>
                <w:color w:val="000000"/>
                <w:spacing w:val="1"/>
                <w:shd w:val="solid" w:color="000000" w:fill="000000"/>
                <w:fitText w:val="315" w:id="-628904692"/>
                <w14:textFill>
                  <w14:solidFill>
                    <w14:srgbClr w14:val="000000">
                      <w14:alpha w14:val="100000"/>
                    </w14:srgbClr>
                  </w14:solidFill>
                </w14:textFill>
              </w:rPr>
              <w:t>|</w:t>
            </w:r>
            <w:r w:rsidR="007210CC">
              <w:rPr>
                <w:vertAlign w:val="superscript"/>
              </w:rPr>
              <w:t>1</w:t>
            </w:r>
          </w:p>
        </w:tc>
        <w:tc>
          <w:tcPr>
            <w:tcW w:w="632" w:type="pct"/>
            <w:vAlign w:val="center"/>
          </w:tcPr>
          <w:p w14:paraId="331D5D81" w14:textId="4F33017A" w:rsidR="00644664" w:rsidRPr="007F66A7" w:rsidRDefault="00644664" w:rsidP="00644664">
            <w:pPr>
              <w:pStyle w:val="COMTabletext"/>
              <w:keepNext w:val="0"/>
              <w:jc w:val="center"/>
            </w:pPr>
            <w:r w:rsidRPr="007F66A7">
              <w:t>&lt;</w:t>
            </w:r>
            <w:r w:rsidR="00AA4CCB" w:rsidRPr="00AA4CCB">
              <w:rPr>
                <w:color w:val="000000"/>
                <w:spacing w:val="53"/>
                <w:shd w:val="solid" w:color="000000" w:fill="000000"/>
                <w:fitText w:val="330" w:id="-628904691"/>
                <w14:textFill>
                  <w14:solidFill>
                    <w14:srgbClr w14:val="000000">
                      <w14:alpha w14:val="100000"/>
                    </w14:srgbClr>
                  </w14:solidFill>
                </w14:textFill>
              </w:rPr>
              <w:t>|||</w:t>
            </w:r>
            <w:r w:rsidR="00AA4CCB" w:rsidRPr="00AA4CCB">
              <w:rPr>
                <w:color w:val="000000"/>
                <w:spacing w:val="1"/>
                <w:shd w:val="solid" w:color="000000" w:fill="000000"/>
                <w:fitText w:val="330" w:id="-628904691"/>
                <w14:textFill>
                  <w14:solidFill>
                    <w14:srgbClr w14:val="000000">
                      <w14:alpha w14:val="100000"/>
                    </w14:srgbClr>
                  </w14:solidFill>
                </w14:textFill>
              </w:rPr>
              <w:t>|</w:t>
            </w:r>
            <w:r w:rsidRPr="007F66A7">
              <w:t>%</w:t>
            </w:r>
          </w:p>
        </w:tc>
      </w:tr>
      <w:tr w:rsidR="00644664" w:rsidRPr="007F66A7" w14:paraId="168AAFB3" w14:textId="77777777" w:rsidTr="000C414C">
        <w:trPr>
          <w:cantSplit/>
        </w:trPr>
        <w:tc>
          <w:tcPr>
            <w:tcW w:w="2521" w:type="pct"/>
          </w:tcPr>
          <w:p w14:paraId="6D8C1B45" w14:textId="45108839" w:rsidR="00644664" w:rsidRPr="007F66A7" w:rsidRDefault="00644664" w:rsidP="00644664">
            <w:pPr>
              <w:pStyle w:val="COMTabletext"/>
              <w:keepNext w:val="0"/>
            </w:pPr>
            <w:r w:rsidRPr="007F66A7">
              <w:t>3L, transplant eligible, pembrolizumab mortality rates halved</w:t>
            </w:r>
          </w:p>
        </w:tc>
        <w:tc>
          <w:tcPr>
            <w:tcW w:w="660" w:type="pct"/>
            <w:vAlign w:val="center"/>
          </w:tcPr>
          <w:p w14:paraId="32FF1722" w14:textId="7C6AB628"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690"/>
                <w14:textFill>
                  <w14:solidFill>
                    <w14:srgbClr w14:val="000000">
                      <w14:alpha w14:val="100000"/>
                    </w14:srgbClr>
                  </w14:solidFill>
                </w14:textFill>
              </w:rPr>
              <w:t>|||</w:t>
            </w:r>
            <w:r w:rsidR="00AA4CCB" w:rsidRPr="00AA4CCB">
              <w:rPr>
                <w:color w:val="000000"/>
                <w:spacing w:val="1"/>
                <w:shd w:val="solid" w:color="000000" w:fill="000000"/>
                <w:fitText w:val="315" w:id="-628904690"/>
                <w14:textFill>
                  <w14:solidFill>
                    <w14:srgbClr w14:val="000000">
                      <w14:alpha w14:val="100000"/>
                    </w14:srgbClr>
                  </w14:solidFill>
                </w14:textFill>
              </w:rPr>
              <w:t>|</w:t>
            </w:r>
          </w:p>
        </w:tc>
        <w:tc>
          <w:tcPr>
            <w:tcW w:w="594" w:type="pct"/>
            <w:vAlign w:val="center"/>
          </w:tcPr>
          <w:p w14:paraId="7F2750EF" w14:textId="77777777" w:rsidR="00644664" w:rsidRPr="007F66A7" w:rsidRDefault="00644664" w:rsidP="00644664">
            <w:pPr>
              <w:pStyle w:val="COMTabletext"/>
              <w:keepNext w:val="0"/>
              <w:jc w:val="center"/>
            </w:pPr>
            <w:r w:rsidRPr="007F66A7">
              <w:t>0.539</w:t>
            </w:r>
          </w:p>
        </w:tc>
        <w:tc>
          <w:tcPr>
            <w:tcW w:w="593" w:type="pct"/>
            <w:vAlign w:val="center"/>
          </w:tcPr>
          <w:p w14:paraId="2258DC02" w14:textId="79A54C30" w:rsidR="00644664" w:rsidRPr="007210C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89"/>
                <w14:textFill>
                  <w14:solidFill>
                    <w14:srgbClr w14:val="000000">
                      <w14:alpha w14:val="100000"/>
                    </w14:srgbClr>
                  </w14:solidFill>
                </w14:textFill>
              </w:rPr>
              <w:t>|||</w:t>
            </w:r>
            <w:r w:rsidR="00AA4CCB" w:rsidRPr="00AA4CCB">
              <w:rPr>
                <w:color w:val="000000"/>
                <w:spacing w:val="1"/>
                <w:shd w:val="solid" w:color="000000" w:fill="000000"/>
                <w:fitText w:val="315" w:id="-628904689"/>
                <w14:textFill>
                  <w14:solidFill>
                    <w14:srgbClr w14:val="000000">
                      <w14:alpha w14:val="100000"/>
                    </w14:srgbClr>
                  </w14:solidFill>
                </w14:textFill>
              </w:rPr>
              <w:t>|</w:t>
            </w:r>
            <w:r w:rsidR="007210CC">
              <w:rPr>
                <w:vertAlign w:val="superscript"/>
              </w:rPr>
              <w:t>1</w:t>
            </w:r>
          </w:p>
        </w:tc>
        <w:tc>
          <w:tcPr>
            <w:tcW w:w="632" w:type="pct"/>
            <w:vAlign w:val="center"/>
          </w:tcPr>
          <w:p w14:paraId="45FD03E1" w14:textId="3C33009B" w:rsidR="00644664" w:rsidRPr="007F66A7" w:rsidRDefault="00644664" w:rsidP="00644664">
            <w:pPr>
              <w:pStyle w:val="COMTabletext"/>
              <w:keepNext w:val="0"/>
              <w:jc w:val="center"/>
            </w:pPr>
            <w:r w:rsidRPr="007F66A7">
              <w:t>&lt;</w:t>
            </w:r>
            <w:r w:rsidR="00AA4CCB" w:rsidRPr="00AA4CCB">
              <w:rPr>
                <w:color w:val="000000"/>
                <w:spacing w:val="53"/>
                <w:shd w:val="solid" w:color="000000" w:fill="000000"/>
                <w:fitText w:val="330" w:id="-628904688"/>
                <w14:textFill>
                  <w14:solidFill>
                    <w14:srgbClr w14:val="000000">
                      <w14:alpha w14:val="100000"/>
                    </w14:srgbClr>
                  </w14:solidFill>
                </w14:textFill>
              </w:rPr>
              <w:t>|||</w:t>
            </w:r>
            <w:r w:rsidR="00AA4CCB" w:rsidRPr="00AA4CCB">
              <w:rPr>
                <w:color w:val="000000"/>
                <w:spacing w:val="1"/>
                <w:shd w:val="solid" w:color="000000" w:fill="000000"/>
                <w:fitText w:val="330" w:id="-628904688"/>
                <w14:textFill>
                  <w14:solidFill>
                    <w14:srgbClr w14:val="000000">
                      <w14:alpha w14:val="100000"/>
                    </w14:srgbClr>
                  </w14:solidFill>
                </w14:textFill>
              </w:rPr>
              <w:t>|</w:t>
            </w:r>
            <w:r w:rsidRPr="007F66A7">
              <w:t>%</w:t>
            </w:r>
          </w:p>
        </w:tc>
      </w:tr>
      <w:tr w:rsidR="00644664" w:rsidRPr="007F66A7" w14:paraId="28337744" w14:textId="77777777" w:rsidTr="000C414C">
        <w:trPr>
          <w:cantSplit/>
        </w:trPr>
        <w:tc>
          <w:tcPr>
            <w:tcW w:w="2521" w:type="pct"/>
          </w:tcPr>
          <w:p w14:paraId="61831B26" w14:textId="2646C9A0" w:rsidR="00644664" w:rsidRPr="007F66A7" w:rsidRDefault="00644664" w:rsidP="00644664">
            <w:pPr>
              <w:pStyle w:val="COMTabletext"/>
              <w:keepNext w:val="0"/>
            </w:pPr>
            <w:r w:rsidRPr="007F66A7">
              <w:t>3L, transplant ineligible, pembrolizumab mortality rates doubled</w:t>
            </w:r>
          </w:p>
        </w:tc>
        <w:tc>
          <w:tcPr>
            <w:tcW w:w="660" w:type="pct"/>
            <w:vAlign w:val="center"/>
          </w:tcPr>
          <w:p w14:paraId="7DB578B0" w14:textId="14493C0D"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704"/>
                <w14:textFill>
                  <w14:solidFill>
                    <w14:srgbClr w14:val="000000">
                      <w14:alpha w14:val="100000"/>
                    </w14:srgbClr>
                  </w14:solidFill>
                </w14:textFill>
              </w:rPr>
              <w:t>|||</w:t>
            </w:r>
            <w:r w:rsidR="00AA4CCB" w:rsidRPr="00AA4CCB">
              <w:rPr>
                <w:color w:val="000000"/>
                <w:spacing w:val="1"/>
                <w:shd w:val="solid" w:color="000000" w:fill="000000"/>
                <w:fitText w:val="315" w:id="-628904704"/>
                <w14:textFill>
                  <w14:solidFill>
                    <w14:srgbClr w14:val="000000">
                      <w14:alpha w14:val="100000"/>
                    </w14:srgbClr>
                  </w14:solidFill>
                </w14:textFill>
              </w:rPr>
              <w:t>|</w:t>
            </w:r>
          </w:p>
        </w:tc>
        <w:tc>
          <w:tcPr>
            <w:tcW w:w="594" w:type="pct"/>
            <w:vAlign w:val="center"/>
          </w:tcPr>
          <w:p w14:paraId="35E3E9C1" w14:textId="77777777" w:rsidR="00644664" w:rsidRPr="007F66A7" w:rsidRDefault="00644664" w:rsidP="00644664">
            <w:pPr>
              <w:pStyle w:val="COMTabletext"/>
              <w:keepNext w:val="0"/>
              <w:jc w:val="center"/>
            </w:pPr>
            <w:r w:rsidRPr="007F66A7">
              <w:t>0.539</w:t>
            </w:r>
          </w:p>
        </w:tc>
        <w:tc>
          <w:tcPr>
            <w:tcW w:w="593" w:type="pct"/>
            <w:vAlign w:val="center"/>
          </w:tcPr>
          <w:p w14:paraId="038B67A9" w14:textId="71DE78F6" w:rsidR="00644664" w:rsidRPr="007210C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703"/>
                <w14:textFill>
                  <w14:solidFill>
                    <w14:srgbClr w14:val="000000">
                      <w14:alpha w14:val="100000"/>
                    </w14:srgbClr>
                  </w14:solidFill>
                </w14:textFill>
              </w:rPr>
              <w:t>|||</w:t>
            </w:r>
            <w:r w:rsidR="00AA4CCB" w:rsidRPr="00AA4CCB">
              <w:rPr>
                <w:color w:val="000000"/>
                <w:spacing w:val="1"/>
                <w:shd w:val="solid" w:color="000000" w:fill="000000"/>
                <w:fitText w:val="315" w:id="-628904703"/>
                <w14:textFill>
                  <w14:solidFill>
                    <w14:srgbClr w14:val="000000">
                      <w14:alpha w14:val="100000"/>
                    </w14:srgbClr>
                  </w14:solidFill>
                </w14:textFill>
              </w:rPr>
              <w:t>|</w:t>
            </w:r>
            <w:r w:rsidR="007210CC">
              <w:rPr>
                <w:vertAlign w:val="superscript"/>
              </w:rPr>
              <w:t>1</w:t>
            </w:r>
          </w:p>
        </w:tc>
        <w:tc>
          <w:tcPr>
            <w:tcW w:w="632" w:type="pct"/>
            <w:vAlign w:val="center"/>
          </w:tcPr>
          <w:p w14:paraId="16146A01" w14:textId="55FA7920" w:rsidR="00644664" w:rsidRPr="007F66A7" w:rsidRDefault="00644664" w:rsidP="00644664">
            <w:pPr>
              <w:pStyle w:val="COMTabletext"/>
              <w:keepNext w:val="0"/>
              <w:jc w:val="center"/>
            </w:pPr>
            <w:r w:rsidRPr="007F66A7">
              <w:t>&lt;</w:t>
            </w:r>
            <w:r w:rsidR="00AA4CCB" w:rsidRPr="00AA4CCB">
              <w:rPr>
                <w:color w:val="000000"/>
                <w:spacing w:val="53"/>
                <w:shd w:val="solid" w:color="000000" w:fill="000000"/>
                <w:fitText w:val="330" w:id="-628904702"/>
                <w14:textFill>
                  <w14:solidFill>
                    <w14:srgbClr w14:val="000000">
                      <w14:alpha w14:val="100000"/>
                    </w14:srgbClr>
                  </w14:solidFill>
                </w14:textFill>
              </w:rPr>
              <w:t>|||</w:t>
            </w:r>
            <w:r w:rsidR="00AA4CCB" w:rsidRPr="00AA4CCB">
              <w:rPr>
                <w:color w:val="000000"/>
                <w:spacing w:val="1"/>
                <w:shd w:val="solid" w:color="000000" w:fill="000000"/>
                <w:fitText w:val="330" w:id="-628904702"/>
                <w14:textFill>
                  <w14:solidFill>
                    <w14:srgbClr w14:val="000000">
                      <w14:alpha w14:val="100000"/>
                    </w14:srgbClr>
                  </w14:solidFill>
                </w14:textFill>
              </w:rPr>
              <w:t>|</w:t>
            </w:r>
            <w:r w:rsidRPr="007F66A7">
              <w:t>%</w:t>
            </w:r>
          </w:p>
        </w:tc>
      </w:tr>
      <w:tr w:rsidR="00644664" w:rsidRPr="007F66A7" w14:paraId="55D368C6" w14:textId="77777777" w:rsidTr="000C414C">
        <w:trPr>
          <w:cantSplit/>
        </w:trPr>
        <w:tc>
          <w:tcPr>
            <w:tcW w:w="2521" w:type="pct"/>
          </w:tcPr>
          <w:p w14:paraId="59732971" w14:textId="04B1CD94" w:rsidR="00644664" w:rsidRPr="007F66A7" w:rsidRDefault="00644664" w:rsidP="00644664">
            <w:pPr>
              <w:pStyle w:val="COMTabletext"/>
              <w:keepNext w:val="0"/>
            </w:pPr>
            <w:r w:rsidRPr="007F66A7">
              <w:t>3L, transplant ineligible, pembrolizumab mortality rates halved</w:t>
            </w:r>
          </w:p>
        </w:tc>
        <w:tc>
          <w:tcPr>
            <w:tcW w:w="660" w:type="pct"/>
            <w:vAlign w:val="center"/>
          </w:tcPr>
          <w:p w14:paraId="3209C7AB" w14:textId="38EC9977"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701"/>
                <w14:textFill>
                  <w14:solidFill>
                    <w14:srgbClr w14:val="000000">
                      <w14:alpha w14:val="100000"/>
                    </w14:srgbClr>
                  </w14:solidFill>
                </w14:textFill>
              </w:rPr>
              <w:t>|||</w:t>
            </w:r>
            <w:r w:rsidR="00AA4CCB" w:rsidRPr="00AA4CCB">
              <w:rPr>
                <w:color w:val="000000"/>
                <w:spacing w:val="1"/>
                <w:shd w:val="solid" w:color="000000" w:fill="000000"/>
                <w:fitText w:val="315" w:id="-628904701"/>
                <w14:textFill>
                  <w14:solidFill>
                    <w14:srgbClr w14:val="000000">
                      <w14:alpha w14:val="100000"/>
                    </w14:srgbClr>
                  </w14:solidFill>
                </w14:textFill>
              </w:rPr>
              <w:t>|</w:t>
            </w:r>
          </w:p>
        </w:tc>
        <w:tc>
          <w:tcPr>
            <w:tcW w:w="594" w:type="pct"/>
            <w:vAlign w:val="center"/>
          </w:tcPr>
          <w:p w14:paraId="3C3DA903" w14:textId="77777777" w:rsidR="00644664" w:rsidRPr="007F66A7" w:rsidRDefault="00644664" w:rsidP="00644664">
            <w:pPr>
              <w:pStyle w:val="COMTabletext"/>
              <w:keepNext w:val="0"/>
              <w:jc w:val="center"/>
            </w:pPr>
            <w:r w:rsidRPr="007F66A7">
              <w:t>0.539</w:t>
            </w:r>
          </w:p>
        </w:tc>
        <w:tc>
          <w:tcPr>
            <w:tcW w:w="593" w:type="pct"/>
            <w:vAlign w:val="center"/>
          </w:tcPr>
          <w:p w14:paraId="2489B348" w14:textId="33A31AA7" w:rsidR="00644664" w:rsidRPr="007210C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700"/>
                <w14:textFill>
                  <w14:solidFill>
                    <w14:srgbClr w14:val="000000">
                      <w14:alpha w14:val="100000"/>
                    </w14:srgbClr>
                  </w14:solidFill>
                </w14:textFill>
              </w:rPr>
              <w:t>|||</w:t>
            </w:r>
            <w:r w:rsidR="00AA4CCB" w:rsidRPr="00AA4CCB">
              <w:rPr>
                <w:color w:val="000000"/>
                <w:spacing w:val="1"/>
                <w:shd w:val="solid" w:color="000000" w:fill="000000"/>
                <w:fitText w:val="315" w:id="-628904700"/>
                <w14:textFill>
                  <w14:solidFill>
                    <w14:srgbClr w14:val="000000">
                      <w14:alpha w14:val="100000"/>
                    </w14:srgbClr>
                  </w14:solidFill>
                </w14:textFill>
              </w:rPr>
              <w:t>|</w:t>
            </w:r>
            <w:r w:rsidR="007210CC">
              <w:rPr>
                <w:vertAlign w:val="superscript"/>
              </w:rPr>
              <w:t>1</w:t>
            </w:r>
          </w:p>
        </w:tc>
        <w:tc>
          <w:tcPr>
            <w:tcW w:w="632" w:type="pct"/>
            <w:vAlign w:val="center"/>
          </w:tcPr>
          <w:p w14:paraId="51AF86CE" w14:textId="73ECCB62" w:rsidR="00644664" w:rsidRPr="007F66A7" w:rsidRDefault="00644664" w:rsidP="00644664">
            <w:pPr>
              <w:pStyle w:val="COMTabletext"/>
              <w:keepNext w:val="0"/>
              <w:jc w:val="center"/>
            </w:pPr>
            <w:r w:rsidRPr="007F66A7">
              <w:t>&lt;</w:t>
            </w:r>
            <w:r w:rsidR="00AA4CCB" w:rsidRPr="00AA4CCB">
              <w:rPr>
                <w:color w:val="000000"/>
                <w:spacing w:val="53"/>
                <w:shd w:val="solid" w:color="000000" w:fill="000000"/>
                <w:fitText w:val="330" w:id="-628904699"/>
                <w14:textFill>
                  <w14:solidFill>
                    <w14:srgbClr w14:val="000000">
                      <w14:alpha w14:val="100000"/>
                    </w14:srgbClr>
                  </w14:solidFill>
                </w14:textFill>
              </w:rPr>
              <w:t>|||</w:t>
            </w:r>
            <w:r w:rsidR="00AA4CCB" w:rsidRPr="00AA4CCB">
              <w:rPr>
                <w:color w:val="000000"/>
                <w:spacing w:val="1"/>
                <w:shd w:val="solid" w:color="000000" w:fill="000000"/>
                <w:fitText w:val="330" w:id="-628904699"/>
                <w14:textFill>
                  <w14:solidFill>
                    <w14:srgbClr w14:val="000000">
                      <w14:alpha w14:val="100000"/>
                    </w14:srgbClr>
                  </w14:solidFill>
                </w14:textFill>
              </w:rPr>
              <w:t>|</w:t>
            </w:r>
            <w:r w:rsidRPr="007F66A7">
              <w:t>%</w:t>
            </w:r>
          </w:p>
        </w:tc>
      </w:tr>
      <w:tr w:rsidR="00644664" w:rsidRPr="007F66A7" w14:paraId="576478A5" w14:textId="77777777">
        <w:trPr>
          <w:cantSplit/>
        </w:trPr>
        <w:tc>
          <w:tcPr>
            <w:tcW w:w="5000" w:type="pct"/>
            <w:gridSpan w:val="5"/>
          </w:tcPr>
          <w:p w14:paraId="2A6748E6" w14:textId="77777777" w:rsidR="00644664" w:rsidRPr="007F66A7" w:rsidRDefault="00644664" w:rsidP="00644664">
            <w:pPr>
              <w:pStyle w:val="COMTableheadingrow"/>
              <w:rPr>
                <w:lang w:val="en-AU"/>
              </w:rPr>
            </w:pPr>
            <w:r w:rsidRPr="007F66A7">
              <w:rPr>
                <w:lang w:val="en-AU"/>
              </w:rPr>
              <w:t>Background mortality (base case Australian general population mortality adjusted for excess mortality based on Dores 2020; SMR of 2.20)</w:t>
            </w:r>
          </w:p>
        </w:tc>
      </w:tr>
      <w:tr w:rsidR="00644664" w:rsidRPr="007F66A7" w14:paraId="15EE7191" w14:textId="77777777" w:rsidTr="000C414C">
        <w:trPr>
          <w:cantSplit/>
        </w:trPr>
        <w:tc>
          <w:tcPr>
            <w:tcW w:w="2521" w:type="pct"/>
          </w:tcPr>
          <w:p w14:paraId="44752AA8" w14:textId="77777777" w:rsidR="00644664" w:rsidRPr="007F66A7" w:rsidRDefault="00644664" w:rsidP="00644664">
            <w:pPr>
              <w:pStyle w:val="COMTabletext"/>
              <w:keepNext w:val="0"/>
            </w:pPr>
            <w:r w:rsidRPr="007F66A7">
              <w:t>SMR 5.10 based on de Vries 2021</w:t>
            </w:r>
          </w:p>
        </w:tc>
        <w:tc>
          <w:tcPr>
            <w:tcW w:w="660" w:type="pct"/>
          </w:tcPr>
          <w:p w14:paraId="5DF24B44" w14:textId="3A7CB815"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698"/>
                <w14:textFill>
                  <w14:solidFill>
                    <w14:srgbClr w14:val="000000">
                      <w14:alpha w14:val="100000"/>
                    </w14:srgbClr>
                  </w14:solidFill>
                </w14:textFill>
              </w:rPr>
              <w:t>|||</w:t>
            </w:r>
            <w:r w:rsidR="00AA4CCB" w:rsidRPr="00AA4CCB">
              <w:rPr>
                <w:color w:val="000000"/>
                <w:spacing w:val="1"/>
                <w:shd w:val="solid" w:color="000000" w:fill="000000"/>
                <w:fitText w:val="315" w:id="-628904698"/>
                <w14:textFill>
                  <w14:solidFill>
                    <w14:srgbClr w14:val="000000">
                      <w14:alpha w14:val="100000"/>
                    </w14:srgbClr>
                  </w14:solidFill>
                </w14:textFill>
              </w:rPr>
              <w:t>|</w:t>
            </w:r>
          </w:p>
        </w:tc>
        <w:tc>
          <w:tcPr>
            <w:tcW w:w="594" w:type="pct"/>
          </w:tcPr>
          <w:p w14:paraId="333E608C" w14:textId="77777777" w:rsidR="00644664" w:rsidRPr="007F66A7" w:rsidRDefault="00644664" w:rsidP="00644664">
            <w:pPr>
              <w:pStyle w:val="COMTabletext"/>
              <w:keepNext w:val="0"/>
              <w:jc w:val="center"/>
            </w:pPr>
            <w:r w:rsidRPr="007F66A7">
              <w:t>0.483</w:t>
            </w:r>
          </w:p>
        </w:tc>
        <w:tc>
          <w:tcPr>
            <w:tcW w:w="593" w:type="pct"/>
          </w:tcPr>
          <w:p w14:paraId="7B0AA376" w14:textId="3A00036E" w:rsidR="00644664" w:rsidRPr="007210C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97"/>
                <w14:textFill>
                  <w14:solidFill>
                    <w14:srgbClr w14:val="000000">
                      <w14:alpha w14:val="100000"/>
                    </w14:srgbClr>
                  </w14:solidFill>
                </w14:textFill>
              </w:rPr>
              <w:t>|||</w:t>
            </w:r>
            <w:r w:rsidR="00AA4CCB" w:rsidRPr="00AA4CCB">
              <w:rPr>
                <w:color w:val="000000"/>
                <w:spacing w:val="1"/>
                <w:shd w:val="solid" w:color="000000" w:fill="000000"/>
                <w:fitText w:val="315" w:id="-628904697"/>
                <w14:textFill>
                  <w14:solidFill>
                    <w14:srgbClr w14:val="000000">
                      <w14:alpha w14:val="100000"/>
                    </w14:srgbClr>
                  </w14:solidFill>
                </w14:textFill>
              </w:rPr>
              <w:t>|</w:t>
            </w:r>
            <w:r w:rsidR="007210CC">
              <w:rPr>
                <w:vertAlign w:val="superscript"/>
              </w:rPr>
              <w:t>1</w:t>
            </w:r>
          </w:p>
        </w:tc>
        <w:tc>
          <w:tcPr>
            <w:tcW w:w="632" w:type="pct"/>
          </w:tcPr>
          <w:p w14:paraId="622DE671" w14:textId="3569D4B1" w:rsidR="00644664" w:rsidRPr="007F66A7" w:rsidRDefault="00644664" w:rsidP="00644664">
            <w:pPr>
              <w:pStyle w:val="COMTabletext"/>
              <w:keepNext w:val="0"/>
              <w:jc w:val="center"/>
            </w:pPr>
            <w:r w:rsidRPr="007F66A7">
              <w:t>+</w:t>
            </w:r>
            <w:r w:rsidR="00AA4CCB" w:rsidRPr="00AA4CCB">
              <w:rPr>
                <w:color w:val="000000"/>
                <w:spacing w:val="53"/>
                <w:shd w:val="solid" w:color="000000" w:fill="000000"/>
                <w:fitText w:val="330" w:id="-628904696"/>
                <w14:textFill>
                  <w14:solidFill>
                    <w14:srgbClr w14:val="000000">
                      <w14:alpha w14:val="100000"/>
                    </w14:srgbClr>
                  </w14:solidFill>
                </w14:textFill>
              </w:rPr>
              <w:t>|||</w:t>
            </w:r>
            <w:r w:rsidR="00AA4CCB" w:rsidRPr="00AA4CCB">
              <w:rPr>
                <w:color w:val="000000"/>
                <w:spacing w:val="1"/>
                <w:shd w:val="solid" w:color="000000" w:fill="000000"/>
                <w:fitText w:val="330" w:id="-628904696"/>
                <w14:textFill>
                  <w14:solidFill>
                    <w14:srgbClr w14:val="000000">
                      <w14:alpha w14:val="100000"/>
                    </w14:srgbClr>
                  </w14:solidFill>
                </w14:textFill>
              </w:rPr>
              <w:t>|</w:t>
            </w:r>
            <w:r w:rsidRPr="007F66A7">
              <w:t>%</w:t>
            </w:r>
          </w:p>
        </w:tc>
      </w:tr>
      <w:tr w:rsidR="00644664" w:rsidRPr="007F66A7" w14:paraId="774E4BB3" w14:textId="77777777" w:rsidTr="000C414C">
        <w:trPr>
          <w:cantSplit/>
        </w:trPr>
        <w:tc>
          <w:tcPr>
            <w:tcW w:w="2521" w:type="pct"/>
          </w:tcPr>
          <w:p w14:paraId="77878C75" w14:textId="77777777" w:rsidR="00644664" w:rsidRPr="007F66A7" w:rsidRDefault="00644664" w:rsidP="00644664">
            <w:pPr>
              <w:pStyle w:val="COMTabletext"/>
              <w:keepNext w:val="0"/>
            </w:pPr>
            <w:r w:rsidRPr="007F66A7">
              <w:t>SMR 2.87 based on Nunez-Garcia 2023</w:t>
            </w:r>
          </w:p>
        </w:tc>
        <w:tc>
          <w:tcPr>
            <w:tcW w:w="660" w:type="pct"/>
          </w:tcPr>
          <w:p w14:paraId="26245AF8" w14:textId="3267FB27"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695"/>
                <w14:textFill>
                  <w14:solidFill>
                    <w14:srgbClr w14:val="000000">
                      <w14:alpha w14:val="100000"/>
                    </w14:srgbClr>
                  </w14:solidFill>
                </w14:textFill>
              </w:rPr>
              <w:t>|||</w:t>
            </w:r>
            <w:r w:rsidR="00AA4CCB" w:rsidRPr="00AA4CCB">
              <w:rPr>
                <w:color w:val="000000"/>
                <w:spacing w:val="1"/>
                <w:shd w:val="solid" w:color="000000" w:fill="000000"/>
                <w:fitText w:val="315" w:id="-628904695"/>
                <w14:textFill>
                  <w14:solidFill>
                    <w14:srgbClr w14:val="000000">
                      <w14:alpha w14:val="100000"/>
                    </w14:srgbClr>
                  </w14:solidFill>
                </w14:textFill>
              </w:rPr>
              <w:t>|</w:t>
            </w:r>
          </w:p>
        </w:tc>
        <w:tc>
          <w:tcPr>
            <w:tcW w:w="594" w:type="pct"/>
          </w:tcPr>
          <w:p w14:paraId="5BC29650" w14:textId="77777777" w:rsidR="00644664" w:rsidRPr="007F66A7" w:rsidRDefault="00644664" w:rsidP="00644664">
            <w:pPr>
              <w:pStyle w:val="COMTabletext"/>
              <w:keepNext w:val="0"/>
              <w:jc w:val="center"/>
            </w:pPr>
            <w:r w:rsidRPr="007F66A7">
              <w:t>0.523</w:t>
            </w:r>
          </w:p>
        </w:tc>
        <w:tc>
          <w:tcPr>
            <w:tcW w:w="593" w:type="pct"/>
          </w:tcPr>
          <w:p w14:paraId="530D5A12" w14:textId="76667B89" w:rsidR="00644664" w:rsidRPr="007210C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94"/>
                <w14:textFill>
                  <w14:solidFill>
                    <w14:srgbClr w14:val="000000">
                      <w14:alpha w14:val="100000"/>
                    </w14:srgbClr>
                  </w14:solidFill>
                </w14:textFill>
              </w:rPr>
              <w:t>|||</w:t>
            </w:r>
            <w:r w:rsidR="00AA4CCB" w:rsidRPr="00AA4CCB">
              <w:rPr>
                <w:color w:val="000000"/>
                <w:spacing w:val="1"/>
                <w:shd w:val="solid" w:color="000000" w:fill="000000"/>
                <w:fitText w:val="315" w:id="-628904694"/>
                <w14:textFill>
                  <w14:solidFill>
                    <w14:srgbClr w14:val="000000">
                      <w14:alpha w14:val="100000"/>
                    </w14:srgbClr>
                  </w14:solidFill>
                </w14:textFill>
              </w:rPr>
              <w:t>|</w:t>
            </w:r>
            <w:r w:rsidR="007210CC">
              <w:rPr>
                <w:vertAlign w:val="superscript"/>
              </w:rPr>
              <w:t>1</w:t>
            </w:r>
          </w:p>
        </w:tc>
        <w:tc>
          <w:tcPr>
            <w:tcW w:w="632" w:type="pct"/>
          </w:tcPr>
          <w:p w14:paraId="42454AAB" w14:textId="5279ACDD" w:rsidR="00644664" w:rsidRPr="007F66A7" w:rsidRDefault="00644664" w:rsidP="00644664">
            <w:pPr>
              <w:pStyle w:val="COMTabletext"/>
              <w:keepNext w:val="0"/>
              <w:jc w:val="center"/>
            </w:pPr>
            <w:r w:rsidRPr="007F66A7">
              <w:t>+</w:t>
            </w:r>
            <w:r w:rsidR="00AA4CCB" w:rsidRPr="00AA4CCB">
              <w:rPr>
                <w:color w:val="000000"/>
                <w:spacing w:val="53"/>
                <w:shd w:val="solid" w:color="000000" w:fill="000000"/>
                <w:fitText w:val="330" w:id="-628904693"/>
                <w14:textFill>
                  <w14:solidFill>
                    <w14:srgbClr w14:val="000000">
                      <w14:alpha w14:val="100000"/>
                    </w14:srgbClr>
                  </w14:solidFill>
                </w14:textFill>
              </w:rPr>
              <w:t>|||</w:t>
            </w:r>
            <w:r w:rsidR="00AA4CCB" w:rsidRPr="00AA4CCB">
              <w:rPr>
                <w:color w:val="000000"/>
                <w:spacing w:val="1"/>
                <w:shd w:val="solid" w:color="000000" w:fill="000000"/>
                <w:fitText w:val="330" w:id="-628904693"/>
                <w14:textFill>
                  <w14:solidFill>
                    <w14:srgbClr w14:val="000000">
                      <w14:alpha w14:val="100000"/>
                    </w14:srgbClr>
                  </w14:solidFill>
                </w14:textFill>
              </w:rPr>
              <w:t>|</w:t>
            </w:r>
            <w:r w:rsidRPr="007F66A7">
              <w:t>%</w:t>
            </w:r>
          </w:p>
        </w:tc>
      </w:tr>
      <w:tr w:rsidR="00644664" w:rsidRPr="007F66A7" w14:paraId="7E09D91E" w14:textId="77777777" w:rsidTr="000C414C">
        <w:trPr>
          <w:cantSplit/>
        </w:trPr>
        <w:tc>
          <w:tcPr>
            <w:tcW w:w="2521" w:type="pct"/>
          </w:tcPr>
          <w:p w14:paraId="11BAFA1B" w14:textId="2CD4C574" w:rsidR="00644664" w:rsidRPr="007F66A7" w:rsidRDefault="00644664" w:rsidP="00644664">
            <w:pPr>
              <w:pStyle w:val="COMTabletext"/>
              <w:keepNext w:val="0"/>
            </w:pPr>
            <w:r w:rsidRPr="007F66A7">
              <w:t>No excess mortality (SMR 1.00)</w:t>
            </w:r>
          </w:p>
        </w:tc>
        <w:tc>
          <w:tcPr>
            <w:tcW w:w="660" w:type="pct"/>
          </w:tcPr>
          <w:p w14:paraId="4D199CD3" w14:textId="5F36F022"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692"/>
                <w14:textFill>
                  <w14:solidFill>
                    <w14:srgbClr w14:val="000000">
                      <w14:alpha w14:val="100000"/>
                    </w14:srgbClr>
                  </w14:solidFill>
                </w14:textFill>
              </w:rPr>
              <w:t>|||</w:t>
            </w:r>
            <w:r w:rsidR="00AA4CCB" w:rsidRPr="00AA4CCB">
              <w:rPr>
                <w:color w:val="000000"/>
                <w:spacing w:val="1"/>
                <w:shd w:val="solid" w:color="000000" w:fill="000000"/>
                <w:fitText w:val="315" w:id="-628904692"/>
                <w14:textFill>
                  <w14:solidFill>
                    <w14:srgbClr w14:val="000000">
                      <w14:alpha w14:val="100000"/>
                    </w14:srgbClr>
                  </w14:solidFill>
                </w14:textFill>
              </w:rPr>
              <w:t>|</w:t>
            </w:r>
          </w:p>
        </w:tc>
        <w:tc>
          <w:tcPr>
            <w:tcW w:w="594" w:type="pct"/>
          </w:tcPr>
          <w:p w14:paraId="6AA21B46" w14:textId="77777777" w:rsidR="00644664" w:rsidRPr="007F66A7" w:rsidRDefault="00644664" w:rsidP="00644664">
            <w:pPr>
              <w:pStyle w:val="COMTabletext"/>
              <w:keepNext w:val="0"/>
              <w:jc w:val="center"/>
            </w:pPr>
            <w:r w:rsidRPr="007F66A7">
              <w:t>0.578</w:t>
            </w:r>
          </w:p>
        </w:tc>
        <w:tc>
          <w:tcPr>
            <w:tcW w:w="593" w:type="pct"/>
          </w:tcPr>
          <w:p w14:paraId="67FD375A" w14:textId="4C539377" w:rsidR="00644664" w:rsidRPr="007210C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91"/>
                <w14:textFill>
                  <w14:solidFill>
                    <w14:srgbClr w14:val="000000">
                      <w14:alpha w14:val="100000"/>
                    </w14:srgbClr>
                  </w14:solidFill>
                </w14:textFill>
              </w:rPr>
              <w:t>|||</w:t>
            </w:r>
            <w:r w:rsidR="00AA4CCB" w:rsidRPr="00AA4CCB">
              <w:rPr>
                <w:color w:val="000000"/>
                <w:spacing w:val="1"/>
                <w:shd w:val="solid" w:color="000000" w:fill="000000"/>
                <w:fitText w:val="315" w:id="-628904691"/>
                <w14:textFill>
                  <w14:solidFill>
                    <w14:srgbClr w14:val="000000">
                      <w14:alpha w14:val="100000"/>
                    </w14:srgbClr>
                  </w14:solidFill>
                </w14:textFill>
              </w:rPr>
              <w:t>|</w:t>
            </w:r>
            <w:r w:rsidR="007210CC">
              <w:rPr>
                <w:vertAlign w:val="superscript"/>
              </w:rPr>
              <w:t>1</w:t>
            </w:r>
          </w:p>
        </w:tc>
        <w:tc>
          <w:tcPr>
            <w:tcW w:w="632" w:type="pct"/>
          </w:tcPr>
          <w:p w14:paraId="78415940" w14:textId="3039DBF6" w:rsidR="00644664" w:rsidRPr="007F66A7" w:rsidRDefault="00644664" w:rsidP="00644664">
            <w:pPr>
              <w:pStyle w:val="COMTabletext"/>
              <w:keepNext w:val="0"/>
              <w:jc w:val="center"/>
            </w:pPr>
            <w:r w:rsidRPr="007F66A7">
              <w:t>-</w:t>
            </w:r>
            <w:r w:rsidR="00AA4CCB" w:rsidRPr="00AA4CCB">
              <w:rPr>
                <w:color w:val="000000"/>
                <w:spacing w:val="53"/>
                <w:shd w:val="solid" w:color="000000" w:fill="000000"/>
                <w:fitText w:val="330" w:id="-628904690"/>
                <w14:textFill>
                  <w14:solidFill>
                    <w14:srgbClr w14:val="000000">
                      <w14:alpha w14:val="100000"/>
                    </w14:srgbClr>
                  </w14:solidFill>
                </w14:textFill>
              </w:rPr>
              <w:t>|||</w:t>
            </w:r>
            <w:r w:rsidR="00AA4CCB" w:rsidRPr="00AA4CCB">
              <w:rPr>
                <w:color w:val="000000"/>
                <w:spacing w:val="1"/>
                <w:shd w:val="solid" w:color="000000" w:fill="000000"/>
                <w:fitText w:val="330" w:id="-628904690"/>
                <w14:textFill>
                  <w14:solidFill>
                    <w14:srgbClr w14:val="000000">
                      <w14:alpha w14:val="100000"/>
                    </w14:srgbClr>
                  </w14:solidFill>
                </w14:textFill>
              </w:rPr>
              <w:t>|</w:t>
            </w:r>
            <w:r w:rsidRPr="007F66A7">
              <w:t>%</w:t>
            </w:r>
          </w:p>
        </w:tc>
      </w:tr>
      <w:tr w:rsidR="00644664" w:rsidRPr="007F66A7" w14:paraId="2AC9001C" w14:textId="77777777">
        <w:trPr>
          <w:cantSplit/>
        </w:trPr>
        <w:tc>
          <w:tcPr>
            <w:tcW w:w="5000" w:type="pct"/>
            <w:gridSpan w:val="5"/>
          </w:tcPr>
          <w:p w14:paraId="5ADB5141" w14:textId="77777777" w:rsidR="00644664" w:rsidRPr="007F66A7" w:rsidRDefault="00644664" w:rsidP="00644664">
            <w:pPr>
              <w:pStyle w:val="COMTableheadingrow"/>
              <w:rPr>
                <w:lang w:val="en-AU"/>
              </w:rPr>
            </w:pPr>
            <w:r w:rsidRPr="007F66A7">
              <w:rPr>
                <w:lang w:val="en-AU"/>
              </w:rPr>
              <w:t>Transplant eligibility (base case A+AVD 40%, ABVD 49% derived from ECHELON-1 trial data)</w:t>
            </w:r>
          </w:p>
        </w:tc>
      </w:tr>
      <w:tr w:rsidR="00644664" w:rsidRPr="007F66A7" w14:paraId="7C35E8B5" w14:textId="77777777" w:rsidTr="000C414C">
        <w:trPr>
          <w:cantSplit/>
        </w:trPr>
        <w:tc>
          <w:tcPr>
            <w:tcW w:w="2521" w:type="pct"/>
          </w:tcPr>
          <w:p w14:paraId="7C15EF4F" w14:textId="77777777" w:rsidR="00644664" w:rsidRPr="007F66A7" w:rsidRDefault="00644664" w:rsidP="00644664">
            <w:pPr>
              <w:pStyle w:val="COMTabletext"/>
              <w:keepNext w:val="0"/>
            </w:pPr>
            <w:r w:rsidRPr="007F66A7">
              <w:t>Decrease rate by 50% in both arms</w:t>
            </w:r>
          </w:p>
        </w:tc>
        <w:tc>
          <w:tcPr>
            <w:tcW w:w="660" w:type="pct"/>
          </w:tcPr>
          <w:p w14:paraId="708AB24A" w14:textId="6030C920"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689"/>
                <w14:textFill>
                  <w14:solidFill>
                    <w14:srgbClr w14:val="000000">
                      <w14:alpha w14:val="100000"/>
                    </w14:srgbClr>
                  </w14:solidFill>
                </w14:textFill>
              </w:rPr>
              <w:t>|||</w:t>
            </w:r>
            <w:r w:rsidR="00AA4CCB" w:rsidRPr="00AA4CCB">
              <w:rPr>
                <w:color w:val="000000"/>
                <w:spacing w:val="1"/>
                <w:shd w:val="solid" w:color="000000" w:fill="000000"/>
                <w:fitText w:val="315" w:id="-628904689"/>
                <w14:textFill>
                  <w14:solidFill>
                    <w14:srgbClr w14:val="000000">
                      <w14:alpha w14:val="100000"/>
                    </w14:srgbClr>
                  </w14:solidFill>
                </w14:textFill>
              </w:rPr>
              <w:t>|</w:t>
            </w:r>
          </w:p>
        </w:tc>
        <w:tc>
          <w:tcPr>
            <w:tcW w:w="594" w:type="pct"/>
          </w:tcPr>
          <w:p w14:paraId="13E6C62F" w14:textId="77777777" w:rsidR="00644664" w:rsidRPr="007F66A7" w:rsidRDefault="00644664" w:rsidP="00644664">
            <w:pPr>
              <w:pStyle w:val="COMTabletext"/>
              <w:keepNext w:val="0"/>
              <w:jc w:val="center"/>
            </w:pPr>
            <w:r w:rsidRPr="007F66A7">
              <w:t>0.622</w:t>
            </w:r>
          </w:p>
        </w:tc>
        <w:tc>
          <w:tcPr>
            <w:tcW w:w="593" w:type="pct"/>
          </w:tcPr>
          <w:p w14:paraId="174DB1F3" w14:textId="27C7D9B6" w:rsidR="00644664" w:rsidRPr="00F215C7"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88"/>
                <w14:textFill>
                  <w14:solidFill>
                    <w14:srgbClr w14:val="000000">
                      <w14:alpha w14:val="100000"/>
                    </w14:srgbClr>
                  </w14:solidFill>
                </w14:textFill>
              </w:rPr>
              <w:t>|||</w:t>
            </w:r>
            <w:r w:rsidR="00AA4CCB" w:rsidRPr="00AA4CCB">
              <w:rPr>
                <w:color w:val="000000"/>
                <w:spacing w:val="1"/>
                <w:shd w:val="solid" w:color="000000" w:fill="000000"/>
                <w:fitText w:val="315" w:id="-628904688"/>
                <w14:textFill>
                  <w14:solidFill>
                    <w14:srgbClr w14:val="000000">
                      <w14:alpha w14:val="100000"/>
                    </w14:srgbClr>
                  </w14:solidFill>
                </w14:textFill>
              </w:rPr>
              <w:t>|</w:t>
            </w:r>
            <w:r w:rsidR="00F215C7">
              <w:rPr>
                <w:vertAlign w:val="superscript"/>
              </w:rPr>
              <w:t>3</w:t>
            </w:r>
          </w:p>
        </w:tc>
        <w:tc>
          <w:tcPr>
            <w:tcW w:w="632" w:type="pct"/>
          </w:tcPr>
          <w:p w14:paraId="1AB06596" w14:textId="7BC4D4A4" w:rsidR="00644664" w:rsidRPr="007F66A7" w:rsidRDefault="00644664" w:rsidP="00644664">
            <w:pPr>
              <w:pStyle w:val="COMTabletext"/>
              <w:keepNext w:val="0"/>
              <w:jc w:val="center"/>
            </w:pPr>
            <w:r w:rsidRPr="007F66A7">
              <w:t>-</w:t>
            </w:r>
            <w:r w:rsidR="00AA4CCB" w:rsidRPr="00AA4CCB">
              <w:rPr>
                <w:color w:val="000000"/>
                <w:spacing w:val="53"/>
                <w:shd w:val="solid" w:color="000000" w:fill="000000"/>
                <w:fitText w:val="330" w:id="-628904704"/>
                <w14:textFill>
                  <w14:solidFill>
                    <w14:srgbClr w14:val="000000">
                      <w14:alpha w14:val="100000"/>
                    </w14:srgbClr>
                  </w14:solidFill>
                </w14:textFill>
              </w:rPr>
              <w:t>|||</w:t>
            </w:r>
            <w:r w:rsidR="00AA4CCB" w:rsidRPr="00AA4CCB">
              <w:rPr>
                <w:color w:val="000000"/>
                <w:spacing w:val="1"/>
                <w:shd w:val="solid" w:color="000000" w:fill="000000"/>
                <w:fitText w:val="330" w:id="-628904704"/>
                <w14:textFill>
                  <w14:solidFill>
                    <w14:srgbClr w14:val="000000">
                      <w14:alpha w14:val="100000"/>
                    </w14:srgbClr>
                  </w14:solidFill>
                </w14:textFill>
              </w:rPr>
              <w:t>|</w:t>
            </w:r>
            <w:r w:rsidRPr="007F66A7">
              <w:t>%</w:t>
            </w:r>
          </w:p>
        </w:tc>
      </w:tr>
      <w:tr w:rsidR="00644664" w:rsidRPr="007F66A7" w14:paraId="09A3C26B" w14:textId="77777777" w:rsidTr="000C414C">
        <w:trPr>
          <w:cantSplit/>
        </w:trPr>
        <w:tc>
          <w:tcPr>
            <w:tcW w:w="2521" w:type="pct"/>
          </w:tcPr>
          <w:p w14:paraId="3B2D50F4" w14:textId="77777777" w:rsidR="00644664" w:rsidRPr="007F66A7" w:rsidRDefault="00644664" w:rsidP="00644664">
            <w:pPr>
              <w:pStyle w:val="COMTabletext"/>
              <w:keepNext w:val="0"/>
            </w:pPr>
            <w:r w:rsidRPr="007F66A7">
              <w:t>Increase rate by 50% in both arms</w:t>
            </w:r>
          </w:p>
        </w:tc>
        <w:tc>
          <w:tcPr>
            <w:tcW w:w="660" w:type="pct"/>
          </w:tcPr>
          <w:p w14:paraId="54877B61" w14:textId="79EB0BAD"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703"/>
                <w14:textFill>
                  <w14:solidFill>
                    <w14:srgbClr w14:val="000000">
                      <w14:alpha w14:val="100000"/>
                    </w14:srgbClr>
                  </w14:solidFill>
                </w14:textFill>
              </w:rPr>
              <w:t>|||</w:t>
            </w:r>
            <w:r w:rsidR="00AA4CCB" w:rsidRPr="00AA4CCB">
              <w:rPr>
                <w:color w:val="000000"/>
                <w:spacing w:val="1"/>
                <w:shd w:val="solid" w:color="000000" w:fill="000000"/>
                <w:fitText w:val="315" w:id="-628904703"/>
                <w14:textFill>
                  <w14:solidFill>
                    <w14:srgbClr w14:val="000000">
                      <w14:alpha w14:val="100000"/>
                    </w14:srgbClr>
                  </w14:solidFill>
                </w14:textFill>
              </w:rPr>
              <w:t>|</w:t>
            </w:r>
          </w:p>
        </w:tc>
        <w:tc>
          <w:tcPr>
            <w:tcW w:w="594" w:type="pct"/>
          </w:tcPr>
          <w:p w14:paraId="6C9510CD" w14:textId="77777777" w:rsidR="00644664" w:rsidRPr="007F66A7" w:rsidRDefault="00644664" w:rsidP="00644664">
            <w:pPr>
              <w:pStyle w:val="COMTabletext"/>
              <w:keepNext w:val="0"/>
              <w:jc w:val="center"/>
            </w:pPr>
            <w:r w:rsidRPr="007F66A7">
              <w:t>0.455</w:t>
            </w:r>
          </w:p>
        </w:tc>
        <w:tc>
          <w:tcPr>
            <w:tcW w:w="593" w:type="pct"/>
          </w:tcPr>
          <w:p w14:paraId="2DB27D23" w14:textId="28A99A80" w:rsidR="00644664" w:rsidRPr="007210C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702"/>
                <w14:textFill>
                  <w14:solidFill>
                    <w14:srgbClr w14:val="000000">
                      <w14:alpha w14:val="100000"/>
                    </w14:srgbClr>
                  </w14:solidFill>
                </w14:textFill>
              </w:rPr>
              <w:t>|||</w:t>
            </w:r>
            <w:r w:rsidR="00AA4CCB" w:rsidRPr="00AA4CCB">
              <w:rPr>
                <w:color w:val="000000"/>
                <w:spacing w:val="1"/>
                <w:shd w:val="solid" w:color="000000" w:fill="000000"/>
                <w:fitText w:val="315" w:id="-628904702"/>
                <w14:textFill>
                  <w14:solidFill>
                    <w14:srgbClr w14:val="000000">
                      <w14:alpha w14:val="100000"/>
                    </w14:srgbClr>
                  </w14:solidFill>
                </w14:textFill>
              </w:rPr>
              <w:t>|</w:t>
            </w:r>
            <w:r w:rsidR="007210CC">
              <w:rPr>
                <w:vertAlign w:val="superscript"/>
              </w:rPr>
              <w:t>1</w:t>
            </w:r>
          </w:p>
        </w:tc>
        <w:tc>
          <w:tcPr>
            <w:tcW w:w="632" w:type="pct"/>
          </w:tcPr>
          <w:p w14:paraId="33777A83" w14:textId="57008576" w:rsidR="00644664" w:rsidRPr="007F66A7" w:rsidRDefault="00644664" w:rsidP="00644664">
            <w:pPr>
              <w:pStyle w:val="COMTabletext"/>
              <w:keepNext w:val="0"/>
              <w:jc w:val="center"/>
            </w:pPr>
            <w:r w:rsidRPr="007F66A7">
              <w:t>+</w:t>
            </w:r>
            <w:r w:rsidR="00AA4CCB" w:rsidRPr="00AA4CCB">
              <w:rPr>
                <w:color w:val="000000"/>
                <w:spacing w:val="53"/>
                <w:shd w:val="solid" w:color="000000" w:fill="000000"/>
                <w:fitText w:val="330" w:id="-628904701"/>
                <w14:textFill>
                  <w14:solidFill>
                    <w14:srgbClr w14:val="000000">
                      <w14:alpha w14:val="100000"/>
                    </w14:srgbClr>
                  </w14:solidFill>
                </w14:textFill>
              </w:rPr>
              <w:t>|||</w:t>
            </w:r>
            <w:r w:rsidR="00AA4CCB" w:rsidRPr="00AA4CCB">
              <w:rPr>
                <w:color w:val="000000"/>
                <w:spacing w:val="1"/>
                <w:shd w:val="solid" w:color="000000" w:fill="000000"/>
                <w:fitText w:val="330" w:id="-628904701"/>
                <w14:textFill>
                  <w14:solidFill>
                    <w14:srgbClr w14:val="000000">
                      <w14:alpha w14:val="100000"/>
                    </w14:srgbClr>
                  </w14:solidFill>
                </w14:textFill>
              </w:rPr>
              <w:t>|</w:t>
            </w:r>
            <w:r w:rsidRPr="007F66A7">
              <w:t>%</w:t>
            </w:r>
          </w:p>
        </w:tc>
      </w:tr>
      <w:tr w:rsidR="00644664" w:rsidRPr="007F66A7" w14:paraId="573D8B2C" w14:textId="77777777" w:rsidTr="000C414C">
        <w:trPr>
          <w:cantSplit/>
        </w:trPr>
        <w:tc>
          <w:tcPr>
            <w:tcW w:w="2521" w:type="pct"/>
          </w:tcPr>
          <w:p w14:paraId="6A6639A4" w14:textId="77777777" w:rsidR="00644664" w:rsidRPr="007F66A7" w:rsidRDefault="00644664" w:rsidP="00644664">
            <w:pPr>
              <w:pStyle w:val="COMTabletext"/>
              <w:keepNext w:val="0"/>
            </w:pPr>
            <w:r w:rsidRPr="007F66A7">
              <w:t>All patients are transplant eligible</w:t>
            </w:r>
          </w:p>
        </w:tc>
        <w:tc>
          <w:tcPr>
            <w:tcW w:w="660" w:type="pct"/>
          </w:tcPr>
          <w:p w14:paraId="6EBE4050" w14:textId="668F028C"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700"/>
                <w14:textFill>
                  <w14:solidFill>
                    <w14:srgbClr w14:val="000000">
                      <w14:alpha w14:val="100000"/>
                    </w14:srgbClr>
                  </w14:solidFill>
                </w14:textFill>
              </w:rPr>
              <w:t>|||</w:t>
            </w:r>
            <w:r w:rsidR="00AA4CCB" w:rsidRPr="00AA4CCB">
              <w:rPr>
                <w:color w:val="000000"/>
                <w:spacing w:val="1"/>
                <w:shd w:val="solid" w:color="000000" w:fill="000000"/>
                <w:fitText w:val="315" w:id="-628904700"/>
                <w14:textFill>
                  <w14:solidFill>
                    <w14:srgbClr w14:val="000000">
                      <w14:alpha w14:val="100000"/>
                    </w14:srgbClr>
                  </w14:solidFill>
                </w14:textFill>
              </w:rPr>
              <w:t>|</w:t>
            </w:r>
          </w:p>
        </w:tc>
        <w:tc>
          <w:tcPr>
            <w:tcW w:w="594" w:type="pct"/>
          </w:tcPr>
          <w:p w14:paraId="13B620F2" w14:textId="77777777" w:rsidR="00644664" w:rsidRPr="007F66A7" w:rsidRDefault="00644664" w:rsidP="00644664">
            <w:pPr>
              <w:pStyle w:val="COMTabletext"/>
              <w:keepNext w:val="0"/>
              <w:jc w:val="center"/>
            </w:pPr>
            <w:r w:rsidRPr="007F66A7">
              <w:t>0.495</w:t>
            </w:r>
          </w:p>
        </w:tc>
        <w:tc>
          <w:tcPr>
            <w:tcW w:w="593" w:type="pct"/>
          </w:tcPr>
          <w:p w14:paraId="4D1A9C56" w14:textId="0BE9AC5D" w:rsidR="00644664" w:rsidRPr="007210C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99"/>
                <w14:textFill>
                  <w14:solidFill>
                    <w14:srgbClr w14:val="000000">
                      <w14:alpha w14:val="100000"/>
                    </w14:srgbClr>
                  </w14:solidFill>
                </w14:textFill>
              </w:rPr>
              <w:t>|||</w:t>
            </w:r>
            <w:r w:rsidR="00AA4CCB" w:rsidRPr="00AA4CCB">
              <w:rPr>
                <w:color w:val="000000"/>
                <w:spacing w:val="1"/>
                <w:shd w:val="solid" w:color="000000" w:fill="000000"/>
                <w:fitText w:val="315" w:id="-628904699"/>
                <w14:textFill>
                  <w14:solidFill>
                    <w14:srgbClr w14:val="000000">
                      <w14:alpha w14:val="100000"/>
                    </w14:srgbClr>
                  </w14:solidFill>
                </w14:textFill>
              </w:rPr>
              <w:t>|</w:t>
            </w:r>
            <w:r w:rsidR="007210CC">
              <w:rPr>
                <w:vertAlign w:val="superscript"/>
              </w:rPr>
              <w:t>1</w:t>
            </w:r>
          </w:p>
        </w:tc>
        <w:tc>
          <w:tcPr>
            <w:tcW w:w="632" w:type="pct"/>
          </w:tcPr>
          <w:p w14:paraId="10EC6078" w14:textId="4A914860" w:rsidR="00644664" w:rsidRPr="007F66A7" w:rsidRDefault="00644664" w:rsidP="00644664">
            <w:pPr>
              <w:pStyle w:val="COMTabletext"/>
              <w:keepNext w:val="0"/>
              <w:jc w:val="center"/>
            </w:pPr>
            <w:r w:rsidRPr="007F66A7">
              <w:t>+</w:t>
            </w:r>
            <w:r w:rsidR="00AA4CCB" w:rsidRPr="00AA4CCB">
              <w:rPr>
                <w:color w:val="000000"/>
                <w:spacing w:val="53"/>
                <w:shd w:val="solid" w:color="000000" w:fill="000000"/>
                <w:fitText w:val="330" w:id="-628904698"/>
                <w14:textFill>
                  <w14:solidFill>
                    <w14:srgbClr w14:val="000000">
                      <w14:alpha w14:val="100000"/>
                    </w14:srgbClr>
                  </w14:solidFill>
                </w14:textFill>
              </w:rPr>
              <w:t>|||</w:t>
            </w:r>
            <w:r w:rsidR="00AA4CCB" w:rsidRPr="00AA4CCB">
              <w:rPr>
                <w:color w:val="000000"/>
                <w:spacing w:val="1"/>
                <w:shd w:val="solid" w:color="000000" w:fill="000000"/>
                <w:fitText w:val="330" w:id="-628904698"/>
                <w14:textFill>
                  <w14:solidFill>
                    <w14:srgbClr w14:val="000000">
                      <w14:alpha w14:val="100000"/>
                    </w14:srgbClr>
                  </w14:solidFill>
                </w14:textFill>
              </w:rPr>
              <w:t>|</w:t>
            </w:r>
            <w:r w:rsidRPr="007F66A7">
              <w:t>%</w:t>
            </w:r>
          </w:p>
        </w:tc>
      </w:tr>
      <w:tr w:rsidR="00644664" w:rsidRPr="007F66A7" w14:paraId="52CA5310" w14:textId="77777777" w:rsidTr="000C414C">
        <w:trPr>
          <w:cantSplit/>
        </w:trPr>
        <w:tc>
          <w:tcPr>
            <w:tcW w:w="2521" w:type="pct"/>
          </w:tcPr>
          <w:p w14:paraId="6F10FDEF" w14:textId="77777777" w:rsidR="00644664" w:rsidRPr="007F66A7" w:rsidRDefault="00644664" w:rsidP="00644664">
            <w:pPr>
              <w:pStyle w:val="COMTabletext"/>
              <w:keepNext w:val="0"/>
            </w:pPr>
            <w:r w:rsidRPr="007F66A7">
              <w:t>All patients are transplant ineligible</w:t>
            </w:r>
          </w:p>
        </w:tc>
        <w:tc>
          <w:tcPr>
            <w:tcW w:w="660" w:type="pct"/>
          </w:tcPr>
          <w:p w14:paraId="79EAA9B0" w14:textId="1EE8EA30"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697"/>
                <w14:textFill>
                  <w14:solidFill>
                    <w14:srgbClr w14:val="000000">
                      <w14:alpha w14:val="100000"/>
                    </w14:srgbClr>
                  </w14:solidFill>
                </w14:textFill>
              </w:rPr>
              <w:t>|||</w:t>
            </w:r>
            <w:r w:rsidR="00AA4CCB" w:rsidRPr="00AA4CCB">
              <w:rPr>
                <w:color w:val="000000"/>
                <w:spacing w:val="1"/>
                <w:shd w:val="solid" w:color="000000" w:fill="000000"/>
                <w:fitText w:val="315" w:id="-628904697"/>
                <w14:textFill>
                  <w14:solidFill>
                    <w14:srgbClr w14:val="000000">
                      <w14:alpha w14:val="100000"/>
                    </w14:srgbClr>
                  </w14:solidFill>
                </w14:textFill>
              </w:rPr>
              <w:t>|</w:t>
            </w:r>
          </w:p>
        </w:tc>
        <w:tc>
          <w:tcPr>
            <w:tcW w:w="594" w:type="pct"/>
          </w:tcPr>
          <w:p w14:paraId="3A7CCC7C" w14:textId="77777777" w:rsidR="00644664" w:rsidRPr="007F66A7" w:rsidRDefault="00644664" w:rsidP="00644664">
            <w:pPr>
              <w:pStyle w:val="COMTabletext"/>
              <w:keepNext w:val="0"/>
              <w:jc w:val="center"/>
            </w:pPr>
            <w:r w:rsidRPr="007F66A7">
              <w:t>0.706</w:t>
            </w:r>
          </w:p>
        </w:tc>
        <w:tc>
          <w:tcPr>
            <w:tcW w:w="593" w:type="pct"/>
          </w:tcPr>
          <w:p w14:paraId="60BD7B26" w14:textId="1F8761D2" w:rsidR="00644664" w:rsidRPr="00B2772F"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96"/>
                <w14:textFill>
                  <w14:solidFill>
                    <w14:srgbClr w14:val="000000">
                      <w14:alpha w14:val="100000"/>
                    </w14:srgbClr>
                  </w14:solidFill>
                </w14:textFill>
              </w:rPr>
              <w:t>|||</w:t>
            </w:r>
            <w:r w:rsidR="00AA4CCB" w:rsidRPr="00AA4CCB">
              <w:rPr>
                <w:color w:val="000000"/>
                <w:spacing w:val="1"/>
                <w:shd w:val="solid" w:color="000000" w:fill="000000"/>
                <w:fitText w:val="315" w:id="-628904696"/>
                <w14:textFill>
                  <w14:solidFill>
                    <w14:srgbClr w14:val="000000">
                      <w14:alpha w14:val="100000"/>
                    </w14:srgbClr>
                  </w14:solidFill>
                </w14:textFill>
              </w:rPr>
              <w:t>|</w:t>
            </w:r>
            <w:r w:rsidR="00B2772F">
              <w:rPr>
                <w:vertAlign w:val="superscript"/>
              </w:rPr>
              <w:t>3</w:t>
            </w:r>
          </w:p>
        </w:tc>
        <w:tc>
          <w:tcPr>
            <w:tcW w:w="632" w:type="pct"/>
          </w:tcPr>
          <w:p w14:paraId="602A534B" w14:textId="54A4D8BD" w:rsidR="00644664" w:rsidRPr="007F66A7" w:rsidRDefault="00644664" w:rsidP="00644664">
            <w:pPr>
              <w:pStyle w:val="COMTabletext"/>
              <w:keepNext w:val="0"/>
              <w:jc w:val="center"/>
            </w:pPr>
            <w:r w:rsidRPr="007F66A7">
              <w:t>-</w:t>
            </w:r>
            <w:r w:rsidR="00AA4CCB" w:rsidRPr="00AA4CCB">
              <w:rPr>
                <w:color w:val="000000"/>
                <w:spacing w:val="53"/>
                <w:shd w:val="solid" w:color="000000" w:fill="000000"/>
                <w:fitText w:val="330" w:id="-628904695"/>
                <w14:textFill>
                  <w14:solidFill>
                    <w14:srgbClr w14:val="000000">
                      <w14:alpha w14:val="100000"/>
                    </w14:srgbClr>
                  </w14:solidFill>
                </w14:textFill>
              </w:rPr>
              <w:t>|||</w:t>
            </w:r>
            <w:r w:rsidR="00AA4CCB" w:rsidRPr="00AA4CCB">
              <w:rPr>
                <w:color w:val="000000"/>
                <w:spacing w:val="1"/>
                <w:shd w:val="solid" w:color="000000" w:fill="000000"/>
                <w:fitText w:val="330" w:id="-628904695"/>
                <w14:textFill>
                  <w14:solidFill>
                    <w14:srgbClr w14:val="000000">
                      <w14:alpha w14:val="100000"/>
                    </w14:srgbClr>
                  </w14:solidFill>
                </w14:textFill>
              </w:rPr>
              <w:t>|</w:t>
            </w:r>
            <w:r w:rsidRPr="007F66A7">
              <w:t>%</w:t>
            </w:r>
          </w:p>
        </w:tc>
      </w:tr>
      <w:tr w:rsidR="00644664" w:rsidRPr="007F66A7" w14:paraId="03E35B89" w14:textId="77777777">
        <w:trPr>
          <w:cantSplit/>
        </w:trPr>
        <w:tc>
          <w:tcPr>
            <w:tcW w:w="5000" w:type="pct"/>
            <w:gridSpan w:val="5"/>
          </w:tcPr>
          <w:p w14:paraId="36E17F74" w14:textId="63E37DD2" w:rsidR="00644664" w:rsidRPr="007F66A7" w:rsidRDefault="00644664" w:rsidP="00644664">
            <w:pPr>
              <w:pStyle w:val="COMTableheadingrow"/>
              <w:rPr>
                <w:lang w:val="en-AU"/>
              </w:rPr>
            </w:pPr>
            <w:r w:rsidRPr="007F66A7">
              <w:rPr>
                <w:lang w:val="en-AU"/>
              </w:rPr>
              <w:t xml:space="preserve">Health state utilities (base case 1L on- and off-treatment utilities based on ECHELON-1 regression model </w:t>
            </w:r>
            <w:r w:rsidRPr="00A5354A">
              <w:rPr>
                <w:lang w:val="en-AU"/>
              </w:rPr>
              <w:t>without</w:t>
            </w:r>
            <w:r w:rsidRPr="007F66A7">
              <w:rPr>
                <w:lang w:val="en-AU"/>
              </w:rPr>
              <w:t xml:space="preserve"> time since randomisation covariate and ABVD off treatment utility assumed based on the A+AVD off treatment utility</w:t>
            </w:r>
            <w:r w:rsidR="00D40850">
              <w:rPr>
                <w:lang w:val="en-AU"/>
              </w:rPr>
              <w:t xml:space="preserve"> (</w:t>
            </w:r>
            <w:r w:rsidR="003E2968" w:rsidRPr="00A5354A">
              <w:rPr>
                <w:lang w:val="en-AU"/>
              </w:rPr>
              <w:t xml:space="preserve">A+AVD on treatment </w:t>
            </w:r>
            <w:r w:rsidR="00C22150" w:rsidRPr="00A5354A">
              <w:rPr>
                <w:lang w:val="en-AU"/>
              </w:rPr>
              <w:t>0.7525</w:t>
            </w:r>
            <w:r w:rsidR="003E2968" w:rsidRPr="00A5354A">
              <w:rPr>
                <w:lang w:val="en-AU"/>
              </w:rPr>
              <w:t xml:space="preserve">; ABVD on treatment </w:t>
            </w:r>
            <w:r w:rsidR="0081605F" w:rsidRPr="00A5354A">
              <w:rPr>
                <w:lang w:val="en-AU"/>
              </w:rPr>
              <w:t>0.8056</w:t>
            </w:r>
            <w:r w:rsidR="000C54E2" w:rsidRPr="00A5354A">
              <w:rPr>
                <w:lang w:val="en-AU"/>
              </w:rPr>
              <w:t>;</w:t>
            </w:r>
            <w:r w:rsidR="003E2968" w:rsidRPr="00A5354A">
              <w:rPr>
                <w:lang w:val="en-AU"/>
              </w:rPr>
              <w:t xml:space="preserve"> </w:t>
            </w:r>
            <w:r w:rsidR="000C54E2" w:rsidRPr="00A5354A">
              <w:rPr>
                <w:lang w:val="en-AU"/>
              </w:rPr>
              <w:t>A+AVD and ABVD off treatment 0.8429</w:t>
            </w:r>
            <w:r w:rsidR="00D40850">
              <w:rPr>
                <w:lang w:val="en-AU"/>
              </w:rPr>
              <w:t>)</w:t>
            </w:r>
            <w:r w:rsidRPr="007F66A7">
              <w:rPr>
                <w:lang w:val="en-AU"/>
              </w:rPr>
              <w:t>, 2L ICE+ASCT based on Swinburn 2015 and all other subsequent treatment utilities based on Ramsey 2016; adjusted using age-specific general population utility estimates from Clemens 2014)</w:t>
            </w:r>
          </w:p>
        </w:tc>
      </w:tr>
      <w:tr w:rsidR="00644664" w:rsidRPr="007F66A7" w14:paraId="08DFC332" w14:textId="77777777" w:rsidTr="000C414C">
        <w:trPr>
          <w:cantSplit/>
        </w:trPr>
        <w:tc>
          <w:tcPr>
            <w:tcW w:w="2521" w:type="pct"/>
          </w:tcPr>
          <w:p w14:paraId="443B5ACE" w14:textId="2C4533C1" w:rsidR="00644664" w:rsidRPr="007F66A7" w:rsidRDefault="00644664" w:rsidP="00644664">
            <w:pPr>
              <w:pStyle w:val="COMTabletext"/>
              <w:keepNext w:val="0"/>
            </w:pPr>
            <w:r w:rsidRPr="007F66A7">
              <w:t xml:space="preserve">1L treatment health state utilities based on ECHELON-1 regression model </w:t>
            </w:r>
            <w:r w:rsidRPr="007F66A7">
              <w:rPr>
                <w:u w:val="single"/>
              </w:rPr>
              <w:t>without</w:t>
            </w:r>
            <w:r w:rsidRPr="007F66A7">
              <w:t xml:space="preserve"> time since randomisation covariate,</w:t>
            </w:r>
            <w:r w:rsidR="00930071">
              <w:t xml:space="preserve"> and</w:t>
            </w:r>
            <w:r w:rsidRPr="007F66A7">
              <w:t xml:space="preserve"> different off treatment utilities between arms (A+AVD 0.8429, ABVD 0.8665)</w:t>
            </w:r>
          </w:p>
        </w:tc>
        <w:tc>
          <w:tcPr>
            <w:tcW w:w="660" w:type="pct"/>
            <w:vAlign w:val="center"/>
          </w:tcPr>
          <w:p w14:paraId="341767FB" w14:textId="5A723E9A"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694"/>
                <w14:textFill>
                  <w14:solidFill>
                    <w14:srgbClr w14:val="000000">
                      <w14:alpha w14:val="100000"/>
                    </w14:srgbClr>
                  </w14:solidFill>
                </w14:textFill>
              </w:rPr>
              <w:t>|||</w:t>
            </w:r>
            <w:r w:rsidR="00AA4CCB" w:rsidRPr="00AA4CCB">
              <w:rPr>
                <w:color w:val="000000"/>
                <w:spacing w:val="1"/>
                <w:shd w:val="solid" w:color="000000" w:fill="000000"/>
                <w:fitText w:val="315" w:id="-628904694"/>
                <w14:textFill>
                  <w14:solidFill>
                    <w14:srgbClr w14:val="000000">
                      <w14:alpha w14:val="100000"/>
                    </w14:srgbClr>
                  </w14:solidFill>
                </w14:textFill>
              </w:rPr>
              <w:t>|</w:t>
            </w:r>
          </w:p>
        </w:tc>
        <w:tc>
          <w:tcPr>
            <w:tcW w:w="594" w:type="pct"/>
            <w:vAlign w:val="center"/>
          </w:tcPr>
          <w:p w14:paraId="00FCC52E" w14:textId="77777777" w:rsidR="00644664" w:rsidRPr="007F66A7" w:rsidRDefault="00644664" w:rsidP="00644664">
            <w:pPr>
              <w:pStyle w:val="COMTabletext"/>
              <w:keepNext w:val="0"/>
              <w:jc w:val="center"/>
            </w:pPr>
            <w:r w:rsidRPr="007F66A7">
              <w:t>0.265</w:t>
            </w:r>
          </w:p>
        </w:tc>
        <w:tc>
          <w:tcPr>
            <w:tcW w:w="593" w:type="pct"/>
            <w:vAlign w:val="center"/>
          </w:tcPr>
          <w:p w14:paraId="7C2523A3" w14:textId="04403C5F" w:rsidR="00644664" w:rsidRPr="006F23DF"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93"/>
                <w14:textFill>
                  <w14:solidFill>
                    <w14:srgbClr w14:val="000000">
                      <w14:alpha w14:val="100000"/>
                    </w14:srgbClr>
                  </w14:solidFill>
                </w14:textFill>
              </w:rPr>
              <w:t>|||</w:t>
            </w:r>
            <w:r w:rsidR="00AA4CCB" w:rsidRPr="00AA4CCB">
              <w:rPr>
                <w:color w:val="000000"/>
                <w:spacing w:val="1"/>
                <w:shd w:val="solid" w:color="000000" w:fill="000000"/>
                <w:fitText w:val="315" w:id="-628904693"/>
                <w14:textFill>
                  <w14:solidFill>
                    <w14:srgbClr w14:val="000000">
                      <w14:alpha w14:val="100000"/>
                    </w14:srgbClr>
                  </w14:solidFill>
                </w14:textFill>
              </w:rPr>
              <w:t>|</w:t>
            </w:r>
            <w:r w:rsidR="006F23DF">
              <w:rPr>
                <w:vertAlign w:val="superscript"/>
              </w:rPr>
              <w:t>7</w:t>
            </w:r>
          </w:p>
        </w:tc>
        <w:tc>
          <w:tcPr>
            <w:tcW w:w="632" w:type="pct"/>
            <w:vAlign w:val="center"/>
          </w:tcPr>
          <w:p w14:paraId="37D531AE" w14:textId="7FB8D585" w:rsidR="00644664" w:rsidRPr="007F66A7" w:rsidRDefault="00644664" w:rsidP="00644664">
            <w:pPr>
              <w:pStyle w:val="COMTabletext"/>
              <w:keepNext w:val="0"/>
              <w:jc w:val="center"/>
            </w:pPr>
            <w:r w:rsidRPr="007F66A7">
              <w:t>+</w:t>
            </w:r>
            <w:r w:rsidR="00AA4CCB" w:rsidRPr="00AA4CCB">
              <w:rPr>
                <w:color w:val="000000"/>
                <w:spacing w:val="53"/>
                <w:shd w:val="solid" w:color="000000" w:fill="000000"/>
                <w:fitText w:val="330" w:id="-628904692"/>
                <w14:textFill>
                  <w14:solidFill>
                    <w14:srgbClr w14:val="000000">
                      <w14:alpha w14:val="100000"/>
                    </w14:srgbClr>
                  </w14:solidFill>
                </w14:textFill>
              </w:rPr>
              <w:t>|||</w:t>
            </w:r>
            <w:r w:rsidR="00AA4CCB" w:rsidRPr="00AA4CCB">
              <w:rPr>
                <w:color w:val="000000"/>
                <w:spacing w:val="1"/>
                <w:shd w:val="solid" w:color="000000" w:fill="000000"/>
                <w:fitText w:val="330" w:id="-628904692"/>
                <w14:textFill>
                  <w14:solidFill>
                    <w14:srgbClr w14:val="000000">
                      <w14:alpha w14:val="100000"/>
                    </w14:srgbClr>
                  </w14:solidFill>
                </w14:textFill>
              </w:rPr>
              <w:t>|</w:t>
            </w:r>
            <w:r w:rsidRPr="007F66A7">
              <w:t>%</w:t>
            </w:r>
          </w:p>
        </w:tc>
      </w:tr>
      <w:tr w:rsidR="00644664" w:rsidRPr="007F66A7" w14:paraId="7D7B565B" w14:textId="77777777" w:rsidTr="000C414C">
        <w:trPr>
          <w:cantSplit/>
        </w:trPr>
        <w:tc>
          <w:tcPr>
            <w:tcW w:w="2521" w:type="pct"/>
          </w:tcPr>
          <w:p w14:paraId="0B50069F" w14:textId="103491F0" w:rsidR="00644664" w:rsidRPr="007F66A7" w:rsidRDefault="00644664" w:rsidP="00644664">
            <w:pPr>
              <w:pStyle w:val="COMTabletext"/>
              <w:keepNext w:val="0"/>
            </w:pPr>
            <w:r w:rsidRPr="007F66A7">
              <w:t xml:space="preserve">1L treatment health state utilities based on ECHELON-1 regression model </w:t>
            </w:r>
            <w:r w:rsidRPr="007F66A7">
              <w:rPr>
                <w:u w:val="single"/>
              </w:rPr>
              <w:t>with</w:t>
            </w:r>
            <w:r w:rsidRPr="007F66A7">
              <w:t xml:space="preserve"> time since randomisation covariate</w:t>
            </w:r>
            <w:r w:rsidR="00EB0A38">
              <w:t xml:space="preserve">, </w:t>
            </w:r>
            <w:r w:rsidRPr="007F66A7">
              <w:t xml:space="preserve"> </w:t>
            </w:r>
            <w:r w:rsidR="00EB0A38" w:rsidRPr="007F66A7">
              <w:t xml:space="preserve">different </w:t>
            </w:r>
            <w:r w:rsidR="003D05FA">
              <w:t xml:space="preserve">off treatment </w:t>
            </w:r>
            <w:r w:rsidR="00EB0A38" w:rsidRPr="007F66A7">
              <w:t xml:space="preserve">utilities between arms </w:t>
            </w:r>
            <w:r w:rsidRPr="007F66A7">
              <w:t>(A+AVD on treatment 0.7356, A+AVD off treatment 0.8121; ABVD on treatment 0.7887, ABVD off treatment 0.8358)</w:t>
            </w:r>
          </w:p>
        </w:tc>
        <w:tc>
          <w:tcPr>
            <w:tcW w:w="660" w:type="pct"/>
            <w:vAlign w:val="center"/>
          </w:tcPr>
          <w:p w14:paraId="181AB0BF" w14:textId="18D75104" w:rsidR="00644664" w:rsidRPr="007F66A7" w:rsidRDefault="00644664" w:rsidP="00644664">
            <w:pPr>
              <w:pStyle w:val="COMTabletext"/>
              <w:keepNext w:val="0"/>
              <w:jc w:val="center"/>
            </w:pPr>
            <w:r w:rsidRPr="007F66A7">
              <w:t>$</w:t>
            </w:r>
            <w:r w:rsidR="00AA4CCB" w:rsidRPr="00AA4CCB">
              <w:rPr>
                <w:color w:val="000000"/>
                <w:spacing w:val="48"/>
                <w:shd w:val="solid" w:color="000000" w:fill="000000"/>
                <w:fitText w:val="315" w:id="-628904691"/>
                <w14:textFill>
                  <w14:solidFill>
                    <w14:srgbClr w14:val="000000">
                      <w14:alpha w14:val="100000"/>
                    </w14:srgbClr>
                  </w14:solidFill>
                </w14:textFill>
              </w:rPr>
              <w:t>|||</w:t>
            </w:r>
            <w:r w:rsidR="00AA4CCB" w:rsidRPr="00AA4CCB">
              <w:rPr>
                <w:color w:val="000000"/>
                <w:spacing w:val="1"/>
                <w:shd w:val="solid" w:color="000000" w:fill="000000"/>
                <w:fitText w:val="315" w:id="-628904691"/>
                <w14:textFill>
                  <w14:solidFill>
                    <w14:srgbClr w14:val="000000">
                      <w14:alpha w14:val="100000"/>
                    </w14:srgbClr>
                  </w14:solidFill>
                </w14:textFill>
              </w:rPr>
              <w:t>|</w:t>
            </w:r>
          </w:p>
        </w:tc>
        <w:tc>
          <w:tcPr>
            <w:tcW w:w="594" w:type="pct"/>
            <w:vAlign w:val="center"/>
          </w:tcPr>
          <w:p w14:paraId="52FB3E97" w14:textId="77777777" w:rsidR="00644664" w:rsidRPr="007F66A7" w:rsidRDefault="00644664" w:rsidP="00644664">
            <w:pPr>
              <w:pStyle w:val="COMTabletext"/>
              <w:keepNext w:val="0"/>
              <w:jc w:val="center"/>
            </w:pPr>
            <w:r w:rsidRPr="007F66A7">
              <w:t>0.237</w:t>
            </w:r>
          </w:p>
        </w:tc>
        <w:tc>
          <w:tcPr>
            <w:tcW w:w="593" w:type="pct"/>
            <w:vAlign w:val="center"/>
          </w:tcPr>
          <w:p w14:paraId="0B9D1155" w14:textId="170B8C43" w:rsidR="00644664" w:rsidRPr="002F6A8C" w:rsidRDefault="00644664" w:rsidP="00644664">
            <w:pPr>
              <w:pStyle w:val="COMTabletext"/>
              <w:keepNext w:val="0"/>
              <w:jc w:val="center"/>
              <w:rPr>
                <w:vertAlign w:val="superscript"/>
              </w:rPr>
            </w:pPr>
            <w:r w:rsidRPr="007F66A7">
              <w:t>$</w:t>
            </w:r>
            <w:r w:rsidR="00AA4CCB" w:rsidRPr="00AA4CCB">
              <w:rPr>
                <w:color w:val="000000"/>
                <w:spacing w:val="48"/>
                <w:shd w:val="solid" w:color="000000" w:fill="000000"/>
                <w:fitText w:val="315" w:id="-628904690"/>
                <w14:textFill>
                  <w14:solidFill>
                    <w14:srgbClr w14:val="000000">
                      <w14:alpha w14:val="100000"/>
                    </w14:srgbClr>
                  </w14:solidFill>
                </w14:textFill>
              </w:rPr>
              <w:t>|||</w:t>
            </w:r>
            <w:r w:rsidR="00AA4CCB" w:rsidRPr="00AA4CCB">
              <w:rPr>
                <w:color w:val="000000"/>
                <w:spacing w:val="1"/>
                <w:shd w:val="solid" w:color="000000" w:fill="000000"/>
                <w:fitText w:val="315" w:id="-628904690"/>
                <w14:textFill>
                  <w14:solidFill>
                    <w14:srgbClr w14:val="000000">
                      <w14:alpha w14:val="100000"/>
                    </w14:srgbClr>
                  </w14:solidFill>
                </w14:textFill>
              </w:rPr>
              <w:t>|</w:t>
            </w:r>
            <w:r w:rsidR="002F6A8C">
              <w:rPr>
                <w:vertAlign w:val="superscript"/>
              </w:rPr>
              <w:t>8</w:t>
            </w:r>
          </w:p>
        </w:tc>
        <w:tc>
          <w:tcPr>
            <w:tcW w:w="632" w:type="pct"/>
            <w:vAlign w:val="center"/>
          </w:tcPr>
          <w:p w14:paraId="23AEA1A1" w14:textId="7858739F" w:rsidR="00644664" w:rsidRPr="007F66A7" w:rsidRDefault="00644664" w:rsidP="00644664">
            <w:pPr>
              <w:pStyle w:val="COMTabletext"/>
              <w:keepNext w:val="0"/>
              <w:jc w:val="center"/>
            </w:pPr>
            <w:r w:rsidRPr="007F66A7">
              <w:t>+</w:t>
            </w:r>
            <w:r w:rsidR="00AA4CCB" w:rsidRPr="00AA4CCB">
              <w:rPr>
                <w:color w:val="000000"/>
                <w:spacing w:val="53"/>
                <w:shd w:val="solid" w:color="000000" w:fill="000000"/>
                <w:fitText w:val="330" w:id="-628904689"/>
                <w14:textFill>
                  <w14:solidFill>
                    <w14:srgbClr w14:val="000000">
                      <w14:alpha w14:val="100000"/>
                    </w14:srgbClr>
                  </w14:solidFill>
                </w14:textFill>
              </w:rPr>
              <w:t>|||</w:t>
            </w:r>
            <w:r w:rsidR="00AA4CCB" w:rsidRPr="00AA4CCB">
              <w:rPr>
                <w:color w:val="000000"/>
                <w:spacing w:val="1"/>
                <w:shd w:val="solid" w:color="000000" w:fill="000000"/>
                <w:fitText w:val="330" w:id="-628904689"/>
                <w14:textFill>
                  <w14:solidFill>
                    <w14:srgbClr w14:val="000000">
                      <w14:alpha w14:val="100000"/>
                    </w14:srgbClr>
                  </w14:solidFill>
                </w14:textFill>
              </w:rPr>
              <w:t>|</w:t>
            </w:r>
            <w:r w:rsidRPr="007F66A7">
              <w:t>%</w:t>
            </w:r>
          </w:p>
        </w:tc>
      </w:tr>
      <w:tr w:rsidR="000C414C" w:rsidRPr="007F66A7" w14:paraId="203D3344" w14:textId="77777777" w:rsidTr="000C414C">
        <w:trPr>
          <w:cantSplit/>
        </w:trPr>
        <w:tc>
          <w:tcPr>
            <w:tcW w:w="2521" w:type="pct"/>
          </w:tcPr>
          <w:p w14:paraId="5E0C6C88" w14:textId="0ACB8CEF" w:rsidR="000C414C" w:rsidRPr="00D35240" w:rsidRDefault="000C414C" w:rsidP="000C414C">
            <w:pPr>
              <w:pStyle w:val="COMTabletext"/>
              <w:keepNext w:val="0"/>
              <w:rPr>
                <w:vertAlign w:val="superscript"/>
              </w:rPr>
            </w:pPr>
            <w:r w:rsidRPr="00476084">
              <w:rPr>
                <w:kern w:val="2"/>
                <w:szCs w:val="20"/>
                <w:lang w:val="en-US"/>
                <w14:ligatures w14:val="standardContextual"/>
              </w:rPr>
              <w:t xml:space="preserve">1L treatment health state utilities based on ECHELON-1 regression model </w:t>
            </w:r>
            <w:r w:rsidRPr="004254D7">
              <w:rPr>
                <w:kern w:val="2"/>
                <w:szCs w:val="20"/>
                <w:u w:val="single"/>
                <w:lang w:val="en-US"/>
                <w14:ligatures w14:val="standardContextual"/>
              </w:rPr>
              <w:t>with</w:t>
            </w:r>
            <w:r w:rsidRPr="004254D7">
              <w:rPr>
                <w:kern w:val="2"/>
                <w:szCs w:val="20"/>
                <w:lang w:val="en-US"/>
                <w14:ligatures w14:val="standardContextual"/>
              </w:rPr>
              <w:t xml:space="preserve"> time since </w:t>
            </w:r>
            <w:proofErr w:type="spellStart"/>
            <w:r w:rsidRPr="004254D7">
              <w:rPr>
                <w:kern w:val="2"/>
                <w:szCs w:val="20"/>
                <w:lang w:val="en-US"/>
                <w14:ligatures w14:val="standardContextual"/>
              </w:rPr>
              <w:t>randomisation</w:t>
            </w:r>
            <w:proofErr w:type="spellEnd"/>
            <w:r w:rsidRPr="00476084">
              <w:rPr>
                <w:kern w:val="2"/>
                <w:szCs w:val="20"/>
                <w:lang w:val="en-US"/>
                <w14:ligatures w14:val="standardContextual"/>
              </w:rPr>
              <w:t xml:space="preserve"> covariate</w:t>
            </w:r>
            <w:r>
              <w:rPr>
                <w:kern w:val="2"/>
                <w:szCs w:val="20"/>
                <w:lang w:val="en-US"/>
                <w14:ligatures w14:val="standardContextual"/>
              </w:rPr>
              <w:t>, with ABVD off treatment utility assumed based on A+AVD off treatment utility</w:t>
            </w:r>
            <w:r w:rsidRPr="00476084">
              <w:rPr>
                <w:kern w:val="2"/>
                <w:szCs w:val="20"/>
                <w:lang w:val="en-US"/>
                <w14:ligatures w14:val="standardContextual"/>
              </w:rPr>
              <w:t xml:space="preserve"> (A+AVD on treatment 0.7356</w:t>
            </w:r>
            <w:r>
              <w:rPr>
                <w:kern w:val="2"/>
                <w:szCs w:val="20"/>
                <w:lang w:val="en-US"/>
                <w14:ligatures w14:val="standardContextual"/>
              </w:rPr>
              <w:t xml:space="preserve">, ABVD on treatment 0.7887, </w:t>
            </w:r>
            <w:r w:rsidRPr="00476084">
              <w:rPr>
                <w:kern w:val="2"/>
                <w:szCs w:val="20"/>
                <w:lang w:val="en-US"/>
                <w14:ligatures w14:val="standardContextual"/>
              </w:rPr>
              <w:t xml:space="preserve">A+AVD </w:t>
            </w:r>
            <w:r>
              <w:rPr>
                <w:kern w:val="2"/>
                <w:szCs w:val="20"/>
                <w:lang w:val="en-US"/>
                <w14:ligatures w14:val="standardContextual"/>
              </w:rPr>
              <w:t xml:space="preserve">and ABVD </w:t>
            </w:r>
            <w:r w:rsidRPr="00476084">
              <w:rPr>
                <w:kern w:val="2"/>
                <w:szCs w:val="20"/>
                <w:lang w:val="en-US"/>
                <w14:ligatures w14:val="standardContextual"/>
              </w:rPr>
              <w:t>off treatment 0.8121)</w:t>
            </w:r>
            <w:r w:rsidR="00D35240">
              <w:rPr>
                <w:kern w:val="2"/>
                <w:szCs w:val="20"/>
                <w:lang w:val="en-US"/>
                <w14:ligatures w14:val="standardContextual"/>
              </w:rPr>
              <w:t xml:space="preserve"> </w:t>
            </w:r>
            <w:r w:rsidR="00D35240">
              <w:rPr>
                <w:kern w:val="2"/>
                <w:szCs w:val="20"/>
                <w:vertAlign w:val="superscript"/>
                <w:lang w:val="en-US"/>
                <w14:ligatures w14:val="standardContextual"/>
              </w:rPr>
              <w:t>a</w:t>
            </w:r>
          </w:p>
        </w:tc>
        <w:tc>
          <w:tcPr>
            <w:tcW w:w="660" w:type="pct"/>
            <w:vAlign w:val="center"/>
          </w:tcPr>
          <w:p w14:paraId="1DAC7719" w14:textId="6AC16592" w:rsidR="000C414C" w:rsidRPr="007F66A7" w:rsidRDefault="000C414C" w:rsidP="000C414C">
            <w:pPr>
              <w:pStyle w:val="COMTabletext"/>
              <w:keepNext w:val="0"/>
              <w:jc w:val="center"/>
            </w:pPr>
            <w:r w:rsidRPr="00963BD6">
              <w:t>$</w:t>
            </w:r>
            <w:r w:rsidR="00AA4CCB" w:rsidRPr="00AA4CCB">
              <w:rPr>
                <w:color w:val="000000"/>
                <w:spacing w:val="48"/>
                <w:shd w:val="solid" w:color="000000" w:fill="000000"/>
                <w:fitText w:val="315" w:id="-628904688"/>
                <w14:textFill>
                  <w14:solidFill>
                    <w14:srgbClr w14:val="000000">
                      <w14:alpha w14:val="100000"/>
                    </w14:srgbClr>
                  </w14:solidFill>
                </w14:textFill>
              </w:rPr>
              <w:t>|||</w:t>
            </w:r>
            <w:r w:rsidR="00AA4CCB" w:rsidRPr="00AA4CCB">
              <w:rPr>
                <w:color w:val="000000"/>
                <w:spacing w:val="1"/>
                <w:shd w:val="solid" w:color="000000" w:fill="000000"/>
                <w:fitText w:val="315" w:id="-628904688"/>
                <w14:textFill>
                  <w14:solidFill>
                    <w14:srgbClr w14:val="000000">
                      <w14:alpha w14:val="100000"/>
                    </w14:srgbClr>
                  </w14:solidFill>
                </w14:textFill>
              </w:rPr>
              <w:t>|</w:t>
            </w:r>
          </w:p>
        </w:tc>
        <w:tc>
          <w:tcPr>
            <w:tcW w:w="594" w:type="pct"/>
            <w:vAlign w:val="center"/>
          </w:tcPr>
          <w:p w14:paraId="7C61BDD0" w14:textId="6A00E272" w:rsidR="000C414C" w:rsidRPr="007F66A7" w:rsidRDefault="000C414C" w:rsidP="000C414C">
            <w:pPr>
              <w:pStyle w:val="COMTabletext"/>
              <w:keepNext w:val="0"/>
              <w:jc w:val="center"/>
            </w:pPr>
            <w:r w:rsidRPr="00963BD6">
              <w:t>0.512</w:t>
            </w:r>
          </w:p>
        </w:tc>
        <w:tc>
          <w:tcPr>
            <w:tcW w:w="593" w:type="pct"/>
            <w:vAlign w:val="center"/>
          </w:tcPr>
          <w:p w14:paraId="4CBBDC8F" w14:textId="0DDFCF8D" w:rsidR="000C414C" w:rsidRPr="007210CC" w:rsidRDefault="000C414C" w:rsidP="000C414C">
            <w:pPr>
              <w:pStyle w:val="COMTabletext"/>
              <w:keepNext w:val="0"/>
              <w:jc w:val="center"/>
              <w:rPr>
                <w:vertAlign w:val="superscript"/>
              </w:rPr>
            </w:pPr>
            <w:r w:rsidRPr="00963BD6">
              <w:t>$</w:t>
            </w:r>
            <w:r w:rsidR="00AA4CCB" w:rsidRPr="00AA4CCB">
              <w:rPr>
                <w:color w:val="000000"/>
                <w:spacing w:val="48"/>
                <w:shd w:val="solid" w:color="000000" w:fill="000000"/>
                <w:fitText w:val="315" w:id="-628904704"/>
                <w14:textFill>
                  <w14:solidFill>
                    <w14:srgbClr w14:val="000000">
                      <w14:alpha w14:val="100000"/>
                    </w14:srgbClr>
                  </w14:solidFill>
                </w14:textFill>
              </w:rPr>
              <w:t>|||</w:t>
            </w:r>
            <w:r w:rsidR="00AA4CCB" w:rsidRPr="00AA4CCB">
              <w:rPr>
                <w:color w:val="000000"/>
                <w:spacing w:val="1"/>
                <w:shd w:val="solid" w:color="000000" w:fill="000000"/>
                <w:fitText w:val="315" w:id="-628904704"/>
                <w14:textFill>
                  <w14:solidFill>
                    <w14:srgbClr w14:val="000000">
                      <w14:alpha w14:val="100000"/>
                    </w14:srgbClr>
                  </w14:solidFill>
                </w14:textFill>
              </w:rPr>
              <w:t>|</w:t>
            </w:r>
            <w:r w:rsidR="007210CC">
              <w:rPr>
                <w:vertAlign w:val="superscript"/>
              </w:rPr>
              <w:t>1</w:t>
            </w:r>
          </w:p>
        </w:tc>
        <w:tc>
          <w:tcPr>
            <w:tcW w:w="632" w:type="pct"/>
            <w:vAlign w:val="center"/>
          </w:tcPr>
          <w:p w14:paraId="5E092780" w14:textId="14F2669D" w:rsidR="000C414C" w:rsidRPr="007F66A7" w:rsidRDefault="00AA4CCB" w:rsidP="000C414C">
            <w:pPr>
              <w:pStyle w:val="COMTabletext"/>
              <w:keepNext w:val="0"/>
              <w:jc w:val="center"/>
            </w:pPr>
            <w:r w:rsidRPr="00AA4CCB">
              <w:rPr>
                <w:color w:val="000000"/>
                <w:spacing w:val="53"/>
                <w:shd w:val="solid" w:color="000000" w:fill="000000"/>
                <w:fitText w:val="330" w:id="-628904703"/>
                <w14:textFill>
                  <w14:solidFill>
                    <w14:srgbClr w14:val="000000">
                      <w14:alpha w14:val="100000"/>
                    </w14:srgbClr>
                  </w14:solidFill>
                </w14:textFill>
              </w:rPr>
              <w:t>|||</w:t>
            </w:r>
            <w:r w:rsidRPr="00AA4CCB">
              <w:rPr>
                <w:color w:val="000000"/>
                <w:spacing w:val="1"/>
                <w:shd w:val="solid" w:color="000000" w:fill="000000"/>
                <w:fitText w:val="330" w:id="-628904703"/>
                <w14:textFill>
                  <w14:solidFill>
                    <w14:srgbClr w14:val="000000">
                      <w14:alpha w14:val="100000"/>
                    </w14:srgbClr>
                  </w14:solidFill>
                </w14:textFill>
              </w:rPr>
              <w:t>|</w:t>
            </w:r>
            <w:r w:rsidR="000C414C" w:rsidRPr="00963BD6">
              <w:t>%</w:t>
            </w:r>
          </w:p>
        </w:tc>
      </w:tr>
      <w:tr w:rsidR="002F79B7" w:rsidRPr="007F66A7" w14:paraId="315DAA6E" w14:textId="77777777" w:rsidTr="000C414C">
        <w:trPr>
          <w:cantSplit/>
        </w:trPr>
        <w:tc>
          <w:tcPr>
            <w:tcW w:w="2521" w:type="pct"/>
          </w:tcPr>
          <w:p w14:paraId="7FACDC16" w14:textId="77777777" w:rsidR="002F79B7" w:rsidRPr="007F66A7" w:rsidRDefault="002F79B7" w:rsidP="002F79B7">
            <w:pPr>
              <w:pStyle w:val="COMTabletext"/>
              <w:keepNext w:val="0"/>
            </w:pPr>
            <w:r w:rsidRPr="007F66A7">
              <w:t xml:space="preserve">Subsequent line treatment health state utilities based on disease progression utility from the ECHELON-1 regression model </w:t>
            </w:r>
            <w:r w:rsidRPr="007F66A7">
              <w:rPr>
                <w:u w:val="single"/>
              </w:rPr>
              <w:t>without</w:t>
            </w:r>
            <w:r w:rsidRPr="007F66A7">
              <w:t xml:space="preserve"> time since randomisation covariate (0.8037)</w:t>
            </w:r>
          </w:p>
        </w:tc>
        <w:tc>
          <w:tcPr>
            <w:tcW w:w="660" w:type="pct"/>
            <w:vAlign w:val="center"/>
          </w:tcPr>
          <w:p w14:paraId="25844216" w14:textId="68AEB325" w:rsidR="002F79B7" w:rsidRPr="007F66A7" w:rsidRDefault="002F79B7" w:rsidP="002F79B7">
            <w:pPr>
              <w:pStyle w:val="COMTabletext"/>
              <w:keepNext w:val="0"/>
              <w:jc w:val="center"/>
            </w:pPr>
            <w:r w:rsidRPr="007F66A7">
              <w:t>$</w:t>
            </w:r>
            <w:r w:rsidR="00AA4CCB" w:rsidRPr="00AA4CCB">
              <w:rPr>
                <w:color w:val="000000"/>
                <w:spacing w:val="48"/>
                <w:shd w:val="solid" w:color="000000" w:fill="000000"/>
                <w:fitText w:val="315" w:id="-628904702"/>
                <w14:textFill>
                  <w14:solidFill>
                    <w14:srgbClr w14:val="000000">
                      <w14:alpha w14:val="100000"/>
                    </w14:srgbClr>
                  </w14:solidFill>
                </w14:textFill>
              </w:rPr>
              <w:t>|||</w:t>
            </w:r>
            <w:r w:rsidR="00AA4CCB" w:rsidRPr="00AA4CCB">
              <w:rPr>
                <w:color w:val="000000"/>
                <w:spacing w:val="1"/>
                <w:shd w:val="solid" w:color="000000" w:fill="000000"/>
                <w:fitText w:val="315" w:id="-628904702"/>
                <w14:textFill>
                  <w14:solidFill>
                    <w14:srgbClr w14:val="000000">
                      <w14:alpha w14:val="100000"/>
                    </w14:srgbClr>
                  </w14:solidFill>
                </w14:textFill>
              </w:rPr>
              <w:t>|</w:t>
            </w:r>
          </w:p>
        </w:tc>
        <w:tc>
          <w:tcPr>
            <w:tcW w:w="594" w:type="pct"/>
            <w:vAlign w:val="center"/>
          </w:tcPr>
          <w:p w14:paraId="5DE816D7" w14:textId="77777777" w:rsidR="002F79B7" w:rsidRPr="007F66A7" w:rsidRDefault="002F79B7" w:rsidP="002F79B7">
            <w:pPr>
              <w:pStyle w:val="COMTabletext"/>
              <w:keepNext w:val="0"/>
              <w:jc w:val="center"/>
            </w:pPr>
            <w:r w:rsidRPr="007F66A7">
              <w:t>0.643</w:t>
            </w:r>
          </w:p>
        </w:tc>
        <w:tc>
          <w:tcPr>
            <w:tcW w:w="593" w:type="pct"/>
            <w:vAlign w:val="center"/>
          </w:tcPr>
          <w:p w14:paraId="2BC10F92" w14:textId="0C0652DD" w:rsidR="002F79B7" w:rsidRPr="007210CC" w:rsidRDefault="002F79B7" w:rsidP="002F79B7">
            <w:pPr>
              <w:pStyle w:val="COMTabletext"/>
              <w:keepNext w:val="0"/>
              <w:jc w:val="center"/>
              <w:rPr>
                <w:vertAlign w:val="superscript"/>
              </w:rPr>
            </w:pPr>
            <w:r w:rsidRPr="007F66A7">
              <w:t>$</w:t>
            </w:r>
            <w:r w:rsidR="00AA4CCB" w:rsidRPr="00AA4CCB">
              <w:rPr>
                <w:color w:val="000000"/>
                <w:spacing w:val="48"/>
                <w:shd w:val="solid" w:color="000000" w:fill="000000"/>
                <w:fitText w:val="315" w:id="-628904701"/>
                <w14:textFill>
                  <w14:solidFill>
                    <w14:srgbClr w14:val="000000">
                      <w14:alpha w14:val="100000"/>
                    </w14:srgbClr>
                  </w14:solidFill>
                </w14:textFill>
              </w:rPr>
              <w:t>|||</w:t>
            </w:r>
            <w:r w:rsidR="00AA4CCB" w:rsidRPr="00AA4CCB">
              <w:rPr>
                <w:color w:val="000000"/>
                <w:spacing w:val="1"/>
                <w:shd w:val="solid" w:color="000000" w:fill="000000"/>
                <w:fitText w:val="315" w:id="-628904701"/>
                <w14:textFill>
                  <w14:solidFill>
                    <w14:srgbClr w14:val="000000">
                      <w14:alpha w14:val="100000"/>
                    </w14:srgbClr>
                  </w14:solidFill>
                </w14:textFill>
              </w:rPr>
              <w:t>|</w:t>
            </w:r>
            <w:r w:rsidR="007210CC">
              <w:rPr>
                <w:vertAlign w:val="superscript"/>
              </w:rPr>
              <w:t>1</w:t>
            </w:r>
          </w:p>
        </w:tc>
        <w:tc>
          <w:tcPr>
            <w:tcW w:w="632" w:type="pct"/>
            <w:vAlign w:val="center"/>
          </w:tcPr>
          <w:p w14:paraId="287F293C" w14:textId="7578649B" w:rsidR="002F79B7" w:rsidRPr="007F66A7" w:rsidRDefault="002F79B7" w:rsidP="002F79B7">
            <w:pPr>
              <w:pStyle w:val="COMTabletext"/>
              <w:keepNext w:val="0"/>
              <w:jc w:val="center"/>
            </w:pPr>
            <w:r w:rsidRPr="007F66A7">
              <w:t>+</w:t>
            </w:r>
            <w:r w:rsidR="00AA4CCB" w:rsidRPr="00AA4CCB">
              <w:rPr>
                <w:color w:val="000000"/>
                <w:spacing w:val="53"/>
                <w:shd w:val="solid" w:color="000000" w:fill="000000"/>
                <w:fitText w:val="330" w:id="-628904700"/>
                <w14:textFill>
                  <w14:solidFill>
                    <w14:srgbClr w14:val="000000">
                      <w14:alpha w14:val="100000"/>
                    </w14:srgbClr>
                  </w14:solidFill>
                </w14:textFill>
              </w:rPr>
              <w:t>|||</w:t>
            </w:r>
            <w:r w:rsidR="00AA4CCB" w:rsidRPr="00AA4CCB">
              <w:rPr>
                <w:color w:val="000000"/>
                <w:spacing w:val="1"/>
                <w:shd w:val="solid" w:color="000000" w:fill="000000"/>
                <w:fitText w:val="330" w:id="-628904700"/>
                <w14:textFill>
                  <w14:solidFill>
                    <w14:srgbClr w14:val="000000">
                      <w14:alpha w14:val="100000"/>
                    </w14:srgbClr>
                  </w14:solidFill>
                </w14:textFill>
              </w:rPr>
              <w:t>|</w:t>
            </w:r>
            <w:r w:rsidRPr="007F66A7">
              <w:t>%</w:t>
            </w:r>
          </w:p>
        </w:tc>
      </w:tr>
      <w:tr w:rsidR="002F79B7" w:rsidRPr="007F66A7" w14:paraId="3DD41F09" w14:textId="77777777" w:rsidTr="000C414C">
        <w:trPr>
          <w:cantSplit/>
        </w:trPr>
        <w:tc>
          <w:tcPr>
            <w:tcW w:w="2521" w:type="pct"/>
          </w:tcPr>
          <w:p w14:paraId="71600A4F" w14:textId="77777777" w:rsidR="002F79B7" w:rsidRPr="007F66A7" w:rsidRDefault="002F79B7" w:rsidP="002F79B7">
            <w:pPr>
              <w:pStyle w:val="COMTabletext"/>
              <w:keepNext w:val="0"/>
            </w:pPr>
            <w:r w:rsidRPr="007F66A7">
              <w:t xml:space="preserve">Subsequent line treatment health state utilities based on disease progression utility from the ECHELON-1 regression model </w:t>
            </w:r>
            <w:r w:rsidRPr="007F66A7">
              <w:rPr>
                <w:u w:val="single"/>
              </w:rPr>
              <w:t>with</w:t>
            </w:r>
            <w:r w:rsidRPr="007F66A7">
              <w:t xml:space="preserve"> time since randomisation covariate (0.7729)</w:t>
            </w:r>
          </w:p>
        </w:tc>
        <w:tc>
          <w:tcPr>
            <w:tcW w:w="660" w:type="pct"/>
            <w:vAlign w:val="center"/>
          </w:tcPr>
          <w:p w14:paraId="0C787C6D" w14:textId="63E6CC8A" w:rsidR="002F79B7" w:rsidRPr="007F66A7" w:rsidRDefault="002F79B7" w:rsidP="002F79B7">
            <w:pPr>
              <w:pStyle w:val="COMTabletext"/>
              <w:keepNext w:val="0"/>
              <w:jc w:val="center"/>
            </w:pPr>
            <w:r w:rsidRPr="007F66A7">
              <w:t>$</w:t>
            </w:r>
            <w:r w:rsidR="00AA4CCB" w:rsidRPr="00AA4CCB">
              <w:rPr>
                <w:color w:val="000000"/>
                <w:spacing w:val="48"/>
                <w:shd w:val="solid" w:color="000000" w:fill="000000"/>
                <w:fitText w:val="315" w:id="-628904699"/>
                <w14:textFill>
                  <w14:solidFill>
                    <w14:srgbClr w14:val="000000">
                      <w14:alpha w14:val="100000"/>
                    </w14:srgbClr>
                  </w14:solidFill>
                </w14:textFill>
              </w:rPr>
              <w:t>|||</w:t>
            </w:r>
            <w:r w:rsidR="00AA4CCB" w:rsidRPr="00AA4CCB">
              <w:rPr>
                <w:color w:val="000000"/>
                <w:spacing w:val="1"/>
                <w:shd w:val="solid" w:color="000000" w:fill="000000"/>
                <w:fitText w:val="315" w:id="-628904699"/>
                <w14:textFill>
                  <w14:solidFill>
                    <w14:srgbClr w14:val="000000">
                      <w14:alpha w14:val="100000"/>
                    </w14:srgbClr>
                  </w14:solidFill>
                </w14:textFill>
              </w:rPr>
              <w:t>|</w:t>
            </w:r>
          </w:p>
        </w:tc>
        <w:tc>
          <w:tcPr>
            <w:tcW w:w="594" w:type="pct"/>
            <w:vAlign w:val="center"/>
          </w:tcPr>
          <w:p w14:paraId="054A21AA" w14:textId="77777777" w:rsidR="002F79B7" w:rsidRPr="007F66A7" w:rsidRDefault="002F79B7" w:rsidP="002F79B7">
            <w:pPr>
              <w:pStyle w:val="COMTabletext"/>
              <w:keepNext w:val="0"/>
              <w:jc w:val="center"/>
            </w:pPr>
            <w:r w:rsidRPr="007F66A7">
              <w:t>0.531</w:t>
            </w:r>
          </w:p>
        </w:tc>
        <w:tc>
          <w:tcPr>
            <w:tcW w:w="593" w:type="pct"/>
            <w:vAlign w:val="center"/>
          </w:tcPr>
          <w:p w14:paraId="07FA35DA" w14:textId="43E65246" w:rsidR="002F79B7" w:rsidRPr="007210CC" w:rsidRDefault="002F79B7" w:rsidP="002F79B7">
            <w:pPr>
              <w:pStyle w:val="COMTabletext"/>
              <w:keepNext w:val="0"/>
              <w:jc w:val="center"/>
              <w:rPr>
                <w:vertAlign w:val="superscript"/>
              </w:rPr>
            </w:pPr>
            <w:r w:rsidRPr="007F66A7">
              <w:t>$</w:t>
            </w:r>
            <w:r w:rsidR="00AA4CCB" w:rsidRPr="00AA4CCB">
              <w:rPr>
                <w:color w:val="000000"/>
                <w:spacing w:val="48"/>
                <w:shd w:val="solid" w:color="000000" w:fill="000000"/>
                <w:fitText w:val="315" w:id="-628904698"/>
                <w14:textFill>
                  <w14:solidFill>
                    <w14:srgbClr w14:val="000000">
                      <w14:alpha w14:val="100000"/>
                    </w14:srgbClr>
                  </w14:solidFill>
                </w14:textFill>
              </w:rPr>
              <w:t>|||</w:t>
            </w:r>
            <w:r w:rsidR="00AA4CCB" w:rsidRPr="00AA4CCB">
              <w:rPr>
                <w:color w:val="000000"/>
                <w:spacing w:val="1"/>
                <w:shd w:val="solid" w:color="000000" w:fill="000000"/>
                <w:fitText w:val="315" w:id="-628904698"/>
                <w14:textFill>
                  <w14:solidFill>
                    <w14:srgbClr w14:val="000000">
                      <w14:alpha w14:val="100000"/>
                    </w14:srgbClr>
                  </w14:solidFill>
                </w14:textFill>
              </w:rPr>
              <w:t>|</w:t>
            </w:r>
            <w:r w:rsidR="007210CC">
              <w:rPr>
                <w:vertAlign w:val="superscript"/>
              </w:rPr>
              <w:t>1</w:t>
            </w:r>
          </w:p>
        </w:tc>
        <w:tc>
          <w:tcPr>
            <w:tcW w:w="632" w:type="pct"/>
            <w:vAlign w:val="center"/>
          </w:tcPr>
          <w:p w14:paraId="24F09D6D" w14:textId="02238F6F" w:rsidR="002F79B7" w:rsidRPr="007F66A7" w:rsidRDefault="002F79B7" w:rsidP="002F79B7">
            <w:pPr>
              <w:pStyle w:val="COMTabletext"/>
              <w:keepNext w:val="0"/>
              <w:jc w:val="center"/>
            </w:pPr>
            <w:r w:rsidRPr="007F66A7">
              <w:t>+</w:t>
            </w:r>
            <w:r w:rsidR="00AA4CCB" w:rsidRPr="00AA4CCB">
              <w:rPr>
                <w:color w:val="000000"/>
                <w:spacing w:val="53"/>
                <w:shd w:val="solid" w:color="000000" w:fill="000000"/>
                <w:fitText w:val="330" w:id="-628904697"/>
                <w14:textFill>
                  <w14:solidFill>
                    <w14:srgbClr w14:val="000000">
                      <w14:alpha w14:val="100000"/>
                    </w14:srgbClr>
                  </w14:solidFill>
                </w14:textFill>
              </w:rPr>
              <w:t>|||</w:t>
            </w:r>
            <w:r w:rsidR="00AA4CCB" w:rsidRPr="00AA4CCB">
              <w:rPr>
                <w:color w:val="000000"/>
                <w:spacing w:val="1"/>
                <w:shd w:val="solid" w:color="000000" w:fill="000000"/>
                <w:fitText w:val="330" w:id="-628904697"/>
                <w14:textFill>
                  <w14:solidFill>
                    <w14:srgbClr w14:val="000000">
                      <w14:alpha w14:val="100000"/>
                    </w14:srgbClr>
                  </w14:solidFill>
                </w14:textFill>
              </w:rPr>
              <w:t>|</w:t>
            </w:r>
            <w:r w:rsidRPr="007F66A7">
              <w:t>%</w:t>
            </w:r>
          </w:p>
        </w:tc>
      </w:tr>
      <w:tr w:rsidR="002F79B7" w:rsidRPr="007F66A7" w14:paraId="391D16E6" w14:textId="77777777" w:rsidTr="000C414C">
        <w:trPr>
          <w:cantSplit/>
        </w:trPr>
        <w:tc>
          <w:tcPr>
            <w:tcW w:w="2521" w:type="pct"/>
          </w:tcPr>
          <w:p w14:paraId="0DB77E34" w14:textId="77777777" w:rsidR="002F79B7" w:rsidRPr="007F66A7" w:rsidRDefault="002F79B7" w:rsidP="002F79B7">
            <w:pPr>
              <w:pStyle w:val="COMTabletext"/>
              <w:keepNext w:val="0"/>
            </w:pPr>
            <w:r w:rsidRPr="007F66A7">
              <w:t>No age-related utility decrement</w:t>
            </w:r>
          </w:p>
        </w:tc>
        <w:tc>
          <w:tcPr>
            <w:tcW w:w="660" w:type="pct"/>
            <w:vAlign w:val="center"/>
          </w:tcPr>
          <w:p w14:paraId="537153E0" w14:textId="58E0BF8C" w:rsidR="002F79B7" w:rsidRPr="007F66A7" w:rsidRDefault="002F79B7" w:rsidP="002F79B7">
            <w:pPr>
              <w:pStyle w:val="COMTabletext"/>
              <w:keepNext w:val="0"/>
              <w:jc w:val="center"/>
            </w:pPr>
            <w:r w:rsidRPr="007F66A7">
              <w:t>$</w:t>
            </w:r>
            <w:r w:rsidR="00AA4CCB" w:rsidRPr="00AA4CCB">
              <w:rPr>
                <w:color w:val="000000"/>
                <w:spacing w:val="48"/>
                <w:shd w:val="solid" w:color="000000" w:fill="000000"/>
                <w:fitText w:val="315" w:id="-628904696"/>
                <w14:textFill>
                  <w14:solidFill>
                    <w14:srgbClr w14:val="000000">
                      <w14:alpha w14:val="100000"/>
                    </w14:srgbClr>
                  </w14:solidFill>
                </w14:textFill>
              </w:rPr>
              <w:t>|||</w:t>
            </w:r>
            <w:r w:rsidR="00AA4CCB" w:rsidRPr="00AA4CCB">
              <w:rPr>
                <w:color w:val="000000"/>
                <w:spacing w:val="1"/>
                <w:shd w:val="solid" w:color="000000" w:fill="000000"/>
                <w:fitText w:val="315" w:id="-628904696"/>
                <w14:textFill>
                  <w14:solidFill>
                    <w14:srgbClr w14:val="000000">
                      <w14:alpha w14:val="100000"/>
                    </w14:srgbClr>
                  </w14:solidFill>
                </w14:textFill>
              </w:rPr>
              <w:t>|</w:t>
            </w:r>
          </w:p>
        </w:tc>
        <w:tc>
          <w:tcPr>
            <w:tcW w:w="594" w:type="pct"/>
            <w:vAlign w:val="center"/>
          </w:tcPr>
          <w:p w14:paraId="3DABA10D" w14:textId="77777777" w:rsidR="002F79B7" w:rsidRPr="007F66A7" w:rsidRDefault="002F79B7" w:rsidP="002F79B7">
            <w:pPr>
              <w:pStyle w:val="COMTabletext"/>
              <w:keepNext w:val="0"/>
              <w:jc w:val="center"/>
            </w:pPr>
            <w:r w:rsidRPr="007F66A7">
              <w:t>0.566</w:t>
            </w:r>
          </w:p>
        </w:tc>
        <w:tc>
          <w:tcPr>
            <w:tcW w:w="593" w:type="pct"/>
            <w:vAlign w:val="center"/>
          </w:tcPr>
          <w:p w14:paraId="7C4E400B" w14:textId="750EB0E1" w:rsidR="002F79B7" w:rsidRPr="007210CC" w:rsidRDefault="002F79B7" w:rsidP="002F79B7">
            <w:pPr>
              <w:pStyle w:val="COMTabletext"/>
              <w:keepNext w:val="0"/>
              <w:jc w:val="center"/>
              <w:rPr>
                <w:vertAlign w:val="superscript"/>
              </w:rPr>
            </w:pPr>
            <w:r w:rsidRPr="007F66A7">
              <w:t>$</w:t>
            </w:r>
            <w:r w:rsidR="00AA4CCB" w:rsidRPr="00AA4CCB">
              <w:rPr>
                <w:color w:val="000000"/>
                <w:spacing w:val="48"/>
                <w:shd w:val="solid" w:color="000000" w:fill="000000"/>
                <w:fitText w:val="315" w:id="-628904695"/>
                <w14:textFill>
                  <w14:solidFill>
                    <w14:srgbClr w14:val="000000">
                      <w14:alpha w14:val="100000"/>
                    </w14:srgbClr>
                  </w14:solidFill>
                </w14:textFill>
              </w:rPr>
              <w:t>|||</w:t>
            </w:r>
            <w:r w:rsidR="00AA4CCB" w:rsidRPr="00AA4CCB">
              <w:rPr>
                <w:color w:val="000000"/>
                <w:spacing w:val="1"/>
                <w:shd w:val="solid" w:color="000000" w:fill="000000"/>
                <w:fitText w:val="315" w:id="-628904695"/>
                <w14:textFill>
                  <w14:solidFill>
                    <w14:srgbClr w14:val="000000">
                      <w14:alpha w14:val="100000"/>
                    </w14:srgbClr>
                  </w14:solidFill>
                </w14:textFill>
              </w:rPr>
              <w:t>|</w:t>
            </w:r>
            <w:r w:rsidR="007210CC">
              <w:rPr>
                <w:vertAlign w:val="superscript"/>
              </w:rPr>
              <w:t>1</w:t>
            </w:r>
          </w:p>
        </w:tc>
        <w:tc>
          <w:tcPr>
            <w:tcW w:w="632" w:type="pct"/>
            <w:vAlign w:val="center"/>
          </w:tcPr>
          <w:p w14:paraId="60FBDB68" w14:textId="22AFC1C0" w:rsidR="002F79B7" w:rsidRPr="007F66A7" w:rsidRDefault="002F79B7" w:rsidP="002F79B7">
            <w:pPr>
              <w:pStyle w:val="COMTabletext"/>
              <w:keepNext w:val="0"/>
              <w:jc w:val="center"/>
            </w:pPr>
            <w:r w:rsidRPr="007F66A7">
              <w:t>-</w:t>
            </w:r>
            <w:r w:rsidR="00AA4CCB">
              <w:rPr>
                <w:color w:val="000000"/>
                <w:spacing w:val="52"/>
                <w:shd w:val="solid" w:color="000000" w:fill="000000"/>
                <w:fitText w:val="330" w:id="-628904694"/>
                <w14:textFill>
                  <w14:solidFill>
                    <w14:srgbClr w14:val="000000">
                      <w14:alpha w14:val="100000"/>
                    </w14:srgbClr>
                  </w14:solidFill>
                </w14:textFill>
              </w:rPr>
              <w:t>|||</w:t>
            </w:r>
            <w:r w:rsidR="00AA4CCB">
              <w:rPr>
                <w:color w:val="000000"/>
                <w:spacing w:val="2"/>
                <w:shd w:val="solid" w:color="000000" w:fill="000000"/>
                <w:fitText w:val="330" w:id="-628904694"/>
                <w14:textFill>
                  <w14:solidFill>
                    <w14:srgbClr w14:val="000000">
                      <w14:alpha w14:val="100000"/>
                    </w14:srgbClr>
                  </w14:solidFill>
                </w14:textFill>
              </w:rPr>
              <w:t>|</w:t>
            </w:r>
            <w:r w:rsidRPr="007F66A7">
              <w:t>%</w:t>
            </w:r>
          </w:p>
        </w:tc>
      </w:tr>
    </w:tbl>
    <w:p w14:paraId="5679D437" w14:textId="6163B3D4" w:rsidR="00316950" w:rsidRPr="007F66A7" w:rsidRDefault="00316950" w:rsidP="00316950">
      <w:pPr>
        <w:pStyle w:val="COMTablefooter"/>
        <w:rPr>
          <w:rStyle w:val="COMtablefigcaptionChar"/>
          <w:rFonts w:cs="Arial"/>
          <w:b w:val="0"/>
          <w:bCs w:val="0"/>
          <w:szCs w:val="22"/>
        </w:rPr>
      </w:pPr>
      <w:r w:rsidRPr="007F66A7">
        <w:rPr>
          <w:rStyle w:val="COMtablefigcaptionChar"/>
          <w:rFonts w:cs="Arial"/>
          <w:b w:val="0"/>
          <w:bCs w:val="0"/>
          <w:szCs w:val="22"/>
        </w:rPr>
        <w:t>Source: Table 3.31, p261 and the Section 3 economic model of the resubmission</w:t>
      </w:r>
      <w:r w:rsidR="000C414C">
        <w:rPr>
          <w:rStyle w:val="COMtablefigcaptionChar"/>
          <w:rFonts w:cs="Arial"/>
          <w:b w:val="0"/>
          <w:bCs w:val="0"/>
          <w:szCs w:val="22"/>
        </w:rPr>
        <w:t xml:space="preserve">, </w:t>
      </w:r>
      <w:r w:rsidR="00D35240">
        <w:rPr>
          <w:rStyle w:val="COMtablefigcaptionChar"/>
          <w:rFonts w:cs="Arial"/>
          <w:b w:val="0"/>
          <w:bCs w:val="0"/>
          <w:szCs w:val="22"/>
          <w:vertAlign w:val="superscript"/>
        </w:rPr>
        <w:t xml:space="preserve">a </w:t>
      </w:r>
      <w:r w:rsidR="000C414C">
        <w:rPr>
          <w:rStyle w:val="COMtablefigcaptionChar"/>
          <w:rFonts w:cs="Arial"/>
          <w:b w:val="0"/>
          <w:bCs w:val="0"/>
          <w:szCs w:val="22"/>
        </w:rPr>
        <w:t xml:space="preserve">Table </w:t>
      </w:r>
      <w:r w:rsidR="00D35240">
        <w:rPr>
          <w:rStyle w:val="COMtablefigcaptionChar"/>
          <w:rFonts w:cs="Arial"/>
          <w:b w:val="0"/>
          <w:bCs w:val="0"/>
          <w:szCs w:val="22"/>
        </w:rPr>
        <w:t>1 pre-PBAC response</w:t>
      </w:r>
    </w:p>
    <w:p w14:paraId="3AD0F822" w14:textId="62CE30A9" w:rsidR="00563335" w:rsidRDefault="00316950" w:rsidP="00512CEF">
      <w:pPr>
        <w:pStyle w:val="COMTablefooter"/>
        <w:spacing w:after="0"/>
        <w:rPr>
          <w:rStyle w:val="COMtablefigcaptionChar"/>
          <w:rFonts w:cs="Arial"/>
          <w:b w:val="0"/>
          <w:bCs w:val="0"/>
          <w:szCs w:val="22"/>
        </w:rPr>
      </w:pPr>
      <w:r w:rsidRPr="007F66A7">
        <w:rPr>
          <w:rStyle w:val="COMtablefigcaptionChar"/>
          <w:rFonts w:cs="Arial"/>
          <w:b w:val="0"/>
          <w:bCs w:val="0"/>
          <w:szCs w:val="22"/>
        </w:rPr>
        <w:t xml:space="preserve">Abbreviations: </w:t>
      </w:r>
      <w:r w:rsidR="005954C1" w:rsidRPr="007F66A7">
        <w:rPr>
          <w:rStyle w:val="COMtablefigcaptionChar"/>
          <w:rFonts w:cs="Arial"/>
          <w:b w:val="0"/>
          <w:bCs w:val="0"/>
          <w:szCs w:val="22"/>
        </w:rPr>
        <w:t>1L, First-line; 2L, Second-line;</w:t>
      </w:r>
      <w:r w:rsidR="00E76F6E" w:rsidRPr="007F66A7">
        <w:rPr>
          <w:rStyle w:val="COMtablefigcaptionChar"/>
          <w:rFonts w:cs="Arial"/>
          <w:b w:val="0"/>
          <w:bCs w:val="0"/>
          <w:szCs w:val="22"/>
        </w:rPr>
        <w:t xml:space="preserve"> 3L, Third-line;</w:t>
      </w:r>
      <w:r w:rsidR="005954C1" w:rsidRPr="007F66A7">
        <w:rPr>
          <w:rStyle w:val="COMtablefigcaptionChar"/>
          <w:rFonts w:cs="Arial"/>
          <w:b w:val="0"/>
          <w:bCs w:val="0"/>
          <w:szCs w:val="22"/>
        </w:rPr>
        <w:t xml:space="preserve"> </w:t>
      </w:r>
      <w:r w:rsidRPr="007F66A7">
        <w:rPr>
          <w:rStyle w:val="COMtablefigcaptionChar"/>
          <w:rFonts w:cs="Arial"/>
          <w:b w:val="0"/>
          <w:bCs w:val="0"/>
          <w:szCs w:val="22"/>
        </w:rPr>
        <w:t xml:space="preserve">A+AVD, brentuximab vedotin plus doxorubicin, vinblastine, dacarbazine; ABVD, doxorubicin, bleomycin, vinblastine, and dacarbazine; ASCT, autologous stem cell transplant; </w:t>
      </w:r>
      <w:r w:rsidR="004E7EFC" w:rsidRPr="007F66A7">
        <w:t xml:space="preserve">DHAP, dexamethasone, high dose cytarabine, cisplatin; </w:t>
      </w:r>
      <w:r w:rsidRPr="007F66A7">
        <w:rPr>
          <w:rStyle w:val="COMtablefigcaptionChar"/>
          <w:rFonts w:cs="Arial"/>
          <w:b w:val="0"/>
          <w:bCs w:val="0"/>
          <w:szCs w:val="22"/>
        </w:rPr>
        <w:t xml:space="preserve">ICE, </w:t>
      </w:r>
      <w:proofErr w:type="spellStart"/>
      <w:r w:rsidRPr="007F66A7">
        <w:rPr>
          <w:rStyle w:val="COMtablefigcaptionChar"/>
          <w:rFonts w:cs="Arial"/>
          <w:b w:val="0"/>
          <w:bCs w:val="0"/>
          <w:szCs w:val="22"/>
        </w:rPr>
        <w:t>ifosfamide</w:t>
      </w:r>
      <w:proofErr w:type="spellEnd"/>
      <w:r w:rsidRPr="007F66A7">
        <w:rPr>
          <w:rStyle w:val="COMtablefigcaptionChar"/>
          <w:rFonts w:cs="Arial"/>
          <w:b w:val="0"/>
          <w:bCs w:val="0"/>
          <w:szCs w:val="22"/>
        </w:rPr>
        <w:t>, carboplatin, etoposide; PET, positron emission tomography; SMR, standardised mortality ratio</w:t>
      </w:r>
    </w:p>
    <w:p w14:paraId="350DBE7B" w14:textId="77777777" w:rsidR="00512CEF" w:rsidRPr="00512CEF" w:rsidRDefault="00512CEF" w:rsidP="00512CEF">
      <w:pPr>
        <w:jc w:val="left"/>
        <w:rPr>
          <w:rFonts w:ascii="Arial Narrow" w:hAnsi="Arial Narrow"/>
          <w:i/>
          <w:sz w:val="18"/>
          <w:szCs w:val="18"/>
        </w:rPr>
      </w:pPr>
      <w:r w:rsidRPr="00512CEF">
        <w:rPr>
          <w:rFonts w:ascii="Arial Narrow" w:hAnsi="Arial Narrow"/>
          <w:i/>
          <w:sz w:val="18"/>
          <w:szCs w:val="18"/>
        </w:rPr>
        <w:t xml:space="preserve">The redacted values correspond to the following ranges: </w:t>
      </w:r>
    </w:p>
    <w:p w14:paraId="6B5134F8" w14:textId="20B104FC" w:rsidR="00512CEF" w:rsidRPr="00512CEF" w:rsidRDefault="00512CEF" w:rsidP="00512CEF">
      <w:pPr>
        <w:jc w:val="left"/>
        <w:rPr>
          <w:rFonts w:ascii="Arial Narrow" w:hAnsi="Arial Narrow"/>
          <w:i/>
          <w:sz w:val="18"/>
          <w:szCs w:val="18"/>
        </w:rPr>
      </w:pPr>
      <w:r w:rsidRPr="00512CEF">
        <w:rPr>
          <w:rFonts w:ascii="Arial Narrow" w:hAnsi="Arial Narrow"/>
          <w:i/>
          <w:sz w:val="18"/>
          <w:szCs w:val="18"/>
          <w:vertAlign w:val="superscript"/>
        </w:rPr>
        <w:t>1</w:t>
      </w:r>
      <w:r w:rsidRPr="00512CEF">
        <w:rPr>
          <w:rFonts w:ascii="Arial Narrow" w:hAnsi="Arial Narrow"/>
          <w:i/>
          <w:sz w:val="18"/>
          <w:szCs w:val="18"/>
        </w:rPr>
        <w:t xml:space="preserve"> </w:t>
      </w:r>
      <w:r w:rsidR="001F69BB" w:rsidRPr="001F69BB">
        <w:rPr>
          <w:rFonts w:ascii="Arial Narrow" w:hAnsi="Arial Narrow"/>
          <w:i/>
          <w:sz w:val="18"/>
          <w:szCs w:val="18"/>
        </w:rPr>
        <w:t xml:space="preserve">$55,000 to &lt; $75,000 </w:t>
      </w:r>
    </w:p>
    <w:p w14:paraId="256A0874" w14:textId="4DE675DA" w:rsidR="00512CEF" w:rsidRPr="00512CEF" w:rsidRDefault="00512CEF" w:rsidP="00512CEF">
      <w:pPr>
        <w:jc w:val="left"/>
        <w:rPr>
          <w:rFonts w:ascii="Arial Narrow" w:hAnsi="Arial Narrow"/>
          <w:i/>
          <w:sz w:val="18"/>
          <w:szCs w:val="18"/>
        </w:rPr>
      </w:pPr>
      <w:r w:rsidRPr="00512CEF">
        <w:rPr>
          <w:rFonts w:ascii="Arial Narrow" w:hAnsi="Arial Narrow"/>
          <w:i/>
          <w:sz w:val="18"/>
          <w:szCs w:val="18"/>
          <w:vertAlign w:val="superscript"/>
        </w:rPr>
        <w:t>2</w:t>
      </w:r>
      <w:r w:rsidRPr="00512CEF">
        <w:rPr>
          <w:rFonts w:ascii="Arial Narrow" w:hAnsi="Arial Narrow"/>
          <w:i/>
          <w:sz w:val="18"/>
          <w:szCs w:val="18"/>
        </w:rPr>
        <w:t xml:space="preserve"> </w:t>
      </w:r>
      <w:r w:rsidR="00826EB3" w:rsidRPr="00826EB3">
        <w:rPr>
          <w:rFonts w:ascii="Arial Narrow" w:hAnsi="Arial Narrow"/>
          <w:i/>
          <w:sz w:val="18"/>
          <w:szCs w:val="18"/>
        </w:rPr>
        <w:t>$15,000 to &lt; $25,000</w:t>
      </w:r>
    </w:p>
    <w:p w14:paraId="19F1EBF3" w14:textId="77777777" w:rsidR="0032034F" w:rsidRDefault="00512CEF" w:rsidP="00512CEF">
      <w:pPr>
        <w:jc w:val="left"/>
        <w:rPr>
          <w:rFonts w:ascii="Arial Narrow" w:hAnsi="Arial Narrow"/>
          <w:i/>
          <w:sz w:val="18"/>
          <w:szCs w:val="18"/>
        </w:rPr>
      </w:pPr>
      <w:r w:rsidRPr="00512CEF">
        <w:rPr>
          <w:rFonts w:ascii="Arial Narrow" w:hAnsi="Arial Narrow"/>
          <w:i/>
          <w:sz w:val="18"/>
          <w:szCs w:val="18"/>
          <w:vertAlign w:val="superscript"/>
        </w:rPr>
        <w:t>3</w:t>
      </w:r>
      <w:r w:rsidR="00997F8F">
        <w:rPr>
          <w:rFonts w:ascii="Arial Narrow" w:hAnsi="Arial Narrow"/>
          <w:i/>
          <w:sz w:val="18"/>
          <w:szCs w:val="18"/>
          <w:vertAlign w:val="superscript"/>
        </w:rPr>
        <w:t xml:space="preserve"> </w:t>
      </w:r>
      <w:r w:rsidR="00997F8F" w:rsidRPr="00997F8F">
        <w:rPr>
          <w:rFonts w:ascii="Arial Narrow" w:hAnsi="Arial Narrow"/>
          <w:i/>
          <w:sz w:val="18"/>
          <w:szCs w:val="18"/>
        </w:rPr>
        <w:t>$45,000 to &lt; $55,000</w:t>
      </w:r>
    </w:p>
    <w:p w14:paraId="3214DD29" w14:textId="40FB74B3" w:rsidR="00512CEF" w:rsidRPr="00512CEF" w:rsidRDefault="0032034F" w:rsidP="00512CEF">
      <w:pPr>
        <w:jc w:val="left"/>
        <w:rPr>
          <w:rFonts w:ascii="Arial Narrow" w:hAnsi="Arial Narrow"/>
          <w:i/>
          <w:sz w:val="18"/>
          <w:szCs w:val="18"/>
        </w:rPr>
      </w:pPr>
      <w:r>
        <w:rPr>
          <w:rFonts w:ascii="Arial Narrow" w:hAnsi="Arial Narrow"/>
          <w:i/>
          <w:sz w:val="18"/>
          <w:szCs w:val="18"/>
          <w:vertAlign w:val="superscript"/>
        </w:rPr>
        <w:t xml:space="preserve">4 </w:t>
      </w:r>
      <w:r w:rsidR="00F215C7" w:rsidRPr="00F215C7">
        <w:rPr>
          <w:rFonts w:ascii="Arial Narrow" w:hAnsi="Arial Narrow"/>
          <w:i/>
          <w:sz w:val="18"/>
          <w:szCs w:val="18"/>
        </w:rPr>
        <w:t>$155,000 to &lt; $255,000</w:t>
      </w:r>
    </w:p>
    <w:p w14:paraId="40EE8AE9" w14:textId="652DDA4E" w:rsidR="00D41D20" w:rsidRDefault="0032034F" w:rsidP="00D41D20">
      <w:pPr>
        <w:jc w:val="left"/>
        <w:rPr>
          <w:rFonts w:ascii="Arial Narrow" w:hAnsi="Arial Narrow"/>
          <w:i/>
          <w:sz w:val="18"/>
          <w:szCs w:val="18"/>
        </w:rPr>
      </w:pPr>
      <w:r>
        <w:rPr>
          <w:rFonts w:ascii="Arial Narrow" w:hAnsi="Arial Narrow"/>
          <w:i/>
          <w:sz w:val="18"/>
          <w:szCs w:val="18"/>
          <w:vertAlign w:val="superscript"/>
        </w:rPr>
        <w:lastRenderedPageBreak/>
        <w:t>5</w:t>
      </w:r>
      <w:r w:rsidR="00512CEF" w:rsidRPr="00512CEF">
        <w:rPr>
          <w:rFonts w:ascii="Arial Narrow" w:hAnsi="Arial Narrow"/>
          <w:i/>
          <w:sz w:val="18"/>
          <w:szCs w:val="18"/>
        </w:rPr>
        <w:t xml:space="preserve"> </w:t>
      </w:r>
      <w:r w:rsidR="00D41D20" w:rsidRPr="00D41D20">
        <w:rPr>
          <w:rFonts w:ascii="Arial Narrow" w:hAnsi="Arial Narrow"/>
          <w:i/>
          <w:sz w:val="18"/>
          <w:szCs w:val="18"/>
        </w:rPr>
        <w:t xml:space="preserve">$95,000 to &lt; $115,000 </w:t>
      </w:r>
    </w:p>
    <w:p w14:paraId="291EEF61" w14:textId="77777777" w:rsidR="006F23DF" w:rsidRDefault="006F23DF" w:rsidP="006F23DF">
      <w:pPr>
        <w:jc w:val="left"/>
        <w:rPr>
          <w:rFonts w:ascii="Arial Narrow" w:hAnsi="Arial Narrow"/>
          <w:i/>
          <w:sz w:val="18"/>
          <w:szCs w:val="18"/>
        </w:rPr>
      </w:pPr>
      <w:r>
        <w:rPr>
          <w:rFonts w:ascii="Arial Narrow" w:hAnsi="Arial Narrow"/>
          <w:i/>
          <w:sz w:val="18"/>
          <w:szCs w:val="18"/>
          <w:vertAlign w:val="superscript"/>
        </w:rPr>
        <w:t xml:space="preserve">6 </w:t>
      </w:r>
      <w:r w:rsidRPr="006F23DF">
        <w:rPr>
          <w:rFonts w:ascii="Arial Narrow" w:hAnsi="Arial Narrow"/>
          <w:i/>
          <w:sz w:val="18"/>
          <w:szCs w:val="18"/>
        </w:rPr>
        <w:t>$75,000 to &lt; $95,000</w:t>
      </w:r>
    </w:p>
    <w:p w14:paraId="4D569B2F" w14:textId="77777777" w:rsidR="002965AF" w:rsidRPr="002965AF" w:rsidRDefault="002965AF" w:rsidP="002965AF">
      <w:pPr>
        <w:jc w:val="left"/>
        <w:rPr>
          <w:rFonts w:ascii="Arial Narrow" w:hAnsi="Arial Narrow"/>
          <w:i/>
          <w:sz w:val="18"/>
          <w:szCs w:val="18"/>
        </w:rPr>
      </w:pPr>
      <w:r>
        <w:rPr>
          <w:rFonts w:ascii="Arial Narrow" w:hAnsi="Arial Narrow"/>
          <w:i/>
          <w:sz w:val="18"/>
          <w:szCs w:val="18"/>
          <w:vertAlign w:val="superscript"/>
        </w:rPr>
        <w:t xml:space="preserve">7 </w:t>
      </w:r>
      <w:r w:rsidRPr="002965AF">
        <w:rPr>
          <w:rFonts w:ascii="Arial Narrow" w:hAnsi="Arial Narrow"/>
          <w:i/>
          <w:sz w:val="18"/>
          <w:szCs w:val="18"/>
        </w:rPr>
        <w:t>$115,000 to &lt; $135,000</w:t>
      </w:r>
    </w:p>
    <w:p w14:paraId="6575402A" w14:textId="07907845" w:rsidR="00512CEF" w:rsidRPr="00512CEF" w:rsidRDefault="002F6A8C" w:rsidP="00512CEF">
      <w:pPr>
        <w:jc w:val="left"/>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2F6A8C">
        <w:rPr>
          <w:rFonts w:ascii="Arial Narrow" w:hAnsi="Arial Narrow"/>
          <w:i/>
          <w:sz w:val="18"/>
          <w:szCs w:val="18"/>
        </w:rPr>
        <w:t>$135,000 to &lt; $155,000</w:t>
      </w:r>
    </w:p>
    <w:p w14:paraId="67CE2677" w14:textId="77777777" w:rsidR="00512CEF" w:rsidRPr="00A93346" w:rsidRDefault="00512CEF" w:rsidP="00316950">
      <w:pPr>
        <w:pStyle w:val="COMTablefooter"/>
        <w:rPr>
          <w:rStyle w:val="COMtablefigcaptionChar"/>
          <w:rFonts w:cs="Arial"/>
          <w:szCs w:val="22"/>
        </w:rPr>
      </w:pPr>
    </w:p>
    <w:p w14:paraId="6107A2AA" w14:textId="3C1A4521" w:rsidR="00402812" w:rsidRPr="007F66A7" w:rsidRDefault="005B1179" w:rsidP="005B1179">
      <w:pPr>
        <w:pStyle w:val="COMexecsummnumbered"/>
        <w:rPr>
          <w:i/>
          <w:iCs/>
        </w:rPr>
      </w:pPr>
      <w:bookmarkStart w:id="47" w:name="_Ref201143804"/>
      <w:r w:rsidRPr="007F66A7">
        <w:t>The</w:t>
      </w:r>
      <w:r w:rsidR="00AB7EC2" w:rsidRPr="007F66A7">
        <w:t xml:space="preserve"> evaluation noted that the</w:t>
      </w:r>
      <w:r w:rsidRPr="007F66A7">
        <w:t xml:space="preserve"> model was most sensitive to time horizon (due to extrapolated survival benefits over time), </w:t>
      </w:r>
      <w:r w:rsidR="009B0496" w:rsidRPr="007F66A7">
        <w:t>first-line</w:t>
      </w:r>
      <w:r w:rsidRPr="007F66A7">
        <w:t xml:space="preserve"> treatment health state utilities and discount rate. The model was moderately sensitive to baseline age, transplant eligibility rates and mortality assumptions for </w:t>
      </w:r>
      <w:r w:rsidR="009B0496" w:rsidRPr="007F66A7">
        <w:t>first-line</w:t>
      </w:r>
      <w:r w:rsidRPr="007F66A7">
        <w:t xml:space="preserve"> treatment (background mortality and mortality due to disease progression).</w:t>
      </w:r>
      <w:r w:rsidR="001837FF" w:rsidRPr="007F66A7">
        <w:t xml:space="preserve"> </w:t>
      </w:r>
      <w:bookmarkEnd w:id="47"/>
    </w:p>
    <w:p w14:paraId="537C67F4" w14:textId="58E455FB" w:rsidR="005B1179" w:rsidRPr="007F66A7" w:rsidRDefault="00064EC5" w:rsidP="005B1179">
      <w:pPr>
        <w:pStyle w:val="COMexecsummnumbered"/>
      </w:pPr>
      <w:r w:rsidRPr="007F66A7">
        <w:t xml:space="preserve">Alternative mixture cure models for progression-free survival for </w:t>
      </w:r>
      <w:r w:rsidR="009B0496" w:rsidRPr="007F66A7">
        <w:t>first-line</w:t>
      </w:r>
      <w:r w:rsidRPr="007F66A7">
        <w:t xml:space="preserve"> treatment had minimal impact on the ICER as all models generated </w:t>
      </w:r>
      <w:r w:rsidR="00AD54B1" w:rsidRPr="007F66A7">
        <w:t xml:space="preserve">similar </w:t>
      </w:r>
      <w:r w:rsidRPr="007F66A7">
        <w:t>statistical cure fractions (78-79% A+AVD, 71% ABVD) and achieved plateaus at around 7-8 years.</w:t>
      </w:r>
    </w:p>
    <w:p w14:paraId="3EC3D133" w14:textId="74708A71" w:rsidR="00003BE4" w:rsidRPr="007F66A7" w:rsidRDefault="00064EC5" w:rsidP="005B1179">
      <w:pPr>
        <w:pStyle w:val="COMexecsummnumbered"/>
      </w:pPr>
      <w:bookmarkStart w:id="48" w:name="_Ref201143807"/>
      <w:r w:rsidRPr="007F66A7">
        <w:t xml:space="preserve">The resubmission acknowledged concerns with the applicability of multiple sources used to inform progression-free survival and overall survival in subsequent lines of therapy due to differences in known prognostic factors such as age, disease severity, sex distribution and prior treatment exposure. The resubmission claimed that the impact of these differences could not be addressed other than by exploring the impact of alternative extrapolation functions in sensitivity analyses. The use of alternative extrapolation functions had minimal impact on the ICER per QALY gained, which ranged from </w:t>
      </w:r>
      <w:r w:rsidR="00E77CB1" w:rsidRPr="00E77CB1">
        <w:t xml:space="preserve">$55,000 to &lt; $75,000 </w:t>
      </w:r>
      <w:r w:rsidRPr="007F66A7">
        <w:t xml:space="preserve"> to </w:t>
      </w:r>
      <w:r w:rsidR="00E77CB1" w:rsidRPr="00E77CB1">
        <w:t>$55,000 to &lt; $75,000</w:t>
      </w:r>
      <w:r w:rsidRPr="007F66A7">
        <w:t>.</w:t>
      </w:r>
      <w:bookmarkEnd w:id="48"/>
    </w:p>
    <w:p w14:paraId="472842D7" w14:textId="5ABFDAC9" w:rsidR="00C25D9C" w:rsidRPr="007F66A7" w:rsidRDefault="00C25D9C" w:rsidP="00CE27B4">
      <w:pPr>
        <w:pStyle w:val="COMH2-non-numbered"/>
      </w:pPr>
      <w:bookmarkStart w:id="49" w:name="_Toc22897646"/>
      <w:bookmarkStart w:id="50" w:name="_Toc198653247"/>
      <w:r w:rsidRPr="007F66A7">
        <w:t>Drug</w:t>
      </w:r>
      <w:r w:rsidR="00AE352E" w:rsidRPr="007F66A7">
        <w:t xml:space="preserve"> </w:t>
      </w:r>
      <w:r w:rsidRPr="007F66A7">
        <w:t>cost/patient/course</w:t>
      </w:r>
      <w:bookmarkEnd w:id="49"/>
      <w:bookmarkEnd w:id="50"/>
    </w:p>
    <w:p w14:paraId="51691BD3" w14:textId="6FBCA20B" w:rsidR="00494207" w:rsidRPr="007F66A7" w:rsidRDefault="00E16AD8" w:rsidP="005B1179">
      <w:pPr>
        <w:pStyle w:val="COMtablefigcaption"/>
        <w:widowControl w:val="0"/>
      </w:pPr>
      <w:bookmarkStart w:id="51" w:name="_Ref104805102"/>
      <w:r w:rsidRPr="007F66A7">
        <w:t xml:space="preserve">Table </w:t>
      </w:r>
      <w:r w:rsidR="006A25C4">
        <w:fldChar w:fldCharType="begin"/>
      </w:r>
      <w:r w:rsidR="006A25C4">
        <w:instrText xml:space="preserve"> SEQ Table \* ARABIC </w:instrText>
      </w:r>
      <w:r w:rsidR="006A25C4">
        <w:fldChar w:fldCharType="separate"/>
      </w:r>
      <w:r w:rsidR="00293B06">
        <w:rPr>
          <w:noProof/>
        </w:rPr>
        <w:t>14</w:t>
      </w:r>
      <w:r w:rsidR="006A25C4">
        <w:fldChar w:fldCharType="end"/>
      </w:r>
      <w:bookmarkEnd w:id="51"/>
      <w:r w:rsidRPr="007F66A7">
        <w:t>:</w:t>
      </w:r>
      <w:r w:rsidR="00494207" w:rsidRPr="007F66A7">
        <w:t xml:space="preserve"> Drug cost per patient for </w:t>
      </w:r>
      <w:r w:rsidR="008E4035" w:rsidRPr="007F66A7">
        <w:t>A+AVD</w:t>
      </w:r>
      <w:r w:rsidR="0063159D" w:rsidRPr="007F66A7">
        <w:t xml:space="preserve"> </w:t>
      </w:r>
      <w:r w:rsidR="008E4035" w:rsidRPr="007F66A7">
        <w:t>and PET-adapted ABVD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Drug cost per patient for A+AVD and PET-adapted ABVD"/>
      </w:tblPr>
      <w:tblGrid>
        <w:gridCol w:w="2687"/>
        <w:gridCol w:w="1266"/>
        <w:gridCol w:w="1266"/>
        <w:gridCol w:w="1163"/>
        <w:gridCol w:w="1369"/>
        <w:gridCol w:w="1266"/>
      </w:tblGrid>
      <w:tr w:rsidR="00C37BC3" w:rsidRPr="007F66A7" w14:paraId="5994545F" w14:textId="77777777" w:rsidTr="009B14B1">
        <w:trPr>
          <w:cantSplit/>
          <w:tblHeader/>
          <w:jc w:val="center"/>
        </w:trPr>
        <w:tc>
          <w:tcPr>
            <w:tcW w:w="1490" w:type="pct"/>
            <w:vMerge w:val="restart"/>
            <w:vAlign w:val="center"/>
          </w:tcPr>
          <w:p w14:paraId="1705A4AD" w14:textId="77777777" w:rsidR="00C37BC3" w:rsidRPr="007F66A7" w:rsidRDefault="00C37BC3" w:rsidP="00CE27B4">
            <w:pPr>
              <w:pStyle w:val="COMTableheadingrow"/>
              <w:keepNext w:val="0"/>
              <w:widowControl w:val="0"/>
              <w:jc w:val="center"/>
              <w:rPr>
                <w:lang w:val="en-AU"/>
              </w:rPr>
            </w:pPr>
          </w:p>
        </w:tc>
        <w:tc>
          <w:tcPr>
            <w:tcW w:w="2049" w:type="pct"/>
            <w:gridSpan w:val="3"/>
            <w:vAlign w:val="center"/>
          </w:tcPr>
          <w:p w14:paraId="4E8B3872" w14:textId="77777777" w:rsidR="00C37BC3" w:rsidRPr="007F66A7" w:rsidRDefault="00C37BC3" w:rsidP="00CE27B4">
            <w:pPr>
              <w:pStyle w:val="COMTableheadingrow"/>
              <w:keepNext w:val="0"/>
              <w:widowControl w:val="0"/>
              <w:jc w:val="center"/>
              <w:rPr>
                <w:lang w:val="en-AU"/>
              </w:rPr>
            </w:pPr>
            <w:r w:rsidRPr="007F66A7">
              <w:rPr>
                <w:lang w:val="en-AU"/>
              </w:rPr>
              <w:t>A+AVD</w:t>
            </w:r>
          </w:p>
        </w:tc>
        <w:tc>
          <w:tcPr>
            <w:tcW w:w="1461" w:type="pct"/>
            <w:gridSpan w:val="2"/>
          </w:tcPr>
          <w:p w14:paraId="20CFA908" w14:textId="77777777" w:rsidR="00C37BC3" w:rsidRPr="007F66A7" w:rsidRDefault="00C37BC3" w:rsidP="00CE27B4">
            <w:pPr>
              <w:pStyle w:val="COMTableheadingrow"/>
              <w:keepNext w:val="0"/>
              <w:widowControl w:val="0"/>
              <w:jc w:val="center"/>
              <w:rPr>
                <w:vertAlign w:val="superscript"/>
                <w:lang w:val="en-AU"/>
              </w:rPr>
            </w:pPr>
            <w:r w:rsidRPr="007F66A7">
              <w:rPr>
                <w:lang w:val="en-AU"/>
              </w:rPr>
              <w:t xml:space="preserve">PET-adapted ABVD </w:t>
            </w:r>
            <w:r w:rsidRPr="007F66A7">
              <w:rPr>
                <w:vertAlign w:val="superscript"/>
                <w:lang w:val="en-AU"/>
              </w:rPr>
              <w:t>a</w:t>
            </w:r>
          </w:p>
        </w:tc>
      </w:tr>
      <w:tr w:rsidR="00C37BC3" w:rsidRPr="007F66A7" w14:paraId="06FC659E" w14:textId="77777777" w:rsidTr="009B14B1">
        <w:trPr>
          <w:cantSplit/>
          <w:tblHeader/>
          <w:jc w:val="center"/>
        </w:trPr>
        <w:tc>
          <w:tcPr>
            <w:tcW w:w="1490" w:type="pct"/>
            <w:vMerge/>
            <w:vAlign w:val="center"/>
          </w:tcPr>
          <w:p w14:paraId="2A75B0C2" w14:textId="77777777" w:rsidR="00C37BC3" w:rsidRPr="007F66A7" w:rsidRDefault="00C37BC3" w:rsidP="00CE27B4">
            <w:pPr>
              <w:pStyle w:val="COMTableheadingrow"/>
              <w:keepNext w:val="0"/>
              <w:widowControl w:val="0"/>
              <w:jc w:val="center"/>
              <w:rPr>
                <w:lang w:val="en-AU"/>
              </w:rPr>
            </w:pPr>
          </w:p>
        </w:tc>
        <w:tc>
          <w:tcPr>
            <w:tcW w:w="702" w:type="pct"/>
            <w:vAlign w:val="center"/>
          </w:tcPr>
          <w:p w14:paraId="000AB9B4" w14:textId="77777777" w:rsidR="00C37BC3" w:rsidRPr="007F66A7" w:rsidRDefault="00C37BC3" w:rsidP="00CE27B4">
            <w:pPr>
              <w:pStyle w:val="COMTableheadingrow"/>
              <w:keepNext w:val="0"/>
              <w:widowControl w:val="0"/>
              <w:jc w:val="center"/>
              <w:rPr>
                <w:lang w:val="en-AU"/>
              </w:rPr>
            </w:pPr>
            <w:r w:rsidRPr="007F66A7">
              <w:rPr>
                <w:lang w:val="en-AU"/>
              </w:rPr>
              <w:t>Trial</w:t>
            </w:r>
          </w:p>
        </w:tc>
        <w:tc>
          <w:tcPr>
            <w:tcW w:w="702" w:type="pct"/>
            <w:vAlign w:val="center"/>
          </w:tcPr>
          <w:p w14:paraId="3682DCD9" w14:textId="77777777" w:rsidR="00C37BC3" w:rsidRPr="007F66A7" w:rsidRDefault="00C37BC3" w:rsidP="00CE27B4">
            <w:pPr>
              <w:pStyle w:val="COMTableheadingrow"/>
              <w:keepNext w:val="0"/>
              <w:widowControl w:val="0"/>
              <w:jc w:val="center"/>
              <w:rPr>
                <w:lang w:val="en-AU"/>
              </w:rPr>
            </w:pPr>
            <w:r w:rsidRPr="007F66A7">
              <w:rPr>
                <w:lang w:val="en-AU"/>
              </w:rPr>
              <w:t>Economic model</w:t>
            </w:r>
          </w:p>
        </w:tc>
        <w:tc>
          <w:tcPr>
            <w:tcW w:w="645" w:type="pct"/>
            <w:vAlign w:val="center"/>
          </w:tcPr>
          <w:p w14:paraId="555F3BFC" w14:textId="77777777" w:rsidR="00C37BC3" w:rsidRPr="007F66A7" w:rsidRDefault="00C37BC3" w:rsidP="00CE27B4">
            <w:pPr>
              <w:pStyle w:val="COMTableheadingrow"/>
              <w:keepNext w:val="0"/>
              <w:widowControl w:val="0"/>
              <w:jc w:val="center"/>
              <w:rPr>
                <w:lang w:val="en-AU"/>
              </w:rPr>
            </w:pPr>
            <w:r w:rsidRPr="007F66A7">
              <w:rPr>
                <w:lang w:val="en-AU"/>
              </w:rPr>
              <w:t>Financial estimates</w:t>
            </w:r>
          </w:p>
        </w:tc>
        <w:tc>
          <w:tcPr>
            <w:tcW w:w="759" w:type="pct"/>
            <w:vAlign w:val="center"/>
          </w:tcPr>
          <w:p w14:paraId="3AC799B3" w14:textId="77777777" w:rsidR="00C37BC3" w:rsidRPr="007F66A7" w:rsidRDefault="00C37BC3" w:rsidP="009B14B1">
            <w:pPr>
              <w:pStyle w:val="COMTableheadingrow"/>
              <w:keepNext w:val="0"/>
              <w:widowControl w:val="0"/>
              <w:jc w:val="center"/>
              <w:rPr>
                <w:lang w:val="en-AU"/>
              </w:rPr>
            </w:pPr>
            <w:r w:rsidRPr="007F66A7">
              <w:rPr>
                <w:lang w:val="en-AU"/>
              </w:rPr>
              <w:t>Economic model</w:t>
            </w:r>
          </w:p>
        </w:tc>
        <w:tc>
          <w:tcPr>
            <w:tcW w:w="702" w:type="pct"/>
          </w:tcPr>
          <w:p w14:paraId="166049D0" w14:textId="77777777" w:rsidR="00C37BC3" w:rsidRPr="007F66A7" w:rsidRDefault="00C37BC3" w:rsidP="00CE27B4">
            <w:pPr>
              <w:pStyle w:val="COMTableheadingrow"/>
              <w:keepNext w:val="0"/>
              <w:widowControl w:val="0"/>
              <w:jc w:val="center"/>
              <w:rPr>
                <w:lang w:val="en-AU"/>
              </w:rPr>
            </w:pPr>
            <w:r w:rsidRPr="007F66A7">
              <w:rPr>
                <w:lang w:val="en-AU"/>
              </w:rPr>
              <w:t>Financial estimates</w:t>
            </w:r>
          </w:p>
        </w:tc>
      </w:tr>
      <w:tr w:rsidR="00C37BC3" w:rsidRPr="007F66A7" w14:paraId="7E8A87F4" w14:textId="77777777" w:rsidTr="009B14B1">
        <w:trPr>
          <w:cantSplit/>
          <w:jc w:val="center"/>
        </w:trPr>
        <w:tc>
          <w:tcPr>
            <w:tcW w:w="1490" w:type="pct"/>
            <w:vAlign w:val="center"/>
          </w:tcPr>
          <w:p w14:paraId="1BD30297" w14:textId="77777777" w:rsidR="00C37BC3" w:rsidRPr="007F66A7" w:rsidRDefault="00C37BC3" w:rsidP="00CE27B4">
            <w:pPr>
              <w:pStyle w:val="COMTabletext"/>
              <w:keepNext w:val="0"/>
              <w:widowControl w:val="0"/>
            </w:pPr>
            <w:r w:rsidRPr="007F66A7">
              <w:t>Mean cycles of treatment</w:t>
            </w:r>
          </w:p>
        </w:tc>
        <w:tc>
          <w:tcPr>
            <w:tcW w:w="702" w:type="pct"/>
            <w:vAlign w:val="center"/>
          </w:tcPr>
          <w:p w14:paraId="09172A6F" w14:textId="77777777" w:rsidR="00C37BC3" w:rsidRPr="007F66A7" w:rsidRDefault="00C37BC3" w:rsidP="00CE27B4">
            <w:pPr>
              <w:pStyle w:val="COMTabletext"/>
              <w:keepNext w:val="0"/>
              <w:widowControl w:val="0"/>
              <w:jc w:val="center"/>
            </w:pPr>
            <w:r w:rsidRPr="007F66A7">
              <w:t>5.6</w:t>
            </w:r>
          </w:p>
        </w:tc>
        <w:tc>
          <w:tcPr>
            <w:tcW w:w="702" w:type="pct"/>
            <w:vAlign w:val="center"/>
          </w:tcPr>
          <w:p w14:paraId="58C3940D" w14:textId="77777777" w:rsidR="00C37BC3" w:rsidRPr="007F66A7" w:rsidRDefault="00C37BC3" w:rsidP="00CE27B4">
            <w:pPr>
              <w:pStyle w:val="COMTabletext"/>
              <w:keepNext w:val="0"/>
              <w:widowControl w:val="0"/>
              <w:jc w:val="center"/>
            </w:pPr>
            <w:r w:rsidRPr="007F66A7">
              <w:t>5.6</w:t>
            </w:r>
          </w:p>
        </w:tc>
        <w:tc>
          <w:tcPr>
            <w:tcW w:w="645" w:type="pct"/>
            <w:vAlign w:val="center"/>
          </w:tcPr>
          <w:p w14:paraId="6213AB9C" w14:textId="77777777" w:rsidR="00C37BC3" w:rsidRPr="007F66A7" w:rsidRDefault="00C37BC3" w:rsidP="00CE27B4">
            <w:pPr>
              <w:pStyle w:val="COMTabletext"/>
              <w:keepNext w:val="0"/>
              <w:widowControl w:val="0"/>
              <w:jc w:val="center"/>
            </w:pPr>
            <w:r w:rsidRPr="007F66A7">
              <w:t>5.6</w:t>
            </w:r>
          </w:p>
        </w:tc>
        <w:tc>
          <w:tcPr>
            <w:tcW w:w="759" w:type="pct"/>
            <w:vAlign w:val="center"/>
          </w:tcPr>
          <w:p w14:paraId="4446F88B" w14:textId="77777777" w:rsidR="00C37BC3" w:rsidRPr="007F66A7" w:rsidRDefault="00C37BC3" w:rsidP="00CE27B4">
            <w:pPr>
              <w:pStyle w:val="COMTabletext"/>
              <w:keepNext w:val="0"/>
              <w:widowControl w:val="0"/>
              <w:jc w:val="center"/>
            </w:pPr>
            <w:r w:rsidRPr="007F66A7">
              <w:t>6.0</w:t>
            </w:r>
          </w:p>
        </w:tc>
        <w:tc>
          <w:tcPr>
            <w:tcW w:w="702" w:type="pct"/>
            <w:vAlign w:val="center"/>
          </w:tcPr>
          <w:p w14:paraId="71B9C369" w14:textId="0ABC000C" w:rsidR="00C37BC3" w:rsidRPr="007F66A7" w:rsidRDefault="0063159D" w:rsidP="00CE27B4">
            <w:pPr>
              <w:pStyle w:val="COMTabletext"/>
              <w:keepNext w:val="0"/>
              <w:widowControl w:val="0"/>
              <w:jc w:val="center"/>
            </w:pPr>
            <w:r w:rsidRPr="007F66A7">
              <w:t>6.0</w:t>
            </w:r>
          </w:p>
        </w:tc>
      </w:tr>
      <w:tr w:rsidR="00C37BC3" w:rsidRPr="007F66A7" w14:paraId="5EEB0EAE" w14:textId="77777777" w:rsidTr="009B14B1">
        <w:trPr>
          <w:cantSplit/>
          <w:jc w:val="center"/>
        </w:trPr>
        <w:tc>
          <w:tcPr>
            <w:tcW w:w="1490" w:type="pct"/>
            <w:vAlign w:val="center"/>
          </w:tcPr>
          <w:p w14:paraId="238EA2BD" w14:textId="77777777" w:rsidR="00C37BC3" w:rsidRPr="007F66A7" w:rsidRDefault="00C37BC3" w:rsidP="00CE27B4">
            <w:pPr>
              <w:pStyle w:val="COMTabletext"/>
              <w:keepNext w:val="0"/>
              <w:widowControl w:val="0"/>
            </w:pPr>
            <w:r w:rsidRPr="007F66A7">
              <w:t>Dose intensity</w:t>
            </w:r>
          </w:p>
        </w:tc>
        <w:tc>
          <w:tcPr>
            <w:tcW w:w="702" w:type="pct"/>
            <w:vAlign w:val="center"/>
          </w:tcPr>
          <w:p w14:paraId="3205F352" w14:textId="06E206C8" w:rsidR="00C37BC3" w:rsidRPr="007F66A7" w:rsidRDefault="00C37BC3" w:rsidP="00CE27B4">
            <w:pPr>
              <w:pStyle w:val="COMTabletext"/>
              <w:keepNext w:val="0"/>
              <w:widowControl w:val="0"/>
              <w:jc w:val="center"/>
              <w:rPr>
                <w:vertAlign w:val="superscript"/>
              </w:rPr>
            </w:pPr>
            <w:r w:rsidRPr="007F66A7">
              <w:t xml:space="preserve">94-99% </w:t>
            </w:r>
            <w:r w:rsidR="00DE4E44" w:rsidRPr="007F66A7">
              <w:rPr>
                <w:vertAlign w:val="superscript"/>
              </w:rPr>
              <w:t>b</w:t>
            </w:r>
          </w:p>
        </w:tc>
        <w:tc>
          <w:tcPr>
            <w:tcW w:w="702" w:type="pct"/>
            <w:vAlign w:val="center"/>
          </w:tcPr>
          <w:p w14:paraId="29544F48" w14:textId="77777777" w:rsidR="00C37BC3" w:rsidRPr="007F66A7" w:rsidRDefault="00C37BC3" w:rsidP="00CE27B4">
            <w:pPr>
              <w:pStyle w:val="COMTabletext"/>
              <w:keepNext w:val="0"/>
              <w:widowControl w:val="0"/>
              <w:jc w:val="center"/>
            </w:pPr>
            <w:r w:rsidRPr="007F66A7">
              <w:t>100%</w:t>
            </w:r>
          </w:p>
        </w:tc>
        <w:tc>
          <w:tcPr>
            <w:tcW w:w="645" w:type="pct"/>
            <w:vAlign w:val="center"/>
          </w:tcPr>
          <w:p w14:paraId="2272435E" w14:textId="41789D5F" w:rsidR="00C37BC3" w:rsidRPr="007F66A7" w:rsidRDefault="005B1614" w:rsidP="00CE27B4">
            <w:pPr>
              <w:pStyle w:val="COMTabletext"/>
              <w:keepNext w:val="0"/>
              <w:widowControl w:val="0"/>
              <w:jc w:val="center"/>
            </w:pPr>
            <w:r w:rsidRPr="007F66A7">
              <w:t>94-100%</w:t>
            </w:r>
            <w:r w:rsidR="00B870EC" w:rsidRPr="007F66A7">
              <w:t xml:space="preserve"> </w:t>
            </w:r>
            <w:r w:rsidR="00B870EC" w:rsidRPr="007F66A7">
              <w:rPr>
                <w:vertAlign w:val="superscript"/>
              </w:rPr>
              <w:t>c</w:t>
            </w:r>
          </w:p>
        </w:tc>
        <w:tc>
          <w:tcPr>
            <w:tcW w:w="759" w:type="pct"/>
            <w:vAlign w:val="center"/>
          </w:tcPr>
          <w:p w14:paraId="3F718334" w14:textId="77777777" w:rsidR="00C37BC3" w:rsidRPr="007F66A7" w:rsidRDefault="00C37BC3" w:rsidP="00CE27B4">
            <w:pPr>
              <w:pStyle w:val="COMTabletext"/>
              <w:keepNext w:val="0"/>
              <w:widowControl w:val="0"/>
              <w:jc w:val="center"/>
            </w:pPr>
            <w:r w:rsidRPr="007F66A7">
              <w:t>100%</w:t>
            </w:r>
          </w:p>
        </w:tc>
        <w:tc>
          <w:tcPr>
            <w:tcW w:w="702" w:type="pct"/>
            <w:vAlign w:val="center"/>
          </w:tcPr>
          <w:p w14:paraId="00C34998" w14:textId="258E1419" w:rsidR="00C37BC3" w:rsidRPr="007F66A7" w:rsidRDefault="00DB5B90" w:rsidP="00CE27B4">
            <w:pPr>
              <w:pStyle w:val="COMTabletext"/>
              <w:keepNext w:val="0"/>
              <w:widowControl w:val="0"/>
              <w:jc w:val="center"/>
              <w:rPr>
                <w:vertAlign w:val="superscript"/>
              </w:rPr>
            </w:pPr>
            <w:r w:rsidRPr="007F66A7">
              <w:t>94-100</w:t>
            </w:r>
            <w:r w:rsidR="00C37BC3" w:rsidRPr="007F66A7">
              <w:t>%</w:t>
            </w:r>
            <w:r w:rsidR="00780986" w:rsidRPr="007F66A7">
              <w:t xml:space="preserve"> </w:t>
            </w:r>
            <w:r w:rsidR="008E5323" w:rsidRPr="007F66A7">
              <w:rPr>
                <w:vertAlign w:val="superscript"/>
              </w:rPr>
              <w:t>c</w:t>
            </w:r>
          </w:p>
        </w:tc>
      </w:tr>
      <w:tr w:rsidR="00C37BC3" w:rsidRPr="007F66A7" w14:paraId="41FAE0CD" w14:textId="77777777" w:rsidTr="009B14B1">
        <w:trPr>
          <w:cantSplit/>
          <w:jc w:val="center"/>
        </w:trPr>
        <w:tc>
          <w:tcPr>
            <w:tcW w:w="1490" w:type="pct"/>
            <w:vAlign w:val="center"/>
          </w:tcPr>
          <w:p w14:paraId="7A9F0778" w14:textId="0947C66C" w:rsidR="00C37BC3" w:rsidRPr="007F66A7" w:rsidRDefault="00C37BC3" w:rsidP="00CE27B4">
            <w:pPr>
              <w:pStyle w:val="COMTabletext"/>
              <w:keepNext w:val="0"/>
              <w:widowControl w:val="0"/>
              <w:rPr>
                <w:vertAlign w:val="superscript"/>
              </w:rPr>
            </w:pPr>
            <w:r w:rsidRPr="007F66A7">
              <w:t xml:space="preserve">Cost/patient/course </w:t>
            </w:r>
            <w:r w:rsidRPr="007F66A7">
              <w:rPr>
                <w:vertAlign w:val="superscript"/>
              </w:rPr>
              <w:t>d</w:t>
            </w:r>
          </w:p>
        </w:tc>
        <w:tc>
          <w:tcPr>
            <w:tcW w:w="702" w:type="pct"/>
            <w:vAlign w:val="center"/>
          </w:tcPr>
          <w:p w14:paraId="41EE7F3B" w14:textId="77777777" w:rsidR="00C37BC3" w:rsidRPr="007F66A7" w:rsidRDefault="00C37BC3" w:rsidP="00CE27B4">
            <w:pPr>
              <w:pStyle w:val="COMTabletext"/>
              <w:keepNext w:val="0"/>
              <w:widowControl w:val="0"/>
              <w:jc w:val="center"/>
            </w:pPr>
            <w:r w:rsidRPr="007F66A7">
              <w:t>-</w:t>
            </w:r>
          </w:p>
        </w:tc>
        <w:tc>
          <w:tcPr>
            <w:tcW w:w="702" w:type="pct"/>
            <w:vAlign w:val="center"/>
          </w:tcPr>
          <w:p w14:paraId="7593BEFD" w14:textId="799099D6" w:rsidR="00C37BC3" w:rsidRPr="007F66A7" w:rsidRDefault="0063551E" w:rsidP="00CE27B4">
            <w:pPr>
              <w:pStyle w:val="COMTabletext"/>
              <w:keepNext w:val="0"/>
              <w:widowControl w:val="0"/>
              <w:jc w:val="center"/>
            </w:pPr>
            <w:r w:rsidRPr="007F66A7">
              <w:t>$</w:t>
            </w:r>
            <w:r w:rsidR="00AA4CCB" w:rsidRPr="00AA4CCB">
              <w:rPr>
                <w:color w:val="000000"/>
                <w:spacing w:val="53"/>
                <w:shd w:val="solid" w:color="000000" w:fill="000000"/>
                <w:fitText w:val="330" w:id="-628904693"/>
                <w14:textFill>
                  <w14:solidFill>
                    <w14:srgbClr w14:val="000000">
                      <w14:alpha w14:val="100000"/>
                    </w14:srgbClr>
                  </w14:solidFill>
                </w14:textFill>
              </w:rPr>
              <w:t>|||</w:t>
            </w:r>
            <w:r w:rsidR="00AA4CCB" w:rsidRPr="00AA4CCB">
              <w:rPr>
                <w:color w:val="000000"/>
                <w:spacing w:val="1"/>
                <w:shd w:val="solid" w:color="000000" w:fill="000000"/>
                <w:fitText w:val="330" w:id="-628904693"/>
                <w14:textFill>
                  <w14:solidFill>
                    <w14:srgbClr w14:val="000000">
                      <w14:alpha w14:val="100000"/>
                    </w14:srgbClr>
                  </w14:solidFill>
                </w14:textFill>
              </w:rPr>
              <w:t>|</w:t>
            </w:r>
          </w:p>
        </w:tc>
        <w:tc>
          <w:tcPr>
            <w:tcW w:w="645" w:type="pct"/>
            <w:vAlign w:val="center"/>
          </w:tcPr>
          <w:p w14:paraId="4012F7D5" w14:textId="7003F4EE" w:rsidR="00C37BC3" w:rsidRPr="007F66A7" w:rsidRDefault="009C3D0F" w:rsidP="00CE27B4">
            <w:pPr>
              <w:pStyle w:val="COMTabletext"/>
              <w:keepNext w:val="0"/>
              <w:widowControl w:val="0"/>
              <w:jc w:val="center"/>
              <w:rPr>
                <w:vertAlign w:val="superscript"/>
              </w:rPr>
            </w:pPr>
            <w:r w:rsidRPr="007F66A7">
              <w:t>$</w:t>
            </w:r>
            <w:r w:rsidR="00AA4CCB" w:rsidRPr="00AA4CCB">
              <w:rPr>
                <w:color w:val="000000"/>
                <w:spacing w:val="53"/>
                <w:shd w:val="solid" w:color="000000" w:fill="000000"/>
                <w:fitText w:val="330" w:id="-628904692"/>
                <w14:textFill>
                  <w14:solidFill>
                    <w14:srgbClr w14:val="000000">
                      <w14:alpha w14:val="100000"/>
                    </w14:srgbClr>
                  </w14:solidFill>
                </w14:textFill>
              </w:rPr>
              <w:t>|||</w:t>
            </w:r>
            <w:r w:rsidR="00AA4CCB" w:rsidRPr="00AA4CCB">
              <w:rPr>
                <w:color w:val="000000"/>
                <w:spacing w:val="1"/>
                <w:shd w:val="solid" w:color="000000" w:fill="000000"/>
                <w:fitText w:val="330" w:id="-628904692"/>
                <w14:textFill>
                  <w14:solidFill>
                    <w14:srgbClr w14:val="000000">
                      <w14:alpha w14:val="100000"/>
                    </w14:srgbClr>
                  </w14:solidFill>
                </w14:textFill>
              </w:rPr>
              <w:t>|</w:t>
            </w:r>
          </w:p>
        </w:tc>
        <w:tc>
          <w:tcPr>
            <w:tcW w:w="759" w:type="pct"/>
            <w:vAlign w:val="center"/>
          </w:tcPr>
          <w:p w14:paraId="09D548CA" w14:textId="72C6F210" w:rsidR="00C37BC3" w:rsidRPr="007F66A7" w:rsidRDefault="0069375C" w:rsidP="00CE27B4">
            <w:pPr>
              <w:pStyle w:val="COMTabletext"/>
              <w:keepNext w:val="0"/>
              <w:widowControl w:val="0"/>
              <w:jc w:val="center"/>
              <w:rPr>
                <w:vertAlign w:val="superscript"/>
              </w:rPr>
            </w:pPr>
            <w:r w:rsidRPr="007F66A7">
              <w:t>$4,818</w:t>
            </w:r>
          </w:p>
        </w:tc>
        <w:tc>
          <w:tcPr>
            <w:tcW w:w="702" w:type="pct"/>
            <w:vAlign w:val="center"/>
          </w:tcPr>
          <w:p w14:paraId="565625F4" w14:textId="1261E792" w:rsidR="00C37BC3" w:rsidRPr="007F66A7" w:rsidRDefault="005425B7" w:rsidP="005425B7">
            <w:pPr>
              <w:pStyle w:val="COMTabletext"/>
              <w:keepNext w:val="0"/>
              <w:widowControl w:val="0"/>
              <w:jc w:val="center"/>
            </w:pPr>
            <w:r w:rsidRPr="007F66A7">
              <w:t>$4,818</w:t>
            </w:r>
          </w:p>
        </w:tc>
      </w:tr>
    </w:tbl>
    <w:p w14:paraId="2B00B391" w14:textId="77777777" w:rsidR="007D6419" w:rsidRPr="007F66A7" w:rsidRDefault="007D6419" w:rsidP="00CE27B4">
      <w:pPr>
        <w:pStyle w:val="COMTablefooter"/>
        <w:widowControl w:val="0"/>
      </w:pPr>
      <w:r w:rsidRPr="007F66A7">
        <w:t>Source: constructed during the evaluation using the economic model and financial estimates in the submission</w:t>
      </w:r>
    </w:p>
    <w:p w14:paraId="54F578D2" w14:textId="77777777" w:rsidR="007D6419" w:rsidRPr="007F66A7" w:rsidRDefault="007D6419" w:rsidP="00CE27B4">
      <w:pPr>
        <w:pStyle w:val="COMTablefooter"/>
        <w:widowControl w:val="0"/>
      </w:pPr>
      <w:r w:rsidRPr="007F66A7">
        <w:t xml:space="preserve">Abbreviations: A+AVD, brentuximab vedotin plus doxorubicin, vinblastine, dacarbazine; ABVD, doxorubicin, bleomycin, vinblastine, and dacarbazine; </w:t>
      </w:r>
      <w:proofErr w:type="spellStart"/>
      <w:r w:rsidRPr="007F66A7">
        <w:t>eBEACOPP</w:t>
      </w:r>
      <w:proofErr w:type="spellEnd"/>
      <w:r w:rsidRPr="007F66A7">
        <w:t>, escalated bleomycin, etoposide, doxorubicin, cyclophosphamide, vincristine, procarbazine, and prednisolone</w:t>
      </w:r>
    </w:p>
    <w:p w14:paraId="68290480" w14:textId="77777777" w:rsidR="007D6419" w:rsidRPr="007F66A7" w:rsidRDefault="007D6419" w:rsidP="00CE27B4">
      <w:pPr>
        <w:pStyle w:val="COMTablefooter"/>
        <w:widowControl w:val="0"/>
      </w:pPr>
      <w:r w:rsidRPr="007F66A7">
        <w:rPr>
          <w:vertAlign w:val="superscript"/>
        </w:rPr>
        <w:t>a</w:t>
      </w:r>
      <w:r w:rsidRPr="007F66A7">
        <w:t xml:space="preserve"> 2 cycles of ABVD followed by 4 cycles of AVD in 91.3% of patients and 4 cycles of </w:t>
      </w:r>
      <w:proofErr w:type="spellStart"/>
      <w:r w:rsidRPr="007F66A7">
        <w:t>eBEACOPP</w:t>
      </w:r>
      <w:proofErr w:type="spellEnd"/>
      <w:r w:rsidRPr="007F66A7">
        <w:t xml:space="preserve"> in 8.7% of patients </w:t>
      </w:r>
    </w:p>
    <w:p w14:paraId="473F574C" w14:textId="66D0C9EE" w:rsidR="007D6419" w:rsidRPr="007F66A7" w:rsidRDefault="00DE4E44" w:rsidP="00CE27B4">
      <w:pPr>
        <w:pStyle w:val="COMTablefooter"/>
        <w:widowControl w:val="0"/>
      </w:pPr>
      <w:r w:rsidRPr="007F66A7">
        <w:rPr>
          <w:vertAlign w:val="superscript"/>
        </w:rPr>
        <w:t>b</w:t>
      </w:r>
      <w:r w:rsidR="007D6419" w:rsidRPr="007F66A7">
        <w:t xml:space="preserve"> Reported relative dose intensities were lower for brentuximab vedotin (mean 94.0%) and bleomycin (mean 93.5%) compared to other components in the A+AVD and ABVD regimens of the trial (approximately 97-99%)</w:t>
      </w:r>
    </w:p>
    <w:p w14:paraId="1147408F" w14:textId="0360DF5B" w:rsidR="00B870EC" w:rsidRPr="007F66A7" w:rsidRDefault="00B870EC" w:rsidP="00CE27B4">
      <w:pPr>
        <w:pStyle w:val="COMTablefooter"/>
        <w:widowControl w:val="0"/>
      </w:pPr>
      <w:r w:rsidRPr="007F66A7">
        <w:rPr>
          <w:vertAlign w:val="superscript"/>
        </w:rPr>
        <w:t>c</w:t>
      </w:r>
      <w:r w:rsidRPr="007F66A7">
        <w:t xml:space="preserve"> Based on dose intensities in </w:t>
      </w:r>
      <w:r w:rsidR="0059582D" w:rsidRPr="007F66A7">
        <w:t>ECHELON-1 for A+AVD and ABVD (as a proxy for PET-adapted ABVD) and assumptions</w:t>
      </w:r>
    </w:p>
    <w:p w14:paraId="3ECCB490" w14:textId="76BBD600" w:rsidR="008E4035" w:rsidRPr="007F66A7" w:rsidRDefault="00780986" w:rsidP="004A4FA7">
      <w:pPr>
        <w:pStyle w:val="COMTablefooter"/>
        <w:widowControl w:val="0"/>
      </w:pPr>
      <w:r w:rsidRPr="007F66A7">
        <w:rPr>
          <w:vertAlign w:val="superscript"/>
        </w:rPr>
        <w:t>d</w:t>
      </w:r>
      <w:r w:rsidRPr="007F66A7">
        <w:t xml:space="preserve"> </w:t>
      </w:r>
      <w:r w:rsidR="004A4FA7" w:rsidRPr="007F66A7">
        <w:t>Based on 51%/49% public/private hospital split for dispensing fees and mark-ups</w:t>
      </w:r>
    </w:p>
    <w:p w14:paraId="44ECA3AE" w14:textId="1559EEB4" w:rsidR="001D580A" w:rsidRPr="007F66A7" w:rsidRDefault="001D580A" w:rsidP="004A4FA7">
      <w:pPr>
        <w:pStyle w:val="COMTablefooter"/>
        <w:widowControl w:val="0"/>
      </w:pPr>
      <w:r w:rsidRPr="007F66A7">
        <w:t xml:space="preserve">Note: The inclusion of dose intensity </w:t>
      </w:r>
      <w:r w:rsidR="00C463FF" w:rsidRPr="007F66A7">
        <w:t xml:space="preserve">had </w:t>
      </w:r>
      <w:r w:rsidR="00830273" w:rsidRPr="007F66A7">
        <w:t>minimal</w:t>
      </w:r>
      <w:r w:rsidR="00C463FF" w:rsidRPr="007F66A7">
        <w:t xml:space="preserve"> impact on the financial estimates as it did not change the number of vials required for chemotherapy agents based on the most efficient vial combination</w:t>
      </w:r>
      <w:r w:rsidR="006B256E" w:rsidRPr="007F66A7">
        <w:t xml:space="preserve">, with a small change in costs associated with oral prednisolone as part of the </w:t>
      </w:r>
      <w:proofErr w:type="spellStart"/>
      <w:r w:rsidR="006B256E" w:rsidRPr="007F66A7">
        <w:t>eBEACOPP</w:t>
      </w:r>
      <w:proofErr w:type="spellEnd"/>
      <w:r w:rsidR="006B256E" w:rsidRPr="007F66A7">
        <w:t xml:space="preserve"> regimen</w:t>
      </w:r>
      <w:r w:rsidR="00C463FF" w:rsidRPr="007F66A7">
        <w:t xml:space="preserve"> </w:t>
      </w:r>
    </w:p>
    <w:p w14:paraId="268768EF" w14:textId="3626F292" w:rsidR="00B60939" w:rsidRPr="007F66A7" w:rsidRDefault="00B60939" w:rsidP="003D5DE7">
      <w:pPr>
        <w:pStyle w:val="COMH2-non-numbered"/>
      </w:pPr>
      <w:bookmarkStart w:id="52" w:name="_Toc22897647"/>
      <w:bookmarkStart w:id="53" w:name="_Toc198653248"/>
      <w:r w:rsidRPr="007F66A7">
        <w:t>Estimated PBS usage &amp; financial implications</w:t>
      </w:r>
      <w:bookmarkEnd w:id="52"/>
      <w:bookmarkEnd w:id="53"/>
    </w:p>
    <w:p w14:paraId="04B31D2D" w14:textId="1BEA8694" w:rsidR="0072416F" w:rsidRPr="007F66A7" w:rsidRDefault="00C25D9C" w:rsidP="00F13492">
      <w:pPr>
        <w:pStyle w:val="COMexecsummnumbered"/>
      </w:pPr>
      <w:r w:rsidRPr="007F66A7">
        <w:t xml:space="preserve">This </w:t>
      </w:r>
      <w:r w:rsidR="0072304C" w:rsidRPr="007F66A7">
        <w:t>re</w:t>
      </w:r>
      <w:r w:rsidRPr="007F66A7">
        <w:t xml:space="preserve">submission </w:t>
      </w:r>
      <w:r w:rsidR="004353AE" w:rsidRPr="007F66A7">
        <w:t>was</w:t>
      </w:r>
      <w:r w:rsidRPr="007F66A7">
        <w:t xml:space="preserve"> not considered by DUSC</w:t>
      </w:r>
      <w:r w:rsidR="00F13492" w:rsidRPr="007F66A7">
        <w:t>. The resubmission used an epidemiological approach to estimate the utilisation and financial impacts associated with the PBS/RPBS listing of brentuximab vedotin.</w:t>
      </w:r>
    </w:p>
    <w:p w14:paraId="3393BCE7" w14:textId="40A353FD" w:rsidR="00E42F73" w:rsidRPr="007F66A7" w:rsidRDefault="00E16AD8" w:rsidP="00FF3ECD">
      <w:pPr>
        <w:pStyle w:val="COMtablefigcaption"/>
      </w:pPr>
      <w:bookmarkStart w:id="54" w:name="_Ref104805262"/>
      <w:r w:rsidRPr="007F66A7">
        <w:lastRenderedPageBreak/>
        <w:t xml:space="preserve">Table </w:t>
      </w:r>
      <w:r w:rsidR="006A25C4">
        <w:fldChar w:fldCharType="begin"/>
      </w:r>
      <w:r w:rsidR="006A25C4">
        <w:instrText xml:space="preserve"> SEQ Table \* ARABIC </w:instrText>
      </w:r>
      <w:r w:rsidR="006A25C4">
        <w:fldChar w:fldCharType="separate"/>
      </w:r>
      <w:r w:rsidR="00293B06">
        <w:rPr>
          <w:noProof/>
        </w:rPr>
        <w:t>15</w:t>
      </w:r>
      <w:r w:rsidR="006A25C4">
        <w:fldChar w:fldCharType="end"/>
      </w:r>
      <w:bookmarkEnd w:id="54"/>
      <w:r w:rsidRPr="007F66A7">
        <w:t>:</w:t>
      </w:r>
      <w:r w:rsidR="00E42F73" w:rsidRPr="007F66A7">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Key inputs for financial estimates"/>
      </w:tblPr>
      <w:tblGrid>
        <w:gridCol w:w="1713"/>
        <w:gridCol w:w="3407"/>
        <w:gridCol w:w="3897"/>
      </w:tblGrid>
      <w:tr w:rsidR="00E42F73" w:rsidRPr="007F66A7" w14:paraId="7AFD013A" w14:textId="77777777" w:rsidTr="00EE2BFA">
        <w:trPr>
          <w:cantSplit/>
          <w:tblHeader/>
        </w:trPr>
        <w:tc>
          <w:tcPr>
            <w:tcW w:w="950" w:type="pct"/>
            <w:vAlign w:val="center"/>
          </w:tcPr>
          <w:p w14:paraId="45C2C4CE" w14:textId="370E9AAB" w:rsidR="00E42F73" w:rsidRPr="007F66A7" w:rsidRDefault="004658B5" w:rsidP="003E537E">
            <w:pPr>
              <w:pStyle w:val="COMTableheadingrow"/>
              <w:keepNext w:val="0"/>
              <w:widowControl w:val="0"/>
              <w:rPr>
                <w:lang w:val="en-AU"/>
              </w:rPr>
            </w:pPr>
            <w:r w:rsidRPr="007F66A7">
              <w:rPr>
                <w:lang w:val="en-AU"/>
              </w:rPr>
              <w:t>Parameter</w:t>
            </w:r>
          </w:p>
        </w:tc>
        <w:tc>
          <w:tcPr>
            <w:tcW w:w="1889" w:type="pct"/>
            <w:vAlign w:val="center"/>
          </w:tcPr>
          <w:p w14:paraId="5C04F956" w14:textId="559E8DB1" w:rsidR="00E42F73" w:rsidRPr="007F66A7" w:rsidRDefault="004658B5" w:rsidP="003E537E">
            <w:pPr>
              <w:pStyle w:val="COMTableheadingrow"/>
              <w:keepNext w:val="0"/>
              <w:widowControl w:val="0"/>
              <w:rPr>
                <w:lang w:val="en-AU"/>
              </w:rPr>
            </w:pPr>
            <w:r w:rsidRPr="007F66A7">
              <w:rPr>
                <w:lang w:val="en-AU"/>
              </w:rPr>
              <w:t>Value applied and source</w:t>
            </w:r>
          </w:p>
        </w:tc>
        <w:tc>
          <w:tcPr>
            <w:tcW w:w="2161" w:type="pct"/>
            <w:vAlign w:val="center"/>
          </w:tcPr>
          <w:p w14:paraId="45DE44AA" w14:textId="4713F72E" w:rsidR="00E42F73" w:rsidRPr="007F66A7" w:rsidRDefault="004658B5" w:rsidP="003E537E">
            <w:pPr>
              <w:pStyle w:val="COMTableheadingrow"/>
              <w:keepNext w:val="0"/>
              <w:widowControl w:val="0"/>
              <w:rPr>
                <w:lang w:val="en-AU"/>
              </w:rPr>
            </w:pPr>
            <w:r w:rsidRPr="007F66A7">
              <w:rPr>
                <w:lang w:val="en-AU"/>
              </w:rPr>
              <w:t>Comment</w:t>
            </w:r>
          </w:p>
        </w:tc>
      </w:tr>
      <w:tr w:rsidR="000A0603" w:rsidRPr="007F66A7" w14:paraId="74F250B4" w14:textId="77777777" w:rsidTr="00EE2BFA">
        <w:trPr>
          <w:cantSplit/>
        </w:trPr>
        <w:tc>
          <w:tcPr>
            <w:tcW w:w="950" w:type="pct"/>
            <w:vAlign w:val="center"/>
          </w:tcPr>
          <w:p w14:paraId="6F37BEC7" w14:textId="1830D250" w:rsidR="000A0603" w:rsidRPr="007F66A7" w:rsidRDefault="000A0603" w:rsidP="003E537E">
            <w:pPr>
              <w:pStyle w:val="COMTabletext"/>
              <w:keepNext w:val="0"/>
              <w:widowControl w:val="0"/>
              <w:rPr>
                <w:szCs w:val="20"/>
              </w:rPr>
            </w:pPr>
            <w:r w:rsidRPr="007F66A7">
              <w:rPr>
                <w:szCs w:val="20"/>
              </w:rPr>
              <w:t>Australian population</w:t>
            </w:r>
          </w:p>
        </w:tc>
        <w:tc>
          <w:tcPr>
            <w:tcW w:w="1889" w:type="pct"/>
            <w:vAlign w:val="center"/>
          </w:tcPr>
          <w:p w14:paraId="489ED4E6" w14:textId="25640C87" w:rsidR="000A0603" w:rsidRPr="007F66A7" w:rsidRDefault="00BC6725" w:rsidP="003E537E">
            <w:pPr>
              <w:pStyle w:val="COMTabletext"/>
              <w:keepNext w:val="0"/>
              <w:widowControl w:val="0"/>
              <w:rPr>
                <w:szCs w:val="20"/>
              </w:rPr>
            </w:pPr>
            <w:r w:rsidRPr="007F66A7">
              <w:rPr>
                <w:szCs w:val="20"/>
              </w:rPr>
              <w:t>27,970,435 in Year 1</w:t>
            </w:r>
            <w:r w:rsidR="00CC668B" w:rsidRPr="007F66A7">
              <w:rPr>
                <w:szCs w:val="20"/>
              </w:rPr>
              <w:t>,</w:t>
            </w:r>
            <w:r w:rsidRPr="007F66A7">
              <w:rPr>
                <w:szCs w:val="20"/>
              </w:rPr>
              <w:t xml:space="preserve"> increasing to 29,931,725 in Year 6. ABS population 3222.0, Series B.</w:t>
            </w:r>
          </w:p>
        </w:tc>
        <w:tc>
          <w:tcPr>
            <w:tcW w:w="2161" w:type="pct"/>
            <w:vAlign w:val="center"/>
          </w:tcPr>
          <w:p w14:paraId="105A5818" w14:textId="25016A29" w:rsidR="000A0603" w:rsidRPr="007F66A7" w:rsidRDefault="00BC6725" w:rsidP="003E537E">
            <w:pPr>
              <w:pStyle w:val="COMTabletext"/>
              <w:keepNext w:val="0"/>
              <w:widowControl w:val="0"/>
              <w:rPr>
                <w:szCs w:val="20"/>
                <w:lang w:eastAsia="zh-CN"/>
              </w:rPr>
            </w:pPr>
            <w:r w:rsidRPr="007F66A7">
              <w:rPr>
                <w:szCs w:val="20"/>
              </w:rPr>
              <w:t>DUSC previously considered this to be reasonable for an age agnostic listing but noted the evidence primarily supports use in the 18–60</w:t>
            </w:r>
            <w:r w:rsidR="00E20569" w:rsidRPr="007F66A7">
              <w:rPr>
                <w:szCs w:val="20"/>
              </w:rPr>
              <w:t xml:space="preserve"> </w:t>
            </w:r>
            <w:r w:rsidRPr="007F66A7">
              <w:rPr>
                <w:szCs w:val="20"/>
              </w:rPr>
              <w:t>year</w:t>
            </w:r>
            <w:r w:rsidR="00E20569" w:rsidRPr="007F66A7">
              <w:rPr>
                <w:szCs w:val="20"/>
              </w:rPr>
              <w:t xml:space="preserve"> </w:t>
            </w:r>
            <w:r w:rsidRPr="007F66A7">
              <w:rPr>
                <w:szCs w:val="20"/>
              </w:rPr>
              <w:t>old population (Table 12, brentuximab vedotin PSD, March 2024 PBAC meeting).</w:t>
            </w:r>
          </w:p>
        </w:tc>
      </w:tr>
      <w:tr w:rsidR="005D0ECD" w:rsidRPr="007F66A7" w14:paraId="4BEF206D" w14:textId="77777777" w:rsidTr="00EE2BFA">
        <w:trPr>
          <w:cantSplit/>
        </w:trPr>
        <w:tc>
          <w:tcPr>
            <w:tcW w:w="950" w:type="pct"/>
            <w:vAlign w:val="center"/>
          </w:tcPr>
          <w:p w14:paraId="5724F53F" w14:textId="6A820618" w:rsidR="005D0ECD" w:rsidRPr="007F66A7" w:rsidRDefault="005D0ECD" w:rsidP="003E537E">
            <w:pPr>
              <w:pStyle w:val="COMTabletext"/>
              <w:keepNext w:val="0"/>
              <w:widowControl w:val="0"/>
            </w:pPr>
            <w:r w:rsidRPr="007F66A7">
              <w:rPr>
                <w:szCs w:val="20"/>
              </w:rPr>
              <w:t>Incidence of Hodgkin lymphoma</w:t>
            </w:r>
          </w:p>
        </w:tc>
        <w:tc>
          <w:tcPr>
            <w:tcW w:w="1889" w:type="pct"/>
            <w:vAlign w:val="center"/>
          </w:tcPr>
          <w:p w14:paraId="2974F923" w14:textId="554C61E7" w:rsidR="005D0ECD" w:rsidRPr="007F66A7" w:rsidRDefault="005D0ECD" w:rsidP="003E537E">
            <w:pPr>
              <w:pStyle w:val="COMTabletext"/>
              <w:keepNext w:val="0"/>
              <w:widowControl w:val="0"/>
            </w:pPr>
            <w:r w:rsidRPr="007F66A7">
              <w:rPr>
                <w:szCs w:val="20"/>
              </w:rPr>
              <w:t xml:space="preserve">3.0 per 100,000. </w:t>
            </w:r>
            <w:r w:rsidR="00A93B8A" w:rsidRPr="007F66A7">
              <w:rPr>
                <w:szCs w:val="20"/>
              </w:rPr>
              <w:t xml:space="preserve">Based on DUSC advice for the March 2024 submission. </w:t>
            </w:r>
          </w:p>
        </w:tc>
        <w:tc>
          <w:tcPr>
            <w:tcW w:w="2161" w:type="pct"/>
            <w:vAlign w:val="center"/>
          </w:tcPr>
          <w:p w14:paraId="078672CF" w14:textId="3AB137DC" w:rsidR="005D0ECD" w:rsidRPr="007F66A7" w:rsidRDefault="00A93B8A" w:rsidP="003E537E">
            <w:pPr>
              <w:pStyle w:val="COMTabletext"/>
              <w:keepNext w:val="0"/>
              <w:widowControl w:val="0"/>
            </w:pPr>
            <w:r w:rsidRPr="007F66A7">
              <w:rPr>
                <w:szCs w:val="20"/>
                <w:lang w:eastAsia="zh-CN"/>
              </w:rPr>
              <w:t>DUSC previously considered data from the AIHW 2022 Cancer Data in Australia report and suggested that the incidence of Hodgkin lymphoma appears to plateau at 3 per 100,000 (Table 12, brentuximab vedotin PSD, March 2024 PBAC meeting).</w:t>
            </w:r>
          </w:p>
        </w:tc>
      </w:tr>
      <w:tr w:rsidR="005D0ECD" w:rsidRPr="007F66A7" w14:paraId="273D05F4" w14:textId="77777777" w:rsidTr="00C01109">
        <w:trPr>
          <w:cantSplit/>
        </w:trPr>
        <w:tc>
          <w:tcPr>
            <w:tcW w:w="950" w:type="pct"/>
            <w:vAlign w:val="center"/>
          </w:tcPr>
          <w:p w14:paraId="0152C8AA" w14:textId="47FF23B4" w:rsidR="005D0ECD" w:rsidRPr="007F66A7" w:rsidRDefault="00BC6725" w:rsidP="003E537E">
            <w:pPr>
              <w:pStyle w:val="COMTabletext"/>
              <w:keepNext w:val="0"/>
              <w:widowControl w:val="0"/>
            </w:pPr>
            <w:r w:rsidRPr="007F66A7">
              <w:rPr>
                <w:szCs w:val="20"/>
              </w:rPr>
              <w:t>Proportion of Hodgkin lymphoma that is classical Hodgkin lymphoma</w:t>
            </w:r>
          </w:p>
        </w:tc>
        <w:tc>
          <w:tcPr>
            <w:tcW w:w="1889" w:type="pct"/>
            <w:vAlign w:val="center"/>
          </w:tcPr>
          <w:p w14:paraId="5FE8DC6D" w14:textId="4E69119A" w:rsidR="005D0ECD" w:rsidRPr="007F66A7" w:rsidRDefault="00BC6725" w:rsidP="003E537E">
            <w:pPr>
              <w:pStyle w:val="COMTabletext"/>
              <w:keepNext w:val="0"/>
              <w:widowControl w:val="0"/>
            </w:pPr>
            <w:r w:rsidRPr="007F66A7">
              <w:rPr>
                <w:szCs w:val="20"/>
              </w:rPr>
              <w:t>94.2%. Based on the average of values reported by Cochrane 2021 (90 to 95%), Eichenauer 2018 (95%) and Cancer Council NSW 2023 (95%).</w:t>
            </w:r>
          </w:p>
        </w:tc>
        <w:tc>
          <w:tcPr>
            <w:tcW w:w="2161" w:type="pct"/>
            <w:vAlign w:val="center"/>
          </w:tcPr>
          <w:p w14:paraId="035D240F" w14:textId="55BFF181" w:rsidR="005D0ECD" w:rsidRPr="007F66A7" w:rsidRDefault="00BC6725" w:rsidP="00433EEF">
            <w:pPr>
              <w:pStyle w:val="TableText"/>
            </w:pPr>
            <w:r w:rsidRPr="007F66A7">
              <w:t>DUSC previously considered this to be reasonable</w:t>
            </w:r>
            <w:r w:rsidR="00A77ABC" w:rsidRPr="007F66A7">
              <w:t>,</w:t>
            </w:r>
            <w:r w:rsidRPr="007F66A7">
              <w:t xml:space="preserve"> if not slightly underestimated</w:t>
            </w:r>
            <w:r w:rsidRPr="007F66A7">
              <w:rPr>
                <w:lang w:eastAsia="zh-CN"/>
              </w:rPr>
              <w:t xml:space="preserve"> </w:t>
            </w:r>
            <w:r w:rsidRPr="007F66A7">
              <w:t>(Table 12, brentuximab vedotin PSD, March 2024 PBAC meeting).</w:t>
            </w:r>
          </w:p>
        </w:tc>
      </w:tr>
      <w:tr w:rsidR="005D0ECD" w:rsidRPr="004B351F" w14:paraId="72C9FBDD" w14:textId="77777777" w:rsidTr="00EE2BFA">
        <w:trPr>
          <w:cantSplit/>
        </w:trPr>
        <w:tc>
          <w:tcPr>
            <w:tcW w:w="950" w:type="pct"/>
            <w:vAlign w:val="center"/>
          </w:tcPr>
          <w:p w14:paraId="2FBBDC67" w14:textId="30B0A565" w:rsidR="005D0ECD" w:rsidRPr="004B351F" w:rsidRDefault="00D17E6A" w:rsidP="003E537E">
            <w:pPr>
              <w:pStyle w:val="COMTabletext"/>
              <w:keepNext w:val="0"/>
              <w:widowControl w:val="0"/>
            </w:pPr>
            <w:r w:rsidRPr="004B351F">
              <w:rPr>
                <w:szCs w:val="20"/>
              </w:rPr>
              <w:t>Proportion with stage III or IV disease</w:t>
            </w:r>
          </w:p>
        </w:tc>
        <w:tc>
          <w:tcPr>
            <w:tcW w:w="1889" w:type="pct"/>
            <w:vAlign w:val="center"/>
          </w:tcPr>
          <w:p w14:paraId="550316FC" w14:textId="08DA53D7" w:rsidR="005D0ECD" w:rsidRPr="004B351F" w:rsidRDefault="00D17E6A" w:rsidP="003E537E">
            <w:pPr>
              <w:pStyle w:val="COMTabletext"/>
              <w:keepNext w:val="0"/>
              <w:widowControl w:val="0"/>
            </w:pPr>
            <w:r w:rsidRPr="004B351F">
              <w:t xml:space="preserve">50.4%. </w:t>
            </w:r>
            <w:r w:rsidRPr="004B351F">
              <w:rPr>
                <w:szCs w:val="20"/>
              </w:rPr>
              <w:t>Based on the characteristics of patients included in the Lymphoma and Related Diseases Registry (Wellard 2023).</w:t>
            </w:r>
          </w:p>
        </w:tc>
        <w:tc>
          <w:tcPr>
            <w:tcW w:w="2161" w:type="pct"/>
            <w:vAlign w:val="center"/>
          </w:tcPr>
          <w:p w14:paraId="7295AAE5" w14:textId="7FE7123C" w:rsidR="005D0ECD" w:rsidRPr="004B351F" w:rsidRDefault="00D17E6A" w:rsidP="003E537E">
            <w:pPr>
              <w:pStyle w:val="COMTabletext"/>
              <w:keepNext w:val="0"/>
              <w:widowControl w:val="0"/>
            </w:pPr>
            <w:r w:rsidRPr="004B351F">
              <w:rPr>
                <w:szCs w:val="20"/>
              </w:rPr>
              <w:t>This was consistent with DUSC advice that the previous proportion (48%) was underestimated as the calculation included patients with missing disease stage data in the denominator. DUSC also noted that the representativeness of Lymphoma and Related Diseases Registry data to the overall Australian population is unclear, as it is a voluntary register and is likely biased (Table 12, brentuximab vedotin PSD, March 2024 PBAC meeting). This estimate remains uncertain.</w:t>
            </w:r>
          </w:p>
        </w:tc>
      </w:tr>
      <w:tr w:rsidR="005D0ECD" w:rsidRPr="004B351F" w14:paraId="512A8938" w14:textId="77777777" w:rsidTr="00EE2BFA">
        <w:trPr>
          <w:cantSplit/>
        </w:trPr>
        <w:tc>
          <w:tcPr>
            <w:tcW w:w="950" w:type="pct"/>
            <w:vAlign w:val="center"/>
          </w:tcPr>
          <w:p w14:paraId="1F4C70A3" w14:textId="6B5002B9" w:rsidR="005D0ECD" w:rsidRPr="004B351F" w:rsidRDefault="003167A1" w:rsidP="003E537E">
            <w:pPr>
              <w:pStyle w:val="COMTabletext"/>
              <w:keepNext w:val="0"/>
              <w:widowControl w:val="0"/>
            </w:pPr>
            <w:r w:rsidRPr="004B351F">
              <w:lastRenderedPageBreak/>
              <w:t>Uptake of A+AVD</w:t>
            </w:r>
          </w:p>
        </w:tc>
        <w:tc>
          <w:tcPr>
            <w:tcW w:w="1889" w:type="pct"/>
            <w:vAlign w:val="center"/>
          </w:tcPr>
          <w:p w14:paraId="772FCD85" w14:textId="2CC8E09F" w:rsidR="005C30D4" w:rsidRPr="004B351F" w:rsidRDefault="00784128" w:rsidP="003E537E">
            <w:pPr>
              <w:widowControl w:val="0"/>
              <w:jc w:val="left"/>
              <w:rPr>
                <w:rFonts w:ascii="Arial Narrow" w:hAnsi="Arial Narrow"/>
                <w:sz w:val="20"/>
                <w:szCs w:val="20"/>
              </w:rPr>
            </w:pPr>
            <w:r w:rsidRPr="004B351F">
              <w:rPr>
                <w:rFonts w:ascii="Arial Narrow" w:hAnsi="Arial Narrow"/>
                <w:sz w:val="20"/>
                <w:szCs w:val="20"/>
              </w:rPr>
              <w:t>Y</w:t>
            </w:r>
            <w:r w:rsidR="005C30D4" w:rsidRPr="004B351F">
              <w:rPr>
                <w:rFonts w:ascii="Arial Narrow" w:hAnsi="Arial Narrow"/>
                <w:sz w:val="20"/>
                <w:szCs w:val="20"/>
              </w:rPr>
              <w:t>ea</w:t>
            </w:r>
            <w:r w:rsidRPr="004B351F">
              <w:rPr>
                <w:rFonts w:ascii="Arial Narrow" w:hAnsi="Arial Narrow"/>
                <w:sz w:val="20"/>
                <w:szCs w:val="20"/>
              </w:rPr>
              <w:t xml:space="preserve">r 1: </w:t>
            </w:r>
            <w:r w:rsidR="00AA4CCB" w:rsidRPr="00AA4CCB">
              <w:rPr>
                <w:rFonts w:ascii="Arial Narrow" w:hAnsi="Arial Narrow"/>
                <w:color w:val="000000"/>
                <w:spacing w:val="48"/>
                <w:sz w:val="20"/>
                <w:szCs w:val="20"/>
                <w:shd w:val="solid" w:color="000000" w:fill="000000"/>
                <w:fitText w:val="315" w:id="-628904691"/>
                <w14:textFill>
                  <w14:solidFill>
                    <w14:srgbClr w14:val="000000">
                      <w14:alpha w14:val="100000"/>
                    </w14:srgbClr>
                  </w14:solidFill>
                </w14:textFill>
              </w:rPr>
              <w:t>|||</w:t>
            </w:r>
            <w:r w:rsidR="00AA4CCB" w:rsidRPr="00AA4CCB">
              <w:rPr>
                <w:rFonts w:ascii="Arial Narrow" w:hAnsi="Arial Narrow"/>
                <w:color w:val="000000"/>
                <w:spacing w:val="1"/>
                <w:sz w:val="20"/>
                <w:szCs w:val="20"/>
                <w:shd w:val="solid" w:color="000000" w:fill="000000"/>
                <w:fitText w:val="315" w:id="-628904691"/>
                <w14:textFill>
                  <w14:solidFill>
                    <w14:srgbClr w14:val="000000">
                      <w14:alpha w14:val="100000"/>
                    </w14:srgbClr>
                  </w14:solidFill>
                </w14:textFill>
              </w:rPr>
              <w:t>|</w:t>
            </w:r>
            <w:r w:rsidRPr="004B351F">
              <w:rPr>
                <w:rFonts w:ascii="Arial Narrow" w:hAnsi="Arial Narrow"/>
                <w:sz w:val="20"/>
                <w:szCs w:val="20"/>
              </w:rPr>
              <w:t>%</w:t>
            </w:r>
          </w:p>
          <w:p w14:paraId="51ABA703" w14:textId="0BC7D0B9" w:rsidR="005C30D4" w:rsidRPr="004B351F" w:rsidRDefault="00784128" w:rsidP="003E537E">
            <w:pPr>
              <w:widowControl w:val="0"/>
              <w:jc w:val="left"/>
              <w:rPr>
                <w:rFonts w:ascii="Arial Narrow" w:hAnsi="Arial Narrow"/>
                <w:sz w:val="20"/>
                <w:szCs w:val="20"/>
              </w:rPr>
            </w:pPr>
            <w:r w:rsidRPr="004B351F">
              <w:rPr>
                <w:rFonts w:ascii="Arial Narrow" w:hAnsi="Arial Narrow"/>
                <w:sz w:val="20"/>
                <w:szCs w:val="20"/>
              </w:rPr>
              <w:t>Y</w:t>
            </w:r>
            <w:r w:rsidR="005C30D4" w:rsidRPr="004B351F">
              <w:rPr>
                <w:rFonts w:ascii="Arial Narrow" w:hAnsi="Arial Narrow"/>
                <w:sz w:val="20"/>
                <w:szCs w:val="20"/>
              </w:rPr>
              <w:t>ea</w:t>
            </w:r>
            <w:r w:rsidRPr="004B351F">
              <w:rPr>
                <w:rFonts w:ascii="Arial Narrow" w:hAnsi="Arial Narrow"/>
                <w:sz w:val="20"/>
                <w:szCs w:val="20"/>
              </w:rPr>
              <w:t xml:space="preserve">r 2: </w:t>
            </w:r>
            <w:r w:rsidR="00AA4CCB" w:rsidRPr="00AA4CCB">
              <w:rPr>
                <w:rFonts w:ascii="Arial Narrow" w:hAnsi="Arial Narrow"/>
                <w:color w:val="000000"/>
                <w:spacing w:val="48"/>
                <w:sz w:val="20"/>
                <w:szCs w:val="20"/>
                <w:shd w:val="solid" w:color="000000" w:fill="000000"/>
                <w:fitText w:val="315" w:id="-628904690"/>
                <w14:textFill>
                  <w14:solidFill>
                    <w14:srgbClr w14:val="000000">
                      <w14:alpha w14:val="100000"/>
                    </w14:srgbClr>
                  </w14:solidFill>
                </w14:textFill>
              </w:rPr>
              <w:t>|||</w:t>
            </w:r>
            <w:r w:rsidR="00AA4CCB" w:rsidRPr="00AA4CCB">
              <w:rPr>
                <w:rFonts w:ascii="Arial Narrow" w:hAnsi="Arial Narrow"/>
                <w:color w:val="000000"/>
                <w:spacing w:val="1"/>
                <w:sz w:val="20"/>
                <w:szCs w:val="20"/>
                <w:shd w:val="solid" w:color="000000" w:fill="000000"/>
                <w:fitText w:val="315" w:id="-628904690"/>
                <w14:textFill>
                  <w14:solidFill>
                    <w14:srgbClr w14:val="000000">
                      <w14:alpha w14:val="100000"/>
                    </w14:srgbClr>
                  </w14:solidFill>
                </w14:textFill>
              </w:rPr>
              <w:t>|</w:t>
            </w:r>
            <w:r w:rsidRPr="004B351F">
              <w:rPr>
                <w:rFonts w:ascii="Arial Narrow" w:hAnsi="Arial Narrow"/>
                <w:sz w:val="20"/>
                <w:szCs w:val="20"/>
              </w:rPr>
              <w:t>%</w:t>
            </w:r>
          </w:p>
          <w:p w14:paraId="0BC89BDC" w14:textId="585FCA51" w:rsidR="005C30D4" w:rsidRPr="004B351F" w:rsidRDefault="00784128" w:rsidP="003E537E">
            <w:pPr>
              <w:widowControl w:val="0"/>
              <w:jc w:val="left"/>
              <w:rPr>
                <w:rFonts w:ascii="Arial Narrow" w:hAnsi="Arial Narrow"/>
                <w:sz w:val="20"/>
                <w:szCs w:val="20"/>
              </w:rPr>
            </w:pPr>
            <w:r w:rsidRPr="004B351F">
              <w:rPr>
                <w:rFonts w:ascii="Arial Narrow" w:hAnsi="Arial Narrow"/>
                <w:sz w:val="20"/>
                <w:szCs w:val="20"/>
              </w:rPr>
              <w:t>Y</w:t>
            </w:r>
            <w:r w:rsidR="005C30D4" w:rsidRPr="004B351F">
              <w:rPr>
                <w:rFonts w:ascii="Arial Narrow" w:hAnsi="Arial Narrow"/>
                <w:sz w:val="20"/>
                <w:szCs w:val="20"/>
              </w:rPr>
              <w:t>ea</w:t>
            </w:r>
            <w:r w:rsidRPr="004B351F">
              <w:rPr>
                <w:rFonts w:ascii="Arial Narrow" w:hAnsi="Arial Narrow"/>
                <w:sz w:val="20"/>
                <w:szCs w:val="20"/>
              </w:rPr>
              <w:t xml:space="preserve">r 3: </w:t>
            </w:r>
            <w:r w:rsidR="00AA4CCB" w:rsidRPr="00AA4CCB">
              <w:rPr>
                <w:rFonts w:ascii="Arial Narrow" w:hAnsi="Arial Narrow"/>
                <w:color w:val="000000"/>
                <w:spacing w:val="48"/>
                <w:sz w:val="20"/>
                <w:szCs w:val="20"/>
                <w:shd w:val="solid" w:color="000000" w:fill="000000"/>
                <w:fitText w:val="315" w:id="-628904448"/>
                <w14:textFill>
                  <w14:solidFill>
                    <w14:srgbClr w14:val="000000">
                      <w14:alpha w14:val="100000"/>
                    </w14:srgbClr>
                  </w14:solidFill>
                </w14:textFill>
              </w:rPr>
              <w:t>|||</w:t>
            </w:r>
            <w:r w:rsidR="00AA4CCB" w:rsidRPr="00AA4CCB">
              <w:rPr>
                <w:rFonts w:ascii="Arial Narrow" w:hAnsi="Arial Narrow"/>
                <w:color w:val="000000"/>
                <w:spacing w:val="1"/>
                <w:sz w:val="20"/>
                <w:szCs w:val="20"/>
                <w:shd w:val="solid" w:color="000000" w:fill="000000"/>
                <w:fitText w:val="315" w:id="-628904448"/>
                <w14:textFill>
                  <w14:solidFill>
                    <w14:srgbClr w14:val="000000">
                      <w14:alpha w14:val="100000"/>
                    </w14:srgbClr>
                  </w14:solidFill>
                </w14:textFill>
              </w:rPr>
              <w:t>|</w:t>
            </w:r>
            <w:r w:rsidRPr="004B351F">
              <w:rPr>
                <w:rFonts w:ascii="Arial Narrow" w:hAnsi="Arial Narrow"/>
                <w:sz w:val="20"/>
                <w:szCs w:val="20"/>
              </w:rPr>
              <w:t>%</w:t>
            </w:r>
          </w:p>
          <w:p w14:paraId="43F15466" w14:textId="38EEA8F5" w:rsidR="005C30D4" w:rsidRPr="004B351F" w:rsidRDefault="00784128" w:rsidP="003E537E">
            <w:pPr>
              <w:widowControl w:val="0"/>
              <w:jc w:val="left"/>
              <w:rPr>
                <w:rFonts w:ascii="Arial Narrow" w:hAnsi="Arial Narrow"/>
                <w:sz w:val="20"/>
                <w:szCs w:val="20"/>
              </w:rPr>
            </w:pPr>
            <w:r w:rsidRPr="004B351F">
              <w:rPr>
                <w:rFonts w:ascii="Arial Narrow" w:hAnsi="Arial Narrow"/>
                <w:sz w:val="20"/>
                <w:szCs w:val="20"/>
              </w:rPr>
              <w:t>Y</w:t>
            </w:r>
            <w:r w:rsidR="005C30D4" w:rsidRPr="004B351F">
              <w:rPr>
                <w:rFonts w:ascii="Arial Narrow" w:hAnsi="Arial Narrow"/>
                <w:sz w:val="20"/>
                <w:szCs w:val="20"/>
              </w:rPr>
              <w:t>ea</w:t>
            </w:r>
            <w:r w:rsidRPr="004B351F">
              <w:rPr>
                <w:rFonts w:ascii="Arial Narrow" w:hAnsi="Arial Narrow"/>
                <w:sz w:val="20"/>
                <w:szCs w:val="20"/>
              </w:rPr>
              <w:t xml:space="preserve">r 4: </w:t>
            </w:r>
            <w:r w:rsidR="00AA4CCB" w:rsidRPr="00AA4CCB">
              <w:rPr>
                <w:rFonts w:ascii="Arial Narrow" w:hAnsi="Arial Narrow"/>
                <w:color w:val="000000"/>
                <w:spacing w:val="48"/>
                <w:sz w:val="20"/>
                <w:szCs w:val="20"/>
                <w:shd w:val="solid" w:color="000000" w:fill="000000"/>
                <w:fitText w:val="315" w:id="-628904447"/>
                <w14:textFill>
                  <w14:solidFill>
                    <w14:srgbClr w14:val="000000">
                      <w14:alpha w14:val="100000"/>
                    </w14:srgbClr>
                  </w14:solidFill>
                </w14:textFill>
              </w:rPr>
              <w:t>|||</w:t>
            </w:r>
            <w:r w:rsidR="00AA4CCB" w:rsidRPr="00AA4CCB">
              <w:rPr>
                <w:rFonts w:ascii="Arial Narrow" w:hAnsi="Arial Narrow"/>
                <w:color w:val="000000"/>
                <w:spacing w:val="1"/>
                <w:sz w:val="20"/>
                <w:szCs w:val="20"/>
                <w:shd w:val="solid" w:color="000000" w:fill="000000"/>
                <w:fitText w:val="315" w:id="-628904447"/>
                <w14:textFill>
                  <w14:solidFill>
                    <w14:srgbClr w14:val="000000">
                      <w14:alpha w14:val="100000"/>
                    </w14:srgbClr>
                  </w14:solidFill>
                </w14:textFill>
              </w:rPr>
              <w:t>|</w:t>
            </w:r>
            <w:r w:rsidRPr="004B351F">
              <w:rPr>
                <w:rFonts w:ascii="Arial Narrow" w:hAnsi="Arial Narrow"/>
                <w:sz w:val="20"/>
                <w:szCs w:val="20"/>
              </w:rPr>
              <w:t>%</w:t>
            </w:r>
          </w:p>
          <w:p w14:paraId="51248D47" w14:textId="1DBD6120" w:rsidR="005C30D4" w:rsidRPr="004B351F" w:rsidRDefault="00784128" w:rsidP="003E537E">
            <w:pPr>
              <w:widowControl w:val="0"/>
              <w:jc w:val="left"/>
              <w:rPr>
                <w:rFonts w:ascii="Arial Narrow" w:hAnsi="Arial Narrow"/>
                <w:sz w:val="20"/>
                <w:szCs w:val="20"/>
              </w:rPr>
            </w:pPr>
            <w:r w:rsidRPr="004B351F">
              <w:rPr>
                <w:rFonts w:ascii="Arial Narrow" w:hAnsi="Arial Narrow"/>
                <w:sz w:val="20"/>
                <w:szCs w:val="20"/>
              </w:rPr>
              <w:t>Y</w:t>
            </w:r>
            <w:r w:rsidR="005C30D4" w:rsidRPr="004B351F">
              <w:rPr>
                <w:rFonts w:ascii="Arial Narrow" w:hAnsi="Arial Narrow"/>
                <w:sz w:val="20"/>
                <w:szCs w:val="20"/>
              </w:rPr>
              <w:t>ea</w:t>
            </w:r>
            <w:r w:rsidRPr="004B351F">
              <w:rPr>
                <w:rFonts w:ascii="Arial Narrow" w:hAnsi="Arial Narrow"/>
                <w:sz w:val="20"/>
                <w:szCs w:val="20"/>
              </w:rPr>
              <w:t xml:space="preserve">r 5: </w:t>
            </w:r>
            <w:r w:rsidR="00AA4CCB" w:rsidRPr="00AA4CCB">
              <w:rPr>
                <w:rFonts w:ascii="Arial Narrow" w:hAnsi="Arial Narrow"/>
                <w:color w:val="000000"/>
                <w:spacing w:val="48"/>
                <w:sz w:val="20"/>
                <w:szCs w:val="20"/>
                <w:shd w:val="solid" w:color="000000" w:fill="000000"/>
                <w:fitText w:val="315" w:id="-628904446"/>
                <w14:textFill>
                  <w14:solidFill>
                    <w14:srgbClr w14:val="000000">
                      <w14:alpha w14:val="100000"/>
                    </w14:srgbClr>
                  </w14:solidFill>
                </w14:textFill>
              </w:rPr>
              <w:t>|||</w:t>
            </w:r>
            <w:r w:rsidR="00AA4CCB" w:rsidRPr="00AA4CCB">
              <w:rPr>
                <w:rFonts w:ascii="Arial Narrow" w:hAnsi="Arial Narrow"/>
                <w:color w:val="000000"/>
                <w:spacing w:val="1"/>
                <w:sz w:val="20"/>
                <w:szCs w:val="20"/>
                <w:shd w:val="solid" w:color="000000" w:fill="000000"/>
                <w:fitText w:val="315" w:id="-628904446"/>
                <w14:textFill>
                  <w14:solidFill>
                    <w14:srgbClr w14:val="000000">
                      <w14:alpha w14:val="100000"/>
                    </w14:srgbClr>
                  </w14:solidFill>
                </w14:textFill>
              </w:rPr>
              <w:t>|</w:t>
            </w:r>
            <w:r w:rsidRPr="004B351F">
              <w:rPr>
                <w:rFonts w:ascii="Arial Narrow" w:hAnsi="Arial Narrow"/>
                <w:sz w:val="20"/>
                <w:szCs w:val="20"/>
              </w:rPr>
              <w:t>%</w:t>
            </w:r>
          </w:p>
          <w:p w14:paraId="5324ABBB" w14:textId="60475305" w:rsidR="005C30D4" w:rsidRPr="004B351F" w:rsidRDefault="00784128" w:rsidP="005C30D4">
            <w:pPr>
              <w:widowControl w:val="0"/>
              <w:spacing w:after="120"/>
              <w:jc w:val="left"/>
              <w:rPr>
                <w:rFonts w:ascii="Arial Narrow" w:hAnsi="Arial Narrow"/>
                <w:sz w:val="20"/>
                <w:szCs w:val="20"/>
              </w:rPr>
            </w:pPr>
            <w:r w:rsidRPr="004B351F">
              <w:rPr>
                <w:rFonts w:ascii="Arial Narrow" w:hAnsi="Arial Narrow"/>
                <w:sz w:val="20"/>
                <w:szCs w:val="20"/>
              </w:rPr>
              <w:t>Y</w:t>
            </w:r>
            <w:r w:rsidR="005C30D4" w:rsidRPr="004B351F">
              <w:rPr>
                <w:rFonts w:ascii="Arial Narrow" w:hAnsi="Arial Narrow"/>
                <w:sz w:val="20"/>
                <w:szCs w:val="20"/>
              </w:rPr>
              <w:t>ea</w:t>
            </w:r>
            <w:r w:rsidRPr="004B351F">
              <w:rPr>
                <w:rFonts w:ascii="Arial Narrow" w:hAnsi="Arial Narrow"/>
                <w:sz w:val="20"/>
                <w:szCs w:val="20"/>
              </w:rPr>
              <w:t xml:space="preserve">r 6: </w:t>
            </w:r>
            <w:r w:rsidR="00AA4CCB" w:rsidRPr="00AA4CCB">
              <w:rPr>
                <w:rFonts w:ascii="Arial Narrow" w:hAnsi="Arial Narrow"/>
                <w:color w:val="000000"/>
                <w:spacing w:val="48"/>
                <w:sz w:val="20"/>
                <w:szCs w:val="20"/>
                <w:shd w:val="solid" w:color="000000" w:fill="000000"/>
                <w:fitText w:val="315" w:id="-628904445"/>
                <w14:textFill>
                  <w14:solidFill>
                    <w14:srgbClr w14:val="000000">
                      <w14:alpha w14:val="100000"/>
                    </w14:srgbClr>
                  </w14:solidFill>
                </w14:textFill>
              </w:rPr>
              <w:t>|||</w:t>
            </w:r>
            <w:r w:rsidR="00AA4CCB" w:rsidRPr="00AA4CCB">
              <w:rPr>
                <w:rFonts w:ascii="Arial Narrow" w:hAnsi="Arial Narrow"/>
                <w:color w:val="000000"/>
                <w:spacing w:val="1"/>
                <w:sz w:val="20"/>
                <w:szCs w:val="20"/>
                <w:shd w:val="solid" w:color="000000" w:fill="000000"/>
                <w:fitText w:val="315" w:id="-628904445"/>
                <w14:textFill>
                  <w14:solidFill>
                    <w14:srgbClr w14:val="000000">
                      <w14:alpha w14:val="100000"/>
                    </w14:srgbClr>
                  </w14:solidFill>
                </w14:textFill>
              </w:rPr>
              <w:t>|</w:t>
            </w:r>
            <w:r w:rsidRPr="004B351F">
              <w:rPr>
                <w:rFonts w:ascii="Arial Narrow" w:hAnsi="Arial Narrow"/>
                <w:sz w:val="20"/>
                <w:szCs w:val="20"/>
              </w:rPr>
              <w:t>%</w:t>
            </w:r>
          </w:p>
          <w:p w14:paraId="5289CDB1" w14:textId="19038A5D" w:rsidR="005D0ECD" w:rsidRPr="004B351F" w:rsidRDefault="000E5BCB" w:rsidP="003E537E">
            <w:pPr>
              <w:widowControl w:val="0"/>
              <w:jc w:val="left"/>
              <w:rPr>
                <w:rFonts w:ascii="Arial Narrow" w:hAnsi="Arial Narrow"/>
                <w:sz w:val="20"/>
                <w:szCs w:val="20"/>
              </w:rPr>
            </w:pPr>
            <w:r w:rsidRPr="004B351F">
              <w:rPr>
                <w:rFonts w:ascii="Arial Narrow" w:hAnsi="Arial Narrow"/>
                <w:sz w:val="20"/>
                <w:szCs w:val="20"/>
              </w:rPr>
              <w:t>Assumed based on DUSC advice for the March 2024 submission.</w:t>
            </w:r>
          </w:p>
        </w:tc>
        <w:tc>
          <w:tcPr>
            <w:tcW w:w="2161" w:type="pct"/>
            <w:vAlign w:val="center"/>
          </w:tcPr>
          <w:p w14:paraId="1C3E71C2" w14:textId="1D8F5EEC" w:rsidR="000E5BCB" w:rsidRPr="004B351F" w:rsidRDefault="000E5BCB" w:rsidP="00433EEF">
            <w:pPr>
              <w:pStyle w:val="TableText"/>
            </w:pPr>
            <w:r w:rsidRPr="004B351F">
              <w:t>DUSC considered uptake rates in the March 2024 submission (</w:t>
            </w:r>
            <w:r w:rsidR="00AA4CCB" w:rsidRPr="00AA4CCB">
              <w:rPr>
                <w:color w:val="000000"/>
                <w:spacing w:val="53"/>
                <w:shd w:val="solid" w:color="000000" w:fill="000000"/>
                <w:fitText w:val="330" w:id="-628904444"/>
                <w14:textFill>
                  <w14:solidFill>
                    <w14:srgbClr w14:val="000000">
                      <w14:alpha w14:val="100000"/>
                    </w14:srgbClr>
                  </w14:solidFill>
                </w14:textFill>
              </w:rPr>
              <w:t>|||</w:t>
            </w:r>
            <w:r w:rsidR="00AA4CCB" w:rsidRPr="00AA4CCB">
              <w:rPr>
                <w:color w:val="000000"/>
                <w:spacing w:val="1"/>
                <w:shd w:val="solid" w:color="000000" w:fill="000000"/>
                <w:fitText w:val="330" w:id="-628904444"/>
                <w14:textFill>
                  <w14:solidFill>
                    <w14:srgbClr w14:val="000000">
                      <w14:alpha w14:val="100000"/>
                    </w14:srgbClr>
                  </w14:solidFill>
                </w14:textFill>
              </w:rPr>
              <w:t>|</w:t>
            </w:r>
            <w:r w:rsidRPr="004B351F">
              <w:t>-</w:t>
            </w:r>
            <w:r w:rsidR="00AA4CCB" w:rsidRPr="00AA4CCB">
              <w:rPr>
                <w:color w:val="000000"/>
                <w:spacing w:val="53"/>
                <w:shd w:val="solid" w:color="000000" w:fill="000000"/>
                <w:fitText w:val="330" w:id="-628904443"/>
                <w14:textFill>
                  <w14:solidFill>
                    <w14:srgbClr w14:val="000000">
                      <w14:alpha w14:val="100000"/>
                    </w14:srgbClr>
                  </w14:solidFill>
                </w14:textFill>
              </w:rPr>
              <w:t>|||</w:t>
            </w:r>
            <w:r w:rsidR="00AA4CCB" w:rsidRPr="00AA4CCB">
              <w:rPr>
                <w:color w:val="000000"/>
                <w:spacing w:val="1"/>
                <w:shd w:val="solid" w:color="000000" w:fill="000000"/>
                <w:fitText w:val="330" w:id="-628904443"/>
                <w14:textFill>
                  <w14:solidFill>
                    <w14:srgbClr w14:val="000000">
                      <w14:alpha w14:val="100000"/>
                    </w14:srgbClr>
                  </w14:solidFill>
                </w14:textFill>
              </w:rPr>
              <w:t>|</w:t>
            </w:r>
            <w:r w:rsidRPr="004B351F">
              <w:t>% over 6 years) to be underestimated</w:t>
            </w:r>
            <w:r w:rsidR="00434AF1" w:rsidRPr="004B351F">
              <w:t>,</w:t>
            </w:r>
            <w:r w:rsidRPr="004B351F">
              <w:t xml:space="preserve"> as brentuximab vedotin offers a better side effect profile compared to bleomycin. DUSC considered a range increasing by </w:t>
            </w:r>
            <w:r w:rsidR="00AA4CCB" w:rsidRPr="00AA4CCB">
              <w:rPr>
                <w:color w:val="000000"/>
                <w:spacing w:val="53"/>
                <w:shd w:val="solid" w:color="000000" w:fill="000000"/>
                <w:fitText w:val="330" w:id="-628904442"/>
                <w14:textFill>
                  <w14:solidFill>
                    <w14:srgbClr w14:val="000000">
                      <w14:alpha w14:val="100000"/>
                    </w14:srgbClr>
                  </w14:solidFill>
                </w14:textFill>
              </w:rPr>
              <w:t>|||</w:t>
            </w:r>
            <w:r w:rsidR="00AA4CCB" w:rsidRPr="00AA4CCB">
              <w:rPr>
                <w:color w:val="000000"/>
                <w:spacing w:val="1"/>
                <w:shd w:val="solid" w:color="000000" w:fill="000000"/>
                <w:fitText w:val="330" w:id="-628904442"/>
                <w14:textFill>
                  <w14:solidFill>
                    <w14:srgbClr w14:val="000000">
                      <w14:alpha w14:val="100000"/>
                    </w14:srgbClr>
                  </w14:solidFill>
                </w14:textFill>
              </w:rPr>
              <w:t>|</w:t>
            </w:r>
            <w:r w:rsidRPr="004B351F">
              <w:t xml:space="preserve">% per year from </w:t>
            </w:r>
            <w:r w:rsidR="00AA4CCB" w:rsidRPr="00AA4CCB">
              <w:rPr>
                <w:color w:val="000000"/>
                <w:spacing w:val="48"/>
                <w:shd w:val="solid" w:color="000000" w:fill="000000"/>
                <w:fitText w:val="315" w:id="-628904441"/>
                <w14:textFill>
                  <w14:solidFill>
                    <w14:srgbClr w14:val="000000">
                      <w14:alpha w14:val="100000"/>
                    </w14:srgbClr>
                  </w14:solidFill>
                </w14:textFill>
              </w:rPr>
              <w:t>|||</w:t>
            </w:r>
            <w:r w:rsidR="00AA4CCB" w:rsidRPr="00AA4CCB">
              <w:rPr>
                <w:color w:val="000000"/>
                <w:spacing w:val="1"/>
                <w:shd w:val="solid" w:color="000000" w:fill="000000"/>
                <w:fitText w:val="315" w:id="-628904441"/>
                <w14:textFill>
                  <w14:solidFill>
                    <w14:srgbClr w14:val="000000">
                      <w14:alpha w14:val="100000"/>
                    </w14:srgbClr>
                  </w14:solidFill>
                </w14:textFill>
              </w:rPr>
              <w:t>|</w:t>
            </w:r>
            <w:r w:rsidRPr="004B351F">
              <w:t xml:space="preserve">% and remaining steady at </w:t>
            </w:r>
            <w:r w:rsidR="00AA4CCB" w:rsidRPr="00AA4CCB">
              <w:rPr>
                <w:color w:val="000000"/>
                <w:spacing w:val="53"/>
                <w:shd w:val="solid" w:color="000000" w:fill="000000"/>
                <w:fitText w:val="330" w:id="-628904440"/>
                <w14:textFill>
                  <w14:solidFill>
                    <w14:srgbClr w14:val="000000">
                      <w14:alpha w14:val="100000"/>
                    </w14:srgbClr>
                  </w14:solidFill>
                </w14:textFill>
              </w:rPr>
              <w:t>|||</w:t>
            </w:r>
            <w:r w:rsidR="00AA4CCB" w:rsidRPr="00AA4CCB">
              <w:rPr>
                <w:color w:val="000000"/>
                <w:spacing w:val="1"/>
                <w:shd w:val="solid" w:color="000000" w:fill="000000"/>
                <w:fitText w:val="330" w:id="-628904440"/>
                <w14:textFill>
                  <w14:solidFill>
                    <w14:srgbClr w14:val="000000">
                      <w14:alpha w14:val="100000"/>
                    </w14:srgbClr>
                  </w14:solidFill>
                </w14:textFill>
              </w:rPr>
              <w:t>|</w:t>
            </w:r>
            <w:r w:rsidRPr="004B351F">
              <w:t xml:space="preserve">% would be more appropriate (Table 12, brentuximab vedotin PSD, March 2024 PBAC meeting). </w:t>
            </w:r>
          </w:p>
          <w:p w14:paraId="41118EB2" w14:textId="4C259C68" w:rsidR="000E5BCB" w:rsidRPr="004B351F" w:rsidRDefault="000E5BCB" w:rsidP="00433EEF">
            <w:pPr>
              <w:pStyle w:val="TableText"/>
            </w:pPr>
            <w:r w:rsidRPr="004B351F">
              <w:t xml:space="preserve">The PBAC </w:t>
            </w:r>
            <w:r w:rsidR="005D04D4">
              <w:t xml:space="preserve">previously </w:t>
            </w:r>
            <w:r w:rsidRPr="004B351F">
              <w:t>acknowledged the DUSC advice but noted treatment guidelines recommend the use of PET-adapted regimens over non-PET-adapted regimens and considered that this may impact uptake rates (para 7.12, brentuximab vedotin PSD, March 2024 PBAC meeting).</w:t>
            </w:r>
          </w:p>
          <w:p w14:paraId="5046BF43" w14:textId="4D1057D4" w:rsidR="000E5BCB" w:rsidRPr="004B351F" w:rsidRDefault="000E5BCB" w:rsidP="008019B7">
            <w:pPr>
              <w:pStyle w:val="TableText"/>
            </w:pPr>
            <w:r w:rsidRPr="004B351F">
              <w:t xml:space="preserve">Uptake rates are highly uncertain given the changing landscape for </w:t>
            </w:r>
            <w:r w:rsidR="009B0496" w:rsidRPr="004B351F">
              <w:t>first-line</w:t>
            </w:r>
            <w:r w:rsidRPr="004B351F">
              <w:t xml:space="preserve"> treatments, with more recent guidelines suggesting a narrower place in therapy for the A+AVD regimen based on age, contraindications (peripheral neuropathy) and the availability of newer regimens.</w:t>
            </w:r>
            <w:r w:rsidR="00DB611F" w:rsidRPr="004B351F">
              <w:t xml:space="preserve"> </w:t>
            </w:r>
          </w:p>
          <w:p w14:paraId="7B8A38AA" w14:textId="77777777" w:rsidR="007402BD" w:rsidRDefault="008C7CDC" w:rsidP="00433EEF">
            <w:pPr>
              <w:pStyle w:val="TableText"/>
            </w:pPr>
            <w:r w:rsidRPr="004B351F">
              <w:t xml:space="preserve">The ESC considered that </w:t>
            </w:r>
            <w:proofErr w:type="spellStart"/>
            <w:r w:rsidR="0068261A" w:rsidRPr="004B351F">
              <w:t>iPET</w:t>
            </w:r>
            <w:proofErr w:type="spellEnd"/>
            <w:r w:rsidR="0068261A" w:rsidRPr="004B351F">
              <w:t xml:space="preserve"> use will likely continue with A+AVD regardless of</w:t>
            </w:r>
            <w:r w:rsidR="00182AF1" w:rsidRPr="004B351F">
              <w:t xml:space="preserve"> the fact that it was not used in ECHELON-1. As such, the ESC considered the</w:t>
            </w:r>
            <w:r w:rsidR="006C01F8" w:rsidRPr="004B351F">
              <w:t>re would likely be high uptake of A+AVD to replace ABVD</w:t>
            </w:r>
            <w:r w:rsidR="003E5C28" w:rsidRPr="004B351F">
              <w:t xml:space="preserve">. </w:t>
            </w:r>
          </w:p>
          <w:p w14:paraId="0BA4ED26" w14:textId="39F7627B" w:rsidR="00045E9C" w:rsidRPr="004B351F" w:rsidRDefault="00365251" w:rsidP="00433EEF">
            <w:pPr>
              <w:pStyle w:val="TableText"/>
            </w:pPr>
            <w:r>
              <w:t xml:space="preserve">The </w:t>
            </w:r>
            <w:r w:rsidR="00F677C1">
              <w:t>PBAC considered</w:t>
            </w:r>
            <w:r w:rsidR="00FA7699">
              <w:t xml:space="preserve"> that</w:t>
            </w:r>
            <w:r w:rsidR="00F677C1">
              <w:t xml:space="preserve"> </w:t>
            </w:r>
            <w:r w:rsidR="00766A3E">
              <w:t xml:space="preserve">uptake </w:t>
            </w:r>
            <w:r w:rsidR="00FA7699">
              <w:t>rates</w:t>
            </w:r>
            <w:r w:rsidR="00766A3E">
              <w:t xml:space="preserve"> of </w:t>
            </w:r>
            <w:r w:rsidR="00776AE8">
              <w:t>50</w:t>
            </w:r>
            <w:r w:rsidR="004F61C8">
              <w:t>%</w:t>
            </w:r>
            <w:r w:rsidR="00FB73DE">
              <w:t xml:space="preserve"> in Year 1 increasing to </w:t>
            </w:r>
            <w:r w:rsidR="00776AE8">
              <w:t>6</w:t>
            </w:r>
            <w:r w:rsidR="0054478F">
              <w:t>5</w:t>
            </w:r>
            <w:r w:rsidR="00776AE8">
              <w:t xml:space="preserve">% </w:t>
            </w:r>
            <w:r w:rsidR="00FB73DE">
              <w:t xml:space="preserve">in Year 6 </w:t>
            </w:r>
            <w:r w:rsidR="00776AE8">
              <w:t xml:space="preserve">would be more appropriate. </w:t>
            </w:r>
          </w:p>
        </w:tc>
      </w:tr>
      <w:tr w:rsidR="005D0ECD" w:rsidRPr="004B351F" w14:paraId="18F4FF1F" w14:textId="77777777" w:rsidTr="00EE2BFA">
        <w:trPr>
          <w:cantSplit/>
        </w:trPr>
        <w:tc>
          <w:tcPr>
            <w:tcW w:w="950" w:type="pct"/>
            <w:vAlign w:val="center"/>
          </w:tcPr>
          <w:p w14:paraId="09A388E2" w14:textId="2D05AE5D" w:rsidR="005D0ECD" w:rsidRPr="004B351F" w:rsidRDefault="000E5BCB" w:rsidP="003E537E">
            <w:pPr>
              <w:pStyle w:val="COMTabletext"/>
              <w:keepNext w:val="0"/>
              <w:widowControl w:val="0"/>
            </w:pPr>
            <w:r w:rsidRPr="004B351F">
              <w:rPr>
                <w:szCs w:val="20"/>
                <w:lang w:eastAsia="zh-CN"/>
              </w:rPr>
              <w:t>Number of cycles (A+AVD)</w:t>
            </w:r>
          </w:p>
        </w:tc>
        <w:tc>
          <w:tcPr>
            <w:tcW w:w="1889" w:type="pct"/>
            <w:vAlign w:val="center"/>
          </w:tcPr>
          <w:p w14:paraId="61C6F202" w14:textId="00D934B6" w:rsidR="005D0ECD" w:rsidRPr="004B351F" w:rsidRDefault="000E5BCB" w:rsidP="00433EEF">
            <w:pPr>
              <w:pStyle w:val="TableText"/>
            </w:pPr>
            <w:r w:rsidRPr="004B351F">
              <w:t xml:space="preserve">5.6 cycles. </w:t>
            </w:r>
            <w:r w:rsidR="003E537E" w:rsidRPr="004B351F">
              <w:t>Based on the reported mean number of treatment cycles in the ECHELON-1 trial (5.5 cycles for brentuximab vedotin and 5.6 cycles for doxorubicin, vinblastine and dacarbazine), assuming the highest number of cycles among the individual treatments.</w:t>
            </w:r>
          </w:p>
        </w:tc>
        <w:tc>
          <w:tcPr>
            <w:tcW w:w="2161" w:type="pct"/>
            <w:vAlign w:val="center"/>
          </w:tcPr>
          <w:p w14:paraId="283F2180" w14:textId="34F21EBD" w:rsidR="005D0ECD" w:rsidRPr="004B351F" w:rsidRDefault="003E537E" w:rsidP="00433EEF">
            <w:pPr>
              <w:pStyle w:val="TableText"/>
            </w:pPr>
            <w:r w:rsidRPr="004B351F">
              <w:rPr>
                <w:lang w:eastAsia="zh-CN"/>
              </w:rPr>
              <w:t>There were inconsistencies in the DUSC advice regarding this estimate (based on Table 12 and para 6.87, brentuximab vedotin PSD, March 2024 PBAC meeting</w:t>
            </w:r>
            <w:r w:rsidR="003A0B8D" w:rsidRPr="004B351F">
              <w:rPr>
                <w:lang w:eastAsia="zh-CN"/>
              </w:rPr>
              <w:t>)</w:t>
            </w:r>
            <w:r w:rsidRPr="004B351F">
              <w:rPr>
                <w:lang w:eastAsia="zh-CN"/>
              </w:rPr>
              <w:t>.</w:t>
            </w:r>
            <w:r w:rsidR="008B3DD1" w:rsidRPr="004B351F">
              <w:rPr>
                <w:lang w:eastAsia="zh-CN"/>
              </w:rPr>
              <w:t xml:space="preserve"> The assumption of imperfect compliance is reasonable, however the applicability of trial-based estimates to clinical practice is uncertain.</w:t>
            </w:r>
          </w:p>
        </w:tc>
      </w:tr>
      <w:tr w:rsidR="005D0ECD" w:rsidRPr="004B351F" w14:paraId="0C865763" w14:textId="77777777" w:rsidTr="00EE2BFA">
        <w:trPr>
          <w:cantSplit/>
        </w:trPr>
        <w:tc>
          <w:tcPr>
            <w:tcW w:w="950" w:type="pct"/>
            <w:vAlign w:val="center"/>
          </w:tcPr>
          <w:p w14:paraId="49D0440C" w14:textId="10E7F781" w:rsidR="005D0ECD" w:rsidRPr="004B351F" w:rsidRDefault="003E537E" w:rsidP="003E537E">
            <w:pPr>
              <w:pStyle w:val="COMTabletext"/>
              <w:keepNext w:val="0"/>
              <w:widowControl w:val="0"/>
            </w:pPr>
            <w:r w:rsidRPr="004B351F">
              <w:rPr>
                <w:szCs w:val="20"/>
                <w:lang w:eastAsia="zh-CN"/>
              </w:rPr>
              <w:t xml:space="preserve">Substitution rate of </w:t>
            </w:r>
            <w:r w:rsidRPr="004B351F">
              <w:rPr>
                <w:szCs w:val="20"/>
              </w:rPr>
              <w:t>PET-adapted ABVD</w:t>
            </w:r>
          </w:p>
        </w:tc>
        <w:tc>
          <w:tcPr>
            <w:tcW w:w="1889" w:type="pct"/>
            <w:vAlign w:val="center"/>
          </w:tcPr>
          <w:p w14:paraId="55CF5673" w14:textId="255EA5A5" w:rsidR="005D0ECD" w:rsidRPr="004B351F" w:rsidRDefault="00AA4CCB" w:rsidP="00433EEF">
            <w:pPr>
              <w:pStyle w:val="TableText"/>
            </w:pPr>
            <w:r w:rsidRPr="00AA4CCB">
              <w:rPr>
                <w:color w:val="000000"/>
                <w:spacing w:val="53"/>
                <w:shd w:val="solid" w:color="000000" w:fill="000000"/>
                <w:fitText w:val="330" w:id="-628904439"/>
                <w14:textFill>
                  <w14:solidFill>
                    <w14:srgbClr w14:val="000000">
                      <w14:alpha w14:val="100000"/>
                    </w14:srgbClr>
                  </w14:solidFill>
                </w14:textFill>
              </w:rPr>
              <w:t>|||</w:t>
            </w:r>
            <w:r w:rsidRPr="00AA4CCB">
              <w:rPr>
                <w:color w:val="000000"/>
                <w:spacing w:val="1"/>
                <w:shd w:val="solid" w:color="000000" w:fill="000000"/>
                <w:fitText w:val="330" w:id="-628904439"/>
                <w14:textFill>
                  <w14:solidFill>
                    <w14:srgbClr w14:val="000000">
                      <w14:alpha w14:val="100000"/>
                    </w14:srgbClr>
                  </w14:solidFill>
                </w14:textFill>
              </w:rPr>
              <w:t>|</w:t>
            </w:r>
            <w:r w:rsidR="003E537E" w:rsidRPr="004B351F">
              <w:t xml:space="preserve">%. </w:t>
            </w:r>
            <w:r w:rsidR="00F15524" w:rsidRPr="004B351F">
              <w:t>Based on the a</w:t>
            </w:r>
            <w:r w:rsidR="003E537E" w:rsidRPr="004B351F">
              <w:t>ssumption</w:t>
            </w:r>
            <w:r w:rsidR="00F15524" w:rsidRPr="004B351F">
              <w:t xml:space="preserve"> that</w:t>
            </w:r>
            <w:r w:rsidR="003E537E" w:rsidRPr="004B351F">
              <w:rPr>
                <w:lang w:eastAsia="zh-CN"/>
              </w:rPr>
              <w:t xml:space="preserve"> </w:t>
            </w:r>
            <w:r w:rsidRPr="00AA4CCB">
              <w:rPr>
                <w:color w:val="000000"/>
                <w:spacing w:val="53"/>
                <w:shd w:val="solid" w:color="000000" w:fill="000000"/>
                <w:fitText w:val="330" w:id="-628904438"/>
                <w:lang w:eastAsia="zh-CN"/>
                <w14:textFill>
                  <w14:solidFill>
                    <w14:srgbClr w14:val="000000">
                      <w14:alpha w14:val="100000"/>
                    </w14:srgbClr>
                  </w14:solidFill>
                </w14:textFill>
              </w:rPr>
              <w:t>|||</w:t>
            </w:r>
            <w:r w:rsidRPr="00AA4CCB">
              <w:rPr>
                <w:color w:val="000000"/>
                <w:spacing w:val="1"/>
                <w:shd w:val="solid" w:color="000000" w:fill="000000"/>
                <w:fitText w:val="330" w:id="-628904438"/>
                <w:lang w:eastAsia="zh-CN"/>
                <w14:textFill>
                  <w14:solidFill>
                    <w14:srgbClr w14:val="000000">
                      <w14:alpha w14:val="100000"/>
                    </w14:srgbClr>
                  </w14:solidFill>
                </w14:textFill>
              </w:rPr>
              <w:t>|</w:t>
            </w:r>
            <w:r w:rsidR="003E537E" w:rsidRPr="004B351F">
              <w:rPr>
                <w:lang w:eastAsia="zh-CN"/>
              </w:rPr>
              <w:t xml:space="preserve">patients treated with A+AVD would otherwise have received treatment with PET-adapted ABVD (2 cycles of ABVD followed by 4 cycles of either AVD or </w:t>
            </w:r>
            <w:proofErr w:type="spellStart"/>
            <w:r w:rsidR="003E537E" w:rsidRPr="004B351F">
              <w:rPr>
                <w:lang w:eastAsia="zh-CN"/>
              </w:rPr>
              <w:t>eBEACOPP</w:t>
            </w:r>
            <w:proofErr w:type="spellEnd"/>
            <w:r w:rsidR="003E537E" w:rsidRPr="004B351F">
              <w:rPr>
                <w:lang w:eastAsia="zh-CN"/>
              </w:rPr>
              <w:t>).</w:t>
            </w:r>
          </w:p>
        </w:tc>
        <w:tc>
          <w:tcPr>
            <w:tcW w:w="2161" w:type="pct"/>
            <w:vAlign w:val="center"/>
          </w:tcPr>
          <w:p w14:paraId="0E346EAB" w14:textId="6AA19CE6" w:rsidR="005D0ECD" w:rsidRPr="004B351F" w:rsidRDefault="003E537E" w:rsidP="003E537E">
            <w:pPr>
              <w:pStyle w:val="COMTabletext"/>
              <w:keepNext w:val="0"/>
              <w:widowControl w:val="0"/>
            </w:pPr>
            <w:r w:rsidRPr="004B351F">
              <w:rPr>
                <w:szCs w:val="20"/>
                <w:lang w:eastAsia="zh-CN"/>
              </w:rPr>
              <w:t xml:space="preserve">DUSC previously considered that </w:t>
            </w:r>
            <w:r w:rsidR="00AA4CCB" w:rsidRPr="00AA4CCB">
              <w:rPr>
                <w:color w:val="000000"/>
                <w:spacing w:val="53"/>
                <w:szCs w:val="20"/>
                <w:shd w:val="solid" w:color="000000" w:fill="000000"/>
                <w:fitText w:val="330" w:id="-628904437"/>
                <w:lang w:eastAsia="zh-CN"/>
                <w14:textFill>
                  <w14:solidFill>
                    <w14:srgbClr w14:val="000000">
                      <w14:alpha w14:val="100000"/>
                    </w14:srgbClr>
                  </w14:solidFill>
                </w14:textFill>
              </w:rPr>
              <w:t>|||</w:t>
            </w:r>
            <w:r w:rsidR="00AA4CCB" w:rsidRPr="00AA4CCB">
              <w:rPr>
                <w:color w:val="000000"/>
                <w:spacing w:val="1"/>
                <w:szCs w:val="20"/>
                <w:shd w:val="solid" w:color="000000" w:fill="000000"/>
                <w:fitText w:val="330" w:id="-628904437"/>
                <w:lang w:eastAsia="zh-CN"/>
                <w14:textFill>
                  <w14:solidFill>
                    <w14:srgbClr w14:val="000000">
                      <w14:alpha w14:val="100000"/>
                    </w14:srgbClr>
                  </w14:solidFill>
                </w14:textFill>
              </w:rPr>
              <w:t>|</w:t>
            </w:r>
            <w:r w:rsidRPr="004B351F">
              <w:rPr>
                <w:szCs w:val="20"/>
                <w:lang w:eastAsia="zh-CN"/>
              </w:rPr>
              <w:t>% uptake (substitution rate) of comparators is inappropriate and would overestimate cost offsets (para 6.87, brentuximab vedotin PSD, March 2024 PBAC meeting).</w:t>
            </w:r>
          </w:p>
        </w:tc>
      </w:tr>
      <w:tr w:rsidR="001350D9" w:rsidRPr="004B351F" w14:paraId="7EDBF3A1" w14:textId="77777777" w:rsidTr="00EE2BFA">
        <w:trPr>
          <w:cantSplit/>
        </w:trPr>
        <w:tc>
          <w:tcPr>
            <w:tcW w:w="950" w:type="pct"/>
            <w:vAlign w:val="center"/>
          </w:tcPr>
          <w:p w14:paraId="5E24C73F" w14:textId="584A6E3E" w:rsidR="001350D9" w:rsidRPr="004B351F" w:rsidRDefault="00E947ED" w:rsidP="003E537E">
            <w:pPr>
              <w:pStyle w:val="COMTabletext"/>
              <w:keepNext w:val="0"/>
              <w:widowControl w:val="0"/>
              <w:rPr>
                <w:szCs w:val="20"/>
                <w:lang w:eastAsia="zh-CN"/>
              </w:rPr>
            </w:pPr>
            <w:r w:rsidRPr="004B351F">
              <w:rPr>
                <w:szCs w:val="20"/>
                <w:lang w:eastAsia="zh-CN"/>
              </w:rPr>
              <w:t>Proportion of patients on PET-adapted ABVD who escalate/</w:t>
            </w:r>
            <w:r w:rsidR="005A5A8F" w:rsidRPr="004B351F">
              <w:rPr>
                <w:szCs w:val="20"/>
                <w:lang w:eastAsia="zh-CN"/>
              </w:rPr>
              <w:t xml:space="preserve"> </w:t>
            </w:r>
            <w:r w:rsidRPr="004B351F">
              <w:rPr>
                <w:szCs w:val="20"/>
                <w:lang w:eastAsia="zh-CN"/>
              </w:rPr>
              <w:t>de-escalate treatment</w:t>
            </w:r>
          </w:p>
        </w:tc>
        <w:tc>
          <w:tcPr>
            <w:tcW w:w="1889" w:type="pct"/>
            <w:vAlign w:val="center"/>
          </w:tcPr>
          <w:p w14:paraId="43FCB412" w14:textId="09664E13" w:rsidR="001350D9" w:rsidRPr="004B351F" w:rsidRDefault="00E947ED" w:rsidP="00433EEF">
            <w:pPr>
              <w:pStyle w:val="TableText"/>
            </w:pPr>
            <w:r w:rsidRPr="004B351F">
              <w:t xml:space="preserve">91.3% </w:t>
            </w:r>
            <w:r w:rsidR="00E36ECD" w:rsidRPr="004B351F">
              <w:t xml:space="preserve">receive AVD, 8.7% receive </w:t>
            </w:r>
            <w:proofErr w:type="spellStart"/>
            <w:r w:rsidR="00E36ECD" w:rsidRPr="004B351F">
              <w:t>eBEACOPP</w:t>
            </w:r>
            <w:proofErr w:type="spellEnd"/>
            <w:r w:rsidR="00E36ECD" w:rsidRPr="004B351F">
              <w:t xml:space="preserve">. Based on </w:t>
            </w:r>
            <w:r w:rsidR="00F56E84" w:rsidRPr="004B351F">
              <w:t>the proportion of patients in the ECHELON-1 trial with a Deauville score of 1 to 3 (86.1%) or no available Deauville score (5.2%).</w:t>
            </w:r>
          </w:p>
        </w:tc>
        <w:tc>
          <w:tcPr>
            <w:tcW w:w="2161" w:type="pct"/>
            <w:vAlign w:val="center"/>
          </w:tcPr>
          <w:p w14:paraId="5094FDDD" w14:textId="7182BAA4" w:rsidR="001350D9" w:rsidRPr="004B351F" w:rsidRDefault="00F56E84" w:rsidP="003E537E">
            <w:pPr>
              <w:pStyle w:val="COMTabletext"/>
              <w:keepNext w:val="0"/>
              <w:widowControl w:val="0"/>
              <w:rPr>
                <w:szCs w:val="20"/>
                <w:lang w:eastAsia="zh-CN"/>
              </w:rPr>
            </w:pPr>
            <w:r w:rsidRPr="004B351F">
              <w:rPr>
                <w:szCs w:val="20"/>
              </w:rPr>
              <w:t>DUSC previously considered that this was reasonable (Table 12, brentuximab vedotin PSD, March 2024 PBAC meeting).</w:t>
            </w:r>
          </w:p>
        </w:tc>
      </w:tr>
      <w:tr w:rsidR="005D0ECD" w:rsidRPr="004B351F" w14:paraId="7DA05E57" w14:textId="77777777" w:rsidTr="00EE2BFA">
        <w:trPr>
          <w:cantSplit/>
        </w:trPr>
        <w:tc>
          <w:tcPr>
            <w:tcW w:w="950" w:type="pct"/>
            <w:vAlign w:val="center"/>
          </w:tcPr>
          <w:p w14:paraId="38021BE8" w14:textId="1DA3F2A2" w:rsidR="005D0ECD" w:rsidRPr="004B351F" w:rsidRDefault="003E537E" w:rsidP="003E537E">
            <w:pPr>
              <w:pStyle w:val="COMTabletext"/>
              <w:keepNext w:val="0"/>
              <w:widowControl w:val="0"/>
            </w:pPr>
            <w:r w:rsidRPr="004B351F">
              <w:rPr>
                <w:szCs w:val="20"/>
              </w:rPr>
              <w:lastRenderedPageBreak/>
              <w:t>Number of cycles (PET-adapted ABVD)</w:t>
            </w:r>
          </w:p>
        </w:tc>
        <w:tc>
          <w:tcPr>
            <w:tcW w:w="1889" w:type="pct"/>
            <w:vAlign w:val="center"/>
          </w:tcPr>
          <w:p w14:paraId="43F57750" w14:textId="05ADDCEF" w:rsidR="005D0ECD" w:rsidRPr="004B351F" w:rsidRDefault="004A75E2" w:rsidP="004A75E2">
            <w:pPr>
              <w:jc w:val="left"/>
              <w:rPr>
                <w:rFonts w:ascii="Arial Narrow" w:hAnsi="Arial Narrow"/>
                <w:sz w:val="20"/>
                <w:szCs w:val="20"/>
              </w:rPr>
            </w:pPr>
            <w:r w:rsidRPr="004B351F">
              <w:rPr>
                <w:rFonts w:ascii="Arial Narrow" w:hAnsi="Arial Narrow"/>
                <w:sz w:val="20"/>
                <w:szCs w:val="20"/>
              </w:rPr>
              <w:t>ABVD: 2 cycles, AVD/</w:t>
            </w:r>
            <w:proofErr w:type="spellStart"/>
            <w:r w:rsidRPr="004B351F">
              <w:rPr>
                <w:rFonts w:ascii="Arial Narrow" w:hAnsi="Arial Narrow"/>
                <w:sz w:val="20"/>
                <w:szCs w:val="20"/>
              </w:rPr>
              <w:t>eBEACOPP</w:t>
            </w:r>
            <w:proofErr w:type="spellEnd"/>
            <w:r w:rsidRPr="004B351F">
              <w:rPr>
                <w:rFonts w:ascii="Arial Narrow" w:hAnsi="Arial Narrow"/>
                <w:sz w:val="20"/>
                <w:szCs w:val="20"/>
              </w:rPr>
              <w:t xml:space="preserve">: 4 cycles. </w:t>
            </w:r>
            <w:r w:rsidRPr="004B351F">
              <w:rPr>
                <w:rFonts w:ascii="Arial Narrow" w:hAnsi="Arial Narrow"/>
                <w:sz w:val="20"/>
                <w:szCs w:val="20"/>
                <w:lang w:eastAsia="zh-CN"/>
              </w:rPr>
              <w:t>Assumed based on 100% compliance.</w:t>
            </w:r>
          </w:p>
        </w:tc>
        <w:tc>
          <w:tcPr>
            <w:tcW w:w="2161" w:type="pct"/>
            <w:vAlign w:val="center"/>
          </w:tcPr>
          <w:p w14:paraId="15A4EF9D" w14:textId="77777777" w:rsidR="005D0ECD" w:rsidRDefault="004A75E2" w:rsidP="003E537E">
            <w:pPr>
              <w:pStyle w:val="COMTabletext"/>
              <w:keepNext w:val="0"/>
              <w:widowControl w:val="0"/>
              <w:rPr>
                <w:szCs w:val="20"/>
                <w:lang w:eastAsia="zh-CN"/>
              </w:rPr>
            </w:pPr>
            <w:r w:rsidRPr="004B351F">
              <w:rPr>
                <w:szCs w:val="20"/>
                <w:lang w:eastAsia="zh-CN"/>
              </w:rPr>
              <w:t>DUSC previously considered that 100% compliance of substituted comparators is inappropriate and would overestimate cost offsets (para 6.87, brentuximab vedotin PSD, March 2024 PBAC meeting).</w:t>
            </w:r>
          </w:p>
          <w:p w14:paraId="3AEEFE59" w14:textId="76B0F2DA" w:rsidR="005508A1" w:rsidRPr="004B351F" w:rsidRDefault="00AC1C90" w:rsidP="003E537E">
            <w:pPr>
              <w:pStyle w:val="COMTabletext"/>
              <w:keepNext w:val="0"/>
              <w:widowControl w:val="0"/>
            </w:pPr>
            <w:r>
              <w:rPr>
                <w:lang w:eastAsia="zh-CN"/>
              </w:rPr>
              <w:t xml:space="preserve">The PBAC </w:t>
            </w:r>
            <w:r w:rsidR="00217017">
              <w:rPr>
                <w:lang w:eastAsia="zh-CN"/>
              </w:rPr>
              <w:t xml:space="preserve">advised that an assumption of 90% compliance would be more appropriate. </w:t>
            </w:r>
            <w:r w:rsidR="004844E7">
              <w:rPr>
                <w:lang w:eastAsia="zh-CN"/>
              </w:rPr>
              <w:t xml:space="preserve"> </w:t>
            </w:r>
          </w:p>
        </w:tc>
      </w:tr>
      <w:tr w:rsidR="005D0ECD" w:rsidRPr="004B351F" w14:paraId="7B7FA999" w14:textId="77777777" w:rsidTr="00EE2BFA">
        <w:trPr>
          <w:cantSplit/>
        </w:trPr>
        <w:tc>
          <w:tcPr>
            <w:tcW w:w="950" w:type="pct"/>
            <w:vAlign w:val="center"/>
          </w:tcPr>
          <w:p w14:paraId="2C67FF14" w14:textId="2C08BCE3" w:rsidR="005D0ECD" w:rsidRPr="004B351F" w:rsidRDefault="00B548DB" w:rsidP="003E537E">
            <w:pPr>
              <w:pStyle w:val="COMTabletext"/>
              <w:keepNext w:val="0"/>
              <w:widowControl w:val="0"/>
            </w:pPr>
            <w:r w:rsidRPr="004B351F">
              <w:t xml:space="preserve">Dose intensity </w:t>
            </w:r>
            <w:r w:rsidR="00A935F9" w:rsidRPr="004B351F">
              <w:t>(A+AVD and PET-adapted ABVD)</w:t>
            </w:r>
          </w:p>
        </w:tc>
        <w:tc>
          <w:tcPr>
            <w:tcW w:w="1889" w:type="pct"/>
            <w:vAlign w:val="center"/>
          </w:tcPr>
          <w:p w14:paraId="2CB17643" w14:textId="7891CE66" w:rsidR="005D0ECD" w:rsidRPr="004B351F" w:rsidRDefault="00A935F9" w:rsidP="003E537E">
            <w:pPr>
              <w:pStyle w:val="COMTabletext"/>
              <w:keepNext w:val="0"/>
              <w:widowControl w:val="0"/>
            </w:pPr>
            <w:r w:rsidRPr="004B351F">
              <w:t>Variable (93.5% to 100%) based on ECHELON-1 data and assumptions.</w:t>
            </w:r>
          </w:p>
        </w:tc>
        <w:tc>
          <w:tcPr>
            <w:tcW w:w="2161" w:type="pct"/>
            <w:vAlign w:val="center"/>
          </w:tcPr>
          <w:p w14:paraId="40CEF132" w14:textId="77777777" w:rsidR="00A935F9" w:rsidRPr="004B351F" w:rsidRDefault="00A935F9" w:rsidP="00443587">
            <w:pPr>
              <w:spacing w:after="120"/>
              <w:jc w:val="left"/>
              <w:rPr>
                <w:rFonts w:ascii="Arial Narrow" w:hAnsi="Arial Narrow"/>
                <w:sz w:val="20"/>
                <w:szCs w:val="20"/>
              </w:rPr>
            </w:pPr>
            <w:r w:rsidRPr="004B351F">
              <w:rPr>
                <w:rFonts w:ascii="Arial Narrow" w:hAnsi="Arial Narrow"/>
                <w:sz w:val="20"/>
                <w:szCs w:val="20"/>
              </w:rPr>
              <w:t xml:space="preserve">DUSC previously considered the assumption of 100% dose intensity for all components in each regimen was inconsistent with trial data and may overestimate the costs of A+AVD given the higher costs of A+AVD compared to PET-adapted ABVD (Table 12, brentuximab vedotin PSD, March 2024 PBAC meeting). </w:t>
            </w:r>
          </w:p>
          <w:p w14:paraId="2F12B392" w14:textId="7C78D393" w:rsidR="005D0ECD" w:rsidRPr="004B351F" w:rsidRDefault="00443587" w:rsidP="003E537E">
            <w:pPr>
              <w:pStyle w:val="COMTabletext"/>
              <w:keepNext w:val="0"/>
              <w:widowControl w:val="0"/>
            </w:pPr>
            <w:r w:rsidRPr="004B351F">
              <w:rPr>
                <w:szCs w:val="20"/>
              </w:rPr>
              <w:t xml:space="preserve">The use of trial-based dose intensities had </w:t>
            </w:r>
            <w:r w:rsidR="002F396E" w:rsidRPr="004B351F">
              <w:rPr>
                <w:szCs w:val="20"/>
              </w:rPr>
              <w:t xml:space="preserve">minimal </w:t>
            </w:r>
            <w:r w:rsidRPr="004B351F">
              <w:rPr>
                <w:szCs w:val="20"/>
              </w:rPr>
              <w:t>impact on the financial estimates given no change to the most efficient vial combination used to estimate the costs of each component in each regimen.</w:t>
            </w:r>
          </w:p>
        </w:tc>
      </w:tr>
    </w:tbl>
    <w:p w14:paraId="18D32C76" w14:textId="147E22C6" w:rsidR="00E42F73" w:rsidRPr="004B351F" w:rsidRDefault="00E42F73" w:rsidP="007E51D5">
      <w:pPr>
        <w:pStyle w:val="COMTablefooter"/>
      </w:pPr>
      <w:r w:rsidRPr="004B351F">
        <w:t xml:space="preserve">Source: </w:t>
      </w:r>
      <w:r w:rsidR="00482F37" w:rsidRPr="004B351F">
        <w:t>Section 4, pp263-282 of the resubmission</w:t>
      </w:r>
    </w:p>
    <w:p w14:paraId="0A7163E1" w14:textId="6A9FE305" w:rsidR="00482F37" w:rsidRPr="004B351F" w:rsidRDefault="00482F37" w:rsidP="007E51D5">
      <w:pPr>
        <w:pStyle w:val="COMTablefooter"/>
      </w:pPr>
      <w:r w:rsidRPr="004B351F">
        <w:t xml:space="preserve">Abbreviations: A+AVD, brentuximab vedotin, doxorubicin, vinblastine, and dacarbazine; ABVD, doxorubicin, bleomycin, vinblastine, and dacarbazine; AIHW, Australian Institute of Health and Welfare; AVD, doxorubicin, vinblastine, and dacarbazine; ECOG, Eastern Cooperative Oncology Group; </w:t>
      </w:r>
      <w:proofErr w:type="spellStart"/>
      <w:r w:rsidRPr="004B351F">
        <w:t>eBEACOPP</w:t>
      </w:r>
      <w:proofErr w:type="spellEnd"/>
      <w:r w:rsidRPr="004B351F">
        <w:t>, escalated bleomycin, etoposide, doxorubicin, cyclophosphamide, vincristine, procarbazine, and prednisolone; PET, positron emission tomography</w:t>
      </w:r>
    </w:p>
    <w:p w14:paraId="26FB6670" w14:textId="2BAF580A" w:rsidR="00B505C8" w:rsidRPr="007F66A7" w:rsidRDefault="00F07593" w:rsidP="00482F37">
      <w:pPr>
        <w:pStyle w:val="COMexecsummnumbered"/>
      </w:pPr>
      <w:r w:rsidRPr="004B351F">
        <w:t>The estimated utili</w:t>
      </w:r>
      <w:r w:rsidR="00482F37" w:rsidRPr="004B351F">
        <w:t>sation and financial impact of listing brentuximab vedotin on the</w:t>
      </w:r>
      <w:r w:rsidR="00482F37" w:rsidRPr="007F66A7">
        <w:t xml:space="preserve"> PBS/RPBS are summarised in </w:t>
      </w:r>
      <w:r w:rsidR="00FD34D9" w:rsidRPr="007F66A7">
        <w:fldChar w:fldCharType="begin"/>
      </w:r>
      <w:r w:rsidR="00FD34D9" w:rsidRPr="007F66A7">
        <w:instrText xml:space="preserve"> REF _Ref104805295 \h </w:instrText>
      </w:r>
      <w:r w:rsidR="00FD34D9" w:rsidRPr="007F66A7">
        <w:fldChar w:fldCharType="separate"/>
      </w:r>
      <w:r w:rsidR="00293B06" w:rsidRPr="007F66A7">
        <w:t xml:space="preserve">Table </w:t>
      </w:r>
      <w:r w:rsidR="00293B06">
        <w:rPr>
          <w:noProof/>
        </w:rPr>
        <w:t>16</w:t>
      </w:r>
      <w:r w:rsidR="00FD34D9" w:rsidRPr="007F66A7">
        <w:fldChar w:fldCharType="end"/>
      </w:r>
      <w:r w:rsidR="00482F37" w:rsidRPr="007F66A7">
        <w:t>.</w:t>
      </w:r>
    </w:p>
    <w:p w14:paraId="38EC053C" w14:textId="39F4C54E" w:rsidR="00C25D9C" w:rsidRPr="007F66A7" w:rsidRDefault="00E16AD8" w:rsidP="00613F63">
      <w:pPr>
        <w:pStyle w:val="COMtablefigcaption"/>
        <w:keepLines/>
      </w:pPr>
      <w:bookmarkStart w:id="55" w:name="_Ref104805295"/>
      <w:r w:rsidRPr="007F66A7">
        <w:lastRenderedPageBreak/>
        <w:t xml:space="preserve">Table </w:t>
      </w:r>
      <w:r w:rsidR="006A25C4">
        <w:fldChar w:fldCharType="begin"/>
      </w:r>
      <w:r w:rsidR="006A25C4">
        <w:instrText xml:space="preserve"> SEQ Table \* ARABIC </w:instrText>
      </w:r>
      <w:r w:rsidR="006A25C4">
        <w:fldChar w:fldCharType="separate"/>
      </w:r>
      <w:r w:rsidR="00293B06">
        <w:rPr>
          <w:noProof/>
        </w:rPr>
        <w:t>16</w:t>
      </w:r>
      <w:r w:rsidR="006A25C4">
        <w:fldChar w:fldCharType="end"/>
      </w:r>
      <w:bookmarkEnd w:id="55"/>
      <w:r w:rsidRPr="007F66A7">
        <w:t>:</w:t>
      </w:r>
      <w:r w:rsidR="002A2F50" w:rsidRPr="007F66A7">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w:tblPr>
      <w:tblGrid>
        <w:gridCol w:w="2405"/>
        <w:gridCol w:w="1102"/>
        <w:gridCol w:w="1102"/>
        <w:gridCol w:w="1102"/>
        <w:gridCol w:w="1102"/>
        <w:gridCol w:w="1102"/>
        <w:gridCol w:w="1102"/>
      </w:tblGrid>
      <w:tr w:rsidR="00385A9D" w:rsidRPr="007F66A7" w14:paraId="43A2A3A1" w14:textId="77777777" w:rsidTr="008A3158">
        <w:trPr>
          <w:tblHeader/>
        </w:trPr>
        <w:tc>
          <w:tcPr>
            <w:tcW w:w="1334" w:type="pct"/>
            <w:vAlign w:val="center"/>
          </w:tcPr>
          <w:p w14:paraId="0A4E41E1" w14:textId="77777777" w:rsidR="00385A9D" w:rsidRPr="007F66A7" w:rsidRDefault="00385A9D" w:rsidP="00613F63">
            <w:pPr>
              <w:pStyle w:val="In-tableHeading"/>
              <w:jc w:val="center"/>
              <w:rPr>
                <w:lang w:val="en-AU"/>
              </w:rPr>
            </w:pPr>
          </w:p>
        </w:tc>
        <w:tc>
          <w:tcPr>
            <w:tcW w:w="611" w:type="pct"/>
            <w:vAlign w:val="center"/>
          </w:tcPr>
          <w:p w14:paraId="77420B6F" w14:textId="77777777" w:rsidR="00385A9D" w:rsidRPr="007F66A7" w:rsidRDefault="00385A9D" w:rsidP="00613F63">
            <w:pPr>
              <w:pStyle w:val="COMTableheadingrow"/>
              <w:keepLines/>
              <w:jc w:val="center"/>
              <w:rPr>
                <w:lang w:val="en-AU"/>
              </w:rPr>
            </w:pPr>
            <w:r w:rsidRPr="007F66A7">
              <w:rPr>
                <w:lang w:val="en-AU"/>
              </w:rPr>
              <w:t>Year 1</w:t>
            </w:r>
          </w:p>
        </w:tc>
        <w:tc>
          <w:tcPr>
            <w:tcW w:w="611" w:type="pct"/>
            <w:vAlign w:val="center"/>
          </w:tcPr>
          <w:p w14:paraId="3BBD9218" w14:textId="77777777" w:rsidR="00385A9D" w:rsidRPr="007F66A7" w:rsidRDefault="00385A9D" w:rsidP="00613F63">
            <w:pPr>
              <w:pStyle w:val="COMTableheadingrow"/>
              <w:keepLines/>
              <w:jc w:val="center"/>
              <w:rPr>
                <w:lang w:val="en-AU"/>
              </w:rPr>
            </w:pPr>
            <w:r w:rsidRPr="007F66A7">
              <w:rPr>
                <w:lang w:val="en-AU"/>
              </w:rPr>
              <w:t>Year 2</w:t>
            </w:r>
          </w:p>
        </w:tc>
        <w:tc>
          <w:tcPr>
            <w:tcW w:w="611" w:type="pct"/>
            <w:vAlign w:val="center"/>
          </w:tcPr>
          <w:p w14:paraId="729A646E" w14:textId="77777777" w:rsidR="00385A9D" w:rsidRPr="007F66A7" w:rsidRDefault="00385A9D" w:rsidP="00613F63">
            <w:pPr>
              <w:pStyle w:val="COMTableheadingrow"/>
              <w:keepLines/>
              <w:jc w:val="center"/>
              <w:rPr>
                <w:lang w:val="en-AU"/>
              </w:rPr>
            </w:pPr>
            <w:r w:rsidRPr="007F66A7">
              <w:rPr>
                <w:lang w:val="en-AU"/>
              </w:rPr>
              <w:t>Year 3</w:t>
            </w:r>
          </w:p>
        </w:tc>
        <w:tc>
          <w:tcPr>
            <w:tcW w:w="611" w:type="pct"/>
            <w:vAlign w:val="center"/>
          </w:tcPr>
          <w:p w14:paraId="280BB544" w14:textId="77777777" w:rsidR="00385A9D" w:rsidRPr="007F66A7" w:rsidRDefault="00385A9D" w:rsidP="00613F63">
            <w:pPr>
              <w:pStyle w:val="COMTableheadingrow"/>
              <w:keepLines/>
              <w:jc w:val="center"/>
              <w:rPr>
                <w:lang w:val="en-AU"/>
              </w:rPr>
            </w:pPr>
            <w:r w:rsidRPr="007F66A7">
              <w:rPr>
                <w:lang w:val="en-AU"/>
              </w:rPr>
              <w:t>Year 4</w:t>
            </w:r>
          </w:p>
        </w:tc>
        <w:tc>
          <w:tcPr>
            <w:tcW w:w="611" w:type="pct"/>
            <w:vAlign w:val="center"/>
          </w:tcPr>
          <w:p w14:paraId="6435BB5B" w14:textId="77777777" w:rsidR="00385A9D" w:rsidRPr="007F66A7" w:rsidRDefault="00385A9D" w:rsidP="00613F63">
            <w:pPr>
              <w:pStyle w:val="COMTableheadingrow"/>
              <w:keepLines/>
              <w:jc w:val="center"/>
              <w:rPr>
                <w:lang w:val="en-AU"/>
              </w:rPr>
            </w:pPr>
            <w:r w:rsidRPr="007F66A7">
              <w:rPr>
                <w:lang w:val="en-AU"/>
              </w:rPr>
              <w:t>Year 5</w:t>
            </w:r>
          </w:p>
        </w:tc>
        <w:tc>
          <w:tcPr>
            <w:tcW w:w="611" w:type="pct"/>
          </w:tcPr>
          <w:p w14:paraId="7C618119" w14:textId="77777777" w:rsidR="00385A9D" w:rsidRPr="007F66A7" w:rsidRDefault="00385A9D" w:rsidP="00613F63">
            <w:pPr>
              <w:pStyle w:val="COMTableheadingrow"/>
              <w:keepLines/>
              <w:jc w:val="center"/>
              <w:rPr>
                <w:lang w:val="en-AU"/>
              </w:rPr>
            </w:pPr>
            <w:r w:rsidRPr="007F66A7">
              <w:rPr>
                <w:lang w:val="en-AU"/>
              </w:rPr>
              <w:t>Year 6</w:t>
            </w:r>
          </w:p>
        </w:tc>
      </w:tr>
      <w:tr w:rsidR="00385A9D" w:rsidRPr="007F66A7" w14:paraId="3C519059" w14:textId="77777777" w:rsidTr="009C3A3A">
        <w:tc>
          <w:tcPr>
            <w:tcW w:w="5000" w:type="pct"/>
            <w:gridSpan w:val="7"/>
            <w:vAlign w:val="center"/>
          </w:tcPr>
          <w:p w14:paraId="516C2197" w14:textId="77777777" w:rsidR="00385A9D" w:rsidRPr="007F66A7" w:rsidRDefault="00385A9D" w:rsidP="00613F63">
            <w:pPr>
              <w:pStyle w:val="COMTableheadingrow"/>
              <w:keepLines/>
              <w:rPr>
                <w:lang w:val="en-AU"/>
              </w:rPr>
            </w:pPr>
            <w:r w:rsidRPr="007F66A7">
              <w:rPr>
                <w:lang w:val="en-AU"/>
              </w:rPr>
              <w:t>Estimated extent of use</w:t>
            </w:r>
          </w:p>
        </w:tc>
      </w:tr>
      <w:tr w:rsidR="0010417E" w:rsidRPr="007F66A7" w14:paraId="22154A47" w14:textId="77777777" w:rsidTr="00025E7B">
        <w:tc>
          <w:tcPr>
            <w:tcW w:w="1334" w:type="pct"/>
            <w:vAlign w:val="center"/>
          </w:tcPr>
          <w:p w14:paraId="01D30B16" w14:textId="00CF474F" w:rsidR="0010417E" w:rsidRPr="007F66A7" w:rsidRDefault="0010417E" w:rsidP="00613F63">
            <w:pPr>
              <w:pStyle w:val="COMTabletext"/>
              <w:keepLines/>
            </w:pPr>
            <w:r w:rsidRPr="007F66A7">
              <w:t>Eligible patients</w:t>
            </w:r>
          </w:p>
        </w:tc>
        <w:tc>
          <w:tcPr>
            <w:tcW w:w="611" w:type="pct"/>
            <w:vAlign w:val="center"/>
          </w:tcPr>
          <w:p w14:paraId="185CEFDC" w14:textId="1046A1D1" w:rsidR="0010417E" w:rsidRPr="00AD1497" w:rsidRDefault="00AA4CCB" w:rsidP="00613F63">
            <w:pPr>
              <w:pStyle w:val="TableText"/>
              <w:keepNext/>
              <w:keepLines/>
              <w:rPr>
                <w:highlight w:val="darkGray"/>
                <w:vertAlign w:val="superscript"/>
              </w:rPr>
            </w:pPr>
            <w:r w:rsidRPr="00AA4CCB">
              <w:rPr>
                <w:color w:val="000000"/>
                <w:spacing w:val="53"/>
                <w:shd w:val="solid" w:color="000000" w:fill="000000"/>
                <w:fitText w:val="330" w:id="-628904436"/>
                <w14:textFill>
                  <w14:solidFill>
                    <w14:srgbClr w14:val="000000">
                      <w14:alpha w14:val="100000"/>
                    </w14:srgbClr>
                  </w14:solidFill>
                </w14:textFill>
              </w:rPr>
              <w:t>|||</w:t>
            </w:r>
            <w:r w:rsidRPr="00AA4CCB">
              <w:rPr>
                <w:color w:val="000000"/>
                <w:spacing w:val="1"/>
                <w:shd w:val="solid" w:color="000000" w:fill="000000"/>
                <w:fitText w:val="330" w:id="-628904436"/>
                <w14:textFill>
                  <w14:solidFill>
                    <w14:srgbClr w14:val="000000">
                      <w14:alpha w14:val="100000"/>
                    </w14:srgbClr>
                  </w14:solidFill>
                </w14:textFill>
              </w:rPr>
              <w:t>|</w:t>
            </w:r>
            <w:r w:rsidR="00AD1497" w:rsidRPr="00AD1497">
              <w:rPr>
                <w:vertAlign w:val="superscript"/>
              </w:rPr>
              <w:t>1</w:t>
            </w:r>
          </w:p>
        </w:tc>
        <w:tc>
          <w:tcPr>
            <w:tcW w:w="611" w:type="pct"/>
            <w:vAlign w:val="center"/>
          </w:tcPr>
          <w:p w14:paraId="406A8C7D" w14:textId="0A417B62" w:rsidR="0010417E" w:rsidRPr="00323B4E" w:rsidRDefault="00AA4CCB" w:rsidP="00613F63">
            <w:pPr>
              <w:pStyle w:val="TableText"/>
              <w:keepNext/>
              <w:keepLines/>
              <w:rPr>
                <w:highlight w:val="darkGray"/>
                <w:vertAlign w:val="superscript"/>
              </w:rPr>
            </w:pPr>
            <w:r w:rsidRPr="00AA4CCB">
              <w:rPr>
                <w:color w:val="000000"/>
                <w:spacing w:val="53"/>
                <w:shd w:val="solid" w:color="000000" w:fill="000000"/>
                <w:fitText w:val="330" w:id="-628904435"/>
                <w14:textFill>
                  <w14:solidFill>
                    <w14:srgbClr w14:val="000000">
                      <w14:alpha w14:val="100000"/>
                    </w14:srgbClr>
                  </w14:solidFill>
                </w14:textFill>
              </w:rPr>
              <w:t>|||</w:t>
            </w:r>
            <w:r w:rsidRPr="00AA4CCB">
              <w:rPr>
                <w:color w:val="000000"/>
                <w:spacing w:val="1"/>
                <w:shd w:val="solid" w:color="000000" w:fill="000000"/>
                <w:fitText w:val="330" w:id="-628904435"/>
                <w14:textFill>
                  <w14:solidFill>
                    <w14:srgbClr w14:val="000000">
                      <w14:alpha w14:val="100000"/>
                    </w14:srgbClr>
                  </w14:solidFill>
                </w14:textFill>
              </w:rPr>
              <w:t>|</w:t>
            </w:r>
            <w:r w:rsidR="00323B4E" w:rsidRPr="00323B4E">
              <w:rPr>
                <w:vertAlign w:val="superscript"/>
              </w:rPr>
              <w:t>1</w:t>
            </w:r>
          </w:p>
        </w:tc>
        <w:tc>
          <w:tcPr>
            <w:tcW w:w="611" w:type="pct"/>
            <w:vAlign w:val="center"/>
          </w:tcPr>
          <w:p w14:paraId="529C5F6A" w14:textId="0E4227A1" w:rsidR="0010417E" w:rsidRPr="009360B5" w:rsidRDefault="00AA4CCB" w:rsidP="00613F63">
            <w:pPr>
              <w:pStyle w:val="TableText"/>
              <w:keepNext/>
              <w:keepLines/>
              <w:rPr>
                <w:highlight w:val="darkGray"/>
              </w:rPr>
            </w:pPr>
            <w:r w:rsidRPr="00AA4CCB">
              <w:rPr>
                <w:color w:val="000000"/>
                <w:spacing w:val="53"/>
                <w:shd w:val="solid" w:color="000000" w:fill="000000"/>
                <w:fitText w:val="330" w:id="-628904434"/>
                <w14:textFill>
                  <w14:solidFill>
                    <w14:srgbClr w14:val="000000">
                      <w14:alpha w14:val="100000"/>
                    </w14:srgbClr>
                  </w14:solidFill>
                </w14:textFill>
              </w:rPr>
              <w:t>|||</w:t>
            </w:r>
            <w:r w:rsidRPr="00AA4CCB">
              <w:rPr>
                <w:color w:val="000000"/>
                <w:spacing w:val="1"/>
                <w:shd w:val="solid" w:color="000000" w:fill="000000"/>
                <w:fitText w:val="330" w:id="-628904434"/>
                <w14:textFill>
                  <w14:solidFill>
                    <w14:srgbClr w14:val="000000">
                      <w14:alpha w14:val="100000"/>
                    </w14:srgbClr>
                  </w14:solidFill>
                </w14:textFill>
              </w:rPr>
              <w:t>|</w:t>
            </w:r>
            <w:r w:rsidR="00323B4E" w:rsidRPr="00323B4E">
              <w:rPr>
                <w:vertAlign w:val="superscript"/>
              </w:rPr>
              <w:t>1</w:t>
            </w:r>
          </w:p>
        </w:tc>
        <w:tc>
          <w:tcPr>
            <w:tcW w:w="611" w:type="pct"/>
            <w:vAlign w:val="center"/>
          </w:tcPr>
          <w:p w14:paraId="540554B3" w14:textId="4891E3DD" w:rsidR="0010417E" w:rsidRPr="009360B5" w:rsidRDefault="00AA4CCB" w:rsidP="00613F63">
            <w:pPr>
              <w:pStyle w:val="TableText"/>
              <w:keepNext/>
              <w:keepLines/>
              <w:rPr>
                <w:highlight w:val="darkGray"/>
              </w:rPr>
            </w:pPr>
            <w:r w:rsidRPr="00AA4CCB">
              <w:rPr>
                <w:color w:val="000000"/>
                <w:spacing w:val="53"/>
                <w:shd w:val="solid" w:color="000000" w:fill="000000"/>
                <w:fitText w:val="330" w:id="-628904433"/>
                <w14:textFill>
                  <w14:solidFill>
                    <w14:srgbClr w14:val="000000">
                      <w14:alpha w14:val="100000"/>
                    </w14:srgbClr>
                  </w14:solidFill>
                </w14:textFill>
              </w:rPr>
              <w:t>|||</w:t>
            </w:r>
            <w:r w:rsidRPr="00AA4CCB">
              <w:rPr>
                <w:color w:val="000000"/>
                <w:spacing w:val="1"/>
                <w:shd w:val="solid" w:color="000000" w:fill="000000"/>
                <w:fitText w:val="330" w:id="-628904433"/>
                <w14:textFill>
                  <w14:solidFill>
                    <w14:srgbClr w14:val="000000">
                      <w14:alpha w14:val="100000"/>
                    </w14:srgbClr>
                  </w14:solidFill>
                </w14:textFill>
              </w:rPr>
              <w:t>|</w:t>
            </w:r>
            <w:r w:rsidR="00323B4E" w:rsidRPr="00323B4E">
              <w:rPr>
                <w:vertAlign w:val="superscript"/>
              </w:rPr>
              <w:t>1</w:t>
            </w:r>
          </w:p>
        </w:tc>
        <w:tc>
          <w:tcPr>
            <w:tcW w:w="611" w:type="pct"/>
            <w:vAlign w:val="center"/>
          </w:tcPr>
          <w:p w14:paraId="6B8F4625" w14:textId="00E85840" w:rsidR="0010417E" w:rsidRPr="009360B5" w:rsidRDefault="00AA4CCB" w:rsidP="00613F63">
            <w:pPr>
              <w:pStyle w:val="TableText"/>
              <w:keepNext/>
              <w:keepLines/>
              <w:rPr>
                <w:highlight w:val="darkGray"/>
              </w:rPr>
            </w:pPr>
            <w:r w:rsidRPr="00AA4CCB">
              <w:rPr>
                <w:color w:val="000000"/>
                <w:spacing w:val="53"/>
                <w:shd w:val="solid" w:color="000000" w:fill="000000"/>
                <w:fitText w:val="330" w:id="-628904432"/>
                <w14:textFill>
                  <w14:solidFill>
                    <w14:srgbClr w14:val="000000">
                      <w14:alpha w14:val="100000"/>
                    </w14:srgbClr>
                  </w14:solidFill>
                </w14:textFill>
              </w:rPr>
              <w:t>|||</w:t>
            </w:r>
            <w:r w:rsidRPr="00AA4CCB">
              <w:rPr>
                <w:color w:val="000000"/>
                <w:spacing w:val="1"/>
                <w:shd w:val="solid" w:color="000000" w:fill="000000"/>
                <w:fitText w:val="330" w:id="-628904432"/>
                <w14:textFill>
                  <w14:solidFill>
                    <w14:srgbClr w14:val="000000">
                      <w14:alpha w14:val="100000"/>
                    </w14:srgbClr>
                  </w14:solidFill>
                </w14:textFill>
              </w:rPr>
              <w:t>|</w:t>
            </w:r>
            <w:r w:rsidR="00323B4E" w:rsidRPr="00323B4E">
              <w:rPr>
                <w:vertAlign w:val="superscript"/>
              </w:rPr>
              <w:t>1</w:t>
            </w:r>
          </w:p>
        </w:tc>
        <w:tc>
          <w:tcPr>
            <w:tcW w:w="611" w:type="pct"/>
            <w:vAlign w:val="center"/>
          </w:tcPr>
          <w:p w14:paraId="7282E197" w14:textId="0099D4A0" w:rsidR="0010417E" w:rsidRPr="009360B5" w:rsidRDefault="00AA4CCB" w:rsidP="00613F63">
            <w:pPr>
              <w:pStyle w:val="TableText"/>
              <w:keepNext/>
              <w:keepLines/>
              <w:rPr>
                <w:highlight w:val="darkGray"/>
              </w:rPr>
            </w:pPr>
            <w:r w:rsidRPr="00AA4CCB">
              <w:rPr>
                <w:color w:val="000000"/>
                <w:spacing w:val="53"/>
                <w:shd w:val="solid" w:color="000000" w:fill="000000"/>
                <w:fitText w:val="330" w:id="-628904448"/>
                <w14:textFill>
                  <w14:solidFill>
                    <w14:srgbClr w14:val="000000">
                      <w14:alpha w14:val="100000"/>
                    </w14:srgbClr>
                  </w14:solidFill>
                </w14:textFill>
              </w:rPr>
              <w:t>|||</w:t>
            </w:r>
            <w:r w:rsidRPr="00AA4CCB">
              <w:rPr>
                <w:color w:val="000000"/>
                <w:spacing w:val="1"/>
                <w:shd w:val="solid" w:color="000000" w:fill="000000"/>
                <w:fitText w:val="330" w:id="-628904448"/>
                <w14:textFill>
                  <w14:solidFill>
                    <w14:srgbClr w14:val="000000">
                      <w14:alpha w14:val="100000"/>
                    </w14:srgbClr>
                  </w14:solidFill>
                </w14:textFill>
              </w:rPr>
              <w:t>|</w:t>
            </w:r>
            <w:r w:rsidR="00323B4E" w:rsidRPr="00323B4E">
              <w:rPr>
                <w:vertAlign w:val="superscript"/>
              </w:rPr>
              <w:t>1</w:t>
            </w:r>
          </w:p>
        </w:tc>
      </w:tr>
      <w:tr w:rsidR="00393DE2" w:rsidRPr="007F66A7" w14:paraId="148A8EEF" w14:textId="77777777" w:rsidTr="00025E7B">
        <w:tc>
          <w:tcPr>
            <w:tcW w:w="1334" w:type="pct"/>
            <w:vAlign w:val="center"/>
          </w:tcPr>
          <w:p w14:paraId="201B6ECA" w14:textId="54F233CA" w:rsidR="00393DE2" w:rsidRPr="007F66A7" w:rsidRDefault="00393DE2" w:rsidP="00613F63">
            <w:pPr>
              <w:pStyle w:val="COMTabletext"/>
              <w:keepLines/>
              <w:rPr>
                <w:rFonts w:ascii="Times" w:hAnsi="Times"/>
              </w:rPr>
            </w:pPr>
            <w:r w:rsidRPr="007F66A7">
              <w:t>Treated patients</w:t>
            </w:r>
          </w:p>
        </w:tc>
        <w:tc>
          <w:tcPr>
            <w:tcW w:w="611" w:type="pct"/>
            <w:vAlign w:val="center"/>
          </w:tcPr>
          <w:p w14:paraId="577607A9" w14:textId="28CB4FC1" w:rsidR="00393DE2" w:rsidRPr="009360B5" w:rsidRDefault="00AA4CCB" w:rsidP="00613F63">
            <w:pPr>
              <w:pStyle w:val="TableText"/>
              <w:keepNext/>
              <w:keepLines/>
              <w:rPr>
                <w:highlight w:val="darkGray"/>
              </w:rPr>
            </w:pPr>
            <w:r w:rsidRPr="00AA4CCB">
              <w:rPr>
                <w:color w:val="000000"/>
                <w:spacing w:val="53"/>
                <w:shd w:val="solid" w:color="000000" w:fill="000000"/>
                <w:fitText w:val="330" w:id="-628904447"/>
                <w14:textFill>
                  <w14:solidFill>
                    <w14:srgbClr w14:val="000000">
                      <w14:alpha w14:val="100000"/>
                    </w14:srgbClr>
                  </w14:solidFill>
                </w14:textFill>
              </w:rPr>
              <w:t>|||</w:t>
            </w:r>
            <w:r w:rsidRPr="00AA4CCB">
              <w:rPr>
                <w:color w:val="000000"/>
                <w:spacing w:val="1"/>
                <w:shd w:val="solid" w:color="000000" w:fill="000000"/>
                <w:fitText w:val="330" w:id="-628904447"/>
                <w14:textFill>
                  <w14:solidFill>
                    <w14:srgbClr w14:val="000000">
                      <w14:alpha w14:val="100000"/>
                    </w14:srgbClr>
                  </w14:solidFill>
                </w14:textFill>
              </w:rPr>
              <w:t>|</w:t>
            </w:r>
            <w:r w:rsidR="00323B4E" w:rsidRPr="00323B4E">
              <w:rPr>
                <w:vertAlign w:val="superscript"/>
              </w:rPr>
              <w:t>1</w:t>
            </w:r>
          </w:p>
        </w:tc>
        <w:tc>
          <w:tcPr>
            <w:tcW w:w="611" w:type="pct"/>
            <w:vAlign w:val="center"/>
          </w:tcPr>
          <w:p w14:paraId="6610B4C9" w14:textId="22E804CC" w:rsidR="00393DE2" w:rsidRPr="009360B5" w:rsidRDefault="00AA4CCB" w:rsidP="00613F63">
            <w:pPr>
              <w:pStyle w:val="TableText"/>
              <w:keepNext/>
              <w:keepLines/>
              <w:rPr>
                <w:highlight w:val="darkGray"/>
              </w:rPr>
            </w:pPr>
            <w:r w:rsidRPr="00AA4CCB">
              <w:rPr>
                <w:color w:val="000000"/>
                <w:spacing w:val="53"/>
                <w:shd w:val="solid" w:color="000000" w:fill="000000"/>
                <w:fitText w:val="330" w:id="-628904446"/>
                <w14:textFill>
                  <w14:solidFill>
                    <w14:srgbClr w14:val="000000">
                      <w14:alpha w14:val="100000"/>
                    </w14:srgbClr>
                  </w14:solidFill>
                </w14:textFill>
              </w:rPr>
              <w:t>|||</w:t>
            </w:r>
            <w:r w:rsidRPr="00AA4CCB">
              <w:rPr>
                <w:color w:val="000000"/>
                <w:spacing w:val="1"/>
                <w:shd w:val="solid" w:color="000000" w:fill="000000"/>
                <w:fitText w:val="330" w:id="-628904446"/>
                <w14:textFill>
                  <w14:solidFill>
                    <w14:srgbClr w14:val="000000">
                      <w14:alpha w14:val="100000"/>
                    </w14:srgbClr>
                  </w14:solidFill>
                </w14:textFill>
              </w:rPr>
              <w:t>|</w:t>
            </w:r>
            <w:r w:rsidR="00323B4E" w:rsidRPr="00323B4E">
              <w:rPr>
                <w:vertAlign w:val="superscript"/>
              </w:rPr>
              <w:t>1</w:t>
            </w:r>
          </w:p>
        </w:tc>
        <w:tc>
          <w:tcPr>
            <w:tcW w:w="611" w:type="pct"/>
            <w:vAlign w:val="center"/>
          </w:tcPr>
          <w:p w14:paraId="29F46D6B" w14:textId="2E6871A7" w:rsidR="00393DE2" w:rsidRPr="009360B5" w:rsidRDefault="00AA4CCB" w:rsidP="00613F63">
            <w:pPr>
              <w:pStyle w:val="TableText"/>
              <w:keepNext/>
              <w:keepLines/>
              <w:rPr>
                <w:highlight w:val="darkGray"/>
              </w:rPr>
            </w:pPr>
            <w:r w:rsidRPr="00AA4CCB">
              <w:rPr>
                <w:color w:val="000000"/>
                <w:spacing w:val="53"/>
                <w:shd w:val="solid" w:color="000000" w:fill="000000"/>
                <w:fitText w:val="330" w:id="-628904445"/>
                <w14:textFill>
                  <w14:solidFill>
                    <w14:srgbClr w14:val="000000">
                      <w14:alpha w14:val="100000"/>
                    </w14:srgbClr>
                  </w14:solidFill>
                </w14:textFill>
              </w:rPr>
              <w:t>|||</w:t>
            </w:r>
            <w:r w:rsidRPr="00AA4CCB">
              <w:rPr>
                <w:color w:val="000000"/>
                <w:spacing w:val="1"/>
                <w:shd w:val="solid" w:color="000000" w:fill="000000"/>
                <w:fitText w:val="330" w:id="-628904445"/>
                <w14:textFill>
                  <w14:solidFill>
                    <w14:srgbClr w14:val="000000">
                      <w14:alpha w14:val="100000"/>
                    </w14:srgbClr>
                  </w14:solidFill>
                </w14:textFill>
              </w:rPr>
              <w:t>|</w:t>
            </w:r>
            <w:r w:rsidR="00323B4E" w:rsidRPr="00323B4E">
              <w:rPr>
                <w:vertAlign w:val="superscript"/>
              </w:rPr>
              <w:t>1</w:t>
            </w:r>
          </w:p>
        </w:tc>
        <w:tc>
          <w:tcPr>
            <w:tcW w:w="611" w:type="pct"/>
            <w:vAlign w:val="center"/>
          </w:tcPr>
          <w:p w14:paraId="21167904" w14:textId="7DFE32D0" w:rsidR="00393DE2" w:rsidRPr="009360B5" w:rsidRDefault="00AA4CCB" w:rsidP="00613F63">
            <w:pPr>
              <w:pStyle w:val="TableText"/>
              <w:keepNext/>
              <w:keepLines/>
              <w:rPr>
                <w:highlight w:val="darkGray"/>
              </w:rPr>
            </w:pPr>
            <w:r w:rsidRPr="00AA4CCB">
              <w:rPr>
                <w:color w:val="000000"/>
                <w:spacing w:val="53"/>
                <w:shd w:val="solid" w:color="000000" w:fill="000000"/>
                <w:fitText w:val="330" w:id="-628904444"/>
                <w14:textFill>
                  <w14:solidFill>
                    <w14:srgbClr w14:val="000000">
                      <w14:alpha w14:val="100000"/>
                    </w14:srgbClr>
                  </w14:solidFill>
                </w14:textFill>
              </w:rPr>
              <w:t>|||</w:t>
            </w:r>
            <w:r w:rsidRPr="00AA4CCB">
              <w:rPr>
                <w:color w:val="000000"/>
                <w:spacing w:val="1"/>
                <w:shd w:val="solid" w:color="000000" w:fill="000000"/>
                <w:fitText w:val="330" w:id="-628904444"/>
                <w14:textFill>
                  <w14:solidFill>
                    <w14:srgbClr w14:val="000000">
                      <w14:alpha w14:val="100000"/>
                    </w14:srgbClr>
                  </w14:solidFill>
                </w14:textFill>
              </w:rPr>
              <w:t>|</w:t>
            </w:r>
            <w:r w:rsidR="00323B4E" w:rsidRPr="00323B4E">
              <w:rPr>
                <w:vertAlign w:val="superscript"/>
              </w:rPr>
              <w:t>1</w:t>
            </w:r>
          </w:p>
        </w:tc>
        <w:tc>
          <w:tcPr>
            <w:tcW w:w="611" w:type="pct"/>
            <w:vAlign w:val="center"/>
          </w:tcPr>
          <w:p w14:paraId="762D4B71" w14:textId="2C057F5D" w:rsidR="00393DE2" w:rsidRPr="009360B5" w:rsidRDefault="00AA4CCB" w:rsidP="00613F63">
            <w:pPr>
              <w:pStyle w:val="TableText"/>
              <w:keepNext/>
              <w:keepLines/>
              <w:rPr>
                <w:highlight w:val="darkGray"/>
              </w:rPr>
            </w:pPr>
            <w:r w:rsidRPr="00AA4CCB">
              <w:rPr>
                <w:color w:val="000000"/>
                <w:spacing w:val="53"/>
                <w:shd w:val="solid" w:color="000000" w:fill="000000"/>
                <w:fitText w:val="330" w:id="-628904443"/>
                <w14:textFill>
                  <w14:solidFill>
                    <w14:srgbClr w14:val="000000">
                      <w14:alpha w14:val="100000"/>
                    </w14:srgbClr>
                  </w14:solidFill>
                </w14:textFill>
              </w:rPr>
              <w:t>|||</w:t>
            </w:r>
            <w:r w:rsidRPr="00AA4CCB">
              <w:rPr>
                <w:color w:val="000000"/>
                <w:spacing w:val="1"/>
                <w:shd w:val="solid" w:color="000000" w:fill="000000"/>
                <w:fitText w:val="330" w:id="-628904443"/>
                <w14:textFill>
                  <w14:solidFill>
                    <w14:srgbClr w14:val="000000">
                      <w14:alpha w14:val="100000"/>
                    </w14:srgbClr>
                  </w14:solidFill>
                </w14:textFill>
              </w:rPr>
              <w:t>|</w:t>
            </w:r>
            <w:r w:rsidR="00323B4E" w:rsidRPr="00323B4E">
              <w:rPr>
                <w:vertAlign w:val="superscript"/>
              </w:rPr>
              <w:t>1</w:t>
            </w:r>
          </w:p>
        </w:tc>
        <w:tc>
          <w:tcPr>
            <w:tcW w:w="611" w:type="pct"/>
            <w:vAlign w:val="center"/>
          </w:tcPr>
          <w:p w14:paraId="42B428B5" w14:textId="25A09FEF" w:rsidR="00393DE2" w:rsidRPr="009360B5" w:rsidRDefault="00AA4CCB" w:rsidP="00613F63">
            <w:pPr>
              <w:pStyle w:val="TableText"/>
              <w:keepNext/>
              <w:keepLines/>
              <w:rPr>
                <w:highlight w:val="darkGray"/>
              </w:rPr>
            </w:pPr>
            <w:r w:rsidRPr="00AA4CCB">
              <w:rPr>
                <w:color w:val="000000"/>
                <w:spacing w:val="53"/>
                <w:shd w:val="solid" w:color="000000" w:fill="000000"/>
                <w:fitText w:val="330" w:id="-628904442"/>
                <w14:textFill>
                  <w14:solidFill>
                    <w14:srgbClr w14:val="000000">
                      <w14:alpha w14:val="100000"/>
                    </w14:srgbClr>
                  </w14:solidFill>
                </w14:textFill>
              </w:rPr>
              <w:t>|||</w:t>
            </w:r>
            <w:r w:rsidRPr="00AA4CCB">
              <w:rPr>
                <w:color w:val="000000"/>
                <w:spacing w:val="1"/>
                <w:shd w:val="solid" w:color="000000" w:fill="000000"/>
                <w:fitText w:val="330" w:id="-628904442"/>
                <w14:textFill>
                  <w14:solidFill>
                    <w14:srgbClr w14:val="000000">
                      <w14:alpha w14:val="100000"/>
                    </w14:srgbClr>
                  </w14:solidFill>
                </w14:textFill>
              </w:rPr>
              <w:t>|</w:t>
            </w:r>
            <w:r w:rsidR="00323B4E" w:rsidRPr="00323B4E">
              <w:rPr>
                <w:vertAlign w:val="superscript"/>
              </w:rPr>
              <w:t>1</w:t>
            </w:r>
          </w:p>
        </w:tc>
      </w:tr>
      <w:tr w:rsidR="00385A9D" w:rsidRPr="007F66A7" w14:paraId="1E699D47" w14:textId="77777777" w:rsidTr="009C3A3A">
        <w:tc>
          <w:tcPr>
            <w:tcW w:w="5000" w:type="pct"/>
            <w:gridSpan w:val="7"/>
            <w:vAlign w:val="center"/>
          </w:tcPr>
          <w:p w14:paraId="7D0E0884" w14:textId="4AAA90BD" w:rsidR="00385A9D" w:rsidRPr="007F66A7" w:rsidRDefault="00207B46" w:rsidP="00613F63">
            <w:pPr>
              <w:pStyle w:val="COMTableheadingrow"/>
              <w:keepLines/>
              <w:rPr>
                <w:lang w:val="en-AU"/>
              </w:rPr>
            </w:pPr>
            <w:r w:rsidRPr="007F66A7">
              <w:rPr>
                <w:lang w:val="en-AU"/>
              </w:rPr>
              <w:t>Cost to the PBS/RPBS (less copayments)</w:t>
            </w:r>
          </w:p>
        </w:tc>
      </w:tr>
      <w:tr w:rsidR="00B82370" w:rsidRPr="007F66A7" w14:paraId="4B4ACF1A" w14:textId="77777777" w:rsidTr="00025E7B">
        <w:tc>
          <w:tcPr>
            <w:tcW w:w="1334" w:type="pct"/>
            <w:vAlign w:val="center"/>
          </w:tcPr>
          <w:p w14:paraId="467993BD" w14:textId="22E3A50E" w:rsidR="00B82370" w:rsidRPr="007F66A7" w:rsidRDefault="00B82370" w:rsidP="00613F63">
            <w:pPr>
              <w:pStyle w:val="COMTabletext"/>
              <w:keepLines/>
            </w:pPr>
            <w:r w:rsidRPr="007F66A7">
              <w:t>Cost to PBS/RPBS for A+AVD</w:t>
            </w:r>
          </w:p>
        </w:tc>
        <w:tc>
          <w:tcPr>
            <w:tcW w:w="611" w:type="pct"/>
            <w:vAlign w:val="center"/>
          </w:tcPr>
          <w:p w14:paraId="4125A2B6" w14:textId="1657A55F" w:rsidR="00B82370" w:rsidRPr="001B0FF2" w:rsidRDefault="00B82370" w:rsidP="00613F63">
            <w:pPr>
              <w:pStyle w:val="TableText"/>
              <w:keepNext/>
              <w:keepLines/>
              <w:rPr>
                <w:vertAlign w:val="superscript"/>
              </w:rPr>
            </w:pPr>
            <w:r w:rsidRPr="007F66A7">
              <w:t>$</w:t>
            </w:r>
            <w:r w:rsidR="00AA4CCB" w:rsidRPr="00AA4CCB">
              <w:rPr>
                <w:color w:val="000000"/>
                <w:spacing w:val="53"/>
                <w:shd w:val="solid" w:color="000000" w:fill="000000"/>
                <w:fitText w:val="330" w:id="-628904441"/>
                <w14:textFill>
                  <w14:solidFill>
                    <w14:srgbClr w14:val="000000">
                      <w14:alpha w14:val="100000"/>
                    </w14:srgbClr>
                  </w14:solidFill>
                </w14:textFill>
              </w:rPr>
              <w:t>|||</w:t>
            </w:r>
            <w:r w:rsidR="00AA4CCB" w:rsidRPr="00AA4CCB">
              <w:rPr>
                <w:color w:val="000000"/>
                <w:spacing w:val="1"/>
                <w:shd w:val="solid" w:color="000000" w:fill="000000"/>
                <w:fitText w:val="330" w:id="-628904441"/>
                <w14:textFill>
                  <w14:solidFill>
                    <w14:srgbClr w14:val="000000">
                      <w14:alpha w14:val="100000"/>
                    </w14:srgbClr>
                  </w14:solidFill>
                </w14:textFill>
              </w:rPr>
              <w:t>|</w:t>
            </w:r>
            <w:r w:rsidR="001B0FF2">
              <w:rPr>
                <w:vertAlign w:val="superscript"/>
              </w:rPr>
              <w:t>2</w:t>
            </w:r>
          </w:p>
        </w:tc>
        <w:tc>
          <w:tcPr>
            <w:tcW w:w="611" w:type="pct"/>
            <w:vAlign w:val="center"/>
          </w:tcPr>
          <w:p w14:paraId="5BDFECEB" w14:textId="76509E94" w:rsidR="00B82370" w:rsidRPr="008C0024" w:rsidRDefault="00B82370" w:rsidP="00613F63">
            <w:pPr>
              <w:pStyle w:val="TableText"/>
              <w:keepNext/>
              <w:keepLines/>
              <w:rPr>
                <w:vertAlign w:val="superscript"/>
              </w:rPr>
            </w:pPr>
            <w:r w:rsidRPr="007F66A7">
              <w:t>$</w:t>
            </w:r>
            <w:r w:rsidR="00AA4CCB" w:rsidRPr="00AA4CCB">
              <w:rPr>
                <w:color w:val="000000"/>
                <w:spacing w:val="53"/>
                <w:shd w:val="solid" w:color="000000" w:fill="000000"/>
                <w:fitText w:val="330" w:id="-628904440"/>
                <w14:textFill>
                  <w14:solidFill>
                    <w14:srgbClr w14:val="000000">
                      <w14:alpha w14:val="100000"/>
                    </w14:srgbClr>
                  </w14:solidFill>
                </w14:textFill>
              </w:rPr>
              <w:t>|||</w:t>
            </w:r>
            <w:r w:rsidR="00AA4CCB" w:rsidRPr="00AA4CCB">
              <w:rPr>
                <w:color w:val="000000"/>
                <w:spacing w:val="1"/>
                <w:shd w:val="solid" w:color="000000" w:fill="000000"/>
                <w:fitText w:val="330" w:id="-628904440"/>
                <w14:textFill>
                  <w14:solidFill>
                    <w14:srgbClr w14:val="000000">
                      <w14:alpha w14:val="100000"/>
                    </w14:srgbClr>
                  </w14:solidFill>
                </w14:textFill>
              </w:rPr>
              <w:t>|</w:t>
            </w:r>
            <w:r w:rsidR="008C0024">
              <w:rPr>
                <w:vertAlign w:val="superscript"/>
              </w:rPr>
              <w:t>3</w:t>
            </w:r>
          </w:p>
        </w:tc>
        <w:tc>
          <w:tcPr>
            <w:tcW w:w="611" w:type="pct"/>
            <w:vAlign w:val="center"/>
          </w:tcPr>
          <w:p w14:paraId="3890D42E" w14:textId="43C31751" w:rsidR="00B82370" w:rsidRPr="008C0024" w:rsidRDefault="00B82370" w:rsidP="00613F63">
            <w:pPr>
              <w:pStyle w:val="TableText"/>
              <w:keepNext/>
              <w:keepLines/>
              <w:rPr>
                <w:vertAlign w:val="superscript"/>
              </w:rPr>
            </w:pPr>
            <w:r w:rsidRPr="007F66A7">
              <w:t>$</w:t>
            </w:r>
            <w:r w:rsidR="00AA4CCB" w:rsidRPr="00AA4CCB">
              <w:rPr>
                <w:color w:val="000000"/>
                <w:spacing w:val="53"/>
                <w:shd w:val="solid" w:color="000000" w:fill="000000"/>
                <w:fitText w:val="330" w:id="-628904439"/>
                <w14:textFill>
                  <w14:solidFill>
                    <w14:srgbClr w14:val="000000">
                      <w14:alpha w14:val="100000"/>
                    </w14:srgbClr>
                  </w14:solidFill>
                </w14:textFill>
              </w:rPr>
              <w:t>|||</w:t>
            </w:r>
            <w:r w:rsidR="00AA4CCB" w:rsidRPr="00AA4CCB">
              <w:rPr>
                <w:color w:val="000000"/>
                <w:spacing w:val="1"/>
                <w:shd w:val="solid" w:color="000000" w:fill="000000"/>
                <w:fitText w:val="330" w:id="-628904439"/>
                <w14:textFill>
                  <w14:solidFill>
                    <w14:srgbClr w14:val="000000">
                      <w14:alpha w14:val="100000"/>
                    </w14:srgbClr>
                  </w14:solidFill>
                </w14:textFill>
              </w:rPr>
              <w:t>|</w:t>
            </w:r>
            <w:r w:rsidR="008C0024">
              <w:rPr>
                <w:vertAlign w:val="superscript"/>
              </w:rPr>
              <w:t>3</w:t>
            </w:r>
          </w:p>
        </w:tc>
        <w:tc>
          <w:tcPr>
            <w:tcW w:w="611" w:type="pct"/>
            <w:vAlign w:val="center"/>
          </w:tcPr>
          <w:p w14:paraId="2728B643" w14:textId="49E5BC38" w:rsidR="00B82370" w:rsidRPr="008C0024" w:rsidRDefault="00B82370" w:rsidP="00613F63">
            <w:pPr>
              <w:pStyle w:val="TableText"/>
              <w:keepNext/>
              <w:keepLines/>
              <w:rPr>
                <w:vertAlign w:val="superscript"/>
              </w:rPr>
            </w:pPr>
            <w:r w:rsidRPr="007F66A7">
              <w:t>$</w:t>
            </w:r>
            <w:r w:rsidR="00AA4CCB" w:rsidRPr="00AA4CCB">
              <w:rPr>
                <w:color w:val="000000"/>
                <w:spacing w:val="53"/>
                <w:shd w:val="solid" w:color="000000" w:fill="000000"/>
                <w:fitText w:val="330" w:id="-628904438"/>
                <w14:textFill>
                  <w14:solidFill>
                    <w14:srgbClr w14:val="000000">
                      <w14:alpha w14:val="100000"/>
                    </w14:srgbClr>
                  </w14:solidFill>
                </w14:textFill>
              </w:rPr>
              <w:t>|||</w:t>
            </w:r>
            <w:r w:rsidR="00AA4CCB" w:rsidRPr="00AA4CCB">
              <w:rPr>
                <w:color w:val="000000"/>
                <w:spacing w:val="1"/>
                <w:shd w:val="solid" w:color="000000" w:fill="000000"/>
                <w:fitText w:val="330" w:id="-628904438"/>
                <w14:textFill>
                  <w14:solidFill>
                    <w14:srgbClr w14:val="000000">
                      <w14:alpha w14:val="100000"/>
                    </w14:srgbClr>
                  </w14:solidFill>
                </w14:textFill>
              </w:rPr>
              <w:t>|</w:t>
            </w:r>
            <w:r w:rsidR="008C0024">
              <w:rPr>
                <w:vertAlign w:val="superscript"/>
              </w:rPr>
              <w:t>3</w:t>
            </w:r>
          </w:p>
        </w:tc>
        <w:tc>
          <w:tcPr>
            <w:tcW w:w="611" w:type="pct"/>
            <w:vAlign w:val="center"/>
          </w:tcPr>
          <w:p w14:paraId="5FE5021A" w14:textId="6A7A5E10" w:rsidR="00B82370" w:rsidRPr="008C0024" w:rsidRDefault="00B82370" w:rsidP="00613F63">
            <w:pPr>
              <w:pStyle w:val="TableText"/>
              <w:keepNext/>
              <w:keepLines/>
              <w:rPr>
                <w:vertAlign w:val="superscript"/>
              </w:rPr>
            </w:pPr>
            <w:r w:rsidRPr="007F66A7">
              <w:t>$</w:t>
            </w:r>
            <w:r w:rsidR="00AA4CCB" w:rsidRPr="00AA4CCB">
              <w:rPr>
                <w:color w:val="000000"/>
                <w:spacing w:val="53"/>
                <w:shd w:val="solid" w:color="000000" w:fill="000000"/>
                <w:fitText w:val="330" w:id="-628904437"/>
                <w14:textFill>
                  <w14:solidFill>
                    <w14:srgbClr w14:val="000000">
                      <w14:alpha w14:val="100000"/>
                    </w14:srgbClr>
                  </w14:solidFill>
                </w14:textFill>
              </w:rPr>
              <w:t>|||</w:t>
            </w:r>
            <w:r w:rsidR="00AA4CCB" w:rsidRPr="00AA4CCB">
              <w:rPr>
                <w:color w:val="000000"/>
                <w:spacing w:val="1"/>
                <w:shd w:val="solid" w:color="000000" w:fill="000000"/>
                <w:fitText w:val="330" w:id="-628904437"/>
                <w14:textFill>
                  <w14:solidFill>
                    <w14:srgbClr w14:val="000000">
                      <w14:alpha w14:val="100000"/>
                    </w14:srgbClr>
                  </w14:solidFill>
                </w14:textFill>
              </w:rPr>
              <w:t>|</w:t>
            </w:r>
            <w:r w:rsidR="008C0024">
              <w:rPr>
                <w:vertAlign w:val="superscript"/>
              </w:rPr>
              <w:t>3</w:t>
            </w:r>
          </w:p>
        </w:tc>
        <w:tc>
          <w:tcPr>
            <w:tcW w:w="611" w:type="pct"/>
            <w:vAlign w:val="center"/>
          </w:tcPr>
          <w:p w14:paraId="6F8E9082" w14:textId="7C65FB55" w:rsidR="00B82370" w:rsidRPr="008C0024" w:rsidRDefault="00B82370" w:rsidP="00613F63">
            <w:pPr>
              <w:pStyle w:val="TableText"/>
              <w:keepNext/>
              <w:keepLines/>
              <w:rPr>
                <w:vertAlign w:val="superscript"/>
              </w:rPr>
            </w:pPr>
            <w:r w:rsidRPr="007F66A7">
              <w:t>$</w:t>
            </w:r>
            <w:r w:rsidR="00AA4CCB" w:rsidRPr="00AA4CCB">
              <w:rPr>
                <w:color w:val="000000"/>
                <w:spacing w:val="53"/>
                <w:shd w:val="solid" w:color="000000" w:fill="000000"/>
                <w:fitText w:val="330" w:id="-628904436"/>
                <w14:textFill>
                  <w14:solidFill>
                    <w14:srgbClr w14:val="000000">
                      <w14:alpha w14:val="100000"/>
                    </w14:srgbClr>
                  </w14:solidFill>
                </w14:textFill>
              </w:rPr>
              <w:t>|||</w:t>
            </w:r>
            <w:r w:rsidR="00AA4CCB" w:rsidRPr="00AA4CCB">
              <w:rPr>
                <w:color w:val="000000"/>
                <w:spacing w:val="1"/>
                <w:shd w:val="solid" w:color="000000" w:fill="000000"/>
                <w:fitText w:val="330" w:id="-628904436"/>
                <w14:textFill>
                  <w14:solidFill>
                    <w14:srgbClr w14:val="000000">
                      <w14:alpha w14:val="100000"/>
                    </w14:srgbClr>
                  </w14:solidFill>
                </w14:textFill>
              </w:rPr>
              <w:t>|</w:t>
            </w:r>
            <w:r w:rsidR="008C0024">
              <w:rPr>
                <w:vertAlign w:val="superscript"/>
              </w:rPr>
              <w:t>3</w:t>
            </w:r>
          </w:p>
        </w:tc>
      </w:tr>
      <w:tr w:rsidR="00025E7B" w:rsidRPr="007F66A7" w14:paraId="0CE077D9" w14:textId="77777777" w:rsidTr="00025E7B">
        <w:tc>
          <w:tcPr>
            <w:tcW w:w="1334" w:type="pct"/>
            <w:vAlign w:val="center"/>
          </w:tcPr>
          <w:p w14:paraId="40F6A2C5" w14:textId="58A0E2F9" w:rsidR="00025E7B" w:rsidRPr="007F66A7" w:rsidRDefault="00025E7B" w:rsidP="00613F63">
            <w:pPr>
              <w:pStyle w:val="COMTabletext"/>
              <w:keepLines/>
            </w:pPr>
            <w:r w:rsidRPr="007F66A7">
              <w:t>Cost offsets for substituted use of PET-adapted ABVD</w:t>
            </w:r>
          </w:p>
        </w:tc>
        <w:tc>
          <w:tcPr>
            <w:tcW w:w="611" w:type="pct"/>
            <w:vAlign w:val="center"/>
          </w:tcPr>
          <w:p w14:paraId="50CF2446" w14:textId="26EBF97E" w:rsidR="00025E7B" w:rsidRPr="00A42C6E" w:rsidRDefault="00025E7B" w:rsidP="00613F63">
            <w:pPr>
              <w:pStyle w:val="TableText"/>
              <w:keepNext/>
              <w:keepLines/>
              <w:rPr>
                <w:vertAlign w:val="superscript"/>
              </w:rPr>
            </w:pPr>
            <w:r w:rsidRPr="007F66A7">
              <w:t>-$</w:t>
            </w:r>
            <w:r w:rsidR="00AA4CCB" w:rsidRPr="00AA4CCB">
              <w:rPr>
                <w:color w:val="000000"/>
                <w:spacing w:val="53"/>
                <w:shd w:val="solid" w:color="000000" w:fill="000000"/>
                <w:fitText w:val="330" w:id="-628904435"/>
                <w14:textFill>
                  <w14:solidFill>
                    <w14:srgbClr w14:val="000000">
                      <w14:alpha w14:val="100000"/>
                    </w14:srgbClr>
                  </w14:solidFill>
                </w14:textFill>
              </w:rPr>
              <w:t>|||</w:t>
            </w:r>
            <w:r w:rsidR="00AA4CCB" w:rsidRPr="00AA4CCB">
              <w:rPr>
                <w:color w:val="000000"/>
                <w:spacing w:val="1"/>
                <w:shd w:val="solid" w:color="000000" w:fill="000000"/>
                <w:fitText w:val="330" w:id="-628904435"/>
                <w14:textFill>
                  <w14:solidFill>
                    <w14:srgbClr w14:val="000000">
                      <w14:alpha w14:val="100000"/>
                    </w14:srgbClr>
                  </w14:solidFill>
                </w14:textFill>
              </w:rPr>
              <w:t>|</w:t>
            </w:r>
            <w:r w:rsidR="00A42C6E">
              <w:rPr>
                <w:vertAlign w:val="superscript"/>
              </w:rPr>
              <w:t>2</w:t>
            </w:r>
          </w:p>
        </w:tc>
        <w:tc>
          <w:tcPr>
            <w:tcW w:w="611" w:type="pct"/>
            <w:vAlign w:val="center"/>
          </w:tcPr>
          <w:p w14:paraId="35AF80ED" w14:textId="3CDEEB82" w:rsidR="00025E7B" w:rsidRPr="00A42C6E" w:rsidRDefault="00025E7B" w:rsidP="00613F63">
            <w:pPr>
              <w:pStyle w:val="TableText"/>
              <w:keepNext/>
              <w:keepLines/>
              <w:rPr>
                <w:vertAlign w:val="superscript"/>
              </w:rPr>
            </w:pPr>
            <w:r w:rsidRPr="007F66A7">
              <w:t>-$</w:t>
            </w:r>
            <w:r w:rsidR="00AA4CCB" w:rsidRPr="00AA4CCB">
              <w:rPr>
                <w:color w:val="000000"/>
                <w:spacing w:val="53"/>
                <w:shd w:val="solid" w:color="000000" w:fill="000000"/>
                <w:fitText w:val="330" w:id="-628904434"/>
                <w14:textFill>
                  <w14:solidFill>
                    <w14:srgbClr w14:val="000000">
                      <w14:alpha w14:val="100000"/>
                    </w14:srgbClr>
                  </w14:solidFill>
                </w14:textFill>
              </w:rPr>
              <w:t>|||</w:t>
            </w:r>
            <w:r w:rsidR="00AA4CCB" w:rsidRPr="00AA4CCB">
              <w:rPr>
                <w:color w:val="000000"/>
                <w:spacing w:val="1"/>
                <w:shd w:val="solid" w:color="000000" w:fill="000000"/>
                <w:fitText w:val="330" w:id="-628904434"/>
                <w14:textFill>
                  <w14:solidFill>
                    <w14:srgbClr w14:val="000000">
                      <w14:alpha w14:val="100000"/>
                    </w14:srgbClr>
                  </w14:solidFill>
                </w14:textFill>
              </w:rPr>
              <w:t>|</w:t>
            </w:r>
            <w:r w:rsidR="00A42C6E">
              <w:rPr>
                <w:vertAlign w:val="superscript"/>
              </w:rPr>
              <w:t>2</w:t>
            </w:r>
          </w:p>
        </w:tc>
        <w:tc>
          <w:tcPr>
            <w:tcW w:w="611" w:type="pct"/>
            <w:vAlign w:val="center"/>
          </w:tcPr>
          <w:p w14:paraId="28F1C25D" w14:textId="0939258A" w:rsidR="00025E7B" w:rsidRPr="008C0024" w:rsidRDefault="00025E7B" w:rsidP="00613F63">
            <w:pPr>
              <w:pStyle w:val="TableText"/>
              <w:keepNext/>
              <w:keepLines/>
              <w:rPr>
                <w:vertAlign w:val="superscript"/>
              </w:rPr>
            </w:pPr>
            <w:r w:rsidRPr="007F66A7">
              <w:t>-$</w:t>
            </w:r>
            <w:r w:rsidR="00AA4CCB" w:rsidRPr="00AA4CCB">
              <w:rPr>
                <w:color w:val="000000"/>
                <w:spacing w:val="53"/>
                <w:shd w:val="solid" w:color="000000" w:fill="000000"/>
                <w:fitText w:val="330" w:id="-628904433"/>
                <w14:textFill>
                  <w14:solidFill>
                    <w14:srgbClr w14:val="000000">
                      <w14:alpha w14:val="100000"/>
                    </w14:srgbClr>
                  </w14:solidFill>
                </w14:textFill>
              </w:rPr>
              <w:t>|||</w:t>
            </w:r>
            <w:r w:rsidR="00AA4CCB" w:rsidRPr="00AA4CCB">
              <w:rPr>
                <w:color w:val="000000"/>
                <w:spacing w:val="1"/>
                <w:shd w:val="solid" w:color="000000" w:fill="000000"/>
                <w:fitText w:val="330" w:id="-628904433"/>
                <w14:textFill>
                  <w14:solidFill>
                    <w14:srgbClr w14:val="000000">
                      <w14:alpha w14:val="100000"/>
                    </w14:srgbClr>
                  </w14:solidFill>
                </w14:textFill>
              </w:rPr>
              <w:t>|</w:t>
            </w:r>
            <w:r w:rsidR="008C0024">
              <w:rPr>
                <w:vertAlign w:val="superscript"/>
              </w:rPr>
              <w:t>2</w:t>
            </w:r>
          </w:p>
        </w:tc>
        <w:tc>
          <w:tcPr>
            <w:tcW w:w="611" w:type="pct"/>
            <w:vAlign w:val="center"/>
          </w:tcPr>
          <w:p w14:paraId="5DBA4173" w14:textId="7BE1B839" w:rsidR="00025E7B" w:rsidRPr="00A42C6E" w:rsidRDefault="00025E7B" w:rsidP="00613F63">
            <w:pPr>
              <w:pStyle w:val="TableText"/>
              <w:keepNext/>
              <w:keepLines/>
              <w:rPr>
                <w:vertAlign w:val="superscript"/>
              </w:rPr>
            </w:pPr>
            <w:r w:rsidRPr="007F66A7">
              <w:t>-$</w:t>
            </w:r>
            <w:r w:rsidR="00AA4CCB" w:rsidRPr="00AA4CCB">
              <w:rPr>
                <w:color w:val="000000"/>
                <w:spacing w:val="53"/>
                <w:shd w:val="solid" w:color="000000" w:fill="000000"/>
                <w:fitText w:val="330" w:id="-628904432"/>
                <w14:textFill>
                  <w14:solidFill>
                    <w14:srgbClr w14:val="000000">
                      <w14:alpha w14:val="100000"/>
                    </w14:srgbClr>
                  </w14:solidFill>
                </w14:textFill>
              </w:rPr>
              <w:t>|||</w:t>
            </w:r>
            <w:r w:rsidR="00AA4CCB" w:rsidRPr="00AA4CCB">
              <w:rPr>
                <w:color w:val="000000"/>
                <w:spacing w:val="1"/>
                <w:shd w:val="solid" w:color="000000" w:fill="000000"/>
                <w:fitText w:val="330" w:id="-628904432"/>
                <w14:textFill>
                  <w14:solidFill>
                    <w14:srgbClr w14:val="000000">
                      <w14:alpha w14:val="100000"/>
                    </w14:srgbClr>
                  </w14:solidFill>
                </w14:textFill>
              </w:rPr>
              <w:t>|</w:t>
            </w:r>
            <w:r w:rsidR="00A42C6E">
              <w:rPr>
                <w:vertAlign w:val="superscript"/>
              </w:rPr>
              <w:t>2</w:t>
            </w:r>
          </w:p>
        </w:tc>
        <w:tc>
          <w:tcPr>
            <w:tcW w:w="611" w:type="pct"/>
            <w:vAlign w:val="center"/>
          </w:tcPr>
          <w:p w14:paraId="4D6DC68C" w14:textId="297BABB9" w:rsidR="00025E7B" w:rsidRPr="00A42C6E" w:rsidRDefault="00025E7B" w:rsidP="00613F63">
            <w:pPr>
              <w:pStyle w:val="TableText"/>
              <w:keepNext/>
              <w:keepLines/>
              <w:rPr>
                <w:vertAlign w:val="superscript"/>
              </w:rPr>
            </w:pPr>
            <w:r w:rsidRPr="007F66A7">
              <w:t>-$</w:t>
            </w:r>
            <w:r w:rsidR="00AA4CCB" w:rsidRPr="00AA4CCB">
              <w:rPr>
                <w:color w:val="000000"/>
                <w:spacing w:val="53"/>
                <w:shd w:val="solid" w:color="000000" w:fill="000000"/>
                <w:fitText w:val="330" w:id="-628904448"/>
                <w14:textFill>
                  <w14:solidFill>
                    <w14:srgbClr w14:val="000000">
                      <w14:alpha w14:val="100000"/>
                    </w14:srgbClr>
                  </w14:solidFill>
                </w14:textFill>
              </w:rPr>
              <w:t>|||</w:t>
            </w:r>
            <w:r w:rsidR="00AA4CCB" w:rsidRPr="00AA4CCB">
              <w:rPr>
                <w:color w:val="000000"/>
                <w:spacing w:val="1"/>
                <w:shd w:val="solid" w:color="000000" w:fill="000000"/>
                <w:fitText w:val="330" w:id="-628904448"/>
                <w14:textFill>
                  <w14:solidFill>
                    <w14:srgbClr w14:val="000000">
                      <w14:alpha w14:val="100000"/>
                    </w14:srgbClr>
                  </w14:solidFill>
                </w14:textFill>
              </w:rPr>
              <w:t>|</w:t>
            </w:r>
            <w:r w:rsidR="00A42C6E">
              <w:rPr>
                <w:vertAlign w:val="superscript"/>
              </w:rPr>
              <w:t>2</w:t>
            </w:r>
          </w:p>
        </w:tc>
        <w:tc>
          <w:tcPr>
            <w:tcW w:w="611" w:type="pct"/>
            <w:vAlign w:val="center"/>
          </w:tcPr>
          <w:p w14:paraId="0766C6AC" w14:textId="3AB11D14" w:rsidR="00025E7B" w:rsidRPr="00A42C6E" w:rsidRDefault="00025E7B" w:rsidP="00613F63">
            <w:pPr>
              <w:pStyle w:val="TableText"/>
              <w:keepNext/>
              <w:keepLines/>
              <w:rPr>
                <w:vertAlign w:val="superscript"/>
              </w:rPr>
            </w:pPr>
            <w:r w:rsidRPr="007F66A7">
              <w:t>-$</w:t>
            </w:r>
            <w:r w:rsidR="00AA4CCB" w:rsidRPr="00AA4CCB">
              <w:rPr>
                <w:color w:val="000000"/>
                <w:spacing w:val="53"/>
                <w:shd w:val="solid" w:color="000000" w:fill="000000"/>
                <w:fitText w:val="330" w:id="-628904447"/>
                <w14:textFill>
                  <w14:solidFill>
                    <w14:srgbClr w14:val="000000">
                      <w14:alpha w14:val="100000"/>
                    </w14:srgbClr>
                  </w14:solidFill>
                </w14:textFill>
              </w:rPr>
              <w:t>|||</w:t>
            </w:r>
            <w:r w:rsidR="00AA4CCB" w:rsidRPr="00AA4CCB">
              <w:rPr>
                <w:color w:val="000000"/>
                <w:spacing w:val="1"/>
                <w:shd w:val="solid" w:color="000000" w:fill="000000"/>
                <w:fitText w:val="330" w:id="-628904447"/>
                <w14:textFill>
                  <w14:solidFill>
                    <w14:srgbClr w14:val="000000">
                      <w14:alpha w14:val="100000"/>
                    </w14:srgbClr>
                  </w14:solidFill>
                </w14:textFill>
              </w:rPr>
              <w:t>|</w:t>
            </w:r>
            <w:r w:rsidR="00A42C6E">
              <w:rPr>
                <w:vertAlign w:val="superscript"/>
              </w:rPr>
              <w:t>2</w:t>
            </w:r>
          </w:p>
        </w:tc>
      </w:tr>
      <w:tr w:rsidR="00025E7B" w:rsidRPr="007F66A7" w14:paraId="191E0C96" w14:textId="77777777" w:rsidTr="00025E7B">
        <w:tc>
          <w:tcPr>
            <w:tcW w:w="1334" w:type="pct"/>
            <w:vAlign w:val="center"/>
          </w:tcPr>
          <w:p w14:paraId="2AB80D12" w14:textId="3F649CB6" w:rsidR="00025E7B" w:rsidRPr="007F66A7" w:rsidRDefault="00025E7B" w:rsidP="00613F63">
            <w:pPr>
              <w:pStyle w:val="COMTabletext"/>
              <w:keepLines/>
            </w:pPr>
            <w:r w:rsidRPr="007F66A7">
              <w:t>Net cost to the PBS/RPBS</w:t>
            </w:r>
          </w:p>
        </w:tc>
        <w:tc>
          <w:tcPr>
            <w:tcW w:w="611" w:type="pct"/>
            <w:vAlign w:val="center"/>
          </w:tcPr>
          <w:p w14:paraId="71DA25E8" w14:textId="1608C76D" w:rsidR="00025E7B" w:rsidRPr="001B0FF2" w:rsidRDefault="00025E7B" w:rsidP="00613F63">
            <w:pPr>
              <w:pStyle w:val="TableText"/>
              <w:keepNext/>
              <w:keepLines/>
              <w:rPr>
                <w:vertAlign w:val="superscript"/>
              </w:rPr>
            </w:pPr>
            <w:r w:rsidRPr="007F66A7">
              <w:t>$</w:t>
            </w:r>
            <w:r w:rsidR="00AA4CCB" w:rsidRPr="00AA4CCB">
              <w:rPr>
                <w:color w:val="000000"/>
                <w:spacing w:val="53"/>
                <w:shd w:val="solid" w:color="000000" w:fill="000000"/>
                <w:fitText w:val="330" w:id="-628904446"/>
                <w14:textFill>
                  <w14:solidFill>
                    <w14:srgbClr w14:val="000000">
                      <w14:alpha w14:val="100000"/>
                    </w14:srgbClr>
                  </w14:solidFill>
                </w14:textFill>
              </w:rPr>
              <w:t>|||</w:t>
            </w:r>
            <w:r w:rsidR="00AA4CCB" w:rsidRPr="00AA4CCB">
              <w:rPr>
                <w:color w:val="000000"/>
                <w:spacing w:val="1"/>
                <w:shd w:val="solid" w:color="000000" w:fill="000000"/>
                <w:fitText w:val="330" w:id="-628904446"/>
                <w14:textFill>
                  <w14:solidFill>
                    <w14:srgbClr w14:val="000000">
                      <w14:alpha w14:val="100000"/>
                    </w14:srgbClr>
                  </w14:solidFill>
                </w14:textFill>
              </w:rPr>
              <w:t>|</w:t>
            </w:r>
            <w:r w:rsidR="001B0FF2">
              <w:rPr>
                <w:vertAlign w:val="superscript"/>
              </w:rPr>
              <w:t>2</w:t>
            </w:r>
          </w:p>
        </w:tc>
        <w:tc>
          <w:tcPr>
            <w:tcW w:w="611" w:type="pct"/>
            <w:vAlign w:val="center"/>
          </w:tcPr>
          <w:p w14:paraId="58ED223A" w14:textId="07B94CF5" w:rsidR="00025E7B" w:rsidRPr="00A42C6E" w:rsidRDefault="00025E7B" w:rsidP="00613F63">
            <w:pPr>
              <w:pStyle w:val="TableText"/>
              <w:keepNext/>
              <w:keepLines/>
              <w:rPr>
                <w:vertAlign w:val="superscript"/>
              </w:rPr>
            </w:pPr>
            <w:r w:rsidRPr="007F66A7">
              <w:t>$</w:t>
            </w:r>
            <w:r w:rsidR="00AA4CCB" w:rsidRPr="00AA4CCB">
              <w:rPr>
                <w:color w:val="000000"/>
                <w:spacing w:val="53"/>
                <w:shd w:val="solid" w:color="000000" w:fill="000000"/>
                <w:fitText w:val="330" w:id="-628904445"/>
                <w14:textFill>
                  <w14:solidFill>
                    <w14:srgbClr w14:val="000000">
                      <w14:alpha w14:val="100000"/>
                    </w14:srgbClr>
                  </w14:solidFill>
                </w14:textFill>
              </w:rPr>
              <w:t>|||</w:t>
            </w:r>
            <w:r w:rsidR="00AA4CCB" w:rsidRPr="00AA4CCB">
              <w:rPr>
                <w:color w:val="000000"/>
                <w:spacing w:val="1"/>
                <w:shd w:val="solid" w:color="000000" w:fill="000000"/>
                <w:fitText w:val="330" w:id="-628904445"/>
                <w14:textFill>
                  <w14:solidFill>
                    <w14:srgbClr w14:val="000000">
                      <w14:alpha w14:val="100000"/>
                    </w14:srgbClr>
                  </w14:solidFill>
                </w14:textFill>
              </w:rPr>
              <w:t>|</w:t>
            </w:r>
            <w:r w:rsidR="00A42C6E">
              <w:rPr>
                <w:vertAlign w:val="superscript"/>
              </w:rPr>
              <w:t>2</w:t>
            </w:r>
          </w:p>
        </w:tc>
        <w:tc>
          <w:tcPr>
            <w:tcW w:w="611" w:type="pct"/>
            <w:vAlign w:val="center"/>
          </w:tcPr>
          <w:p w14:paraId="1C46E91C" w14:textId="1D919092" w:rsidR="00025E7B" w:rsidRPr="008C0024" w:rsidRDefault="00025E7B" w:rsidP="00613F63">
            <w:pPr>
              <w:pStyle w:val="TableText"/>
              <w:keepNext/>
              <w:keepLines/>
              <w:rPr>
                <w:vertAlign w:val="superscript"/>
              </w:rPr>
            </w:pPr>
            <w:r w:rsidRPr="007F66A7">
              <w:t>$</w:t>
            </w:r>
            <w:r w:rsidR="00AA4CCB" w:rsidRPr="00AA4CCB">
              <w:rPr>
                <w:color w:val="000000"/>
                <w:spacing w:val="53"/>
                <w:shd w:val="solid" w:color="000000" w:fill="000000"/>
                <w:fitText w:val="330" w:id="-628904444"/>
                <w14:textFill>
                  <w14:solidFill>
                    <w14:srgbClr w14:val="000000">
                      <w14:alpha w14:val="100000"/>
                    </w14:srgbClr>
                  </w14:solidFill>
                </w14:textFill>
              </w:rPr>
              <w:t>|||</w:t>
            </w:r>
            <w:r w:rsidR="00AA4CCB" w:rsidRPr="00AA4CCB">
              <w:rPr>
                <w:color w:val="000000"/>
                <w:spacing w:val="1"/>
                <w:shd w:val="solid" w:color="000000" w:fill="000000"/>
                <w:fitText w:val="330" w:id="-628904444"/>
                <w14:textFill>
                  <w14:solidFill>
                    <w14:srgbClr w14:val="000000">
                      <w14:alpha w14:val="100000"/>
                    </w14:srgbClr>
                  </w14:solidFill>
                </w14:textFill>
              </w:rPr>
              <w:t>|</w:t>
            </w:r>
            <w:r w:rsidR="008C0024">
              <w:rPr>
                <w:vertAlign w:val="superscript"/>
              </w:rPr>
              <w:t>3</w:t>
            </w:r>
          </w:p>
        </w:tc>
        <w:tc>
          <w:tcPr>
            <w:tcW w:w="611" w:type="pct"/>
            <w:vAlign w:val="center"/>
          </w:tcPr>
          <w:p w14:paraId="67698912" w14:textId="32BAE4E1" w:rsidR="00025E7B" w:rsidRPr="008C0024" w:rsidRDefault="009360B5" w:rsidP="00613F63">
            <w:pPr>
              <w:pStyle w:val="TableText"/>
              <w:keepNext/>
              <w:keepLines/>
              <w:rPr>
                <w:vertAlign w:val="superscript"/>
              </w:rPr>
            </w:pPr>
            <w:r w:rsidRPr="009360B5">
              <w:t>$</w:t>
            </w:r>
            <w:r w:rsidR="00AA4CCB" w:rsidRPr="00AA4CCB">
              <w:rPr>
                <w:color w:val="000000"/>
                <w:spacing w:val="53"/>
                <w:shd w:val="solid" w:color="000000" w:fill="000000"/>
                <w:fitText w:val="330" w:id="-628904443"/>
                <w14:textFill>
                  <w14:solidFill>
                    <w14:srgbClr w14:val="000000">
                      <w14:alpha w14:val="100000"/>
                    </w14:srgbClr>
                  </w14:solidFill>
                </w14:textFill>
              </w:rPr>
              <w:t>|||</w:t>
            </w:r>
            <w:r w:rsidR="00AA4CCB" w:rsidRPr="00AA4CCB">
              <w:rPr>
                <w:color w:val="000000"/>
                <w:spacing w:val="1"/>
                <w:shd w:val="solid" w:color="000000" w:fill="000000"/>
                <w:fitText w:val="330" w:id="-628904443"/>
                <w14:textFill>
                  <w14:solidFill>
                    <w14:srgbClr w14:val="000000">
                      <w14:alpha w14:val="100000"/>
                    </w14:srgbClr>
                  </w14:solidFill>
                </w14:textFill>
              </w:rPr>
              <w:t>|</w:t>
            </w:r>
            <w:r w:rsidR="008C0024">
              <w:rPr>
                <w:vertAlign w:val="superscript"/>
              </w:rPr>
              <w:t>3</w:t>
            </w:r>
          </w:p>
        </w:tc>
        <w:tc>
          <w:tcPr>
            <w:tcW w:w="611" w:type="pct"/>
            <w:vAlign w:val="center"/>
          </w:tcPr>
          <w:p w14:paraId="56BC76B1" w14:textId="5F68DE39" w:rsidR="00025E7B" w:rsidRPr="008C0024" w:rsidRDefault="00025E7B" w:rsidP="00613F63">
            <w:pPr>
              <w:pStyle w:val="TableText"/>
              <w:keepNext/>
              <w:keepLines/>
              <w:rPr>
                <w:vertAlign w:val="superscript"/>
              </w:rPr>
            </w:pPr>
            <w:r w:rsidRPr="007F66A7">
              <w:t>$</w:t>
            </w:r>
            <w:r w:rsidR="00AA4CCB" w:rsidRPr="00AA4CCB">
              <w:rPr>
                <w:color w:val="000000"/>
                <w:spacing w:val="53"/>
                <w:shd w:val="solid" w:color="000000" w:fill="000000"/>
                <w:fitText w:val="330" w:id="-628904442"/>
                <w14:textFill>
                  <w14:solidFill>
                    <w14:srgbClr w14:val="000000">
                      <w14:alpha w14:val="100000"/>
                    </w14:srgbClr>
                  </w14:solidFill>
                </w14:textFill>
              </w:rPr>
              <w:t>|||</w:t>
            </w:r>
            <w:r w:rsidR="00AA4CCB" w:rsidRPr="00AA4CCB">
              <w:rPr>
                <w:color w:val="000000"/>
                <w:spacing w:val="1"/>
                <w:shd w:val="solid" w:color="000000" w:fill="000000"/>
                <w:fitText w:val="330" w:id="-628904442"/>
                <w14:textFill>
                  <w14:solidFill>
                    <w14:srgbClr w14:val="000000">
                      <w14:alpha w14:val="100000"/>
                    </w14:srgbClr>
                  </w14:solidFill>
                </w14:textFill>
              </w:rPr>
              <w:t>|</w:t>
            </w:r>
            <w:r w:rsidR="008C0024">
              <w:rPr>
                <w:vertAlign w:val="superscript"/>
              </w:rPr>
              <w:t>3</w:t>
            </w:r>
          </w:p>
        </w:tc>
        <w:tc>
          <w:tcPr>
            <w:tcW w:w="611" w:type="pct"/>
            <w:vAlign w:val="center"/>
          </w:tcPr>
          <w:p w14:paraId="17224782" w14:textId="23F47710" w:rsidR="00025E7B" w:rsidRPr="008C0024" w:rsidRDefault="00025E7B" w:rsidP="00613F63">
            <w:pPr>
              <w:pStyle w:val="TableText"/>
              <w:keepNext/>
              <w:keepLines/>
              <w:rPr>
                <w:vertAlign w:val="superscript"/>
              </w:rPr>
            </w:pPr>
            <w:r w:rsidRPr="007F66A7">
              <w:t>$</w:t>
            </w:r>
            <w:r w:rsidR="00AA4CCB" w:rsidRPr="00AA4CCB">
              <w:rPr>
                <w:color w:val="000000"/>
                <w:spacing w:val="53"/>
                <w:shd w:val="solid" w:color="000000" w:fill="000000"/>
                <w:fitText w:val="330" w:id="-628904441"/>
                <w14:textFill>
                  <w14:solidFill>
                    <w14:srgbClr w14:val="000000">
                      <w14:alpha w14:val="100000"/>
                    </w14:srgbClr>
                  </w14:solidFill>
                </w14:textFill>
              </w:rPr>
              <w:t>|||</w:t>
            </w:r>
            <w:r w:rsidR="00AA4CCB" w:rsidRPr="00AA4CCB">
              <w:rPr>
                <w:color w:val="000000"/>
                <w:spacing w:val="1"/>
                <w:shd w:val="solid" w:color="000000" w:fill="000000"/>
                <w:fitText w:val="330" w:id="-628904441"/>
                <w14:textFill>
                  <w14:solidFill>
                    <w14:srgbClr w14:val="000000">
                      <w14:alpha w14:val="100000"/>
                    </w14:srgbClr>
                  </w14:solidFill>
                </w14:textFill>
              </w:rPr>
              <w:t>|</w:t>
            </w:r>
            <w:r w:rsidR="008C0024">
              <w:rPr>
                <w:vertAlign w:val="superscript"/>
              </w:rPr>
              <w:t>3</w:t>
            </w:r>
          </w:p>
        </w:tc>
      </w:tr>
      <w:tr w:rsidR="00385A9D" w:rsidRPr="007F66A7" w14:paraId="4FA07BD8" w14:textId="77777777" w:rsidTr="009C3A3A">
        <w:tc>
          <w:tcPr>
            <w:tcW w:w="5000" w:type="pct"/>
            <w:gridSpan w:val="7"/>
            <w:vAlign w:val="center"/>
          </w:tcPr>
          <w:p w14:paraId="1A627EA0" w14:textId="715F3ADD" w:rsidR="00385A9D" w:rsidRPr="007F66A7" w:rsidRDefault="00805C88" w:rsidP="00613F63">
            <w:pPr>
              <w:pStyle w:val="COMTableheadingrow"/>
              <w:keepLines/>
              <w:rPr>
                <w:lang w:val="en-AU"/>
              </w:rPr>
            </w:pPr>
            <w:r w:rsidRPr="007F66A7">
              <w:rPr>
                <w:lang w:val="en-AU"/>
              </w:rPr>
              <w:t>Cost to the MBS</w:t>
            </w:r>
          </w:p>
        </w:tc>
      </w:tr>
      <w:tr w:rsidR="002F13E8" w:rsidRPr="007F66A7" w14:paraId="3F33D4C6" w14:textId="77777777" w:rsidTr="00EC6484">
        <w:tc>
          <w:tcPr>
            <w:tcW w:w="1334" w:type="pct"/>
            <w:vAlign w:val="center"/>
          </w:tcPr>
          <w:p w14:paraId="5ABBDE64" w14:textId="28CD2DBB" w:rsidR="002F13E8" w:rsidRPr="007F66A7" w:rsidRDefault="002F13E8" w:rsidP="00613F63">
            <w:pPr>
              <w:pStyle w:val="COMTabletext"/>
              <w:keepLines/>
            </w:pPr>
            <w:r w:rsidRPr="007F66A7">
              <w:t>Cost offset due to reduced chemotherapy administrations</w:t>
            </w:r>
          </w:p>
        </w:tc>
        <w:tc>
          <w:tcPr>
            <w:tcW w:w="611" w:type="pct"/>
            <w:vAlign w:val="center"/>
          </w:tcPr>
          <w:p w14:paraId="744F82C2" w14:textId="205FEFCA" w:rsidR="002F13E8" w:rsidRPr="00A42C6E" w:rsidRDefault="002F13E8" w:rsidP="00613F63">
            <w:pPr>
              <w:pStyle w:val="TableText"/>
              <w:keepNext/>
              <w:keepLines/>
              <w:rPr>
                <w:vertAlign w:val="superscript"/>
              </w:rPr>
            </w:pPr>
            <w:r w:rsidRPr="007F66A7">
              <w:t>-$</w:t>
            </w:r>
            <w:r w:rsidR="00AA4CCB" w:rsidRPr="00AA4CCB">
              <w:rPr>
                <w:color w:val="000000"/>
                <w:spacing w:val="53"/>
                <w:shd w:val="solid" w:color="000000" w:fill="000000"/>
                <w:fitText w:val="330" w:id="-628904440"/>
                <w14:textFill>
                  <w14:solidFill>
                    <w14:srgbClr w14:val="000000">
                      <w14:alpha w14:val="100000"/>
                    </w14:srgbClr>
                  </w14:solidFill>
                </w14:textFill>
              </w:rPr>
              <w:t>|||</w:t>
            </w:r>
            <w:r w:rsidR="00AA4CCB" w:rsidRPr="00AA4CCB">
              <w:rPr>
                <w:color w:val="000000"/>
                <w:spacing w:val="1"/>
                <w:shd w:val="solid" w:color="000000" w:fill="000000"/>
                <w:fitText w:val="330" w:id="-628904440"/>
                <w14:textFill>
                  <w14:solidFill>
                    <w14:srgbClr w14:val="000000">
                      <w14:alpha w14:val="100000"/>
                    </w14:srgbClr>
                  </w14:solidFill>
                </w14:textFill>
              </w:rPr>
              <w:t>|</w:t>
            </w:r>
            <w:r w:rsidR="00A42C6E">
              <w:rPr>
                <w:vertAlign w:val="superscript"/>
              </w:rPr>
              <w:t>2</w:t>
            </w:r>
          </w:p>
        </w:tc>
        <w:tc>
          <w:tcPr>
            <w:tcW w:w="611" w:type="pct"/>
            <w:vAlign w:val="center"/>
          </w:tcPr>
          <w:p w14:paraId="295843EA" w14:textId="150F76F4" w:rsidR="002F13E8" w:rsidRPr="00A42C6E" w:rsidRDefault="002F13E8" w:rsidP="00613F63">
            <w:pPr>
              <w:pStyle w:val="TableText"/>
              <w:keepNext/>
              <w:keepLines/>
              <w:rPr>
                <w:vertAlign w:val="superscript"/>
              </w:rPr>
            </w:pPr>
            <w:r w:rsidRPr="007F66A7">
              <w:t>-$</w:t>
            </w:r>
            <w:r w:rsidR="00AA4CCB" w:rsidRPr="00AA4CCB">
              <w:rPr>
                <w:color w:val="000000"/>
                <w:spacing w:val="53"/>
                <w:shd w:val="solid" w:color="000000" w:fill="000000"/>
                <w:fitText w:val="330" w:id="-628904439"/>
                <w14:textFill>
                  <w14:solidFill>
                    <w14:srgbClr w14:val="000000">
                      <w14:alpha w14:val="100000"/>
                    </w14:srgbClr>
                  </w14:solidFill>
                </w14:textFill>
              </w:rPr>
              <w:t>|||</w:t>
            </w:r>
            <w:r w:rsidR="00AA4CCB" w:rsidRPr="00AA4CCB">
              <w:rPr>
                <w:color w:val="000000"/>
                <w:spacing w:val="1"/>
                <w:shd w:val="solid" w:color="000000" w:fill="000000"/>
                <w:fitText w:val="330" w:id="-628904439"/>
                <w14:textFill>
                  <w14:solidFill>
                    <w14:srgbClr w14:val="000000">
                      <w14:alpha w14:val="100000"/>
                    </w14:srgbClr>
                  </w14:solidFill>
                </w14:textFill>
              </w:rPr>
              <w:t>|</w:t>
            </w:r>
            <w:r w:rsidR="00A42C6E">
              <w:rPr>
                <w:vertAlign w:val="superscript"/>
              </w:rPr>
              <w:t>2</w:t>
            </w:r>
          </w:p>
        </w:tc>
        <w:tc>
          <w:tcPr>
            <w:tcW w:w="611" w:type="pct"/>
            <w:vAlign w:val="center"/>
          </w:tcPr>
          <w:p w14:paraId="3A32302A" w14:textId="3921D2AE" w:rsidR="002F13E8" w:rsidRPr="00A42C6E" w:rsidRDefault="002F13E8" w:rsidP="00613F63">
            <w:pPr>
              <w:pStyle w:val="TableText"/>
              <w:keepNext/>
              <w:keepLines/>
              <w:rPr>
                <w:vertAlign w:val="superscript"/>
              </w:rPr>
            </w:pPr>
            <w:r w:rsidRPr="007F66A7">
              <w:t>-$</w:t>
            </w:r>
            <w:r w:rsidR="00AA4CCB" w:rsidRPr="00AA4CCB">
              <w:rPr>
                <w:color w:val="000000"/>
                <w:spacing w:val="53"/>
                <w:shd w:val="solid" w:color="000000" w:fill="000000"/>
                <w:fitText w:val="330" w:id="-628904438"/>
                <w14:textFill>
                  <w14:solidFill>
                    <w14:srgbClr w14:val="000000">
                      <w14:alpha w14:val="100000"/>
                    </w14:srgbClr>
                  </w14:solidFill>
                </w14:textFill>
              </w:rPr>
              <w:t>|||</w:t>
            </w:r>
            <w:r w:rsidR="00AA4CCB" w:rsidRPr="00AA4CCB">
              <w:rPr>
                <w:color w:val="000000"/>
                <w:spacing w:val="1"/>
                <w:shd w:val="solid" w:color="000000" w:fill="000000"/>
                <w:fitText w:val="330" w:id="-628904438"/>
                <w14:textFill>
                  <w14:solidFill>
                    <w14:srgbClr w14:val="000000">
                      <w14:alpha w14:val="100000"/>
                    </w14:srgbClr>
                  </w14:solidFill>
                </w14:textFill>
              </w:rPr>
              <w:t>|</w:t>
            </w:r>
            <w:r w:rsidR="00A42C6E">
              <w:rPr>
                <w:vertAlign w:val="superscript"/>
              </w:rPr>
              <w:t>2</w:t>
            </w:r>
          </w:p>
        </w:tc>
        <w:tc>
          <w:tcPr>
            <w:tcW w:w="611" w:type="pct"/>
            <w:vAlign w:val="center"/>
          </w:tcPr>
          <w:p w14:paraId="326E9207" w14:textId="7EF552C7" w:rsidR="002F13E8" w:rsidRPr="00A42C6E" w:rsidRDefault="002F13E8" w:rsidP="00613F63">
            <w:pPr>
              <w:pStyle w:val="TableText"/>
              <w:keepNext/>
              <w:keepLines/>
              <w:rPr>
                <w:vertAlign w:val="superscript"/>
              </w:rPr>
            </w:pPr>
            <w:r w:rsidRPr="007F66A7">
              <w:t>-$</w:t>
            </w:r>
            <w:r w:rsidR="00AA4CCB" w:rsidRPr="00AA4CCB">
              <w:rPr>
                <w:color w:val="000000"/>
                <w:spacing w:val="53"/>
                <w:shd w:val="solid" w:color="000000" w:fill="000000"/>
                <w:fitText w:val="330" w:id="-628904437"/>
                <w14:textFill>
                  <w14:solidFill>
                    <w14:srgbClr w14:val="000000">
                      <w14:alpha w14:val="100000"/>
                    </w14:srgbClr>
                  </w14:solidFill>
                </w14:textFill>
              </w:rPr>
              <w:t>|||</w:t>
            </w:r>
            <w:r w:rsidR="00AA4CCB" w:rsidRPr="00AA4CCB">
              <w:rPr>
                <w:color w:val="000000"/>
                <w:spacing w:val="1"/>
                <w:shd w:val="solid" w:color="000000" w:fill="000000"/>
                <w:fitText w:val="330" w:id="-628904437"/>
                <w14:textFill>
                  <w14:solidFill>
                    <w14:srgbClr w14:val="000000">
                      <w14:alpha w14:val="100000"/>
                    </w14:srgbClr>
                  </w14:solidFill>
                </w14:textFill>
              </w:rPr>
              <w:t>|</w:t>
            </w:r>
            <w:r w:rsidR="00A42C6E">
              <w:rPr>
                <w:vertAlign w:val="superscript"/>
              </w:rPr>
              <w:t>2</w:t>
            </w:r>
          </w:p>
        </w:tc>
        <w:tc>
          <w:tcPr>
            <w:tcW w:w="611" w:type="pct"/>
            <w:vAlign w:val="center"/>
          </w:tcPr>
          <w:p w14:paraId="56E4D70E" w14:textId="6760D806" w:rsidR="002F13E8" w:rsidRPr="00A42C6E" w:rsidRDefault="002F13E8" w:rsidP="00613F63">
            <w:pPr>
              <w:pStyle w:val="TableText"/>
              <w:keepNext/>
              <w:keepLines/>
              <w:rPr>
                <w:vertAlign w:val="superscript"/>
              </w:rPr>
            </w:pPr>
            <w:r w:rsidRPr="007F66A7">
              <w:t>-$</w:t>
            </w:r>
            <w:r w:rsidR="00AA4CCB" w:rsidRPr="00AA4CCB">
              <w:rPr>
                <w:color w:val="000000"/>
                <w:spacing w:val="53"/>
                <w:shd w:val="solid" w:color="000000" w:fill="000000"/>
                <w:fitText w:val="330" w:id="-628904436"/>
                <w14:textFill>
                  <w14:solidFill>
                    <w14:srgbClr w14:val="000000">
                      <w14:alpha w14:val="100000"/>
                    </w14:srgbClr>
                  </w14:solidFill>
                </w14:textFill>
              </w:rPr>
              <w:t>|||</w:t>
            </w:r>
            <w:r w:rsidR="00AA4CCB" w:rsidRPr="00AA4CCB">
              <w:rPr>
                <w:color w:val="000000"/>
                <w:spacing w:val="1"/>
                <w:shd w:val="solid" w:color="000000" w:fill="000000"/>
                <w:fitText w:val="330" w:id="-628904436"/>
                <w14:textFill>
                  <w14:solidFill>
                    <w14:srgbClr w14:val="000000">
                      <w14:alpha w14:val="100000"/>
                    </w14:srgbClr>
                  </w14:solidFill>
                </w14:textFill>
              </w:rPr>
              <w:t>|</w:t>
            </w:r>
            <w:r w:rsidR="00A42C6E">
              <w:rPr>
                <w:vertAlign w:val="superscript"/>
              </w:rPr>
              <w:t>2</w:t>
            </w:r>
          </w:p>
        </w:tc>
        <w:tc>
          <w:tcPr>
            <w:tcW w:w="611" w:type="pct"/>
            <w:vAlign w:val="center"/>
          </w:tcPr>
          <w:p w14:paraId="241B1CFD" w14:textId="3D39005E" w:rsidR="002F13E8" w:rsidRPr="00A42C6E" w:rsidRDefault="002F13E8" w:rsidP="00613F63">
            <w:pPr>
              <w:pStyle w:val="TableText"/>
              <w:keepNext/>
              <w:keepLines/>
              <w:rPr>
                <w:vertAlign w:val="superscript"/>
              </w:rPr>
            </w:pPr>
            <w:r w:rsidRPr="007F66A7">
              <w:t>-$</w:t>
            </w:r>
            <w:r w:rsidR="00AA4CCB" w:rsidRPr="00AA4CCB">
              <w:rPr>
                <w:color w:val="000000"/>
                <w:spacing w:val="53"/>
                <w:shd w:val="solid" w:color="000000" w:fill="000000"/>
                <w:fitText w:val="330" w:id="-628904435"/>
                <w14:textFill>
                  <w14:solidFill>
                    <w14:srgbClr w14:val="000000">
                      <w14:alpha w14:val="100000"/>
                    </w14:srgbClr>
                  </w14:solidFill>
                </w14:textFill>
              </w:rPr>
              <w:t>|||</w:t>
            </w:r>
            <w:r w:rsidR="00AA4CCB" w:rsidRPr="00AA4CCB">
              <w:rPr>
                <w:color w:val="000000"/>
                <w:spacing w:val="1"/>
                <w:shd w:val="solid" w:color="000000" w:fill="000000"/>
                <w:fitText w:val="330" w:id="-628904435"/>
                <w14:textFill>
                  <w14:solidFill>
                    <w14:srgbClr w14:val="000000">
                      <w14:alpha w14:val="100000"/>
                    </w14:srgbClr>
                  </w14:solidFill>
                </w14:textFill>
              </w:rPr>
              <w:t>|</w:t>
            </w:r>
            <w:r w:rsidR="00A42C6E">
              <w:rPr>
                <w:vertAlign w:val="superscript"/>
              </w:rPr>
              <w:t>2</w:t>
            </w:r>
          </w:p>
        </w:tc>
      </w:tr>
      <w:tr w:rsidR="002F13E8" w:rsidRPr="007F66A7" w14:paraId="1D55D446" w14:textId="77777777" w:rsidTr="002F13E8">
        <w:tc>
          <w:tcPr>
            <w:tcW w:w="5000" w:type="pct"/>
            <w:gridSpan w:val="7"/>
            <w:vAlign w:val="center"/>
          </w:tcPr>
          <w:p w14:paraId="7B7D9F51" w14:textId="657837FB" w:rsidR="002F13E8" w:rsidRPr="007F66A7" w:rsidRDefault="002F13E8" w:rsidP="00613F63">
            <w:pPr>
              <w:pStyle w:val="COMTableheadingrow"/>
              <w:keepLines/>
              <w:rPr>
                <w:lang w:val="en-AU"/>
              </w:rPr>
            </w:pPr>
            <w:r w:rsidRPr="007F66A7">
              <w:rPr>
                <w:lang w:val="en-AU"/>
              </w:rPr>
              <w:t>Net financial implications</w:t>
            </w:r>
          </w:p>
        </w:tc>
      </w:tr>
      <w:tr w:rsidR="002F13E8" w:rsidRPr="007F66A7" w14:paraId="04127A44" w14:textId="77777777" w:rsidTr="00EC6484">
        <w:tc>
          <w:tcPr>
            <w:tcW w:w="1334" w:type="pct"/>
            <w:vAlign w:val="center"/>
          </w:tcPr>
          <w:p w14:paraId="321732D1" w14:textId="3CCB1965" w:rsidR="002F13E8" w:rsidRPr="007F66A7" w:rsidRDefault="002F13E8" w:rsidP="00613F63">
            <w:pPr>
              <w:pStyle w:val="COMTabletext"/>
              <w:keepLines/>
            </w:pPr>
            <w:r w:rsidRPr="007F66A7">
              <w:t>Net cost to the PBS/RPBS/MBS</w:t>
            </w:r>
          </w:p>
        </w:tc>
        <w:tc>
          <w:tcPr>
            <w:tcW w:w="611" w:type="pct"/>
            <w:vAlign w:val="center"/>
          </w:tcPr>
          <w:p w14:paraId="3F0550BF" w14:textId="7B9E0354" w:rsidR="002F13E8" w:rsidRPr="00A42C6E" w:rsidRDefault="002F13E8" w:rsidP="00613F63">
            <w:pPr>
              <w:pStyle w:val="TableText"/>
              <w:keepNext/>
              <w:keepLines/>
              <w:rPr>
                <w:vertAlign w:val="superscript"/>
              </w:rPr>
            </w:pPr>
            <w:r w:rsidRPr="007F66A7">
              <w:t>$</w:t>
            </w:r>
            <w:r w:rsidR="00AA4CCB" w:rsidRPr="00AA4CCB">
              <w:rPr>
                <w:color w:val="000000"/>
                <w:spacing w:val="53"/>
                <w:shd w:val="solid" w:color="000000" w:fill="000000"/>
                <w:fitText w:val="330" w:id="-628904434"/>
                <w14:textFill>
                  <w14:solidFill>
                    <w14:srgbClr w14:val="000000">
                      <w14:alpha w14:val="100000"/>
                    </w14:srgbClr>
                  </w14:solidFill>
                </w14:textFill>
              </w:rPr>
              <w:t>|||</w:t>
            </w:r>
            <w:r w:rsidR="00AA4CCB" w:rsidRPr="00AA4CCB">
              <w:rPr>
                <w:color w:val="000000"/>
                <w:spacing w:val="1"/>
                <w:shd w:val="solid" w:color="000000" w:fill="000000"/>
                <w:fitText w:val="330" w:id="-628904434"/>
                <w14:textFill>
                  <w14:solidFill>
                    <w14:srgbClr w14:val="000000">
                      <w14:alpha w14:val="100000"/>
                    </w14:srgbClr>
                  </w14:solidFill>
                </w14:textFill>
              </w:rPr>
              <w:t>|</w:t>
            </w:r>
            <w:r w:rsidR="00A42C6E">
              <w:rPr>
                <w:vertAlign w:val="superscript"/>
              </w:rPr>
              <w:t>2</w:t>
            </w:r>
          </w:p>
        </w:tc>
        <w:tc>
          <w:tcPr>
            <w:tcW w:w="611" w:type="pct"/>
            <w:vAlign w:val="center"/>
          </w:tcPr>
          <w:p w14:paraId="49F7918B" w14:textId="5A5CD914" w:rsidR="002F13E8" w:rsidRPr="00A42C6E" w:rsidRDefault="002F13E8" w:rsidP="00613F63">
            <w:pPr>
              <w:pStyle w:val="TableText"/>
              <w:keepNext/>
              <w:keepLines/>
              <w:rPr>
                <w:vertAlign w:val="superscript"/>
              </w:rPr>
            </w:pPr>
            <w:r w:rsidRPr="007F66A7">
              <w:t>$</w:t>
            </w:r>
            <w:r w:rsidR="00AA4CCB" w:rsidRPr="00AA4CCB">
              <w:rPr>
                <w:color w:val="000000"/>
                <w:spacing w:val="53"/>
                <w:shd w:val="solid" w:color="000000" w:fill="000000"/>
                <w:fitText w:val="330" w:id="-628904433"/>
                <w14:textFill>
                  <w14:solidFill>
                    <w14:srgbClr w14:val="000000">
                      <w14:alpha w14:val="100000"/>
                    </w14:srgbClr>
                  </w14:solidFill>
                </w14:textFill>
              </w:rPr>
              <w:t>|||</w:t>
            </w:r>
            <w:r w:rsidR="00AA4CCB" w:rsidRPr="00AA4CCB">
              <w:rPr>
                <w:color w:val="000000"/>
                <w:spacing w:val="1"/>
                <w:shd w:val="solid" w:color="000000" w:fill="000000"/>
                <w:fitText w:val="330" w:id="-628904433"/>
                <w14:textFill>
                  <w14:solidFill>
                    <w14:srgbClr w14:val="000000">
                      <w14:alpha w14:val="100000"/>
                    </w14:srgbClr>
                  </w14:solidFill>
                </w14:textFill>
              </w:rPr>
              <w:t>|</w:t>
            </w:r>
            <w:r w:rsidR="00A42C6E">
              <w:rPr>
                <w:vertAlign w:val="superscript"/>
              </w:rPr>
              <w:t>2</w:t>
            </w:r>
          </w:p>
        </w:tc>
        <w:tc>
          <w:tcPr>
            <w:tcW w:w="611" w:type="pct"/>
            <w:vAlign w:val="center"/>
          </w:tcPr>
          <w:p w14:paraId="39975963" w14:textId="312C4DE6" w:rsidR="002F13E8" w:rsidRPr="008C0024" w:rsidRDefault="002F13E8" w:rsidP="00613F63">
            <w:pPr>
              <w:pStyle w:val="TableText"/>
              <w:keepNext/>
              <w:keepLines/>
              <w:rPr>
                <w:vertAlign w:val="superscript"/>
              </w:rPr>
            </w:pPr>
            <w:r w:rsidRPr="007F66A7">
              <w:t>$</w:t>
            </w:r>
            <w:r w:rsidR="00AA4CCB" w:rsidRPr="00AA4CCB">
              <w:rPr>
                <w:color w:val="000000"/>
                <w:spacing w:val="53"/>
                <w:shd w:val="solid" w:color="000000" w:fill="000000"/>
                <w:fitText w:val="330" w:id="-628904432"/>
                <w14:textFill>
                  <w14:solidFill>
                    <w14:srgbClr w14:val="000000">
                      <w14:alpha w14:val="100000"/>
                    </w14:srgbClr>
                  </w14:solidFill>
                </w14:textFill>
              </w:rPr>
              <w:t>|||</w:t>
            </w:r>
            <w:r w:rsidR="00AA4CCB" w:rsidRPr="00AA4CCB">
              <w:rPr>
                <w:color w:val="000000"/>
                <w:spacing w:val="1"/>
                <w:shd w:val="solid" w:color="000000" w:fill="000000"/>
                <w:fitText w:val="330" w:id="-628904432"/>
                <w14:textFill>
                  <w14:solidFill>
                    <w14:srgbClr w14:val="000000">
                      <w14:alpha w14:val="100000"/>
                    </w14:srgbClr>
                  </w14:solidFill>
                </w14:textFill>
              </w:rPr>
              <w:t>|</w:t>
            </w:r>
            <w:r w:rsidR="008C0024">
              <w:rPr>
                <w:vertAlign w:val="superscript"/>
              </w:rPr>
              <w:t>3</w:t>
            </w:r>
          </w:p>
        </w:tc>
        <w:tc>
          <w:tcPr>
            <w:tcW w:w="611" w:type="pct"/>
            <w:vAlign w:val="center"/>
          </w:tcPr>
          <w:p w14:paraId="7E4D0746" w14:textId="49744732" w:rsidR="002F13E8" w:rsidRPr="008C0024" w:rsidRDefault="002F13E8" w:rsidP="00613F63">
            <w:pPr>
              <w:pStyle w:val="TableText"/>
              <w:keepNext/>
              <w:keepLines/>
              <w:rPr>
                <w:vertAlign w:val="superscript"/>
              </w:rPr>
            </w:pPr>
            <w:r w:rsidRPr="007F66A7">
              <w:t>$</w:t>
            </w:r>
            <w:r w:rsidR="00AA4CCB" w:rsidRPr="00AA4CCB">
              <w:rPr>
                <w:color w:val="000000"/>
                <w:spacing w:val="53"/>
                <w:shd w:val="solid" w:color="000000" w:fill="000000"/>
                <w:fitText w:val="330" w:id="-628904448"/>
                <w14:textFill>
                  <w14:solidFill>
                    <w14:srgbClr w14:val="000000">
                      <w14:alpha w14:val="100000"/>
                    </w14:srgbClr>
                  </w14:solidFill>
                </w14:textFill>
              </w:rPr>
              <w:t>|||</w:t>
            </w:r>
            <w:r w:rsidR="00AA4CCB" w:rsidRPr="00AA4CCB">
              <w:rPr>
                <w:color w:val="000000"/>
                <w:spacing w:val="1"/>
                <w:shd w:val="solid" w:color="000000" w:fill="000000"/>
                <w:fitText w:val="330" w:id="-628904448"/>
                <w14:textFill>
                  <w14:solidFill>
                    <w14:srgbClr w14:val="000000">
                      <w14:alpha w14:val="100000"/>
                    </w14:srgbClr>
                  </w14:solidFill>
                </w14:textFill>
              </w:rPr>
              <w:t>|</w:t>
            </w:r>
            <w:r w:rsidR="008C0024">
              <w:rPr>
                <w:vertAlign w:val="superscript"/>
              </w:rPr>
              <w:t>3</w:t>
            </w:r>
          </w:p>
        </w:tc>
        <w:tc>
          <w:tcPr>
            <w:tcW w:w="611" w:type="pct"/>
            <w:vAlign w:val="center"/>
          </w:tcPr>
          <w:p w14:paraId="6C1D003D" w14:textId="3B2BFCC7" w:rsidR="002F13E8" w:rsidRPr="008C0024" w:rsidRDefault="002F13E8" w:rsidP="00613F63">
            <w:pPr>
              <w:pStyle w:val="TableText"/>
              <w:keepNext/>
              <w:keepLines/>
              <w:rPr>
                <w:vertAlign w:val="superscript"/>
              </w:rPr>
            </w:pPr>
            <w:r w:rsidRPr="007F66A7">
              <w:t>$</w:t>
            </w:r>
            <w:r w:rsidR="00AA4CCB" w:rsidRPr="00AA4CCB">
              <w:rPr>
                <w:color w:val="000000"/>
                <w:spacing w:val="53"/>
                <w:shd w:val="solid" w:color="000000" w:fill="000000"/>
                <w:fitText w:val="330" w:id="-628904447"/>
                <w14:textFill>
                  <w14:solidFill>
                    <w14:srgbClr w14:val="000000">
                      <w14:alpha w14:val="100000"/>
                    </w14:srgbClr>
                  </w14:solidFill>
                </w14:textFill>
              </w:rPr>
              <w:t>|||</w:t>
            </w:r>
            <w:r w:rsidR="00AA4CCB" w:rsidRPr="00AA4CCB">
              <w:rPr>
                <w:color w:val="000000"/>
                <w:spacing w:val="1"/>
                <w:shd w:val="solid" w:color="000000" w:fill="000000"/>
                <w:fitText w:val="330" w:id="-628904447"/>
                <w14:textFill>
                  <w14:solidFill>
                    <w14:srgbClr w14:val="000000">
                      <w14:alpha w14:val="100000"/>
                    </w14:srgbClr>
                  </w14:solidFill>
                </w14:textFill>
              </w:rPr>
              <w:t>|</w:t>
            </w:r>
            <w:r w:rsidR="008C0024">
              <w:rPr>
                <w:vertAlign w:val="superscript"/>
              </w:rPr>
              <w:t>3</w:t>
            </w:r>
          </w:p>
        </w:tc>
        <w:tc>
          <w:tcPr>
            <w:tcW w:w="611" w:type="pct"/>
            <w:vAlign w:val="center"/>
          </w:tcPr>
          <w:p w14:paraId="2F9F0F16" w14:textId="77329C93" w:rsidR="002F13E8" w:rsidRPr="008C0024" w:rsidRDefault="002F13E8" w:rsidP="00613F63">
            <w:pPr>
              <w:pStyle w:val="TableText"/>
              <w:keepNext/>
              <w:keepLines/>
              <w:rPr>
                <w:vertAlign w:val="superscript"/>
              </w:rPr>
            </w:pPr>
            <w:r w:rsidRPr="007F66A7">
              <w:t>$</w:t>
            </w:r>
            <w:r w:rsidR="00AA4CCB" w:rsidRPr="00AA4CCB">
              <w:rPr>
                <w:color w:val="000000"/>
                <w:spacing w:val="53"/>
                <w:shd w:val="solid" w:color="000000" w:fill="000000"/>
                <w:fitText w:val="330" w:id="-628904446"/>
                <w14:textFill>
                  <w14:solidFill>
                    <w14:srgbClr w14:val="000000">
                      <w14:alpha w14:val="100000"/>
                    </w14:srgbClr>
                  </w14:solidFill>
                </w14:textFill>
              </w:rPr>
              <w:t>|||</w:t>
            </w:r>
            <w:r w:rsidR="00AA4CCB" w:rsidRPr="00AA4CCB">
              <w:rPr>
                <w:color w:val="000000"/>
                <w:spacing w:val="1"/>
                <w:shd w:val="solid" w:color="000000" w:fill="000000"/>
                <w:fitText w:val="330" w:id="-628904446"/>
                <w14:textFill>
                  <w14:solidFill>
                    <w14:srgbClr w14:val="000000">
                      <w14:alpha w14:val="100000"/>
                    </w14:srgbClr>
                  </w14:solidFill>
                </w14:textFill>
              </w:rPr>
              <w:t>|</w:t>
            </w:r>
            <w:r w:rsidR="008C0024">
              <w:rPr>
                <w:vertAlign w:val="superscript"/>
              </w:rPr>
              <w:t>3</w:t>
            </w:r>
          </w:p>
        </w:tc>
      </w:tr>
      <w:tr w:rsidR="000902D9" w:rsidRPr="007F66A7" w14:paraId="6A99A43D" w14:textId="77777777" w:rsidTr="007925DF">
        <w:tc>
          <w:tcPr>
            <w:tcW w:w="5000" w:type="pct"/>
            <w:gridSpan w:val="7"/>
            <w:shd w:val="clear" w:color="auto" w:fill="B8CCE4" w:themeFill="accent1" w:themeFillTint="66"/>
            <w:vAlign w:val="center"/>
          </w:tcPr>
          <w:p w14:paraId="3DC5DC1A" w14:textId="5BF3987A" w:rsidR="000902D9" w:rsidRPr="007F66A7" w:rsidRDefault="000902D9" w:rsidP="00613F63">
            <w:pPr>
              <w:pStyle w:val="COMTableheadingrow"/>
              <w:keepLines/>
              <w:rPr>
                <w:lang w:val="en-AU"/>
              </w:rPr>
            </w:pPr>
            <w:r w:rsidRPr="007F66A7">
              <w:rPr>
                <w:lang w:val="en-AU"/>
              </w:rPr>
              <w:t xml:space="preserve">Previous submission </w:t>
            </w:r>
            <w:r w:rsidR="00EC6484" w:rsidRPr="007F66A7">
              <w:rPr>
                <w:lang w:val="en-AU"/>
              </w:rPr>
              <w:t>(March 2024)</w:t>
            </w:r>
          </w:p>
        </w:tc>
      </w:tr>
      <w:tr w:rsidR="00EC6484" w:rsidRPr="007F66A7" w14:paraId="746CCDBE" w14:textId="77777777" w:rsidTr="00EC6484">
        <w:tc>
          <w:tcPr>
            <w:tcW w:w="1334" w:type="pct"/>
            <w:shd w:val="clear" w:color="auto" w:fill="B8CCE4" w:themeFill="accent1" w:themeFillTint="66"/>
            <w:vAlign w:val="center"/>
          </w:tcPr>
          <w:p w14:paraId="03B4C2BB" w14:textId="417E9B90" w:rsidR="00EC6484" w:rsidRPr="007F66A7" w:rsidRDefault="00EC6484" w:rsidP="00613F63">
            <w:pPr>
              <w:pStyle w:val="COMTabletext"/>
              <w:keepLines/>
            </w:pPr>
            <w:r w:rsidRPr="007F66A7">
              <w:t>Net cost to PBS/RPBS/MBS</w:t>
            </w:r>
          </w:p>
        </w:tc>
        <w:tc>
          <w:tcPr>
            <w:tcW w:w="611" w:type="pct"/>
            <w:shd w:val="clear" w:color="auto" w:fill="B8CCE4" w:themeFill="accent1" w:themeFillTint="66"/>
            <w:vAlign w:val="center"/>
          </w:tcPr>
          <w:p w14:paraId="489F2BC4" w14:textId="570543D5" w:rsidR="00EC6484" w:rsidRPr="00A42C6E" w:rsidRDefault="00EC6484" w:rsidP="00613F63">
            <w:pPr>
              <w:pStyle w:val="TableText"/>
              <w:keepNext/>
              <w:keepLines/>
              <w:rPr>
                <w:vertAlign w:val="superscript"/>
              </w:rPr>
            </w:pPr>
            <w:r w:rsidRPr="007F66A7">
              <w:t>$</w:t>
            </w:r>
            <w:r w:rsidR="00AA4CCB" w:rsidRPr="00AA4CCB">
              <w:rPr>
                <w:color w:val="000000"/>
                <w:spacing w:val="53"/>
                <w:shd w:val="solid" w:color="000000" w:fill="000000"/>
                <w:fitText w:val="330" w:id="-628904445"/>
                <w14:textFill>
                  <w14:solidFill>
                    <w14:srgbClr w14:val="000000">
                      <w14:alpha w14:val="100000"/>
                    </w14:srgbClr>
                  </w14:solidFill>
                </w14:textFill>
              </w:rPr>
              <w:t>|||</w:t>
            </w:r>
            <w:r w:rsidR="00AA4CCB" w:rsidRPr="00AA4CCB">
              <w:rPr>
                <w:color w:val="000000"/>
                <w:spacing w:val="1"/>
                <w:shd w:val="solid" w:color="000000" w:fill="000000"/>
                <w:fitText w:val="330" w:id="-628904445"/>
                <w14:textFill>
                  <w14:solidFill>
                    <w14:srgbClr w14:val="000000">
                      <w14:alpha w14:val="100000"/>
                    </w14:srgbClr>
                  </w14:solidFill>
                </w14:textFill>
              </w:rPr>
              <w:t>|</w:t>
            </w:r>
            <w:r w:rsidR="00A42C6E">
              <w:rPr>
                <w:vertAlign w:val="superscript"/>
              </w:rPr>
              <w:t>2</w:t>
            </w:r>
          </w:p>
        </w:tc>
        <w:tc>
          <w:tcPr>
            <w:tcW w:w="611" w:type="pct"/>
            <w:shd w:val="clear" w:color="auto" w:fill="B8CCE4" w:themeFill="accent1" w:themeFillTint="66"/>
            <w:vAlign w:val="center"/>
          </w:tcPr>
          <w:p w14:paraId="1D5EE203" w14:textId="3BB72E6B" w:rsidR="00EC6484" w:rsidRPr="00A42C6E" w:rsidRDefault="00EC6484" w:rsidP="00613F63">
            <w:pPr>
              <w:pStyle w:val="TableText"/>
              <w:keepNext/>
              <w:keepLines/>
              <w:rPr>
                <w:vertAlign w:val="superscript"/>
              </w:rPr>
            </w:pPr>
            <w:r w:rsidRPr="007F66A7">
              <w:t>$</w:t>
            </w:r>
            <w:r w:rsidR="00AA4CCB" w:rsidRPr="00AA4CCB">
              <w:rPr>
                <w:color w:val="000000"/>
                <w:spacing w:val="53"/>
                <w:shd w:val="solid" w:color="000000" w:fill="000000"/>
                <w:fitText w:val="330" w:id="-628904444"/>
                <w14:textFill>
                  <w14:solidFill>
                    <w14:srgbClr w14:val="000000">
                      <w14:alpha w14:val="100000"/>
                    </w14:srgbClr>
                  </w14:solidFill>
                </w14:textFill>
              </w:rPr>
              <w:t>|||</w:t>
            </w:r>
            <w:r w:rsidR="00AA4CCB" w:rsidRPr="00AA4CCB">
              <w:rPr>
                <w:color w:val="000000"/>
                <w:spacing w:val="1"/>
                <w:shd w:val="solid" w:color="000000" w:fill="000000"/>
                <w:fitText w:val="330" w:id="-628904444"/>
                <w14:textFill>
                  <w14:solidFill>
                    <w14:srgbClr w14:val="000000">
                      <w14:alpha w14:val="100000"/>
                    </w14:srgbClr>
                  </w14:solidFill>
                </w14:textFill>
              </w:rPr>
              <w:t>|</w:t>
            </w:r>
            <w:r w:rsidR="00A42C6E">
              <w:rPr>
                <w:vertAlign w:val="superscript"/>
              </w:rPr>
              <w:t>2</w:t>
            </w:r>
          </w:p>
        </w:tc>
        <w:tc>
          <w:tcPr>
            <w:tcW w:w="611" w:type="pct"/>
            <w:shd w:val="clear" w:color="auto" w:fill="B8CCE4" w:themeFill="accent1" w:themeFillTint="66"/>
            <w:vAlign w:val="center"/>
          </w:tcPr>
          <w:p w14:paraId="5C113E77" w14:textId="0CEF6845" w:rsidR="00EC6484" w:rsidRPr="00A42C6E" w:rsidRDefault="00EC6484" w:rsidP="00613F63">
            <w:pPr>
              <w:pStyle w:val="TableText"/>
              <w:keepNext/>
              <w:keepLines/>
              <w:rPr>
                <w:vertAlign w:val="superscript"/>
              </w:rPr>
            </w:pPr>
            <w:r w:rsidRPr="007F66A7">
              <w:t>$</w:t>
            </w:r>
            <w:r w:rsidR="00AA4CCB" w:rsidRPr="00AA4CCB">
              <w:rPr>
                <w:color w:val="000000"/>
                <w:spacing w:val="53"/>
                <w:shd w:val="solid" w:color="000000" w:fill="000000"/>
                <w:fitText w:val="330" w:id="-628904443"/>
                <w14:textFill>
                  <w14:solidFill>
                    <w14:srgbClr w14:val="000000">
                      <w14:alpha w14:val="100000"/>
                    </w14:srgbClr>
                  </w14:solidFill>
                </w14:textFill>
              </w:rPr>
              <w:t>|||</w:t>
            </w:r>
            <w:r w:rsidR="00AA4CCB" w:rsidRPr="00AA4CCB">
              <w:rPr>
                <w:color w:val="000000"/>
                <w:spacing w:val="1"/>
                <w:shd w:val="solid" w:color="000000" w:fill="000000"/>
                <w:fitText w:val="330" w:id="-628904443"/>
                <w14:textFill>
                  <w14:solidFill>
                    <w14:srgbClr w14:val="000000">
                      <w14:alpha w14:val="100000"/>
                    </w14:srgbClr>
                  </w14:solidFill>
                </w14:textFill>
              </w:rPr>
              <w:t>|</w:t>
            </w:r>
            <w:r w:rsidR="00A42C6E">
              <w:rPr>
                <w:vertAlign w:val="superscript"/>
              </w:rPr>
              <w:t>2</w:t>
            </w:r>
          </w:p>
        </w:tc>
        <w:tc>
          <w:tcPr>
            <w:tcW w:w="611" w:type="pct"/>
            <w:shd w:val="clear" w:color="auto" w:fill="B8CCE4" w:themeFill="accent1" w:themeFillTint="66"/>
            <w:vAlign w:val="center"/>
          </w:tcPr>
          <w:p w14:paraId="1C964FF9" w14:textId="552F8520" w:rsidR="00EC6484" w:rsidRPr="00A42C6E" w:rsidRDefault="00EC6484" w:rsidP="00613F63">
            <w:pPr>
              <w:pStyle w:val="TableText"/>
              <w:keepNext/>
              <w:keepLines/>
              <w:rPr>
                <w:vertAlign w:val="superscript"/>
              </w:rPr>
            </w:pPr>
            <w:r w:rsidRPr="007F66A7">
              <w:t>$</w:t>
            </w:r>
            <w:r w:rsidR="00AA4CCB" w:rsidRPr="00AA4CCB">
              <w:rPr>
                <w:color w:val="000000"/>
                <w:spacing w:val="53"/>
                <w:shd w:val="solid" w:color="000000" w:fill="000000"/>
                <w:fitText w:val="330" w:id="-628904442"/>
                <w14:textFill>
                  <w14:solidFill>
                    <w14:srgbClr w14:val="000000">
                      <w14:alpha w14:val="100000"/>
                    </w14:srgbClr>
                  </w14:solidFill>
                </w14:textFill>
              </w:rPr>
              <w:t>|||</w:t>
            </w:r>
            <w:r w:rsidR="00AA4CCB" w:rsidRPr="00AA4CCB">
              <w:rPr>
                <w:color w:val="000000"/>
                <w:spacing w:val="1"/>
                <w:shd w:val="solid" w:color="000000" w:fill="000000"/>
                <w:fitText w:val="330" w:id="-628904442"/>
                <w14:textFill>
                  <w14:solidFill>
                    <w14:srgbClr w14:val="000000">
                      <w14:alpha w14:val="100000"/>
                    </w14:srgbClr>
                  </w14:solidFill>
                </w14:textFill>
              </w:rPr>
              <w:t>|</w:t>
            </w:r>
            <w:r w:rsidR="00A42C6E">
              <w:rPr>
                <w:vertAlign w:val="superscript"/>
              </w:rPr>
              <w:t>2</w:t>
            </w:r>
          </w:p>
        </w:tc>
        <w:tc>
          <w:tcPr>
            <w:tcW w:w="611" w:type="pct"/>
            <w:shd w:val="clear" w:color="auto" w:fill="B8CCE4" w:themeFill="accent1" w:themeFillTint="66"/>
            <w:vAlign w:val="center"/>
          </w:tcPr>
          <w:p w14:paraId="4D86B6C8" w14:textId="18434A59" w:rsidR="00EC6484" w:rsidRPr="00A42C6E" w:rsidRDefault="00EC6484" w:rsidP="00613F63">
            <w:pPr>
              <w:pStyle w:val="TableText"/>
              <w:keepNext/>
              <w:keepLines/>
              <w:rPr>
                <w:vertAlign w:val="superscript"/>
              </w:rPr>
            </w:pPr>
            <w:r w:rsidRPr="007F66A7">
              <w:t>$</w:t>
            </w:r>
            <w:r w:rsidR="00AA4CCB" w:rsidRPr="00AA4CCB">
              <w:rPr>
                <w:color w:val="000000"/>
                <w:spacing w:val="53"/>
                <w:shd w:val="solid" w:color="000000" w:fill="000000"/>
                <w:fitText w:val="330" w:id="-628904441"/>
                <w14:textFill>
                  <w14:solidFill>
                    <w14:srgbClr w14:val="000000">
                      <w14:alpha w14:val="100000"/>
                    </w14:srgbClr>
                  </w14:solidFill>
                </w14:textFill>
              </w:rPr>
              <w:t>|||</w:t>
            </w:r>
            <w:r w:rsidR="00AA4CCB" w:rsidRPr="00AA4CCB">
              <w:rPr>
                <w:color w:val="000000"/>
                <w:spacing w:val="1"/>
                <w:shd w:val="solid" w:color="000000" w:fill="000000"/>
                <w:fitText w:val="330" w:id="-628904441"/>
                <w14:textFill>
                  <w14:solidFill>
                    <w14:srgbClr w14:val="000000">
                      <w14:alpha w14:val="100000"/>
                    </w14:srgbClr>
                  </w14:solidFill>
                </w14:textFill>
              </w:rPr>
              <w:t>|</w:t>
            </w:r>
            <w:r w:rsidR="00A42C6E">
              <w:rPr>
                <w:vertAlign w:val="superscript"/>
              </w:rPr>
              <w:t>2</w:t>
            </w:r>
          </w:p>
        </w:tc>
        <w:tc>
          <w:tcPr>
            <w:tcW w:w="611" w:type="pct"/>
            <w:shd w:val="clear" w:color="auto" w:fill="B8CCE4" w:themeFill="accent1" w:themeFillTint="66"/>
            <w:vAlign w:val="center"/>
          </w:tcPr>
          <w:p w14:paraId="441F00C1" w14:textId="6E0858F6" w:rsidR="00EC6484" w:rsidRPr="00A42C6E" w:rsidRDefault="00EC6484" w:rsidP="00613F63">
            <w:pPr>
              <w:pStyle w:val="TableText"/>
              <w:keepNext/>
              <w:keepLines/>
              <w:rPr>
                <w:vertAlign w:val="superscript"/>
              </w:rPr>
            </w:pPr>
            <w:r w:rsidRPr="007F66A7">
              <w:t>$</w:t>
            </w:r>
            <w:r w:rsidR="00AA4CCB">
              <w:rPr>
                <w:color w:val="000000"/>
                <w:spacing w:val="52"/>
                <w:shd w:val="solid" w:color="000000" w:fill="000000"/>
                <w:fitText w:val="330" w:id="-628904440"/>
                <w14:textFill>
                  <w14:solidFill>
                    <w14:srgbClr w14:val="000000">
                      <w14:alpha w14:val="100000"/>
                    </w14:srgbClr>
                  </w14:solidFill>
                </w14:textFill>
              </w:rPr>
              <w:t>|||</w:t>
            </w:r>
            <w:r w:rsidR="00AA4CCB">
              <w:rPr>
                <w:color w:val="000000"/>
                <w:spacing w:val="2"/>
                <w:shd w:val="solid" w:color="000000" w:fill="000000"/>
                <w:fitText w:val="330" w:id="-628904440"/>
                <w14:textFill>
                  <w14:solidFill>
                    <w14:srgbClr w14:val="000000">
                      <w14:alpha w14:val="100000"/>
                    </w14:srgbClr>
                  </w14:solidFill>
                </w14:textFill>
              </w:rPr>
              <w:t>|</w:t>
            </w:r>
            <w:r w:rsidR="00A42C6E">
              <w:rPr>
                <w:vertAlign w:val="superscript"/>
              </w:rPr>
              <w:t>2</w:t>
            </w:r>
          </w:p>
        </w:tc>
      </w:tr>
    </w:tbl>
    <w:p w14:paraId="484CF5B6" w14:textId="70460416" w:rsidR="00620C25" w:rsidRPr="007F66A7" w:rsidRDefault="00620C25" w:rsidP="00613F63">
      <w:pPr>
        <w:pStyle w:val="COMTablefooter"/>
        <w:keepNext/>
        <w:keepLines/>
        <w:spacing w:after="0"/>
      </w:pPr>
      <w:r w:rsidRPr="007F66A7">
        <w:t xml:space="preserve">Source: </w:t>
      </w:r>
      <w:r w:rsidR="00045B0A" w:rsidRPr="007F66A7">
        <w:t>Table 4.10, p274</w:t>
      </w:r>
      <w:r w:rsidR="00045B37" w:rsidRPr="007F66A7">
        <w:t>; Table 4.1</w:t>
      </w:r>
      <w:r w:rsidR="005C4BC2" w:rsidRPr="007F66A7">
        <w:t>4, p277; Table 4.19, p279; Table 4.20, p280</w:t>
      </w:r>
      <w:r w:rsidR="00FE02F7" w:rsidRPr="007F66A7">
        <w:t xml:space="preserve"> and Table 4.23, p281 of the resubmission</w:t>
      </w:r>
    </w:p>
    <w:p w14:paraId="0B583E45" w14:textId="696FE6C1" w:rsidR="00FB687B" w:rsidRDefault="00FB687B" w:rsidP="00613F63">
      <w:pPr>
        <w:pStyle w:val="COMTablefooter"/>
        <w:keepNext/>
        <w:keepLines/>
        <w:spacing w:after="0"/>
      </w:pPr>
      <w:r w:rsidRPr="007F66A7">
        <w:t>Note: Blue shading delineates data presented in the March 2024 submission</w:t>
      </w:r>
    </w:p>
    <w:p w14:paraId="7CAD9533" w14:textId="77777777" w:rsidR="00E7428F" w:rsidRPr="00E7428F" w:rsidRDefault="00E7428F" w:rsidP="00613F63">
      <w:pPr>
        <w:keepNext/>
        <w:keepLines/>
        <w:jc w:val="left"/>
        <w:rPr>
          <w:rFonts w:ascii="Arial Narrow" w:hAnsi="Arial Narrow"/>
          <w:i/>
          <w:sz w:val="18"/>
          <w:szCs w:val="18"/>
        </w:rPr>
      </w:pPr>
      <w:r w:rsidRPr="00E7428F">
        <w:rPr>
          <w:rFonts w:ascii="Arial Narrow" w:hAnsi="Arial Narrow"/>
          <w:i/>
          <w:sz w:val="18"/>
          <w:szCs w:val="18"/>
        </w:rPr>
        <w:t xml:space="preserve">The redacted values correspond to the following ranges: </w:t>
      </w:r>
    </w:p>
    <w:p w14:paraId="2A41C056" w14:textId="2282EB2F" w:rsidR="00E7428F" w:rsidRPr="00E7428F" w:rsidRDefault="00E7428F" w:rsidP="00613F63">
      <w:pPr>
        <w:keepNext/>
        <w:keepLines/>
        <w:jc w:val="left"/>
        <w:rPr>
          <w:rFonts w:ascii="Arial Narrow" w:hAnsi="Arial Narrow"/>
          <w:i/>
          <w:sz w:val="18"/>
          <w:szCs w:val="18"/>
        </w:rPr>
      </w:pPr>
      <w:r w:rsidRPr="00E7428F">
        <w:rPr>
          <w:rFonts w:ascii="Arial Narrow" w:hAnsi="Arial Narrow"/>
          <w:i/>
          <w:sz w:val="18"/>
          <w:szCs w:val="18"/>
          <w:vertAlign w:val="superscript"/>
        </w:rPr>
        <w:t>1</w:t>
      </w:r>
      <w:r w:rsidRPr="00E7428F">
        <w:rPr>
          <w:rFonts w:ascii="Arial Narrow" w:hAnsi="Arial Narrow"/>
          <w:i/>
          <w:sz w:val="18"/>
          <w:szCs w:val="18"/>
        </w:rPr>
        <w:t xml:space="preserve"> </w:t>
      </w:r>
      <w:r w:rsidR="001B0FF2" w:rsidRPr="001B0FF2">
        <w:rPr>
          <w:rFonts w:ascii="Arial Narrow" w:hAnsi="Arial Narrow"/>
          <w:i/>
          <w:sz w:val="18"/>
          <w:szCs w:val="18"/>
        </w:rPr>
        <w:t>&lt; 500</w:t>
      </w:r>
    </w:p>
    <w:p w14:paraId="70357DDE" w14:textId="698CB119" w:rsidR="008C0024" w:rsidRPr="00A42C6E" w:rsidRDefault="00E7428F" w:rsidP="00613F63">
      <w:pPr>
        <w:keepNext/>
        <w:keepLines/>
        <w:jc w:val="left"/>
        <w:rPr>
          <w:rFonts w:ascii="Arial Narrow" w:hAnsi="Arial Narrow"/>
          <w:i/>
          <w:sz w:val="18"/>
          <w:szCs w:val="18"/>
        </w:rPr>
      </w:pPr>
      <w:r w:rsidRPr="00E7428F">
        <w:rPr>
          <w:rFonts w:ascii="Arial Narrow" w:hAnsi="Arial Narrow"/>
          <w:i/>
          <w:sz w:val="18"/>
          <w:szCs w:val="18"/>
          <w:vertAlign w:val="superscript"/>
        </w:rPr>
        <w:t>2</w:t>
      </w:r>
      <w:r w:rsidRPr="00E7428F">
        <w:rPr>
          <w:rFonts w:ascii="Arial Narrow" w:hAnsi="Arial Narrow"/>
          <w:i/>
          <w:sz w:val="18"/>
          <w:szCs w:val="18"/>
        </w:rPr>
        <w:t xml:space="preserve"> </w:t>
      </w:r>
      <w:r w:rsidR="00A42C6E" w:rsidRPr="00A42C6E">
        <w:rPr>
          <w:rFonts w:ascii="Arial Narrow" w:hAnsi="Arial Narrow"/>
          <w:i/>
          <w:sz w:val="18"/>
          <w:szCs w:val="18"/>
        </w:rPr>
        <w:t>$0 to &lt; $10 million</w:t>
      </w:r>
    </w:p>
    <w:p w14:paraId="377C71FE" w14:textId="507A07E9" w:rsidR="00E7428F" w:rsidRPr="00E7428F" w:rsidRDefault="00E7428F" w:rsidP="00613F63">
      <w:pPr>
        <w:keepNext/>
        <w:keepLines/>
        <w:jc w:val="left"/>
        <w:rPr>
          <w:rFonts w:ascii="Arial Narrow" w:hAnsi="Arial Narrow"/>
          <w:i/>
          <w:sz w:val="18"/>
          <w:szCs w:val="18"/>
        </w:rPr>
      </w:pPr>
    </w:p>
    <w:p w14:paraId="3C2DF371" w14:textId="0B8DC2B7" w:rsidR="00E7428F" w:rsidRPr="00E7428F" w:rsidRDefault="00E7428F" w:rsidP="00613F63">
      <w:pPr>
        <w:keepNext/>
        <w:keepLines/>
        <w:jc w:val="left"/>
        <w:rPr>
          <w:rFonts w:ascii="Arial Narrow" w:hAnsi="Arial Narrow"/>
          <w:i/>
          <w:sz w:val="18"/>
          <w:szCs w:val="18"/>
        </w:rPr>
      </w:pPr>
      <w:r w:rsidRPr="00E7428F">
        <w:rPr>
          <w:rFonts w:ascii="Arial Narrow" w:hAnsi="Arial Narrow"/>
          <w:i/>
          <w:sz w:val="18"/>
          <w:szCs w:val="18"/>
          <w:vertAlign w:val="superscript"/>
        </w:rPr>
        <w:t>3</w:t>
      </w:r>
      <w:r w:rsidRPr="00E7428F">
        <w:rPr>
          <w:rFonts w:ascii="Arial Narrow" w:hAnsi="Arial Narrow"/>
          <w:i/>
          <w:sz w:val="18"/>
          <w:szCs w:val="18"/>
        </w:rPr>
        <w:t xml:space="preserve"> </w:t>
      </w:r>
      <w:r w:rsidR="008C0024" w:rsidRPr="008C0024">
        <w:rPr>
          <w:rFonts w:ascii="Arial Narrow" w:hAnsi="Arial Narrow"/>
          <w:i/>
          <w:sz w:val="18"/>
          <w:szCs w:val="18"/>
        </w:rPr>
        <w:t>$10 million to &lt; $20 million</w:t>
      </w:r>
    </w:p>
    <w:p w14:paraId="5CD83694" w14:textId="77777777" w:rsidR="00E7428F" w:rsidRPr="007F66A7" w:rsidRDefault="00E7428F" w:rsidP="007E51D5">
      <w:pPr>
        <w:pStyle w:val="COMTablefooter"/>
        <w:rPr>
          <w:rStyle w:val="COMtablefigcaptionChar"/>
          <w:rFonts w:eastAsia="Times New Roman" w:cs="Arial"/>
          <w:b w:val="0"/>
          <w:bCs w:val="0"/>
          <w:szCs w:val="22"/>
        </w:rPr>
      </w:pPr>
    </w:p>
    <w:p w14:paraId="32E7840D" w14:textId="24436B47" w:rsidR="00D244B6" w:rsidRPr="007F66A7" w:rsidRDefault="000902D9">
      <w:pPr>
        <w:pStyle w:val="COMexecsummnumbered"/>
        <w:rPr>
          <w:color w:val="0066FF"/>
        </w:rPr>
      </w:pPr>
      <w:r w:rsidRPr="007F66A7">
        <w:t xml:space="preserve">The </w:t>
      </w:r>
      <w:r w:rsidR="00CF2AB5" w:rsidRPr="007F66A7">
        <w:t xml:space="preserve">estimated net cost to the PBS/RPBS/MBS was </w:t>
      </w:r>
      <w:r w:rsidR="00A57F7B" w:rsidRPr="00A57F7B">
        <w:t>$0 to &lt; $10 million</w:t>
      </w:r>
      <w:r w:rsidR="00CF2AB5" w:rsidRPr="007F66A7">
        <w:t xml:space="preserve"> in Year 1, increasing to </w:t>
      </w:r>
      <w:r w:rsidR="00B362C8" w:rsidRPr="00B362C8">
        <w:t>$10 million to &lt; $20 million</w:t>
      </w:r>
      <w:r w:rsidR="00B362C8" w:rsidRPr="00B362C8" w:rsidDel="00B362C8">
        <w:t xml:space="preserve"> </w:t>
      </w:r>
      <w:r w:rsidR="00CF2AB5" w:rsidRPr="007F66A7">
        <w:t xml:space="preserve">in Year 6, a total cost of </w:t>
      </w:r>
      <w:r w:rsidR="00A8466F" w:rsidRPr="00A8466F">
        <w:t>$60 million to &lt; $70 million</w:t>
      </w:r>
      <w:r w:rsidR="00CF2AB5" w:rsidRPr="007F66A7">
        <w:t xml:space="preserve"> over the first 6 years of listing. The estimated net cost to the PBS/RPBS/MBS was larger than estimated in the March 2024 submission (</w:t>
      </w:r>
      <w:r w:rsidR="0000195D" w:rsidRPr="0000195D">
        <w:t>$40 million to &lt; $50 million</w:t>
      </w:r>
      <w:r w:rsidR="00CF2AB5" w:rsidRPr="007F66A7">
        <w:t xml:space="preserve"> over the first 6 years of listing)</w:t>
      </w:r>
      <w:r w:rsidR="00FB1A4F" w:rsidRPr="007F66A7">
        <w:t xml:space="preserve">. The </w:t>
      </w:r>
      <w:r w:rsidR="0028561E" w:rsidRPr="00141038">
        <w:t>evaluation and the ESC</w:t>
      </w:r>
      <w:r w:rsidR="00DC3286" w:rsidRPr="007F66A7" w:rsidDel="006B20A4">
        <w:t xml:space="preserve"> </w:t>
      </w:r>
      <w:r w:rsidR="00DC3286" w:rsidRPr="007F66A7">
        <w:t xml:space="preserve">considered that the </w:t>
      </w:r>
      <w:r w:rsidR="00FB1A4F" w:rsidRPr="007F66A7">
        <w:t>difference was primarily due to the increased size of the eligible population (increased incidence, increased proportion with stage III or IV disease, removal of the ECOG eligibility criterion) and increased size of the treated population (increased uptake rates).</w:t>
      </w:r>
      <w:r w:rsidR="00503F3A" w:rsidRPr="007F66A7">
        <w:rPr>
          <w:color w:val="0066FF"/>
        </w:rPr>
        <w:t xml:space="preserve"> </w:t>
      </w:r>
    </w:p>
    <w:p w14:paraId="1BD474FA" w14:textId="4931C38B" w:rsidR="00A803F4" w:rsidRPr="004B351F" w:rsidRDefault="00DC3286" w:rsidP="009A7666">
      <w:pPr>
        <w:pStyle w:val="COMexecsummnumbered"/>
      </w:pPr>
      <w:r w:rsidRPr="004B351F">
        <w:t xml:space="preserve">The evaluation considered that </w:t>
      </w:r>
      <w:r w:rsidR="00D918C2" w:rsidRPr="004B351F">
        <w:t>t</w:t>
      </w:r>
      <w:r w:rsidR="00CE5A6B" w:rsidRPr="004B351F">
        <w:t xml:space="preserve">reatment uptake rates are highly uncertain given the changing landscape for first-line treatments, with more recent guidelines suggesting a narrower place in therapy for the A+AVD regimen based on age, contraindications (peripheral neuropathy) and the availability of newer regimens. </w:t>
      </w:r>
      <w:r w:rsidR="00014FC7" w:rsidRPr="004B351F">
        <w:t xml:space="preserve">The </w:t>
      </w:r>
      <w:r w:rsidR="006025E4">
        <w:t>Pre-Sub-Committee Response</w:t>
      </w:r>
      <w:r w:rsidR="006025E4" w:rsidRPr="004B351F">
        <w:t xml:space="preserve"> </w:t>
      </w:r>
      <w:r w:rsidR="00014FC7" w:rsidRPr="004B351F">
        <w:t>acknowledged concerns regarding the changing landscape for first-line treatments</w:t>
      </w:r>
      <w:r w:rsidR="00480AAB" w:rsidRPr="004B351F">
        <w:t xml:space="preserve">, but </w:t>
      </w:r>
      <w:r w:rsidR="00014FC7" w:rsidRPr="004B351F">
        <w:t>claimed inputs used in the resubmission were consistent with the PBAC’s recommendation, aligned with DUSC advice at the March 2024 PBAC meeting.</w:t>
      </w:r>
      <w:r w:rsidR="00D037F8" w:rsidRPr="004B351F">
        <w:t xml:space="preserve"> </w:t>
      </w:r>
      <w:r w:rsidR="00CC1EAD">
        <w:t>The pre-PBAC response</w:t>
      </w:r>
      <w:r w:rsidR="00A96806" w:rsidDel="006A6198">
        <w:t xml:space="preserve"> </w:t>
      </w:r>
      <w:r w:rsidR="00A96806">
        <w:t xml:space="preserve">agreed with the ESC that </w:t>
      </w:r>
      <w:proofErr w:type="spellStart"/>
      <w:r w:rsidR="00F677C1">
        <w:t>iPET</w:t>
      </w:r>
      <w:proofErr w:type="spellEnd"/>
      <w:r w:rsidR="00F677C1">
        <w:t xml:space="preserve"> use would likely continue with A+AVD and that there would likely be high uptake of A+AVD to replace ABVD. </w:t>
      </w:r>
      <w:r w:rsidR="004F3443">
        <w:t xml:space="preserve">The PBAC considered that uptake rates of </w:t>
      </w:r>
      <w:r w:rsidR="00AA4CCB" w:rsidRPr="00AA4CCB">
        <w:rPr>
          <w:color w:val="000000"/>
          <w:w w:val="61"/>
          <w:shd w:val="solid" w:color="000000" w:fill="000000"/>
          <w:fitText w:val="475" w:id="-628904439"/>
          <w14:textFill>
            <w14:solidFill>
              <w14:srgbClr w14:val="000000">
                <w14:alpha w14:val="100000"/>
              </w14:srgbClr>
            </w14:solidFill>
          </w14:textFill>
        </w:rPr>
        <w:t>|||  ||</w:t>
      </w:r>
      <w:r w:rsidR="00AA4CCB" w:rsidRPr="00AA4CCB">
        <w:rPr>
          <w:color w:val="000000"/>
          <w:spacing w:val="5"/>
          <w:w w:val="61"/>
          <w:shd w:val="solid" w:color="000000" w:fill="000000"/>
          <w:fitText w:val="475" w:id="-628904439"/>
          <w14:textFill>
            <w14:solidFill>
              <w14:srgbClr w14:val="000000">
                <w14:alpha w14:val="100000"/>
              </w14:srgbClr>
            </w14:solidFill>
          </w14:textFill>
        </w:rPr>
        <w:t>|</w:t>
      </w:r>
      <w:r w:rsidR="004F3443">
        <w:t xml:space="preserve">% in Year 1 increasing to </w:t>
      </w:r>
      <w:r w:rsidR="00AA4CCB" w:rsidRPr="00AA4CCB">
        <w:rPr>
          <w:color w:val="000000"/>
          <w:w w:val="61"/>
          <w:shd w:val="solid" w:color="000000" w:fill="000000"/>
          <w:fitText w:val="475" w:id="-628904438"/>
          <w14:textFill>
            <w14:solidFill>
              <w14:srgbClr w14:val="000000">
                <w14:alpha w14:val="100000"/>
              </w14:srgbClr>
            </w14:solidFill>
          </w14:textFill>
        </w:rPr>
        <w:t>|||  ||</w:t>
      </w:r>
      <w:r w:rsidR="00AA4CCB" w:rsidRPr="00AA4CCB">
        <w:rPr>
          <w:color w:val="000000"/>
          <w:spacing w:val="5"/>
          <w:w w:val="61"/>
          <w:shd w:val="solid" w:color="000000" w:fill="000000"/>
          <w:fitText w:val="475" w:id="-628904438"/>
          <w14:textFill>
            <w14:solidFill>
              <w14:srgbClr w14:val="000000">
                <w14:alpha w14:val="100000"/>
              </w14:srgbClr>
            </w14:solidFill>
          </w14:textFill>
        </w:rPr>
        <w:t>|</w:t>
      </w:r>
      <w:r w:rsidR="004F3443">
        <w:t>% in Year 6 would be more appropriate</w:t>
      </w:r>
      <w:r w:rsidR="004F61C8">
        <w:t xml:space="preserve">. </w:t>
      </w:r>
    </w:p>
    <w:p w14:paraId="08E053BF" w14:textId="1C4BF961" w:rsidR="009A7666" w:rsidRPr="007F66A7" w:rsidRDefault="009A7666" w:rsidP="009A7666">
      <w:pPr>
        <w:pStyle w:val="COMexecsummnumbered"/>
      </w:pPr>
      <w:bookmarkStart w:id="56" w:name="_Ref204850139"/>
      <w:r w:rsidRPr="007F66A7">
        <w:lastRenderedPageBreak/>
        <w:t xml:space="preserve">The </w:t>
      </w:r>
      <w:r w:rsidR="005E430B" w:rsidRPr="007F66A7">
        <w:t>estimated financial implications</w:t>
      </w:r>
      <w:r w:rsidRPr="007F66A7">
        <w:t xml:space="preserve"> included cost offsets associated with the use of supportive therapies in patients receiving ABVD or AVD as part of PET-adapted ABVD (total cost offset of </w:t>
      </w:r>
      <w:r w:rsidR="0010560D" w:rsidRPr="0010560D">
        <w:t>$0 to &lt; $10 million</w:t>
      </w:r>
      <w:r w:rsidRPr="007F66A7">
        <w:t xml:space="preserve"> over 6 years, mainly due to the cost of </w:t>
      </w:r>
      <w:proofErr w:type="spellStart"/>
      <w:r w:rsidRPr="007F66A7">
        <w:t>netupitant</w:t>
      </w:r>
      <w:proofErr w:type="spellEnd"/>
      <w:r w:rsidRPr="007F66A7">
        <w:t xml:space="preserve"> + palonosetron). The</w:t>
      </w:r>
      <w:r w:rsidR="00DC3286" w:rsidRPr="007F66A7">
        <w:t xml:space="preserve"> evaluation considered that the</w:t>
      </w:r>
      <w:r w:rsidRPr="007F66A7">
        <w:t xml:space="preserve"> inclusion of </w:t>
      </w:r>
      <w:r w:rsidR="00A10E47" w:rsidRPr="007F66A7">
        <w:t xml:space="preserve">the </w:t>
      </w:r>
      <w:r w:rsidRPr="007F66A7">
        <w:t>costs of these therapies in patients receiving PET-adapted ABVD but not A+AVD was inadequately justified in the resubmission. The approach was inconsistent with trial data suggesting the use of antiemetics, corticosteroids and other supportive therapies was similar between arms in the</w:t>
      </w:r>
      <w:r w:rsidR="00826C59" w:rsidRPr="007F66A7">
        <w:t xml:space="preserve"> ECHELON-1</w:t>
      </w:r>
      <w:r w:rsidRPr="007F66A7">
        <w:t xml:space="preserve"> trial. </w:t>
      </w:r>
      <w:r w:rsidR="00DC3286" w:rsidRPr="007F66A7">
        <w:t>The evaluation considered that i</w:t>
      </w:r>
      <w:r w:rsidRPr="007F66A7">
        <w:t>t may be simpler to remove the cost of these therapies from substituted ABVD and AVD regimens.</w:t>
      </w:r>
      <w:bookmarkEnd w:id="56"/>
    </w:p>
    <w:p w14:paraId="2238DEE9" w14:textId="3E6A228B" w:rsidR="00576972" w:rsidRPr="007F66A7" w:rsidRDefault="00576972" w:rsidP="003D5DE7">
      <w:pPr>
        <w:pStyle w:val="COMH2-non-numbered"/>
      </w:pPr>
      <w:bookmarkStart w:id="57" w:name="_Toc22897648"/>
      <w:bookmarkStart w:id="58" w:name="_Toc198653249"/>
      <w:r w:rsidRPr="007F66A7">
        <w:t>Quality Use of Medicines</w:t>
      </w:r>
      <w:bookmarkEnd w:id="57"/>
      <w:bookmarkEnd w:id="58"/>
    </w:p>
    <w:p w14:paraId="38BD0AEF" w14:textId="5F7FEAC0" w:rsidR="00576972" w:rsidRPr="007F66A7" w:rsidRDefault="00E4585A" w:rsidP="00E4585A">
      <w:pPr>
        <w:pStyle w:val="COMexecsummnumbered"/>
      </w:pPr>
      <w:r w:rsidRPr="007F66A7">
        <w:t xml:space="preserve">No quality of use of medicines issues were identified in the resubmission. </w:t>
      </w:r>
    </w:p>
    <w:p w14:paraId="613FA26E" w14:textId="5B17E92B" w:rsidR="00E4585A" w:rsidRPr="007F66A7" w:rsidRDefault="009C7C92" w:rsidP="00E4585A">
      <w:pPr>
        <w:pStyle w:val="COMexecsummnumbered"/>
      </w:pPr>
      <w:r w:rsidRPr="007F66A7">
        <w:t xml:space="preserve">The evaluation noted that </w:t>
      </w:r>
      <w:r w:rsidR="00E4585A" w:rsidRPr="007F66A7">
        <w:t xml:space="preserve">DUSC previously considered multiple quality use of medicines issues including equity of access issues </w:t>
      </w:r>
      <w:r w:rsidR="00765260" w:rsidRPr="007F66A7">
        <w:t xml:space="preserve">given the need for dacarbazine, </w:t>
      </w:r>
      <w:r w:rsidR="000F3242" w:rsidRPr="007F66A7">
        <w:t xml:space="preserve">safety concerns </w:t>
      </w:r>
      <w:r w:rsidR="00834AA9" w:rsidRPr="007F66A7">
        <w:t xml:space="preserve">and the need for primary prophylaxis with granulocyte-colony stimulating factors; and the </w:t>
      </w:r>
      <w:r w:rsidR="005F170F" w:rsidRPr="007F66A7">
        <w:t xml:space="preserve">potential for a large degree of wastage </w:t>
      </w:r>
      <w:r w:rsidR="002F3EC7" w:rsidRPr="007F66A7">
        <w:t xml:space="preserve">in patients </w:t>
      </w:r>
      <w:r w:rsidR="00604E4B" w:rsidRPr="007F66A7">
        <w:t>whose weight exceeds</w:t>
      </w:r>
      <w:r w:rsidR="002F3EC7" w:rsidRPr="007F66A7">
        <w:t xml:space="preserve"> 100 kg given brentuximab vedotin is only supplied in 50 mg vials</w:t>
      </w:r>
      <w:r w:rsidR="009A0000" w:rsidRPr="007F66A7">
        <w:t xml:space="preserve"> (para 6.90 to 6.92, brentuximab vedotin PSD, March 2024 PBAC meeting).</w:t>
      </w:r>
    </w:p>
    <w:p w14:paraId="6015A395" w14:textId="2EDB6A4E" w:rsidR="00576972" w:rsidRPr="007F66A7" w:rsidRDefault="00576972" w:rsidP="003D5DE7">
      <w:pPr>
        <w:pStyle w:val="COMH2-non-numbered"/>
      </w:pPr>
      <w:bookmarkStart w:id="59" w:name="_Toc22897649"/>
      <w:bookmarkStart w:id="60" w:name="_Toc198653250"/>
      <w:r w:rsidRPr="007F66A7">
        <w:t>Financial Management – Risk Sharing Arrangements</w:t>
      </w:r>
      <w:bookmarkEnd w:id="59"/>
      <w:bookmarkEnd w:id="60"/>
    </w:p>
    <w:p w14:paraId="3B2622FF" w14:textId="3153A207" w:rsidR="001D0D89" w:rsidRPr="001D0D89" w:rsidRDefault="00AA2615" w:rsidP="009345F4">
      <w:pPr>
        <w:pStyle w:val="COMexecsummnumbered"/>
        <w:numPr>
          <w:ilvl w:val="0"/>
          <w:numId w:val="0"/>
        </w:numPr>
      </w:pPr>
      <w:r w:rsidRPr="007F66A7">
        <w:t>No risk-sharing arrangements were proposed</w:t>
      </w:r>
      <w:r w:rsidR="006B290F" w:rsidRPr="007F66A7">
        <w:t xml:space="preserve"> in the resubmission</w:t>
      </w:r>
      <w:r w:rsidRPr="007F66A7">
        <w:t>.</w:t>
      </w:r>
      <w:r w:rsidR="00454B45" w:rsidRPr="007F66A7">
        <w:t xml:space="preserve"> The</w:t>
      </w:r>
      <w:r w:rsidRPr="007F66A7">
        <w:t xml:space="preserve"> </w:t>
      </w:r>
      <w:r w:rsidR="00454B45" w:rsidRPr="007F66A7">
        <w:t xml:space="preserve">evaluation </w:t>
      </w:r>
      <w:r w:rsidR="00454B45" w:rsidRPr="002A7824">
        <w:t xml:space="preserve">noted that </w:t>
      </w:r>
      <w:r w:rsidR="002132E5">
        <w:t>b</w:t>
      </w:r>
      <w:r w:rsidRPr="002A7824">
        <w:t>rentuximab vedotin is currently subject to risk-sharing arrangements for relapsed</w:t>
      </w:r>
      <w:r w:rsidR="00AF77CD">
        <w:t xml:space="preserve"> or </w:t>
      </w:r>
      <w:r w:rsidRPr="002A7824">
        <w:t>refractory disease (post-ASCT and ASCT-naïve listings)</w:t>
      </w:r>
      <w:r w:rsidR="00126CC6" w:rsidRPr="002A7824">
        <w:t>.</w:t>
      </w:r>
      <w:r w:rsidRPr="002A7824">
        <w:t xml:space="preserve"> </w:t>
      </w:r>
      <w:r w:rsidR="00126CC6" w:rsidRPr="002A7824">
        <w:t xml:space="preserve">The </w:t>
      </w:r>
      <w:r w:rsidR="004F4D2D" w:rsidRPr="002A7824">
        <w:t xml:space="preserve">available </w:t>
      </w:r>
      <w:r w:rsidRPr="002A7824">
        <w:t xml:space="preserve">data </w:t>
      </w:r>
      <w:r w:rsidR="00D37C78" w:rsidRPr="002A7824">
        <w:t>indicate</w:t>
      </w:r>
      <w:r w:rsidR="00126CC6" w:rsidRPr="002A7824">
        <w:t xml:space="preserve"> that Commonwealth payment</w:t>
      </w:r>
      <w:r w:rsidR="00135A7E" w:rsidRPr="002A7824">
        <w:t>s</w:t>
      </w:r>
      <w:r w:rsidR="00126CC6" w:rsidRPr="002A7824">
        <w:t xml:space="preserve"> ha</w:t>
      </w:r>
      <w:r w:rsidR="00135A7E" w:rsidRPr="002A7824">
        <w:t>ve</w:t>
      </w:r>
      <w:r w:rsidR="00126CC6" w:rsidRPr="002A7824">
        <w:t xml:space="preserve"> remained </w:t>
      </w:r>
      <w:r w:rsidR="00AA4CCB" w:rsidRPr="003441AB">
        <w:rPr>
          <w:color w:val="000000"/>
          <w:w w:val="61"/>
          <w:shd w:val="solid" w:color="000000" w:fill="000000"/>
          <w:fitText w:val="475" w:id="-628904437"/>
          <w14:textFill>
            <w14:solidFill>
              <w14:srgbClr w14:val="000000">
                <w14:alpha w14:val="100000"/>
              </w14:srgbClr>
            </w14:solidFill>
          </w14:textFill>
        </w:rPr>
        <w:t>|||  |||</w:t>
      </w:r>
      <w:r w:rsidR="00135A7E" w:rsidRPr="002A7824">
        <w:t xml:space="preserve"> than</w:t>
      </w:r>
      <w:r w:rsidR="00126CC6" w:rsidRPr="002A7824">
        <w:t xml:space="preserve"> the nominated </w:t>
      </w:r>
      <w:proofErr w:type="spellStart"/>
      <w:r w:rsidR="00126CC6" w:rsidRPr="002A7824">
        <w:t>caps</w:t>
      </w:r>
      <w:r w:rsidR="00F537A0" w:rsidRPr="002A7824">
        <w:t>.</w:t>
      </w:r>
      <w:r w:rsidR="001D0D89" w:rsidRPr="001F5873">
        <w:rPr>
          <w:i/>
          <w:iCs/>
        </w:rPr>
        <w:t>For</w:t>
      </w:r>
      <w:proofErr w:type="spellEnd"/>
      <w:r w:rsidR="001D0D89" w:rsidRPr="001F5873">
        <w:rPr>
          <w:i/>
          <w:iCs/>
        </w:rPr>
        <w:t xml:space="preserve"> more detail on PBAC’s view, see section 7 PBAC outcome.</w:t>
      </w:r>
    </w:p>
    <w:p w14:paraId="36CD90DF" w14:textId="77777777" w:rsidR="00005328" w:rsidRPr="0090150D" w:rsidRDefault="00005328" w:rsidP="00005328">
      <w:pPr>
        <w:pStyle w:val="2-SectionHeading"/>
        <w:numPr>
          <w:ilvl w:val="0"/>
          <w:numId w:val="1"/>
        </w:numPr>
        <w:outlineLvl w:val="0"/>
      </w:pPr>
      <w:bookmarkStart w:id="61" w:name="_Hlk76381249"/>
      <w:bookmarkStart w:id="62" w:name="_Hlk76377955"/>
      <w:r w:rsidRPr="0090150D">
        <w:t>PBAC Outcome</w:t>
      </w:r>
    </w:p>
    <w:p w14:paraId="19D850EF" w14:textId="3ED96CBE" w:rsidR="00A83DD0" w:rsidRPr="00A83DD0" w:rsidRDefault="0062689C" w:rsidP="00A83DD0">
      <w:pPr>
        <w:widowControl w:val="0"/>
        <w:numPr>
          <w:ilvl w:val="1"/>
          <w:numId w:val="1"/>
        </w:numPr>
        <w:spacing w:after="120"/>
        <w:rPr>
          <w:rFonts w:asciiTheme="minorHAnsi" w:hAnsiTheme="minorHAnsi" w:cstheme="minorHAnsi"/>
        </w:rPr>
      </w:pPr>
      <w:r w:rsidRPr="00CB653C">
        <w:rPr>
          <w:lang w:val="en-GB"/>
        </w:rPr>
        <w:t xml:space="preserve">The PBAC </w:t>
      </w:r>
      <w:r w:rsidRPr="00566E1C">
        <w:rPr>
          <w:lang w:val="en-GB"/>
        </w:rPr>
        <w:t>recommended</w:t>
      </w:r>
      <w:r w:rsidRPr="00CB653C">
        <w:rPr>
          <w:lang w:val="en-GB"/>
        </w:rPr>
        <w:t xml:space="preserve"> the </w:t>
      </w:r>
      <w:r w:rsidR="00AC4AFB">
        <w:rPr>
          <w:lang w:val="en-GB"/>
        </w:rPr>
        <w:t>Section 100 Efficient Funding of Chemotherapy</w:t>
      </w:r>
      <w:r w:rsidR="003C78FC">
        <w:rPr>
          <w:lang w:val="en-GB"/>
        </w:rPr>
        <w:t xml:space="preserve">, Authority Required </w:t>
      </w:r>
      <w:r w:rsidR="00E37D87">
        <w:rPr>
          <w:lang w:val="en-GB"/>
        </w:rPr>
        <w:t xml:space="preserve">(Telephone/Online) </w:t>
      </w:r>
      <w:r w:rsidRPr="00CB653C">
        <w:rPr>
          <w:lang w:val="en-GB"/>
        </w:rPr>
        <w:t>listing of brentuximab</w:t>
      </w:r>
      <w:r w:rsidR="00ED33E9">
        <w:rPr>
          <w:lang w:val="en-GB"/>
        </w:rPr>
        <w:t xml:space="preserve"> vedotin</w:t>
      </w:r>
      <w:r w:rsidRPr="00CB653C">
        <w:rPr>
          <w:lang w:val="en-GB"/>
        </w:rPr>
        <w:t xml:space="preserve"> in combination with</w:t>
      </w:r>
      <w:r w:rsidR="00363CB1">
        <w:rPr>
          <w:lang w:val="en-GB"/>
        </w:rPr>
        <w:t xml:space="preserve"> </w:t>
      </w:r>
      <w:r w:rsidR="001019E1" w:rsidRPr="00566E1C">
        <w:rPr>
          <w:lang w:val="en-GB"/>
        </w:rPr>
        <w:t>doxorubicin, vinblastine and dacarbazine</w:t>
      </w:r>
      <w:r w:rsidR="003C48C6">
        <w:rPr>
          <w:lang w:val="en-GB"/>
        </w:rPr>
        <w:t xml:space="preserve"> (</w:t>
      </w:r>
      <w:r w:rsidR="00A01B60" w:rsidRPr="00CB653C">
        <w:rPr>
          <w:lang w:val="en-GB"/>
        </w:rPr>
        <w:t>A+AVD)</w:t>
      </w:r>
      <w:r w:rsidR="006C4AB5" w:rsidRPr="00CB653C">
        <w:rPr>
          <w:lang w:val="en-GB"/>
        </w:rPr>
        <w:t xml:space="preserve"> for the first-line treatment of advanced Hodgkin lymphoma</w:t>
      </w:r>
      <w:r w:rsidRPr="00CB653C">
        <w:rPr>
          <w:lang w:val="en-GB"/>
        </w:rPr>
        <w:t xml:space="preserve">. </w:t>
      </w:r>
      <w:r w:rsidR="00CB653C" w:rsidRPr="00CB653C">
        <w:rPr>
          <w:lang w:val="en-GB"/>
        </w:rPr>
        <w:t xml:space="preserve">The PBAC </w:t>
      </w:r>
      <w:r w:rsidR="00E43133">
        <w:rPr>
          <w:lang w:val="en-GB"/>
        </w:rPr>
        <w:t>wa</w:t>
      </w:r>
      <w:r w:rsidR="00CB653C" w:rsidRPr="00CB653C">
        <w:rPr>
          <w:lang w:val="en-GB"/>
        </w:rPr>
        <w:t xml:space="preserve">s satisfied that A+AVD provides, for some patients, a significant improvement in efficacy over </w:t>
      </w:r>
      <w:r w:rsidR="00CB653C" w:rsidRPr="00566E1C">
        <w:rPr>
          <w:lang w:val="en-GB"/>
        </w:rPr>
        <w:t xml:space="preserve">positron emission </w:t>
      </w:r>
      <w:r w:rsidR="00CB653C" w:rsidRPr="00CB653C">
        <w:rPr>
          <w:lang w:val="en-GB"/>
        </w:rPr>
        <w:t>tomography</w:t>
      </w:r>
      <w:r w:rsidR="00CB653C" w:rsidRPr="00566E1C">
        <w:rPr>
          <w:lang w:val="en-GB"/>
        </w:rPr>
        <w:t xml:space="preserve"> (PET)-adapted</w:t>
      </w:r>
      <w:r w:rsidR="00CB653C" w:rsidRPr="00CB653C">
        <w:rPr>
          <w:lang w:val="en-GB"/>
        </w:rPr>
        <w:t xml:space="preserve"> doxorubicin, bleomycin, vinblastine and dacarbazine</w:t>
      </w:r>
      <w:r w:rsidR="00ED33E9">
        <w:rPr>
          <w:lang w:val="en-GB"/>
        </w:rPr>
        <w:t xml:space="preserve"> (ABVD</w:t>
      </w:r>
      <w:r w:rsidR="00CB653C" w:rsidRPr="00CB653C">
        <w:rPr>
          <w:lang w:val="en-GB"/>
        </w:rPr>
        <w:t xml:space="preserve">). </w:t>
      </w:r>
      <w:r w:rsidR="00005328" w:rsidRPr="00583EB0">
        <w:rPr>
          <w:rFonts w:asciiTheme="minorHAnsi" w:hAnsiTheme="minorHAnsi" w:cstheme="minorHAnsi"/>
          <w:lang w:val="en-GB"/>
        </w:rPr>
        <w:t>The PBAC considered that the resubmission had addressed the substantive outstanding issues identified at the March 202</w:t>
      </w:r>
      <w:r w:rsidR="006D06A6">
        <w:rPr>
          <w:rFonts w:asciiTheme="minorHAnsi" w:hAnsiTheme="minorHAnsi" w:cstheme="minorHAnsi"/>
          <w:lang w:val="en-GB"/>
        </w:rPr>
        <w:t>4</w:t>
      </w:r>
      <w:r w:rsidR="00005328" w:rsidRPr="00583EB0">
        <w:rPr>
          <w:rFonts w:asciiTheme="minorHAnsi" w:hAnsiTheme="minorHAnsi" w:cstheme="minorHAnsi"/>
          <w:lang w:val="en-GB"/>
        </w:rPr>
        <w:t xml:space="preserve"> PBAC meeting </w:t>
      </w:r>
      <w:r w:rsidR="00977809">
        <w:rPr>
          <w:rFonts w:asciiTheme="minorHAnsi" w:hAnsiTheme="minorHAnsi" w:cstheme="minorHAnsi"/>
          <w:lang w:val="en-GB"/>
        </w:rPr>
        <w:t xml:space="preserve">with the provision of a revised economic </w:t>
      </w:r>
      <w:r w:rsidR="001628CC" w:rsidRPr="001628CC">
        <w:rPr>
          <w:rFonts w:asciiTheme="minorHAnsi" w:hAnsiTheme="minorHAnsi" w:cstheme="minorHAnsi"/>
          <w:lang w:val="en-GB"/>
        </w:rPr>
        <w:t xml:space="preserve">model </w:t>
      </w:r>
      <w:r w:rsidR="00A83DD0" w:rsidRPr="00A83DD0">
        <w:rPr>
          <w:rFonts w:asciiTheme="minorHAnsi" w:hAnsiTheme="minorHAnsi" w:cstheme="minorHAnsi"/>
        </w:rPr>
        <w:t xml:space="preserve">and advised that brentuximab vedotin was considered cost-effective at the price proposed in the resubmission. </w:t>
      </w:r>
    </w:p>
    <w:p w14:paraId="0D2989FB" w14:textId="06553F33" w:rsidR="00ED4DC0" w:rsidRPr="00CE42B4" w:rsidRDefault="00DC6747" w:rsidP="00C1081C">
      <w:pPr>
        <w:pStyle w:val="COMexecsummnumbered"/>
        <w:rPr>
          <w:snapToGrid w:val="0"/>
          <w:lang w:val="en-GB"/>
        </w:rPr>
      </w:pPr>
      <w:r w:rsidRPr="00ED4DC0">
        <w:rPr>
          <w:rFonts w:ascii="Calibri" w:eastAsia="Times New Roman" w:hAnsi="Calibri" w:cs="Arial"/>
          <w:szCs w:val="24"/>
        </w:rPr>
        <w:t>The PBAC noted</w:t>
      </w:r>
      <w:r w:rsidR="001E7DAB">
        <w:rPr>
          <w:rFonts w:ascii="Calibri" w:hAnsi="Calibri" w:cs="Calibri"/>
          <w:lang w:val="en-GB"/>
        </w:rPr>
        <w:t xml:space="preserve"> the input from health care professionals, Rare Cancers Australia, Leukaemia Foundation, Lymphoma Australia and the Australasian Leukaemia and Lymphoma group supporting the listing</w:t>
      </w:r>
      <w:r w:rsidR="00B82933">
        <w:rPr>
          <w:rFonts w:ascii="Calibri" w:hAnsi="Calibri" w:cs="Calibri"/>
          <w:lang w:val="en-GB"/>
        </w:rPr>
        <w:t xml:space="preserve">. </w:t>
      </w:r>
      <w:r w:rsidR="00D319AC">
        <w:rPr>
          <w:rFonts w:ascii="Calibri" w:hAnsi="Calibri" w:cs="Calibri"/>
          <w:lang w:val="en-GB"/>
        </w:rPr>
        <w:t xml:space="preserve">The </w:t>
      </w:r>
      <w:r w:rsidR="00EA26EA">
        <w:rPr>
          <w:rFonts w:ascii="Calibri" w:hAnsi="Calibri" w:cs="Calibri"/>
          <w:lang w:val="en-GB"/>
        </w:rPr>
        <w:t>comments</w:t>
      </w:r>
      <w:r w:rsidR="00D319AC">
        <w:rPr>
          <w:rFonts w:ascii="Calibri" w:hAnsi="Calibri" w:cs="Calibri"/>
          <w:lang w:val="en-GB"/>
        </w:rPr>
        <w:t xml:space="preserve"> highlighted the need for </w:t>
      </w:r>
      <w:r w:rsidR="00D319AC">
        <w:rPr>
          <w:rFonts w:ascii="Calibri" w:hAnsi="Calibri" w:cs="Calibri"/>
          <w:lang w:val="en-GB"/>
        </w:rPr>
        <w:lastRenderedPageBreak/>
        <w:t xml:space="preserve">additional treatment </w:t>
      </w:r>
      <w:r w:rsidR="00CA2A25">
        <w:rPr>
          <w:rFonts w:ascii="Calibri" w:hAnsi="Calibri" w:cs="Calibri"/>
          <w:lang w:val="en-GB"/>
        </w:rPr>
        <w:t xml:space="preserve">options to </w:t>
      </w:r>
      <w:r w:rsidR="00D25BFC">
        <w:rPr>
          <w:rFonts w:ascii="Calibri" w:hAnsi="Calibri" w:cs="Calibri"/>
          <w:lang w:val="en-GB"/>
        </w:rPr>
        <w:t>address</w:t>
      </w:r>
      <w:r w:rsidR="00E67AD3" w:rsidRPr="00C1081C">
        <w:rPr>
          <w:snapToGrid w:val="0"/>
          <w:lang w:val="en-GB"/>
        </w:rPr>
        <w:t xml:space="preserve"> </w:t>
      </w:r>
      <w:r w:rsidR="005078D9" w:rsidRPr="00C1081C">
        <w:rPr>
          <w:snapToGrid w:val="0"/>
          <w:lang w:val="en-GB"/>
        </w:rPr>
        <w:t>long term toxicity</w:t>
      </w:r>
      <w:r w:rsidR="00EA0A17" w:rsidRPr="00C1081C">
        <w:rPr>
          <w:snapToGrid w:val="0"/>
          <w:lang w:val="en-GB"/>
        </w:rPr>
        <w:t xml:space="preserve"> </w:t>
      </w:r>
      <w:r w:rsidR="00D25BFC">
        <w:rPr>
          <w:snapToGrid w:val="0"/>
          <w:lang w:val="en-GB"/>
        </w:rPr>
        <w:t xml:space="preserve">concerns </w:t>
      </w:r>
      <w:r w:rsidR="00EA0A17" w:rsidRPr="00C1081C">
        <w:rPr>
          <w:snapToGrid w:val="0"/>
          <w:lang w:val="en-GB"/>
        </w:rPr>
        <w:t xml:space="preserve">associated with current treatments. </w:t>
      </w:r>
      <w:r w:rsidR="00032E7B">
        <w:rPr>
          <w:snapToGrid w:val="0"/>
          <w:lang w:val="en-GB"/>
        </w:rPr>
        <w:t xml:space="preserve">The PBAC noted </w:t>
      </w:r>
      <w:r w:rsidR="007D783B">
        <w:rPr>
          <w:snapToGrid w:val="0"/>
          <w:lang w:val="en-GB"/>
        </w:rPr>
        <w:t xml:space="preserve">input that A+AVD </w:t>
      </w:r>
      <w:r w:rsidR="00D200FB">
        <w:rPr>
          <w:snapToGrid w:val="0"/>
          <w:lang w:val="en-GB"/>
        </w:rPr>
        <w:t xml:space="preserve">does not necessarily provide a lower toxicity treatment option, rather an alternative </w:t>
      </w:r>
      <w:r w:rsidR="00E37768">
        <w:rPr>
          <w:snapToGrid w:val="0"/>
          <w:lang w:val="en-GB"/>
        </w:rPr>
        <w:t>toxicity profile to ABVD</w:t>
      </w:r>
      <w:r w:rsidR="004C7D51">
        <w:rPr>
          <w:snapToGrid w:val="0"/>
          <w:lang w:val="en-GB"/>
        </w:rPr>
        <w:t xml:space="preserve"> and acknowledged that it was important for more treatment options to be available. </w:t>
      </w:r>
    </w:p>
    <w:p w14:paraId="3CD77D7E" w14:textId="2D1FCC3D" w:rsidR="00005328" w:rsidRPr="00CE42B4" w:rsidRDefault="00330BA5" w:rsidP="00005328">
      <w:pPr>
        <w:widowControl w:val="0"/>
        <w:numPr>
          <w:ilvl w:val="1"/>
          <w:numId w:val="1"/>
        </w:numPr>
        <w:contextualSpacing/>
        <w:rPr>
          <w:rFonts w:asciiTheme="minorHAnsi" w:hAnsiTheme="minorHAnsi"/>
          <w:snapToGrid w:val="0"/>
          <w:lang w:val="en-GB"/>
        </w:rPr>
      </w:pPr>
      <w:r>
        <w:t>With regard to the proposed restriction, the PBAC advised that</w:t>
      </w:r>
      <w:r w:rsidR="00005328" w:rsidRPr="00CE42B4">
        <w:rPr>
          <w:rFonts w:asciiTheme="minorHAnsi" w:hAnsiTheme="minorHAnsi"/>
          <w:snapToGrid w:val="0"/>
          <w:lang w:val="en-GB"/>
        </w:rPr>
        <w:t>:</w:t>
      </w:r>
    </w:p>
    <w:p w14:paraId="67D7FCFF" w14:textId="2A7959A2" w:rsidR="009D2038" w:rsidRDefault="009D2038" w:rsidP="00F14673">
      <w:pPr>
        <w:pStyle w:val="COMexecsummbulletlist"/>
        <w:numPr>
          <w:ilvl w:val="0"/>
          <w:numId w:val="17"/>
        </w:numPr>
        <w:spacing w:after="0"/>
        <w:ind w:left="1134" w:hanging="306"/>
      </w:pPr>
      <w:r>
        <w:t>An Authority Required (Telephone</w:t>
      </w:r>
      <w:r w:rsidR="001D541D">
        <w:t xml:space="preserve">/Online) listing was appropriate </w:t>
      </w:r>
      <w:r w:rsidR="006D4B33">
        <w:t xml:space="preserve">as the criteria proposed in the restriction could be answered in yes/no responses to Services Australia. </w:t>
      </w:r>
    </w:p>
    <w:p w14:paraId="16E9B598" w14:textId="4BB53584" w:rsidR="001A05F3" w:rsidRDefault="001E5264" w:rsidP="00F14673">
      <w:pPr>
        <w:pStyle w:val="COMexecsummbulletlist"/>
        <w:numPr>
          <w:ilvl w:val="0"/>
          <w:numId w:val="17"/>
        </w:numPr>
        <w:spacing w:after="0"/>
        <w:ind w:left="1134" w:hanging="306"/>
      </w:pPr>
      <w:r>
        <w:t>A maximum amount of 120 mg was appropriate</w:t>
      </w:r>
      <w:r w:rsidR="00734A43">
        <w:t xml:space="preserve">, </w:t>
      </w:r>
      <w:r>
        <w:t xml:space="preserve">consistent with the TGA-approved Product Information. </w:t>
      </w:r>
    </w:p>
    <w:p w14:paraId="4C2CD39A" w14:textId="48A18F2A" w:rsidR="00BF49C0" w:rsidRDefault="00227665" w:rsidP="00F14673">
      <w:pPr>
        <w:pStyle w:val="COMexecsummbulletlist"/>
        <w:numPr>
          <w:ilvl w:val="0"/>
          <w:numId w:val="17"/>
        </w:numPr>
        <w:spacing w:after="0"/>
        <w:ind w:left="1134" w:hanging="306"/>
      </w:pPr>
      <w:r>
        <w:t>The restriction should not be agnostic</w:t>
      </w:r>
      <w:r w:rsidR="009535B9">
        <w:t xml:space="preserve"> in terms of the chemotherapy regimen</w:t>
      </w:r>
      <w:r w:rsidR="004D4B36">
        <w:t xml:space="preserve">. </w:t>
      </w:r>
      <w:r w:rsidR="00FD4ACD">
        <w:t xml:space="preserve">Acknowledging that </w:t>
      </w:r>
      <w:r w:rsidR="00884D6F" w:rsidRPr="00D26427">
        <w:t xml:space="preserve">dacarbazine is </w:t>
      </w:r>
      <w:r w:rsidR="00FC2605">
        <w:t xml:space="preserve">not </w:t>
      </w:r>
      <w:r w:rsidR="00884D6F" w:rsidRPr="00D26427">
        <w:t>listed on the PBS for treatment of Hodgkin lymphoma,</w:t>
      </w:r>
      <w:r w:rsidR="002F048E">
        <w:t xml:space="preserve"> the PBAC agreed with the ESC </w:t>
      </w:r>
      <w:r w:rsidR="002F048E" w:rsidRPr="00D26427">
        <w:t>that ABVD has been standard of care in Hodgkin lymphoma for decades in Australia and access to dacarbazine has not been an issue</w:t>
      </w:r>
      <w:r w:rsidR="00EE2CBB">
        <w:t xml:space="preserve">. </w:t>
      </w:r>
      <w:r w:rsidR="00C85E0A">
        <w:t>As such, t</w:t>
      </w:r>
      <w:r w:rsidR="00661C18">
        <w:t>he Committee advised that</w:t>
      </w:r>
      <w:r w:rsidR="00884D6F" w:rsidRPr="00D26427">
        <w:t xml:space="preserve"> </w:t>
      </w:r>
      <w:r w:rsidR="00884D6F">
        <w:t xml:space="preserve">the </w:t>
      </w:r>
      <w:r w:rsidR="00DA4596">
        <w:t xml:space="preserve">restriction should include clinical criteria </w:t>
      </w:r>
      <w:r w:rsidR="00BA1E55">
        <w:t xml:space="preserve">which intend to restrict the chemotherapy regimen to </w:t>
      </w:r>
      <w:r w:rsidR="00262572" w:rsidRPr="00566E1C">
        <w:rPr>
          <w:snapToGrid/>
          <w:lang w:val="en-GB"/>
        </w:rPr>
        <w:t>doxorubicin, vinblastine and dacarbazine</w:t>
      </w:r>
      <w:r w:rsidR="00262572">
        <w:rPr>
          <w:snapToGrid/>
          <w:lang w:val="en-GB"/>
        </w:rPr>
        <w:t xml:space="preserve"> (AVD)</w:t>
      </w:r>
      <w:r w:rsidR="00BA1E55">
        <w:t>.</w:t>
      </w:r>
      <w:r w:rsidR="00884D6F" w:rsidRPr="00D26427">
        <w:t xml:space="preserve"> </w:t>
      </w:r>
    </w:p>
    <w:p w14:paraId="72DCE108" w14:textId="67158FDD" w:rsidR="00F62C82" w:rsidRDefault="00F64828" w:rsidP="00F14673">
      <w:pPr>
        <w:pStyle w:val="COMexecsummbulletlist"/>
        <w:numPr>
          <w:ilvl w:val="0"/>
          <w:numId w:val="17"/>
        </w:numPr>
        <w:spacing w:after="0"/>
        <w:ind w:left="1134" w:hanging="306"/>
      </w:pPr>
      <w:r w:rsidRPr="00D26427">
        <w:t xml:space="preserve">The resubmission </w:t>
      </w:r>
      <w:r w:rsidR="00A94764">
        <w:t>request to change the</w:t>
      </w:r>
      <w:r w:rsidRPr="00D26427">
        <w:t xml:space="preserve"> current PBS listings for brentuximab vedotin in relapsed</w:t>
      </w:r>
      <w:r w:rsidR="00AF77CD">
        <w:t xml:space="preserve"> or </w:t>
      </w:r>
      <w:r w:rsidRPr="00D26427">
        <w:t>refractory Hodgkin lymphoma</w:t>
      </w:r>
      <w:r w:rsidR="00A94764">
        <w:t xml:space="preserve"> from</w:t>
      </w:r>
      <w:r w:rsidRPr="00D26427">
        <w:t xml:space="preserve"> Authority Required</w:t>
      </w:r>
      <w:r w:rsidR="00A94764">
        <w:t xml:space="preserve"> (Written)</w:t>
      </w:r>
      <w:r w:rsidRPr="00D26427">
        <w:t xml:space="preserve"> to Authority Required (Streamlined)</w:t>
      </w:r>
      <w:r w:rsidR="009A72AC">
        <w:t xml:space="preserve"> was not </w:t>
      </w:r>
      <w:r w:rsidR="005B39F2">
        <w:t xml:space="preserve">considered </w:t>
      </w:r>
      <w:r w:rsidR="009A72AC">
        <w:t>appropriate</w:t>
      </w:r>
      <w:r w:rsidRPr="00D26427">
        <w:t>.</w:t>
      </w:r>
      <w:r w:rsidR="009A72AC">
        <w:t xml:space="preserve"> </w:t>
      </w:r>
      <w:r w:rsidR="005B39F2">
        <w:t>Instead</w:t>
      </w:r>
      <w:r w:rsidR="009A72AC">
        <w:t xml:space="preserve">, the PBAC </w:t>
      </w:r>
      <w:r w:rsidR="002406C7">
        <w:t xml:space="preserve">advised that an Authority Required (Telephone/Online) listing would be appropriate for both initial and continuing treatment restrictions in the </w:t>
      </w:r>
      <w:r w:rsidR="002654B3">
        <w:t>relapsed</w:t>
      </w:r>
      <w:r w:rsidR="00AF77CD">
        <w:t xml:space="preserve"> or </w:t>
      </w:r>
      <w:r w:rsidR="002654B3">
        <w:t>refractory setting</w:t>
      </w:r>
      <w:r w:rsidR="00555B50">
        <w:t xml:space="preserve">. </w:t>
      </w:r>
    </w:p>
    <w:p w14:paraId="6661766B" w14:textId="023241D5" w:rsidR="008A5A09" w:rsidRDefault="005C6A7E" w:rsidP="00555B50">
      <w:pPr>
        <w:pStyle w:val="COMexecsummbulletlist"/>
        <w:numPr>
          <w:ilvl w:val="0"/>
          <w:numId w:val="17"/>
        </w:numPr>
        <w:ind w:left="1134" w:hanging="306"/>
      </w:pPr>
      <w:r w:rsidRPr="00F14673">
        <w:t xml:space="preserve">The </w:t>
      </w:r>
      <w:r w:rsidR="000A41CE">
        <w:t xml:space="preserve">Committee reaffirmed its March </w:t>
      </w:r>
      <w:r w:rsidR="00FC4102">
        <w:t xml:space="preserve">2024 advice that </w:t>
      </w:r>
      <w:r w:rsidR="006F7CBF">
        <w:rPr>
          <w:rFonts w:ascii="Calibri" w:hAnsi="Calibri" w:cs="Calibri"/>
        </w:rPr>
        <w:t>it would be appropriate to allow re-treatment with brentuximab vedotin for relapsed</w:t>
      </w:r>
      <w:r w:rsidR="00AF77CD">
        <w:rPr>
          <w:rFonts w:ascii="Calibri" w:hAnsi="Calibri" w:cs="Calibri"/>
        </w:rPr>
        <w:t xml:space="preserve"> or </w:t>
      </w:r>
      <w:r w:rsidR="006F7CBF">
        <w:rPr>
          <w:rFonts w:ascii="Calibri" w:hAnsi="Calibri" w:cs="Calibri"/>
        </w:rPr>
        <w:t>refractory disease and considered a lifetime maximum of 16 treatment cycles in this setting remained appropriate (</w:t>
      </w:r>
      <w:r w:rsidR="000058E9">
        <w:rPr>
          <w:rFonts w:ascii="Calibri" w:hAnsi="Calibri" w:cs="Calibri"/>
        </w:rPr>
        <w:t xml:space="preserve">see paragraph </w:t>
      </w:r>
      <w:r w:rsidR="000058E9">
        <w:rPr>
          <w:rFonts w:ascii="Calibri" w:hAnsi="Calibri" w:cs="Calibri"/>
        </w:rPr>
        <w:fldChar w:fldCharType="begin"/>
      </w:r>
      <w:r w:rsidR="000058E9">
        <w:rPr>
          <w:rFonts w:ascii="Calibri" w:hAnsi="Calibri" w:cs="Calibri"/>
        </w:rPr>
        <w:instrText xml:space="preserve"> REF _Ref204183900 \r \h </w:instrText>
      </w:r>
      <w:r w:rsidR="000058E9">
        <w:rPr>
          <w:rFonts w:ascii="Calibri" w:hAnsi="Calibri" w:cs="Calibri"/>
        </w:rPr>
      </w:r>
      <w:r w:rsidR="000058E9">
        <w:rPr>
          <w:rFonts w:ascii="Calibri" w:hAnsi="Calibri" w:cs="Calibri"/>
        </w:rPr>
        <w:fldChar w:fldCharType="separate"/>
      </w:r>
      <w:r w:rsidR="00293B06">
        <w:rPr>
          <w:rFonts w:ascii="Calibri" w:hAnsi="Calibri" w:cs="Calibri"/>
        </w:rPr>
        <w:t>3.6</w:t>
      </w:r>
      <w:r w:rsidR="000058E9">
        <w:rPr>
          <w:rFonts w:ascii="Calibri" w:hAnsi="Calibri" w:cs="Calibri"/>
        </w:rPr>
        <w:fldChar w:fldCharType="end"/>
      </w:r>
      <w:r w:rsidR="006F7CBF">
        <w:rPr>
          <w:rFonts w:ascii="Calibri" w:hAnsi="Calibri" w:cs="Calibri"/>
        </w:rPr>
        <w:t xml:space="preserve">). </w:t>
      </w:r>
      <w:r w:rsidR="00397589" w:rsidRPr="00F14673">
        <w:t xml:space="preserve">The PBAC </w:t>
      </w:r>
      <w:r w:rsidR="00DE4ED9">
        <w:t xml:space="preserve">advised that </w:t>
      </w:r>
      <w:r w:rsidR="00FC3FFF" w:rsidRPr="00F14673">
        <w:t xml:space="preserve">patients </w:t>
      </w:r>
      <w:r w:rsidR="00DE4ED9">
        <w:t xml:space="preserve">who had not failed </w:t>
      </w:r>
      <w:r w:rsidR="003D5E84" w:rsidRPr="003D5E84">
        <w:rPr>
          <w:rFonts w:ascii="Calibri" w:hAnsi="Calibri" w:cs="Calibri"/>
        </w:rPr>
        <w:t xml:space="preserve">PBS-subsidised treatment with </w:t>
      </w:r>
      <w:r w:rsidR="00E50DFE">
        <w:rPr>
          <w:rFonts w:ascii="Calibri" w:hAnsi="Calibri" w:cs="Calibri"/>
        </w:rPr>
        <w:t>brentuximab vedotin</w:t>
      </w:r>
      <w:r w:rsidR="003D5E84" w:rsidRPr="003D5E84">
        <w:rPr>
          <w:rFonts w:ascii="Calibri" w:hAnsi="Calibri" w:cs="Calibri"/>
        </w:rPr>
        <w:t xml:space="preserve"> in the first-line setting</w:t>
      </w:r>
      <w:r w:rsidR="00BE5243" w:rsidRPr="00F14673">
        <w:t xml:space="preserve"> </w:t>
      </w:r>
      <w:r w:rsidR="0084075B">
        <w:t xml:space="preserve">could </w:t>
      </w:r>
      <w:r w:rsidR="00BE5243" w:rsidRPr="00F14673">
        <w:t xml:space="preserve">receive the balance of </w:t>
      </w:r>
      <w:r w:rsidR="002A4DFD" w:rsidRPr="00F14673">
        <w:t xml:space="preserve">the </w:t>
      </w:r>
      <w:r w:rsidR="00DF0AAA">
        <w:t xml:space="preserve">lifetime maximum of </w:t>
      </w:r>
      <w:r w:rsidR="00BE5243" w:rsidRPr="00F14673">
        <w:t xml:space="preserve">16 </w:t>
      </w:r>
      <w:r w:rsidR="00DF0AAA">
        <w:t xml:space="preserve">treatment </w:t>
      </w:r>
      <w:r w:rsidR="00BE5243" w:rsidRPr="00F14673">
        <w:t>cycles in the relapsed</w:t>
      </w:r>
      <w:r w:rsidR="00AF77CD">
        <w:t xml:space="preserve"> or </w:t>
      </w:r>
      <w:r w:rsidR="00BE5243" w:rsidRPr="00F14673">
        <w:t xml:space="preserve">refractory </w:t>
      </w:r>
      <w:r w:rsidR="00FA2458" w:rsidRPr="00F14673">
        <w:t>setting</w:t>
      </w:r>
      <w:r w:rsidR="0084075B">
        <w:t xml:space="preserve">. The PBAC </w:t>
      </w:r>
      <w:r w:rsidR="00DF0AAA">
        <w:t>agreed with the</w:t>
      </w:r>
      <w:r w:rsidR="00DE14DE">
        <w:t xml:space="preserve"> flow on changes</w:t>
      </w:r>
      <w:r w:rsidR="00304D19">
        <w:t xml:space="preserve"> </w:t>
      </w:r>
      <w:r w:rsidR="003A40C4">
        <w:t xml:space="preserve">outlined in paragraph </w:t>
      </w:r>
      <w:r w:rsidR="003A40C4">
        <w:fldChar w:fldCharType="begin"/>
      </w:r>
      <w:r w:rsidR="003A40C4">
        <w:instrText xml:space="preserve"> REF _Ref204184249 \r \h </w:instrText>
      </w:r>
      <w:r w:rsidR="003A40C4">
        <w:fldChar w:fldCharType="separate"/>
      </w:r>
      <w:r w:rsidR="00293B06">
        <w:t>8.1</w:t>
      </w:r>
      <w:r w:rsidR="003A40C4">
        <w:fldChar w:fldCharType="end"/>
      </w:r>
      <w:r w:rsidR="00DE14DE">
        <w:t xml:space="preserve"> to facilitate this</w:t>
      </w:r>
      <w:r w:rsidR="008A5A09">
        <w:t xml:space="preserve"> approach. </w:t>
      </w:r>
    </w:p>
    <w:p w14:paraId="3D287A0B" w14:textId="5E4ACB36" w:rsidR="00005328" w:rsidRPr="002365C3" w:rsidRDefault="00AD179D" w:rsidP="00F0784D">
      <w:pPr>
        <w:widowControl w:val="0"/>
        <w:numPr>
          <w:ilvl w:val="1"/>
          <w:numId w:val="1"/>
        </w:numPr>
        <w:spacing w:after="120"/>
        <w:rPr>
          <w:rFonts w:asciiTheme="minorHAnsi" w:hAnsiTheme="minorHAnsi"/>
          <w:snapToGrid w:val="0"/>
          <w:lang w:val="en-GB"/>
        </w:rPr>
      </w:pPr>
      <w:r w:rsidRPr="004B351F">
        <w:t xml:space="preserve">The </w:t>
      </w:r>
      <w:r>
        <w:t xml:space="preserve">PBAC agreed with the </w:t>
      </w:r>
      <w:r w:rsidRPr="004B351F">
        <w:t>ESC that PET use will likely continue with A+AVD regardless of the fact that it was not used in</w:t>
      </w:r>
      <w:r w:rsidR="00E83DB2">
        <w:t xml:space="preserve"> the</w:t>
      </w:r>
      <w:r w:rsidRPr="004B351F">
        <w:t xml:space="preserve"> ECHELON-1</w:t>
      </w:r>
      <w:r>
        <w:t xml:space="preserve"> </w:t>
      </w:r>
      <w:r w:rsidR="00E83DB2">
        <w:t xml:space="preserve">trial </w:t>
      </w:r>
      <w:r>
        <w:t xml:space="preserve">and accepted the </w:t>
      </w:r>
      <w:r w:rsidR="006E0059">
        <w:rPr>
          <w:lang w:val="en-GB"/>
        </w:rPr>
        <w:t>the resubmission’s c</w:t>
      </w:r>
      <w:r w:rsidR="00005328" w:rsidRPr="002365C3">
        <w:rPr>
          <w:rFonts w:asciiTheme="minorHAnsi" w:hAnsiTheme="minorHAnsi"/>
          <w:snapToGrid w:val="0"/>
          <w:lang w:val="en-GB"/>
        </w:rPr>
        <w:t xml:space="preserve">linical place for </w:t>
      </w:r>
      <w:r w:rsidR="00EF6E9E" w:rsidRPr="002365C3">
        <w:rPr>
          <w:rFonts w:asciiTheme="minorHAnsi" w:hAnsiTheme="minorHAnsi"/>
          <w:snapToGrid w:val="0"/>
          <w:lang w:val="en-GB"/>
        </w:rPr>
        <w:t>brentuximab vedotin</w:t>
      </w:r>
      <w:r w:rsidR="00FC2474">
        <w:rPr>
          <w:rFonts w:asciiTheme="minorHAnsi" w:hAnsiTheme="minorHAnsi"/>
          <w:snapToGrid w:val="0"/>
          <w:lang w:val="en-GB"/>
        </w:rPr>
        <w:t>.</w:t>
      </w:r>
      <w:r w:rsidR="005D1809">
        <w:rPr>
          <w:rFonts w:asciiTheme="minorHAnsi" w:hAnsiTheme="minorHAnsi"/>
          <w:snapToGrid w:val="0"/>
          <w:lang w:val="en-GB"/>
        </w:rPr>
        <w:t xml:space="preserve"> </w:t>
      </w:r>
    </w:p>
    <w:p w14:paraId="4A7801D7" w14:textId="0FA9A2B0" w:rsidR="0034401C" w:rsidRPr="00CE42B4" w:rsidRDefault="005C36DD" w:rsidP="00FD06AA">
      <w:pPr>
        <w:pStyle w:val="COMexecsummnumbered"/>
        <w:rPr>
          <w:snapToGrid w:val="0"/>
          <w:lang w:val="en-GB"/>
        </w:rPr>
      </w:pPr>
      <w:r w:rsidRPr="005C36DD">
        <w:rPr>
          <w:rFonts w:eastAsia="Times New Roman" w:cs="Arial"/>
          <w:snapToGrid w:val="0"/>
          <w:szCs w:val="24"/>
          <w:lang w:val="en-GB"/>
        </w:rPr>
        <w:t>The PBAC accepted the nomination of PET-adapted ABVD as the main comparator, noting that</w:t>
      </w:r>
      <w:r>
        <w:rPr>
          <w:rFonts w:eastAsia="Times New Roman" w:cs="Arial"/>
          <w:snapToGrid w:val="0"/>
          <w:szCs w:val="24"/>
          <w:lang w:val="en-GB"/>
        </w:rPr>
        <w:t xml:space="preserve"> </w:t>
      </w:r>
      <w:r w:rsidRPr="005C36DD">
        <w:rPr>
          <w:rFonts w:eastAsia="Times New Roman" w:cs="Arial"/>
          <w:snapToGrid w:val="0"/>
          <w:szCs w:val="24"/>
          <w:lang w:val="en-GB"/>
        </w:rPr>
        <w:t>it is the standard of care for ABVD treatment in Australia</w:t>
      </w:r>
      <w:r>
        <w:rPr>
          <w:rFonts w:eastAsia="Times New Roman" w:cs="Arial"/>
          <w:snapToGrid w:val="0"/>
          <w:szCs w:val="24"/>
          <w:lang w:val="en-GB"/>
        </w:rPr>
        <w:t xml:space="preserve">, and considered that </w:t>
      </w:r>
      <w:r w:rsidR="00730372">
        <w:rPr>
          <w:snapToGrid w:val="0"/>
          <w:lang w:val="en-GB"/>
        </w:rPr>
        <w:t>ABV</w:t>
      </w:r>
      <w:r w:rsidR="00AF2D40">
        <w:rPr>
          <w:snapToGrid w:val="0"/>
          <w:lang w:val="en-GB"/>
        </w:rPr>
        <w:t>D</w:t>
      </w:r>
      <w:r w:rsidR="00B94584">
        <w:rPr>
          <w:snapToGrid w:val="0"/>
          <w:lang w:val="en-GB"/>
        </w:rPr>
        <w:t xml:space="preserve"> </w:t>
      </w:r>
      <w:r w:rsidR="00DF1A5F">
        <w:rPr>
          <w:snapToGrid w:val="0"/>
          <w:lang w:val="en-GB"/>
        </w:rPr>
        <w:t>(without PET</w:t>
      </w:r>
      <w:r w:rsidR="008C1642">
        <w:rPr>
          <w:snapToGrid w:val="0"/>
          <w:lang w:val="en-GB"/>
        </w:rPr>
        <w:t>,</w:t>
      </w:r>
      <w:r w:rsidR="00730372">
        <w:rPr>
          <w:snapToGrid w:val="0"/>
          <w:lang w:val="en-GB"/>
        </w:rPr>
        <w:t xml:space="preserve"> as</w:t>
      </w:r>
      <w:r w:rsidR="00FD06AA">
        <w:rPr>
          <w:snapToGrid w:val="0"/>
          <w:lang w:val="en-GB"/>
        </w:rPr>
        <w:t xml:space="preserve"> </w:t>
      </w:r>
      <w:r w:rsidR="00860494">
        <w:rPr>
          <w:snapToGrid w:val="0"/>
          <w:lang w:val="en-GB"/>
        </w:rPr>
        <w:t xml:space="preserve">per the ECHELON-1 trial) </w:t>
      </w:r>
      <w:r w:rsidR="00D84411">
        <w:rPr>
          <w:snapToGrid w:val="0"/>
          <w:lang w:val="en-GB"/>
        </w:rPr>
        <w:t xml:space="preserve">to be a suitable </w:t>
      </w:r>
      <w:r w:rsidR="00730372">
        <w:rPr>
          <w:snapToGrid w:val="0"/>
          <w:lang w:val="en-GB"/>
        </w:rPr>
        <w:t>proxy</w:t>
      </w:r>
      <w:r w:rsidR="00613208">
        <w:rPr>
          <w:snapToGrid w:val="0"/>
          <w:lang w:val="en-GB"/>
        </w:rPr>
        <w:t xml:space="preserve">. </w:t>
      </w:r>
    </w:p>
    <w:p w14:paraId="2F2E6FF5" w14:textId="3E4CFC97" w:rsidR="009967FD" w:rsidRPr="007E06C1" w:rsidRDefault="00F06F8C" w:rsidP="007E06C1">
      <w:pPr>
        <w:pStyle w:val="COMexecsummnumbered"/>
        <w:rPr>
          <w:rFonts w:eastAsia="Times New Roman" w:cs="Arial"/>
          <w:snapToGrid w:val="0"/>
          <w:szCs w:val="24"/>
          <w:lang w:val="en-GB"/>
        </w:rPr>
      </w:pPr>
      <w:r w:rsidRPr="00F06F8C">
        <w:rPr>
          <w:rFonts w:eastAsia="Times New Roman" w:cs="Arial"/>
          <w:snapToGrid w:val="0"/>
          <w:szCs w:val="24"/>
          <w:lang w:val="en-GB"/>
        </w:rPr>
        <w:t xml:space="preserve">The </w:t>
      </w:r>
      <w:r w:rsidR="00D46197">
        <w:rPr>
          <w:rFonts w:eastAsia="Times New Roman" w:cs="Arial"/>
          <w:snapToGrid w:val="0"/>
          <w:szCs w:val="24"/>
          <w:lang w:val="en-GB"/>
        </w:rPr>
        <w:t xml:space="preserve">PBAC noted the </w:t>
      </w:r>
      <w:r w:rsidR="00F450A7">
        <w:rPr>
          <w:rFonts w:eastAsia="Times New Roman" w:cs="Arial"/>
          <w:snapToGrid w:val="0"/>
          <w:szCs w:val="24"/>
          <w:lang w:val="en-GB"/>
        </w:rPr>
        <w:t xml:space="preserve">ECHELON-1 trial remained the </w:t>
      </w:r>
      <w:r w:rsidR="00B05058">
        <w:rPr>
          <w:rFonts w:eastAsia="Times New Roman" w:cs="Arial"/>
          <w:snapToGrid w:val="0"/>
          <w:szCs w:val="24"/>
          <w:lang w:val="en-GB"/>
        </w:rPr>
        <w:t xml:space="preserve">key </w:t>
      </w:r>
      <w:r w:rsidR="00DB4062">
        <w:rPr>
          <w:rFonts w:eastAsia="Times New Roman" w:cs="Arial"/>
          <w:snapToGrid w:val="0"/>
          <w:szCs w:val="24"/>
          <w:lang w:val="en-GB"/>
        </w:rPr>
        <w:t xml:space="preserve">clinical </w:t>
      </w:r>
      <w:r w:rsidR="00B05058">
        <w:rPr>
          <w:rFonts w:eastAsia="Times New Roman" w:cs="Arial"/>
          <w:snapToGrid w:val="0"/>
          <w:szCs w:val="24"/>
          <w:lang w:val="en-GB"/>
        </w:rPr>
        <w:t>e</w:t>
      </w:r>
      <w:r w:rsidR="00F450A7">
        <w:rPr>
          <w:rFonts w:eastAsia="Times New Roman" w:cs="Arial"/>
          <w:snapToGrid w:val="0"/>
          <w:szCs w:val="24"/>
          <w:lang w:val="en-GB"/>
        </w:rPr>
        <w:t xml:space="preserve">vidence </w:t>
      </w:r>
      <w:r w:rsidR="00684172">
        <w:rPr>
          <w:rFonts w:eastAsia="Times New Roman" w:cs="Arial"/>
          <w:snapToGrid w:val="0"/>
          <w:szCs w:val="24"/>
          <w:lang w:val="en-GB"/>
        </w:rPr>
        <w:t>with the resubmission pr</w:t>
      </w:r>
      <w:r w:rsidR="008C0ACD">
        <w:rPr>
          <w:rFonts w:eastAsia="Times New Roman" w:cs="Arial"/>
          <w:snapToGrid w:val="0"/>
          <w:szCs w:val="24"/>
          <w:lang w:val="en-GB"/>
        </w:rPr>
        <w:t>esenting new data from the March 2023 data cut</w:t>
      </w:r>
      <w:r w:rsidR="008A4ED1">
        <w:rPr>
          <w:rFonts w:eastAsia="Times New Roman" w:cs="Arial"/>
          <w:snapToGrid w:val="0"/>
          <w:szCs w:val="24"/>
          <w:lang w:val="en-GB"/>
        </w:rPr>
        <w:t xml:space="preserve"> </w:t>
      </w:r>
      <w:r w:rsidR="00686FBE">
        <w:rPr>
          <w:rFonts w:eastAsia="Times New Roman" w:cs="Arial"/>
          <w:snapToGrid w:val="0"/>
          <w:szCs w:val="24"/>
          <w:lang w:val="en-GB"/>
        </w:rPr>
        <w:t>representing</w:t>
      </w:r>
      <w:r w:rsidR="008A4ED1">
        <w:rPr>
          <w:rFonts w:eastAsia="Times New Roman" w:cs="Arial"/>
          <w:snapToGrid w:val="0"/>
          <w:szCs w:val="24"/>
          <w:lang w:val="en-GB"/>
        </w:rPr>
        <w:t xml:space="preserve"> </w:t>
      </w:r>
      <w:r w:rsidR="00D32844">
        <w:rPr>
          <w:rFonts w:eastAsia="Times New Roman" w:cs="Arial"/>
          <w:snapToGrid w:val="0"/>
          <w:szCs w:val="24"/>
          <w:lang w:val="en-GB"/>
        </w:rPr>
        <w:t xml:space="preserve">a median follow-up of 90.1 months and </w:t>
      </w:r>
      <w:r w:rsidR="00435D2F">
        <w:rPr>
          <w:rFonts w:eastAsia="Times New Roman" w:cs="Arial"/>
          <w:snapToGrid w:val="0"/>
          <w:szCs w:val="24"/>
          <w:lang w:val="en-GB"/>
        </w:rPr>
        <w:t>86.4 months in the A+AVD and ABVD arms respectively</w:t>
      </w:r>
      <w:r w:rsidR="008C0ACD">
        <w:rPr>
          <w:rFonts w:eastAsia="Times New Roman" w:cs="Arial"/>
          <w:snapToGrid w:val="0"/>
          <w:szCs w:val="24"/>
          <w:lang w:val="en-GB"/>
        </w:rPr>
        <w:t xml:space="preserve">. </w:t>
      </w:r>
      <w:r w:rsidR="00114A1E">
        <w:rPr>
          <w:rFonts w:eastAsia="Times New Roman" w:cs="Arial"/>
          <w:snapToGrid w:val="0"/>
          <w:szCs w:val="24"/>
          <w:lang w:val="en-GB"/>
        </w:rPr>
        <w:t xml:space="preserve">The PBAC </w:t>
      </w:r>
      <w:r w:rsidR="00DB7087">
        <w:rPr>
          <w:rFonts w:eastAsia="Times New Roman" w:cs="Arial"/>
          <w:snapToGrid w:val="0"/>
          <w:szCs w:val="24"/>
          <w:lang w:val="en-GB"/>
        </w:rPr>
        <w:t xml:space="preserve">recalled that </w:t>
      </w:r>
      <w:r w:rsidR="00714D97" w:rsidRPr="0085018D">
        <w:t xml:space="preserve">a statistically significant benefit in modified </w:t>
      </w:r>
      <w:r w:rsidR="00714D97" w:rsidRPr="0085018D">
        <w:lastRenderedPageBreak/>
        <w:t>progression-free survival was reported in the A+AVD group compared to the ABVD group for the primary analysis period (HR 0.770; 95% CI: 0.603, 0.982</w:t>
      </w:r>
      <w:r w:rsidR="00714D97">
        <w:t>). Th</w:t>
      </w:r>
      <w:r w:rsidR="002E78C0">
        <w:t xml:space="preserve">e PBAC noted that the results from the </w:t>
      </w:r>
      <w:r w:rsidR="00F777FC">
        <w:t>March 2023</w:t>
      </w:r>
      <w:r w:rsidR="002E78C0">
        <w:t xml:space="preserve"> data cut conti</w:t>
      </w:r>
      <w:r w:rsidR="005C4194">
        <w:t>nued to favour A</w:t>
      </w:r>
      <w:r w:rsidR="00076830">
        <w:t>+AVD</w:t>
      </w:r>
      <w:r w:rsidR="00DC665C">
        <w:t>, with greater numerical benefit compared to the results from the primary analysis period</w:t>
      </w:r>
      <w:r w:rsidR="001A24D1">
        <w:t xml:space="preserve"> (HR 0.704</w:t>
      </w:r>
      <w:r w:rsidR="00B940A4">
        <w:t>; 95% CI 0.564, 0.880)</w:t>
      </w:r>
      <w:r w:rsidR="00814BF0">
        <w:t xml:space="preserve">. </w:t>
      </w:r>
      <w:r w:rsidR="00292801">
        <w:t xml:space="preserve">In addition, the PBAC noted that the </w:t>
      </w:r>
      <w:r w:rsidR="00F777FC">
        <w:t xml:space="preserve">results from the March 2023 data cut showed improved overall survival </w:t>
      </w:r>
      <w:r w:rsidR="000B3C91">
        <w:t xml:space="preserve">in favour of A+AVD compared to ABVD </w:t>
      </w:r>
      <w:r w:rsidR="008627A7">
        <w:t xml:space="preserve">(HR 0.62; 95% CI </w:t>
      </w:r>
      <w:r w:rsidR="00D60891">
        <w:t xml:space="preserve">0.42, </w:t>
      </w:r>
      <w:r w:rsidR="002F711D">
        <w:t>0.90)</w:t>
      </w:r>
      <w:r w:rsidR="003871AD">
        <w:t>.</w:t>
      </w:r>
      <w:r w:rsidR="007E06C1">
        <w:t xml:space="preserve"> </w:t>
      </w:r>
      <w:r w:rsidR="007165E5">
        <w:t>The PBAC noted that m</w:t>
      </w:r>
      <w:r w:rsidR="004B181C">
        <w:t xml:space="preserve">edian </w:t>
      </w:r>
      <w:r w:rsidR="00B62A4E">
        <w:t xml:space="preserve">overall </w:t>
      </w:r>
      <w:r w:rsidR="004B181C">
        <w:t xml:space="preserve">survival was not reached for either treatment arm. </w:t>
      </w:r>
      <w:r w:rsidR="00F16FB1" w:rsidRPr="007E06C1">
        <w:rPr>
          <w:rFonts w:eastAsia="Times New Roman" w:cs="Arial"/>
          <w:snapToGrid w:val="0"/>
          <w:szCs w:val="24"/>
          <w:lang w:val="en-GB"/>
        </w:rPr>
        <w:t xml:space="preserve">The PBAC recalled that it </w:t>
      </w:r>
      <w:r w:rsidR="00B352B5" w:rsidRPr="007E06C1">
        <w:rPr>
          <w:rFonts w:eastAsia="Times New Roman" w:cs="Arial"/>
          <w:snapToGrid w:val="0"/>
          <w:szCs w:val="24"/>
          <w:lang w:val="en-GB"/>
        </w:rPr>
        <w:t>previously</w:t>
      </w:r>
      <w:r w:rsidR="00F16FB1" w:rsidRPr="007E06C1">
        <w:rPr>
          <w:rFonts w:eastAsia="Times New Roman" w:cs="Arial"/>
          <w:snapToGrid w:val="0"/>
          <w:szCs w:val="24"/>
          <w:lang w:val="en-GB"/>
        </w:rPr>
        <w:t xml:space="preserve"> considered the claim of superior effectiveness compared to</w:t>
      </w:r>
      <w:r w:rsidR="00B352B5" w:rsidRPr="007E06C1">
        <w:rPr>
          <w:rFonts w:eastAsia="Times New Roman" w:cs="Arial"/>
          <w:snapToGrid w:val="0"/>
          <w:szCs w:val="24"/>
          <w:lang w:val="en-GB"/>
        </w:rPr>
        <w:t xml:space="preserve"> </w:t>
      </w:r>
      <w:r w:rsidR="00F16FB1" w:rsidRPr="007E06C1">
        <w:rPr>
          <w:rFonts w:eastAsia="Times New Roman" w:cs="Arial"/>
          <w:snapToGrid w:val="0"/>
          <w:szCs w:val="24"/>
          <w:lang w:val="en-GB"/>
        </w:rPr>
        <w:t>PET-adapted ABVD was highly uncertain, but likely reasonable.</w:t>
      </w:r>
      <w:r w:rsidR="0097343C" w:rsidRPr="007E06C1">
        <w:rPr>
          <w:rFonts w:eastAsia="Times New Roman" w:cs="Arial"/>
          <w:snapToGrid w:val="0"/>
          <w:szCs w:val="24"/>
          <w:lang w:val="en-GB"/>
        </w:rPr>
        <w:t xml:space="preserve"> </w:t>
      </w:r>
      <w:r w:rsidR="009967FD" w:rsidRPr="007E06C1">
        <w:rPr>
          <w:snapToGrid w:val="0"/>
        </w:rPr>
        <w:t xml:space="preserve">The PBAC considered that the claim of superior comparative effectiveness was reasonable </w:t>
      </w:r>
      <w:r w:rsidR="00561AD0">
        <w:rPr>
          <w:snapToGrid w:val="0"/>
        </w:rPr>
        <w:t xml:space="preserve">and agreed with the ESC that the level of uncertainty associated with the claim had been reduced with the extended follow-up data presented in the resubmission. </w:t>
      </w:r>
    </w:p>
    <w:p w14:paraId="1CEA6D51" w14:textId="0D4928F2" w:rsidR="00005328" w:rsidRPr="00CE42B4" w:rsidRDefault="009967FD" w:rsidP="00D4112D">
      <w:pPr>
        <w:pStyle w:val="COMexecsummnumbered"/>
        <w:rPr>
          <w:snapToGrid w:val="0"/>
          <w:lang w:val="en-GB"/>
        </w:rPr>
      </w:pPr>
      <w:r w:rsidRPr="00893A68">
        <w:rPr>
          <w:snapToGrid w:val="0"/>
        </w:rPr>
        <w:t xml:space="preserve">The PBAC </w:t>
      </w:r>
      <w:r w:rsidR="00805E09">
        <w:rPr>
          <w:snapToGrid w:val="0"/>
        </w:rPr>
        <w:t xml:space="preserve">noted that more patients in the A+AVD arm experienced a serious adverse event </w:t>
      </w:r>
      <w:r w:rsidR="00ED4E0A">
        <w:rPr>
          <w:snapToGrid w:val="0"/>
        </w:rPr>
        <w:t>or an adverse event leading to dose modification</w:t>
      </w:r>
      <w:r w:rsidR="00FF14FF">
        <w:rPr>
          <w:snapToGrid w:val="0"/>
        </w:rPr>
        <w:t xml:space="preserve"> </w:t>
      </w:r>
      <w:r w:rsidR="00805E09">
        <w:rPr>
          <w:snapToGrid w:val="0"/>
        </w:rPr>
        <w:t xml:space="preserve">compared to those in the ABVD arm. </w:t>
      </w:r>
      <w:r w:rsidR="000B2A81">
        <w:rPr>
          <w:snapToGrid w:val="0"/>
        </w:rPr>
        <w:t xml:space="preserve">The PBAC acknowledged the different </w:t>
      </w:r>
      <w:r w:rsidR="00E31777">
        <w:rPr>
          <w:snapToGrid w:val="0"/>
        </w:rPr>
        <w:t xml:space="preserve">toxicity profile of A+AVD compared to ABVD </w:t>
      </w:r>
      <w:r w:rsidR="00A6449D">
        <w:rPr>
          <w:snapToGrid w:val="0"/>
        </w:rPr>
        <w:t xml:space="preserve">and </w:t>
      </w:r>
      <w:r w:rsidR="00600040">
        <w:rPr>
          <w:snapToGrid w:val="0"/>
        </w:rPr>
        <w:t xml:space="preserve">considered </w:t>
      </w:r>
      <w:r w:rsidR="002C561C">
        <w:rPr>
          <w:snapToGrid w:val="0"/>
        </w:rPr>
        <w:t>there was evidence of different harms of a similar magnitude between the two treatments. Overall, t</w:t>
      </w:r>
      <w:r w:rsidR="00AD06FF">
        <w:rPr>
          <w:snapToGrid w:val="0"/>
        </w:rPr>
        <w:t xml:space="preserve">he PBAC </w:t>
      </w:r>
      <w:r w:rsidRPr="00893A68">
        <w:rPr>
          <w:snapToGrid w:val="0"/>
        </w:rPr>
        <w:t>considered that the claim of inferior comparative safety was reasonable.</w:t>
      </w:r>
    </w:p>
    <w:p w14:paraId="68124F04" w14:textId="6B7A328A" w:rsidR="003355FB" w:rsidRDefault="00CD42D3" w:rsidP="00304D19">
      <w:pPr>
        <w:widowControl w:val="0"/>
        <w:numPr>
          <w:ilvl w:val="1"/>
          <w:numId w:val="1"/>
        </w:numPr>
        <w:spacing w:after="120"/>
        <w:rPr>
          <w:snapToGrid w:val="0"/>
          <w:lang w:val="en-GB"/>
        </w:rPr>
      </w:pPr>
      <w:r>
        <w:t xml:space="preserve">The </w:t>
      </w:r>
      <w:r w:rsidRPr="000A3098">
        <w:t xml:space="preserve">PBAC </w:t>
      </w:r>
      <w:r w:rsidR="00466AC3">
        <w:t xml:space="preserve">recalled that </w:t>
      </w:r>
      <w:r w:rsidR="00EC4C89">
        <w:t xml:space="preserve">the primary reason for not recommending brentuximab vedotin in March 2024 was </w:t>
      </w:r>
      <w:r w:rsidR="00B9406F">
        <w:t xml:space="preserve">due to the economic evaluation provided. </w:t>
      </w:r>
      <w:r w:rsidR="005E7842">
        <w:t xml:space="preserve">The PBAC </w:t>
      </w:r>
      <w:r w:rsidR="00B666EE">
        <w:t>noted that</w:t>
      </w:r>
      <w:r w:rsidR="007D6277">
        <w:t>,</w:t>
      </w:r>
      <w:r w:rsidR="00B666EE">
        <w:t xml:space="preserve"> as requested</w:t>
      </w:r>
      <w:r w:rsidR="007D6277">
        <w:t xml:space="preserve"> in March 2024, the resubmission had provided a revised economic </w:t>
      </w:r>
      <w:r w:rsidR="005E5993">
        <w:t>model</w:t>
      </w:r>
      <w:r w:rsidR="00A36490">
        <w:t xml:space="preserve"> </w:t>
      </w:r>
      <w:r w:rsidR="00936CAC">
        <w:t xml:space="preserve">that included separate </w:t>
      </w:r>
      <w:r w:rsidR="008143EB">
        <w:t>states</w:t>
      </w:r>
      <w:r w:rsidR="005C1BCA">
        <w:t xml:space="preserve"> for each line of therapy</w:t>
      </w:r>
      <w:r w:rsidR="00495B35">
        <w:t xml:space="preserve">. </w:t>
      </w:r>
      <w:r w:rsidR="008B3507">
        <w:rPr>
          <w:snapToGrid w:val="0"/>
          <w:lang w:val="en-GB"/>
        </w:rPr>
        <w:t>The PBAC acknowledged the concerns raised by the evaluation that the structure and inputs used in the model represent a simplification that may underestimate the treatment benefits associated with subsequent therapies in clinical practice. However, the PBAC</w:t>
      </w:r>
      <w:r w:rsidR="00B71265">
        <w:rPr>
          <w:snapToGrid w:val="0"/>
          <w:lang w:val="en-GB"/>
        </w:rPr>
        <w:t xml:space="preserve"> </w:t>
      </w:r>
      <w:r w:rsidR="00E377C6">
        <w:rPr>
          <w:snapToGrid w:val="0"/>
          <w:lang w:val="en-GB"/>
        </w:rPr>
        <w:t xml:space="preserve">noted ESC advice that it was reasonable </w:t>
      </w:r>
      <w:r w:rsidR="005625BF">
        <w:rPr>
          <w:snapToGrid w:val="0"/>
          <w:lang w:val="en-GB"/>
        </w:rPr>
        <w:t xml:space="preserve">in this instance to not add additional complexity to the model and </w:t>
      </w:r>
      <w:r w:rsidR="00C76CD6">
        <w:rPr>
          <w:snapToGrid w:val="0"/>
          <w:lang w:val="en-GB"/>
        </w:rPr>
        <w:t xml:space="preserve">that the </w:t>
      </w:r>
      <w:r w:rsidR="00446EEC">
        <w:rPr>
          <w:snapToGrid w:val="0"/>
          <w:lang w:val="en-GB"/>
        </w:rPr>
        <w:t xml:space="preserve">current structure provided a reasonable basis for decision making. </w:t>
      </w:r>
      <w:r w:rsidR="0047793D">
        <w:rPr>
          <w:snapToGrid w:val="0"/>
          <w:lang w:val="en-GB"/>
        </w:rPr>
        <w:t xml:space="preserve">The PBAC also noted ESC advice that the approach taken in the model to determining baseline age was </w:t>
      </w:r>
      <w:r w:rsidR="00586FBC">
        <w:rPr>
          <w:snapToGrid w:val="0"/>
          <w:lang w:val="en-GB"/>
        </w:rPr>
        <w:t xml:space="preserve">unlikely to have a significant impact on the </w:t>
      </w:r>
      <w:r w:rsidR="003B5805">
        <w:rPr>
          <w:snapToGrid w:val="0"/>
          <w:lang w:val="en-GB"/>
        </w:rPr>
        <w:t xml:space="preserve">incremental cost effectiveness ratio (ICER). </w:t>
      </w:r>
      <w:r w:rsidR="002A37F4">
        <w:rPr>
          <w:snapToGrid w:val="0"/>
          <w:lang w:val="en-GB"/>
        </w:rPr>
        <w:t>In addition, t</w:t>
      </w:r>
      <w:r w:rsidR="00CF2F69">
        <w:rPr>
          <w:snapToGrid w:val="0"/>
          <w:lang w:val="en-GB"/>
        </w:rPr>
        <w:t xml:space="preserve">he PBAC noted ESC advice </w:t>
      </w:r>
      <w:r w:rsidR="0047793D">
        <w:rPr>
          <w:snapToGrid w:val="0"/>
          <w:lang w:val="en-GB"/>
        </w:rPr>
        <w:t xml:space="preserve">that </w:t>
      </w:r>
      <w:r w:rsidR="00267174">
        <w:rPr>
          <w:snapToGrid w:val="0"/>
          <w:lang w:val="en-GB"/>
        </w:rPr>
        <w:t xml:space="preserve">the availability of </w:t>
      </w:r>
      <w:r w:rsidR="0030518F">
        <w:rPr>
          <w:snapToGrid w:val="0"/>
          <w:lang w:val="en-GB"/>
        </w:rPr>
        <w:t>longer-term</w:t>
      </w:r>
      <w:r w:rsidR="002B302E">
        <w:rPr>
          <w:snapToGrid w:val="0"/>
          <w:lang w:val="en-GB"/>
        </w:rPr>
        <w:t xml:space="preserve"> follow-up data mitigated some of the uncertainty regarding the approach taken to first-line progression-free survival extrapolation. </w:t>
      </w:r>
      <w:r w:rsidR="00ED0BA2">
        <w:rPr>
          <w:snapToGrid w:val="0"/>
          <w:lang w:val="en-GB"/>
        </w:rPr>
        <w:t xml:space="preserve">In terms of the first-line treatment health state utilities, the PBAC </w:t>
      </w:r>
      <w:r w:rsidR="00F3582E">
        <w:rPr>
          <w:snapToGrid w:val="0"/>
          <w:lang w:val="en-GB"/>
        </w:rPr>
        <w:t>noted</w:t>
      </w:r>
      <w:r w:rsidR="00D87188">
        <w:rPr>
          <w:snapToGrid w:val="0"/>
          <w:lang w:val="en-GB"/>
        </w:rPr>
        <w:t xml:space="preserve"> ESC advice that the assumption of the same off-treatment utilities between arms was appropriate</w:t>
      </w:r>
      <w:r w:rsidR="00FB340D">
        <w:rPr>
          <w:snapToGrid w:val="0"/>
          <w:lang w:val="en-GB"/>
        </w:rPr>
        <w:t xml:space="preserve"> and accepted the approach taken to utilities in the revised model</w:t>
      </w:r>
      <w:r w:rsidR="00441803">
        <w:rPr>
          <w:snapToGrid w:val="0"/>
          <w:lang w:val="en-GB"/>
        </w:rPr>
        <w:t xml:space="preserve">. </w:t>
      </w:r>
      <w:r w:rsidR="00146F2E">
        <w:rPr>
          <w:snapToGrid w:val="0"/>
          <w:lang w:val="en-GB"/>
        </w:rPr>
        <w:t xml:space="preserve">The PBAC reaffirmed its March 2024 advice that </w:t>
      </w:r>
      <w:r w:rsidR="002F29E1">
        <w:rPr>
          <w:snapToGrid w:val="0"/>
          <w:lang w:val="en-GB"/>
        </w:rPr>
        <w:t xml:space="preserve">a 65-year time horizon </w:t>
      </w:r>
      <w:r w:rsidR="00765CE8">
        <w:rPr>
          <w:snapToGrid w:val="0"/>
          <w:lang w:val="en-GB"/>
        </w:rPr>
        <w:t>was reasonable</w:t>
      </w:r>
      <w:r w:rsidR="00355B83">
        <w:rPr>
          <w:snapToGrid w:val="0"/>
          <w:lang w:val="en-GB"/>
        </w:rPr>
        <w:t xml:space="preserve"> (see paragraph </w:t>
      </w:r>
      <w:r w:rsidR="00CB0548">
        <w:rPr>
          <w:snapToGrid w:val="0"/>
          <w:lang w:val="en-GB"/>
        </w:rPr>
        <w:fldChar w:fldCharType="begin"/>
      </w:r>
      <w:r w:rsidR="00CB0548">
        <w:rPr>
          <w:snapToGrid w:val="0"/>
          <w:lang w:val="en-GB"/>
        </w:rPr>
        <w:instrText xml:space="preserve"> REF _Ref204252279 \r \h </w:instrText>
      </w:r>
      <w:r w:rsidR="00CB0548">
        <w:rPr>
          <w:snapToGrid w:val="0"/>
          <w:lang w:val="en-GB"/>
        </w:rPr>
      </w:r>
      <w:r w:rsidR="00CB0548">
        <w:rPr>
          <w:snapToGrid w:val="0"/>
          <w:lang w:val="en-GB"/>
        </w:rPr>
        <w:fldChar w:fldCharType="separate"/>
      </w:r>
      <w:r w:rsidR="00293B06">
        <w:rPr>
          <w:snapToGrid w:val="0"/>
          <w:lang w:val="en-GB"/>
        </w:rPr>
        <w:t>6.62</w:t>
      </w:r>
      <w:r w:rsidR="00CB0548">
        <w:rPr>
          <w:snapToGrid w:val="0"/>
          <w:lang w:val="en-GB"/>
        </w:rPr>
        <w:fldChar w:fldCharType="end"/>
      </w:r>
      <w:r w:rsidR="00CB0548">
        <w:rPr>
          <w:snapToGrid w:val="0"/>
          <w:lang w:val="en-GB"/>
        </w:rPr>
        <w:t xml:space="preserve">). Overall, the PBAC accepted the revised </w:t>
      </w:r>
      <w:r w:rsidR="00CC7A7B">
        <w:rPr>
          <w:snapToGrid w:val="0"/>
          <w:lang w:val="en-GB"/>
        </w:rPr>
        <w:t xml:space="preserve">economic model </w:t>
      </w:r>
      <w:r w:rsidR="000D4538">
        <w:rPr>
          <w:snapToGrid w:val="0"/>
          <w:lang w:val="en-GB"/>
        </w:rPr>
        <w:t xml:space="preserve">base case </w:t>
      </w:r>
      <w:r w:rsidR="00CC7A7B">
        <w:rPr>
          <w:snapToGrid w:val="0"/>
          <w:lang w:val="en-GB"/>
        </w:rPr>
        <w:t xml:space="preserve">provided </w:t>
      </w:r>
      <w:r w:rsidR="0046589A">
        <w:rPr>
          <w:snapToGrid w:val="0"/>
          <w:lang w:val="en-GB"/>
        </w:rPr>
        <w:t xml:space="preserve">in </w:t>
      </w:r>
      <w:r w:rsidR="005E48C1">
        <w:rPr>
          <w:snapToGrid w:val="0"/>
          <w:lang w:val="en-GB"/>
        </w:rPr>
        <w:t>the resubmission</w:t>
      </w:r>
      <w:r w:rsidR="0049004A">
        <w:rPr>
          <w:snapToGrid w:val="0"/>
          <w:lang w:val="en-GB"/>
        </w:rPr>
        <w:t xml:space="preserve"> and considered it addressed the Committee</w:t>
      </w:r>
      <w:r w:rsidR="007F46BE">
        <w:rPr>
          <w:snapToGrid w:val="0"/>
          <w:lang w:val="en-GB"/>
        </w:rPr>
        <w:t>’</w:t>
      </w:r>
      <w:r w:rsidR="0049004A">
        <w:rPr>
          <w:snapToGrid w:val="0"/>
          <w:lang w:val="en-GB"/>
        </w:rPr>
        <w:t>s previous concerns</w:t>
      </w:r>
      <w:r w:rsidR="005E48C1">
        <w:rPr>
          <w:snapToGrid w:val="0"/>
          <w:lang w:val="en-GB"/>
        </w:rPr>
        <w:t xml:space="preserve">. </w:t>
      </w:r>
      <w:r w:rsidR="00E360C6">
        <w:rPr>
          <w:snapToGrid w:val="0"/>
          <w:lang w:val="en-GB"/>
        </w:rPr>
        <w:t xml:space="preserve">The </w:t>
      </w:r>
      <w:r w:rsidR="000D4538">
        <w:rPr>
          <w:rFonts w:asciiTheme="minorHAnsi" w:hAnsiTheme="minorHAnsi" w:cstheme="minorHAnsi"/>
        </w:rPr>
        <w:t xml:space="preserve">PBAC </w:t>
      </w:r>
      <w:r w:rsidR="000D4538" w:rsidRPr="00A83DD0">
        <w:rPr>
          <w:rFonts w:asciiTheme="minorHAnsi" w:hAnsiTheme="minorHAnsi" w:cstheme="minorHAnsi"/>
        </w:rPr>
        <w:t>advised that brentuximab vedotin was considered cost-effective at the price proposed in the resubmission</w:t>
      </w:r>
      <w:r w:rsidR="000D4538">
        <w:rPr>
          <w:rFonts w:asciiTheme="minorHAnsi" w:hAnsiTheme="minorHAnsi" w:cstheme="minorHAnsi"/>
        </w:rPr>
        <w:t xml:space="preserve">. </w:t>
      </w:r>
    </w:p>
    <w:p w14:paraId="653FD323" w14:textId="59EBFC44" w:rsidR="00652BE8" w:rsidRPr="00334A56" w:rsidRDefault="00CE6EA7" w:rsidP="00652BE8">
      <w:pPr>
        <w:widowControl w:val="0"/>
        <w:numPr>
          <w:ilvl w:val="1"/>
          <w:numId w:val="1"/>
        </w:numPr>
        <w:spacing w:after="120"/>
        <w:rPr>
          <w:snapToGrid w:val="0"/>
          <w:lang w:val="en-GB"/>
        </w:rPr>
      </w:pPr>
      <w:r>
        <w:rPr>
          <w:snapToGrid w:val="0"/>
          <w:lang w:val="en-GB"/>
        </w:rPr>
        <w:lastRenderedPageBreak/>
        <w:t xml:space="preserve">The PBAC </w:t>
      </w:r>
      <w:r w:rsidR="00FD7DC5">
        <w:rPr>
          <w:snapToGrid w:val="0"/>
          <w:lang w:val="en-GB"/>
        </w:rPr>
        <w:t>noted the revised financial estimate</w:t>
      </w:r>
      <w:r w:rsidR="00C82CCF">
        <w:rPr>
          <w:snapToGrid w:val="0"/>
          <w:lang w:val="en-GB"/>
        </w:rPr>
        <w:t>s</w:t>
      </w:r>
      <w:r w:rsidR="00FD7DC5">
        <w:rPr>
          <w:snapToGrid w:val="0"/>
          <w:lang w:val="en-GB"/>
        </w:rPr>
        <w:t xml:space="preserve"> provided in the resubmission. </w:t>
      </w:r>
      <w:r w:rsidR="00510258">
        <w:rPr>
          <w:snapToGrid w:val="0"/>
          <w:lang w:val="en-GB"/>
        </w:rPr>
        <w:t xml:space="preserve">The </w:t>
      </w:r>
      <w:r w:rsidR="00B85834">
        <w:rPr>
          <w:snapToGrid w:val="0"/>
          <w:lang w:val="en-GB"/>
        </w:rPr>
        <w:t xml:space="preserve">PBAC </w:t>
      </w:r>
      <w:r w:rsidR="00FC3DBD">
        <w:rPr>
          <w:snapToGrid w:val="0"/>
          <w:lang w:val="en-GB"/>
        </w:rPr>
        <w:t xml:space="preserve">noted the uncertainty around the uptake </w:t>
      </w:r>
      <w:r w:rsidR="00A03FF3">
        <w:rPr>
          <w:snapToGrid w:val="0"/>
          <w:lang w:val="en-GB"/>
        </w:rPr>
        <w:t>of A+AVD and advised that</w:t>
      </w:r>
      <w:r w:rsidR="004078DD">
        <w:rPr>
          <w:snapToGrid w:val="0"/>
          <w:lang w:val="en-GB"/>
        </w:rPr>
        <w:t xml:space="preserve"> </w:t>
      </w:r>
      <w:r w:rsidR="004078DD">
        <w:t xml:space="preserve">uptake rates of </w:t>
      </w:r>
      <w:r w:rsidR="00AA4CCB" w:rsidRPr="00AA4CCB">
        <w:rPr>
          <w:color w:val="000000"/>
          <w:w w:val="61"/>
          <w:shd w:val="solid" w:color="000000" w:fill="000000"/>
          <w:fitText w:val="475" w:id="-628904436"/>
          <w14:textFill>
            <w14:solidFill>
              <w14:srgbClr w14:val="000000">
                <w14:alpha w14:val="100000"/>
              </w14:srgbClr>
            </w14:solidFill>
          </w14:textFill>
        </w:rPr>
        <w:t>||</w:t>
      </w:r>
      <w:proofErr w:type="gramStart"/>
      <w:r w:rsidR="00AA4CCB" w:rsidRPr="00AA4CCB">
        <w:rPr>
          <w:color w:val="000000"/>
          <w:w w:val="61"/>
          <w:shd w:val="solid" w:color="000000" w:fill="000000"/>
          <w:fitText w:val="475" w:id="-628904436"/>
          <w14:textFill>
            <w14:solidFill>
              <w14:srgbClr w14:val="000000">
                <w14:alpha w14:val="100000"/>
              </w14:srgbClr>
            </w14:solidFill>
          </w14:textFill>
        </w:rPr>
        <w:t>|  |</w:t>
      </w:r>
      <w:proofErr w:type="gramEnd"/>
      <w:r w:rsidR="00AA4CCB" w:rsidRPr="00AA4CCB">
        <w:rPr>
          <w:color w:val="000000"/>
          <w:w w:val="61"/>
          <w:shd w:val="solid" w:color="000000" w:fill="000000"/>
          <w:fitText w:val="475" w:id="-628904436"/>
          <w14:textFill>
            <w14:solidFill>
              <w14:srgbClr w14:val="000000">
                <w14:alpha w14:val="100000"/>
              </w14:srgbClr>
            </w14:solidFill>
          </w14:textFill>
        </w:rPr>
        <w:t>|</w:t>
      </w:r>
      <w:r w:rsidR="00AA4CCB" w:rsidRPr="00AA4CCB">
        <w:rPr>
          <w:color w:val="000000"/>
          <w:spacing w:val="5"/>
          <w:w w:val="61"/>
          <w:shd w:val="solid" w:color="000000" w:fill="000000"/>
          <w:fitText w:val="475" w:id="-628904436"/>
          <w14:textFill>
            <w14:solidFill>
              <w14:srgbClr w14:val="000000">
                <w14:alpha w14:val="100000"/>
              </w14:srgbClr>
            </w14:solidFill>
          </w14:textFill>
        </w:rPr>
        <w:t>|</w:t>
      </w:r>
      <w:r w:rsidR="004078DD">
        <w:t xml:space="preserve">% in Year 1 increasing to </w:t>
      </w:r>
      <w:r w:rsidR="00AA4CCB" w:rsidRPr="003441AB">
        <w:rPr>
          <w:color w:val="000000"/>
          <w:w w:val="61"/>
          <w:shd w:val="solid" w:color="000000" w:fill="000000"/>
          <w:fitText w:val="475" w:id="-628904435"/>
          <w14:textFill>
            <w14:solidFill>
              <w14:srgbClr w14:val="000000">
                <w14:alpha w14:val="100000"/>
              </w14:srgbClr>
            </w14:solidFill>
          </w14:textFill>
        </w:rPr>
        <w:t>||</w:t>
      </w:r>
      <w:proofErr w:type="gramStart"/>
      <w:r w:rsidR="00AA4CCB" w:rsidRPr="003441AB">
        <w:rPr>
          <w:color w:val="000000"/>
          <w:w w:val="61"/>
          <w:shd w:val="solid" w:color="000000" w:fill="000000"/>
          <w:fitText w:val="475" w:id="-628904435"/>
          <w14:textFill>
            <w14:solidFill>
              <w14:srgbClr w14:val="000000">
                <w14:alpha w14:val="100000"/>
              </w14:srgbClr>
            </w14:solidFill>
          </w14:textFill>
        </w:rPr>
        <w:t>|  |</w:t>
      </w:r>
      <w:proofErr w:type="gramEnd"/>
      <w:r w:rsidR="00AA4CCB" w:rsidRPr="003441AB">
        <w:rPr>
          <w:color w:val="000000"/>
          <w:w w:val="61"/>
          <w:shd w:val="solid" w:color="000000" w:fill="000000"/>
          <w:fitText w:val="475" w:id="-628904435"/>
          <w14:textFill>
            <w14:solidFill>
              <w14:srgbClr w14:val="000000">
                <w14:alpha w14:val="100000"/>
              </w14:srgbClr>
            </w14:solidFill>
          </w14:textFill>
        </w:rPr>
        <w:t>|</w:t>
      </w:r>
      <w:r w:rsidR="00AA4CCB" w:rsidRPr="003441AB">
        <w:rPr>
          <w:color w:val="000000"/>
          <w:spacing w:val="5"/>
          <w:w w:val="61"/>
          <w:shd w:val="solid" w:color="000000" w:fill="000000"/>
          <w:fitText w:val="475" w:id="-628904435"/>
          <w14:textFill>
            <w14:solidFill>
              <w14:srgbClr w14:val="000000">
                <w14:alpha w14:val="100000"/>
              </w14:srgbClr>
            </w14:solidFill>
          </w14:textFill>
        </w:rPr>
        <w:t>|</w:t>
      </w:r>
      <w:r w:rsidR="004078DD">
        <w:t>% in Year 6 would be more appropriate.</w:t>
      </w:r>
      <w:r w:rsidR="002D5FAB">
        <w:t xml:space="preserve"> In addition, the PBAC agreed with </w:t>
      </w:r>
      <w:r w:rsidR="00221247">
        <w:t xml:space="preserve">DUSC that </w:t>
      </w:r>
      <w:r w:rsidR="002D5FAB">
        <w:t xml:space="preserve">the </w:t>
      </w:r>
      <w:r w:rsidR="00846394">
        <w:t xml:space="preserve">assumption of 100% compliance </w:t>
      </w:r>
      <w:r w:rsidR="003579C1">
        <w:t xml:space="preserve">of the </w:t>
      </w:r>
      <w:r w:rsidR="00FB646A">
        <w:t xml:space="preserve">substituted comparators </w:t>
      </w:r>
      <w:r w:rsidR="005F356F">
        <w:t xml:space="preserve">was not appropriate and advised that the number of cycles of PET-adapted ABVD should be </w:t>
      </w:r>
      <w:r w:rsidR="00422598">
        <w:t xml:space="preserve">amended to assume </w:t>
      </w:r>
      <w:r w:rsidR="008D0B64">
        <w:t xml:space="preserve">90% compliance. </w:t>
      </w:r>
      <w:r w:rsidR="00664799">
        <w:t xml:space="preserve">The PBAC also agreed with the evaluation that </w:t>
      </w:r>
      <w:r w:rsidR="00F260A0">
        <w:t xml:space="preserve">the cost offsets associated with </w:t>
      </w:r>
      <w:r w:rsidR="008E3B62">
        <w:t xml:space="preserve">the use of supportive therapies should be removed </w:t>
      </w:r>
      <w:r w:rsidR="00313E5D">
        <w:t xml:space="preserve">(see paragraph </w:t>
      </w:r>
      <w:r w:rsidR="00313E5D">
        <w:fldChar w:fldCharType="begin"/>
      </w:r>
      <w:r w:rsidR="00313E5D">
        <w:instrText xml:space="preserve"> REF _Ref204850139 \r \h </w:instrText>
      </w:r>
      <w:r w:rsidR="00313E5D">
        <w:fldChar w:fldCharType="separate"/>
      </w:r>
      <w:r w:rsidR="00293B06">
        <w:t>6.86</w:t>
      </w:r>
      <w:r w:rsidR="00313E5D">
        <w:fldChar w:fldCharType="end"/>
      </w:r>
      <w:r w:rsidR="00313E5D">
        <w:t xml:space="preserve">). </w:t>
      </w:r>
      <w:r w:rsidR="008D0B64">
        <w:t xml:space="preserve">The PBAC advised that </w:t>
      </w:r>
      <w:r w:rsidR="00784C02">
        <w:t xml:space="preserve">the financial estimates would be considered reliable with these changes. </w:t>
      </w:r>
    </w:p>
    <w:p w14:paraId="7165AA2A" w14:textId="1C05FE6F" w:rsidR="00294D54" w:rsidRDefault="00A6162D" w:rsidP="003B16C9">
      <w:pPr>
        <w:pStyle w:val="COMexecsummnumbered"/>
      </w:pPr>
      <w:r>
        <w:t xml:space="preserve">The PBAC </w:t>
      </w:r>
      <w:r w:rsidR="00597E30">
        <w:t xml:space="preserve">considered that </w:t>
      </w:r>
      <w:r w:rsidR="00353C58">
        <w:t xml:space="preserve">the risk of use </w:t>
      </w:r>
      <w:r w:rsidR="006C3BB5">
        <w:t>of A+AV</w:t>
      </w:r>
      <w:r w:rsidR="00FA4C1C">
        <w:t xml:space="preserve">D </w:t>
      </w:r>
      <w:r w:rsidR="0094634C">
        <w:t>outside of the proposed indication was low</w:t>
      </w:r>
      <w:r w:rsidR="00497E96">
        <w:t xml:space="preserve"> and </w:t>
      </w:r>
      <w:r w:rsidR="002B5984">
        <w:t xml:space="preserve">that </w:t>
      </w:r>
      <w:r w:rsidR="0021441A">
        <w:t>the financial estimates were reliable</w:t>
      </w:r>
      <w:r w:rsidR="001E49B9">
        <w:t xml:space="preserve"> and unlikely to be exceeded</w:t>
      </w:r>
      <w:r w:rsidR="0021441A">
        <w:t xml:space="preserve">. As such, the PBAC </w:t>
      </w:r>
      <w:r w:rsidR="00497E96">
        <w:t xml:space="preserve">advised that a risk sharing arrangement was </w:t>
      </w:r>
      <w:r w:rsidR="00D62BCA">
        <w:t>not required.</w:t>
      </w:r>
      <w:r w:rsidR="00401185">
        <w:t xml:space="preserve"> </w:t>
      </w:r>
    </w:p>
    <w:p w14:paraId="7484DE54" w14:textId="0B2C0C54" w:rsidR="00F7098E" w:rsidRPr="008B2B9F" w:rsidRDefault="00F7098E" w:rsidP="00F7098E">
      <w:pPr>
        <w:widowControl w:val="0"/>
        <w:numPr>
          <w:ilvl w:val="1"/>
          <w:numId w:val="1"/>
        </w:numPr>
        <w:spacing w:after="120"/>
        <w:rPr>
          <w:rFonts w:asciiTheme="minorHAnsi" w:hAnsiTheme="minorHAnsi"/>
          <w:bCs/>
          <w:snapToGrid w:val="0"/>
          <w:lang w:val="en-GB"/>
        </w:rPr>
      </w:pPr>
      <w:r w:rsidRPr="008B2B9F">
        <w:rPr>
          <w:rFonts w:asciiTheme="minorHAnsi" w:hAnsiTheme="minorHAnsi"/>
          <w:bCs/>
          <w:snapToGrid w:val="0"/>
          <w:lang w:val="en-GB"/>
        </w:rPr>
        <w:t xml:space="preserve">The PBAC found that the criteria prescribed by the </w:t>
      </w:r>
      <w:r w:rsidRPr="00EA4842">
        <w:rPr>
          <w:rFonts w:asciiTheme="minorHAnsi" w:hAnsiTheme="minorHAnsi"/>
          <w:bCs/>
          <w:i/>
          <w:iCs/>
          <w:snapToGrid w:val="0"/>
          <w:lang w:val="en-GB"/>
        </w:rPr>
        <w:t>National Health (Pharmaceuticals and Vaccines – Cost Recovery) Regulations 2022</w:t>
      </w:r>
      <w:r w:rsidRPr="008B2B9F">
        <w:rPr>
          <w:rFonts w:asciiTheme="minorHAnsi" w:hAnsiTheme="minorHAnsi"/>
          <w:bCs/>
          <w:snapToGrid w:val="0"/>
          <w:lang w:val="en-GB"/>
        </w:rPr>
        <w:t xml:space="preserve"> for Pricing Pathway A were not met. Specifically, the PBAC found that in the circumstances of its recommendation for</w:t>
      </w:r>
      <w:r>
        <w:rPr>
          <w:rFonts w:asciiTheme="minorHAnsi" w:hAnsiTheme="minorHAnsi"/>
          <w:bCs/>
          <w:snapToGrid w:val="0"/>
          <w:lang w:val="en-GB"/>
        </w:rPr>
        <w:t xml:space="preserve"> brentuximab vedotin</w:t>
      </w:r>
      <w:r w:rsidRPr="008B2B9F">
        <w:rPr>
          <w:rFonts w:asciiTheme="minorHAnsi" w:hAnsiTheme="minorHAnsi"/>
          <w:bCs/>
          <w:snapToGrid w:val="0"/>
          <w:lang w:val="en-GB"/>
        </w:rPr>
        <w:t>:</w:t>
      </w:r>
    </w:p>
    <w:p w14:paraId="285222A5" w14:textId="5E3538A6" w:rsidR="00F7098E" w:rsidRPr="00763DFB" w:rsidRDefault="00F7098E" w:rsidP="00F7098E">
      <w:pPr>
        <w:widowControl w:val="0"/>
        <w:numPr>
          <w:ilvl w:val="1"/>
          <w:numId w:val="46"/>
        </w:numPr>
        <w:spacing w:after="120"/>
        <w:rPr>
          <w:rFonts w:asciiTheme="minorHAnsi" w:hAnsiTheme="minorHAnsi" w:cstheme="minorHAnsi"/>
          <w:lang w:val="en-GB"/>
        </w:rPr>
      </w:pPr>
      <w:r w:rsidRPr="00763DFB">
        <w:rPr>
          <w:rFonts w:asciiTheme="minorHAnsi" w:hAnsiTheme="minorHAnsi" w:cstheme="minorHAnsi"/>
          <w:lang w:val="en-GB"/>
        </w:rPr>
        <w:t xml:space="preserve">The treatment is </w:t>
      </w:r>
      <w:r>
        <w:rPr>
          <w:rFonts w:asciiTheme="minorHAnsi" w:hAnsiTheme="minorHAnsi" w:cstheme="minorHAnsi"/>
          <w:lang w:val="en-GB"/>
        </w:rPr>
        <w:t xml:space="preserve">not </w:t>
      </w:r>
      <w:r w:rsidRPr="00763DFB">
        <w:rPr>
          <w:rFonts w:asciiTheme="minorHAnsi" w:hAnsiTheme="minorHAnsi" w:cstheme="minorHAnsi"/>
          <w:lang w:val="en-GB"/>
        </w:rPr>
        <w:t xml:space="preserve">expected to provide a substantial and clinically relevant improvement in efficacy, over alternative therapies, </w:t>
      </w:r>
      <w:r w:rsidR="00BA280A">
        <w:rPr>
          <w:rFonts w:asciiTheme="minorHAnsi" w:hAnsiTheme="minorHAnsi" w:cstheme="minorHAnsi"/>
          <w:lang w:val="en-GB"/>
        </w:rPr>
        <w:t xml:space="preserve">as while </w:t>
      </w:r>
      <w:r w:rsidR="00D42DD2">
        <w:rPr>
          <w:rFonts w:asciiTheme="minorHAnsi" w:hAnsiTheme="minorHAnsi" w:cstheme="minorHAnsi"/>
          <w:lang w:val="en-GB"/>
        </w:rPr>
        <w:t xml:space="preserve">clinically relevant </w:t>
      </w:r>
      <w:r w:rsidR="00BA280A">
        <w:rPr>
          <w:rFonts w:asciiTheme="minorHAnsi" w:hAnsiTheme="minorHAnsi" w:cstheme="minorHAnsi"/>
          <w:lang w:val="en-GB"/>
        </w:rPr>
        <w:t xml:space="preserve">improvements in </w:t>
      </w:r>
      <w:r w:rsidR="008F00B6">
        <w:rPr>
          <w:rFonts w:asciiTheme="minorHAnsi" w:hAnsiTheme="minorHAnsi" w:cstheme="minorHAnsi"/>
          <w:lang w:val="en-GB"/>
        </w:rPr>
        <w:t xml:space="preserve">modified progression-free survival were </w:t>
      </w:r>
      <w:r w:rsidR="00F74847">
        <w:rPr>
          <w:rFonts w:asciiTheme="minorHAnsi" w:hAnsiTheme="minorHAnsi" w:cstheme="minorHAnsi"/>
          <w:lang w:val="en-GB"/>
        </w:rPr>
        <w:t>evident they were not considered substantial</w:t>
      </w:r>
      <w:r w:rsidR="00F207C2">
        <w:rPr>
          <w:rFonts w:asciiTheme="minorHAnsi" w:hAnsiTheme="minorHAnsi" w:cstheme="minorHAnsi"/>
          <w:lang w:val="en-GB"/>
        </w:rPr>
        <w:t xml:space="preserve"> in magnitude;</w:t>
      </w:r>
    </w:p>
    <w:p w14:paraId="7207DD98" w14:textId="4F961DA8" w:rsidR="00F7098E" w:rsidRPr="0095744A" w:rsidRDefault="00F7098E" w:rsidP="00F7098E">
      <w:pPr>
        <w:widowControl w:val="0"/>
        <w:numPr>
          <w:ilvl w:val="1"/>
          <w:numId w:val="46"/>
        </w:numPr>
        <w:spacing w:after="120"/>
        <w:rPr>
          <w:rFonts w:asciiTheme="minorHAnsi" w:hAnsiTheme="minorHAnsi" w:cstheme="minorHAnsi"/>
          <w:lang w:val="en-GB"/>
        </w:rPr>
      </w:pPr>
      <w:r w:rsidRPr="00A84156">
        <w:rPr>
          <w:rFonts w:asciiTheme="minorHAnsi" w:hAnsiTheme="minorHAnsi" w:cstheme="minorHAnsi"/>
          <w:lang w:val="en-GB"/>
        </w:rPr>
        <w:t xml:space="preserve">The treatment is not expected to address a high and urgent unmet clinical need, as </w:t>
      </w:r>
      <w:r>
        <w:rPr>
          <w:rFonts w:asciiTheme="minorHAnsi" w:hAnsiTheme="minorHAnsi" w:cstheme="minorHAnsi"/>
          <w:lang w:val="en-GB"/>
        </w:rPr>
        <w:t>while</w:t>
      </w:r>
      <w:r w:rsidRPr="00A84156">
        <w:rPr>
          <w:rFonts w:asciiTheme="minorHAnsi" w:hAnsiTheme="minorHAnsi" w:cstheme="minorHAnsi"/>
          <w:lang w:val="en-GB"/>
        </w:rPr>
        <w:t xml:space="preserve"> the PBAC acknowledged there was an </w:t>
      </w:r>
      <w:r w:rsidRPr="0095744A">
        <w:rPr>
          <w:rFonts w:asciiTheme="minorHAnsi" w:hAnsiTheme="minorHAnsi" w:cstheme="minorHAnsi"/>
          <w:lang w:val="en-GB"/>
        </w:rPr>
        <w:t>unmet need it was not considered high and urgent due to the availability of other therapies;</w:t>
      </w:r>
    </w:p>
    <w:p w14:paraId="32CCFF43" w14:textId="77777777" w:rsidR="00F7098E" w:rsidRPr="0095744A" w:rsidRDefault="00F7098E" w:rsidP="00F7098E">
      <w:pPr>
        <w:widowControl w:val="0"/>
        <w:numPr>
          <w:ilvl w:val="1"/>
          <w:numId w:val="46"/>
        </w:numPr>
        <w:spacing w:after="120"/>
        <w:rPr>
          <w:rFonts w:asciiTheme="minorHAnsi" w:hAnsiTheme="minorHAnsi" w:cstheme="minorHAnsi"/>
          <w:lang w:val="en-GB"/>
        </w:rPr>
      </w:pPr>
      <w:r w:rsidRPr="0095744A">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p>
    <w:p w14:paraId="7561FCCE" w14:textId="771551D5" w:rsidR="00005328" w:rsidRPr="00525B39" w:rsidRDefault="00005328" w:rsidP="00005328">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noted that this submission is not eligible for an Independent Review</w:t>
      </w:r>
      <w:r w:rsidR="00AB3DB3">
        <w:rPr>
          <w:rFonts w:asciiTheme="minorHAnsi" w:hAnsiTheme="minorHAnsi"/>
          <w:bCs/>
          <w:snapToGrid w:val="0"/>
          <w:lang w:val="en-GB"/>
        </w:rPr>
        <w:t xml:space="preserve"> because it received a positive recommendation.</w:t>
      </w:r>
      <w:r>
        <w:rPr>
          <w:rFonts w:asciiTheme="minorHAnsi" w:hAnsiTheme="minorHAnsi"/>
          <w:bCs/>
          <w:snapToGrid w:val="0"/>
          <w:lang w:val="en-GB"/>
        </w:rPr>
        <w:t xml:space="preserve"> </w:t>
      </w:r>
      <w:r w:rsidRPr="00611FB4" w:rsidDel="00611FB4">
        <w:rPr>
          <w:rFonts w:asciiTheme="minorHAnsi" w:hAnsiTheme="minorHAnsi"/>
          <w:bCs/>
          <w:snapToGrid w:val="0"/>
          <w:lang w:val="en-GB"/>
        </w:rPr>
        <w:t xml:space="preserve"> </w:t>
      </w:r>
      <w:r>
        <w:rPr>
          <w:rFonts w:asciiTheme="minorHAnsi" w:hAnsiTheme="minorHAnsi"/>
          <w:bCs/>
          <w:snapToGrid w:val="0"/>
          <w:lang w:val="en-GB"/>
        </w:rPr>
        <w:t xml:space="preserve"> </w:t>
      </w:r>
    </w:p>
    <w:p w14:paraId="3FEE70F6" w14:textId="77777777" w:rsidR="00005328" w:rsidRPr="00525B39" w:rsidRDefault="00005328" w:rsidP="00005328">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9705EAA" w14:textId="4DE4E474" w:rsidR="00005328" w:rsidRPr="00525B39" w:rsidRDefault="00005328" w:rsidP="00005328">
      <w:pPr>
        <w:rPr>
          <w:rFonts w:asciiTheme="minorHAnsi" w:hAnsiTheme="minorHAnsi"/>
          <w:bCs/>
          <w:snapToGrid w:val="0"/>
          <w:lang w:val="en-GB"/>
        </w:rPr>
      </w:pPr>
      <w:r w:rsidRPr="00525B39">
        <w:rPr>
          <w:rFonts w:asciiTheme="minorHAnsi" w:hAnsiTheme="minorHAnsi"/>
          <w:bCs/>
          <w:snapToGrid w:val="0"/>
          <w:lang w:val="en-GB"/>
        </w:rPr>
        <w:t>Recommended</w:t>
      </w:r>
    </w:p>
    <w:bookmarkEnd w:id="61"/>
    <w:p w14:paraId="34B6B324" w14:textId="77777777" w:rsidR="00005328" w:rsidRPr="00355A0F" w:rsidRDefault="00005328" w:rsidP="00005328">
      <w:pPr>
        <w:pStyle w:val="2-SectionHeading"/>
        <w:numPr>
          <w:ilvl w:val="0"/>
          <w:numId w:val="1"/>
        </w:numPr>
        <w:outlineLvl w:val="0"/>
      </w:pPr>
      <w:r w:rsidRPr="00355A0F">
        <w:t>Recommended listing</w:t>
      </w:r>
    </w:p>
    <w:p w14:paraId="76F887C3" w14:textId="1F64E6F4" w:rsidR="000132CF" w:rsidRPr="00057B24" w:rsidRDefault="00005328" w:rsidP="00057B24">
      <w:pPr>
        <w:widowControl w:val="0"/>
        <w:numPr>
          <w:ilvl w:val="1"/>
          <w:numId w:val="1"/>
        </w:numPr>
        <w:spacing w:after="120"/>
        <w:rPr>
          <w:rFonts w:asciiTheme="minorHAnsi" w:hAnsiTheme="minorHAnsi"/>
          <w:bCs/>
          <w:snapToGrid w:val="0"/>
        </w:rPr>
      </w:pPr>
      <w:bookmarkStart w:id="63" w:name="_Ref204184249"/>
      <w:r w:rsidRPr="00355A0F">
        <w:rPr>
          <w:rFonts w:asciiTheme="minorHAnsi" w:hAnsiTheme="minorHAnsi"/>
          <w:bCs/>
          <w:snapToGrid w:val="0"/>
        </w:rPr>
        <w:t>Amend existing listing as follows:</w:t>
      </w:r>
      <w:bookmarkEnd w:id="62"/>
      <w:bookmarkEnd w:id="6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714"/>
        <w:gridCol w:w="1417"/>
        <w:gridCol w:w="2125"/>
        <w:gridCol w:w="2579"/>
        <w:gridCol w:w="1676"/>
      </w:tblGrid>
      <w:tr w:rsidR="000132CF" w:rsidRPr="00394DDA" w14:paraId="45D51BD0" w14:textId="77777777" w:rsidTr="00F0784D">
        <w:trPr>
          <w:cantSplit/>
          <w:trHeight w:val="345"/>
        </w:trPr>
        <w:tc>
          <w:tcPr>
            <w:tcW w:w="2692" w:type="dxa"/>
            <w:gridSpan w:val="3"/>
          </w:tcPr>
          <w:p w14:paraId="377D40D2" w14:textId="77777777" w:rsidR="000132CF" w:rsidRPr="00394DDA" w:rsidRDefault="000132CF" w:rsidP="00F0784D">
            <w:pPr>
              <w:keepNext/>
              <w:keepLines/>
              <w:ind w:left="-57"/>
              <w:rPr>
                <w:rFonts w:ascii="Arial Narrow" w:hAnsi="Arial Narrow"/>
                <w:b/>
                <w:sz w:val="20"/>
                <w:szCs w:val="20"/>
              </w:rPr>
            </w:pPr>
            <w:r w:rsidRPr="00394DDA">
              <w:rPr>
                <w:rFonts w:ascii="Arial Narrow" w:hAnsi="Arial Narrow"/>
                <w:b/>
                <w:sz w:val="20"/>
                <w:szCs w:val="20"/>
              </w:rPr>
              <w:lastRenderedPageBreak/>
              <w:t>MEDICINAL PRODUCT</w:t>
            </w:r>
          </w:p>
        </w:tc>
        <w:tc>
          <w:tcPr>
            <w:tcW w:w="2125" w:type="dxa"/>
          </w:tcPr>
          <w:p w14:paraId="5B2C913A"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b/>
                <w:sz w:val="20"/>
                <w:szCs w:val="20"/>
              </w:rPr>
              <w:t>PBS item code</w:t>
            </w:r>
          </w:p>
        </w:tc>
        <w:tc>
          <w:tcPr>
            <w:tcW w:w="2579" w:type="dxa"/>
          </w:tcPr>
          <w:p w14:paraId="57CC4F36"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b/>
                <w:sz w:val="20"/>
                <w:szCs w:val="20"/>
              </w:rPr>
              <w:t>Max. Amount</w:t>
            </w:r>
          </w:p>
        </w:tc>
        <w:tc>
          <w:tcPr>
            <w:tcW w:w="1676" w:type="dxa"/>
          </w:tcPr>
          <w:p w14:paraId="5407AF18"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b/>
                <w:sz w:val="20"/>
                <w:szCs w:val="20"/>
              </w:rPr>
              <w:t>№.of Rpts</w:t>
            </w:r>
          </w:p>
        </w:tc>
      </w:tr>
      <w:tr w:rsidR="000132CF" w:rsidRPr="00394DDA" w14:paraId="19318551" w14:textId="77777777" w:rsidTr="00307481">
        <w:trPr>
          <w:cantSplit/>
          <w:trHeight w:val="577"/>
        </w:trPr>
        <w:tc>
          <w:tcPr>
            <w:tcW w:w="2692" w:type="dxa"/>
            <w:gridSpan w:val="3"/>
          </w:tcPr>
          <w:p w14:paraId="1B98CA37" w14:textId="77777777" w:rsidR="000132CF" w:rsidRPr="00394DDA" w:rsidRDefault="000132CF" w:rsidP="00F0784D">
            <w:pPr>
              <w:keepNext/>
              <w:keepLines/>
              <w:ind w:left="-57"/>
              <w:rPr>
                <w:rFonts w:ascii="Arial Narrow" w:hAnsi="Arial Narrow"/>
                <w:sz w:val="20"/>
                <w:szCs w:val="20"/>
              </w:rPr>
            </w:pPr>
            <w:r w:rsidRPr="00394DDA">
              <w:rPr>
                <w:rFonts w:ascii="Arial Narrow" w:hAnsi="Arial Narrow"/>
                <w:sz w:val="20"/>
                <w:szCs w:val="20"/>
              </w:rPr>
              <w:t xml:space="preserve">BRENTUXIMAB VEDOTIN </w:t>
            </w:r>
          </w:p>
          <w:p w14:paraId="4F9256AD" w14:textId="0D70D4CF" w:rsidR="000132CF" w:rsidRPr="00FD4C34" w:rsidRDefault="000132CF" w:rsidP="00F0784D">
            <w:pPr>
              <w:keepNext/>
              <w:keepLines/>
              <w:ind w:left="-57"/>
              <w:rPr>
                <w:rFonts w:ascii="Arial Narrow" w:hAnsi="Arial Narrow"/>
                <w:strike/>
                <w:sz w:val="20"/>
                <w:szCs w:val="20"/>
              </w:rPr>
            </w:pPr>
            <w:r w:rsidRPr="00FD4C34">
              <w:rPr>
                <w:rFonts w:ascii="Arial Narrow" w:hAnsi="Arial Narrow"/>
                <w:sz w:val="20"/>
                <w:szCs w:val="20"/>
              </w:rPr>
              <w:t>Injection</w:t>
            </w:r>
          </w:p>
        </w:tc>
        <w:tc>
          <w:tcPr>
            <w:tcW w:w="2125" w:type="dxa"/>
          </w:tcPr>
          <w:p w14:paraId="3C141B9E" w14:textId="77777777" w:rsidR="000132CF" w:rsidRPr="00394DDA" w:rsidRDefault="000132CF" w:rsidP="00F0784D">
            <w:pPr>
              <w:keepNext/>
              <w:keepLines/>
              <w:ind w:left="-57"/>
              <w:jc w:val="center"/>
              <w:rPr>
                <w:rFonts w:ascii="Arial Narrow" w:hAnsi="Arial Narrow"/>
                <w:sz w:val="20"/>
                <w:szCs w:val="20"/>
              </w:rPr>
            </w:pPr>
            <w:r w:rsidRPr="00394DDA">
              <w:rPr>
                <w:rFonts w:ascii="Arial Narrow" w:hAnsi="Arial Narrow"/>
                <w:sz w:val="20"/>
                <w:szCs w:val="20"/>
              </w:rPr>
              <w:t>NEW (Public)</w:t>
            </w:r>
          </w:p>
          <w:p w14:paraId="6A743E09" w14:textId="77777777" w:rsidR="000132CF" w:rsidRPr="00394DDA" w:rsidRDefault="000132CF" w:rsidP="00F0784D">
            <w:pPr>
              <w:keepNext/>
              <w:keepLines/>
              <w:ind w:left="-57"/>
              <w:jc w:val="center"/>
              <w:rPr>
                <w:rFonts w:ascii="Arial Narrow" w:hAnsi="Arial Narrow"/>
                <w:sz w:val="20"/>
                <w:szCs w:val="20"/>
                <w:vertAlign w:val="subscript"/>
              </w:rPr>
            </w:pPr>
            <w:r w:rsidRPr="00394DDA">
              <w:rPr>
                <w:rFonts w:ascii="Arial Narrow" w:hAnsi="Arial Narrow"/>
                <w:sz w:val="20"/>
                <w:szCs w:val="20"/>
              </w:rPr>
              <w:t>NEW (Private)</w:t>
            </w:r>
            <w:r w:rsidRPr="00394DDA">
              <w:rPr>
                <w:rFonts w:ascii="Arial Narrow" w:hAnsi="Arial Narrow"/>
                <w:sz w:val="20"/>
                <w:szCs w:val="20"/>
                <w:vertAlign w:val="subscript"/>
              </w:rPr>
              <w:t xml:space="preserve"> </w:t>
            </w:r>
          </w:p>
        </w:tc>
        <w:tc>
          <w:tcPr>
            <w:tcW w:w="2579" w:type="dxa"/>
            <w:vAlign w:val="center"/>
          </w:tcPr>
          <w:p w14:paraId="3482B116" w14:textId="4D5FCE0D" w:rsidR="000132CF" w:rsidRPr="00307481" w:rsidRDefault="000132CF" w:rsidP="00307481">
            <w:pPr>
              <w:keepNext/>
              <w:keepLines/>
              <w:ind w:left="-57"/>
              <w:jc w:val="center"/>
              <w:rPr>
                <w:rFonts w:ascii="Arial Narrow" w:hAnsi="Arial Narrow"/>
                <w:iCs/>
                <w:strike/>
                <w:sz w:val="20"/>
                <w:szCs w:val="20"/>
              </w:rPr>
            </w:pPr>
            <w:r w:rsidRPr="00307481">
              <w:rPr>
                <w:rFonts w:ascii="Arial Narrow" w:hAnsi="Arial Narrow"/>
                <w:iCs/>
                <w:sz w:val="20"/>
                <w:szCs w:val="20"/>
              </w:rPr>
              <w:t>120mg</w:t>
            </w:r>
          </w:p>
        </w:tc>
        <w:tc>
          <w:tcPr>
            <w:tcW w:w="1676" w:type="dxa"/>
            <w:vAlign w:val="center"/>
          </w:tcPr>
          <w:p w14:paraId="14D0614D" w14:textId="77777777" w:rsidR="000132CF" w:rsidRPr="00307481" w:rsidRDefault="000132CF" w:rsidP="00307481">
            <w:pPr>
              <w:keepNext/>
              <w:keepLines/>
              <w:ind w:left="-57"/>
              <w:jc w:val="center"/>
              <w:rPr>
                <w:rFonts w:ascii="Arial Narrow" w:hAnsi="Arial Narrow"/>
                <w:iCs/>
                <w:sz w:val="20"/>
                <w:szCs w:val="20"/>
              </w:rPr>
            </w:pPr>
            <w:r w:rsidRPr="00307481">
              <w:rPr>
                <w:rFonts w:ascii="Arial Narrow" w:hAnsi="Arial Narrow"/>
                <w:iCs/>
                <w:sz w:val="20"/>
                <w:szCs w:val="20"/>
              </w:rPr>
              <w:t>11</w:t>
            </w:r>
          </w:p>
        </w:tc>
      </w:tr>
      <w:tr w:rsidR="000132CF" w:rsidRPr="00394DDA" w14:paraId="35C39250" w14:textId="77777777" w:rsidTr="00F0784D">
        <w:trPr>
          <w:cantSplit/>
          <w:trHeight w:val="225"/>
        </w:trPr>
        <w:tc>
          <w:tcPr>
            <w:tcW w:w="9072" w:type="dxa"/>
            <w:gridSpan w:val="6"/>
          </w:tcPr>
          <w:p w14:paraId="1BD42CB3" w14:textId="77777777" w:rsidR="000132CF" w:rsidRPr="00394DDA" w:rsidRDefault="000132CF" w:rsidP="00F0784D">
            <w:pPr>
              <w:keepNext/>
              <w:keepLines/>
              <w:ind w:left="-57"/>
              <w:rPr>
                <w:rFonts w:ascii="Arial Narrow" w:hAnsi="Arial Narrow"/>
                <w:b/>
                <w:bCs/>
                <w:sz w:val="20"/>
                <w:szCs w:val="20"/>
              </w:rPr>
            </w:pPr>
            <w:r w:rsidRPr="00394DDA">
              <w:rPr>
                <w:rFonts w:ascii="Arial Narrow" w:hAnsi="Arial Narrow"/>
                <w:b/>
                <w:bCs/>
                <w:sz w:val="20"/>
                <w:szCs w:val="20"/>
              </w:rPr>
              <w:t>Available brands</w:t>
            </w:r>
          </w:p>
        </w:tc>
      </w:tr>
      <w:tr w:rsidR="000132CF" w:rsidRPr="00394DDA" w14:paraId="752CAAE7" w14:textId="77777777" w:rsidTr="00F0784D">
        <w:trPr>
          <w:cantSplit/>
          <w:trHeight w:val="99"/>
        </w:trPr>
        <w:tc>
          <w:tcPr>
            <w:tcW w:w="9072" w:type="dxa"/>
            <w:gridSpan w:val="6"/>
          </w:tcPr>
          <w:p w14:paraId="2AD0E540" w14:textId="68CF611B" w:rsidR="000132CF" w:rsidRPr="00394DDA" w:rsidRDefault="00292405" w:rsidP="00F0784D">
            <w:pPr>
              <w:keepNext/>
              <w:keepLines/>
              <w:ind w:left="-57"/>
              <w:rPr>
                <w:rFonts w:ascii="Arial Narrow" w:hAnsi="Arial Narrow"/>
                <w:sz w:val="20"/>
                <w:szCs w:val="20"/>
              </w:rPr>
            </w:pPr>
            <w:r w:rsidRPr="00394DDA">
              <w:rPr>
                <w:rFonts w:ascii="Arial Narrow" w:hAnsi="Arial Narrow"/>
                <w:sz w:val="20"/>
                <w:szCs w:val="20"/>
              </w:rPr>
              <w:t>Adcetris</w:t>
            </w:r>
            <w:r w:rsidR="000132CF" w:rsidRPr="00394DDA">
              <w:rPr>
                <w:rFonts w:ascii="Arial Narrow" w:hAnsi="Arial Narrow"/>
                <w:sz w:val="20"/>
                <w:szCs w:val="20"/>
              </w:rPr>
              <w:t xml:space="preserve"> </w:t>
            </w:r>
          </w:p>
          <w:p w14:paraId="2AF78817" w14:textId="77777777" w:rsidR="000132CF" w:rsidRPr="00394DDA" w:rsidRDefault="000132CF" w:rsidP="00F0784D">
            <w:pPr>
              <w:keepNext/>
              <w:keepLines/>
              <w:ind w:left="-57"/>
              <w:rPr>
                <w:rFonts w:ascii="Arial Narrow" w:hAnsi="Arial Narrow"/>
                <w:sz w:val="20"/>
                <w:szCs w:val="20"/>
              </w:rPr>
            </w:pPr>
            <w:r w:rsidRPr="00394DDA">
              <w:rPr>
                <w:rFonts w:ascii="Arial Narrow" w:hAnsi="Arial Narrow"/>
                <w:sz w:val="20"/>
                <w:szCs w:val="20"/>
              </w:rPr>
              <w:t>(brentuximab vedotin 50 mg injection, 1 vial)</w:t>
            </w:r>
          </w:p>
        </w:tc>
      </w:tr>
      <w:tr w:rsidR="000132CF" w:rsidRPr="00394DDA" w14:paraId="5829A7D7" w14:textId="77777777" w:rsidTr="00F0784D">
        <w:tblPrEx>
          <w:tblCellMar>
            <w:top w:w="15" w:type="dxa"/>
            <w:left w:w="15" w:type="dxa"/>
            <w:bottom w:w="15" w:type="dxa"/>
            <w:right w:w="15" w:type="dxa"/>
          </w:tblCellMar>
          <w:tblLook w:val="04A0" w:firstRow="1" w:lastRow="0" w:firstColumn="1" w:lastColumn="0" w:noHBand="0" w:noVBand="1"/>
        </w:tblPrEx>
        <w:tc>
          <w:tcPr>
            <w:tcW w:w="9072" w:type="dxa"/>
            <w:gridSpan w:val="6"/>
            <w:vAlign w:val="center"/>
          </w:tcPr>
          <w:p w14:paraId="4DA543DF"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sz w:val="20"/>
                <w:szCs w:val="20"/>
              </w:rPr>
              <w:t>Restriction Summary [new]</w:t>
            </w:r>
            <w:r w:rsidRPr="00394DDA">
              <w:rPr>
                <w:rFonts w:ascii="Arial Narrow" w:hAnsi="Arial Narrow"/>
                <w:i/>
                <w:sz w:val="20"/>
                <w:szCs w:val="20"/>
              </w:rPr>
              <w:t xml:space="preserve"> </w:t>
            </w:r>
            <w:r w:rsidRPr="00394DDA">
              <w:rPr>
                <w:rFonts w:ascii="Arial Narrow" w:hAnsi="Arial Narrow"/>
                <w:b/>
                <w:sz w:val="20"/>
                <w:szCs w:val="20"/>
              </w:rPr>
              <w:t>/ Treatment of Concept: [new]</w:t>
            </w:r>
            <w:r w:rsidRPr="00394DDA">
              <w:rPr>
                <w:rFonts w:ascii="Arial Narrow" w:hAnsi="Arial Narrow"/>
                <w:iCs/>
                <w:sz w:val="20"/>
                <w:szCs w:val="20"/>
              </w:rPr>
              <w:t xml:space="preserve"> </w:t>
            </w:r>
          </w:p>
        </w:tc>
      </w:tr>
      <w:tr w:rsidR="000132CF" w:rsidRPr="00394DDA" w14:paraId="4D1FB74D" w14:textId="77777777" w:rsidTr="00F0784D">
        <w:tblPrEx>
          <w:tblCellMar>
            <w:top w:w="15" w:type="dxa"/>
            <w:bottom w:w="15" w:type="dxa"/>
          </w:tblCellMar>
          <w:tblLook w:val="04A0" w:firstRow="1" w:lastRow="0" w:firstColumn="1" w:lastColumn="0" w:noHBand="0" w:noVBand="1"/>
        </w:tblPrEx>
        <w:trPr>
          <w:cantSplit/>
          <w:trHeight w:val="20"/>
        </w:trPr>
        <w:tc>
          <w:tcPr>
            <w:tcW w:w="1275" w:type="dxa"/>
            <w:gridSpan w:val="2"/>
            <w:vMerge w:val="restart"/>
          </w:tcPr>
          <w:p w14:paraId="5118B72D" w14:textId="77777777" w:rsidR="000132CF" w:rsidRPr="00394DDA" w:rsidRDefault="000132CF" w:rsidP="00F0784D">
            <w:pPr>
              <w:keepNext/>
              <w:keepLines/>
              <w:jc w:val="center"/>
              <w:rPr>
                <w:rFonts w:ascii="Arial Narrow" w:hAnsi="Arial Narrow"/>
                <w:b/>
                <w:sz w:val="20"/>
                <w:szCs w:val="20"/>
              </w:rPr>
            </w:pPr>
            <w:r w:rsidRPr="00394DDA">
              <w:rPr>
                <w:rFonts w:ascii="Arial Narrow" w:hAnsi="Arial Narrow"/>
                <w:b/>
                <w:sz w:val="20"/>
                <w:szCs w:val="20"/>
              </w:rPr>
              <w:t xml:space="preserve">Concept ID </w:t>
            </w:r>
            <w:r w:rsidRPr="00394DDA">
              <w:rPr>
                <w:rFonts w:ascii="Arial Narrow" w:hAnsi="Arial Narrow"/>
                <w:sz w:val="20"/>
                <w:szCs w:val="20"/>
              </w:rPr>
              <w:t>(for internal Dept. use)</w:t>
            </w:r>
          </w:p>
        </w:tc>
        <w:tc>
          <w:tcPr>
            <w:tcW w:w="7797" w:type="dxa"/>
            <w:gridSpan w:val="4"/>
          </w:tcPr>
          <w:p w14:paraId="3C380B8B" w14:textId="77777777" w:rsidR="000132CF" w:rsidRPr="00394DDA" w:rsidRDefault="000132CF" w:rsidP="00F0784D">
            <w:pPr>
              <w:keepNext/>
              <w:keepLines/>
              <w:rPr>
                <w:rFonts w:ascii="Arial Narrow" w:hAnsi="Arial Narrow"/>
                <w:sz w:val="20"/>
                <w:szCs w:val="20"/>
              </w:rPr>
            </w:pPr>
            <w:r w:rsidRPr="00394DDA">
              <w:rPr>
                <w:rFonts w:ascii="Arial Narrow" w:hAnsi="Arial Narrow"/>
                <w:b/>
                <w:sz w:val="20"/>
                <w:szCs w:val="20"/>
              </w:rPr>
              <w:t xml:space="preserve">Category / Program: </w:t>
            </w:r>
            <w:r w:rsidRPr="00394DDA">
              <w:rPr>
                <w:rFonts w:ascii="Arial Narrow" w:hAnsi="Arial Narrow"/>
                <w:sz w:val="20"/>
                <w:szCs w:val="20"/>
              </w:rPr>
              <w:t>Section 100 - Efficient Funding of Chemotherapy Public/Private hospitals</w:t>
            </w:r>
          </w:p>
        </w:tc>
      </w:tr>
      <w:tr w:rsidR="000132CF" w:rsidRPr="00394DDA" w14:paraId="33BE7940" w14:textId="77777777" w:rsidTr="00F0784D">
        <w:tblPrEx>
          <w:tblCellMar>
            <w:top w:w="15" w:type="dxa"/>
            <w:bottom w:w="15" w:type="dxa"/>
          </w:tblCellMar>
          <w:tblLook w:val="04A0" w:firstRow="1" w:lastRow="0" w:firstColumn="1" w:lastColumn="0" w:noHBand="0" w:noVBand="1"/>
        </w:tblPrEx>
        <w:trPr>
          <w:cantSplit/>
          <w:trHeight w:val="20"/>
        </w:trPr>
        <w:tc>
          <w:tcPr>
            <w:tcW w:w="1275" w:type="dxa"/>
            <w:gridSpan w:val="2"/>
            <w:vMerge/>
          </w:tcPr>
          <w:p w14:paraId="54C7DCB6" w14:textId="77777777" w:rsidR="000132CF" w:rsidRPr="00394DDA" w:rsidRDefault="000132CF" w:rsidP="00F0784D">
            <w:pPr>
              <w:keepNext/>
              <w:keepLines/>
              <w:rPr>
                <w:rFonts w:ascii="Arial Narrow" w:hAnsi="Arial Narrow"/>
                <w:sz w:val="20"/>
                <w:szCs w:val="20"/>
              </w:rPr>
            </w:pPr>
          </w:p>
        </w:tc>
        <w:tc>
          <w:tcPr>
            <w:tcW w:w="7797" w:type="dxa"/>
            <w:gridSpan w:val="4"/>
          </w:tcPr>
          <w:p w14:paraId="126B26DC" w14:textId="77777777" w:rsidR="000132CF" w:rsidRPr="00394DDA" w:rsidRDefault="000132CF" w:rsidP="00F0784D">
            <w:pPr>
              <w:keepNext/>
              <w:keepLines/>
              <w:rPr>
                <w:rFonts w:ascii="Arial Narrow" w:hAnsi="Arial Narrow"/>
                <w:b/>
                <w:sz w:val="20"/>
                <w:szCs w:val="20"/>
              </w:rPr>
            </w:pPr>
            <w:r w:rsidRPr="00394DDA">
              <w:rPr>
                <w:rFonts w:ascii="Arial Narrow" w:hAnsi="Arial Narrow"/>
                <w:b/>
                <w:sz w:val="20"/>
                <w:szCs w:val="20"/>
              </w:rPr>
              <w:t xml:space="preserve">Prescriber type: </w:t>
            </w:r>
            <w:r w:rsidRPr="00394DDA">
              <w:rPr>
                <w:rFonts w:ascii="Arial Narrow" w:hAnsi="Arial Narrow"/>
                <w:sz w:val="20"/>
                <w:szCs w:val="20"/>
              </w:rPr>
              <w:fldChar w:fldCharType="begin">
                <w:ffData>
                  <w:name w:val=""/>
                  <w:enabled/>
                  <w:calcOnExit w:val="0"/>
                  <w:checkBox>
                    <w:sizeAuto/>
                    <w:default w:val="1"/>
                  </w:checkBox>
                </w:ffData>
              </w:fldChar>
            </w:r>
            <w:r w:rsidRPr="00394DDA">
              <w:rPr>
                <w:rFonts w:ascii="Arial Narrow" w:hAnsi="Arial Narrow"/>
                <w:sz w:val="20"/>
                <w:szCs w:val="20"/>
              </w:rPr>
              <w:instrText xml:space="preserve"> FORMCHECKBOX </w:instrText>
            </w:r>
            <w:r w:rsidRPr="00394DDA">
              <w:rPr>
                <w:rFonts w:ascii="Arial Narrow" w:hAnsi="Arial Narrow"/>
                <w:sz w:val="20"/>
                <w:szCs w:val="20"/>
              </w:rPr>
            </w:r>
            <w:r w:rsidRPr="00394DDA">
              <w:rPr>
                <w:rFonts w:ascii="Arial Narrow" w:hAnsi="Arial Narrow"/>
                <w:sz w:val="20"/>
                <w:szCs w:val="20"/>
              </w:rPr>
              <w:fldChar w:fldCharType="separate"/>
            </w:r>
            <w:r w:rsidRPr="00394DDA">
              <w:rPr>
                <w:rFonts w:ascii="Arial Narrow" w:hAnsi="Arial Narrow"/>
                <w:sz w:val="20"/>
                <w:szCs w:val="20"/>
              </w:rPr>
              <w:fldChar w:fldCharType="end"/>
            </w:r>
            <w:r w:rsidRPr="00394DDA">
              <w:rPr>
                <w:rFonts w:ascii="Arial Narrow" w:hAnsi="Arial Narrow"/>
                <w:sz w:val="20"/>
                <w:szCs w:val="20"/>
              </w:rPr>
              <w:t xml:space="preserve">Medical Practitioners </w:t>
            </w:r>
          </w:p>
        </w:tc>
      </w:tr>
      <w:tr w:rsidR="000132CF" w:rsidRPr="00394DDA" w14:paraId="7836AA2F" w14:textId="77777777" w:rsidTr="00F0784D">
        <w:tblPrEx>
          <w:tblCellMar>
            <w:top w:w="15" w:type="dxa"/>
            <w:bottom w:w="15" w:type="dxa"/>
          </w:tblCellMar>
          <w:tblLook w:val="04A0" w:firstRow="1" w:lastRow="0" w:firstColumn="1" w:lastColumn="0" w:noHBand="0" w:noVBand="1"/>
        </w:tblPrEx>
        <w:trPr>
          <w:cantSplit/>
          <w:trHeight w:val="20"/>
        </w:trPr>
        <w:tc>
          <w:tcPr>
            <w:tcW w:w="1275" w:type="dxa"/>
            <w:gridSpan w:val="2"/>
            <w:vMerge/>
          </w:tcPr>
          <w:p w14:paraId="2D3E4FFD" w14:textId="77777777" w:rsidR="000132CF" w:rsidRPr="00394DDA" w:rsidRDefault="000132CF" w:rsidP="00F0784D">
            <w:pPr>
              <w:keepNext/>
              <w:keepLines/>
              <w:rPr>
                <w:rFonts w:ascii="Arial Narrow" w:hAnsi="Arial Narrow"/>
                <w:sz w:val="20"/>
                <w:szCs w:val="20"/>
              </w:rPr>
            </w:pPr>
          </w:p>
        </w:tc>
        <w:tc>
          <w:tcPr>
            <w:tcW w:w="7797" w:type="dxa"/>
            <w:gridSpan w:val="4"/>
          </w:tcPr>
          <w:p w14:paraId="4A8F582E" w14:textId="2ED03976" w:rsidR="000132CF" w:rsidRPr="00394DDA" w:rsidRDefault="000132CF" w:rsidP="00F0784D">
            <w:pPr>
              <w:keepNext/>
              <w:keepLines/>
              <w:rPr>
                <w:rFonts w:ascii="Arial Narrow" w:eastAsia="Calibri" w:hAnsi="Arial Narrow"/>
                <w:sz w:val="20"/>
                <w:szCs w:val="20"/>
              </w:rPr>
            </w:pPr>
            <w:r w:rsidRPr="00394DDA">
              <w:rPr>
                <w:rFonts w:ascii="Arial Narrow" w:hAnsi="Arial Narrow"/>
                <w:b/>
                <w:sz w:val="20"/>
                <w:szCs w:val="20"/>
              </w:rPr>
              <w:t xml:space="preserve">Restriction type: </w:t>
            </w:r>
            <w:r w:rsidRPr="00394DDA">
              <w:rPr>
                <w:rFonts w:ascii="Arial Narrow" w:eastAsia="Calibri" w:hAnsi="Arial Narrow"/>
                <w:sz w:val="20"/>
                <w:szCs w:val="20"/>
              </w:rPr>
              <w:fldChar w:fldCharType="begin">
                <w:ffData>
                  <w:name w:val=""/>
                  <w:enabled/>
                  <w:calcOnExit w:val="0"/>
                  <w:checkBox>
                    <w:sizeAuto/>
                    <w:default w:val="1"/>
                  </w:checkBox>
                </w:ffData>
              </w:fldChar>
            </w:r>
            <w:r w:rsidRPr="00394DDA">
              <w:rPr>
                <w:rFonts w:ascii="Arial Narrow" w:eastAsia="Calibri" w:hAnsi="Arial Narrow"/>
                <w:sz w:val="20"/>
                <w:szCs w:val="20"/>
              </w:rPr>
              <w:instrText xml:space="preserve"> FORMCHECKBOX </w:instrText>
            </w:r>
            <w:r w:rsidRPr="00394DDA">
              <w:rPr>
                <w:rFonts w:ascii="Arial Narrow" w:eastAsia="Calibri" w:hAnsi="Arial Narrow"/>
                <w:sz w:val="20"/>
                <w:szCs w:val="20"/>
              </w:rPr>
            </w:r>
            <w:r w:rsidRPr="00394DDA">
              <w:rPr>
                <w:rFonts w:ascii="Arial Narrow" w:eastAsia="Calibri" w:hAnsi="Arial Narrow"/>
                <w:sz w:val="20"/>
                <w:szCs w:val="20"/>
              </w:rPr>
              <w:fldChar w:fldCharType="separate"/>
            </w:r>
            <w:r w:rsidRPr="00394DDA">
              <w:rPr>
                <w:rFonts w:ascii="Arial Narrow" w:eastAsia="Calibri" w:hAnsi="Arial Narrow"/>
                <w:sz w:val="20"/>
                <w:szCs w:val="20"/>
              </w:rPr>
              <w:fldChar w:fldCharType="end"/>
            </w:r>
            <w:r w:rsidRPr="00394DDA">
              <w:rPr>
                <w:rFonts w:ascii="Arial Narrow" w:eastAsia="Calibri" w:hAnsi="Arial Narrow"/>
                <w:sz w:val="20"/>
                <w:szCs w:val="20"/>
              </w:rPr>
              <w:t xml:space="preserve">Authority Required </w:t>
            </w:r>
            <w:r w:rsidRPr="00CC70F3">
              <w:rPr>
                <w:rFonts w:ascii="Arial Narrow" w:eastAsia="Calibri" w:hAnsi="Arial Narrow"/>
                <w:sz w:val="20"/>
                <w:szCs w:val="20"/>
              </w:rPr>
              <w:t xml:space="preserve">(telephone/online) </w:t>
            </w:r>
          </w:p>
        </w:tc>
      </w:tr>
      <w:tr w:rsidR="000132CF" w:rsidRPr="00394DDA" w14:paraId="104BB22F" w14:textId="77777777" w:rsidTr="00F0784D">
        <w:tblPrEx>
          <w:tblCellMar>
            <w:top w:w="15" w:type="dxa"/>
            <w:bottom w:w="15" w:type="dxa"/>
          </w:tblCellMar>
          <w:tblLook w:val="04A0" w:firstRow="1" w:lastRow="0" w:firstColumn="1" w:lastColumn="0" w:noHBand="0" w:noVBand="1"/>
        </w:tblPrEx>
        <w:trPr>
          <w:trHeight w:val="20"/>
        </w:trPr>
        <w:tc>
          <w:tcPr>
            <w:tcW w:w="561" w:type="dxa"/>
            <w:vMerge w:val="restart"/>
            <w:textDirection w:val="btLr"/>
            <w:vAlign w:val="center"/>
          </w:tcPr>
          <w:p w14:paraId="642BC63B" w14:textId="77777777" w:rsidR="000132CF" w:rsidRPr="00394DDA" w:rsidRDefault="000132CF" w:rsidP="00F0784D">
            <w:pPr>
              <w:keepNext/>
              <w:keepLines/>
              <w:ind w:right="113"/>
              <w:jc w:val="center"/>
              <w:rPr>
                <w:rFonts w:ascii="Arial Narrow" w:hAnsi="Arial Narrow"/>
                <w:color w:val="333333"/>
                <w:sz w:val="20"/>
                <w:szCs w:val="20"/>
              </w:rPr>
            </w:pPr>
            <w:r w:rsidRPr="00394DDA">
              <w:rPr>
                <w:rFonts w:ascii="Arial Narrow" w:hAnsi="Arial Narrow"/>
                <w:color w:val="333333"/>
                <w:sz w:val="20"/>
                <w:szCs w:val="20"/>
              </w:rPr>
              <w:t>Prescribing rule level</w:t>
            </w:r>
          </w:p>
        </w:tc>
        <w:tc>
          <w:tcPr>
            <w:tcW w:w="714" w:type="dxa"/>
            <w:vAlign w:val="center"/>
          </w:tcPr>
          <w:p w14:paraId="7E60BAB1" w14:textId="59196526" w:rsidR="000132CF" w:rsidRPr="00394DDA" w:rsidRDefault="000132CF" w:rsidP="00F0784D">
            <w:pPr>
              <w:keepNext/>
              <w:keepLines/>
              <w:ind w:hanging="35"/>
              <w:jc w:val="center"/>
              <w:rPr>
                <w:rFonts w:ascii="Arial Narrow" w:hAnsi="Arial Narrow"/>
                <w:color w:val="333333"/>
                <w:sz w:val="20"/>
                <w:szCs w:val="20"/>
              </w:rPr>
            </w:pPr>
          </w:p>
        </w:tc>
        <w:tc>
          <w:tcPr>
            <w:tcW w:w="7797" w:type="dxa"/>
            <w:gridSpan w:val="4"/>
            <w:vAlign w:val="center"/>
          </w:tcPr>
          <w:p w14:paraId="5FE722C4"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b/>
                <w:bCs/>
                <w:color w:val="333333"/>
                <w:sz w:val="20"/>
                <w:szCs w:val="20"/>
              </w:rPr>
              <w:t>Administrative Advice:</w:t>
            </w:r>
          </w:p>
          <w:p w14:paraId="412DACD1"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sz w:val="20"/>
                <w:szCs w:val="20"/>
              </w:rPr>
              <w:t>No increase in the maximum quantity or number of units may be authorised.</w:t>
            </w:r>
          </w:p>
        </w:tc>
      </w:tr>
      <w:tr w:rsidR="000132CF" w:rsidRPr="00394DDA" w14:paraId="1D588975" w14:textId="77777777" w:rsidTr="00F0784D">
        <w:tblPrEx>
          <w:tblCellMar>
            <w:top w:w="15" w:type="dxa"/>
            <w:bottom w:w="15" w:type="dxa"/>
          </w:tblCellMar>
          <w:tblLook w:val="04A0" w:firstRow="1" w:lastRow="0" w:firstColumn="1" w:lastColumn="0" w:noHBand="0" w:noVBand="1"/>
        </w:tblPrEx>
        <w:trPr>
          <w:trHeight w:val="20"/>
        </w:trPr>
        <w:tc>
          <w:tcPr>
            <w:tcW w:w="561" w:type="dxa"/>
            <w:vMerge/>
            <w:vAlign w:val="center"/>
          </w:tcPr>
          <w:p w14:paraId="42FF69E6" w14:textId="77777777" w:rsidR="000132CF" w:rsidRPr="00394DDA" w:rsidRDefault="000132CF" w:rsidP="00F0784D">
            <w:pPr>
              <w:keepNext/>
              <w:keepLines/>
              <w:jc w:val="center"/>
              <w:rPr>
                <w:rFonts w:ascii="Arial Narrow" w:hAnsi="Arial Narrow"/>
                <w:color w:val="333333"/>
                <w:sz w:val="20"/>
                <w:szCs w:val="20"/>
              </w:rPr>
            </w:pPr>
          </w:p>
        </w:tc>
        <w:tc>
          <w:tcPr>
            <w:tcW w:w="714" w:type="dxa"/>
            <w:vAlign w:val="center"/>
          </w:tcPr>
          <w:p w14:paraId="5B8E7891" w14:textId="3E4A4BB4" w:rsidR="000132CF" w:rsidRPr="00394DDA" w:rsidRDefault="000132CF" w:rsidP="00F0784D">
            <w:pPr>
              <w:keepNext/>
              <w:keepLines/>
              <w:ind w:hanging="35"/>
              <w:jc w:val="center"/>
              <w:rPr>
                <w:rFonts w:ascii="Arial Narrow" w:hAnsi="Arial Narrow"/>
                <w:color w:val="333333"/>
                <w:sz w:val="20"/>
                <w:szCs w:val="20"/>
              </w:rPr>
            </w:pPr>
          </w:p>
        </w:tc>
        <w:tc>
          <w:tcPr>
            <w:tcW w:w="7797" w:type="dxa"/>
            <w:gridSpan w:val="4"/>
            <w:vAlign w:val="center"/>
          </w:tcPr>
          <w:p w14:paraId="03B42E9E"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Administrative Advice:</w:t>
            </w:r>
          </w:p>
          <w:p w14:paraId="326D1201"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color w:val="333333"/>
                <w:sz w:val="20"/>
                <w:szCs w:val="20"/>
              </w:rPr>
              <w:t>No increase in the maximum number of repeats may be authorised</w:t>
            </w:r>
          </w:p>
        </w:tc>
      </w:tr>
      <w:tr w:rsidR="000132CF" w:rsidRPr="00394DDA" w14:paraId="5D2B7A14" w14:textId="77777777" w:rsidTr="00F0784D">
        <w:tblPrEx>
          <w:tblCellMar>
            <w:top w:w="15" w:type="dxa"/>
            <w:bottom w:w="15" w:type="dxa"/>
          </w:tblCellMar>
          <w:tblLook w:val="04A0" w:firstRow="1" w:lastRow="0" w:firstColumn="1" w:lastColumn="0" w:noHBand="0" w:noVBand="1"/>
        </w:tblPrEx>
        <w:trPr>
          <w:trHeight w:val="20"/>
        </w:trPr>
        <w:tc>
          <w:tcPr>
            <w:tcW w:w="561" w:type="dxa"/>
            <w:vMerge/>
            <w:vAlign w:val="center"/>
          </w:tcPr>
          <w:p w14:paraId="689DFFDB" w14:textId="77777777" w:rsidR="000132CF" w:rsidRPr="00394DDA" w:rsidRDefault="000132CF" w:rsidP="00F0784D">
            <w:pPr>
              <w:keepNext/>
              <w:keepLines/>
              <w:jc w:val="center"/>
              <w:rPr>
                <w:rFonts w:ascii="Arial Narrow" w:hAnsi="Arial Narrow"/>
                <w:color w:val="333333"/>
                <w:sz w:val="20"/>
                <w:szCs w:val="20"/>
              </w:rPr>
            </w:pPr>
          </w:p>
        </w:tc>
        <w:tc>
          <w:tcPr>
            <w:tcW w:w="714" w:type="dxa"/>
            <w:vAlign w:val="center"/>
          </w:tcPr>
          <w:p w14:paraId="106D50CC" w14:textId="43471D9E" w:rsidR="000132CF" w:rsidRPr="00394DDA" w:rsidRDefault="000132CF" w:rsidP="00F0784D">
            <w:pPr>
              <w:keepNext/>
              <w:keepLines/>
              <w:ind w:hanging="35"/>
              <w:jc w:val="center"/>
              <w:rPr>
                <w:rFonts w:ascii="Arial Narrow" w:hAnsi="Arial Narrow"/>
                <w:color w:val="333333"/>
                <w:sz w:val="20"/>
                <w:szCs w:val="20"/>
              </w:rPr>
            </w:pPr>
          </w:p>
        </w:tc>
        <w:tc>
          <w:tcPr>
            <w:tcW w:w="7797" w:type="dxa"/>
            <w:gridSpan w:val="4"/>
            <w:vAlign w:val="center"/>
          </w:tcPr>
          <w:p w14:paraId="4CC16C96"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Administrative Advice:</w:t>
            </w:r>
          </w:p>
          <w:p w14:paraId="336FA576"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color w:val="333333"/>
                <w:sz w:val="20"/>
                <w:szCs w:val="20"/>
              </w:rPr>
              <w:t>Special Pricing Arrangements apply</w:t>
            </w:r>
          </w:p>
        </w:tc>
      </w:tr>
      <w:tr w:rsidR="000132CF" w:rsidRPr="00394DDA" w14:paraId="39F523D4" w14:textId="77777777" w:rsidTr="00F0784D">
        <w:tblPrEx>
          <w:tblCellMar>
            <w:top w:w="15" w:type="dxa"/>
            <w:bottom w:w="15" w:type="dxa"/>
          </w:tblCellMar>
          <w:tblLook w:val="04A0" w:firstRow="1" w:lastRow="0" w:firstColumn="1" w:lastColumn="0" w:noHBand="0" w:noVBand="1"/>
        </w:tblPrEx>
        <w:trPr>
          <w:trHeight w:val="20"/>
        </w:trPr>
        <w:tc>
          <w:tcPr>
            <w:tcW w:w="561" w:type="dxa"/>
            <w:vMerge/>
            <w:vAlign w:val="center"/>
          </w:tcPr>
          <w:p w14:paraId="67F745C7" w14:textId="77777777" w:rsidR="000132CF" w:rsidRPr="00394DDA" w:rsidRDefault="000132CF" w:rsidP="00F0784D">
            <w:pPr>
              <w:keepNext/>
              <w:keepLines/>
              <w:jc w:val="center"/>
              <w:rPr>
                <w:rFonts w:ascii="Arial Narrow" w:hAnsi="Arial Narrow"/>
                <w:color w:val="333333"/>
                <w:sz w:val="20"/>
                <w:szCs w:val="20"/>
              </w:rPr>
            </w:pPr>
          </w:p>
        </w:tc>
        <w:tc>
          <w:tcPr>
            <w:tcW w:w="714" w:type="dxa"/>
            <w:vAlign w:val="center"/>
          </w:tcPr>
          <w:p w14:paraId="590EB350" w14:textId="77777777" w:rsidR="000132CF" w:rsidRPr="007D725B" w:rsidRDefault="000132CF" w:rsidP="007D725B">
            <w:pPr>
              <w:keepNext/>
              <w:keepLines/>
              <w:rPr>
                <w:rFonts w:ascii="Arial Narrow" w:hAnsi="Arial Narrow"/>
                <w:strike/>
                <w:sz w:val="20"/>
                <w:szCs w:val="20"/>
              </w:rPr>
            </w:pPr>
          </w:p>
          <w:p w14:paraId="2401DC1B" w14:textId="5BEB4B94" w:rsidR="000132CF" w:rsidRPr="007D725B" w:rsidRDefault="000132CF" w:rsidP="007D725B">
            <w:pPr>
              <w:keepNext/>
              <w:keepLines/>
              <w:rPr>
                <w:rFonts w:ascii="Arial Narrow" w:hAnsi="Arial Narrow"/>
                <w:sz w:val="20"/>
                <w:szCs w:val="20"/>
              </w:rPr>
            </w:pPr>
            <w:r w:rsidRPr="007D725B">
              <w:rPr>
                <w:rFonts w:ascii="Arial Narrow" w:hAnsi="Arial Narrow"/>
                <w:sz w:val="20"/>
                <w:szCs w:val="20"/>
              </w:rPr>
              <w:t xml:space="preserve"> </w:t>
            </w:r>
          </w:p>
        </w:tc>
        <w:tc>
          <w:tcPr>
            <w:tcW w:w="7797" w:type="dxa"/>
            <w:gridSpan w:val="4"/>
            <w:vAlign w:val="center"/>
          </w:tcPr>
          <w:p w14:paraId="6E11BFBA" w14:textId="77777777" w:rsidR="000132CF" w:rsidRPr="007D725B" w:rsidRDefault="000132CF" w:rsidP="00F0784D">
            <w:pPr>
              <w:keepNext/>
              <w:keepLines/>
              <w:rPr>
                <w:rFonts w:ascii="Arial Narrow" w:hAnsi="Arial Narrow"/>
                <w:sz w:val="20"/>
                <w:szCs w:val="20"/>
              </w:rPr>
            </w:pPr>
            <w:r w:rsidRPr="007D725B">
              <w:rPr>
                <w:rFonts w:ascii="Arial Narrow" w:hAnsi="Arial Narrow"/>
                <w:b/>
                <w:bCs/>
                <w:sz w:val="20"/>
                <w:szCs w:val="20"/>
              </w:rPr>
              <w:t>Administrative Advice:</w:t>
            </w:r>
            <w:r w:rsidRPr="007D725B">
              <w:rPr>
                <w:rFonts w:ascii="Arial Narrow" w:hAnsi="Arial Narrow"/>
                <w:sz w:val="20"/>
                <w:szCs w:val="20"/>
              </w:rPr>
              <w:t xml:space="preserve">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0132CF" w:rsidRPr="00394DDA" w14:paraId="6FC3A981" w14:textId="77777777" w:rsidTr="00F0784D">
        <w:tblPrEx>
          <w:tblCellMar>
            <w:top w:w="15" w:type="dxa"/>
            <w:left w:w="15" w:type="dxa"/>
            <w:bottom w:w="15" w:type="dxa"/>
            <w:right w:w="15" w:type="dxa"/>
          </w:tblCellMar>
          <w:tblLook w:val="04A0" w:firstRow="1" w:lastRow="0" w:firstColumn="1" w:lastColumn="0" w:noHBand="0" w:noVBand="1"/>
        </w:tblPrEx>
        <w:tc>
          <w:tcPr>
            <w:tcW w:w="1275" w:type="dxa"/>
            <w:gridSpan w:val="2"/>
            <w:vAlign w:val="center"/>
            <w:hideMark/>
          </w:tcPr>
          <w:p w14:paraId="0C6C4D2B" w14:textId="6CBF4D92" w:rsidR="000132CF" w:rsidRPr="00394DDA" w:rsidRDefault="000132CF" w:rsidP="00F0784D">
            <w:pPr>
              <w:keepNext/>
              <w:keepLines/>
              <w:jc w:val="center"/>
              <w:rPr>
                <w:rFonts w:ascii="Arial Narrow" w:hAnsi="Arial Narrow"/>
                <w:color w:val="333333"/>
                <w:sz w:val="20"/>
                <w:szCs w:val="20"/>
              </w:rPr>
            </w:pPr>
          </w:p>
        </w:tc>
        <w:tc>
          <w:tcPr>
            <w:tcW w:w="7797" w:type="dxa"/>
            <w:gridSpan w:val="4"/>
            <w:vAlign w:val="center"/>
            <w:hideMark/>
          </w:tcPr>
          <w:p w14:paraId="31D9133C"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b/>
                <w:bCs/>
                <w:color w:val="333333"/>
                <w:sz w:val="20"/>
                <w:szCs w:val="20"/>
              </w:rPr>
              <w:t>Indication:</w:t>
            </w:r>
            <w:r w:rsidRPr="00394DDA">
              <w:rPr>
                <w:rFonts w:ascii="Arial Narrow" w:hAnsi="Arial Narrow"/>
                <w:color w:val="333333"/>
                <w:sz w:val="20"/>
                <w:szCs w:val="20"/>
              </w:rPr>
              <w:t xml:space="preserve"> Stage III or IV CD30 positive Hodgkin lymphoma.</w:t>
            </w:r>
          </w:p>
        </w:tc>
      </w:tr>
      <w:tr w:rsidR="000132CF" w:rsidRPr="00394DDA" w14:paraId="1437F39B" w14:textId="77777777" w:rsidTr="00F0784D">
        <w:tblPrEx>
          <w:tblCellMar>
            <w:top w:w="15" w:type="dxa"/>
            <w:left w:w="15" w:type="dxa"/>
            <w:bottom w:w="15" w:type="dxa"/>
            <w:right w:w="15" w:type="dxa"/>
          </w:tblCellMar>
          <w:tblLook w:val="04A0" w:firstRow="1" w:lastRow="0" w:firstColumn="1" w:lastColumn="0" w:noHBand="0" w:noVBand="1"/>
        </w:tblPrEx>
        <w:tc>
          <w:tcPr>
            <w:tcW w:w="1275" w:type="dxa"/>
            <w:gridSpan w:val="2"/>
            <w:vAlign w:val="center"/>
          </w:tcPr>
          <w:p w14:paraId="404AA95B" w14:textId="020FCDF5" w:rsidR="000132CF" w:rsidRPr="00394DDA" w:rsidRDefault="000132CF" w:rsidP="00F0784D">
            <w:pPr>
              <w:keepNext/>
              <w:keepLines/>
              <w:jc w:val="center"/>
              <w:rPr>
                <w:rFonts w:ascii="Arial Narrow" w:hAnsi="Arial Narrow"/>
                <w:color w:val="333333"/>
                <w:sz w:val="20"/>
                <w:szCs w:val="20"/>
              </w:rPr>
            </w:pPr>
          </w:p>
        </w:tc>
        <w:tc>
          <w:tcPr>
            <w:tcW w:w="7797" w:type="dxa"/>
            <w:gridSpan w:val="4"/>
            <w:vAlign w:val="center"/>
            <w:hideMark/>
          </w:tcPr>
          <w:p w14:paraId="0B4FECB1"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b/>
                <w:bCs/>
                <w:color w:val="333333"/>
                <w:sz w:val="20"/>
                <w:szCs w:val="20"/>
              </w:rPr>
              <w:t>Clinical criteria:</w:t>
            </w:r>
          </w:p>
        </w:tc>
      </w:tr>
      <w:tr w:rsidR="000132CF" w:rsidRPr="00394DDA" w14:paraId="7AA86A9A" w14:textId="77777777" w:rsidTr="00F0784D">
        <w:tblPrEx>
          <w:tblCellMar>
            <w:top w:w="15" w:type="dxa"/>
            <w:left w:w="15" w:type="dxa"/>
            <w:bottom w:w="15" w:type="dxa"/>
            <w:right w:w="15" w:type="dxa"/>
          </w:tblCellMar>
          <w:tblLook w:val="04A0" w:firstRow="1" w:lastRow="0" w:firstColumn="1" w:lastColumn="0" w:noHBand="0" w:noVBand="1"/>
        </w:tblPrEx>
        <w:tc>
          <w:tcPr>
            <w:tcW w:w="1275" w:type="dxa"/>
            <w:gridSpan w:val="2"/>
            <w:vAlign w:val="center"/>
          </w:tcPr>
          <w:p w14:paraId="418948B7" w14:textId="335CE37B" w:rsidR="000132CF" w:rsidRPr="00394DDA" w:rsidRDefault="000132CF" w:rsidP="00F0784D">
            <w:pPr>
              <w:keepNext/>
              <w:keepLines/>
              <w:jc w:val="center"/>
              <w:rPr>
                <w:rFonts w:ascii="Arial Narrow" w:hAnsi="Arial Narrow"/>
                <w:color w:val="333333"/>
                <w:sz w:val="20"/>
                <w:szCs w:val="20"/>
              </w:rPr>
            </w:pPr>
          </w:p>
        </w:tc>
        <w:tc>
          <w:tcPr>
            <w:tcW w:w="7797" w:type="dxa"/>
            <w:gridSpan w:val="4"/>
            <w:vAlign w:val="center"/>
          </w:tcPr>
          <w:p w14:paraId="4AB7724A"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color w:val="333333"/>
                <w:sz w:val="20"/>
                <w:szCs w:val="20"/>
              </w:rPr>
              <w:t>The treatment must be for first line therapy for this condition.</w:t>
            </w:r>
          </w:p>
        </w:tc>
      </w:tr>
      <w:tr w:rsidR="000132CF" w:rsidRPr="00394DDA" w14:paraId="700AB3F0" w14:textId="77777777" w:rsidTr="00F0784D">
        <w:tblPrEx>
          <w:tblCellMar>
            <w:top w:w="15" w:type="dxa"/>
            <w:left w:w="15" w:type="dxa"/>
            <w:bottom w:w="15" w:type="dxa"/>
            <w:right w:w="15" w:type="dxa"/>
          </w:tblCellMar>
          <w:tblLook w:val="04A0" w:firstRow="1" w:lastRow="0" w:firstColumn="1" w:lastColumn="0" w:noHBand="0" w:noVBand="1"/>
        </w:tblPrEx>
        <w:tc>
          <w:tcPr>
            <w:tcW w:w="1275" w:type="dxa"/>
            <w:gridSpan w:val="2"/>
            <w:vAlign w:val="center"/>
          </w:tcPr>
          <w:p w14:paraId="2A0EA177" w14:textId="77777777" w:rsidR="000132CF" w:rsidRPr="00394DDA" w:rsidRDefault="000132CF" w:rsidP="00F0784D">
            <w:pPr>
              <w:keepNext/>
              <w:keepLines/>
              <w:jc w:val="center"/>
              <w:rPr>
                <w:rFonts w:ascii="Arial Narrow" w:hAnsi="Arial Narrow"/>
                <w:color w:val="333333"/>
                <w:sz w:val="20"/>
                <w:szCs w:val="20"/>
              </w:rPr>
            </w:pPr>
          </w:p>
        </w:tc>
        <w:tc>
          <w:tcPr>
            <w:tcW w:w="7797" w:type="dxa"/>
            <w:gridSpan w:val="4"/>
            <w:vAlign w:val="center"/>
            <w:hideMark/>
          </w:tcPr>
          <w:p w14:paraId="0E550E1A"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b/>
                <w:bCs/>
                <w:color w:val="333333"/>
                <w:sz w:val="20"/>
                <w:szCs w:val="20"/>
              </w:rPr>
              <w:t>AND</w:t>
            </w:r>
          </w:p>
        </w:tc>
      </w:tr>
      <w:tr w:rsidR="000132CF" w:rsidRPr="00394DDA" w14:paraId="788AE3AA" w14:textId="77777777" w:rsidTr="00F0784D">
        <w:tblPrEx>
          <w:tblCellMar>
            <w:top w:w="15" w:type="dxa"/>
            <w:left w:w="15" w:type="dxa"/>
            <w:bottom w:w="15" w:type="dxa"/>
            <w:right w:w="15" w:type="dxa"/>
          </w:tblCellMar>
          <w:tblLook w:val="04A0" w:firstRow="1" w:lastRow="0" w:firstColumn="1" w:lastColumn="0" w:noHBand="0" w:noVBand="1"/>
        </w:tblPrEx>
        <w:tc>
          <w:tcPr>
            <w:tcW w:w="1275" w:type="dxa"/>
            <w:gridSpan w:val="2"/>
            <w:vAlign w:val="center"/>
          </w:tcPr>
          <w:p w14:paraId="65A5FCBD" w14:textId="0D8FB75C" w:rsidR="000132CF" w:rsidRPr="00394DDA" w:rsidRDefault="000132CF" w:rsidP="00F0784D">
            <w:pPr>
              <w:keepNext/>
              <w:keepLines/>
              <w:jc w:val="center"/>
              <w:rPr>
                <w:rFonts w:ascii="Arial Narrow" w:hAnsi="Arial Narrow"/>
                <w:color w:val="333333"/>
                <w:sz w:val="20"/>
                <w:szCs w:val="20"/>
              </w:rPr>
            </w:pPr>
          </w:p>
        </w:tc>
        <w:tc>
          <w:tcPr>
            <w:tcW w:w="7797" w:type="dxa"/>
            <w:gridSpan w:val="4"/>
            <w:vAlign w:val="center"/>
            <w:hideMark/>
          </w:tcPr>
          <w:p w14:paraId="2BDDD6EC"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b/>
                <w:bCs/>
                <w:color w:val="333333"/>
                <w:sz w:val="20"/>
                <w:szCs w:val="20"/>
              </w:rPr>
              <w:t>Clinical criteria:</w:t>
            </w:r>
          </w:p>
        </w:tc>
      </w:tr>
      <w:tr w:rsidR="000132CF" w:rsidRPr="00394DDA" w14:paraId="78ABDEE1" w14:textId="77777777" w:rsidTr="00F0784D">
        <w:tblPrEx>
          <w:tblCellMar>
            <w:top w:w="15" w:type="dxa"/>
            <w:left w:w="15" w:type="dxa"/>
            <w:bottom w:w="15" w:type="dxa"/>
            <w:right w:w="15" w:type="dxa"/>
          </w:tblCellMar>
          <w:tblLook w:val="04A0" w:firstRow="1" w:lastRow="0" w:firstColumn="1" w:lastColumn="0" w:noHBand="0" w:noVBand="1"/>
        </w:tblPrEx>
        <w:tc>
          <w:tcPr>
            <w:tcW w:w="1275" w:type="dxa"/>
            <w:gridSpan w:val="2"/>
            <w:vAlign w:val="center"/>
          </w:tcPr>
          <w:p w14:paraId="034CD8FD" w14:textId="5D7A0E73" w:rsidR="000132CF" w:rsidRPr="00394DDA" w:rsidRDefault="000132CF" w:rsidP="00F0784D">
            <w:pPr>
              <w:keepNext/>
              <w:keepLines/>
              <w:jc w:val="center"/>
              <w:rPr>
                <w:rFonts w:ascii="Arial Narrow" w:hAnsi="Arial Narrow"/>
                <w:color w:val="333333"/>
                <w:sz w:val="20"/>
                <w:szCs w:val="20"/>
              </w:rPr>
            </w:pPr>
          </w:p>
        </w:tc>
        <w:tc>
          <w:tcPr>
            <w:tcW w:w="7797" w:type="dxa"/>
            <w:gridSpan w:val="4"/>
            <w:vAlign w:val="center"/>
            <w:hideMark/>
          </w:tcPr>
          <w:p w14:paraId="362D0880"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color w:val="333333"/>
                <w:sz w:val="20"/>
                <w:szCs w:val="20"/>
              </w:rPr>
              <w:t>The treatment must be for curative intent.</w:t>
            </w:r>
          </w:p>
        </w:tc>
      </w:tr>
      <w:tr w:rsidR="000132CF" w:rsidRPr="00394DDA" w14:paraId="6EFDE290" w14:textId="77777777" w:rsidTr="00F0784D">
        <w:tblPrEx>
          <w:tblCellMar>
            <w:top w:w="15" w:type="dxa"/>
            <w:left w:w="15" w:type="dxa"/>
            <w:bottom w:w="15" w:type="dxa"/>
            <w:right w:w="15" w:type="dxa"/>
          </w:tblCellMar>
          <w:tblLook w:val="04A0" w:firstRow="1" w:lastRow="0" w:firstColumn="1" w:lastColumn="0" w:noHBand="0" w:noVBand="1"/>
        </w:tblPrEx>
        <w:tc>
          <w:tcPr>
            <w:tcW w:w="1275" w:type="dxa"/>
            <w:gridSpan w:val="2"/>
            <w:vAlign w:val="center"/>
          </w:tcPr>
          <w:p w14:paraId="74926069" w14:textId="77777777" w:rsidR="000132CF" w:rsidRPr="00394DDA" w:rsidRDefault="000132CF" w:rsidP="00F0784D">
            <w:pPr>
              <w:keepNext/>
              <w:keepLines/>
              <w:jc w:val="center"/>
              <w:rPr>
                <w:rFonts w:ascii="Arial Narrow" w:hAnsi="Arial Narrow"/>
                <w:color w:val="333333"/>
                <w:sz w:val="20"/>
                <w:szCs w:val="20"/>
              </w:rPr>
            </w:pPr>
          </w:p>
        </w:tc>
        <w:tc>
          <w:tcPr>
            <w:tcW w:w="7797" w:type="dxa"/>
            <w:gridSpan w:val="4"/>
            <w:vAlign w:val="center"/>
          </w:tcPr>
          <w:p w14:paraId="2E8993F5"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AND</w:t>
            </w:r>
          </w:p>
        </w:tc>
      </w:tr>
      <w:tr w:rsidR="000132CF" w:rsidRPr="00394DDA" w14:paraId="292898FA" w14:textId="77777777" w:rsidTr="00F0784D">
        <w:tblPrEx>
          <w:tblCellMar>
            <w:top w:w="15" w:type="dxa"/>
            <w:left w:w="15" w:type="dxa"/>
            <w:bottom w:w="15" w:type="dxa"/>
            <w:right w:w="15" w:type="dxa"/>
          </w:tblCellMar>
          <w:tblLook w:val="04A0" w:firstRow="1" w:lastRow="0" w:firstColumn="1" w:lastColumn="0" w:noHBand="0" w:noVBand="1"/>
        </w:tblPrEx>
        <w:tc>
          <w:tcPr>
            <w:tcW w:w="1275" w:type="dxa"/>
            <w:gridSpan w:val="2"/>
            <w:vAlign w:val="center"/>
          </w:tcPr>
          <w:p w14:paraId="1CE98FDF" w14:textId="62017F8C" w:rsidR="000132CF" w:rsidRPr="00394DDA" w:rsidRDefault="000132CF" w:rsidP="00F0784D">
            <w:pPr>
              <w:keepNext/>
              <w:keepLines/>
              <w:jc w:val="center"/>
              <w:rPr>
                <w:rFonts w:ascii="Arial Narrow" w:hAnsi="Arial Narrow"/>
                <w:color w:val="333333"/>
                <w:sz w:val="20"/>
                <w:szCs w:val="20"/>
              </w:rPr>
            </w:pPr>
          </w:p>
        </w:tc>
        <w:tc>
          <w:tcPr>
            <w:tcW w:w="7797" w:type="dxa"/>
            <w:gridSpan w:val="4"/>
            <w:vAlign w:val="center"/>
            <w:hideMark/>
          </w:tcPr>
          <w:p w14:paraId="474124AB"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b/>
                <w:bCs/>
                <w:color w:val="333333"/>
                <w:sz w:val="20"/>
                <w:szCs w:val="20"/>
              </w:rPr>
              <w:t>Clinical criteria:</w:t>
            </w:r>
          </w:p>
        </w:tc>
      </w:tr>
      <w:tr w:rsidR="000132CF" w:rsidRPr="00394DDA" w14:paraId="41743F36" w14:textId="77777777" w:rsidTr="00F0784D">
        <w:tblPrEx>
          <w:tblCellMar>
            <w:top w:w="15" w:type="dxa"/>
            <w:left w:w="15" w:type="dxa"/>
            <w:bottom w:w="15" w:type="dxa"/>
            <w:right w:w="15" w:type="dxa"/>
          </w:tblCellMar>
          <w:tblLook w:val="04A0" w:firstRow="1" w:lastRow="0" w:firstColumn="1" w:lastColumn="0" w:noHBand="0" w:noVBand="1"/>
        </w:tblPrEx>
        <w:tc>
          <w:tcPr>
            <w:tcW w:w="1275" w:type="dxa"/>
            <w:gridSpan w:val="2"/>
            <w:vAlign w:val="center"/>
          </w:tcPr>
          <w:p w14:paraId="15817508" w14:textId="4E82758A" w:rsidR="000132CF" w:rsidRPr="00394DDA" w:rsidRDefault="000132CF" w:rsidP="00F0784D">
            <w:pPr>
              <w:keepNext/>
              <w:keepLines/>
              <w:jc w:val="center"/>
              <w:rPr>
                <w:rFonts w:ascii="Arial Narrow" w:hAnsi="Arial Narrow"/>
                <w:color w:val="333333"/>
                <w:sz w:val="20"/>
                <w:szCs w:val="20"/>
              </w:rPr>
            </w:pPr>
          </w:p>
        </w:tc>
        <w:tc>
          <w:tcPr>
            <w:tcW w:w="7797" w:type="dxa"/>
            <w:gridSpan w:val="4"/>
            <w:hideMark/>
          </w:tcPr>
          <w:p w14:paraId="22736EF4" w14:textId="120D8A0F" w:rsidR="000132CF" w:rsidRPr="00394DDA" w:rsidRDefault="000132CF" w:rsidP="00F0784D">
            <w:pPr>
              <w:keepNext/>
              <w:keepLines/>
              <w:jc w:val="left"/>
              <w:rPr>
                <w:rFonts w:ascii="Arial Narrow" w:hAnsi="Arial Narrow"/>
                <w:color w:val="333333"/>
                <w:sz w:val="20"/>
                <w:szCs w:val="20"/>
              </w:rPr>
            </w:pPr>
            <w:r w:rsidRPr="00394DDA">
              <w:rPr>
                <w:rFonts w:ascii="Arial Narrow" w:hAnsi="Arial Narrow"/>
                <w:color w:val="333333"/>
                <w:sz w:val="20"/>
                <w:szCs w:val="20"/>
              </w:rPr>
              <w:t xml:space="preserve">The treatment must be in combination with </w:t>
            </w:r>
            <w:r w:rsidR="00A33F9E">
              <w:rPr>
                <w:rFonts w:ascii="Arial Narrow" w:hAnsi="Arial Narrow"/>
                <w:color w:val="333333"/>
                <w:sz w:val="20"/>
                <w:szCs w:val="20"/>
              </w:rPr>
              <w:t xml:space="preserve">at least </w:t>
            </w:r>
            <w:r w:rsidR="00A33F9E" w:rsidRPr="00DC45BE">
              <w:rPr>
                <w:rFonts w:ascii="Arial Narrow" w:hAnsi="Arial Narrow"/>
                <w:sz w:val="20"/>
                <w:szCs w:val="20"/>
              </w:rPr>
              <w:t>the following</w:t>
            </w:r>
            <w:r w:rsidRPr="00DC45BE">
              <w:rPr>
                <w:rFonts w:ascii="Arial Narrow" w:hAnsi="Arial Narrow"/>
                <w:sz w:val="20"/>
                <w:szCs w:val="20"/>
              </w:rPr>
              <w:t>: (i) doxorubicin, (ii) vinblastine</w:t>
            </w:r>
          </w:p>
        </w:tc>
      </w:tr>
      <w:tr w:rsidR="000132CF" w:rsidRPr="00394DDA" w14:paraId="19D91BFA" w14:textId="77777777" w:rsidTr="00F0784D">
        <w:tblPrEx>
          <w:tblCellMar>
            <w:top w:w="15" w:type="dxa"/>
            <w:left w:w="15" w:type="dxa"/>
            <w:bottom w:w="15" w:type="dxa"/>
            <w:right w:w="15" w:type="dxa"/>
          </w:tblCellMar>
          <w:tblLook w:val="04A0" w:firstRow="1" w:lastRow="0" w:firstColumn="1" w:lastColumn="0" w:noHBand="0" w:noVBand="1"/>
        </w:tblPrEx>
        <w:tc>
          <w:tcPr>
            <w:tcW w:w="1275" w:type="dxa"/>
            <w:gridSpan w:val="2"/>
            <w:vAlign w:val="center"/>
          </w:tcPr>
          <w:p w14:paraId="23A9D9C7" w14:textId="77777777" w:rsidR="000132CF" w:rsidRPr="00394DDA" w:rsidRDefault="000132CF" w:rsidP="00F0784D">
            <w:pPr>
              <w:keepNext/>
              <w:keepLines/>
              <w:jc w:val="center"/>
              <w:rPr>
                <w:rFonts w:ascii="Arial Narrow" w:hAnsi="Arial Narrow"/>
                <w:color w:val="333333"/>
                <w:sz w:val="20"/>
                <w:szCs w:val="20"/>
              </w:rPr>
            </w:pPr>
          </w:p>
        </w:tc>
        <w:tc>
          <w:tcPr>
            <w:tcW w:w="7797" w:type="dxa"/>
            <w:gridSpan w:val="4"/>
            <w:vAlign w:val="center"/>
          </w:tcPr>
          <w:p w14:paraId="461474FE"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b/>
                <w:bCs/>
                <w:color w:val="333333"/>
                <w:sz w:val="20"/>
                <w:szCs w:val="20"/>
              </w:rPr>
              <w:t>AND</w:t>
            </w:r>
          </w:p>
        </w:tc>
      </w:tr>
      <w:tr w:rsidR="00DC45BE" w:rsidRPr="00394DDA" w14:paraId="7CD08392" w14:textId="77777777" w:rsidTr="00F0784D">
        <w:tblPrEx>
          <w:tblCellMar>
            <w:top w:w="15" w:type="dxa"/>
            <w:left w:w="15" w:type="dxa"/>
            <w:bottom w:w="15" w:type="dxa"/>
            <w:right w:w="15" w:type="dxa"/>
          </w:tblCellMar>
          <w:tblLook w:val="04A0" w:firstRow="1" w:lastRow="0" w:firstColumn="1" w:lastColumn="0" w:noHBand="0" w:noVBand="1"/>
        </w:tblPrEx>
        <w:tc>
          <w:tcPr>
            <w:tcW w:w="1275" w:type="dxa"/>
            <w:gridSpan w:val="2"/>
            <w:vAlign w:val="center"/>
          </w:tcPr>
          <w:p w14:paraId="39952EDE" w14:textId="300B0C33" w:rsidR="00DC45BE" w:rsidRPr="00394DDA" w:rsidRDefault="00DC45BE" w:rsidP="00F0784D">
            <w:pPr>
              <w:keepNext/>
              <w:keepLines/>
              <w:jc w:val="center"/>
              <w:rPr>
                <w:rFonts w:ascii="Arial Narrow" w:hAnsi="Arial Narrow"/>
                <w:color w:val="333333"/>
                <w:sz w:val="20"/>
                <w:szCs w:val="20"/>
              </w:rPr>
            </w:pPr>
          </w:p>
        </w:tc>
        <w:tc>
          <w:tcPr>
            <w:tcW w:w="7797" w:type="dxa"/>
            <w:gridSpan w:val="4"/>
            <w:vAlign w:val="center"/>
          </w:tcPr>
          <w:p w14:paraId="2B33C9C6" w14:textId="70419990" w:rsidR="00DC45BE" w:rsidRPr="00394DDA" w:rsidRDefault="008B407B" w:rsidP="00F0784D">
            <w:pPr>
              <w:keepNext/>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DC45BE" w:rsidRPr="00394DDA" w14:paraId="000FF845" w14:textId="77777777" w:rsidTr="00F0784D">
        <w:tblPrEx>
          <w:tblCellMar>
            <w:top w:w="15" w:type="dxa"/>
            <w:left w:w="15" w:type="dxa"/>
            <w:bottom w:w="15" w:type="dxa"/>
            <w:right w:w="15" w:type="dxa"/>
          </w:tblCellMar>
          <w:tblLook w:val="04A0" w:firstRow="1" w:lastRow="0" w:firstColumn="1" w:lastColumn="0" w:noHBand="0" w:noVBand="1"/>
        </w:tblPrEx>
        <w:tc>
          <w:tcPr>
            <w:tcW w:w="1275" w:type="dxa"/>
            <w:gridSpan w:val="2"/>
            <w:vAlign w:val="center"/>
          </w:tcPr>
          <w:p w14:paraId="454B3899" w14:textId="0D3B2EDD" w:rsidR="00DC45BE" w:rsidRPr="00394DDA" w:rsidRDefault="00DC45BE" w:rsidP="00F0784D">
            <w:pPr>
              <w:keepNext/>
              <w:keepLines/>
              <w:jc w:val="center"/>
              <w:rPr>
                <w:rFonts w:ascii="Arial Narrow" w:hAnsi="Arial Narrow"/>
                <w:color w:val="333333"/>
                <w:sz w:val="20"/>
                <w:szCs w:val="20"/>
              </w:rPr>
            </w:pPr>
          </w:p>
        </w:tc>
        <w:tc>
          <w:tcPr>
            <w:tcW w:w="7797" w:type="dxa"/>
            <w:gridSpan w:val="4"/>
            <w:vAlign w:val="center"/>
          </w:tcPr>
          <w:p w14:paraId="71C72629" w14:textId="6FD5ED57" w:rsidR="00DC45BE" w:rsidRPr="00394DDA" w:rsidRDefault="008B407B" w:rsidP="00F0784D">
            <w:pPr>
              <w:keepNext/>
              <w:keepLines/>
              <w:rPr>
                <w:rFonts w:ascii="Arial Narrow" w:hAnsi="Arial Narrow"/>
                <w:b/>
                <w:bCs/>
                <w:color w:val="333333"/>
                <w:sz w:val="20"/>
                <w:szCs w:val="20"/>
              </w:rPr>
            </w:pPr>
            <w:r w:rsidRPr="008B407B">
              <w:rPr>
                <w:rFonts w:ascii="Arial Narrow" w:hAnsi="Arial Narrow"/>
                <w:color w:val="333333"/>
                <w:sz w:val="20"/>
                <w:szCs w:val="20"/>
              </w:rPr>
              <w:t xml:space="preserve">The treatment must not be in combination with </w:t>
            </w:r>
            <w:r w:rsidR="00B02E42">
              <w:rPr>
                <w:rFonts w:ascii="Arial Narrow" w:hAnsi="Arial Narrow"/>
                <w:color w:val="333333"/>
                <w:sz w:val="20"/>
                <w:szCs w:val="20"/>
              </w:rPr>
              <w:t>any of</w:t>
            </w:r>
            <w:r w:rsidR="001F41D6">
              <w:rPr>
                <w:rFonts w:ascii="Arial Narrow" w:hAnsi="Arial Narrow"/>
                <w:color w:val="333333"/>
                <w:sz w:val="20"/>
                <w:szCs w:val="20"/>
              </w:rPr>
              <w:t xml:space="preserve">: (i) </w:t>
            </w:r>
            <w:r w:rsidRPr="008B407B">
              <w:rPr>
                <w:rFonts w:ascii="Arial Narrow" w:hAnsi="Arial Narrow"/>
                <w:color w:val="333333"/>
                <w:sz w:val="20"/>
                <w:szCs w:val="20"/>
              </w:rPr>
              <w:t xml:space="preserve">etoposide, </w:t>
            </w:r>
            <w:r w:rsidR="001F41D6">
              <w:rPr>
                <w:rFonts w:ascii="Arial Narrow" w:hAnsi="Arial Narrow"/>
                <w:color w:val="333333"/>
                <w:sz w:val="20"/>
                <w:szCs w:val="20"/>
              </w:rPr>
              <w:t xml:space="preserve">(ii) </w:t>
            </w:r>
            <w:r w:rsidRPr="008B407B">
              <w:rPr>
                <w:rFonts w:ascii="Arial Narrow" w:hAnsi="Arial Narrow"/>
                <w:color w:val="333333"/>
                <w:sz w:val="20"/>
                <w:szCs w:val="20"/>
              </w:rPr>
              <w:t>cyclophosphamide,</w:t>
            </w:r>
            <w:r w:rsidR="001F41D6">
              <w:rPr>
                <w:rFonts w:ascii="Arial Narrow" w:hAnsi="Arial Narrow"/>
                <w:color w:val="333333"/>
                <w:sz w:val="20"/>
                <w:szCs w:val="20"/>
              </w:rPr>
              <w:t xml:space="preserve"> (iii) </w:t>
            </w:r>
            <w:r w:rsidRPr="008B407B">
              <w:rPr>
                <w:rFonts w:ascii="Arial Narrow" w:hAnsi="Arial Narrow"/>
                <w:color w:val="333333"/>
                <w:sz w:val="20"/>
                <w:szCs w:val="20"/>
              </w:rPr>
              <w:t xml:space="preserve"> dexamethasone.</w:t>
            </w:r>
            <w:r>
              <w:t> </w:t>
            </w:r>
          </w:p>
        </w:tc>
      </w:tr>
      <w:tr w:rsidR="000132CF" w:rsidRPr="00394DDA" w14:paraId="4A7E1FAE" w14:textId="77777777" w:rsidTr="00F0784D">
        <w:tblPrEx>
          <w:tblCellMar>
            <w:top w:w="15" w:type="dxa"/>
            <w:left w:w="15" w:type="dxa"/>
            <w:bottom w:w="15" w:type="dxa"/>
            <w:right w:w="15" w:type="dxa"/>
          </w:tblCellMar>
          <w:tblLook w:val="04A0" w:firstRow="1" w:lastRow="0" w:firstColumn="1" w:lastColumn="0" w:noHBand="0" w:noVBand="1"/>
        </w:tblPrEx>
        <w:tc>
          <w:tcPr>
            <w:tcW w:w="1275" w:type="dxa"/>
            <w:gridSpan w:val="2"/>
            <w:vAlign w:val="center"/>
          </w:tcPr>
          <w:p w14:paraId="39130848" w14:textId="3281916E" w:rsidR="000132CF" w:rsidRPr="00394DDA" w:rsidRDefault="000132CF" w:rsidP="00F0784D">
            <w:pPr>
              <w:keepNext/>
              <w:keepLines/>
              <w:jc w:val="center"/>
              <w:rPr>
                <w:rFonts w:ascii="Arial Narrow" w:hAnsi="Arial Narrow"/>
                <w:color w:val="333333"/>
                <w:sz w:val="20"/>
                <w:szCs w:val="20"/>
              </w:rPr>
            </w:pPr>
          </w:p>
        </w:tc>
        <w:tc>
          <w:tcPr>
            <w:tcW w:w="7797" w:type="dxa"/>
            <w:gridSpan w:val="4"/>
            <w:vAlign w:val="center"/>
          </w:tcPr>
          <w:p w14:paraId="2A31906B"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b/>
                <w:bCs/>
                <w:color w:val="333333"/>
                <w:sz w:val="20"/>
                <w:szCs w:val="20"/>
              </w:rPr>
              <w:t>Clinical criteria:</w:t>
            </w:r>
          </w:p>
        </w:tc>
      </w:tr>
      <w:tr w:rsidR="000132CF" w:rsidRPr="00394DDA" w14:paraId="708CD5A6" w14:textId="77777777" w:rsidTr="00F0784D">
        <w:tblPrEx>
          <w:tblCellMar>
            <w:top w:w="15" w:type="dxa"/>
            <w:left w:w="15" w:type="dxa"/>
            <w:bottom w:w="15" w:type="dxa"/>
            <w:right w:w="15" w:type="dxa"/>
          </w:tblCellMar>
          <w:tblLook w:val="04A0" w:firstRow="1" w:lastRow="0" w:firstColumn="1" w:lastColumn="0" w:noHBand="0" w:noVBand="1"/>
        </w:tblPrEx>
        <w:tc>
          <w:tcPr>
            <w:tcW w:w="1275" w:type="dxa"/>
            <w:gridSpan w:val="2"/>
            <w:vAlign w:val="center"/>
          </w:tcPr>
          <w:p w14:paraId="639222A3" w14:textId="2FB4E4D4" w:rsidR="000132CF" w:rsidRPr="00394DDA" w:rsidRDefault="000132CF" w:rsidP="00F0784D">
            <w:pPr>
              <w:keepNext/>
              <w:keepLines/>
              <w:jc w:val="center"/>
              <w:rPr>
                <w:rFonts w:ascii="Arial Narrow" w:hAnsi="Arial Narrow"/>
                <w:color w:val="333333"/>
                <w:sz w:val="20"/>
                <w:szCs w:val="20"/>
              </w:rPr>
            </w:pPr>
          </w:p>
        </w:tc>
        <w:tc>
          <w:tcPr>
            <w:tcW w:w="7797" w:type="dxa"/>
            <w:gridSpan w:val="4"/>
            <w:vAlign w:val="center"/>
          </w:tcPr>
          <w:p w14:paraId="7847AB8A"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color w:val="333333"/>
                <w:sz w:val="20"/>
                <w:szCs w:val="20"/>
              </w:rPr>
              <w:t>The treatment must not be for more than 6 treatment cycles under this restriction in a lifetime.</w:t>
            </w:r>
          </w:p>
        </w:tc>
      </w:tr>
    </w:tbl>
    <w:p w14:paraId="71B43B8A" w14:textId="77777777" w:rsidR="000132CF" w:rsidRDefault="000132CF" w:rsidP="000132CF">
      <w:pPr>
        <w:spacing w:after="120"/>
        <w:rPr>
          <w:b/>
        </w:rPr>
      </w:pPr>
    </w:p>
    <w:p w14:paraId="1A255D05" w14:textId="14A4E44F" w:rsidR="00C202FA" w:rsidRDefault="00C202FA" w:rsidP="00C202FA">
      <w:pPr>
        <w:keepNext/>
        <w:outlineLvl w:val="1"/>
        <w:rPr>
          <w:b/>
          <w:bCs/>
          <w:snapToGrid w:val="0"/>
          <w:szCs w:val="26"/>
        </w:rPr>
      </w:pPr>
      <w:bookmarkStart w:id="64" w:name="_Toc188532430"/>
      <w:bookmarkStart w:id="65" w:name="_Toc192439119"/>
      <w:r>
        <w:rPr>
          <w:b/>
          <w:bCs/>
          <w:snapToGrid w:val="0"/>
          <w:szCs w:val="26"/>
        </w:rPr>
        <w:t>Flow-on changes</w:t>
      </w:r>
    </w:p>
    <w:p w14:paraId="266E3F5E" w14:textId="77777777" w:rsidR="00C202FA" w:rsidRDefault="00C202FA" w:rsidP="00C202FA">
      <w:pPr>
        <w:spacing w:after="120"/>
        <w:rPr>
          <w:rFonts w:eastAsia="Calibri" w:cs="Calibri"/>
        </w:rPr>
      </w:pPr>
      <w:r w:rsidRPr="008242F3">
        <w:rPr>
          <w:rFonts w:eastAsia="Calibri" w:cs="Calibri"/>
        </w:rPr>
        <w:t xml:space="preserve">Suggested additions are in </w:t>
      </w:r>
      <w:r w:rsidRPr="00E22C81">
        <w:rPr>
          <w:rFonts w:eastAsia="Calibri" w:cs="Calibri"/>
          <w:iCs/>
        </w:rPr>
        <w:t xml:space="preserve">italics </w:t>
      </w:r>
      <w:r w:rsidRPr="008242F3">
        <w:rPr>
          <w:rFonts w:eastAsia="Calibri" w:cs="Calibri"/>
        </w:rPr>
        <w:t>and deletions are in strikethrough.</w:t>
      </w:r>
    </w:p>
    <w:p w14:paraId="4D5B8AAE" w14:textId="77777777" w:rsidR="000132CF" w:rsidRDefault="000132CF" w:rsidP="000132CF">
      <w:pPr>
        <w:keepNext/>
        <w:keepLines/>
        <w:rPr>
          <w:i/>
          <w:iCs/>
        </w:rPr>
      </w:pPr>
      <w:r w:rsidRPr="005C0153">
        <w:rPr>
          <w:i/>
          <w:iCs/>
        </w:rPr>
        <w:lastRenderedPageBreak/>
        <w:t>Proposed amended listing of brentuximab vedotin for patients with relapsed or refractory HL who have previously undergone ASCT (initial treatment)</w:t>
      </w:r>
      <w:bookmarkEnd w:id="64"/>
      <w:bookmarkEnd w:id="65"/>
      <w:r>
        <w:rPr>
          <w:i/>
          <w:iC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552"/>
        <w:gridCol w:w="1417"/>
        <w:gridCol w:w="1134"/>
        <w:gridCol w:w="2693"/>
      </w:tblGrid>
      <w:tr w:rsidR="000132CF" w:rsidRPr="00394DDA" w14:paraId="6DB8D31E" w14:textId="77777777" w:rsidTr="00F0784D">
        <w:trPr>
          <w:cantSplit/>
          <w:trHeight w:val="471"/>
        </w:trPr>
        <w:tc>
          <w:tcPr>
            <w:tcW w:w="3823" w:type="dxa"/>
            <w:gridSpan w:val="3"/>
          </w:tcPr>
          <w:p w14:paraId="4BE41EDC" w14:textId="77777777" w:rsidR="000132CF" w:rsidRPr="00394DDA" w:rsidRDefault="000132CF" w:rsidP="00F0784D">
            <w:pPr>
              <w:keepNext/>
              <w:keepLines/>
              <w:ind w:left="-57"/>
              <w:rPr>
                <w:rFonts w:ascii="Arial Narrow" w:hAnsi="Arial Narrow"/>
                <w:b/>
                <w:sz w:val="20"/>
                <w:szCs w:val="20"/>
              </w:rPr>
            </w:pPr>
            <w:r w:rsidRPr="00394DDA">
              <w:rPr>
                <w:rFonts w:ascii="Arial Narrow" w:hAnsi="Arial Narrow"/>
                <w:b/>
                <w:sz w:val="20"/>
                <w:szCs w:val="20"/>
              </w:rPr>
              <w:t>MEDICINAL PRODUCT</w:t>
            </w:r>
          </w:p>
          <w:p w14:paraId="0980BC1C" w14:textId="77777777" w:rsidR="000132CF" w:rsidRPr="00394DDA" w:rsidRDefault="000132CF" w:rsidP="00F0784D">
            <w:pPr>
              <w:keepNext/>
              <w:keepLines/>
              <w:ind w:left="-57"/>
              <w:rPr>
                <w:rFonts w:ascii="Arial Narrow" w:hAnsi="Arial Narrow"/>
                <w:bCs/>
                <w:sz w:val="20"/>
                <w:szCs w:val="20"/>
              </w:rPr>
            </w:pPr>
          </w:p>
        </w:tc>
        <w:tc>
          <w:tcPr>
            <w:tcW w:w="1417" w:type="dxa"/>
          </w:tcPr>
          <w:p w14:paraId="2ABD3E03"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b/>
                <w:sz w:val="20"/>
                <w:szCs w:val="20"/>
              </w:rPr>
              <w:t>PBS item code</w:t>
            </w:r>
          </w:p>
        </w:tc>
        <w:tc>
          <w:tcPr>
            <w:tcW w:w="1134" w:type="dxa"/>
          </w:tcPr>
          <w:p w14:paraId="3900C9A3"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b/>
                <w:sz w:val="20"/>
                <w:szCs w:val="20"/>
              </w:rPr>
              <w:t>Max.</w:t>
            </w:r>
          </w:p>
          <w:p w14:paraId="6E44562B"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b/>
                <w:sz w:val="20"/>
                <w:szCs w:val="20"/>
              </w:rPr>
              <w:t>Amount</w:t>
            </w:r>
          </w:p>
        </w:tc>
        <w:tc>
          <w:tcPr>
            <w:tcW w:w="2693" w:type="dxa"/>
          </w:tcPr>
          <w:p w14:paraId="4EAA954C"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b/>
                <w:sz w:val="20"/>
                <w:szCs w:val="20"/>
              </w:rPr>
              <w:t>№.of</w:t>
            </w:r>
          </w:p>
          <w:p w14:paraId="012E712F"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b/>
                <w:sz w:val="20"/>
                <w:szCs w:val="20"/>
              </w:rPr>
              <w:t>Rpts</w:t>
            </w:r>
          </w:p>
        </w:tc>
      </w:tr>
      <w:tr w:rsidR="000132CF" w:rsidRPr="00394DDA" w14:paraId="2F831EB5" w14:textId="77777777" w:rsidTr="00F0784D">
        <w:trPr>
          <w:cantSplit/>
          <w:trHeight w:val="577"/>
        </w:trPr>
        <w:tc>
          <w:tcPr>
            <w:tcW w:w="3823" w:type="dxa"/>
            <w:gridSpan w:val="3"/>
          </w:tcPr>
          <w:p w14:paraId="668804D5" w14:textId="77777777" w:rsidR="000132CF" w:rsidRPr="00394DDA" w:rsidRDefault="000132CF" w:rsidP="00F0784D">
            <w:pPr>
              <w:keepNext/>
              <w:ind w:left="-57"/>
              <w:rPr>
                <w:rFonts w:ascii="Arial Narrow" w:hAnsi="Arial Narrow"/>
                <w:sz w:val="20"/>
                <w:szCs w:val="20"/>
              </w:rPr>
            </w:pPr>
            <w:r w:rsidRPr="00394DDA">
              <w:rPr>
                <w:rFonts w:ascii="Arial Narrow" w:hAnsi="Arial Narrow"/>
                <w:sz w:val="20"/>
                <w:szCs w:val="20"/>
              </w:rPr>
              <w:t xml:space="preserve">BRENTUXIMAB VEDOTIN </w:t>
            </w:r>
          </w:p>
          <w:p w14:paraId="0B2E4A28" w14:textId="5F8ED734" w:rsidR="000132CF" w:rsidRPr="000D3660" w:rsidRDefault="000132CF" w:rsidP="00F0784D">
            <w:pPr>
              <w:keepNext/>
              <w:ind w:left="-57"/>
              <w:rPr>
                <w:rFonts w:ascii="Arial Narrow" w:hAnsi="Arial Narrow"/>
                <w:sz w:val="20"/>
                <w:szCs w:val="20"/>
              </w:rPr>
            </w:pPr>
            <w:r w:rsidRPr="000D3660">
              <w:rPr>
                <w:rFonts w:ascii="Arial Narrow" w:hAnsi="Arial Narrow"/>
                <w:sz w:val="20"/>
                <w:szCs w:val="20"/>
              </w:rPr>
              <w:t>Injection</w:t>
            </w:r>
          </w:p>
        </w:tc>
        <w:tc>
          <w:tcPr>
            <w:tcW w:w="1417" w:type="dxa"/>
          </w:tcPr>
          <w:p w14:paraId="09DF8DCB" w14:textId="77777777" w:rsidR="000132CF" w:rsidRPr="00394DDA" w:rsidRDefault="000132CF" w:rsidP="00F0784D">
            <w:pPr>
              <w:keepNext/>
              <w:ind w:left="-57"/>
              <w:jc w:val="center"/>
              <w:rPr>
                <w:rFonts w:ascii="Arial Narrow" w:hAnsi="Arial Narrow"/>
                <w:sz w:val="20"/>
                <w:szCs w:val="20"/>
              </w:rPr>
            </w:pPr>
            <w:r w:rsidRPr="00394DDA">
              <w:rPr>
                <w:rFonts w:ascii="Arial Narrow" w:hAnsi="Arial Narrow"/>
                <w:sz w:val="20"/>
                <w:szCs w:val="20"/>
              </w:rPr>
              <w:t>11073T</w:t>
            </w:r>
            <w:r>
              <w:rPr>
                <w:rFonts w:ascii="Arial Narrow" w:hAnsi="Arial Narrow"/>
                <w:sz w:val="20"/>
                <w:szCs w:val="20"/>
              </w:rPr>
              <w:t xml:space="preserve"> </w:t>
            </w:r>
            <w:r w:rsidRPr="008229A7">
              <w:rPr>
                <w:rFonts w:ascii="Arial Narrow" w:hAnsi="Arial Narrow"/>
                <w:i/>
                <w:iCs/>
                <w:sz w:val="20"/>
                <w:szCs w:val="20"/>
              </w:rPr>
              <w:t>(IP)</w:t>
            </w:r>
          </w:p>
          <w:p w14:paraId="604F4D21" w14:textId="77777777" w:rsidR="000132CF" w:rsidRPr="00394DDA" w:rsidRDefault="000132CF" w:rsidP="00F0784D">
            <w:pPr>
              <w:keepNext/>
              <w:ind w:left="-57"/>
              <w:jc w:val="center"/>
              <w:rPr>
                <w:rFonts w:ascii="Arial Narrow" w:hAnsi="Arial Narrow"/>
                <w:sz w:val="20"/>
                <w:szCs w:val="20"/>
                <w:vertAlign w:val="subscript"/>
              </w:rPr>
            </w:pPr>
            <w:r w:rsidRPr="00394DDA">
              <w:rPr>
                <w:rFonts w:ascii="Arial Narrow" w:hAnsi="Arial Narrow"/>
                <w:sz w:val="20"/>
                <w:szCs w:val="20"/>
              </w:rPr>
              <w:t>11089P</w:t>
            </w:r>
            <w:r>
              <w:rPr>
                <w:rFonts w:ascii="Arial Narrow" w:hAnsi="Arial Narrow"/>
                <w:sz w:val="20"/>
                <w:szCs w:val="20"/>
              </w:rPr>
              <w:t xml:space="preserve"> </w:t>
            </w:r>
            <w:r w:rsidRPr="008229A7">
              <w:rPr>
                <w:rFonts w:ascii="Arial Narrow" w:hAnsi="Arial Narrow"/>
                <w:i/>
                <w:iCs/>
                <w:sz w:val="20"/>
                <w:szCs w:val="20"/>
              </w:rPr>
              <w:t>(IN)</w:t>
            </w:r>
          </w:p>
        </w:tc>
        <w:tc>
          <w:tcPr>
            <w:tcW w:w="1134" w:type="dxa"/>
          </w:tcPr>
          <w:p w14:paraId="5D4EE785" w14:textId="77777777" w:rsidR="000132CF" w:rsidRPr="00394DDA" w:rsidRDefault="000132CF" w:rsidP="00F0784D">
            <w:pPr>
              <w:keepNext/>
              <w:ind w:left="-57"/>
              <w:jc w:val="center"/>
              <w:rPr>
                <w:rFonts w:ascii="Arial Narrow" w:hAnsi="Arial Narrow"/>
                <w:iCs/>
                <w:sz w:val="20"/>
                <w:szCs w:val="20"/>
              </w:rPr>
            </w:pPr>
            <w:r w:rsidRPr="00394DDA">
              <w:rPr>
                <w:rFonts w:ascii="Arial Narrow" w:hAnsi="Arial Narrow"/>
                <w:iCs/>
                <w:sz w:val="20"/>
                <w:szCs w:val="20"/>
              </w:rPr>
              <w:t>200 mg</w:t>
            </w:r>
          </w:p>
        </w:tc>
        <w:tc>
          <w:tcPr>
            <w:tcW w:w="2693" w:type="dxa"/>
          </w:tcPr>
          <w:p w14:paraId="3714AECF" w14:textId="77777777" w:rsidR="000132CF" w:rsidRPr="00394DDA" w:rsidRDefault="000132CF" w:rsidP="00F0784D">
            <w:pPr>
              <w:keepNext/>
              <w:ind w:left="-57"/>
              <w:jc w:val="center"/>
              <w:rPr>
                <w:rFonts w:ascii="Arial Narrow" w:hAnsi="Arial Narrow"/>
                <w:sz w:val="20"/>
                <w:szCs w:val="20"/>
              </w:rPr>
            </w:pPr>
            <w:r w:rsidRPr="00394DDA">
              <w:rPr>
                <w:rFonts w:ascii="Arial Narrow" w:hAnsi="Arial Narrow"/>
                <w:sz w:val="20"/>
                <w:szCs w:val="20"/>
              </w:rPr>
              <w:t>3</w:t>
            </w:r>
          </w:p>
        </w:tc>
      </w:tr>
      <w:tr w:rsidR="000132CF" w:rsidRPr="00394DDA" w14:paraId="6039CF9F" w14:textId="77777777" w:rsidTr="00F0784D">
        <w:trPr>
          <w:cantSplit/>
          <w:trHeight w:val="225"/>
        </w:trPr>
        <w:tc>
          <w:tcPr>
            <w:tcW w:w="9067" w:type="dxa"/>
            <w:gridSpan w:val="6"/>
          </w:tcPr>
          <w:p w14:paraId="543DC19F" w14:textId="77777777" w:rsidR="000132CF" w:rsidRPr="00394DDA" w:rsidRDefault="000132CF" w:rsidP="00F0784D">
            <w:pPr>
              <w:keepNext/>
              <w:ind w:left="-57"/>
              <w:rPr>
                <w:rFonts w:ascii="Arial Narrow" w:hAnsi="Arial Narrow"/>
                <w:b/>
                <w:bCs/>
                <w:sz w:val="20"/>
                <w:szCs w:val="20"/>
              </w:rPr>
            </w:pPr>
            <w:r w:rsidRPr="00394DDA">
              <w:rPr>
                <w:rFonts w:ascii="Arial Narrow" w:hAnsi="Arial Narrow"/>
                <w:b/>
                <w:bCs/>
                <w:sz w:val="20"/>
                <w:szCs w:val="20"/>
              </w:rPr>
              <w:t>Available brands</w:t>
            </w:r>
          </w:p>
        </w:tc>
      </w:tr>
      <w:tr w:rsidR="000132CF" w:rsidRPr="00394DDA" w14:paraId="6F7D7E31" w14:textId="77777777" w:rsidTr="00F0784D">
        <w:trPr>
          <w:cantSplit/>
          <w:trHeight w:val="99"/>
        </w:trPr>
        <w:tc>
          <w:tcPr>
            <w:tcW w:w="9067" w:type="dxa"/>
            <w:gridSpan w:val="6"/>
          </w:tcPr>
          <w:p w14:paraId="24DEDEF4" w14:textId="38331992" w:rsidR="000132CF" w:rsidRPr="00394DDA" w:rsidRDefault="00292405" w:rsidP="00F0784D">
            <w:pPr>
              <w:ind w:left="-57"/>
              <w:rPr>
                <w:rFonts w:ascii="Arial Narrow" w:hAnsi="Arial Narrow"/>
                <w:sz w:val="20"/>
                <w:szCs w:val="20"/>
              </w:rPr>
            </w:pPr>
            <w:r w:rsidRPr="00394DDA">
              <w:rPr>
                <w:rFonts w:ascii="Arial Narrow" w:hAnsi="Arial Narrow"/>
                <w:sz w:val="20"/>
                <w:szCs w:val="20"/>
              </w:rPr>
              <w:t>A</w:t>
            </w:r>
            <w:r>
              <w:rPr>
                <w:rFonts w:ascii="Arial Narrow" w:hAnsi="Arial Narrow"/>
                <w:sz w:val="20"/>
                <w:szCs w:val="20"/>
              </w:rPr>
              <w:t>dcetris</w:t>
            </w:r>
          </w:p>
          <w:p w14:paraId="151C0877" w14:textId="77777777" w:rsidR="000132CF" w:rsidRPr="00394DDA" w:rsidRDefault="000132CF" w:rsidP="00F0784D">
            <w:pPr>
              <w:ind w:left="-57"/>
              <w:rPr>
                <w:rFonts w:ascii="Arial Narrow" w:hAnsi="Arial Narrow"/>
                <w:sz w:val="20"/>
                <w:szCs w:val="20"/>
              </w:rPr>
            </w:pPr>
            <w:r w:rsidRPr="00394DDA">
              <w:rPr>
                <w:rFonts w:ascii="Arial Narrow" w:hAnsi="Arial Narrow"/>
                <w:sz w:val="20"/>
                <w:szCs w:val="20"/>
              </w:rPr>
              <w:t>(brentuximab vedotin 50 mg injection, 1 vial)</w:t>
            </w:r>
          </w:p>
        </w:tc>
      </w:tr>
      <w:tr w:rsidR="000132CF" w:rsidRPr="00394DDA" w14:paraId="25152075" w14:textId="77777777" w:rsidTr="00F0784D">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3C5F0A26" w14:textId="77777777" w:rsidR="000132CF" w:rsidRPr="000D3660" w:rsidRDefault="000132CF" w:rsidP="00F0784D">
            <w:pPr>
              <w:rPr>
                <w:rFonts w:ascii="Arial Narrow" w:hAnsi="Arial Narrow"/>
                <w:b/>
                <w:bCs/>
                <w:sz w:val="20"/>
                <w:szCs w:val="20"/>
              </w:rPr>
            </w:pPr>
            <w:r w:rsidRPr="000D3660">
              <w:rPr>
                <w:rFonts w:ascii="Arial Narrow" w:hAnsi="Arial Narrow"/>
                <w:b/>
                <w:sz w:val="20"/>
                <w:szCs w:val="20"/>
                <w:lang w:val="en-GB"/>
              </w:rPr>
              <w:t xml:space="preserve">Restriction Summary </w:t>
            </w:r>
            <w:r w:rsidRPr="000D3660">
              <w:rPr>
                <w:rFonts w:ascii="Arial Narrow" w:hAnsi="Arial Narrow"/>
                <w:bCs/>
                <w:strike/>
                <w:sz w:val="20"/>
                <w:szCs w:val="20"/>
                <w:lang w:val="en-GB"/>
              </w:rPr>
              <w:t xml:space="preserve">13123 </w:t>
            </w:r>
            <w:r w:rsidRPr="000D3660">
              <w:rPr>
                <w:rFonts w:ascii="Arial Narrow" w:hAnsi="Arial Narrow"/>
                <w:bCs/>
                <w:i/>
                <w:iCs/>
                <w:sz w:val="20"/>
                <w:szCs w:val="20"/>
                <w:lang w:val="en-GB"/>
              </w:rPr>
              <w:t>(new)</w:t>
            </w:r>
            <w:r w:rsidRPr="000D3660">
              <w:rPr>
                <w:rFonts w:ascii="Arial Narrow" w:hAnsi="Arial Narrow"/>
                <w:bCs/>
                <w:sz w:val="20"/>
                <w:szCs w:val="20"/>
                <w:lang w:val="en-GB"/>
              </w:rPr>
              <w:t xml:space="preserve"> /</w:t>
            </w:r>
            <w:r w:rsidRPr="000D3660">
              <w:rPr>
                <w:rFonts w:ascii="Arial Narrow" w:hAnsi="Arial Narrow"/>
                <w:b/>
                <w:sz w:val="20"/>
                <w:szCs w:val="20"/>
                <w:lang w:val="en-GB"/>
              </w:rPr>
              <w:t xml:space="preserve"> Treatment of Concept: </w:t>
            </w:r>
            <w:r w:rsidRPr="000D3660">
              <w:rPr>
                <w:rFonts w:ascii="Arial Narrow" w:hAnsi="Arial Narrow"/>
                <w:bCs/>
                <w:strike/>
                <w:sz w:val="20"/>
                <w:szCs w:val="20"/>
                <w:lang w:val="en-GB"/>
              </w:rPr>
              <w:t xml:space="preserve">13259 </w:t>
            </w:r>
            <w:r w:rsidRPr="000D3660">
              <w:rPr>
                <w:rFonts w:ascii="Arial Narrow" w:hAnsi="Arial Narrow"/>
                <w:bCs/>
                <w:i/>
                <w:iCs/>
                <w:sz w:val="20"/>
                <w:szCs w:val="20"/>
                <w:lang w:val="en-GB"/>
              </w:rPr>
              <w:t>(new)</w:t>
            </w:r>
            <w:r w:rsidRPr="000D3660">
              <w:rPr>
                <w:rFonts w:ascii="Arial Narrow" w:hAnsi="Arial Narrow"/>
                <w:b/>
                <w:sz w:val="20"/>
                <w:szCs w:val="20"/>
                <w:lang w:val="en-GB"/>
              </w:rPr>
              <w:t>: Authority Required</w:t>
            </w:r>
            <w:r w:rsidRPr="000D3660">
              <w:rPr>
                <w:rFonts w:ascii="Arial Narrow" w:hAnsi="Arial Narrow"/>
                <w:b/>
                <w:i/>
                <w:iCs/>
                <w:sz w:val="20"/>
                <w:szCs w:val="20"/>
                <w:lang w:val="en-GB"/>
              </w:rPr>
              <w:t xml:space="preserve"> (telephone/online)</w:t>
            </w:r>
          </w:p>
        </w:tc>
      </w:tr>
      <w:tr w:rsidR="000132CF" w:rsidRPr="00394DDA" w14:paraId="31C7E423" w14:textId="77777777" w:rsidTr="00F0784D">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Pr>
          <w:p w14:paraId="368AFB60" w14:textId="77777777" w:rsidR="000132CF" w:rsidRPr="00394DDA" w:rsidRDefault="000132CF" w:rsidP="00F0784D">
            <w:pPr>
              <w:keepNext/>
              <w:jc w:val="center"/>
              <w:rPr>
                <w:rFonts w:ascii="Arial Narrow" w:hAnsi="Arial Narrow"/>
                <w:b/>
                <w:sz w:val="20"/>
                <w:szCs w:val="20"/>
              </w:rPr>
            </w:pPr>
            <w:r w:rsidRPr="00394DDA">
              <w:rPr>
                <w:rFonts w:ascii="Arial Narrow" w:hAnsi="Arial Narrow"/>
                <w:b/>
                <w:sz w:val="20"/>
                <w:szCs w:val="20"/>
              </w:rPr>
              <w:t xml:space="preserve">Concept ID </w:t>
            </w:r>
            <w:r w:rsidRPr="00394DDA">
              <w:rPr>
                <w:rFonts w:ascii="Arial Narrow" w:hAnsi="Arial Narrow"/>
                <w:sz w:val="20"/>
                <w:szCs w:val="20"/>
              </w:rPr>
              <w:t>(for internal Dept. use)</w:t>
            </w:r>
          </w:p>
        </w:tc>
        <w:tc>
          <w:tcPr>
            <w:tcW w:w="7796" w:type="dxa"/>
            <w:gridSpan w:val="4"/>
          </w:tcPr>
          <w:p w14:paraId="0CDA67AC" w14:textId="77777777" w:rsidR="000132CF" w:rsidRPr="000D3660" w:rsidRDefault="000132CF" w:rsidP="00F0784D">
            <w:pPr>
              <w:keepNext/>
              <w:rPr>
                <w:rFonts w:ascii="Arial Narrow" w:hAnsi="Arial Narrow"/>
                <w:sz w:val="20"/>
                <w:szCs w:val="20"/>
              </w:rPr>
            </w:pPr>
            <w:r w:rsidRPr="000D3660">
              <w:rPr>
                <w:rFonts w:ascii="Arial Narrow" w:hAnsi="Arial Narrow"/>
                <w:b/>
                <w:sz w:val="20"/>
                <w:szCs w:val="20"/>
              </w:rPr>
              <w:t xml:space="preserve">Category / Program: </w:t>
            </w:r>
            <w:r w:rsidRPr="000D3660">
              <w:rPr>
                <w:rFonts w:ascii="Arial Narrow" w:hAnsi="Arial Narrow"/>
                <w:sz w:val="20"/>
                <w:szCs w:val="20"/>
              </w:rPr>
              <w:t>Section 100 – Efficient Funding of Chemotherapy Public/Private hospitals</w:t>
            </w:r>
          </w:p>
        </w:tc>
      </w:tr>
      <w:tr w:rsidR="000132CF" w:rsidRPr="00394DDA" w14:paraId="146F722D" w14:textId="77777777" w:rsidTr="00F0784D">
        <w:tblPrEx>
          <w:tblCellMar>
            <w:top w:w="15" w:type="dxa"/>
            <w:bottom w:w="15" w:type="dxa"/>
          </w:tblCellMar>
          <w:tblLook w:val="04A0" w:firstRow="1" w:lastRow="0" w:firstColumn="1" w:lastColumn="0" w:noHBand="0" w:noVBand="1"/>
        </w:tblPrEx>
        <w:trPr>
          <w:cantSplit/>
          <w:trHeight w:val="20"/>
        </w:trPr>
        <w:tc>
          <w:tcPr>
            <w:tcW w:w="1271" w:type="dxa"/>
            <w:gridSpan w:val="2"/>
            <w:vMerge/>
          </w:tcPr>
          <w:p w14:paraId="5C87E476" w14:textId="77777777" w:rsidR="000132CF" w:rsidRPr="00394DDA" w:rsidRDefault="000132CF" w:rsidP="00F0784D">
            <w:pPr>
              <w:keepNext/>
              <w:rPr>
                <w:rFonts w:ascii="Arial Narrow" w:hAnsi="Arial Narrow"/>
                <w:sz w:val="20"/>
                <w:szCs w:val="20"/>
              </w:rPr>
            </w:pPr>
          </w:p>
        </w:tc>
        <w:tc>
          <w:tcPr>
            <w:tcW w:w="7796" w:type="dxa"/>
            <w:gridSpan w:val="4"/>
          </w:tcPr>
          <w:p w14:paraId="64546339" w14:textId="77777777" w:rsidR="000132CF" w:rsidRPr="000D3660" w:rsidRDefault="000132CF" w:rsidP="00F0784D">
            <w:pPr>
              <w:keepNext/>
              <w:rPr>
                <w:rFonts w:ascii="Arial Narrow" w:hAnsi="Arial Narrow"/>
                <w:b/>
                <w:sz w:val="20"/>
                <w:szCs w:val="20"/>
              </w:rPr>
            </w:pPr>
            <w:r w:rsidRPr="000D3660">
              <w:rPr>
                <w:rFonts w:ascii="Arial Narrow" w:hAnsi="Arial Narrow"/>
                <w:b/>
                <w:sz w:val="20"/>
                <w:szCs w:val="20"/>
              </w:rPr>
              <w:t xml:space="preserve">Prescriber type: </w:t>
            </w:r>
            <w:r w:rsidRPr="000D3660">
              <w:rPr>
                <w:rFonts w:ascii="Arial Narrow" w:hAnsi="Arial Narrow"/>
                <w:sz w:val="20"/>
                <w:szCs w:val="20"/>
              </w:rPr>
              <w:fldChar w:fldCharType="begin">
                <w:ffData>
                  <w:name w:val=""/>
                  <w:enabled/>
                  <w:calcOnExit w:val="0"/>
                  <w:checkBox>
                    <w:sizeAuto/>
                    <w:default w:val="1"/>
                  </w:checkBox>
                </w:ffData>
              </w:fldChar>
            </w:r>
            <w:r w:rsidRPr="000D3660">
              <w:rPr>
                <w:rFonts w:ascii="Arial Narrow" w:hAnsi="Arial Narrow"/>
                <w:sz w:val="20"/>
                <w:szCs w:val="20"/>
              </w:rPr>
              <w:instrText xml:space="preserve"> FORMCHECKBOX </w:instrText>
            </w:r>
            <w:r w:rsidRPr="000D3660">
              <w:rPr>
                <w:rFonts w:ascii="Arial Narrow" w:hAnsi="Arial Narrow"/>
                <w:sz w:val="20"/>
                <w:szCs w:val="20"/>
              </w:rPr>
            </w:r>
            <w:r w:rsidRPr="000D3660">
              <w:rPr>
                <w:rFonts w:ascii="Arial Narrow" w:hAnsi="Arial Narrow"/>
                <w:sz w:val="20"/>
                <w:szCs w:val="20"/>
              </w:rPr>
              <w:fldChar w:fldCharType="separate"/>
            </w:r>
            <w:r w:rsidRPr="000D3660">
              <w:rPr>
                <w:rFonts w:ascii="Arial Narrow" w:hAnsi="Arial Narrow"/>
                <w:sz w:val="20"/>
                <w:szCs w:val="20"/>
              </w:rPr>
              <w:fldChar w:fldCharType="end"/>
            </w:r>
            <w:r w:rsidRPr="000D3660">
              <w:rPr>
                <w:rFonts w:ascii="Arial Narrow" w:hAnsi="Arial Narrow"/>
                <w:sz w:val="20"/>
                <w:szCs w:val="20"/>
              </w:rPr>
              <w:t xml:space="preserve">Medical Practitioners </w:t>
            </w:r>
          </w:p>
        </w:tc>
      </w:tr>
      <w:tr w:rsidR="000132CF" w:rsidRPr="00394DDA" w14:paraId="244A0292" w14:textId="77777777" w:rsidTr="00F0784D">
        <w:tblPrEx>
          <w:tblCellMar>
            <w:top w:w="15" w:type="dxa"/>
            <w:bottom w:w="15" w:type="dxa"/>
          </w:tblCellMar>
          <w:tblLook w:val="04A0" w:firstRow="1" w:lastRow="0" w:firstColumn="1" w:lastColumn="0" w:noHBand="0" w:noVBand="1"/>
        </w:tblPrEx>
        <w:trPr>
          <w:cantSplit/>
          <w:trHeight w:val="20"/>
        </w:trPr>
        <w:tc>
          <w:tcPr>
            <w:tcW w:w="1271" w:type="dxa"/>
            <w:gridSpan w:val="2"/>
            <w:vMerge/>
          </w:tcPr>
          <w:p w14:paraId="127BF47A" w14:textId="77777777" w:rsidR="000132CF" w:rsidRPr="00394DDA" w:rsidRDefault="000132CF" w:rsidP="00F0784D">
            <w:pPr>
              <w:rPr>
                <w:rFonts w:ascii="Arial Narrow" w:hAnsi="Arial Narrow"/>
                <w:sz w:val="20"/>
                <w:szCs w:val="20"/>
              </w:rPr>
            </w:pPr>
          </w:p>
        </w:tc>
        <w:tc>
          <w:tcPr>
            <w:tcW w:w="7796" w:type="dxa"/>
            <w:gridSpan w:val="4"/>
          </w:tcPr>
          <w:p w14:paraId="385EB4C7" w14:textId="77777777" w:rsidR="000132CF" w:rsidRPr="000D3660" w:rsidRDefault="000132CF" w:rsidP="00F0784D">
            <w:pPr>
              <w:rPr>
                <w:rFonts w:ascii="Arial Narrow" w:hAnsi="Arial Narrow"/>
                <w:b/>
                <w:i/>
                <w:iCs/>
                <w:sz w:val="20"/>
                <w:szCs w:val="20"/>
              </w:rPr>
            </w:pPr>
            <w:r w:rsidRPr="000D3660">
              <w:rPr>
                <w:rFonts w:ascii="Arial Narrow" w:hAnsi="Arial Narrow"/>
                <w:b/>
                <w:sz w:val="20"/>
                <w:szCs w:val="20"/>
              </w:rPr>
              <w:t xml:space="preserve">Restriction type: </w:t>
            </w:r>
            <w:r w:rsidRPr="000D3660">
              <w:rPr>
                <w:rFonts w:ascii="Arial Narrow" w:eastAsia="Calibri" w:hAnsi="Arial Narrow"/>
                <w:strike/>
                <w:sz w:val="20"/>
                <w:szCs w:val="20"/>
              </w:rPr>
              <w:fldChar w:fldCharType="begin">
                <w:ffData>
                  <w:name w:val=""/>
                  <w:enabled/>
                  <w:calcOnExit w:val="0"/>
                  <w:checkBox>
                    <w:sizeAuto/>
                    <w:default w:val="1"/>
                  </w:checkBox>
                </w:ffData>
              </w:fldChar>
            </w:r>
            <w:r w:rsidRPr="000D3660">
              <w:rPr>
                <w:rFonts w:ascii="Arial Narrow" w:eastAsia="Calibri" w:hAnsi="Arial Narrow"/>
                <w:strike/>
                <w:sz w:val="20"/>
                <w:szCs w:val="20"/>
              </w:rPr>
              <w:instrText xml:space="preserve"> FORMCHECKBOX </w:instrText>
            </w:r>
            <w:r w:rsidRPr="000D3660">
              <w:rPr>
                <w:rFonts w:ascii="Arial Narrow" w:eastAsia="Calibri" w:hAnsi="Arial Narrow"/>
                <w:strike/>
                <w:sz w:val="20"/>
                <w:szCs w:val="20"/>
              </w:rPr>
            </w:r>
            <w:r w:rsidRPr="000D3660">
              <w:rPr>
                <w:rFonts w:ascii="Arial Narrow" w:eastAsia="Calibri" w:hAnsi="Arial Narrow"/>
                <w:strike/>
                <w:sz w:val="20"/>
                <w:szCs w:val="20"/>
              </w:rPr>
              <w:fldChar w:fldCharType="separate"/>
            </w:r>
            <w:r w:rsidRPr="000D3660">
              <w:rPr>
                <w:rFonts w:ascii="Arial Narrow" w:eastAsia="Calibri" w:hAnsi="Arial Narrow"/>
                <w:strike/>
                <w:sz w:val="20"/>
                <w:szCs w:val="20"/>
              </w:rPr>
              <w:fldChar w:fldCharType="end"/>
            </w:r>
            <w:r w:rsidRPr="000D3660">
              <w:rPr>
                <w:rFonts w:ascii="Arial Narrow" w:eastAsia="Calibri" w:hAnsi="Arial Narrow"/>
                <w:strike/>
                <w:sz w:val="20"/>
                <w:szCs w:val="20"/>
              </w:rPr>
              <w:t>Authority Required (in writing only via post/HPOS upload)</w:t>
            </w:r>
            <w:r w:rsidRPr="000D3660">
              <w:rPr>
                <w:rFonts w:ascii="Arial Narrow" w:eastAsia="Calibri" w:hAnsi="Arial Narrow"/>
                <w:sz w:val="20"/>
                <w:szCs w:val="20"/>
              </w:rPr>
              <w:t xml:space="preserve"> </w:t>
            </w:r>
            <w:r w:rsidRPr="000D3660">
              <w:rPr>
                <w:rFonts w:ascii="Arial Narrow" w:eastAsia="Calibri" w:hAnsi="Arial Narrow"/>
                <w:i/>
                <w:iCs/>
                <w:sz w:val="20"/>
                <w:szCs w:val="20"/>
              </w:rPr>
              <w:fldChar w:fldCharType="begin">
                <w:ffData>
                  <w:name w:val=""/>
                  <w:enabled/>
                  <w:calcOnExit w:val="0"/>
                  <w:checkBox>
                    <w:sizeAuto/>
                    <w:default w:val="1"/>
                  </w:checkBox>
                </w:ffData>
              </w:fldChar>
            </w:r>
            <w:r w:rsidRPr="000D3660">
              <w:rPr>
                <w:rFonts w:ascii="Arial Narrow" w:eastAsia="Calibri" w:hAnsi="Arial Narrow"/>
                <w:i/>
                <w:iCs/>
                <w:sz w:val="20"/>
                <w:szCs w:val="20"/>
              </w:rPr>
              <w:instrText xml:space="preserve"> FORMCHECKBOX </w:instrText>
            </w:r>
            <w:r w:rsidRPr="000D3660">
              <w:rPr>
                <w:rFonts w:ascii="Arial Narrow" w:eastAsia="Calibri" w:hAnsi="Arial Narrow"/>
                <w:i/>
                <w:iCs/>
                <w:sz w:val="20"/>
                <w:szCs w:val="20"/>
              </w:rPr>
            </w:r>
            <w:r w:rsidRPr="000D3660">
              <w:rPr>
                <w:rFonts w:ascii="Arial Narrow" w:eastAsia="Calibri" w:hAnsi="Arial Narrow"/>
                <w:i/>
                <w:iCs/>
                <w:sz w:val="20"/>
                <w:szCs w:val="20"/>
              </w:rPr>
              <w:fldChar w:fldCharType="separate"/>
            </w:r>
            <w:r w:rsidRPr="000D3660">
              <w:rPr>
                <w:rFonts w:ascii="Arial Narrow" w:eastAsia="Calibri" w:hAnsi="Arial Narrow"/>
                <w:i/>
                <w:iCs/>
                <w:sz w:val="20"/>
                <w:szCs w:val="20"/>
              </w:rPr>
              <w:fldChar w:fldCharType="end"/>
            </w:r>
            <w:r w:rsidRPr="000D3660">
              <w:rPr>
                <w:rFonts w:ascii="Arial Narrow" w:eastAsia="Calibri" w:hAnsi="Arial Narrow"/>
                <w:i/>
                <w:iCs/>
                <w:sz w:val="20"/>
                <w:szCs w:val="20"/>
              </w:rPr>
              <w:t>Authority Required (telephone/online)</w:t>
            </w:r>
          </w:p>
        </w:tc>
      </w:tr>
      <w:tr w:rsidR="000132CF" w:rsidRPr="00394DDA" w14:paraId="42948E91" w14:textId="77777777" w:rsidTr="00F0784D">
        <w:tblPrEx>
          <w:tblCellMar>
            <w:top w:w="15" w:type="dxa"/>
            <w:bottom w:w="15" w:type="dxa"/>
          </w:tblCellMar>
          <w:tblLook w:val="04A0" w:firstRow="1" w:lastRow="0" w:firstColumn="1" w:lastColumn="0" w:noHBand="0" w:noVBand="1"/>
        </w:tblPrEx>
        <w:trPr>
          <w:trHeight w:val="20"/>
        </w:trPr>
        <w:tc>
          <w:tcPr>
            <w:tcW w:w="562" w:type="dxa"/>
            <w:vMerge w:val="restart"/>
            <w:textDirection w:val="btLr"/>
            <w:vAlign w:val="center"/>
          </w:tcPr>
          <w:p w14:paraId="4651716E" w14:textId="77777777" w:rsidR="000132CF" w:rsidRPr="00394DDA" w:rsidRDefault="000132CF" w:rsidP="00F0784D">
            <w:pPr>
              <w:keepLines/>
              <w:ind w:right="113"/>
              <w:jc w:val="center"/>
              <w:rPr>
                <w:rFonts w:ascii="Arial Narrow" w:hAnsi="Arial Narrow"/>
                <w:color w:val="333333"/>
                <w:sz w:val="20"/>
                <w:szCs w:val="20"/>
              </w:rPr>
            </w:pPr>
            <w:r w:rsidRPr="00394DDA">
              <w:rPr>
                <w:rFonts w:ascii="Arial Narrow" w:hAnsi="Arial Narrow"/>
                <w:color w:val="333333"/>
                <w:sz w:val="20"/>
                <w:szCs w:val="20"/>
              </w:rPr>
              <w:t>Prescribing rule level</w:t>
            </w:r>
          </w:p>
        </w:tc>
        <w:tc>
          <w:tcPr>
            <w:tcW w:w="709" w:type="dxa"/>
            <w:vAlign w:val="center"/>
          </w:tcPr>
          <w:p w14:paraId="3D79735C" w14:textId="49BB77E0" w:rsidR="000132CF" w:rsidRPr="00394DDA" w:rsidRDefault="000132CF" w:rsidP="00F0784D">
            <w:pPr>
              <w:keepLines/>
              <w:ind w:hanging="35"/>
              <w:jc w:val="center"/>
              <w:rPr>
                <w:rFonts w:ascii="Arial Narrow" w:hAnsi="Arial Narrow"/>
                <w:color w:val="333333"/>
                <w:sz w:val="20"/>
                <w:szCs w:val="20"/>
              </w:rPr>
            </w:pPr>
          </w:p>
        </w:tc>
        <w:tc>
          <w:tcPr>
            <w:tcW w:w="7796" w:type="dxa"/>
            <w:gridSpan w:val="4"/>
            <w:vAlign w:val="center"/>
          </w:tcPr>
          <w:p w14:paraId="774B678F" w14:textId="77777777" w:rsidR="000132CF" w:rsidRPr="00394DDA" w:rsidRDefault="000132CF" w:rsidP="00F0784D">
            <w:pPr>
              <w:keepLines/>
              <w:rPr>
                <w:rFonts w:ascii="Arial Narrow" w:hAnsi="Arial Narrow"/>
                <w:color w:val="333333"/>
                <w:sz w:val="20"/>
                <w:szCs w:val="20"/>
              </w:rPr>
            </w:pPr>
            <w:r w:rsidRPr="00394DDA">
              <w:rPr>
                <w:rFonts w:ascii="Arial Narrow" w:hAnsi="Arial Narrow"/>
                <w:b/>
                <w:bCs/>
                <w:color w:val="333333"/>
                <w:sz w:val="20"/>
                <w:szCs w:val="20"/>
              </w:rPr>
              <w:t>Administrative Advice:</w:t>
            </w:r>
          </w:p>
          <w:p w14:paraId="22D0E2AB" w14:textId="77777777" w:rsidR="000132CF" w:rsidRPr="00394DDA" w:rsidRDefault="000132CF" w:rsidP="00F0784D">
            <w:pPr>
              <w:keepLines/>
              <w:rPr>
                <w:rFonts w:ascii="Arial Narrow" w:hAnsi="Arial Narrow"/>
                <w:color w:val="333333"/>
                <w:sz w:val="20"/>
                <w:szCs w:val="20"/>
              </w:rPr>
            </w:pPr>
            <w:r w:rsidRPr="00394DDA">
              <w:rPr>
                <w:rFonts w:ascii="Arial Narrow" w:hAnsi="Arial Narrow"/>
                <w:sz w:val="20"/>
                <w:szCs w:val="20"/>
              </w:rPr>
              <w:t>No increase in the maximum quantity or number of units may be authorised.</w:t>
            </w:r>
          </w:p>
        </w:tc>
      </w:tr>
      <w:tr w:rsidR="000132CF" w:rsidRPr="00394DDA" w14:paraId="4802C67C" w14:textId="77777777" w:rsidTr="00F0784D">
        <w:tblPrEx>
          <w:tblCellMar>
            <w:top w:w="15" w:type="dxa"/>
            <w:bottom w:w="15" w:type="dxa"/>
          </w:tblCellMar>
          <w:tblLook w:val="04A0" w:firstRow="1" w:lastRow="0" w:firstColumn="1" w:lastColumn="0" w:noHBand="0" w:noVBand="1"/>
        </w:tblPrEx>
        <w:trPr>
          <w:trHeight w:val="20"/>
        </w:trPr>
        <w:tc>
          <w:tcPr>
            <w:tcW w:w="562" w:type="dxa"/>
            <w:vMerge/>
            <w:vAlign w:val="center"/>
          </w:tcPr>
          <w:p w14:paraId="582E1F59" w14:textId="77777777" w:rsidR="000132CF" w:rsidRPr="00394DDA" w:rsidRDefault="000132CF" w:rsidP="00F0784D">
            <w:pPr>
              <w:keepLines/>
              <w:jc w:val="center"/>
              <w:rPr>
                <w:rFonts w:ascii="Arial Narrow" w:hAnsi="Arial Narrow"/>
                <w:color w:val="333333"/>
                <w:sz w:val="20"/>
                <w:szCs w:val="20"/>
              </w:rPr>
            </w:pPr>
          </w:p>
        </w:tc>
        <w:tc>
          <w:tcPr>
            <w:tcW w:w="709" w:type="dxa"/>
            <w:vAlign w:val="center"/>
          </w:tcPr>
          <w:p w14:paraId="7C758EE4" w14:textId="37F2A491" w:rsidR="000132CF" w:rsidRPr="00394DDA" w:rsidRDefault="000132CF" w:rsidP="00F0784D">
            <w:pPr>
              <w:keepLines/>
              <w:ind w:hanging="35"/>
              <w:jc w:val="center"/>
              <w:rPr>
                <w:rFonts w:ascii="Arial Narrow" w:hAnsi="Arial Narrow"/>
                <w:color w:val="333333"/>
                <w:sz w:val="20"/>
                <w:szCs w:val="20"/>
              </w:rPr>
            </w:pPr>
          </w:p>
        </w:tc>
        <w:tc>
          <w:tcPr>
            <w:tcW w:w="7796" w:type="dxa"/>
            <w:gridSpan w:val="4"/>
            <w:vAlign w:val="center"/>
          </w:tcPr>
          <w:p w14:paraId="44F7C0CE" w14:textId="77777777" w:rsidR="000132CF" w:rsidRPr="00394DDA" w:rsidRDefault="000132CF" w:rsidP="00F0784D">
            <w:pPr>
              <w:keepLines/>
              <w:rPr>
                <w:rFonts w:ascii="Arial Narrow" w:hAnsi="Arial Narrow"/>
                <w:b/>
                <w:bCs/>
                <w:color w:val="333333"/>
                <w:sz w:val="20"/>
                <w:szCs w:val="20"/>
              </w:rPr>
            </w:pPr>
            <w:r w:rsidRPr="00394DDA">
              <w:rPr>
                <w:rFonts w:ascii="Arial Narrow" w:hAnsi="Arial Narrow"/>
                <w:b/>
                <w:bCs/>
                <w:color w:val="333333"/>
                <w:sz w:val="20"/>
                <w:szCs w:val="20"/>
              </w:rPr>
              <w:t>Administrative Advice:</w:t>
            </w:r>
          </w:p>
          <w:p w14:paraId="6FAC81F7" w14:textId="77777777" w:rsidR="000132CF" w:rsidRPr="00394DDA" w:rsidRDefault="000132CF" w:rsidP="00F0784D">
            <w:pPr>
              <w:keepLines/>
              <w:rPr>
                <w:rFonts w:ascii="Arial Narrow" w:hAnsi="Arial Narrow"/>
                <w:b/>
                <w:bCs/>
                <w:color w:val="333333"/>
                <w:sz w:val="20"/>
                <w:szCs w:val="20"/>
              </w:rPr>
            </w:pPr>
            <w:r w:rsidRPr="00394DDA">
              <w:rPr>
                <w:rFonts w:ascii="Arial Narrow" w:hAnsi="Arial Narrow"/>
                <w:color w:val="333333"/>
                <w:sz w:val="20"/>
                <w:szCs w:val="20"/>
              </w:rPr>
              <w:t>No increase in the maximum number of repeats may be authorised</w:t>
            </w:r>
          </w:p>
        </w:tc>
      </w:tr>
      <w:tr w:rsidR="000132CF" w:rsidRPr="00394DDA" w14:paraId="6EEA02E6" w14:textId="77777777" w:rsidTr="00F0784D">
        <w:tblPrEx>
          <w:tblCellMar>
            <w:top w:w="15" w:type="dxa"/>
            <w:bottom w:w="15" w:type="dxa"/>
          </w:tblCellMar>
          <w:tblLook w:val="04A0" w:firstRow="1" w:lastRow="0" w:firstColumn="1" w:lastColumn="0" w:noHBand="0" w:noVBand="1"/>
        </w:tblPrEx>
        <w:trPr>
          <w:trHeight w:val="20"/>
        </w:trPr>
        <w:tc>
          <w:tcPr>
            <w:tcW w:w="562" w:type="dxa"/>
            <w:vMerge/>
            <w:vAlign w:val="center"/>
          </w:tcPr>
          <w:p w14:paraId="2D85504D" w14:textId="77777777" w:rsidR="000132CF" w:rsidRPr="00394DDA" w:rsidRDefault="000132CF" w:rsidP="00F0784D">
            <w:pPr>
              <w:keepLines/>
              <w:jc w:val="center"/>
              <w:rPr>
                <w:rFonts w:ascii="Arial Narrow" w:hAnsi="Arial Narrow"/>
                <w:color w:val="333333"/>
                <w:sz w:val="20"/>
                <w:szCs w:val="20"/>
              </w:rPr>
            </w:pPr>
          </w:p>
        </w:tc>
        <w:tc>
          <w:tcPr>
            <w:tcW w:w="709" w:type="dxa"/>
            <w:vAlign w:val="center"/>
          </w:tcPr>
          <w:p w14:paraId="6E6657DC" w14:textId="72A0207F" w:rsidR="000132CF" w:rsidRPr="00394DDA" w:rsidRDefault="000132CF" w:rsidP="00F0784D">
            <w:pPr>
              <w:keepLines/>
              <w:ind w:hanging="35"/>
              <w:jc w:val="center"/>
              <w:rPr>
                <w:rFonts w:ascii="Arial Narrow" w:hAnsi="Arial Narrow"/>
                <w:color w:val="333333"/>
                <w:sz w:val="20"/>
                <w:szCs w:val="20"/>
              </w:rPr>
            </w:pPr>
          </w:p>
        </w:tc>
        <w:tc>
          <w:tcPr>
            <w:tcW w:w="7796" w:type="dxa"/>
            <w:gridSpan w:val="4"/>
            <w:vAlign w:val="center"/>
          </w:tcPr>
          <w:p w14:paraId="67459479" w14:textId="77777777" w:rsidR="000132CF" w:rsidRPr="00394DDA" w:rsidRDefault="000132CF" w:rsidP="00F0784D">
            <w:pPr>
              <w:keepLines/>
              <w:rPr>
                <w:rFonts w:ascii="Arial Narrow" w:hAnsi="Arial Narrow"/>
                <w:b/>
                <w:bCs/>
                <w:color w:val="333333"/>
                <w:sz w:val="20"/>
                <w:szCs w:val="20"/>
              </w:rPr>
            </w:pPr>
            <w:r w:rsidRPr="00394DDA">
              <w:rPr>
                <w:rFonts w:ascii="Arial Narrow" w:hAnsi="Arial Narrow"/>
                <w:b/>
                <w:bCs/>
                <w:color w:val="333333"/>
                <w:sz w:val="20"/>
                <w:szCs w:val="20"/>
              </w:rPr>
              <w:t>Administrative Advice:</w:t>
            </w:r>
          </w:p>
          <w:p w14:paraId="735DC20B" w14:textId="77777777" w:rsidR="000132CF" w:rsidRPr="00394DDA" w:rsidRDefault="000132CF" w:rsidP="00F0784D">
            <w:pPr>
              <w:keepLines/>
              <w:rPr>
                <w:rFonts w:ascii="Arial Narrow" w:hAnsi="Arial Narrow"/>
                <w:b/>
                <w:bCs/>
                <w:color w:val="333333"/>
                <w:sz w:val="20"/>
                <w:szCs w:val="20"/>
              </w:rPr>
            </w:pPr>
            <w:r w:rsidRPr="00394DDA">
              <w:rPr>
                <w:rFonts w:ascii="Arial Narrow" w:hAnsi="Arial Narrow"/>
                <w:color w:val="333333"/>
                <w:sz w:val="20"/>
                <w:szCs w:val="20"/>
              </w:rPr>
              <w:t>Special Pricing Arrangements apply</w:t>
            </w:r>
          </w:p>
        </w:tc>
      </w:tr>
      <w:tr w:rsidR="000132CF" w:rsidRPr="00394DDA" w14:paraId="30A17451" w14:textId="77777777" w:rsidTr="00F0784D">
        <w:tblPrEx>
          <w:tblCellMar>
            <w:top w:w="15" w:type="dxa"/>
            <w:bottom w:w="15" w:type="dxa"/>
          </w:tblCellMar>
          <w:tblLook w:val="04A0" w:firstRow="1" w:lastRow="0" w:firstColumn="1" w:lastColumn="0" w:noHBand="0" w:noVBand="1"/>
        </w:tblPrEx>
        <w:trPr>
          <w:trHeight w:val="20"/>
        </w:trPr>
        <w:tc>
          <w:tcPr>
            <w:tcW w:w="562" w:type="dxa"/>
            <w:vMerge/>
            <w:vAlign w:val="center"/>
          </w:tcPr>
          <w:p w14:paraId="227E28C5" w14:textId="77777777" w:rsidR="000132CF" w:rsidRPr="00394DDA" w:rsidRDefault="000132CF" w:rsidP="00F0784D">
            <w:pPr>
              <w:keepLines/>
              <w:jc w:val="center"/>
              <w:rPr>
                <w:rFonts w:ascii="Arial Narrow" w:hAnsi="Arial Narrow"/>
                <w:color w:val="333333"/>
                <w:sz w:val="20"/>
                <w:szCs w:val="20"/>
              </w:rPr>
            </w:pPr>
          </w:p>
        </w:tc>
        <w:tc>
          <w:tcPr>
            <w:tcW w:w="709" w:type="dxa"/>
            <w:vAlign w:val="center"/>
          </w:tcPr>
          <w:p w14:paraId="5CEEC0BE" w14:textId="040B8F78" w:rsidR="000132CF" w:rsidRPr="00D442F0" w:rsidRDefault="000132CF" w:rsidP="00F0784D">
            <w:pPr>
              <w:keepNext/>
              <w:keepLines/>
              <w:ind w:hanging="35"/>
              <w:jc w:val="center"/>
              <w:rPr>
                <w:rFonts w:ascii="Arial Narrow" w:hAnsi="Arial Narrow"/>
                <w:strike/>
                <w:sz w:val="20"/>
                <w:szCs w:val="20"/>
              </w:rPr>
            </w:pPr>
          </w:p>
          <w:p w14:paraId="4E65152F" w14:textId="4A8B8E4A" w:rsidR="000132CF" w:rsidRPr="00D442F0" w:rsidRDefault="000132CF" w:rsidP="0092439A">
            <w:pPr>
              <w:keepNext/>
              <w:keepLines/>
              <w:ind w:hanging="35"/>
              <w:rPr>
                <w:rFonts w:ascii="Arial Narrow" w:hAnsi="Arial Narrow"/>
                <w:strike/>
                <w:sz w:val="20"/>
                <w:szCs w:val="20"/>
              </w:rPr>
            </w:pPr>
          </w:p>
          <w:p w14:paraId="16EA95F3" w14:textId="77777777" w:rsidR="000132CF" w:rsidRPr="00D442F0" w:rsidRDefault="000132CF" w:rsidP="00F0784D">
            <w:pPr>
              <w:keepNext/>
              <w:keepLines/>
              <w:ind w:hanging="35"/>
              <w:jc w:val="center"/>
              <w:rPr>
                <w:rFonts w:ascii="Arial Narrow" w:hAnsi="Arial Narrow"/>
                <w:strike/>
                <w:sz w:val="20"/>
                <w:szCs w:val="20"/>
              </w:rPr>
            </w:pPr>
          </w:p>
          <w:p w14:paraId="40875801" w14:textId="66DE805A" w:rsidR="000132CF" w:rsidRPr="00D442F0" w:rsidRDefault="000132CF" w:rsidP="00F0784D">
            <w:pPr>
              <w:keepLines/>
              <w:ind w:hanging="35"/>
              <w:jc w:val="center"/>
              <w:rPr>
                <w:rFonts w:ascii="Arial Narrow" w:hAnsi="Arial Narrow" w:cstheme="minorHAnsi"/>
                <w:sz w:val="20"/>
                <w:szCs w:val="20"/>
              </w:rPr>
            </w:pPr>
          </w:p>
        </w:tc>
        <w:tc>
          <w:tcPr>
            <w:tcW w:w="7796" w:type="dxa"/>
            <w:gridSpan w:val="4"/>
            <w:vAlign w:val="center"/>
          </w:tcPr>
          <w:p w14:paraId="2347F834" w14:textId="77777777" w:rsidR="000132CF" w:rsidRPr="00D442F0" w:rsidRDefault="000132CF" w:rsidP="00F0784D">
            <w:pPr>
              <w:keepNext/>
              <w:keepLines/>
              <w:rPr>
                <w:rFonts w:ascii="Arial Narrow" w:hAnsi="Arial Narrow"/>
                <w:strike/>
                <w:sz w:val="20"/>
                <w:szCs w:val="20"/>
              </w:rPr>
            </w:pPr>
            <w:r w:rsidRPr="00D442F0">
              <w:rPr>
                <w:rFonts w:ascii="Arial Narrow" w:hAnsi="Arial Narrow"/>
                <w:strike/>
                <w:sz w:val="20"/>
                <w:szCs w:val="20"/>
              </w:rPr>
              <w:t>Any queries concerning the arrangements to prescribe may be directed to Services Australia on 1800 700 270 (hours of operation 8 a.m. to 5 p.m. Monday to Friday).</w:t>
            </w:r>
          </w:p>
          <w:p w14:paraId="1B09B491" w14:textId="77777777" w:rsidR="000132CF" w:rsidRPr="00D442F0" w:rsidRDefault="000132CF" w:rsidP="00F0784D">
            <w:pPr>
              <w:keepNext/>
              <w:keepLines/>
              <w:rPr>
                <w:rFonts w:ascii="Arial Narrow" w:hAnsi="Arial Narrow"/>
                <w:strike/>
                <w:sz w:val="20"/>
                <w:szCs w:val="20"/>
              </w:rPr>
            </w:pPr>
            <w:r w:rsidRPr="00D442F0">
              <w:rPr>
                <w:rFonts w:ascii="Arial Narrow" w:hAnsi="Arial Narrow"/>
                <w:strike/>
                <w:sz w:val="20"/>
                <w:szCs w:val="20"/>
              </w:rPr>
              <w:t xml:space="preserve">Prescribing information (including Authority Application forms and other relevant documentation as applicable) is available on the Services Australia website at </w:t>
            </w:r>
            <w:hyperlink r:id="rId15" w:history="1">
              <w:r w:rsidRPr="00D442F0">
                <w:rPr>
                  <w:rFonts w:ascii="Arial Narrow" w:hAnsi="Arial Narrow"/>
                  <w:strike/>
                  <w:sz w:val="20"/>
                  <w:szCs w:val="20"/>
                  <w:u w:val="single"/>
                </w:rPr>
                <w:t>www.servicesaustralia</w:t>
              </w:r>
            </w:hyperlink>
            <w:r w:rsidRPr="00D442F0">
              <w:rPr>
                <w:rFonts w:ascii="Arial Narrow" w:hAnsi="Arial Narrow"/>
                <w:strike/>
                <w:sz w:val="20"/>
                <w:szCs w:val="20"/>
              </w:rPr>
              <w:t>.gov.au</w:t>
            </w:r>
          </w:p>
          <w:p w14:paraId="5E60D1B3" w14:textId="77777777" w:rsidR="000132CF" w:rsidRPr="00D442F0" w:rsidRDefault="000132CF" w:rsidP="00F0784D">
            <w:pPr>
              <w:keepNext/>
              <w:keepLines/>
              <w:rPr>
                <w:rFonts w:ascii="Arial Narrow" w:hAnsi="Arial Narrow"/>
                <w:strike/>
                <w:sz w:val="20"/>
                <w:szCs w:val="20"/>
              </w:rPr>
            </w:pPr>
            <w:r w:rsidRPr="00D442F0">
              <w:rPr>
                <w:rFonts w:ascii="Arial Narrow" w:hAnsi="Arial Narrow"/>
                <w:strike/>
                <w:sz w:val="20"/>
                <w:szCs w:val="20"/>
              </w:rPr>
              <w:t>Applications for authorisation under this restriction should be made in real time using the Online PBS Authorities system (see www.servicesaustralia.gov.au/hpos)</w:t>
            </w:r>
          </w:p>
          <w:p w14:paraId="4359B49E" w14:textId="77777777" w:rsidR="000132CF" w:rsidRPr="00D442F0" w:rsidRDefault="000132CF" w:rsidP="00F0784D">
            <w:pPr>
              <w:keepNext/>
              <w:keepLines/>
              <w:rPr>
                <w:rFonts w:ascii="Arial Narrow" w:hAnsi="Arial Narrow"/>
                <w:strike/>
                <w:sz w:val="20"/>
                <w:szCs w:val="20"/>
              </w:rPr>
            </w:pPr>
            <w:r w:rsidRPr="00D442F0">
              <w:rPr>
                <w:rFonts w:ascii="Arial Narrow" w:hAnsi="Arial Narrow"/>
                <w:strike/>
                <w:sz w:val="20"/>
                <w:szCs w:val="20"/>
              </w:rPr>
              <w:t>Alternatively, applications for authority to prescribe can be submitted online using the form upload facility in Health Professional Online Services (HPOS) at www.servicesaustralia.gov.au/hpos</w:t>
            </w:r>
          </w:p>
          <w:p w14:paraId="6372DD26" w14:textId="77777777" w:rsidR="000132CF" w:rsidRPr="00D442F0" w:rsidRDefault="000132CF" w:rsidP="00F0784D">
            <w:pPr>
              <w:keepNext/>
              <w:keepLines/>
              <w:rPr>
                <w:rFonts w:ascii="Arial Narrow" w:hAnsi="Arial Narrow"/>
                <w:strike/>
                <w:sz w:val="20"/>
                <w:szCs w:val="20"/>
              </w:rPr>
            </w:pPr>
            <w:r w:rsidRPr="00D442F0">
              <w:rPr>
                <w:rFonts w:ascii="Arial Narrow" w:hAnsi="Arial Narrow"/>
                <w:strike/>
                <w:sz w:val="20"/>
                <w:szCs w:val="20"/>
              </w:rPr>
              <w:t>Or mailed to:</w:t>
            </w:r>
          </w:p>
          <w:p w14:paraId="489AED25" w14:textId="77777777" w:rsidR="000132CF" w:rsidRPr="00D442F0" w:rsidRDefault="000132CF" w:rsidP="00F0784D">
            <w:pPr>
              <w:keepNext/>
              <w:keepLines/>
              <w:rPr>
                <w:rFonts w:ascii="Arial Narrow" w:hAnsi="Arial Narrow"/>
                <w:strike/>
                <w:sz w:val="20"/>
                <w:szCs w:val="20"/>
              </w:rPr>
            </w:pPr>
            <w:r w:rsidRPr="00D442F0">
              <w:rPr>
                <w:rFonts w:ascii="Arial Narrow" w:hAnsi="Arial Narrow"/>
                <w:strike/>
                <w:sz w:val="20"/>
                <w:szCs w:val="20"/>
              </w:rPr>
              <w:t>Services Australia</w:t>
            </w:r>
          </w:p>
          <w:p w14:paraId="7A888552" w14:textId="77777777" w:rsidR="000132CF" w:rsidRPr="00D442F0" w:rsidRDefault="000132CF" w:rsidP="00F0784D">
            <w:pPr>
              <w:keepNext/>
              <w:keepLines/>
              <w:rPr>
                <w:rFonts w:ascii="Arial Narrow" w:hAnsi="Arial Narrow"/>
                <w:strike/>
                <w:sz w:val="20"/>
                <w:szCs w:val="20"/>
              </w:rPr>
            </w:pPr>
            <w:r w:rsidRPr="00D442F0">
              <w:rPr>
                <w:rFonts w:ascii="Arial Narrow" w:hAnsi="Arial Narrow"/>
                <w:strike/>
                <w:sz w:val="20"/>
                <w:szCs w:val="20"/>
              </w:rPr>
              <w:t>Complex Drugs</w:t>
            </w:r>
          </w:p>
          <w:p w14:paraId="626F95AB" w14:textId="77777777" w:rsidR="000132CF" w:rsidRPr="00D442F0" w:rsidRDefault="000132CF" w:rsidP="00F0784D">
            <w:pPr>
              <w:keepNext/>
              <w:keepLines/>
              <w:rPr>
                <w:rFonts w:ascii="Arial Narrow" w:hAnsi="Arial Narrow"/>
                <w:strike/>
                <w:sz w:val="20"/>
                <w:szCs w:val="20"/>
              </w:rPr>
            </w:pPr>
            <w:r w:rsidRPr="00D442F0">
              <w:rPr>
                <w:rFonts w:ascii="Arial Narrow" w:hAnsi="Arial Narrow"/>
                <w:strike/>
                <w:sz w:val="20"/>
                <w:szCs w:val="20"/>
              </w:rPr>
              <w:t>Reply Paid 9826</w:t>
            </w:r>
          </w:p>
          <w:p w14:paraId="6DCDBD20" w14:textId="77777777" w:rsidR="000132CF" w:rsidRPr="00D442F0" w:rsidRDefault="000132CF" w:rsidP="00F0784D">
            <w:pPr>
              <w:keepNext/>
              <w:keepLines/>
              <w:rPr>
                <w:rFonts w:ascii="Arial Narrow" w:hAnsi="Arial Narrow"/>
                <w:strike/>
                <w:sz w:val="20"/>
                <w:szCs w:val="20"/>
              </w:rPr>
            </w:pPr>
            <w:r w:rsidRPr="00D442F0">
              <w:rPr>
                <w:rFonts w:ascii="Arial Narrow" w:hAnsi="Arial Narrow"/>
                <w:strike/>
                <w:sz w:val="20"/>
                <w:szCs w:val="20"/>
              </w:rPr>
              <w:t>HOBART TAS 7001</w:t>
            </w:r>
          </w:p>
          <w:p w14:paraId="08DD6612" w14:textId="77777777" w:rsidR="000132CF" w:rsidRPr="00D442F0" w:rsidRDefault="000132CF" w:rsidP="00F0784D">
            <w:pPr>
              <w:keepLines/>
              <w:rPr>
                <w:rFonts w:ascii="Arial Narrow" w:hAnsi="Arial Narrow" w:cstheme="minorHAnsi"/>
                <w:b/>
                <w:bCs/>
                <w:sz w:val="20"/>
                <w:szCs w:val="20"/>
              </w:rPr>
            </w:pPr>
            <w:r w:rsidRPr="00D442F0">
              <w:rPr>
                <w:rFonts w:ascii="Arial Narrow" w:hAnsi="Arial Narrow"/>
                <w:b/>
                <w:bCs/>
                <w:i/>
                <w:iCs/>
                <w:sz w:val="20"/>
                <w:szCs w:val="20"/>
              </w:rPr>
              <w:t>Administrative Advice:</w:t>
            </w:r>
            <w:r w:rsidRPr="00D442F0">
              <w:rPr>
                <w:rFonts w:ascii="Arial Narrow" w:hAnsi="Arial Narrow"/>
                <w:i/>
                <w:iCs/>
                <w:sz w:val="20"/>
                <w:szCs w:val="20"/>
              </w:rPr>
              <w:t xml:space="preserve">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0132CF" w:rsidRPr="00394DDA" w14:paraId="4874E07D"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hideMark/>
          </w:tcPr>
          <w:p w14:paraId="3CF80E9C" w14:textId="00EEE3E0" w:rsidR="000132CF" w:rsidRPr="00394DDA" w:rsidRDefault="000132CF" w:rsidP="00F0784D">
            <w:pPr>
              <w:jc w:val="center"/>
              <w:rPr>
                <w:rFonts w:ascii="Arial Narrow" w:hAnsi="Arial Narrow"/>
                <w:color w:val="333333"/>
                <w:sz w:val="20"/>
                <w:szCs w:val="20"/>
              </w:rPr>
            </w:pPr>
          </w:p>
        </w:tc>
        <w:tc>
          <w:tcPr>
            <w:tcW w:w="7796" w:type="dxa"/>
            <w:gridSpan w:val="4"/>
            <w:vAlign w:val="center"/>
            <w:hideMark/>
          </w:tcPr>
          <w:p w14:paraId="13553F95" w14:textId="77777777" w:rsidR="000132CF" w:rsidRPr="00394DDA" w:rsidRDefault="000132CF" w:rsidP="00F0784D">
            <w:pPr>
              <w:rPr>
                <w:rFonts w:ascii="Arial Narrow" w:hAnsi="Arial Narrow"/>
                <w:color w:val="333333"/>
                <w:sz w:val="20"/>
                <w:szCs w:val="20"/>
              </w:rPr>
            </w:pPr>
            <w:r w:rsidRPr="00394DDA">
              <w:rPr>
                <w:rFonts w:ascii="Arial Narrow" w:hAnsi="Arial Narrow"/>
                <w:b/>
                <w:bCs/>
                <w:color w:val="333333"/>
                <w:sz w:val="20"/>
                <w:szCs w:val="20"/>
              </w:rPr>
              <w:t>Indication:</w:t>
            </w:r>
            <w:r w:rsidRPr="00394DDA">
              <w:rPr>
                <w:rFonts w:ascii="Arial Narrow" w:hAnsi="Arial Narrow"/>
                <w:color w:val="333333"/>
                <w:sz w:val="20"/>
                <w:szCs w:val="20"/>
              </w:rPr>
              <w:t xml:space="preserve"> Relapsed or Refractory Hodgkin Lymphoma</w:t>
            </w:r>
          </w:p>
        </w:tc>
      </w:tr>
      <w:tr w:rsidR="000132CF" w:rsidRPr="00394DDA" w14:paraId="7C419D40"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hideMark/>
          </w:tcPr>
          <w:p w14:paraId="46D4FF70" w14:textId="77777777" w:rsidR="000132CF" w:rsidRPr="00394DDA" w:rsidRDefault="000132CF" w:rsidP="00F0784D">
            <w:pPr>
              <w:jc w:val="center"/>
              <w:rPr>
                <w:rFonts w:ascii="Arial Narrow" w:hAnsi="Arial Narrow"/>
                <w:color w:val="333333"/>
                <w:sz w:val="20"/>
                <w:szCs w:val="20"/>
              </w:rPr>
            </w:pPr>
          </w:p>
        </w:tc>
        <w:tc>
          <w:tcPr>
            <w:tcW w:w="7796" w:type="dxa"/>
            <w:gridSpan w:val="4"/>
            <w:vAlign w:val="center"/>
            <w:hideMark/>
          </w:tcPr>
          <w:p w14:paraId="74585855" w14:textId="77777777" w:rsidR="000132CF" w:rsidRPr="00394DDA" w:rsidRDefault="000132CF" w:rsidP="00F0784D">
            <w:pPr>
              <w:rPr>
                <w:rFonts w:ascii="Arial Narrow" w:hAnsi="Arial Narrow"/>
                <w:color w:val="333333"/>
                <w:sz w:val="20"/>
                <w:szCs w:val="20"/>
              </w:rPr>
            </w:pPr>
            <w:r w:rsidRPr="00394DDA">
              <w:rPr>
                <w:rFonts w:ascii="Arial Narrow" w:hAnsi="Arial Narrow"/>
                <w:b/>
                <w:bCs/>
                <w:color w:val="333333"/>
                <w:sz w:val="20"/>
                <w:szCs w:val="20"/>
              </w:rPr>
              <w:t>Treatment Phase:</w:t>
            </w:r>
            <w:r w:rsidRPr="00394DDA">
              <w:rPr>
                <w:rFonts w:ascii="Arial Narrow" w:hAnsi="Arial Narrow"/>
                <w:color w:val="333333"/>
                <w:sz w:val="20"/>
                <w:szCs w:val="20"/>
              </w:rPr>
              <w:t xml:space="preserve"> Initial treatment</w:t>
            </w:r>
          </w:p>
        </w:tc>
      </w:tr>
      <w:tr w:rsidR="000132CF" w:rsidRPr="00394DDA" w14:paraId="2ABAD65E"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7C3AA17F" w14:textId="67A8C06B" w:rsidR="000132CF" w:rsidRPr="00394DDA"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hideMark/>
          </w:tcPr>
          <w:p w14:paraId="70529213"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Clinical criteria:</w:t>
            </w:r>
          </w:p>
        </w:tc>
      </w:tr>
      <w:tr w:rsidR="000132CF" w:rsidRPr="00394DDA" w14:paraId="5E1AEA8C"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5CBEAA8A" w14:textId="4FEAC3FB" w:rsidR="000132CF" w:rsidRPr="00394DDA"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hideMark/>
          </w:tcPr>
          <w:p w14:paraId="19A15A89"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color w:val="333333"/>
                <w:sz w:val="20"/>
                <w:szCs w:val="20"/>
              </w:rPr>
              <w:t>Patient must have undergone a primary autologous stem cell transplant (ASCT)</w:t>
            </w:r>
          </w:p>
        </w:tc>
      </w:tr>
      <w:tr w:rsidR="000132CF" w:rsidRPr="00394DDA" w14:paraId="3E3ECE88"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49A4E037" w14:textId="77777777" w:rsidR="000132CF" w:rsidRPr="00394DDA" w:rsidRDefault="000132CF" w:rsidP="00F0784D">
            <w:pPr>
              <w:keepNext/>
              <w:keepLines/>
              <w:jc w:val="center"/>
              <w:rPr>
                <w:rFonts w:ascii="Arial Narrow" w:hAnsi="Arial Narrow"/>
                <w:color w:val="333333"/>
                <w:sz w:val="20"/>
                <w:szCs w:val="20"/>
              </w:rPr>
            </w:pPr>
          </w:p>
        </w:tc>
        <w:tc>
          <w:tcPr>
            <w:tcW w:w="7796" w:type="dxa"/>
            <w:gridSpan w:val="4"/>
            <w:vAlign w:val="center"/>
          </w:tcPr>
          <w:p w14:paraId="553A7246"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AND</w:t>
            </w:r>
          </w:p>
        </w:tc>
      </w:tr>
      <w:tr w:rsidR="000132CF" w:rsidRPr="00394DDA" w14:paraId="64075DD6"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0A860EDA" w14:textId="7C6D43D4" w:rsidR="000132CF" w:rsidRPr="00394DDA" w:rsidRDefault="000132CF" w:rsidP="00F0784D">
            <w:pPr>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3F473B2" w14:textId="77777777" w:rsidR="000132CF" w:rsidRPr="00394DDA" w:rsidRDefault="000132CF" w:rsidP="00F0784D">
            <w:pPr>
              <w:rPr>
                <w:rFonts w:ascii="Arial Narrow" w:hAnsi="Arial Narrow"/>
                <w:b/>
                <w:bCs/>
                <w:color w:val="333333"/>
                <w:sz w:val="20"/>
                <w:szCs w:val="20"/>
              </w:rPr>
            </w:pPr>
            <w:r w:rsidRPr="00394DDA">
              <w:rPr>
                <w:rFonts w:ascii="Arial Narrow" w:hAnsi="Arial Narrow"/>
                <w:b/>
                <w:bCs/>
                <w:color w:val="333333"/>
                <w:sz w:val="20"/>
                <w:szCs w:val="20"/>
              </w:rPr>
              <w:t>Clinical criteria:</w:t>
            </w:r>
          </w:p>
        </w:tc>
      </w:tr>
      <w:tr w:rsidR="000132CF" w:rsidRPr="00394DDA" w14:paraId="3B2DD353"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09A7C359" w14:textId="06D01F72" w:rsidR="000132CF" w:rsidRPr="00394DDA" w:rsidRDefault="000132CF" w:rsidP="00F0784D">
            <w:pPr>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03FDD054" w14:textId="77777777" w:rsidR="000132CF" w:rsidRPr="00394DDA" w:rsidRDefault="000132CF" w:rsidP="00F0784D">
            <w:pPr>
              <w:rPr>
                <w:rFonts w:ascii="Arial Narrow" w:hAnsi="Arial Narrow"/>
                <w:color w:val="333333"/>
                <w:sz w:val="20"/>
                <w:szCs w:val="20"/>
              </w:rPr>
            </w:pPr>
            <w:r w:rsidRPr="00394DDA">
              <w:rPr>
                <w:rFonts w:ascii="Arial Narrow" w:hAnsi="Arial Narrow"/>
                <w:color w:val="333333"/>
                <w:sz w:val="20"/>
                <w:szCs w:val="20"/>
              </w:rPr>
              <w:t xml:space="preserve"> Patient must have experienced a relapsed CD30+ Hodgkin lymphoma post ASCT; or</w:t>
            </w:r>
          </w:p>
        </w:tc>
      </w:tr>
      <w:tr w:rsidR="000132CF" w:rsidRPr="00394DDA" w14:paraId="3F330B84"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6810E274" w14:textId="7952FC9A" w:rsidR="000132CF" w:rsidRPr="00394DDA" w:rsidRDefault="000132CF" w:rsidP="00F0784D">
            <w:pPr>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6ACC6B08" w14:textId="77777777" w:rsidR="000132CF" w:rsidRPr="00394DDA" w:rsidRDefault="000132CF" w:rsidP="00F0784D">
            <w:pPr>
              <w:rPr>
                <w:rFonts w:ascii="Arial Narrow" w:hAnsi="Arial Narrow"/>
                <w:color w:val="333333"/>
                <w:sz w:val="20"/>
                <w:szCs w:val="20"/>
              </w:rPr>
            </w:pPr>
            <w:r w:rsidRPr="00394DDA">
              <w:rPr>
                <w:rFonts w:ascii="Arial Narrow" w:hAnsi="Arial Narrow"/>
                <w:color w:val="333333"/>
                <w:sz w:val="20"/>
                <w:szCs w:val="20"/>
              </w:rPr>
              <w:t xml:space="preserve"> Patient must have experienced a refractory CD30+ Hodgkin lymphoma post ASCT</w:t>
            </w:r>
          </w:p>
        </w:tc>
      </w:tr>
      <w:tr w:rsidR="000132CF" w:rsidRPr="00394DDA" w14:paraId="01714E33"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244D994D" w14:textId="77777777" w:rsidR="000132CF" w:rsidRPr="00394DDA" w:rsidRDefault="000132CF" w:rsidP="00F0784D">
            <w:pPr>
              <w:jc w:val="center"/>
              <w:rPr>
                <w:rFonts w:ascii="Arial Narrow" w:hAnsi="Arial Narrow"/>
                <w:color w:val="333333"/>
                <w:sz w:val="20"/>
                <w:szCs w:val="20"/>
              </w:rPr>
            </w:pPr>
          </w:p>
        </w:tc>
        <w:tc>
          <w:tcPr>
            <w:tcW w:w="7796" w:type="dxa"/>
            <w:gridSpan w:val="4"/>
            <w:vAlign w:val="center"/>
          </w:tcPr>
          <w:p w14:paraId="4FFEEA5A" w14:textId="77777777" w:rsidR="000132CF" w:rsidRPr="00394DDA" w:rsidRDefault="000132CF" w:rsidP="00F0784D">
            <w:pPr>
              <w:rPr>
                <w:rFonts w:ascii="Arial Narrow" w:hAnsi="Arial Narrow"/>
                <w:b/>
                <w:bCs/>
                <w:color w:val="333333"/>
                <w:sz w:val="20"/>
                <w:szCs w:val="20"/>
              </w:rPr>
            </w:pPr>
            <w:r w:rsidRPr="00394DDA">
              <w:rPr>
                <w:rFonts w:ascii="Arial Narrow" w:hAnsi="Arial Narrow"/>
                <w:b/>
                <w:bCs/>
                <w:color w:val="333333"/>
                <w:sz w:val="20"/>
                <w:szCs w:val="20"/>
              </w:rPr>
              <w:t>AND</w:t>
            </w:r>
          </w:p>
        </w:tc>
      </w:tr>
      <w:tr w:rsidR="000132CF" w:rsidRPr="00394DDA" w14:paraId="0856CDE9"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72D1A349" w14:textId="7FB195E1" w:rsidR="000132CF" w:rsidRPr="00394DDA" w:rsidRDefault="000132CF" w:rsidP="00F0784D">
            <w:pPr>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6F722087" w14:textId="77777777" w:rsidR="000132CF" w:rsidRPr="00394DDA" w:rsidRDefault="000132CF" w:rsidP="00F0784D">
            <w:pPr>
              <w:rPr>
                <w:rFonts w:ascii="Arial Narrow" w:hAnsi="Arial Narrow"/>
                <w:b/>
                <w:bCs/>
                <w:color w:val="333333"/>
                <w:sz w:val="20"/>
                <w:szCs w:val="20"/>
              </w:rPr>
            </w:pPr>
            <w:r w:rsidRPr="00394DDA">
              <w:rPr>
                <w:rFonts w:ascii="Arial Narrow" w:hAnsi="Arial Narrow"/>
                <w:b/>
                <w:bCs/>
                <w:color w:val="333333"/>
                <w:sz w:val="20"/>
                <w:szCs w:val="20"/>
              </w:rPr>
              <w:t>Clinical criteria:</w:t>
            </w:r>
          </w:p>
        </w:tc>
      </w:tr>
      <w:tr w:rsidR="000132CF" w:rsidRPr="00394DDA" w14:paraId="274C61A1"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052628A8" w14:textId="5ACFD558" w:rsidR="000132CF" w:rsidRPr="00394DDA" w:rsidRDefault="000132CF" w:rsidP="00F0784D">
            <w:pPr>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3F273AC" w14:textId="77777777" w:rsidR="000132CF" w:rsidRPr="00394DDA" w:rsidRDefault="000132CF" w:rsidP="00F0784D">
            <w:pPr>
              <w:rPr>
                <w:rFonts w:ascii="Arial Narrow" w:hAnsi="Arial Narrow"/>
                <w:color w:val="333333"/>
                <w:sz w:val="20"/>
                <w:szCs w:val="20"/>
              </w:rPr>
            </w:pPr>
            <w:r w:rsidRPr="00394DDA">
              <w:rPr>
                <w:rFonts w:ascii="Arial Narrow" w:hAnsi="Arial Narrow"/>
                <w:color w:val="333333"/>
                <w:sz w:val="20"/>
                <w:szCs w:val="20"/>
              </w:rPr>
              <w:t>Patient must not receive more than 4 cycles of treatment under this restriction</w:t>
            </w:r>
          </w:p>
        </w:tc>
      </w:tr>
      <w:tr w:rsidR="000132CF" w:rsidRPr="00394DDA" w14:paraId="5E2548CF"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384A36A7" w14:textId="77777777" w:rsidR="000132CF" w:rsidRPr="00394DDA" w:rsidRDefault="000132CF" w:rsidP="00F0784D">
            <w:pPr>
              <w:keepNext/>
              <w:keepLines/>
              <w:jc w:val="center"/>
              <w:rPr>
                <w:rFonts w:ascii="Arial Narrow" w:hAnsi="Arial Narrow"/>
                <w:color w:val="333333"/>
                <w:sz w:val="20"/>
                <w:szCs w:val="20"/>
              </w:rPr>
            </w:pPr>
          </w:p>
        </w:tc>
        <w:tc>
          <w:tcPr>
            <w:tcW w:w="7796" w:type="dxa"/>
            <w:gridSpan w:val="4"/>
            <w:vAlign w:val="center"/>
          </w:tcPr>
          <w:p w14:paraId="121F845B"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AND</w:t>
            </w:r>
          </w:p>
        </w:tc>
      </w:tr>
      <w:tr w:rsidR="000132CF" w:rsidRPr="00394DDA" w14:paraId="5E32839C"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57671E6A" w14:textId="79CDD436" w:rsidR="000132CF" w:rsidRPr="00394DDA" w:rsidRDefault="000132CF" w:rsidP="00F0784D">
            <w:pPr>
              <w:keepNext/>
              <w:keepLines/>
              <w:jc w:val="center"/>
              <w:rPr>
                <w:rFonts w:ascii="Arial Narrow" w:hAnsi="Arial Narrow"/>
                <w:color w:val="333333"/>
                <w:sz w:val="20"/>
                <w:szCs w:val="20"/>
              </w:rPr>
            </w:pPr>
            <w:r w:rsidRPr="00394DDA">
              <w:rPr>
                <w:rFonts w:ascii="Arial Narrow" w:hAnsi="Arial Narrow"/>
                <w:color w:val="333333"/>
                <w:sz w:val="20"/>
                <w:szCs w:val="20"/>
              </w:rPr>
              <w:t xml:space="preserve"> </w:t>
            </w:r>
          </w:p>
        </w:tc>
        <w:tc>
          <w:tcPr>
            <w:tcW w:w="7796" w:type="dxa"/>
            <w:gridSpan w:val="4"/>
            <w:vAlign w:val="center"/>
          </w:tcPr>
          <w:p w14:paraId="2A06B3F5" w14:textId="77777777" w:rsidR="000132CF" w:rsidRPr="00394DDA" w:rsidRDefault="000132CF" w:rsidP="00F0784D">
            <w:pPr>
              <w:keepNext/>
              <w:keepLines/>
              <w:rPr>
                <w:rFonts w:ascii="Arial Narrow" w:hAnsi="Arial Narrow"/>
                <w:i/>
                <w:iCs/>
                <w:color w:val="333333"/>
                <w:sz w:val="20"/>
                <w:szCs w:val="20"/>
              </w:rPr>
            </w:pPr>
            <w:r w:rsidRPr="00394DDA">
              <w:rPr>
                <w:rFonts w:ascii="Arial Narrow" w:hAnsi="Arial Narrow"/>
                <w:b/>
                <w:bCs/>
                <w:i/>
                <w:iCs/>
                <w:color w:val="333333"/>
                <w:sz w:val="20"/>
                <w:szCs w:val="20"/>
              </w:rPr>
              <w:t>Clinical criteria:</w:t>
            </w:r>
          </w:p>
        </w:tc>
      </w:tr>
      <w:tr w:rsidR="000132CF" w:rsidRPr="00394DDA" w14:paraId="00565C13"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52EFEE0F" w14:textId="6853209D" w:rsidR="000132CF" w:rsidRPr="00394DDA" w:rsidRDefault="000132CF" w:rsidP="00F0784D">
            <w:pPr>
              <w:keepNext/>
              <w:keepLines/>
              <w:jc w:val="center"/>
              <w:rPr>
                <w:rFonts w:ascii="Arial Narrow" w:hAnsi="Arial Narrow"/>
                <w:i/>
                <w:iCs/>
                <w:color w:val="333333"/>
                <w:sz w:val="20"/>
                <w:szCs w:val="20"/>
              </w:rPr>
            </w:pPr>
          </w:p>
        </w:tc>
        <w:tc>
          <w:tcPr>
            <w:tcW w:w="7796" w:type="dxa"/>
            <w:gridSpan w:val="4"/>
            <w:vAlign w:val="center"/>
          </w:tcPr>
          <w:p w14:paraId="598C8EFD" w14:textId="77777777" w:rsidR="000132CF" w:rsidRPr="00394DDA" w:rsidRDefault="000132CF" w:rsidP="00F0784D">
            <w:pPr>
              <w:keepNext/>
              <w:keepLines/>
              <w:rPr>
                <w:rFonts w:ascii="Arial Narrow" w:hAnsi="Arial Narrow"/>
                <w:i/>
                <w:iCs/>
                <w:color w:val="333333"/>
                <w:sz w:val="20"/>
                <w:szCs w:val="20"/>
              </w:rPr>
            </w:pPr>
            <w:r w:rsidRPr="00394DDA">
              <w:rPr>
                <w:rFonts w:ascii="Arial Narrow" w:hAnsi="Arial Narrow"/>
                <w:i/>
                <w:iCs/>
                <w:color w:val="333333"/>
                <w:sz w:val="20"/>
                <w:szCs w:val="20"/>
              </w:rPr>
              <w:t xml:space="preserve"> Patient must not have received prior treatment with this drug for this condition; or</w:t>
            </w:r>
          </w:p>
        </w:tc>
      </w:tr>
      <w:tr w:rsidR="000132CF" w:rsidRPr="00394DDA" w14:paraId="2D78C104"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0C17086B" w14:textId="581710C2" w:rsidR="000132CF" w:rsidRPr="00394DDA" w:rsidRDefault="000132CF" w:rsidP="00F0784D">
            <w:pPr>
              <w:jc w:val="center"/>
              <w:rPr>
                <w:rFonts w:ascii="Arial Narrow" w:hAnsi="Arial Narrow"/>
                <w:i/>
                <w:iCs/>
                <w:color w:val="333333"/>
                <w:sz w:val="20"/>
                <w:szCs w:val="20"/>
              </w:rPr>
            </w:pPr>
          </w:p>
        </w:tc>
        <w:tc>
          <w:tcPr>
            <w:tcW w:w="7796" w:type="dxa"/>
            <w:gridSpan w:val="4"/>
            <w:vAlign w:val="center"/>
          </w:tcPr>
          <w:p w14:paraId="6AAA973C" w14:textId="77777777" w:rsidR="000132CF" w:rsidRPr="00394DDA" w:rsidRDefault="000132CF" w:rsidP="00F0784D">
            <w:pPr>
              <w:rPr>
                <w:rFonts w:ascii="Arial Narrow" w:hAnsi="Arial Narrow"/>
                <w:i/>
                <w:iCs/>
                <w:color w:val="333333"/>
                <w:sz w:val="20"/>
                <w:szCs w:val="20"/>
              </w:rPr>
            </w:pPr>
            <w:r w:rsidRPr="00394DDA">
              <w:rPr>
                <w:rFonts w:ascii="Arial Narrow" w:hAnsi="Arial Narrow"/>
                <w:i/>
                <w:iCs/>
                <w:color w:val="333333"/>
                <w:sz w:val="20"/>
                <w:szCs w:val="20"/>
              </w:rPr>
              <w:t>Patient must not have failed PBS-subsidised treatment with this drug for this condition in the first-line setting</w:t>
            </w:r>
          </w:p>
        </w:tc>
      </w:tr>
      <w:tr w:rsidR="000132CF" w:rsidRPr="00394DDA" w14:paraId="0EA73238"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0C91740C" w14:textId="07EAC7A2" w:rsidR="000132CF" w:rsidRPr="00394DDA" w:rsidRDefault="000132CF" w:rsidP="00F0784D">
            <w:pPr>
              <w:jc w:val="center"/>
              <w:rPr>
                <w:rFonts w:ascii="Arial Narrow" w:hAnsi="Arial Narrow"/>
                <w:strike/>
                <w:color w:val="333333"/>
                <w:sz w:val="20"/>
                <w:szCs w:val="20"/>
              </w:rPr>
            </w:pPr>
          </w:p>
          <w:p w14:paraId="431DAFAD" w14:textId="77777777" w:rsidR="000132CF" w:rsidRPr="00394DDA" w:rsidRDefault="000132CF" w:rsidP="00F0784D">
            <w:pPr>
              <w:jc w:val="center"/>
              <w:rPr>
                <w:rFonts w:ascii="Arial Narrow" w:hAnsi="Arial Narrow"/>
                <w:strike/>
                <w:color w:val="333333"/>
                <w:sz w:val="20"/>
                <w:szCs w:val="20"/>
              </w:rPr>
            </w:pPr>
          </w:p>
          <w:p w14:paraId="64E945FB" w14:textId="54F94D92" w:rsidR="000132CF" w:rsidRPr="00394DDA" w:rsidRDefault="000132CF" w:rsidP="00F0784D">
            <w:pPr>
              <w:jc w:val="center"/>
              <w:rPr>
                <w:rFonts w:ascii="Arial Narrow" w:hAnsi="Arial Narrow"/>
                <w:color w:val="333333"/>
                <w:sz w:val="20"/>
                <w:szCs w:val="20"/>
              </w:rPr>
            </w:pPr>
            <w:r w:rsidRPr="00394DDA">
              <w:rPr>
                <w:rFonts w:ascii="Arial Narrow" w:hAnsi="Arial Narrow"/>
                <w:strike/>
                <w:color w:val="333333"/>
                <w:sz w:val="20"/>
                <w:szCs w:val="20"/>
              </w:rPr>
              <w:t>t</w:t>
            </w:r>
          </w:p>
        </w:tc>
        <w:tc>
          <w:tcPr>
            <w:tcW w:w="7796" w:type="dxa"/>
            <w:gridSpan w:val="4"/>
            <w:vAlign w:val="center"/>
          </w:tcPr>
          <w:p w14:paraId="642E889F" w14:textId="77777777" w:rsidR="000132CF" w:rsidRPr="00394DDA" w:rsidRDefault="000132CF" w:rsidP="00F0784D">
            <w:pPr>
              <w:rPr>
                <w:rFonts w:ascii="Arial Narrow" w:hAnsi="Arial Narrow"/>
                <w:b/>
                <w:bCs/>
                <w:strike/>
                <w:color w:val="333333"/>
                <w:sz w:val="20"/>
                <w:szCs w:val="20"/>
              </w:rPr>
            </w:pPr>
            <w:r w:rsidRPr="00394DDA">
              <w:rPr>
                <w:rFonts w:ascii="Arial Narrow" w:hAnsi="Arial Narrow"/>
                <w:b/>
                <w:bCs/>
                <w:strike/>
                <w:color w:val="333333"/>
                <w:sz w:val="20"/>
                <w:szCs w:val="20"/>
              </w:rPr>
              <w:t>Prescribing Instructions:</w:t>
            </w:r>
          </w:p>
          <w:p w14:paraId="683C1ED1" w14:textId="77777777" w:rsidR="000132CF" w:rsidRPr="00394DDA" w:rsidRDefault="000132CF" w:rsidP="00F0784D">
            <w:pPr>
              <w:rPr>
                <w:rFonts w:ascii="Arial Narrow" w:hAnsi="Arial Narrow"/>
                <w:strike/>
                <w:color w:val="333333"/>
                <w:sz w:val="20"/>
                <w:szCs w:val="20"/>
              </w:rPr>
            </w:pPr>
            <w:r w:rsidRPr="00394DDA">
              <w:rPr>
                <w:rFonts w:ascii="Arial Narrow" w:hAnsi="Arial Narrow"/>
                <w:strike/>
                <w:color w:val="333333"/>
                <w:sz w:val="20"/>
                <w:szCs w:val="20"/>
              </w:rPr>
              <w:t>Applications for authorisation of initial treatment must be made via the Online PBS Authorities System (real time assessment), or in writing via HPOS form upload or mail.</w:t>
            </w:r>
          </w:p>
          <w:p w14:paraId="657716B5" w14:textId="77777777" w:rsidR="000132CF" w:rsidRPr="00394DDA" w:rsidRDefault="000132CF" w:rsidP="00F0784D">
            <w:pPr>
              <w:rPr>
                <w:rFonts w:ascii="Arial Narrow" w:hAnsi="Arial Narrow"/>
                <w:strike/>
                <w:color w:val="333333"/>
                <w:sz w:val="20"/>
                <w:szCs w:val="20"/>
              </w:rPr>
            </w:pPr>
            <w:r w:rsidRPr="00394DDA">
              <w:rPr>
                <w:rFonts w:ascii="Arial Narrow" w:hAnsi="Arial Narrow"/>
                <w:strike/>
                <w:color w:val="333333"/>
                <w:sz w:val="20"/>
                <w:szCs w:val="20"/>
              </w:rPr>
              <w:t xml:space="preserve">If the application is submitted through HPOS upload or mail, it must include: </w:t>
            </w:r>
          </w:p>
          <w:p w14:paraId="24AF1557" w14:textId="77777777" w:rsidR="000132CF" w:rsidRPr="00394DDA" w:rsidRDefault="000132CF" w:rsidP="00F0784D">
            <w:pPr>
              <w:rPr>
                <w:rFonts w:ascii="Arial Narrow" w:hAnsi="Arial Narrow"/>
                <w:strike/>
                <w:color w:val="333333"/>
                <w:sz w:val="20"/>
                <w:szCs w:val="20"/>
              </w:rPr>
            </w:pPr>
            <w:r w:rsidRPr="00394DDA">
              <w:rPr>
                <w:rFonts w:ascii="Arial Narrow" w:hAnsi="Arial Narrow"/>
                <w:strike/>
                <w:color w:val="333333"/>
                <w:sz w:val="20"/>
                <w:szCs w:val="20"/>
              </w:rPr>
              <w:t>(a) a completed authority prescription form; and</w:t>
            </w:r>
          </w:p>
          <w:p w14:paraId="6BD2808C" w14:textId="77777777" w:rsidR="000132CF" w:rsidRPr="00394DDA" w:rsidRDefault="000132CF" w:rsidP="00F0784D">
            <w:pPr>
              <w:rPr>
                <w:rFonts w:ascii="Arial Narrow" w:hAnsi="Arial Narrow"/>
                <w:strike/>
                <w:color w:val="333333"/>
                <w:sz w:val="20"/>
                <w:szCs w:val="20"/>
              </w:rPr>
            </w:pPr>
            <w:r w:rsidRPr="00394DDA">
              <w:rPr>
                <w:rFonts w:ascii="Arial Narrow" w:hAnsi="Arial Narrow"/>
                <w:strike/>
                <w:color w:val="333333"/>
                <w:sz w:val="20"/>
                <w:szCs w:val="20"/>
              </w:rPr>
              <w:t xml:space="preserve">(b) a completed authority application form relevant to the indication and treatment phase (the latest version is located on the </w:t>
            </w:r>
          </w:p>
          <w:p w14:paraId="059A61D1" w14:textId="77777777" w:rsidR="000132CF" w:rsidRPr="00394DDA" w:rsidRDefault="000132CF" w:rsidP="00F0784D">
            <w:pPr>
              <w:rPr>
                <w:rFonts w:ascii="Arial Narrow" w:hAnsi="Arial Narrow"/>
                <w:strike/>
                <w:color w:val="333333"/>
                <w:sz w:val="20"/>
                <w:szCs w:val="20"/>
              </w:rPr>
            </w:pPr>
            <w:r w:rsidRPr="00394DDA">
              <w:rPr>
                <w:rFonts w:ascii="Arial Narrow" w:hAnsi="Arial Narrow"/>
                <w:strike/>
                <w:color w:val="333333"/>
                <w:sz w:val="20"/>
                <w:szCs w:val="20"/>
              </w:rPr>
              <w:t>website specified in the Administrative Advice).</w:t>
            </w:r>
          </w:p>
        </w:tc>
      </w:tr>
    </w:tbl>
    <w:p w14:paraId="3F3E5706" w14:textId="77777777" w:rsidR="000132CF" w:rsidRPr="009C0BD7" w:rsidRDefault="000132CF" w:rsidP="000132CF">
      <w:pPr>
        <w:rPr>
          <w:i/>
          <w:iCs/>
        </w:rPr>
      </w:pPr>
    </w:p>
    <w:p w14:paraId="559D625C" w14:textId="63643CB1" w:rsidR="000132CF" w:rsidRDefault="000551D8" w:rsidP="000132CF">
      <w:pPr>
        <w:keepNext/>
        <w:keepLines/>
        <w:rPr>
          <w:i/>
          <w:iCs/>
        </w:rPr>
      </w:pPr>
      <w:bookmarkStart w:id="66" w:name="_Toc192439120"/>
      <w:r w:rsidRPr="000551D8">
        <w:rPr>
          <w:i/>
          <w:iCs/>
        </w:rPr>
        <w:lastRenderedPageBreak/>
        <w:t>P</w:t>
      </w:r>
      <w:r w:rsidR="000132CF" w:rsidRPr="005C0153">
        <w:rPr>
          <w:i/>
          <w:iCs/>
        </w:rPr>
        <w:t>atients with relapsed or refractory HL who have previously undergone ASCT (continu</w:t>
      </w:r>
      <w:r w:rsidR="000132CF">
        <w:rPr>
          <w:i/>
          <w:iCs/>
        </w:rPr>
        <w:t>ing</w:t>
      </w:r>
      <w:r w:rsidR="000132CF" w:rsidRPr="005C0153">
        <w:rPr>
          <w:i/>
          <w:iCs/>
        </w:rPr>
        <w:t xml:space="preserve"> treatment)</w:t>
      </w:r>
      <w:bookmarkEnd w:id="66"/>
      <w:r w:rsidR="000132CF">
        <w:rPr>
          <w:i/>
          <w:iCs/>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552"/>
        <w:gridCol w:w="1417"/>
        <w:gridCol w:w="1134"/>
        <w:gridCol w:w="2693"/>
      </w:tblGrid>
      <w:tr w:rsidR="000132CF" w:rsidRPr="00394DDA" w14:paraId="2EA831B3" w14:textId="77777777" w:rsidTr="00F0784D">
        <w:trPr>
          <w:cantSplit/>
          <w:trHeight w:val="471"/>
        </w:trPr>
        <w:tc>
          <w:tcPr>
            <w:tcW w:w="3823" w:type="dxa"/>
            <w:gridSpan w:val="3"/>
            <w:tcBorders>
              <w:top w:val="single" w:sz="4" w:space="0" w:color="auto"/>
              <w:left w:val="single" w:sz="4" w:space="0" w:color="auto"/>
              <w:bottom w:val="single" w:sz="4" w:space="0" w:color="auto"/>
              <w:right w:val="single" w:sz="4" w:space="0" w:color="auto"/>
            </w:tcBorders>
          </w:tcPr>
          <w:p w14:paraId="11D353D1" w14:textId="77777777" w:rsidR="000132CF" w:rsidRPr="00394DDA" w:rsidRDefault="000132CF" w:rsidP="00F0784D">
            <w:pPr>
              <w:keepNext/>
              <w:keepLines/>
              <w:ind w:left="-57"/>
              <w:rPr>
                <w:rFonts w:ascii="Arial Narrow" w:hAnsi="Arial Narrow"/>
                <w:b/>
                <w:sz w:val="20"/>
                <w:szCs w:val="20"/>
              </w:rPr>
            </w:pPr>
            <w:r w:rsidRPr="00394DDA">
              <w:rPr>
                <w:rFonts w:ascii="Arial Narrow" w:hAnsi="Arial Narrow"/>
                <w:b/>
                <w:sz w:val="20"/>
                <w:szCs w:val="20"/>
              </w:rPr>
              <w:t>MEDICINAL PRODUCT</w:t>
            </w:r>
          </w:p>
          <w:p w14:paraId="73433E15" w14:textId="77777777" w:rsidR="000132CF" w:rsidRPr="00394DDA" w:rsidRDefault="000132CF" w:rsidP="00F0784D">
            <w:pPr>
              <w:keepNext/>
              <w:keepLines/>
              <w:ind w:left="-57"/>
              <w:rPr>
                <w:rFonts w:ascii="Arial Narrow" w:hAnsi="Arial Narrow"/>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B19E91"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b/>
                <w:sz w:val="20"/>
                <w:szCs w:val="20"/>
              </w:rPr>
              <w:t>PBS item code</w:t>
            </w:r>
          </w:p>
        </w:tc>
        <w:tc>
          <w:tcPr>
            <w:tcW w:w="1134" w:type="dxa"/>
            <w:tcBorders>
              <w:top w:val="single" w:sz="4" w:space="0" w:color="auto"/>
              <w:left w:val="single" w:sz="4" w:space="0" w:color="auto"/>
              <w:bottom w:val="single" w:sz="4" w:space="0" w:color="auto"/>
              <w:right w:val="single" w:sz="4" w:space="0" w:color="auto"/>
            </w:tcBorders>
          </w:tcPr>
          <w:p w14:paraId="3A1D1318"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b/>
                <w:sz w:val="20"/>
                <w:szCs w:val="20"/>
              </w:rPr>
              <w:t>Max.</w:t>
            </w:r>
          </w:p>
          <w:p w14:paraId="08724149"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b/>
                <w:sz w:val="20"/>
                <w:szCs w:val="20"/>
              </w:rPr>
              <w:t>Amount</w:t>
            </w:r>
          </w:p>
        </w:tc>
        <w:tc>
          <w:tcPr>
            <w:tcW w:w="2693" w:type="dxa"/>
            <w:tcBorders>
              <w:top w:val="single" w:sz="4" w:space="0" w:color="auto"/>
              <w:left w:val="single" w:sz="4" w:space="0" w:color="auto"/>
              <w:bottom w:val="single" w:sz="4" w:space="0" w:color="auto"/>
              <w:right w:val="single" w:sz="4" w:space="0" w:color="auto"/>
            </w:tcBorders>
          </w:tcPr>
          <w:p w14:paraId="223F3E86"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b/>
                <w:sz w:val="20"/>
                <w:szCs w:val="20"/>
              </w:rPr>
              <w:t>№.of</w:t>
            </w:r>
          </w:p>
          <w:p w14:paraId="6F4E6C93"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b/>
                <w:sz w:val="20"/>
                <w:szCs w:val="20"/>
              </w:rPr>
              <w:t>Rpts</w:t>
            </w:r>
          </w:p>
        </w:tc>
      </w:tr>
      <w:tr w:rsidR="000132CF" w:rsidRPr="00394DDA" w14:paraId="27781D80" w14:textId="77777777" w:rsidTr="00F0784D">
        <w:trPr>
          <w:cantSplit/>
          <w:trHeight w:val="471"/>
        </w:trPr>
        <w:tc>
          <w:tcPr>
            <w:tcW w:w="3823" w:type="dxa"/>
            <w:gridSpan w:val="3"/>
            <w:tcBorders>
              <w:top w:val="single" w:sz="4" w:space="0" w:color="auto"/>
              <w:left w:val="single" w:sz="4" w:space="0" w:color="auto"/>
              <w:bottom w:val="single" w:sz="4" w:space="0" w:color="auto"/>
              <w:right w:val="single" w:sz="4" w:space="0" w:color="auto"/>
            </w:tcBorders>
          </w:tcPr>
          <w:p w14:paraId="058761E5" w14:textId="77777777" w:rsidR="000132CF" w:rsidRPr="00394DDA" w:rsidRDefault="000132CF" w:rsidP="00F0784D">
            <w:pPr>
              <w:keepNext/>
              <w:keepLines/>
              <w:ind w:left="-57"/>
              <w:rPr>
                <w:rFonts w:ascii="Arial Narrow" w:hAnsi="Arial Narrow"/>
                <w:sz w:val="20"/>
                <w:szCs w:val="20"/>
              </w:rPr>
            </w:pPr>
            <w:r w:rsidRPr="00394DDA">
              <w:rPr>
                <w:rFonts w:ascii="Arial Narrow" w:hAnsi="Arial Narrow"/>
                <w:sz w:val="20"/>
                <w:szCs w:val="20"/>
              </w:rPr>
              <w:t xml:space="preserve">BRENTUXIMAB VEDOTIN </w:t>
            </w:r>
          </w:p>
          <w:p w14:paraId="35C334B5" w14:textId="432D7222" w:rsidR="000132CF" w:rsidRPr="00902E9F" w:rsidRDefault="000132CF" w:rsidP="00F0784D">
            <w:pPr>
              <w:keepNext/>
              <w:keepLines/>
              <w:ind w:left="-57"/>
              <w:rPr>
                <w:rFonts w:ascii="Arial Narrow" w:hAnsi="Arial Narrow"/>
                <w:b/>
                <w:sz w:val="20"/>
                <w:szCs w:val="20"/>
              </w:rPr>
            </w:pPr>
            <w:r w:rsidRPr="00902E9F">
              <w:rPr>
                <w:rFonts w:ascii="Arial Narrow" w:hAnsi="Arial Narrow"/>
                <w:sz w:val="20"/>
                <w:szCs w:val="20"/>
              </w:rPr>
              <w:t xml:space="preserve">Injection </w:t>
            </w:r>
          </w:p>
        </w:tc>
        <w:tc>
          <w:tcPr>
            <w:tcW w:w="1417" w:type="dxa"/>
            <w:tcBorders>
              <w:top w:val="single" w:sz="4" w:space="0" w:color="auto"/>
              <w:left w:val="single" w:sz="4" w:space="0" w:color="auto"/>
              <w:bottom w:val="single" w:sz="4" w:space="0" w:color="auto"/>
              <w:right w:val="single" w:sz="4" w:space="0" w:color="auto"/>
            </w:tcBorders>
          </w:tcPr>
          <w:p w14:paraId="1CC9C52B" w14:textId="77777777" w:rsidR="000132CF" w:rsidRPr="00B62612" w:rsidRDefault="000132CF" w:rsidP="00F0784D">
            <w:pPr>
              <w:keepNext/>
              <w:keepLines/>
              <w:ind w:left="-57"/>
              <w:jc w:val="center"/>
              <w:rPr>
                <w:rFonts w:ascii="Arial Narrow" w:hAnsi="Arial Narrow"/>
                <w:i/>
                <w:iCs/>
                <w:sz w:val="20"/>
                <w:szCs w:val="20"/>
              </w:rPr>
            </w:pPr>
            <w:r w:rsidRPr="00394DDA">
              <w:rPr>
                <w:rFonts w:ascii="Arial Narrow" w:hAnsi="Arial Narrow"/>
                <w:sz w:val="20"/>
                <w:szCs w:val="20"/>
              </w:rPr>
              <w:t>11067L</w:t>
            </w:r>
            <w:r>
              <w:rPr>
                <w:rFonts w:ascii="Arial Narrow" w:hAnsi="Arial Narrow"/>
                <w:sz w:val="20"/>
                <w:szCs w:val="20"/>
              </w:rPr>
              <w:t xml:space="preserve"> </w:t>
            </w:r>
            <w:r w:rsidRPr="00B62612">
              <w:rPr>
                <w:rFonts w:ascii="Arial Narrow" w:hAnsi="Arial Narrow"/>
                <w:i/>
                <w:iCs/>
                <w:sz w:val="20"/>
                <w:szCs w:val="20"/>
              </w:rPr>
              <w:t>(IN)</w:t>
            </w:r>
          </w:p>
          <w:p w14:paraId="039DCC0E"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sz w:val="20"/>
                <w:szCs w:val="20"/>
              </w:rPr>
              <w:t>11096B</w:t>
            </w:r>
            <w:r>
              <w:rPr>
                <w:rFonts w:ascii="Arial Narrow" w:hAnsi="Arial Narrow"/>
                <w:sz w:val="20"/>
                <w:szCs w:val="20"/>
              </w:rPr>
              <w:t xml:space="preserve"> </w:t>
            </w:r>
            <w:r w:rsidRPr="00B62612">
              <w:rPr>
                <w:rFonts w:ascii="Arial Narrow" w:hAnsi="Arial Narrow"/>
                <w:i/>
                <w:iCs/>
                <w:sz w:val="20"/>
                <w:szCs w:val="20"/>
              </w:rPr>
              <w:t>(IP)</w:t>
            </w:r>
          </w:p>
        </w:tc>
        <w:tc>
          <w:tcPr>
            <w:tcW w:w="1134" w:type="dxa"/>
            <w:tcBorders>
              <w:top w:val="single" w:sz="4" w:space="0" w:color="auto"/>
              <w:left w:val="single" w:sz="4" w:space="0" w:color="auto"/>
              <w:bottom w:val="single" w:sz="4" w:space="0" w:color="auto"/>
              <w:right w:val="single" w:sz="4" w:space="0" w:color="auto"/>
            </w:tcBorders>
          </w:tcPr>
          <w:p w14:paraId="57A9E8DC"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iCs/>
                <w:sz w:val="20"/>
                <w:szCs w:val="20"/>
              </w:rPr>
              <w:t>200 mg</w:t>
            </w:r>
          </w:p>
        </w:tc>
        <w:tc>
          <w:tcPr>
            <w:tcW w:w="2693" w:type="dxa"/>
            <w:tcBorders>
              <w:top w:val="single" w:sz="4" w:space="0" w:color="auto"/>
              <w:left w:val="single" w:sz="4" w:space="0" w:color="auto"/>
              <w:bottom w:val="single" w:sz="4" w:space="0" w:color="auto"/>
              <w:right w:val="single" w:sz="4" w:space="0" w:color="auto"/>
            </w:tcBorders>
          </w:tcPr>
          <w:p w14:paraId="2C572D78" w14:textId="77777777" w:rsidR="000132CF" w:rsidRPr="00394DDA" w:rsidRDefault="000132CF" w:rsidP="00F0784D">
            <w:pPr>
              <w:keepNext/>
              <w:keepLines/>
              <w:ind w:left="-57"/>
              <w:jc w:val="center"/>
              <w:rPr>
                <w:rFonts w:ascii="Arial Narrow" w:hAnsi="Arial Narrow"/>
                <w:b/>
                <w:sz w:val="20"/>
                <w:szCs w:val="20"/>
              </w:rPr>
            </w:pPr>
            <w:r w:rsidRPr="00394DDA">
              <w:rPr>
                <w:rFonts w:ascii="Arial Narrow" w:hAnsi="Arial Narrow"/>
                <w:sz w:val="20"/>
                <w:szCs w:val="20"/>
              </w:rPr>
              <w:t>11</w:t>
            </w:r>
          </w:p>
        </w:tc>
      </w:tr>
      <w:tr w:rsidR="000132CF" w:rsidRPr="00394DDA" w14:paraId="032079BE" w14:textId="77777777" w:rsidTr="00F0784D">
        <w:trPr>
          <w:cantSplit/>
          <w:trHeight w:val="225"/>
        </w:trPr>
        <w:tc>
          <w:tcPr>
            <w:tcW w:w="9067" w:type="dxa"/>
            <w:gridSpan w:val="6"/>
          </w:tcPr>
          <w:p w14:paraId="46108739" w14:textId="77777777" w:rsidR="000132CF" w:rsidRPr="00394DDA" w:rsidRDefault="000132CF" w:rsidP="00F0784D">
            <w:pPr>
              <w:keepNext/>
              <w:keepLines/>
              <w:ind w:left="-57"/>
              <w:rPr>
                <w:rFonts w:ascii="Arial Narrow" w:hAnsi="Arial Narrow"/>
                <w:b/>
                <w:bCs/>
                <w:sz w:val="20"/>
                <w:szCs w:val="20"/>
              </w:rPr>
            </w:pPr>
            <w:r w:rsidRPr="00394DDA">
              <w:rPr>
                <w:rFonts w:ascii="Arial Narrow" w:hAnsi="Arial Narrow"/>
                <w:b/>
                <w:bCs/>
                <w:sz w:val="20"/>
                <w:szCs w:val="20"/>
              </w:rPr>
              <w:t>Available brands</w:t>
            </w:r>
          </w:p>
        </w:tc>
      </w:tr>
      <w:tr w:rsidR="000132CF" w:rsidRPr="00394DDA" w14:paraId="7DE37BE9" w14:textId="77777777" w:rsidTr="00F0784D">
        <w:trPr>
          <w:cantSplit/>
          <w:trHeight w:val="99"/>
        </w:trPr>
        <w:tc>
          <w:tcPr>
            <w:tcW w:w="9067" w:type="dxa"/>
            <w:gridSpan w:val="6"/>
          </w:tcPr>
          <w:p w14:paraId="0FEB0DF2" w14:textId="16E59836" w:rsidR="000132CF" w:rsidRPr="00394DDA" w:rsidRDefault="00292405" w:rsidP="00F0784D">
            <w:pPr>
              <w:keepNext/>
              <w:keepLines/>
              <w:ind w:left="-57"/>
              <w:rPr>
                <w:rFonts w:ascii="Arial Narrow" w:hAnsi="Arial Narrow"/>
                <w:sz w:val="20"/>
                <w:szCs w:val="20"/>
              </w:rPr>
            </w:pPr>
            <w:r w:rsidRPr="00394DDA">
              <w:rPr>
                <w:rFonts w:ascii="Arial Narrow" w:hAnsi="Arial Narrow"/>
                <w:sz w:val="20"/>
                <w:szCs w:val="20"/>
              </w:rPr>
              <w:t>A</w:t>
            </w:r>
            <w:r>
              <w:rPr>
                <w:rFonts w:ascii="Arial Narrow" w:hAnsi="Arial Narrow"/>
                <w:sz w:val="20"/>
                <w:szCs w:val="20"/>
              </w:rPr>
              <w:t>dcetris</w:t>
            </w:r>
          </w:p>
          <w:p w14:paraId="4782BEEE" w14:textId="77777777" w:rsidR="000132CF" w:rsidRPr="00394DDA" w:rsidRDefault="000132CF" w:rsidP="00F0784D">
            <w:pPr>
              <w:keepNext/>
              <w:keepLines/>
              <w:ind w:left="-57"/>
              <w:rPr>
                <w:rFonts w:ascii="Arial Narrow" w:hAnsi="Arial Narrow"/>
                <w:sz w:val="20"/>
                <w:szCs w:val="20"/>
              </w:rPr>
            </w:pPr>
            <w:r w:rsidRPr="00394DDA">
              <w:rPr>
                <w:rFonts w:ascii="Arial Narrow" w:hAnsi="Arial Narrow"/>
                <w:sz w:val="20"/>
                <w:szCs w:val="20"/>
              </w:rPr>
              <w:t>(brentuximab vedotin 50 mg injection, 1 vial)</w:t>
            </w:r>
          </w:p>
        </w:tc>
      </w:tr>
      <w:tr w:rsidR="000132CF" w:rsidRPr="00394DDA" w14:paraId="263A917A" w14:textId="77777777" w:rsidTr="00F0784D">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1B15967A"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sz w:val="20"/>
                <w:szCs w:val="20"/>
                <w:lang w:val="en-GB"/>
              </w:rPr>
              <w:t xml:space="preserve">Restriction Summary </w:t>
            </w:r>
            <w:r w:rsidRPr="00394DDA">
              <w:rPr>
                <w:rFonts w:ascii="Arial Narrow" w:hAnsi="Arial Narrow"/>
                <w:bCs/>
                <w:sz w:val="20"/>
                <w:szCs w:val="20"/>
                <w:lang w:val="en-GB"/>
              </w:rPr>
              <w:t xml:space="preserve">13244 </w:t>
            </w:r>
            <w:r w:rsidRPr="00394DDA">
              <w:rPr>
                <w:rFonts w:ascii="Arial Narrow" w:hAnsi="Arial Narrow"/>
                <w:b/>
                <w:sz w:val="20"/>
                <w:szCs w:val="20"/>
                <w:lang w:val="en-GB"/>
              </w:rPr>
              <w:t xml:space="preserve">/ Treatment of Concept: </w:t>
            </w:r>
            <w:r w:rsidRPr="00394DDA">
              <w:rPr>
                <w:rFonts w:ascii="Arial Narrow" w:hAnsi="Arial Narrow"/>
                <w:iCs/>
                <w:sz w:val="20"/>
                <w:szCs w:val="20"/>
                <w:lang w:val="en-GB"/>
              </w:rPr>
              <w:t xml:space="preserve">13208: </w:t>
            </w:r>
            <w:r w:rsidRPr="009272D0">
              <w:rPr>
                <w:rFonts w:ascii="Arial Narrow" w:hAnsi="Arial Narrow"/>
                <w:b/>
                <w:sz w:val="20"/>
                <w:szCs w:val="20"/>
                <w:lang w:val="en-GB"/>
              </w:rPr>
              <w:t>Authority Required</w:t>
            </w:r>
            <w:r w:rsidRPr="00394DDA">
              <w:rPr>
                <w:rFonts w:ascii="Arial Narrow" w:hAnsi="Arial Narrow"/>
                <w:b/>
                <w:bCs/>
                <w:iCs/>
                <w:sz w:val="20"/>
                <w:szCs w:val="20"/>
                <w:lang w:val="en-GB"/>
              </w:rPr>
              <w:t xml:space="preserve"> </w:t>
            </w:r>
          </w:p>
        </w:tc>
      </w:tr>
      <w:tr w:rsidR="000132CF" w:rsidRPr="00394DDA" w14:paraId="49CFFCA9" w14:textId="77777777" w:rsidTr="00F0784D">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Pr>
          <w:p w14:paraId="2FEBAFEA" w14:textId="77777777" w:rsidR="000132CF" w:rsidRPr="00394DDA" w:rsidRDefault="000132CF" w:rsidP="00F0784D">
            <w:pPr>
              <w:keepNext/>
              <w:keepLines/>
              <w:jc w:val="center"/>
              <w:rPr>
                <w:rFonts w:ascii="Arial Narrow" w:hAnsi="Arial Narrow"/>
                <w:b/>
                <w:sz w:val="20"/>
                <w:szCs w:val="20"/>
              </w:rPr>
            </w:pPr>
            <w:r w:rsidRPr="00394DDA">
              <w:rPr>
                <w:rFonts w:ascii="Arial Narrow" w:hAnsi="Arial Narrow"/>
                <w:b/>
                <w:sz w:val="20"/>
                <w:szCs w:val="20"/>
              </w:rPr>
              <w:t xml:space="preserve">Concept ID </w:t>
            </w:r>
            <w:r w:rsidRPr="00394DDA">
              <w:rPr>
                <w:rFonts w:ascii="Arial Narrow" w:hAnsi="Arial Narrow"/>
                <w:sz w:val="20"/>
                <w:szCs w:val="20"/>
              </w:rPr>
              <w:t>(for internal Dept. use)</w:t>
            </w:r>
          </w:p>
        </w:tc>
        <w:tc>
          <w:tcPr>
            <w:tcW w:w="7796" w:type="dxa"/>
            <w:gridSpan w:val="4"/>
          </w:tcPr>
          <w:p w14:paraId="7FC87F7E" w14:textId="77777777" w:rsidR="000132CF" w:rsidRPr="00394DDA" w:rsidRDefault="000132CF" w:rsidP="00F0784D">
            <w:pPr>
              <w:keepNext/>
              <w:keepLines/>
              <w:rPr>
                <w:rFonts w:ascii="Arial Narrow" w:hAnsi="Arial Narrow"/>
                <w:sz w:val="20"/>
                <w:szCs w:val="20"/>
              </w:rPr>
            </w:pPr>
            <w:r w:rsidRPr="00394DDA">
              <w:rPr>
                <w:rFonts w:ascii="Arial Narrow" w:hAnsi="Arial Narrow"/>
                <w:b/>
                <w:sz w:val="20"/>
                <w:szCs w:val="20"/>
              </w:rPr>
              <w:t xml:space="preserve">Category / Program: </w:t>
            </w:r>
            <w:r w:rsidRPr="00394DDA">
              <w:rPr>
                <w:rFonts w:ascii="Arial Narrow" w:hAnsi="Arial Narrow"/>
                <w:sz w:val="20"/>
                <w:szCs w:val="20"/>
              </w:rPr>
              <w:t>Section 100 – Efficient Funding of Chemotherapy Public/Private hospitals</w:t>
            </w:r>
          </w:p>
        </w:tc>
      </w:tr>
      <w:tr w:rsidR="000132CF" w:rsidRPr="00394DDA" w14:paraId="2F17DDFA" w14:textId="77777777" w:rsidTr="00F0784D">
        <w:tblPrEx>
          <w:tblCellMar>
            <w:top w:w="15" w:type="dxa"/>
            <w:bottom w:w="15" w:type="dxa"/>
          </w:tblCellMar>
          <w:tblLook w:val="04A0" w:firstRow="1" w:lastRow="0" w:firstColumn="1" w:lastColumn="0" w:noHBand="0" w:noVBand="1"/>
        </w:tblPrEx>
        <w:trPr>
          <w:cantSplit/>
          <w:trHeight w:val="20"/>
        </w:trPr>
        <w:tc>
          <w:tcPr>
            <w:tcW w:w="1271" w:type="dxa"/>
            <w:gridSpan w:val="2"/>
            <w:vMerge/>
          </w:tcPr>
          <w:p w14:paraId="4B1CAAD9" w14:textId="77777777" w:rsidR="000132CF" w:rsidRPr="00394DDA" w:rsidRDefault="000132CF" w:rsidP="00F0784D">
            <w:pPr>
              <w:keepNext/>
              <w:keepLines/>
              <w:rPr>
                <w:rFonts w:ascii="Arial Narrow" w:hAnsi="Arial Narrow"/>
                <w:sz w:val="20"/>
                <w:szCs w:val="20"/>
              </w:rPr>
            </w:pPr>
          </w:p>
        </w:tc>
        <w:tc>
          <w:tcPr>
            <w:tcW w:w="7796" w:type="dxa"/>
            <w:gridSpan w:val="4"/>
          </w:tcPr>
          <w:p w14:paraId="25D31D4D" w14:textId="77777777" w:rsidR="000132CF" w:rsidRPr="00394DDA" w:rsidRDefault="000132CF" w:rsidP="00F0784D">
            <w:pPr>
              <w:keepNext/>
              <w:keepLines/>
              <w:rPr>
                <w:rFonts w:ascii="Arial Narrow" w:hAnsi="Arial Narrow"/>
                <w:b/>
                <w:sz w:val="20"/>
                <w:szCs w:val="20"/>
              </w:rPr>
            </w:pPr>
            <w:r w:rsidRPr="00394DDA">
              <w:rPr>
                <w:rFonts w:ascii="Arial Narrow" w:hAnsi="Arial Narrow"/>
                <w:b/>
                <w:sz w:val="20"/>
                <w:szCs w:val="20"/>
              </w:rPr>
              <w:t xml:space="preserve">Prescriber type: </w:t>
            </w:r>
            <w:r w:rsidRPr="00394DDA">
              <w:rPr>
                <w:rFonts w:ascii="Arial Narrow" w:hAnsi="Arial Narrow"/>
                <w:sz w:val="20"/>
                <w:szCs w:val="20"/>
              </w:rPr>
              <w:fldChar w:fldCharType="begin">
                <w:ffData>
                  <w:name w:val=""/>
                  <w:enabled/>
                  <w:calcOnExit w:val="0"/>
                  <w:checkBox>
                    <w:sizeAuto/>
                    <w:default w:val="1"/>
                  </w:checkBox>
                </w:ffData>
              </w:fldChar>
            </w:r>
            <w:r w:rsidRPr="00394DDA">
              <w:rPr>
                <w:rFonts w:ascii="Arial Narrow" w:hAnsi="Arial Narrow"/>
                <w:sz w:val="20"/>
                <w:szCs w:val="20"/>
              </w:rPr>
              <w:instrText xml:space="preserve"> FORMCHECKBOX </w:instrText>
            </w:r>
            <w:r w:rsidRPr="00394DDA">
              <w:rPr>
                <w:rFonts w:ascii="Arial Narrow" w:hAnsi="Arial Narrow"/>
                <w:sz w:val="20"/>
                <w:szCs w:val="20"/>
              </w:rPr>
            </w:r>
            <w:r w:rsidRPr="00394DDA">
              <w:rPr>
                <w:rFonts w:ascii="Arial Narrow" w:hAnsi="Arial Narrow"/>
                <w:sz w:val="20"/>
                <w:szCs w:val="20"/>
              </w:rPr>
              <w:fldChar w:fldCharType="separate"/>
            </w:r>
            <w:r w:rsidRPr="00394DDA">
              <w:rPr>
                <w:rFonts w:ascii="Arial Narrow" w:hAnsi="Arial Narrow"/>
                <w:sz w:val="20"/>
                <w:szCs w:val="20"/>
              </w:rPr>
              <w:fldChar w:fldCharType="end"/>
            </w:r>
            <w:r w:rsidRPr="00394DDA">
              <w:rPr>
                <w:rFonts w:ascii="Arial Narrow" w:hAnsi="Arial Narrow"/>
                <w:sz w:val="20"/>
                <w:szCs w:val="20"/>
              </w:rPr>
              <w:t xml:space="preserve">Medical Practitioners </w:t>
            </w:r>
          </w:p>
        </w:tc>
      </w:tr>
      <w:tr w:rsidR="000132CF" w:rsidRPr="00394DDA" w14:paraId="55115384" w14:textId="77777777" w:rsidTr="00F0784D">
        <w:tblPrEx>
          <w:tblCellMar>
            <w:top w:w="15" w:type="dxa"/>
            <w:bottom w:w="15" w:type="dxa"/>
          </w:tblCellMar>
          <w:tblLook w:val="04A0" w:firstRow="1" w:lastRow="0" w:firstColumn="1" w:lastColumn="0" w:noHBand="0" w:noVBand="1"/>
        </w:tblPrEx>
        <w:trPr>
          <w:cantSplit/>
          <w:trHeight w:val="20"/>
        </w:trPr>
        <w:tc>
          <w:tcPr>
            <w:tcW w:w="1271" w:type="dxa"/>
            <w:gridSpan w:val="2"/>
            <w:vMerge/>
          </w:tcPr>
          <w:p w14:paraId="41AB92D7" w14:textId="77777777" w:rsidR="000132CF" w:rsidRPr="00394DDA" w:rsidRDefault="000132CF" w:rsidP="00F0784D">
            <w:pPr>
              <w:keepNext/>
              <w:keepLines/>
              <w:rPr>
                <w:rFonts w:ascii="Arial Narrow" w:hAnsi="Arial Narrow"/>
                <w:sz w:val="20"/>
                <w:szCs w:val="20"/>
              </w:rPr>
            </w:pPr>
          </w:p>
        </w:tc>
        <w:tc>
          <w:tcPr>
            <w:tcW w:w="7796" w:type="dxa"/>
            <w:gridSpan w:val="4"/>
          </w:tcPr>
          <w:p w14:paraId="6E2D25D5" w14:textId="77777777" w:rsidR="000132CF" w:rsidRPr="00394DDA" w:rsidRDefault="000132CF" w:rsidP="00F0784D">
            <w:pPr>
              <w:keepNext/>
              <w:keepLines/>
              <w:rPr>
                <w:rFonts w:ascii="Arial Narrow" w:hAnsi="Arial Narrow"/>
                <w:b/>
                <w:i/>
                <w:iCs/>
                <w:sz w:val="20"/>
                <w:szCs w:val="20"/>
              </w:rPr>
            </w:pPr>
            <w:r w:rsidRPr="00394DDA">
              <w:rPr>
                <w:rFonts w:ascii="Arial Narrow" w:hAnsi="Arial Narrow"/>
                <w:b/>
                <w:sz w:val="20"/>
                <w:szCs w:val="20"/>
              </w:rPr>
              <w:t xml:space="preserve">Restriction type: </w:t>
            </w:r>
            <w:r w:rsidRPr="009272D0">
              <w:rPr>
                <w:rFonts w:ascii="Arial Narrow" w:eastAsia="Calibri" w:hAnsi="Arial Narrow"/>
                <w:sz w:val="20"/>
                <w:szCs w:val="20"/>
              </w:rPr>
              <w:fldChar w:fldCharType="begin">
                <w:ffData>
                  <w:name w:val=""/>
                  <w:enabled/>
                  <w:calcOnExit w:val="0"/>
                  <w:checkBox>
                    <w:sizeAuto/>
                    <w:default w:val="1"/>
                  </w:checkBox>
                </w:ffData>
              </w:fldChar>
            </w:r>
            <w:r w:rsidRPr="009272D0">
              <w:rPr>
                <w:rFonts w:ascii="Arial Narrow" w:eastAsia="Calibri" w:hAnsi="Arial Narrow"/>
                <w:sz w:val="20"/>
                <w:szCs w:val="20"/>
              </w:rPr>
              <w:instrText xml:space="preserve"> FORMCHECKBOX </w:instrText>
            </w:r>
            <w:r w:rsidRPr="009272D0">
              <w:rPr>
                <w:rFonts w:ascii="Arial Narrow" w:eastAsia="Calibri" w:hAnsi="Arial Narrow"/>
                <w:sz w:val="20"/>
                <w:szCs w:val="20"/>
              </w:rPr>
            </w:r>
            <w:r w:rsidRPr="009272D0">
              <w:rPr>
                <w:rFonts w:ascii="Arial Narrow" w:eastAsia="Calibri" w:hAnsi="Arial Narrow"/>
                <w:sz w:val="20"/>
                <w:szCs w:val="20"/>
              </w:rPr>
              <w:fldChar w:fldCharType="separate"/>
            </w:r>
            <w:r w:rsidRPr="009272D0">
              <w:rPr>
                <w:rFonts w:ascii="Arial Narrow" w:eastAsia="Calibri" w:hAnsi="Arial Narrow"/>
                <w:sz w:val="20"/>
                <w:szCs w:val="20"/>
              </w:rPr>
              <w:fldChar w:fldCharType="end"/>
            </w:r>
            <w:r w:rsidRPr="009272D0">
              <w:rPr>
                <w:rFonts w:ascii="Arial Narrow" w:eastAsia="Calibri" w:hAnsi="Arial Narrow"/>
                <w:sz w:val="20"/>
                <w:szCs w:val="20"/>
              </w:rPr>
              <w:t>Authority Required (telephone/online)</w:t>
            </w:r>
            <w:r w:rsidRPr="00394DDA">
              <w:rPr>
                <w:rFonts w:ascii="Arial Narrow" w:eastAsia="Calibri" w:hAnsi="Arial Narrow"/>
                <w:sz w:val="20"/>
                <w:szCs w:val="20"/>
              </w:rPr>
              <w:t xml:space="preserve"> </w:t>
            </w:r>
          </w:p>
        </w:tc>
      </w:tr>
      <w:tr w:rsidR="000132CF" w:rsidRPr="00394DDA" w14:paraId="611D322E" w14:textId="77777777" w:rsidTr="00F0784D">
        <w:tblPrEx>
          <w:tblCellMar>
            <w:top w:w="15" w:type="dxa"/>
            <w:bottom w:w="15" w:type="dxa"/>
          </w:tblCellMar>
          <w:tblLook w:val="04A0" w:firstRow="1" w:lastRow="0" w:firstColumn="1" w:lastColumn="0" w:noHBand="0" w:noVBand="1"/>
        </w:tblPrEx>
        <w:trPr>
          <w:trHeight w:val="683"/>
        </w:trPr>
        <w:tc>
          <w:tcPr>
            <w:tcW w:w="562" w:type="dxa"/>
            <w:vMerge w:val="restart"/>
            <w:textDirection w:val="btLr"/>
            <w:vAlign w:val="center"/>
          </w:tcPr>
          <w:p w14:paraId="14BDC19A" w14:textId="77777777" w:rsidR="000132CF" w:rsidRPr="00394DDA" w:rsidRDefault="000132CF" w:rsidP="00F0784D">
            <w:pPr>
              <w:keepNext/>
              <w:keepLines/>
              <w:ind w:right="113"/>
              <w:jc w:val="center"/>
              <w:rPr>
                <w:rFonts w:ascii="Arial Narrow" w:hAnsi="Arial Narrow"/>
                <w:color w:val="333333"/>
                <w:sz w:val="20"/>
                <w:szCs w:val="20"/>
              </w:rPr>
            </w:pPr>
            <w:r w:rsidRPr="00394DDA">
              <w:rPr>
                <w:rFonts w:ascii="Arial Narrow" w:hAnsi="Arial Narrow"/>
                <w:color w:val="333333"/>
                <w:sz w:val="20"/>
                <w:szCs w:val="20"/>
              </w:rPr>
              <w:t>Prescribing rule level</w:t>
            </w:r>
          </w:p>
        </w:tc>
        <w:tc>
          <w:tcPr>
            <w:tcW w:w="709" w:type="dxa"/>
            <w:vAlign w:val="center"/>
          </w:tcPr>
          <w:p w14:paraId="4EB8F1D5" w14:textId="7B21AAF5" w:rsidR="000132CF" w:rsidRPr="009272D0" w:rsidRDefault="000132CF" w:rsidP="00F0784D">
            <w:pPr>
              <w:keepNext/>
              <w:keepLines/>
              <w:jc w:val="center"/>
              <w:rPr>
                <w:rFonts w:ascii="Arial Narrow" w:hAnsi="Arial Narrow"/>
                <w:color w:val="333333"/>
                <w:sz w:val="20"/>
                <w:szCs w:val="20"/>
              </w:rPr>
            </w:pPr>
          </w:p>
          <w:p w14:paraId="28225DC2" w14:textId="55A87FCD" w:rsidR="000132CF" w:rsidRPr="009272D0" w:rsidRDefault="000132CF" w:rsidP="00F0784D">
            <w:pPr>
              <w:keepNext/>
              <w:keepLines/>
              <w:ind w:hanging="35"/>
              <w:jc w:val="center"/>
              <w:rPr>
                <w:rFonts w:ascii="Arial Narrow" w:hAnsi="Arial Narrow"/>
                <w:color w:val="333333"/>
                <w:sz w:val="20"/>
                <w:szCs w:val="20"/>
              </w:rPr>
            </w:pPr>
            <w:r w:rsidRPr="009272D0">
              <w:rPr>
                <w:rFonts w:ascii="Arial Narrow" w:hAnsi="Arial Narrow"/>
                <w:color w:val="333333"/>
                <w:sz w:val="20"/>
                <w:szCs w:val="20"/>
              </w:rPr>
              <w:t xml:space="preserve"> </w:t>
            </w:r>
          </w:p>
          <w:p w14:paraId="4973AC19" w14:textId="77777777" w:rsidR="000132CF" w:rsidRPr="009272D0" w:rsidRDefault="000132CF" w:rsidP="00F0784D">
            <w:pPr>
              <w:keepNext/>
              <w:keepLines/>
              <w:rPr>
                <w:rFonts w:ascii="Arial Narrow" w:hAnsi="Arial Narrow"/>
                <w:color w:val="333333"/>
                <w:sz w:val="20"/>
                <w:szCs w:val="20"/>
              </w:rPr>
            </w:pPr>
          </w:p>
          <w:p w14:paraId="759E2600" w14:textId="77777777" w:rsidR="000132CF" w:rsidRPr="009272D0" w:rsidRDefault="000132CF" w:rsidP="00F0784D">
            <w:pPr>
              <w:keepNext/>
              <w:keepLines/>
              <w:ind w:hanging="35"/>
              <w:jc w:val="center"/>
              <w:rPr>
                <w:rFonts w:ascii="Arial Narrow" w:hAnsi="Arial Narrow"/>
                <w:color w:val="333333"/>
                <w:sz w:val="20"/>
                <w:szCs w:val="20"/>
              </w:rPr>
            </w:pPr>
          </w:p>
        </w:tc>
        <w:tc>
          <w:tcPr>
            <w:tcW w:w="7796" w:type="dxa"/>
            <w:gridSpan w:val="4"/>
            <w:vAlign w:val="center"/>
          </w:tcPr>
          <w:p w14:paraId="4F24D5EB" w14:textId="77777777" w:rsidR="000132CF" w:rsidRPr="009272D0" w:rsidRDefault="000132CF" w:rsidP="00F0784D">
            <w:pPr>
              <w:keepNext/>
              <w:keepLines/>
              <w:rPr>
                <w:rFonts w:ascii="Arial Narrow" w:hAnsi="Arial Narrow"/>
                <w:b/>
                <w:bCs/>
                <w:color w:val="333333"/>
                <w:sz w:val="20"/>
                <w:szCs w:val="20"/>
              </w:rPr>
            </w:pPr>
            <w:r w:rsidRPr="009272D0">
              <w:rPr>
                <w:rFonts w:ascii="Arial Narrow" w:hAnsi="Arial Narrow"/>
                <w:b/>
                <w:bCs/>
                <w:color w:val="333333"/>
                <w:sz w:val="20"/>
                <w:szCs w:val="20"/>
              </w:rPr>
              <w:t>Administrative Advice:</w:t>
            </w:r>
          </w:p>
          <w:p w14:paraId="532F8564" w14:textId="77777777" w:rsidR="000132CF" w:rsidRPr="009272D0" w:rsidRDefault="000132CF" w:rsidP="00F0784D">
            <w:pPr>
              <w:keepNext/>
              <w:keepLines/>
              <w:rPr>
                <w:rFonts w:ascii="Arial Narrow" w:hAnsi="Arial Narrow"/>
                <w:color w:val="333333"/>
                <w:sz w:val="20"/>
                <w:szCs w:val="20"/>
              </w:rPr>
            </w:pPr>
            <w:r w:rsidRPr="009272D0">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0132CF" w:rsidRPr="00394DDA" w14:paraId="4B1216EE" w14:textId="77777777" w:rsidTr="00F0784D">
        <w:tblPrEx>
          <w:tblCellMar>
            <w:top w:w="15" w:type="dxa"/>
            <w:bottom w:w="15" w:type="dxa"/>
          </w:tblCellMar>
          <w:tblLook w:val="04A0" w:firstRow="1" w:lastRow="0" w:firstColumn="1" w:lastColumn="0" w:noHBand="0" w:noVBand="1"/>
        </w:tblPrEx>
        <w:trPr>
          <w:trHeight w:val="20"/>
        </w:trPr>
        <w:tc>
          <w:tcPr>
            <w:tcW w:w="562" w:type="dxa"/>
            <w:vMerge/>
            <w:vAlign w:val="center"/>
          </w:tcPr>
          <w:p w14:paraId="381AFB48" w14:textId="77777777" w:rsidR="000132CF" w:rsidRPr="00394DDA" w:rsidRDefault="000132CF" w:rsidP="00F0784D">
            <w:pPr>
              <w:keepNext/>
              <w:keepLines/>
              <w:jc w:val="center"/>
              <w:rPr>
                <w:rFonts w:ascii="Arial Narrow" w:hAnsi="Arial Narrow"/>
                <w:color w:val="333333"/>
                <w:sz w:val="20"/>
                <w:szCs w:val="20"/>
              </w:rPr>
            </w:pPr>
          </w:p>
        </w:tc>
        <w:tc>
          <w:tcPr>
            <w:tcW w:w="709" w:type="dxa"/>
            <w:vAlign w:val="center"/>
          </w:tcPr>
          <w:p w14:paraId="7E26DA8F" w14:textId="3C3BAC9F" w:rsidR="000132CF" w:rsidRPr="00394DDA" w:rsidRDefault="000132CF" w:rsidP="00F0784D">
            <w:pPr>
              <w:keepNext/>
              <w:keepLines/>
              <w:ind w:hanging="35"/>
              <w:jc w:val="center"/>
              <w:rPr>
                <w:rFonts w:ascii="Arial Narrow" w:hAnsi="Arial Narrow"/>
                <w:color w:val="333333"/>
                <w:sz w:val="20"/>
                <w:szCs w:val="20"/>
              </w:rPr>
            </w:pPr>
          </w:p>
        </w:tc>
        <w:tc>
          <w:tcPr>
            <w:tcW w:w="7796" w:type="dxa"/>
            <w:gridSpan w:val="4"/>
            <w:vAlign w:val="center"/>
          </w:tcPr>
          <w:p w14:paraId="339BA53F"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b/>
                <w:bCs/>
                <w:color w:val="333333"/>
                <w:sz w:val="20"/>
                <w:szCs w:val="20"/>
              </w:rPr>
              <w:t>Administrative Advice:</w:t>
            </w:r>
          </w:p>
          <w:p w14:paraId="751F411E"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sz w:val="20"/>
                <w:szCs w:val="20"/>
              </w:rPr>
              <w:t>No increase in the maximum quantity or number of units may be authorised.</w:t>
            </w:r>
          </w:p>
        </w:tc>
      </w:tr>
      <w:tr w:rsidR="000132CF" w:rsidRPr="00394DDA" w14:paraId="6720B744" w14:textId="77777777" w:rsidTr="00F0784D">
        <w:tblPrEx>
          <w:tblCellMar>
            <w:top w:w="15" w:type="dxa"/>
            <w:bottom w:w="15" w:type="dxa"/>
          </w:tblCellMar>
          <w:tblLook w:val="04A0" w:firstRow="1" w:lastRow="0" w:firstColumn="1" w:lastColumn="0" w:noHBand="0" w:noVBand="1"/>
        </w:tblPrEx>
        <w:trPr>
          <w:trHeight w:val="20"/>
        </w:trPr>
        <w:tc>
          <w:tcPr>
            <w:tcW w:w="562" w:type="dxa"/>
            <w:vMerge/>
            <w:vAlign w:val="center"/>
          </w:tcPr>
          <w:p w14:paraId="10068C32" w14:textId="77777777" w:rsidR="000132CF" w:rsidRPr="00394DDA" w:rsidRDefault="000132CF" w:rsidP="00F0784D">
            <w:pPr>
              <w:keepNext/>
              <w:keepLines/>
              <w:jc w:val="center"/>
              <w:rPr>
                <w:rFonts w:ascii="Arial Narrow" w:hAnsi="Arial Narrow"/>
                <w:color w:val="333333"/>
                <w:sz w:val="20"/>
                <w:szCs w:val="20"/>
              </w:rPr>
            </w:pPr>
          </w:p>
        </w:tc>
        <w:tc>
          <w:tcPr>
            <w:tcW w:w="709" w:type="dxa"/>
            <w:vAlign w:val="center"/>
          </w:tcPr>
          <w:p w14:paraId="663D0492" w14:textId="585A1EBC" w:rsidR="000132CF" w:rsidRPr="00394DDA" w:rsidRDefault="000132CF" w:rsidP="00F0784D">
            <w:pPr>
              <w:keepNext/>
              <w:keepLines/>
              <w:ind w:hanging="35"/>
              <w:jc w:val="center"/>
              <w:rPr>
                <w:rFonts w:ascii="Arial Narrow" w:hAnsi="Arial Narrow"/>
                <w:color w:val="333333"/>
                <w:sz w:val="20"/>
                <w:szCs w:val="20"/>
              </w:rPr>
            </w:pPr>
          </w:p>
        </w:tc>
        <w:tc>
          <w:tcPr>
            <w:tcW w:w="7796" w:type="dxa"/>
            <w:gridSpan w:val="4"/>
            <w:vAlign w:val="center"/>
          </w:tcPr>
          <w:p w14:paraId="4DE54DE6"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Administrative Advice:</w:t>
            </w:r>
          </w:p>
          <w:p w14:paraId="70EA49DE"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color w:val="333333"/>
                <w:sz w:val="20"/>
                <w:szCs w:val="20"/>
              </w:rPr>
              <w:t>No increase in the maximum number of repeats may be authorised</w:t>
            </w:r>
          </w:p>
        </w:tc>
      </w:tr>
      <w:tr w:rsidR="000132CF" w:rsidRPr="00394DDA" w14:paraId="373BC62E" w14:textId="77777777" w:rsidTr="00F0784D">
        <w:tblPrEx>
          <w:tblCellMar>
            <w:top w:w="15" w:type="dxa"/>
            <w:bottom w:w="15" w:type="dxa"/>
          </w:tblCellMar>
          <w:tblLook w:val="04A0" w:firstRow="1" w:lastRow="0" w:firstColumn="1" w:lastColumn="0" w:noHBand="0" w:noVBand="1"/>
        </w:tblPrEx>
        <w:trPr>
          <w:trHeight w:val="20"/>
        </w:trPr>
        <w:tc>
          <w:tcPr>
            <w:tcW w:w="562" w:type="dxa"/>
            <w:vMerge/>
            <w:vAlign w:val="center"/>
          </w:tcPr>
          <w:p w14:paraId="6D23A203" w14:textId="77777777" w:rsidR="000132CF" w:rsidRPr="00394DDA" w:rsidRDefault="000132CF" w:rsidP="00F0784D">
            <w:pPr>
              <w:keepNext/>
              <w:keepLines/>
              <w:jc w:val="center"/>
              <w:rPr>
                <w:rFonts w:ascii="Arial Narrow" w:hAnsi="Arial Narrow"/>
                <w:color w:val="333333"/>
                <w:sz w:val="20"/>
                <w:szCs w:val="20"/>
              </w:rPr>
            </w:pPr>
          </w:p>
        </w:tc>
        <w:tc>
          <w:tcPr>
            <w:tcW w:w="709" w:type="dxa"/>
            <w:vAlign w:val="center"/>
          </w:tcPr>
          <w:p w14:paraId="0B0B4607" w14:textId="1459FD5F" w:rsidR="000132CF" w:rsidRPr="00394DDA" w:rsidRDefault="000132CF" w:rsidP="00F0784D">
            <w:pPr>
              <w:keepNext/>
              <w:keepLines/>
              <w:ind w:hanging="35"/>
              <w:jc w:val="center"/>
              <w:rPr>
                <w:rFonts w:ascii="Arial Narrow" w:hAnsi="Arial Narrow"/>
                <w:color w:val="333333"/>
                <w:sz w:val="20"/>
                <w:szCs w:val="20"/>
              </w:rPr>
            </w:pPr>
          </w:p>
        </w:tc>
        <w:tc>
          <w:tcPr>
            <w:tcW w:w="7796" w:type="dxa"/>
            <w:gridSpan w:val="4"/>
            <w:vAlign w:val="center"/>
          </w:tcPr>
          <w:p w14:paraId="4A8A349D"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Administrative Advice:</w:t>
            </w:r>
          </w:p>
          <w:p w14:paraId="33113C1C"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color w:val="333333"/>
                <w:sz w:val="20"/>
                <w:szCs w:val="20"/>
              </w:rPr>
              <w:t>Special Pricing Arrangements apply</w:t>
            </w:r>
          </w:p>
        </w:tc>
      </w:tr>
      <w:tr w:rsidR="000132CF" w:rsidRPr="00394DDA" w14:paraId="48A13B66"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hideMark/>
          </w:tcPr>
          <w:p w14:paraId="0B2E9B8B" w14:textId="5B59EEA4" w:rsidR="000132CF" w:rsidRPr="00394DDA" w:rsidRDefault="000132CF" w:rsidP="00F0784D">
            <w:pPr>
              <w:keepNext/>
              <w:keepLines/>
              <w:jc w:val="center"/>
              <w:rPr>
                <w:rFonts w:ascii="Arial Narrow" w:hAnsi="Arial Narrow"/>
                <w:color w:val="333333"/>
                <w:sz w:val="20"/>
                <w:szCs w:val="20"/>
              </w:rPr>
            </w:pPr>
          </w:p>
        </w:tc>
        <w:tc>
          <w:tcPr>
            <w:tcW w:w="7796" w:type="dxa"/>
            <w:gridSpan w:val="4"/>
            <w:vAlign w:val="center"/>
            <w:hideMark/>
          </w:tcPr>
          <w:p w14:paraId="1611EC41"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b/>
                <w:bCs/>
                <w:color w:val="333333"/>
                <w:sz w:val="20"/>
                <w:szCs w:val="20"/>
              </w:rPr>
              <w:t>Indication:</w:t>
            </w:r>
            <w:r w:rsidRPr="00394DDA">
              <w:rPr>
                <w:rFonts w:ascii="Arial Narrow" w:hAnsi="Arial Narrow"/>
                <w:color w:val="333333"/>
                <w:sz w:val="20"/>
                <w:szCs w:val="20"/>
              </w:rPr>
              <w:t xml:space="preserve"> Relapsed or Refractory Hodgkin Lymphoma</w:t>
            </w:r>
          </w:p>
        </w:tc>
      </w:tr>
      <w:tr w:rsidR="000132CF" w:rsidRPr="00394DDA" w14:paraId="6071EBC7"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hideMark/>
          </w:tcPr>
          <w:p w14:paraId="6C70A453" w14:textId="77777777" w:rsidR="000132CF" w:rsidRPr="00394DDA" w:rsidRDefault="000132CF" w:rsidP="00F0784D">
            <w:pPr>
              <w:keepNext/>
              <w:keepLines/>
              <w:jc w:val="center"/>
              <w:rPr>
                <w:rFonts w:ascii="Arial Narrow" w:hAnsi="Arial Narrow"/>
                <w:color w:val="333333"/>
                <w:sz w:val="20"/>
                <w:szCs w:val="20"/>
              </w:rPr>
            </w:pPr>
          </w:p>
        </w:tc>
        <w:tc>
          <w:tcPr>
            <w:tcW w:w="7796" w:type="dxa"/>
            <w:gridSpan w:val="4"/>
            <w:vAlign w:val="center"/>
            <w:hideMark/>
          </w:tcPr>
          <w:p w14:paraId="385CF00D"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b/>
                <w:bCs/>
                <w:color w:val="333333"/>
                <w:sz w:val="20"/>
                <w:szCs w:val="20"/>
              </w:rPr>
              <w:t>Treatment Phase:</w:t>
            </w:r>
            <w:r w:rsidRPr="00394DDA">
              <w:rPr>
                <w:rFonts w:ascii="Arial Narrow" w:hAnsi="Arial Narrow"/>
                <w:color w:val="333333"/>
                <w:sz w:val="20"/>
                <w:szCs w:val="20"/>
              </w:rPr>
              <w:t xml:space="preserve"> Continuing treatment</w:t>
            </w:r>
          </w:p>
        </w:tc>
      </w:tr>
      <w:tr w:rsidR="000132CF" w:rsidRPr="00394DDA" w14:paraId="4DA17CFE"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0D6F0EF5" w14:textId="2424EE35" w:rsidR="000132CF" w:rsidRPr="00394DDA"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hideMark/>
          </w:tcPr>
          <w:p w14:paraId="789D826D"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Clinical criteria:</w:t>
            </w:r>
          </w:p>
        </w:tc>
      </w:tr>
      <w:tr w:rsidR="000132CF" w:rsidRPr="00394DDA" w14:paraId="78D18FB5"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4744FD9B" w14:textId="37D33EEC" w:rsidR="000132CF" w:rsidRPr="00394DDA"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hideMark/>
          </w:tcPr>
          <w:p w14:paraId="3CC1FB46"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color w:val="333333"/>
                <w:sz w:val="20"/>
                <w:szCs w:val="20"/>
              </w:rPr>
              <w:t>Patient must have undergone a primary autologous stem cell transplant (ASCT) for this condition</w:t>
            </w:r>
          </w:p>
        </w:tc>
      </w:tr>
      <w:tr w:rsidR="000132CF" w:rsidRPr="00394DDA" w14:paraId="69993C7F"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1A830672" w14:textId="77777777" w:rsidR="000132CF" w:rsidRPr="00394DDA" w:rsidRDefault="000132CF" w:rsidP="00F0784D">
            <w:pPr>
              <w:keepNext/>
              <w:keepLines/>
              <w:jc w:val="center"/>
              <w:rPr>
                <w:rFonts w:ascii="Arial Narrow" w:hAnsi="Arial Narrow"/>
                <w:color w:val="333333"/>
                <w:sz w:val="20"/>
                <w:szCs w:val="20"/>
              </w:rPr>
            </w:pPr>
          </w:p>
        </w:tc>
        <w:tc>
          <w:tcPr>
            <w:tcW w:w="7796" w:type="dxa"/>
            <w:gridSpan w:val="4"/>
            <w:vAlign w:val="center"/>
          </w:tcPr>
          <w:p w14:paraId="2F9B0846"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AND</w:t>
            </w:r>
          </w:p>
        </w:tc>
      </w:tr>
      <w:tr w:rsidR="000132CF" w:rsidRPr="00394DDA" w14:paraId="0770C873"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36B2B086" w14:textId="3E21AB24" w:rsidR="000132CF" w:rsidRPr="00394DDA"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002ADD19"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Clinical criteria:</w:t>
            </w:r>
          </w:p>
        </w:tc>
      </w:tr>
      <w:tr w:rsidR="000132CF" w:rsidRPr="00394DDA" w14:paraId="12330B75"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0CC69862" w14:textId="2CAF61E4" w:rsidR="000132CF" w:rsidRPr="00394DDA"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9D096B9"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color w:val="333333"/>
                <w:sz w:val="20"/>
                <w:szCs w:val="20"/>
              </w:rPr>
              <w:t>Patient must have previously received PBS-subsidised treatment with this drug for this condition</w:t>
            </w:r>
          </w:p>
        </w:tc>
      </w:tr>
      <w:tr w:rsidR="000132CF" w:rsidRPr="00394DDA" w14:paraId="3B0BDCF1"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4B4B48B1" w14:textId="77777777" w:rsidR="000132CF" w:rsidRPr="00394DDA" w:rsidRDefault="000132CF" w:rsidP="00F0784D">
            <w:pPr>
              <w:keepNext/>
              <w:keepLines/>
              <w:jc w:val="center"/>
              <w:rPr>
                <w:rFonts w:ascii="Arial Narrow" w:hAnsi="Arial Narrow"/>
                <w:color w:val="333333"/>
                <w:sz w:val="20"/>
                <w:szCs w:val="20"/>
              </w:rPr>
            </w:pPr>
          </w:p>
        </w:tc>
        <w:tc>
          <w:tcPr>
            <w:tcW w:w="7796" w:type="dxa"/>
            <w:gridSpan w:val="4"/>
            <w:vAlign w:val="center"/>
          </w:tcPr>
          <w:p w14:paraId="22308931"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AND</w:t>
            </w:r>
          </w:p>
        </w:tc>
      </w:tr>
      <w:tr w:rsidR="000132CF" w:rsidRPr="00394DDA" w14:paraId="6405B741"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5127CF9C" w14:textId="5F4B2B30" w:rsidR="000132CF" w:rsidRPr="00394DDA"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F546723"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Clinical criteria:</w:t>
            </w:r>
          </w:p>
        </w:tc>
      </w:tr>
      <w:tr w:rsidR="000132CF" w:rsidRPr="00394DDA" w14:paraId="0110532D"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4A541719" w14:textId="61C4B597" w:rsidR="000132CF" w:rsidRPr="00394DDA"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1706F5CC"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color w:val="333333"/>
                <w:sz w:val="20"/>
                <w:szCs w:val="20"/>
              </w:rPr>
              <w:t>Patient must not have developed disease progression while receiving PBS-subsidised treatment with this drug for this condition</w:t>
            </w:r>
          </w:p>
        </w:tc>
      </w:tr>
      <w:tr w:rsidR="000132CF" w:rsidRPr="00394DDA" w14:paraId="725A7A0E"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6A53A46F" w14:textId="77777777" w:rsidR="000132CF" w:rsidRPr="00394DDA" w:rsidRDefault="000132CF" w:rsidP="00F0784D">
            <w:pPr>
              <w:keepNext/>
              <w:keepLines/>
              <w:jc w:val="center"/>
              <w:rPr>
                <w:rFonts w:ascii="Arial Narrow" w:hAnsi="Arial Narrow"/>
                <w:color w:val="333333"/>
                <w:sz w:val="20"/>
                <w:szCs w:val="20"/>
              </w:rPr>
            </w:pPr>
          </w:p>
        </w:tc>
        <w:tc>
          <w:tcPr>
            <w:tcW w:w="7796" w:type="dxa"/>
            <w:gridSpan w:val="4"/>
            <w:vAlign w:val="center"/>
          </w:tcPr>
          <w:p w14:paraId="25D83448"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AND</w:t>
            </w:r>
          </w:p>
        </w:tc>
      </w:tr>
      <w:tr w:rsidR="000132CF" w:rsidRPr="00394DDA" w14:paraId="71EBD5DD"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14096B5E" w14:textId="527743F0" w:rsidR="000132CF" w:rsidRPr="00394DDA"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868A76D"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Clinical criteria:</w:t>
            </w:r>
          </w:p>
        </w:tc>
      </w:tr>
      <w:tr w:rsidR="000132CF" w:rsidRPr="00394DDA" w14:paraId="5393C35D"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7F78743F" w14:textId="44761F1C" w:rsidR="000132CF" w:rsidRPr="00394DDA"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B10838E" w14:textId="77777777" w:rsidR="000132CF" w:rsidRPr="00394DDA" w:rsidRDefault="000132CF" w:rsidP="00F0784D">
            <w:pPr>
              <w:keepNext/>
              <w:keepLines/>
              <w:rPr>
                <w:rFonts w:ascii="Arial Narrow" w:hAnsi="Arial Narrow"/>
                <w:color w:val="333333"/>
                <w:sz w:val="20"/>
                <w:szCs w:val="20"/>
              </w:rPr>
            </w:pPr>
            <w:r w:rsidRPr="00394DDA">
              <w:rPr>
                <w:rFonts w:ascii="Arial Narrow" w:hAnsi="Arial Narrow"/>
                <w:color w:val="333333"/>
                <w:sz w:val="20"/>
                <w:szCs w:val="20"/>
              </w:rPr>
              <w:t>Patient must not receive more than 12 cycles of treatment under this restriction</w:t>
            </w:r>
          </w:p>
        </w:tc>
      </w:tr>
      <w:tr w:rsidR="000132CF" w:rsidRPr="00394DDA" w14:paraId="0EFC8E90"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13A55BE1" w14:textId="0294559C" w:rsidR="000132CF" w:rsidRDefault="000132CF" w:rsidP="00F0784D">
            <w:pPr>
              <w:keepNext/>
              <w:keepLines/>
              <w:jc w:val="center"/>
              <w:rPr>
                <w:rFonts w:ascii="Arial Narrow" w:hAnsi="Arial Narrow"/>
                <w:strike/>
                <w:color w:val="333333"/>
                <w:sz w:val="20"/>
                <w:szCs w:val="20"/>
              </w:rPr>
            </w:pPr>
          </w:p>
          <w:p w14:paraId="66BAAC63" w14:textId="0FA4EC62" w:rsidR="00C01A84" w:rsidRPr="00C01A84" w:rsidRDefault="00C01A84" w:rsidP="00F0784D">
            <w:pPr>
              <w:keepNext/>
              <w:keepLines/>
              <w:jc w:val="center"/>
              <w:rPr>
                <w:rFonts w:ascii="Arial Narrow" w:hAnsi="Arial Narrow"/>
                <w:i/>
                <w:iCs/>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274377F" w14:textId="77777777" w:rsidR="000132CF" w:rsidRPr="00394DDA" w:rsidRDefault="000132CF" w:rsidP="00F0784D">
            <w:pPr>
              <w:keepNext/>
              <w:keepLines/>
              <w:rPr>
                <w:rFonts w:ascii="Arial Narrow" w:hAnsi="Arial Narrow"/>
                <w:b/>
                <w:bCs/>
                <w:color w:val="333333"/>
                <w:sz w:val="20"/>
                <w:szCs w:val="20"/>
              </w:rPr>
            </w:pPr>
            <w:r w:rsidRPr="00394DDA">
              <w:rPr>
                <w:rFonts w:ascii="Arial Narrow" w:hAnsi="Arial Narrow"/>
                <w:b/>
                <w:bCs/>
                <w:color w:val="333333"/>
                <w:sz w:val="20"/>
                <w:szCs w:val="20"/>
              </w:rPr>
              <w:t>Prescribing Instructions:</w:t>
            </w:r>
          </w:p>
          <w:p w14:paraId="5F81BB55" w14:textId="74EF40FE" w:rsidR="000132CF" w:rsidRPr="00394DDA" w:rsidRDefault="000132CF" w:rsidP="00F0784D">
            <w:pPr>
              <w:keepNext/>
              <w:keepLines/>
              <w:rPr>
                <w:rFonts w:ascii="Arial Narrow" w:hAnsi="Arial Narrow"/>
                <w:color w:val="333333"/>
                <w:sz w:val="20"/>
                <w:szCs w:val="20"/>
              </w:rPr>
            </w:pPr>
            <w:r w:rsidRPr="00394DDA">
              <w:rPr>
                <w:rFonts w:ascii="Arial Narrow" w:hAnsi="Arial Narrow"/>
                <w:color w:val="333333"/>
                <w:sz w:val="20"/>
                <w:szCs w:val="20"/>
              </w:rPr>
              <w:t xml:space="preserve">The treatment must not exceed a total of 16 cycles </w:t>
            </w:r>
            <w:r w:rsidR="00D7093F" w:rsidRPr="00D7093F">
              <w:rPr>
                <w:rFonts w:ascii="Arial Narrow" w:hAnsi="Arial Narrow"/>
                <w:i/>
                <w:iCs/>
                <w:color w:val="333333"/>
                <w:sz w:val="20"/>
                <w:szCs w:val="20"/>
              </w:rPr>
              <w:t>for this condition</w:t>
            </w:r>
            <w:r w:rsidR="00D7093F">
              <w:rPr>
                <w:rFonts w:ascii="Arial Narrow" w:hAnsi="Arial Narrow"/>
                <w:color w:val="333333"/>
                <w:sz w:val="20"/>
                <w:szCs w:val="20"/>
              </w:rPr>
              <w:t xml:space="preserve"> </w:t>
            </w:r>
            <w:r w:rsidRPr="00D7093F">
              <w:rPr>
                <w:rFonts w:ascii="Arial Narrow" w:hAnsi="Arial Narrow"/>
                <w:strike/>
                <w:color w:val="333333"/>
                <w:sz w:val="20"/>
                <w:szCs w:val="20"/>
              </w:rPr>
              <w:t>of combined initial and continuing treatment</w:t>
            </w:r>
            <w:r w:rsidRPr="00394DDA">
              <w:rPr>
                <w:rFonts w:ascii="Arial Narrow" w:hAnsi="Arial Narrow"/>
                <w:color w:val="333333"/>
                <w:sz w:val="20"/>
                <w:szCs w:val="20"/>
              </w:rPr>
              <w:t xml:space="preserve"> in a lifetime </w:t>
            </w:r>
          </w:p>
        </w:tc>
      </w:tr>
    </w:tbl>
    <w:p w14:paraId="09F5E642" w14:textId="77777777" w:rsidR="000132CF" w:rsidRPr="009C0BD7" w:rsidRDefault="000132CF" w:rsidP="000132CF"/>
    <w:p w14:paraId="398F3171" w14:textId="3458923E" w:rsidR="000132CF" w:rsidRPr="005C0153" w:rsidRDefault="006800F5" w:rsidP="000132CF">
      <w:pPr>
        <w:keepNext/>
        <w:keepLines/>
        <w:rPr>
          <w:i/>
          <w:iCs/>
        </w:rPr>
      </w:pPr>
      <w:bookmarkStart w:id="67" w:name="_Toc188532432"/>
      <w:bookmarkStart w:id="68" w:name="_Toc192439121"/>
      <w:r>
        <w:rPr>
          <w:i/>
          <w:iCs/>
        </w:rPr>
        <w:lastRenderedPageBreak/>
        <w:t>P</w:t>
      </w:r>
      <w:r w:rsidR="000132CF" w:rsidRPr="005C0153">
        <w:rPr>
          <w:i/>
          <w:iCs/>
        </w:rPr>
        <w:t>atients with relapsed or refractory HL who have not undergone ASCT (initial treatment)</w:t>
      </w:r>
      <w:bookmarkEnd w:id="67"/>
      <w:bookmarkEnd w:id="68"/>
      <w:r w:rsidR="000132CF" w:rsidRPr="005C0153">
        <w:rPr>
          <w:i/>
          <w:iC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552"/>
        <w:gridCol w:w="1417"/>
        <w:gridCol w:w="1134"/>
        <w:gridCol w:w="2693"/>
      </w:tblGrid>
      <w:tr w:rsidR="000132CF" w:rsidRPr="00BC1578" w14:paraId="3411B1FA" w14:textId="77777777" w:rsidTr="00F0784D">
        <w:trPr>
          <w:cantSplit/>
          <w:trHeight w:val="471"/>
        </w:trPr>
        <w:tc>
          <w:tcPr>
            <w:tcW w:w="3823" w:type="dxa"/>
            <w:gridSpan w:val="3"/>
          </w:tcPr>
          <w:p w14:paraId="4568901F" w14:textId="77777777" w:rsidR="000132CF" w:rsidRPr="00BC1578" w:rsidRDefault="000132CF" w:rsidP="00F0784D">
            <w:pPr>
              <w:keepNext/>
              <w:keepLines/>
              <w:ind w:left="-57"/>
              <w:rPr>
                <w:rFonts w:ascii="Arial Narrow" w:hAnsi="Arial Narrow"/>
                <w:b/>
                <w:sz w:val="20"/>
                <w:szCs w:val="20"/>
              </w:rPr>
            </w:pPr>
            <w:r w:rsidRPr="00BC1578">
              <w:rPr>
                <w:rFonts w:ascii="Arial Narrow" w:hAnsi="Arial Narrow"/>
                <w:b/>
                <w:sz w:val="20"/>
                <w:szCs w:val="20"/>
              </w:rPr>
              <w:t>MEDICINAL PRODUCT</w:t>
            </w:r>
          </w:p>
          <w:p w14:paraId="576DC775" w14:textId="77777777" w:rsidR="000132CF" w:rsidRPr="00BC1578" w:rsidRDefault="000132CF" w:rsidP="00F0784D">
            <w:pPr>
              <w:keepNext/>
              <w:keepLines/>
              <w:ind w:left="-57"/>
              <w:rPr>
                <w:rFonts w:ascii="Arial Narrow" w:hAnsi="Arial Narrow"/>
                <w:bCs/>
                <w:sz w:val="20"/>
                <w:szCs w:val="20"/>
              </w:rPr>
            </w:pPr>
          </w:p>
        </w:tc>
        <w:tc>
          <w:tcPr>
            <w:tcW w:w="1417" w:type="dxa"/>
          </w:tcPr>
          <w:p w14:paraId="2989B74F" w14:textId="77777777" w:rsidR="000132CF" w:rsidRPr="00BC1578" w:rsidRDefault="000132CF" w:rsidP="00F0784D">
            <w:pPr>
              <w:keepNext/>
              <w:keepLines/>
              <w:ind w:left="-57"/>
              <w:jc w:val="center"/>
              <w:rPr>
                <w:rFonts w:ascii="Arial Narrow" w:hAnsi="Arial Narrow"/>
                <w:b/>
                <w:sz w:val="20"/>
                <w:szCs w:val="20"/>
              </w:rPr>
            </w:pPr>
            <w:r w:rsidRPr="00BC1578">
              <w:rPr>
                <w:rFonts w:ascii="Arial Narrow" w:hAnsi="Arial Narrow"/>
                <w:b/>
                <w:sz w:val="20"/>
                <w:szCs w:val="20"/>
              </w:rPr>
              <w:t>PBS item code</w:t>
            </w:r>
          </w:p>
        </w:tc>
        <w:tc>
          <w:tcPr>
            <w:tcW w:w="1134" w:type="dxa"/>
          </w:tcPr>
          <w:p w14:paraId="234A2971" w14:textId="77777777" w:rsidR="000132CF" w:rsidRPr="00BC1578" w:rsidRDefault="000132CF" w:rsidP="00F0784D">
            <w:pPr>
              <w:keepNext/>
              <w:keepLines/>
              <w:ind w:left="-57"/>
              <w:jc w:val="center"/>
              <w:rPr>
                <w:rFonts w:ascii="Arial Narrow" w:hAnsi="Arial Narrow"/>
                <w:b/>
                <w:sz w:val="20"/>
                <w:szCs w:val="20"/>
              </w:rPr>
            </w:pPr>
            <w:r w:rsidRPr="00BC1578">
              <w:rPr>
                <w:rFonts w:ascii="Arial Narrow" w:hAnsi="Arial Narrow"/>
                <w:b/>
                <w:sz w:val="20"/>
                <w:szCs w:val="20"/>
              </w:rPr>
              <w:t>Max.</w:t>
            </w:r>
          </w:p>
          <w:p w14:paraId="6F24A26C" w14:textId="77777777" w:rsidR="000132CF" w:rsidRPr="00BC1578" w:rsidRDefault="000132CF" w:rsidP="00F0784D">
            <w:pPr>
              <w:keepNext/>
              <w:keepLines/>
              <w:ind w:left="-57"/>
              <w:jc w:val="center"/>
              <w:rPr>
                <w:rFonts w:ascii="Arial Narrow" w:hAnsi="Arial Narrow"/>
                <w:b/>
                <w:sz w:val="20"/>
                <w:szCs w:val="20"/>
              </w:rPr>
            </w:pPr>
            <w:r w:rsidRPr="00BC1578">
              <w:rPr>
                <w:rFonts w:ascii="Arial Narrow" w:hAnsi="Arial Narrow"/>
                <w:b/>
                <w:sz w:val="20"/>
                <w:szCs w:val="20"/>
              </w:rPr>
              <w:t>Amount</w:t>
            </w:r>
          </w:p>
        </w:tc>
        <w:tc>
          <w:tcPr>
            <w:tcW w:w="2693" w:type="dxa"/>
          </w:tcPr>
          <w:p w14:paraId="6B780949" w14:textId="77777777" w:rsidR="000132CF" w:rsidRPr="00BC1578" w:rsidRDefault="000132CF" w:rsidP="00F0784D">
            <w:pPr>
              <w:keepNext/>
              <w:keepLines/>
              <w:ind w:left="-57"/>
              <w:jc w:val="center"/>
              <w:rPr>
                <w:rFonts w:ascii="Arial Narrow" w:hAnsi="Arial Narrow"/>
                <w:b/>
                <w:sz w:val="20"/>
                <w:szCs w:val="20"/>
              </w:rPr>
            </w:pPr>
            <w:r w:rsidRPr="00BC1578">
              <w:rPr>
                <w:rFonts w:ascii="Arial Narrow" w:hAnsi="Arial Narrow"/>
                <w:b/>
                <w:sz w:val="20"/>
                <w:szCs w:val="20"/>
              </w:rPr>
              <w:t>№.of</w:t>
            </w:r>
          </w:p>
          <w:p w14:paraId="77091FB1" w14:textId="77777777" w:rsidR="000132CF" w:rsidRPr="00BC1578" w:rsidRDefault="000132CF" w:rsidP="00F0784D">
            <w:pPr>
              <w:keepNext/>
              <w:keepLines/>
              <w:ind w:left="-57"/>
              <w:jc w:val="center"/>
              <w:rPr>
                <w:rFonts w:ascii="Arial Narrow" w:hAnsi="Arial Narrow"/>
                <w:b/>
                <w:sz w:val="20"/>
                <w:szCs w:val="20"/>
              </w:rPr>
            </w:pPr>
            <w:r w:rsidRPr="00BC1578">
              <w:rPr>
                <w:rFonts w:ascii="Arial Narrow" w:hAnsi="Arial Narrow"/>
                <w:b/>
                <w:sz w:val="20"/>
                <w:szCs w:val="20"/>
              </w:rPr>
              <w:t>Rpts</w:t>
            </w:r>
          </w:p>
        </w:tc>
      </w:tr>
      <w:tr w:rsidR="000132CF" w:rsidRPr="00BC1578" w14:paraId="733B7A7D" w14:textId="77777777" w:rsidTr="00F0784D">
        <w:trPr>
          <w:cantSplit/>
          <w:trHeight w:val="577"/>
        </w:trPr>
        <w:tc>
          <w:tcPr>
            <w:tcW w:w="3823" w:type="dxa"/>
            <w:gridSpan w:val="3"/>
          </w:tcPr>
          <w:p w14:paraId="25E59438" w14:textId="77777777" w:rsidR="000132CF" w:rsidRPr="00BC1578" w:rsidRDefault="000132CF" w:rsidP="00F0784D">
            <w:pPr>
              <w:keepNext/>
              <w:keepLines/>
              <w:ind w:left="-57"/>
              <w:rPr>
                <w:rFonts w:ascii="Arial Narrow" w:hAnsi="Arial Narrow"/>
                <w:sz w:val="20"/>
                <w:szCs w:val="20"/>
              </w:rPr>
            </w:pPr>
            <w:r w:rsidRPr="00BC1578">
              <w:rPr>
                <w:rFonts w:ascii="Arial Narrow" w:hAnsi="Arial Narrow"/>
                <w:sz w:val="20"/>
                <w:szCs w:val="20"/>
              </w:rPr>
              <w:t xml:space="preserve">BRENTUXIMAB VEDOTIN </w:t>
            </w:r>
          </w:p>
          <w:p w14:paraId="7373FE5C" w14:textId="433A0179" w:rsidR="000132CF" w:rsidRPr="00956A81" w:rsidRDefault="000132CF" w:rsidP="00F0784D">
            <w:pPr>
              <w:keepNext/>
              <w:keepLines/>
              <w:ind w:left="-57"/>
              <w:rPr>
                <w:rFonts w:ascii="Arial Narrow" w:hAnsi="Arial Narrow"/>
                <w:sz w:val="20"/>
                <w:szCs w:val="20"/>
              </w:rPr>
            </w:pPr>
            <w:r w:rsidRPr="00956A81">
              <w:rPr>
                <w:rFonts w:ascii="Arial Narrow" w:hAnsi="Arial Narrow"/>
                <w:sz w:val="20"/>
                <w:szCs w:val="20"/>
              </w:rPr>
              <w:t>Injection</w:t>
            </w:r>
          </w:p>
        </w:tc>
        <w:tc>
          <w:tcPr>
            <w:tcW w:w="1417" w:type="dxa"/>
          </w:tcPr>
          <w:p w14:paraId="43F1FD57" w14:textId="77777777" w:rsidR="000132CF" w:rsidRPr="00BC1578" w:rsidRDefault="000132CF" w:rsidP="00F0784D">
            <w:pPr>
              <w:keepNext/>
              <w:keepLines/>
              <w:ind w:left="-57"/>
              <w:jc w:val="center"/>
              <w:rPr>
                <w:rFonts w:ascii="Arial Narrow" w:hAnsi="Arial Narrow"/>
                <w:sz w:val="20"/>
                <w:szCs w:val="20"/>
              </w:rPr>
            </w:pPr>
            <w:r w:rsidRPr="00BC1578">
              <w:rPr>
                <w:rFonts w:ascii="Arial Narrow" w:hAnsi="Arial Narrow"/>
                <w:sz w:val="20"/>
                <w:szCs w:val="20"/>
              </w:rPr>
              <w:t>11080E</w:t>
            </w:r>
            <w:r>
              <w:rPr>
                <w:rFonts w:ascii="Arial Narrow" w:hAnsi="Arial Narrow"/>
                <w:sz w:val="20"/>
                <w:szCs w:val="20"/>
              </w:rPr>
              <w:t xml:space="preserve"> </w:t>
            </w:r>
            <w:r w:rsidRPr="00F73F9B">
              <w:rPr>
                <w:rFonts w:ascii="Arial Narrow" w:hAnsi="Arial Narrow"/>
                <w:i/>
                <w:iCs/>
                <w:sz w:val="20"/>
                <w:szCs w:val="20"/>
              </w:rPr>
              <w:t>(IN)</w:t>
            </w:r>
          </w:p>
          <w:p w14:paraId="3590DE6E" w14:textId="77777777" w:rsidR="000132CF" w:rsidRPr="00BC1578" w:rsidRDefault="000132CF" w:rsidP="00F0784D">
            <w:pPr>
              <w:keepNext/>
              <w:keepLines/>
              <w:ind w:left="-57"/>
              <w:jc w:val="center"/>
              <w:rPr>
                <w:rFonts w:ascii="Arial Narrow" w:hAnsi="Arial Narrow"/>
                <w:sz w:val="20"/>
                <w:szCs w:val="20"/>
                <w:vertAlign w:val="subscript"/>
              </w:rPr>
            </w:pPr>
            <w:r w:rsidRPr="00BC1578">
              <w:rPr>
                <w:rFonts w:ascii="Arial Narrow" w:hAnsi="Arial Narrow"/>
                <w:sz w:val="20"/>
                <w:szCs w:val="20"/>
              </w:rPr>
              <w:t>11079D</w:t>
            </w:r>
            <w:r>
              <w:rPr>
                <w:rFonts w:ascii="Arial Narrow" w:hAnsi="Arial Narrow"/>
                <w:sz w:val="20"/>
                <w:szCs w:val="20"/>
              </w:rPr>
              <w:t xml:space="preserve"> </w:t>
            </w:r>
            <w:r w:rsidRPr="00F73F9B">
              <w:rPr>
                <w:rFonts w:ascii="Arial Narrow" w:hAnsi="Arial Narrow"/>
                <w:i/>
                <w:iCs/>
                <w:sz w:val="20"/>
                <w:szCs w:val="20"/>
              </w:rPr>
              <w:t>(IP)</w:t>
            </w:r>
          </w:p>
        </w:tc>
        <w:tc>
          <w:tcPr>
            <w:tcW w:w="1134" w:type="dxa"/>
          </w:tcPr>
          <w:p w14:paraId="11B1E40D" w14:textId="77777777" w:rsidR="000132CF" w:rsidRPr="00BC1578" w:rsidRDefault="000132CF" w:rsidP="00F0784D">
            <w:pPr>
              <w:keepNext/>
              <w:keepLines/>
              <w:ind w:left="-57"/>
              <w:jc w:val="center"/>
              <w:rPr>
                <w:rFonts w:ascii="Arial Narrow" w:hAnsi="Arial Narrow"/>
                <w:iCs/>
                <w:sz w:val="20"/>
                <w:szCs w:val="20"/>
              </w:rPr>
            </w:pPr>
            <w:r w:rsidRPr="00BC1578">
              <w:rPr>
                <w:rFonts w:ascii="Arial Narrow" w:hAnsi="Arial Narrow"/>
                <w:iCs/>
                <w:sz w:val="20"/>
                <w:szCs w:val="20"/>
              </w:rPr>
              <w:t>200 mg</w:t>
            </w:r>
          </w:p>
        </w:tc>
        <w:tc>
          <w:tcPr>
            <w:tcW w:w="2693" w:type="dxa"/>
          </w:tcPr>
          <w:p w14:paraId="70868223" w14:textId="77777777" w:rsidR="000132CF" w:rsidRPr="00BC1578" w:rsidRDefault="000132CF" w:rsidP="00F0784D">
            <w:pPr>
              <w:keepNext/>
              <w:keepLines/>
              <w:ind w:left="-57"/>
              <w:jc w:val="center"/>
              <w:rPr>
                <w:rFonts w:ascii="Arial Narrow" w:hAnsi="Arial Narrow"/>
                <w:sz w:val="20"/>
                <w:szCs w:val="20"/>
              </w:rPr>
            </w:pPr>
            <w:r w:rsidRPr="00BC1578">
              <w:rPr>
                <w:rFonts w:ascii="Arial Narrow" w:hAnsi="Arial Narrow"/>
                <w:sz w:val="20"/>
                <w:szCs w:val="20"/>
              </w:rPr>
              <w:t>3</w:t>
            </w:r>
          </w:p>
        </w:tc>
      </w:tr>
      <w:tr w:rsidR="000132CF" w:rsidRPr="00BC1578" w14:paraId="11E7AC2B" w14:textId="77777777" w:rsidTr="00F0784D">
        <w:trPr>
          <w:cantSplit/>
          <w:trHeight w:val="225"/>
        </w:trPr>
        <w:tc>
          <w:tcPr>
            <w:tcW w:w="9067" w:type="dxa"/>
            <w:gridSpan w:val="6"/>
          </w:tcPr>
          <w:p w14:paraId="4BD6FE54" w14:textId="77777777" w:rsidR="000132CF" w:rsidRPr="00BC1578" w:rsidRDefault="000132CF" w:rsidP="00F0784D">
            <w:pPr>
              <w:keepNext/>
              <w:ind w:left="-57"/>
              <w:rPr>
                <w:rFonts w:ascii="Arial Narrow" w:hAnsi="Arial Narrow"/>
                <w:b/>
                <w:bCs/>
                <w:sz w:val="20"/>
                <w:szCs w:val="20"/>
              </w:rPr>
            </w:pPr>
            <w:r w:rsidRPr="00BC1578">
              <w:rPr>
                <w:rFonts w:ascii="Arial Narrow" w:hAnsi="Arial Narrow"/>
                <w:b/>
                <w:bCs/>
                <w:sz w:val="20"/>
                <w:szCs w:val="20"/>
              </w:rPr>
              <w:t>Available brands</w:t>
            </w:r>
          </w:p>
        </w:tc>
      </w:tr>
      <w:tr w:rsidR="000132CF" w:rsidRPr="00BC1578" w14:paraId="06A147E1" w14:textId="77777777" w:rsidTr="00F0784D">
        <w:trPr>
          <w:cantSplit/>
          <w:trHeight w:val="99"/>
        </w:trPr>
        <w:tc>
          <w:tcPr>
            <w:tcW w:w="9067" w:type="dxa"/>
            <w:gridSpan w:val="6"/>
          </w:tcPr>
          <w:p w14:paraId="7FC4A451" w14:textId="0B41C0E2" w:rsidR="000132CF" w:rsidRPr="00BC1578" w:rsidRDefault="0095594C" w:rsidP="00F0784D">
            <w:pPr>
              <w:ind w:left="-57"/>
              <w:rPr>
                <w:rFonts w:ascii="Arial Narrow" w:hAnsi="Arial Narrow"/>
                <w:sz w:val="20"/>
                <w:szCs w:val="20"/>
              </w:rPr>
            </w:pPr>
            <w:r w:rsidRPr="00BC1578">
              <w:rPr>
                <w:rFonts w:ascii="Arial Narrow" w:hAnsi="Arial Narrow"/>
                <w:sz w:val="20"/>
                <w:szCs w:val="20"/>
              </w:rPr>
              <w:t>A</w:t>
            </w:r>
            <w:r>
              <w:rPr>
                <w:rFonts w:ascii="Arial Narrow" w:hAnsi="Arial Narrow"/>
                <w:sz w:val="20"/>
                <w:szCs w:val="20"/>
              </w:rPr>
              <w:t>dcetris</w:t>
            </w:r>
          </w:p>
          <w:p w14:paraId="35E0A832" w14:textId="77777777" w:rsidR="000132CF" w:rsidRPr="00BC1578" w:rsidRDefault="000132CF" w:rsidP="00F0784D">
            <w:pPr>
              <w:ind w:left="-57"/>
              <w:rPr>
                <w:rFonts w:ascii="Arial Narrow" w:hAnsi="Arial Narrow"/>
                <w:sz w:val="20"/>
                <w:szCs w:val="20"/>
              </w:rPr>
            </w:pPr>
            <w:r w:rsidRPr="00BC1578">
              <w:rPr>
                <w:rFonts w:ascii="Arial Narrow" w:hAnsi="Arial Narrow"/>
                <w:sz w:val="20"/>
                <w:szCs w:val="20"/>
              </w:rPr>
              <w:t>(brentuximab vedotin 50 mg injection, 1 vial)</w:t>
            </w:r>
          </w:p>
        </w:tc>
      </w:tr>
      <w:tr w:rsidR="000132CF" w:rsidRPr="00BC1578" w14:paraId="1F9779DE" w14:textId="77777777" w:rsidTr="00F0784D">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744F41AD" w14:textId="77777777" w:rsidR="000132CF" w:rsidRPr="00956A81" w:rsidRDefault="000132CF" w:rsidP="00F0784D">
            <w:pPr>
              <w:rPr>
                <w:rFonts w:ascii="Arial Narrow" w:hAnsi="Arial Narrow"/>
                <w:b/>
                <w:bCs/>
                <w:sz w:val="20"/>
                <w:szCs w:val="20"/>
              </w:rPr>
            </w:pPr>
            <w:r w:rsidRPr="00956A81">
              <w:rPr>
                <w:rFonts w:ascii="Arial Narrow" w:hAnsi="Arial Narrow"/>
                <w:b/>
                <w:sz w:val="20"/>
                <w:szCs w:val="20"/>
                <w:lang w:val="en-GB"/>
              </w:rPr>
              <w:t xml:space="preserve">Restriction Summary </w:t>
            </w:r>
            <w:r w:rsidRPr="003D562C">
              <w:rPr>
                <w:rFonts w:ascii="Arial Narrow" w:hAnsi="Arial Narrow"/>
                <w:bCs/>
                <w:strike/>
                <w:sz w:val="20"/>
                <w:szCs w:val="20"/>
                <w:lang w:val="en-GB"/>
              </w:rPr>
              <w:t>13170</w:t>
            </w:r>
            <w:r w:rsidRPr="00956A81">
              <w:rPr>
                <w:rFonts w:ascii="Arial Narrow" w:hAnsi="Arial Narrow"/>
                <w:bCs/>
                <w:sz w:val="20"/>
                <w:szCs w:val="20"/>
                <w:lang w:val="en-GB"/>
              </w:rPr>
              <w:t xml:space="preserve"> </w:t>
            </w:r>
            <w:r w:rsidRPr="00956A81">
              <w:rPr>
                <w:rFonts w:ascii="Arial Narrow" w:hAnsi="Arial Narrow"/>
                <w:bCs/>
                <w:i/>
                <w:iCs/>
                <w:sz w:val="20"/>
                <w:szCs w:val="20"/>
                <w:lang w:val="en-GB"/>
              </w:rPr>
              <w:t>(new)</w:t>
            </w:r>
            <w:r w:rsidRPr="00956A81">
              <w:rPr>
                <w:rFonts w:ascii="Arial Narrow" w:hAnsi="Arial Narrow"/>
                <w:bCs/>
                <w:sz w:val="20"/>
                <w:szCs w:val="20"/>
                <w:lang w:val="en-GB"/>
              </w:rPr>
              <w:t xml:space="preserve"> /</w:t>
            </w:r>
            <w:r w:rsidRPr="00956A81">
              <w:rPr>
                <w:rFonts w:ascii="Arial Narrow" w:hAnsi="Arial Narrow"/>
                <w:b/>
                <w:sz w:val="20"/>
                <w:szCs w:val="20"/>
                <w:lang w:val="en-GB"/>
              </w:rPr>
              <w:t xml:space="preserve"> Treatment of Concept: </w:t>
            </w:r>
            <w:r w:rsidRPr="00D2620D">
              <w:rPr>
                <w:rFonts w:ascii="Arial Narrow" w:hAnsi="Arial Narrow"/>
                <w:bCs/>
                <w:strike/>
                <w:sz w:val="20"/>
                <w:szCs w:val="20"/>
                <w:lang w:val="en-GB"/>
              </w:rPr>
              <w:t>13209</w:t>
            </w:r>
            <w:r w:rsidRPr="00956A81">
              <w:rPr>
                <w:rFonts w:ascii="Arial Narrow" w:hAnsi="Arial Narrow"/>
                <w:bCs/>
                <w:sz w:val="20"/>
                <w:szCs w:val="20"/>
                <w:lang w:val="en-GB"/>
              </w:rPr>
              <w:t xml:space="preserve"> </w:t>
            </w:r>
            <w:r w:rsidRPr="00956A81">
              <w:rPr>
                <w:rFonts w:ascii="Arial Narrow" w:hAnsi="Arial Narrow"/>
                <w:bCs/>
                <w:i/>
                <w:iCs/>
                <w:sz w:val="20"/>
                <w:szCs w:val="20"/>
                <w:lang w:val="en-GB"/>
              </w:rPr>
              <w:t>(new)</w:t>
            </w:r>
            <w:r w:rsidRPr="00956A81">
              <w:rPr>
                <w:rFonts w:ascii="Arial Narrow" w:hAnsi="Arial Narrow"/>
                <w:b/>
                <w:sz w:val="20"/>
                <w:szCs w:val="20"/>
                <w:lang w:val="en-GB"/>
              </w:rPr>
              <w:t xml:space="preserve">: Authority Required </w:t>
            </w:r>
            <w:r w:rsidRPr="00956A81">
              <w:rPr>
                <w:rFonts w:ascii="Arial Narrow" w:hAnsi="Arial Narrow"/>
                <w:b/>
                <w:i/>
                <w:iCs/>
                <w:sz w:val="20"/>
                <w:szCs w:val="20"/>
                <w:lang w:val="en-GB"/>
              </w:rPr>
              <w:t>(telephone/online)</w:t>
            </w:r>
          </w:p>
        </w:tc>
      </w:tr>
      <w:tr w:rsidR="000132CF" w:rsidRPr="00BC1578" w14:paraId="6296D3F2" w14:textId="77777777" w:rsidTr="00F0784D">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Pr>
          <w:p w14:paraId="112B0268" w14:textId="77777777" w:rsidR="000132CF" w:rsidRPr="00956A81" w:rsidRDefault="000132CF" w:rsidP="00F0784D">
            <w:pPr>
              <w:keepNext/>
              <w:jc w:val="center"/>
              <w:rPr>
                <w:rFonts w:ascii="Arial Narrow" w:hAnsi="Arial Narrow"/>
                <w:b/>
                <w:sz w:val="20"/>
                <w:szCs w:val="20"/>
              </w:rPr>
            </w:pPr>
            <w:r w:rsidRPr="00956A81">
              <w:rPr>
                <w:rFonts w:ascii="Arial Narrow" w:hAnsi="Arial Narrow"/>
                <w:b/>
                <w:sz w:val="20"/>
                <w:szCs w:val="20"/>
              </w:rPr>
              <w:t xml:space="preserve">Concept ID </w:t>
            </w:r>
            <w:r w:rsidRPr="00956A81">
              <w:rPr>
                <w:rFonts w:ascii="Arial Narrow" w:hAnsi="Arial Narrow"/>
                <w:sz w:val="20"/>
                <w:szCs w:val="20"/>
              </w:rPr>
              <w:t>(for internal Dept. use)</w:t>
            </w:r>
          </w:p>
        </w:tc>
        <w:tc>
          <w:tcPr>
            <w:tcW w:w="7796" w:type="dxa"/>
            <w:gridSpan w:val="4"/>
          </w:tcPr>
          <w:p w14:paraId="3A081192" w14:textId="77777777" w:rsidR="000132CF" w:rsidRPr="00956A81" w:rsidRDefault="000132CF" w:rsidP="00F0784D">
            <w:pPr>
              <w:keepNext/>
              <w:rPr>
                <w:rFonts w:ascii="Arial Narrow" w:hAnsi="Arial Narrow"/>
                <w:sz w:val="20"/>
                <w:szCs w:val="20"/>
              </w:rPr>
            </w:pPr>
            <w:r w:rsidRPr="00956A81">
              <w:rPr>
                <w:rFonts w:ascii="Arial Narrow" w:hAnsi="Arial Narrow"/>
                <w:b/>
                <w:sz w:val="20"/>
                <w:szCs w:val="20"/>
              </w:rPr>
              <w:t xml:space="preserve">Category / Program: </w:t>
            </w:r>
            <w:r w:rsidRPr="00956A81">
              <w:rPr>
                <w:rFonts w:ascii="Arial Narrow" w:hAnsi="Arial Narrow"/>
                <w:sz w:val="20"/>
                <w:szCs w:val="20"/>
              </w:rPr>
              <w:t>Section 100 – Efficient Funding of Chemotherapy Public/Private hospitals</w:t>
            </w:r>
          </w:p>
        </w:tc>
      </w:tr>
      <w:tr w:rsidR="000132CF" w:rsidRPr="00BC1578" w14:paraId="656F350F" w14:textId="77777777" w:rsidTr="00F0784D">
        <w:tblPrEx>
          <w:tblCellMar>
            <w:top w:w="15" w:type="dxa"/>
            <w:bottom w:w="15" w:type="dxa"/>
          </w:tblCellMar>
          <w:tblLook w:val="04A0" w:firstRow="1" w:lastRow="0" w:firstColumn="1" w:lastColumn="0" w:noHBand="0" w:noVBand="1"/>
        </w:tblPrEx>
        <w:trPr>
          <w:cantSplit/>
          <w:trHeight w:val="20"/>
        </w:trPr>
        <w:tc>
          <w:tcPr>
            <w:tcW w:w="1271" w:type="dxa"/>
            <w:gridSpan w:val="2"/>
            <w:vMerge/>
          </w:tcPr>
          <w:p w14:paraId="4F4DD6CF" w14:textId="77777777" w:rsidR="000132CF" w:rsidRPr="00956A81" w:rsidRDefault="000132CF" w:rsidP="00F0784D">
            <w:pPr>
              <w:keepNext/>
              <w:rPr>
                <w:rFonts w:ascii="Arial Narrow" w:hAnsi="Arial Narrow"/>
                <w:sz w:val="20"/>
                <w:szCs w:val="20"/>
              </w:rPr>
            </w:pPr>
          </w:p>
        </w:tc>
        <w:tc>
          <w:tcPr>
            <w:tcW w:w="7796" w:type="dxa"/>
            <w:gridSpan w:val="4"/>
          </w:tcPr>
          <w:p w14:paraId="7836B29D" w14:textId="77777777" w:rsidR="000132CF" w:rsidRPr="00956A81" w:rsidRDefault="000132CF" w:rsidP="00F0784D">
            <w:pPr>
              <w:keepNext/>
              <w:rPr>
                <w:rFonts w:ascii="Arial Narrow" w:hAnsi="Arial Narrow"/>
                <w:b/>
                <w:sz w:val="20"/>
                <w:szCs w:val="20"/>
              </w:rPr>
            </w:pPr>
            <w:r w:rsidRPr="00956A81">
              <w:rPr>
                <w:rFonts w:ascii="Arial Narrow" w:hAnsi="Arial Narrow"/>
                <w:b/>
                <w:sz w:val="20"/>
                <w:szCs w:val="20"/>
              </w:rPr>
              <w:t xml:space="preserve">Prescriber type: </w:t>
            </w:r>
            <w:r w:rsidRPr="00956A81">
              <w:rPr>
                <w:rFonts w:ascii="Arial Narrow" w:hAnsi="Arial Narrow"/>
                <w:sz w:val="20"/>
                <w:szCs w:val="20"/>
              </w:rPr>
              <w:fldChar w:fldCharType="begin">
                <w:ffData>
                  <w:name w:val=""/>
                  <w:enabled/>
                  <w:calcOnExit w:val="0"/>
                  <w:checkBox>
                    <w:sizeAuto/>
                    <w:default w:val="1"/>
                  </w:checkBox>
                </w:ffData>
              </w:fldChar>
            </w:r>
            <w:r w:rsidRPr="00956A81">
              <w:rPr>
                <w:rFonts w:ascii="Arial Narrow" w:hAnsi="Arial Narrow"/>
                <w:sz w:val="20"/>
                <w:szCs w:val="20"/>
              </w:rPr>
              <w:instrText xml:space="preserve"> FORMCHECKBOX </w:instrText>
            </w:r>
            <w:r w:rsidRPr="00956A81">
              <w:rPr>
                <w:rFonts w:ascii="Arial Narrow" w:hAnsi="Arial Narrow"/>
                <w:sz w:val="20"/>
                <w:szCs w:val="20"/>
              </w:rPr>
            </w:r>
            <w:r w:rsidRPr="00956A81">
              <w:rPr>
                <w:rFonts w:ascii="Arial Narrow" w:hAnsi="Arial Narrow"/>
                <w:sz w:val="20"/>
                <w:szCs w:val="20"/>
              </w:rPr>
              <w:fldChar w:fldCharType="separate"/>
            </w:r>
            <w:r w:rsidRPr="00956A81">
              <w:rPr>
                <w:rFonts w:ascii="Arial Narrow" w:hAnsi="Arial Narrow"/>
                <w:sz w:val="20"/>
                <w:szCs w:val="20"/>
              </w:rPr>
              <w:fldChar w:fldCharType="end"/>
            </w:r>
            <w:r w:rsidRPr="00956A81">
              <w:rPr>
                <w:rFonts w:ascii="Arial Narrow" w:hAnsi="Arial Narrow"/>
                <w:sz w:val="20"/>
                <w:szCs w:val="20"/>
              </w:rPr>
              <w:t xml:space="preserve">Medical Practitioners </w:t>
            </w:r>
          </w:p>
        </w:tc>
      </w:tr>
      <w:tr w:rsidR="000132CF" w:rsidRPr="00BC1578" w14:paraId="25D8A811" w14:textId="77777777" w:rsidTr="00F0784D">
        <w:tblPrEx>
          <w:tblCellMar>
            <w:top w:w="15" w:type="dxa"/>
            <w:bottom w:w="15" w:type="dxa"/>
          </w:tblCellMar>
          <w:tblLook w:val="04A0" w:firstRow="1" w:lastRow="0" w:firstColumn="1" w:lastColumn="0" w:noHBand="0" w:noVBand="1"/>
        </w:tblPrEx>
        <w:trPr>
          <w:cantSplit/>
          <w:trHeight w:val="20"/>
        </w:trPr>
        <w:tc>
          <w:tcPr>
            <w:tcW w:w="1271" w:type="dxa"/>
            <w:gridSpan w:val="2"/>
            <w:vMerge/>
          </w:tcPr>
          <w:p w14:paraId="76535C62" w14:textId="77777777" w:rsidR="000132CF" w:rsidRPr="00956A81" w:rsidRDefault="000132CF" w:rsidP="00F0784D">
            <w:pPr>
              <w:rPr>
                <w:rFonts w:ascii="Arial Narrow" w:hAnsi="Arial Narrow"/>
                <w:sz w:val="20"/>
                <w:szCs w:val="20"/>
              </w:rPr>
            </w:pPr>
          </w:p>
        </w:tc>
        <w:tc>
          <w:tcPr>
            <w:tcW w:w="7796" w:type="dxa"/>
            <w:gridSpan w:val="4"/>
          </w:tcPr>
          <w:p w14:paraId="770C16EE" w14:textId="77777777" w:rsidR="000132CF" w:rsidRPr="00956A81" w:rsidRDefault="000132CF" w:rsidP="00F0784D">
            <w:pPr>
              <w:rPr>
                <w:rFonts w:ascii="Arial Narrow" w:hAnsi="Arial Narrow"/>
                <w:b/>
                <w:i/>
                <w:iCs/>
                <w:sz w:val="20"/>
                <w:szCs w:val="20"/>
              </w:rPr>
            </w:pPr>
            <w:r w:rsidRPr="00956A81">
              <w:rPr>
                <w:rFonts w:ascii="Arial Narrow" w:hAnsi="Arial Narrow"/>
                <w:b/>
                <w:sz w:val="20"/>
                <w:szCs w:val="20"/>
              </w:rPr>
              <w:t xml:space="preserve">Restriction type: </w:t>
            </w:r>
            <w:r w:rsidRPr="00956A81">
              <w:rPr>
                <w:rFonts w:ascii="Arial Narrow" w:eastAsia="Calibri" w:hAnsi="Arial Narrow"/>
                <w:strike/>
                <w:sz w:val="20"/>
                <w:szCs w:val="20"/>
              </w:rPr>
              <w:fldChar w:fldCharType="begin">
                <w:ffData>
                  <w:name w:val=""/>
                  <w:enabled/>
                  <w:calcOnExit w:val="0"/>
                  <w:checkBox>
                    <w:sizeAuto/>
                    <w:default w:val="1"/>
                  </w:checkBox>
                </w:ffData>
              </w:fldChar>
            </w:r>
            <w:r w:rsidRPr="00956A81">
              <w:rPr>
                <w:rFonts w:ascii="Arial Narrow" w:eastAsia="Calibri" w:hAnsi="Arial Narrow"/>
                <w:strike/>
                <w:sz w:val="20"/>
                <w:szCs w:val="20"/>
              </w:rPr>
              <w:instrText xml:space="preserve"> FORMCHECKBOX </w:instrText>
            </w:r>
            <w:r w:rsidRPr="00956A81">
              <w:rPr>
                <w:rFonts w:ascii="Arial Narrow" w:eastAsia="Calibri" w:hAnsi="Arial Narrow"/>
                <w:strike/>
                <w:sz w:val="20"/>
                <w:szCs w:val="20"/>
              </w:rPr>
            </w:r>
            <w:r w:rsidRPr="00956A81">
              <w:rPr>
                <w:rFonts w:ascii="Arial Narrow" w:eastAsia="Calibri" w:hAnsi="Arial Narrow"/>
                <w:strike/>
                <w:sz w:val="20"/>
                <w:szCs w:val="20"/>
              </w:rPr>
              <w:fldChar w:fldCharType="separate"/>
            </w:r>
            <w:r w:rsidRPr="00956A81">
              <w:rPr>
                <w:rFonts w:ascii="Arial Narrow" w:eastAsia="Calibri" w:hAnsi="Arial Narrow"/>
                <w:strike/>
                <w:sz w:val="20"/>
                <w:szCs w:val="20"/>
              </w:rPr>
              <w:fldChar w:fldCharType="end"/>
            </w:r>
            <w:r w:rsidRPr="00956A81">
              <w:rPr>
                <w:rFonts w:ascii="Arial Narrow" w:eastAsia="Calibri" w:hAnsi="Arial Narrow"/>
                <w:strike/>
                <w:sz w:val="20"/>
                <w:szCs w:val="20"/>
              </w:rPr>
              <w:t>Authority Required (in writing only via post/HPOS upload)</w:t>
            </w:r>
            <w:r w:rsidRPr="00956A81">
              <w:rPr>
                <w:rFonts w:ascii="Arial Narrow" w:eastAsia="Calibri" w:hAnsi="Arial Narrow"/>
                <w:sz w:val="20"/>
                <w:szCs w:val="20"/>
              </w:rPr>
              <w:t xml:space="preserve"> </w:t>
            </w:r>
            <w:r w:rsidRPr="00956A81">
              <w:rPr>
                <w:rFonts w:ascii="Arial Narrow" w:eastAsia="Calibri" w:hAnsi="Arial Narrow"/>
                <w:i/>
                <w:iCs/>
                <w:sz w:val="20"/>
                <w:szCs w:val="20"/>
              </w:rPr>
              <w:fldChar w:fldCharType="begin">
                <w:ffData>
                  <w:name w:val=""/>
                  <w:enabled/>
                  <w:calcOnExit w:val="0"/>
                  <w:checkBox>
                    <w:sizeAuto/>
                    <w:default w:val="1"/>
                  </w:checkBox>
                </w:ffData>
              </w:fldChar>
            </w:r>
            <w:r w:rsidRPr="00956A81">
              <w:rPr>
                <w:rFonts w:ascii="Arial Narrow" w:eastAsia="Calibri" w:hAnsi="Arial Narrow"/>
                <w:i/>
                <w:iCs/>
                <w:sz w:val="20"/>
                <w:szCs w:val="20"/>
              </w:rPr>
              <w:instrText xml:space="preserve"> FORMCHECKBOX </w:instrText>
            </w:r>
            <w:r w:rsidRPr="00956A81">
              <w:rPr>
                <w:rFonts w:ascii="Arial Narrow" w:eastAsia="Calibri" w:hAnsi="Arial Narrow"/>
                <w:i/>
                <w:iCs/>
                <w:sz w:val="20"/>
                <w:szCs w:val="20"/>
              </w:rPr>
            </w:r>
            <w:r w:rsidRPr="00956A81">
              <w:rPr>
                <w:rFonts w:ascii="Arial Narrow" w:eastAsia="Calibri" w:hAnsi="Arial Narrow"/>
                <w:i/>
                <w:iCs/>
                <w:sz w:val="20"/>
                <w:szCs w:val="20"/>
              </w:rPr>
              <w:fldChar w:fldCharType="separate"/>
            </w:r>
            <w:r w:rsidRPr="00956A81">
              <w:rPr>
                <w:rFonts w:ascii="Arial Narrow" w:eastAsia="Calibri" w:hAnsi="Arial Narrow"/>
                <w:i/>
                <w:iCs/>
                <w:sz w:val="20"/>
                <w:szCs w:val="20"/>
              </w:rPr>
              <w:fldChar w:fldCharType="end"/>
            </w:r>
            <w:r w:rsidRPr="00956A81">
              <w:rPr>
                <w:rFonts w:ascii="Arial Narrow" w:eastAsia="Calibri" w:hAnsi="Arial Narrow"/>
                <w:i/>
                <w:iCs/>
                <w:sz w:val="20"/>
                <w:szCs w:val="20"/>
              </w:rPr>
              <w:t>Authority Required (telephone/online)</w:t>
            </w:r>
          </w:p>
        </w:tc>
      </w:tr>
      <w:tr w:rsidR="000132CF" w:rsidRPr="00BC1578" w14:paraId="13C7B282" w14:textId="77777777" w:rsidTr="00F0784D">
        <w:tblPrEx>
          <w:tblCellMar>
            <w:top w:w="15" w:type="dxa"/>
            <w:bottom w:w="15" w:type="dxa"/>
          </w:tblCellMar>
          <w:tblLook w:val="04A0" w:firstRow="1" w:lastRow="0" w:firstColumn="1" w:lastColumn="0" w:noHBand="0" w:noVBand="1"/>
        </w:tblPrEx>
        <w:trPr>
          <w:trHeight w:val="20"/>
        </w:trPr>
        <w:tc>
          <w:tcPr>
            <w:tcW w:w="562" w:type="dxa"/>
            <w:vMerge w:val="restart"/>
            <w:textDirection w:val="btLr"/>
            <w:vAlign w:val="center"/>
          </w:tcPr>
          <w:p w14:paraId="03B4548B" w14:textId="77777777" w:rsidR="000132CF" w:rsidRPr="00956A81" w:rsidRDefault="000132CF" w:rsidP="00F0784D">
            <w:pPr>
              <w:keepLines/>
              <w:ind w:right="113"/>
              <w:jc w:val="center"/>
              <w:rPr>
                <w:rFonts w:ascii="Arial Narrow" w:hAnsi="Arial Narrow"/>
                <w:sz w:val="20"/>
                <w:szCs w:val="20"/>
              </w:rPr>
            </w:pPr>
            <w:r w:rsidRPr="00956A81">
              <w:rPr>
                <w:rFonts w:ascii="Arial Narrow" w:hAnsi="Arial Narrow"/>
                <w:sz w:val="20"/>
                <w:szCs w:val="20"/>
              </w:rPr>
              <w:t>Prescribing rule level</w:t>
            </w:r>
          </w:p>
        </w:tc>
        <w:tc>
          <w:tcPr>
            <w:tcW w:w="709" w:type="dxa"/>
            <w:vAlign w:val="center"/>
          </w:tcPr>
          <w:p w14:paraId="381C0D19" w14:textId="450D339C" w:rsidR="000132CF" w:rsidRPr="00956A81" w:rsidRDefault="000132CF" w:rsidP="00F0784D">
            <w:pPr>
              <w:keepLines/>
              <w:ind w:hanging="35"/>
              <w:jc w:val="center"/>
              <w:rPr>
                <w:rFonts w:ascii="Arial Narrow" w:hAnsi="Arial Narrow"/>
                <w:sz w:val="20"/>
                <w:szCs w:val="20"/>
              </w:rPr>
            </w:pPr>
          </w:p>
        </w:tc>
        <w:tc>
          <w:tcPr>
            <w:tcW w:w="7796" w:type="dxa"/>
            <w:gridSpan w:val="4"/>
            <w:vAlign w:val="center"/>
          </w:tcPr>
          <w:p w14:paraId="272F3F31" w14:textId="77777777" w:rsidR="000132CF" w:rsidRPr="00956A81" w:rsidRDefault="000132CF" w:rsidP="00F0784D">
            <w:pPr>
              <w:keepLines/>
              <w:rPr>
                <w:rFonts w:ascii="Arial Narrow" w:hAnsi="Arial Narrow"/>
                <w:sz w:val="20"/>
                <w:szCs w:val="20"/>
              </w:rPr>
            </w:pPr>
            <w:r w:rsidRPr="00956A81">
              <w:rPr>
                <w:rFonts w:ascii="Arial Narrow" w:hAnsi="Arial Narrow"/>
                <w:b/>
                <w:bCs/>
                <w:sz w:val="20"/>
                <w:szCs w:val="20"/>
              </w:rPr>
              <w:t>Administrative Advice:</w:t>
            </w:r>
          </w:p>
          <w:p w14:paraId="5A97FCBD" w14:textId="77777777" w:rsidR="000132CF" w:rsidRPr="00956A81" w:rsidRDefault="000132CF" w:rsidP="00F0784D">
            <w:pPr>
              <w:keepLines/>
              <w:rPr>
                <w:rFonts w:ascii="Arial Narrow" w:hAnsi="Arial Narrow"/>
                <w:sz w:val="20"/>
                <w:szCs w:val="20"/>
              </w:rPr>
            </w:pPr>
            <w:r w:rsidRPr="00956A81">
              <w:rPr>
                <w:rFonts w:ascii="Arial Narrow" w:hAnsi="Arial Narrow"/>
                <w:sz w:val="20"/>
                <w:szCs w:val="20"/>
              </w:rPr>
              <w:t>No increase in the maximum quantity or number of units may be authorised.</w:t>
            </w:r>
          </w:p>
        </w:tc>
      </w:tr>
      <w:tr w:rsidR="000132CF" w:rsidRPr="00BC1578" w14:paraId="0E115BE3" w14:textId="77777777" w:rsidTr="00F0784D">
        <w:tblPrEx>
          <w:tblCellMar>
            <w:top w:w="15" w:type="dxa"/>
            <w:bottom w:w="15" w:type="dxa"/>
          </w:tblCellMar>
          <w:tblLook w:val="04A0" w:firstRow="1" w:lastRow="0" w:firstColumn="1" w:lastColumn="0" w:noHBand="0" w:noVBand="1"/>
        </w:tblPrEx>
        <w:trPr>
          <w:trHeight w:val="20"/>
        </w:trPr>
        <w:tc>
          <w:tcPr>
            <w:tcW w:w="562" w:type="dxa"/>
            <w:vMerge/>
            <w:vAlign w:val="center"/>
          </w:tcPr>
          <w:p w14:paraId="6F17E284" w14:textId="77777777" w:rsidR="000132CF" w:rsidRPr="00956A81" w:rsidRDefault="000132CF" w:rsidP="00F0784D">
            <w:pPr>
              <w:keepLines/>
              <w:jc w:val="center"/>
              <w:rPr>
                <w:rFonts w:ascii="Arial Narrow" w:hAnsi="Arial Narrow"/>
                <w:sz w:val="20"/>
                <w:szCs w:val="20"/>
              </w:rPr>
            </w:pPr>
          </w:p>
        </w:tc>
        <w:tc>
          <w:tcPr>
            <w:tcW w:w="709" w:type="dxa"/>
            <w:vAlign w:val="center"/>
          </w:tcPr>
          <w:p w14:paraId="0259D220" w14:textId="2681C782" w:rsidR="000132CF" w:rsidRPr="00956A81" w:rsidRDefault="000132CF" w:rsidP="00F0784D">
            <w:pPr>
              <w:keepLines/>
              <w:ind w:hanging="35"/>
              <w:jc w:val="center"/>
              <w:rPr>
                <w:rFonts w:ascii="Arial Narrow" w:hAnsi="Arial Narrow"/>
                <w:sz w:val="20"/>
                <w:szCs w:val="20"/>
              </w:rPr>
            </w:pPr>
          </w:p>
        </w:tc>
        <w:tc>
          <w:tcPr>
            <w:tcW w:w="7796" w:type="dxa"/>
            <w:gridSpan w:val="4"/>
            <w:vAlign w:val="center"/>
          </w:tcPr>
          <w:p w14:paraId="4ADEC5F4" w14:textId="77777777" w:rsidR="000132CF" w:rsidRPr="00956A81" w:rsidRDefault="000132CF" w:rsidP="00F0784D">
            <w:pPr>
              <w:keepLines/>
              <w:rPr>
                <w:rFonts w:ascii="Arial Narrow" w:hAnsi="Arial Narrow"/>
                <w:b/>
                <w:bCs/>
                <w:sz w:val="20"/>
                <w:szCs w:val="20"/>
              </w:rPr>
            </w:pPr>
            <w:r w:rsidRPr="00956A81">
              <w:rPr>
                <w:rFonts w:ascii="Arial Narrow" w:hAnsi="Arial Narrow"/>
                <w:b/>
                <w:bCs/>
                <w:sz w:val="20"/>
                <w:szCs w:val="20"/>
              </w:rPr>
              <w:t>Administrative Advice:</w:t>
            </w:r>
          </w:p>
          <w:p w14:paraId="5F5D018D" w14:textId="77777777" w:rsidR="000132CF" w:rsidRPr="00956A81" w:rsidRDefault="000132CF" w:rsidP="00F0784D">
            <w:pPr>
              <w:keepLines/>
              <w:rPr>
                <w:rFonts w:ascii="Arial Narrow" w:hAnsi="Arial Narrow"/>
                <w:b/>
                <w:bCs/>
                <w:sz w:val="20"/>
                <w:szCs w:val="20"/>
              </w:rPr>
            </w:pPr>
            <w:r w:rsidRPr="00956A81">
              <w:rPr>
                <w:rFonts w:ascii="Arial Narrow" w:hAnsi="Arial Narrow"/>
                <w:sz w:val="20"/>
                <w:szCs w:val="20"/>
              </w:rPr>
              <w:t>No increase in the maximum number of repeats may be authorised</w:t>
            </w:r>
          </w:p>
        </w:tc>
      </w:tr>
      <w:tr w:rsidR="000132CF" w:rsidRPr="00BC1578" w14:paraId="7755900B" w14:textId="77777777" w:rsidTr="00F0784D">
        <w:tblPrEx>
          <w:tblCellMar>
            <w:top w:w="15" w:type="dxa"/>
            <w:bottom w:w="15" w:type="dxa"/>
          </w:tblCellMar>
          <w:tblLook w:val="04A0" w:firstRow="1" w:lastRow="0" w:firstColumn="1" w:lastColumn="0" w:noHBand="0" w:noVBand="1"/>
        </w:tblPrEx>
        <w:trPr>
          <w:trHeight w:val="20"/>
        </w:trPr>
        <w:tc>
          <w:tcPr>
            <w:tcW w:w="562" w:type="dxa"/>
            <w:vMerge/>
            <w:vAlign w:val="center"/>
          </w:tcPr>
          <w:p w14:paraId="4AFEC8E3" w14:textId="77777777" w:rsidR="000132CF" w:rsidRPr="00956A81" w:rsidRDefault="000132CF" w:rsidP="00F0784D">
            <w:pPr>
              <w:keepLines/>
              <w:jc w:val="center"/>
              <w:rPr>
                <w:rFonts w:ascii="Arial Narrow" w:hAnsi="Arial Narrow"/>
                <w:sz w:val="20"/>
                <w:szCs w:val="20"/>
              </w:rPr>
            </w:pPr>
          </w:p>
        </w:tc>
        <w:tc>
          <w:tcPr>
            <w:tcW w:w="709" w:type="dxa"/>
            <w:vAlign w:val="center"/>
          </w:tcPr>
          <w:p w14:paraId="2B6D99DD" w14:textId="5BCF85EA" w:rsidR="000132CF" w:rsidRPr="00956A81" w:rsidRDefault="000132CF" w:rsidP="00F0784D">
            <w:pPr>
              <w:keepLines/>
              <w:ind w:hanging="35"/>
              <w:jc w:val="center"/>
              <w:rPr>
                <w:rFonts w:ascii="Arial Narrow" w:hAnsi="Arial Narrow"/>
                <w:sz w:val="20"/>
                <w:szCs w:val="20"/>
              </w:rPr>
            </w:pPr>
          </w:p>
        </w:tc>
        <w:tc>
          <w:tcPr>
            <w:tcW w:w="7796" w:type="dxa"/>
            <w:gridSpan w:val="4"/>
            <w:vAlign w:val="center"/>
          </w:tcPr>
          <w:p w14:paraId="26B46E41" w14:textId="77777777" w:rsidR="000132CF" w:rsidRPr="00956A81" w:rsidRDefault="000132CF" w:rsidP="00F0784D">
            <w:pPr>
              <w:keepLines/>
              <w:rPr>
                <w:rFonts w:ascii="Arial Narrow" w:hAnsi="Arial Narrow"/>
                <w:b/>
                <w:bCs/>
                <w:sz w:val="20"/>
                <w:szCs w:val="20"/>
              </w:rPr>
            </w:pPr>
            <w:r w:rsidRPr="00956A81">
              <w:rPr>
                <w:rFonts w:ascii="Arial Narrow" w:hAnsi="Arial Narrow"/>
                <w:b/>
                <w:bCs/>
                <w:sz w:val="20"/>
                <w:szCs w:val="20"/>
              </w:rPr>
              <w:t>Administrative Advice:</w:t>
            </w:r>
          </w:p>
          <w:p w14:paraId="72F68B94" w14:textId="77777777" w:rsidR="000132CF" w:rsidRPr="00956A81" w:rsidRDefault="000132CF" w:rsidP="00F0784D">
            <w:pPr>
              <w:keepLines/>
              <w:rPr>
                <w:rFonts w:ascii="Arial Narrow" w:hAnsi="Arial Narrow"/>
                <w:b/>
                <w:bCs/>
                <w:sz w:val="20"/>
                <w:szCs w:val="20"/>
              </w:rPr>
            </w:pPr>
            <w:r w:rsidRPr="00956A81">
              <w:rPr>
                <w:rFonts w:ascii="Arial Narrow" w:hAnsi="Arial Narrow"/>
                <w:sz w:val="20"/>
                <w:szCs w:val="20"/>
              </w:rPr>
              <w:t>Special Pricing Arrangements apply</w:t>
            </w:r>
          </w:p>
        </w:tc>
      </w:tr>
      <w:tr w:rsidR="000132CF" w:rsidRPr="00BC1578" w14:paraId="648EE3F5" w14:textId="77777777" w:rsidTr="00F0784D">
        <w:tblPrEx>
          <w:tblCellMar>
            <w:top w:w="15" w:type="dxa"/>
            <w:bottom w:w="15" w:type="dxa"/>
          </w:tblCellMar>
          <w:tblLook w:val="04A0" w:firstRow="1" w:lastRow="0" w:firstColumn="1" w:lastColumn="0" w:noHBand="0" w:noVBand="1"/>
        </w:tblPrEx>
        <w:trPr>
          <w:trHeight w:val="20"/>
        </w:trPr>
        <w:tc>
          <w:tcPr>
            <w:tcW w:w="562" w:type="dxa"/>
            <w:vMerge/>
          </w:tcPr>
          <w:p w14:paraId="2883E9C3" w14:textId="77777777" w:rsidR="000132CF" w:rsidRPr="00956A81" w:rsidRDefault="000132CF" w:rsidP="00F0784D">
            <w:pPr>
              <w:keepLines/>
              <w:jc w:val="center"/>
              <w:rPr>
                <w:rFonts w:ascii="Arial Narrow" w:hAnsi="Arial Narrow"/>
                <w:sz w:val="20"/>
                <w:szCs w:val="20"/>
              </w:rPr>
            </w:pPr>
          </w:p>
        </w:tc>
        <w:tc>
          <w:tcPr>
            <w:tcW w:w="709" w:type="dxa"/>
            <w:vAlign w:val="center"/>
          </w:tcPr>
          <w:p w14:paraId="67ABA9BD" w14:textId="43514AFC" w:rsidR="000132CF" w:rsidRPr="00956A81" w:rsidRDefault="000132CF" w:rsidP="00F0784D">
            <w:pPr>
              <w:keepNext/>
              <w:keepLines/>
              <w:ind w:hanging="35"/>
              <w:jc w:val="center"/>
              <w:rPr>
                <w:rFonts w:ascii="Arial Narrow" w:hAnsi="Arial Narrow"/>
                <w:strike/>
                <w:sz w:val="20"/>
                <w:szCs w:val="20"/>
              </w:rPr>
            </w:pPr>
          </w:p>
          <w:p w14:paraId="3F9BB7F0" w14:textId="20B66B62" w:rsidR="000132CF" w:rsidRPr="00956A81" w:rsidRDefault="000132CF" w:rsidP="00F0784D">
            <w:pPr>
              <w:keepNext/>
              <w:keepLines/>
              <w:ind w:hanging="35"/>
              <w:jc w:val="center"/>
              <w:rPr>
                <w:rFonts w:ascii="Arial Narrow" w:hAnsi="Arial Narrow"/>
                <w:strike/>
                <w:sz w:val="20"/>
                <w:szCs w:val="20"/>
              </w:rPr>
            </w:pPr>
          </w:p>
          <w:p w14:paraId="53EC4AD4" w14:textId="77777777" w:rsidR="000132CF" w:rsidRPr="00956A81" w:rsidRDefault="000132CF" w:rsidP="00F0784D">
            <w:pPr>
              <w:keepNext/>
              <w:keepLines/>
              <w:ind w:hanging="35"/>
              <w:jc w:val="center"/>
              <w:rPr>
                <w:rFonts w:ascii="Arial Narrow" w:hAnsi="Arial Narrow"/>
                <w:strike/>
                <w:sz w:val="20"/>
                <w:szCs w:val="20"/>
              </w:rPr>
            </w:pPr>
          </w:p>
          <w:p w14:paraId="2AFF7C49" w14:textId="379737CC" w:rsidR="000132CF" w:rsidRPr="00956A81" w:rsidRDefault="000132CF" w:rsidP="00F0784D">
            <w:pPr>
              <w:keepLines/>
              <w:ind w:hanging="35"/>
              <w:jc w:val="center"/>
              <w:rPr>
                <w:rFonts w:ascii="Arial Narrow" w:hAnsi="Arial Narrow" w:cstheme="minorHAnsi"/>
                <w:sz w:val="20"/>
                <w:szCs w:val="20"/>
              </w:rPr>
            </w:pPr>
            <w:r w:rsidRPr="00956A81">
              <w:rPr>
                <w:rFonts w:ascii="Arial Narrow" w:hAnsi="Arial Narrow"/>
                <w:i/>
                <w:iCs/>
                <w:sz w:val="20"/>
                <w:szCs w:val="20"/>
              </w:rPr>
              <w:t xml:space="preserve"> </w:t>
            </w:r>
          </w:p>
        </w:tc>
        <w:tc>
          <w:tcPr>
            <w:tcW w:w="7796" w:type="dxa"/>
            <w:gridSpan w:val="4"/>
            <w:vAlign w:val="center"/>
          </w:tcPr>
          <w:p w14:paraId="264FCB1F" w14:textId="77777777" w:rsidR="000132CF" w:rsidRPr="00956A81" w:rsidRDefault="000132CF" w:rsidP="00F0784D">
            <w:pPr>
              <w:keepNext/>
              <w:keepLines/>
              <w:rPr>
                <w:rFonts w:ascii="Arial Narrow" w:hAnsi="Arial Narrow"/>
                <w:strike/>
                <w:sz w:val="20"/>
                <w:szCs w:val="20"/>
              </w:rPr>
            </w:pPr>
            <w:r w:rsidRPr="00956A81">
              <w:rPr>
                <w:rFonts w:ascii="Arial Narrow" w:hAnsi="Arial Narrow"/>
                <w:strike/>
                <w:sz w:val="20"/>
                <w:szCs w:val="20"/>
              </w:rPr>
              <w:t>Any queries concerning the arrangements to prescribe may be directed to Services Australia on 1800 700 270 (hours of operation 8 a.m. to 5 p.m. Monday to Friday).</w:t>
            </w:r>
          </w:p>
          <w:p w14:paraId="5E302C7E" w14:textId="77777777" w:rsidR="000132CF" w:rsidRPr="00956A81" w:rsidRDefault="000132CF" w:rsidP="00F0784D">
            <w:pPr>
              <w:keepNext/>
              <w:keepLines/>
              <w:rPr>
                <w:rFonts w:ascii="Arial Narrow" w:hAnsi="Arial Narrow"/>
                <w:strike/>
                <w:sz w:val="20"/>
                <w:szCs w:val="20"/>
              </w:rPr>
            </w:pPr>
            <w:r w:rsidRPr="00956A81">
              <w:rPr>
                <w:rFonts w:ascii="Arial Narrow" w:hAnsi="Arial Narrow"/>
                <w:strike/>
                <w:sz w:val="20"/>
                <w:szCs w:val="20"/>
              </w:rPr>
              <w:t xml:space="preserve">Prescribing information (including Authority Application forms and other relevant documentation as applicable) is available on the Services Australia website at </w:t>
            </w:r>
            <w:hyperlink r:id="rId16" w:history="1">
              <w:r w:rsidRPr="00956A81">
                <w:rPr>
                  <w:rFonts w:ascii="Arial Narrow" w:hAnsi="Arial Narrow"/>
                  <w:strike/>
                  <w:sz w:val="20"/>
                  <w:szCs w:val="20"/>
                  <w:u w:val="single"/>
                </w:rPr>
                <w:t>www.servicesaustralia</w:t>
              </w:r>
            </w:hyperlink>
            <w:r w:rsidRPr="00956A81">
              <w:rPr>
                <w:rFonts w:ascii="Arial Narrow" w:hAnsi="Arial Narrow"/>
                <w:strike/>
                <w:sz w:val="20"/>
                <w:szCs w:val="20"/>
              </w:rPr>
              <w:t>.gov.au</w:t>
            </w:r>
          </w:p>
          <w:p w14:paraId="7927BB81" w14:textId="77777777" w:rsidR="000132CF" w:rsidRPr="00956A81" w:rsidRDefault="000132CF" w:rsidP="00F0784D">
            <w:pPr>
              <w:keepNext/>
              <w:keepLines/>
              <w:rPr>
                <w:rFonts w:ascii="Arial Narrow" w:hAnsi="Arial Narrow"/>
                <w:strike/>
                <w:sz w:val="20"/>
                <w:szCs w:val="20"/>
              </w:rPr>
            </w:pPr>
            <w:r w:rsidRPr="00956A81">
              <w:rPr>
                <w:rFonts w:ascii="Arial Narrow" w:hAnsi="Arial Narrow"/>
                <w:strike/>
                <w:sz w:val="20"/>
                <w:szCs w:val="20"/>
              </w:rPr>
              <w:t>Applications for authorisation under this restriction should be made in real time using the Online PBS Authorities system (see www.servicesaustralia.gov.au/hpos)</w:t>
            </w:r>
          </w:p>
          <w:p w14:paraId="04514CFC" w14:textId="77777777" w:rsidR="000132CF" w:rsidRPr="00956A81" w:rsidRDefault="000132CF" w:rsidP="00F0784D">
            <w:pPr>
              <w:keepNext/>
              <w:keepLines/>
              <w:rPr>
                <w:rFonts w:ascii="Arial Narrow" w:hAnsi="Arial Narrow"/>
                <w:strike/>
                <w:sz w:val="20"/>
                <w:szCs w:val="20"/>
              </w:rPr>
            </w:pPr>
            <w:r w:rsidRPr="00956A81">
              <w:rPr>
                <w:rFonts w:ascii="Arial Narrow" w:hAnsi="Arial Narrow"/>
                <w:strike/>
                <w:sz w:val="20"/>
                <w:szCs w:val="20"/>
              </w:rPr>
              <w:t>Alternatively, applications for authority to prescribe can be submitted online using the form upload facility in Health Professional Online Services (HPOS) at www.servicesaustralia.gov.au/hpos</w:t>
            </w:r>
          </w:p>
          <w:p w14:paraId="3E03229C" w14:textId="77777777" w:rsidR="000132CF" w:rsidRPr="00956A81" w:rsidRDefault="000132CF" w:rsidP="00F0784D">
            <w:pPr>
              <w:keepNext/>
              <w:keepLines/>
              <w:rPr>
                <w:rFonts w:ascii="Arial Narrow" w:hAnsi="Arial Narrow"/>
                <w:strike/>
                <w:sz w:val="20"/>
                <w:szCs w:val="20"/>
              </w:rPr>
            </w:pPr>
            <w:r w:rsidRPr="00956A81">
              <w:rPr>
                <w:rFonts w:ascii="Arial Narrow" w:hAnsi="Arial Narrow"/>
                <w:strike/>
                <w:sz w:val="20"/>
                <w:szCs w:val="20"/>
              </w:rPr>
              <w:t>Or mailed to:</w:t>
            </w:r>
          </w:p>
          <w:p w14:paraId="195383F4" w14:textId="77777777" w:rsidR="000132CF" w:rsidRPr="00956A81" w:rsidRDefault="000132CF" w:rsidP="00F0784D">
            <w:pPr>
              <w:keepNext/>
              <w:keepLines/>
              <w:rPr>
                <w:rFonts w:ascii="Arial Narrow" w:hAnsi="Arial Narrow"/>
                <w:strike/>
                <w:sz w:val="20"/>
                <w:szCs w:val="20"/>
              </w:rPr>
            </w:pPr>
            <w:r w:rsidRPr="00956A81">
              <w:rPr>
                <w:rFonts w:ascii="Arial Narrow" w:hAnsi="Arial Narrow"/>
                <w:strike/>
                <w:sz w:val="20"/>
                <w:szCs w:val="20"/>
              </w:rPr>
              <w:t>Services Australia</w:t>
            </w:r>
          </w:p>
          <w:p w14:paraId="33F9F3D8" w14:textId="77777777" w:rsidR="000132CF" w:rsidRPr="00956A81" w:rsidRDefault="000132CF" w:rsidP="00F0784D">
            <w:pPr>
              <w:keepNext/>
              <w:keepLines/>
              <w:rPr>
                <w:rFonts w:ascii="Arial Narrow" w:hAnsi="Arial Narrow"/>
                <w:strike/>
                <w:sz w:val="20"/>
                <w:szCs w:val="20"/>
              </w:rPr>
            </w:pPr>
            <w:r w:rsidRPr="00956A81">
              <w:rPr>
                <w:rFonts w:ascii="Arial Narrow" w:hAnsi="Arial Narrow"/>
                <w:strike/>
                <w:sz w:val="20"/>
                <w:szCs w:val="20"/>
              </w:rPr>
              <w:t>Complex Drugs</w:t>
            </w:r>
          </w:p>
          <w:p w14:paraId="170C74E5" w14:textId="77777777" w:rsidR="000132CF" w:rsidRPr="00956A81" w:rsidRDefault="000132CF" w:rsidP="00F0784D">
            <w:pPr>
              <w:keepNext/>
              <w:keepLines/>
              <w:rPr>
                <w:rFonts w:ascii="Arial Narrow" w:hAnsi="Arial Narrow"/>
                <w:strike/>
                <w:sz w:val="20"/>
                <w:szCs w:val="20"/>
              </w:rPr>
            </w:pPr>
            <w:r w:rsidRPr="00956A81">
              <w:rPr>
                <w:rFonts w:ascii="Arial Narrow" w:hAnsi="Arial Narrow"/>
                <w:strike/>
                <w:sz w:val="20"/>
                <w:szCs w:val="20"/>
              </w:rPr>
              <w:t>Reply Paid 9826</w:t>
            </w:r>
          </w:p>
          <w:p w14:paraId="53ED3D59" w14:textId="77777777" w:rsidR="000132CF" w:rsidRPr="00956A81" w:rsidRDefault="000132CF" w:rsidP="00F0784D">
            <w:pPr>
              <w:keepNext/>
              <w:keepLines/>
              <w:rPr>
                <w:rFonts w:ascii="Arial Narrow" w:hAnsi="Arial Narrow"/>
                <w:strike/>
                <w:sz w:val="20"/>
                <w:szCs w:val="20"/>
              </w:rPr>
            </w:pPr>
            <w:r w:rsidRPr="00956A81">
              <w:rPr>
                <w:rFonts w:ascii="Arial Narrow" w:hAnsi="Arial Narrow"/>
                <w:strike/>
                <w:sz w:val="20"/>
                <w:szCs w:val="20"/>
              </w:rPr>
              <w:t>HOBART TAS 7001</w:t>
            </w:r>
          </w:p>
          <w:p w14:paraId="4F575619" w14:textId="77777777" w:rsidR="000132CF" w:rsidRPr="00956A81" w:rsidRDefault="000132CF" w:rsidP="00F0784D">
            <w:pPr>
              <w:keepLines/>
              <w:rPr>
                <w:rFonts w:ascii="Arial Narrow" w:hAnsi="Arial Narrow" w:cstheme="minorHAnsi"/>
                <w:b/>
                <w:bCs/>
                <w:sz w:val="20"/>
                <w:szCs w:val="20"/>
              </w:rPr>
            </w:pPr>
            <w:r w:rsidRPr="00956A81">
              <w:rPr>
                <w:rFonts w:ascii="Arial Narrow" w:hAnsi="Arial Narrow"/>
                <w:b/>
                <w:bCs/>
                <w:i/>
                <w:iCs/>
                <w:sz w:val="20"/>
                <w:szCs w:val="20"/>
              </w:rPr>
              <w:t>Administrative Advice:</w:t>
            </w:r>
            <w:r w:rsidRPr="00956A81">
              <w:rPr>
                <w:rFonts w:ascii="Arial Narrow" w:hAnsi="Arial Narrow"/>
                <w:i/>
                <w:iCs/>
                <w:sz w:val="20"/>
                <w:szCs w:val="20"/>
              </w:rPr>
              <w:t xml:space="preserve">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0132CF" w:rsidRPr="00BC1578" w14:paraId="5742517D"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hideMark/>
          </w:tcPr>
          <w:p w14:paraId="58CC16E7" w14:textId="3F446A65" w:rsidR="000132CF" w:rsidRPr="00956A81" w:rsidRDefault="000132CF" w:rsidP="00F0784D">
            <w:pPr>
              <w:jc w:val="center"/>
              <w:rPr>
                <w:rFonts w:ascii="Arial Narrow" w:hAnsi="Arial Narrow"/>
                <w:sz w:val="20"/>
                <w:szCs w:val="20"/>
              </w:rPr>
            </w:pPr>
          </w:p>
        </w:tc>
        <w:tc>
          <w:tcPr>
            <w:tcW w:w="7796" w:type="dxa"/>
            <w:gridSpan w:val="4"/>
            <w:vAlign w:val="center"/>
            <w:hideMark/>
          </w:tcPr>
          <w:p w14:paraId="28978126" w14:textId="77777777" w:rsidR="000132CF" w:rsidRPr="00956A81" w:rsidRDefault="000132CF" w:rsidP="00F0784D">
            <w:pPr>
              <w:rPr>
                <w:rFonts w:ascii="Arial Narrow" w:hAnsi="Arial Narrow"/>
                <w:sz w:val="20"/>
                <w:szCs w:val="20"/>
              </w:rPr>
            </w:pPr>
            <w:r w:rsidRPr="00956A81">
              <w:rPr>
                <w:rFonts w:ascii="Arial Narrow" w:hAnsi="Arial Narrow"/>
                <w:b/>
                <w:bCs/>
                <w:sz w:val="20"/>
                <w:szCs w:val="20"/>
              </w:rPr>
              <w:t>Indication:</w:t>
            </w:r>
            <w:r w:rsidRPr="00956A81">
              <w:rPr>
                <w:rFonts w:ascii="Arial Narrow" w:hAnsi="Arial Narrow"/>
                <w:sz w:val="20"/>
                <w:szCs w:val="20"/>
              </w:rPr>
              <w:t xml:space="preserve"> Relapsed or Refractory Hodgkin Lymphoma</w:t>
            </w:r>
          </w:p>
        </w:tc>
      </w:tr>
      <w:tr w:rsidR="000132CF" w:rsidRPr="00BC1578" w14:paraId="6D1C602A"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hideMark/>
          </w:tcPr>
          <w:p w14:paraId="263D1B94" w14:textId="77777777" w:rsidR="000132CF" w:rsidRPr="00956A81" w:rsidRDefault="000132CF" w:rsidP="00F0784D">
            <w:pPr>
              <w:jc w:val="center"/>
              <w:rPr>
                <w:rFonts w:ascii="Arial Narrow" w:hAnsi="Arial Narrow"/>
                <w:sz w:val="20"/>
                <w:szCs w:val="20"/>
              </w:rPr>
            </w:pPr>
          </w:p>
        </w:tc>
        <w:tc>
          <w:tcPr>
            <w:tcW w:w="7796" w:type="dxa"/>
            <w:gridSpan w:val="4"/>
            <w:vAlign w:val="center"/>
            <w:hideMark/>
          </w:tcPr>
          <w:p w14:paraId="1157B736" w14:textId="77777777" w:rsidR="000132CF" w:rsidRPr="00956A81" w:rsidRDefault="000132CF" w:rsidP="00F0784D">
            <w:pPr>
              <w:rPr>
                <w:rFonts w:ascii="Arial Narrow" w:hAnsi="Arial Narrow"/>
                <w:sz w:val="20"/>
                <w:szCs w:val="20"/>
              </w:rPr>
            </w:pPr>
            <w:r w:rsidRPr="00956A81">
              <w:rPr>
                <w:rFonts w:ascii="Arial Narrow" w:hAnsi="Arial Narrow"/>
                <w:b/>
                <w:bCs/>
                <w:sz w:val="20"/>
                <w:szCs w:val="20"/>
              </w:rPr>
              <w:t>Treatment Phase:</w:t>
            </w:r>
            <w:r w:rsidRPr="00956A81">
              <w:rPr>
                <w:rFonts w:ascii="Arial Narrow" w:hAnsi="Arial Narrow"/>
                <w:sz w:val="20"/>
                <w:szCs w:val="20"/>
              </w:rPr>
              <w:t xml:space="preserve"> Initial treatment</w:t>
            </w:r>
          </w:p>
        </w:tc>
      </w:tr>
      <w:tr w:rsidR="000132CF" w:rsidRPr="00BC1578" w14:paraId="70082072"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74A22B62" w14:textId="3EB28400" w:rsidR="000132CF" w:rsidRPr="00956A81" w:rsidRDefault="000132CF" w:rsidP="00F0784D">
            <w:pPr>
              <w:jc w:val="center"/>
              <w:rPr>
                <w:rFonts w:ascii="Arial Narrow" w:hAnsi="Arial Narrow"/>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hideMark/>
          </w:tcPr>
          <w:p w14:paraId="0C673FD2" w14:textId="77777777" w:rsidR="000132CF" w:rsidRPr="00956A81" w:rsidRDefault="000132CF" w:rsidP="00F0784D">
            <w:pPr>
              <w:rPr>
                <w:rFonts w:ascii="Arial Narrow" w:hAnsi="Arial Narrow"/>
                <w:b/>
                <w:bCs/>
                <w:sz w:val="20"/>
                <w:szCs w:val="20"/>
              </w:rPr>
            </w:pPr>
            <w:r w:rsidRPr="00956A81">
              <w:rPr>
                <w:rFonts w:ascii="Arial Narrow" w:hAnsi="Arial Narrow"/>
                <w:b/>
                <w:bCs/>
                <w:sz w:val="20"/>
                <w:szCs w:val="20"/>
              </w:rPr>
              <w:t>Clinical criteria:</w:t>
            </w:r>
          </w:p>
        </w:tc>
      </w:tr>
      <w:tr w:rsidR="000132CF" w:rsidRPr="00BC1578" w14:paraId="37CA5507"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02D1A85C" w14:textId="617ECFA3" w:rsidR="000132CF" w:rsidRPr="00956A81" w:rsidRDefault="000132CF" w:rsidP="00F0784D">
            <w:pPr>
              <w:jc w:val="center"/>
              <w:rPr>
                <w:rFonts w:ascii="Arial Narrow" w:hAnsi="Arial Narrow"/>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hideMark/>
          </w:tcPr>
          <w:p w14:paraId="4034771C" w14:textId="77777777" w:rsidR="000132CF" w:rsidRPr="00956A81" w:rsidRDefault="000132CF" w:rsidP="00F0784D">
            <w:pPr>
              <w:rPr>
                <w:rFonts w:ascii="Arial Narrow" w:hAnsi="Arial Narrow"/>
                <w:sz w:val="20"/>
                <w:szCs w:val="20"/>
              </w:rPr>
            </w:pPr>
            <w:r w:rsidRPr="00956A81">
              <w:rPr>
                <w:rFonts w:ascii="Arial Narrow" w:hAnsi="Arial Narrow"/>
                <w:sz w:val="20"/>
                <w:szCs w:val="20"/>
              </w:rPr>
              <w:t>Patient must not have undergone an autologous stem cell transplant (ASCT) for this condition</w:t>
            </w:r>
          </w:p>
        </w:tc>
      </w:tr>
      <w:tr w:rsidR="000132CF" w:rsidRPr="00BC1578" w14:paraId="47438902"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682CAE94" w14:textId="77777777" w:rsidR="000132CF" w:rsidRPr="00956A81" w:rsidRDefault="000132CF" w:rsidP="00F0784D">
            <w:pPr>
              <w:jc w:val="center"/>
              <w:rPr>
                <w:rFonts w:ascii="Arial Narrow" w:hAnsi="Arial Narrow"/>
                <w:sz w:val="20"/>
                <w:szCs w:val="20"/>
              </w:rPr>
            </w:pPr>
          </w:p>
        </w:tc>
        <w:tc>
          <w:tcPr>
            <w:tcW w:w="7796" w:type="dxa"/>
            <w:gridSpan w:val="4"/>
            <w:vAlign w:val="center"/>
          </w:tcPr>
          <w:p w14:paraId="15325715" w14:textId="77777777" w:rsidR="000132CF" w:rsidRPr="00956A81" w:rsidRDefault="000132CF" w:rsidP="00F0784D">
            <w:pPr>
              <w:rPr>
                <w:rFonts w:ascii="Arial Narrow" w:hAnsi="Arial Narrow"/>
                <w:b/>
                <w:bCs/>
                <w:sz w:val="20"/>
                <w:szCs w:val="20"/>
              </w:rPr>
            </w:pPr>
            <w:r w:rsidRPr="00956A81">
              <w:rPr>
                <w:rFonts w:ascii="Arial Narrow" w:hAnsi="Arial Narrow"/>
                <w:b/>
                <w:bCs/>
                <w:sz w:val="20"/>
                <w:szCs w:val="20"/>
              </w:rPr>
              <w:t>AND</w:t>
            </w:r>
          </w:p>
        </w:tc>
      </w:tr>
      <w:tr w:rsidR="000132CF" w:rsidRPr="00BC1578" w14:paraId="7BA000B2" w14:textId="77777777" w:rsidTr="00F0784D">
        <w:tblPrEx>
          <w:tblCellMar>
            <w:top w:w="15" w:type="dxa"/>
            <w:left w:w="15" w:type="dxa"/>
            <w:bottom w:w="15" w:type="dxa"/>
            <w:right w:w="15" w:type="dxa"/>
          </w:tblCellMar>
          <w:tblLook w:val="04A0" w:firstRow="1" w:lastRow="0" w:firstColumn="1" w:lastColumn="0" w:noHBand="0" w:noVBand="1"/>
        </w:tblPrEx>
        <w:trPr>
          <w:trHeight w:val="328"/>
        </w:trPr>
        <w:tc>
          <w:tcPr>
            <w:tcW w:w="1271" w:type="dxa"/>
            <w:gridSpan w:val="2"/>
            <w:tcBorders>
              <w:top w:val="single" w:sz="4" w:space="0" w:color="auto"/>
              <w:left w:val="single" w:sz="4" w:space="0" w:color="auto"/>
              <w:bottom w:val="single" w:sz="4" w:space="0" w:color="auto"/>
              <w:right w:val="single" w:sz="4" w:space="0" w:color="auto"/>
            </w:tcBorders>
          </w:tcPr>
          <w:p w14:paraId="04EBFD67" w14:textId="58F07FAC" w:rsidR="000132CF" w:rsidRPr="00956A81" w:rsidRDefault="000132CF" w:rsidP="00F0784D">
            <w:pPr>
              <w:jc w:val="center"/>
              <w:rPr>
                <w:rFonts w:ascii="Arial Narrow" w:hAnsi="Arial Narrow"/>
                <w:sz w:val="20"/>
                <w:szCs w:val="20"/>
              </w:rPr>
            </w:pPr>
          </w:p>
        </w:tc>
        <w:tc>
          <w:tcPr>
            <w:tcW w:w="7796" w:type="dxa"/>
            <w:gridSpan w:val="4"/>
            <w:tcBorders>
              <w:top w:val="single" w:sz="4" w:space="0" w:color="auto"/>
              <w:left w:val="single" w:sz="4" w:space="0" w:color="auto"/>
              <w:bottom w:val="single" w:sz="4" w:space="0" w:color="auto"/>
              <w:right w:val="single" w:sz="4" w:space="0" w:color="auto"/>
            </w:tcBorders>
          </w:tcPr>
          <w:p w14:paraId="6C650C91" w14:textId="77777777" w:rsidR="000132CF" w:rsidRPr="00956A81" w:rsidRDefault="000132CF" w:rsidP="00F0784D">
            <w:pPr>
              <w:rPr>
                <w:rFonts w:ascii="Arial Narrow" w:hAnsi="Arial Narrow"/>
                <w:b/>
                <w:bCs/>
                <w:sz w:val="20"/>
                <w:szCs w:val="20"/>
              </w:rPr>
            </w:pPr>
            <w:r w:rsidRPr="00956A81">
              <w:rPr>
                <w:rFonts w:ascii="Arial Narrow" w:hAnsi="Arial Narrow"/>
                <w:b/>
                <w:bCs/>
                <w:sz w:val="20"/>
                <w:szCs w:val="20"/>
              </w:rPr>
              <w:t>Clinical criteria:</w:t>
            </w:r>
          </w:p>
        </w:tc>
      </w:tr>
      <w:tr w:rsidR="000132CF" w:rsidRPr="00BC1578" w14:paraId="57AD03BC"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4447ADC4" w14:textId="1D5ED310" w:rsidR="000132CF" w:rsidRPr="00956A81" w:rsidRDefault="000132CF" w:rsidP="00F0784D">
            <w:pPr>
              <w:jc w:val="center"/>
              <w:rPr>
                <w:rFonts w:ascii="Arial Narrow" w:hAnsi="Arial Narrow"/>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0CE210D9" w14:textId="77777777" w:rsidR="000132CF" w:rsidRPr="00956A81" w:rsidRDefault="000132CF" w:rsidP="00F0784D">
            <w:pPr>
              <w:rPr>
                <w:rFonts w:ascii="Arial Narrow" w:hAnsi="Arial Narrow"/>
                <w:sz w:val="20"/>
                <w:szCs w:val="20"/>
              </w:rPr>
            </w:pPr>
            <w:r w:rsidRPr="00956A81">
              <w:rPr>
                <w:rFonts w:ascii="Arial Narrow" w:hAnsi="Arial Narrow"/>
                <w:b/>
                <w:bCs/>
                <w:sz w:val="20"/>
                <w:szCs w:val="20"/>
              </w:rPr>
              <w:t xml:space="preserve"> </w:t>
            </w:r>
            <w:r w:rsidRPr="00956A81">
              <w:rPr>
                <w:rFonts w:ascii="Arial Narrow" w:hAnsi="Arial Narrow"/>
                <w:sz w:val="20"/>
                <w:szCs w:val="20"/>
              </w:rPr>
              <w:t>Patient must not be suitable for ASCT for this condition; or</w:t>
            </w:r>
          </w:p>
        </w:tc>
      </w:tr>
      <w:tr w:rsidR="000132CF" w:rsidRPr="00BC1578" w14:paraId="7EFA00C5"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23753843" w14:textId="59D3BDAA" w:rsidR="000132CF" w:rsidRPr="00956A81" w:rsidRDefault="000132CF" w:rsidP="00F0784D">
            <w:pPr>
              <w:jc w:val="center"/>
              <w:rPr>
                <w:rFonts w:ascii="Arial Narrow" w:hAnsi="Arial Narrow"/>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62FC2A92" w14:textId="77777777" w:rsidR="000132CF" w:rsidRPr="00956A81" w:rsidRDefault="000132CF" w:rsidP="00F0784D">
            <w:pPr>
              <w:rPr>
                <w:rFonts w:ascii="Arial Narrow" w:hAnsi="Arial Narrow"/>
                <w:sz w:val="20"/>
                <w:szCs w:val="20"/>
              </w:rPr>
            </w:pPr>
            <w:r w:rsidRPr="00956A81">
              <w:rPr>
                <w:rFonts w:ascii="Arial Narrow" w:hAnsi="Arial Narrow"/>
                <w:sz w:val="20"/>
                <w:szCs w:val="20"/>
              </w:rPr>
              <w:t xml:space="preserve"> Patient must not be suitable for treatment with multi-agent chemotherapy for this condition</w:t>
            </w:r>
          </w:p>
        </w:tc>
      </w:tr>
      <w:tr w:rsidR="000132CF" w:rsidRPr="00BC1578" w14:paraId="4397FE48"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57FC8EAF" w14:textId="77777777" w:rsidR="000132CF" w:rsidRPr="00956A81" w:rsidRDefault="000132CF" w:rsidP="00F0784D">
            <w:pPr>
              <w:jc w:val="center"/>
              <w:rPr>
                <w:rFonts w:ascii="Arial Narrow" w:hAnsi="Arial Narrow"/>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0EFAB900" w14:textId="77777777" w:rsidR="000132CF" w:rsidRPr="00956A81" w:rsidRDefault="000132CF" w:rsidP="00F0784D">
            <w:pPr>
              <w:rPr>
                <w:rFonts w:ascii="Arial Narrow" w:hAnsi="Arial Narrow"/>
                <w:b/>
                <w:bCs/>
                <w:sz w:val="20"/>
                <w:szCs w:val="20"/>
              </w:rPr>
            </w:pPr>
            <w:r w:rsidRPr="00956A81">
              <w:rPr>
                <w:rFonts w:ascii="Arial Narrow" w:hAnsi="Arial Narrow"/>
                <w:b/>
                <w:bCs/>
                <w:sz w:val="20"/>
                <w:szCs w:val="20"/>
              </w:rPr>
              <w:t>AND</w:t>
            </w:r>
          </w:p>
        </w:tc>
      </w:tr>
      <w:tr w:rsidR="000132CF" w:rsidRPr="00BC1578" w14:paraId="6A1140FC"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3902DC5C" w14:textId="2B200D15" w:rsidR="000132CF" w:rsidRPr="00956A81" w:rsidRDefault="000132CF" w:rsidP="00F0784D">
            <w:pPr>
              <w:jc w:val="center"/>
              <w:rPr>
                <w:rFonts w:ascii="Arial Narrow" w:hAnsi="Arial Narrow"/>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DCC84D9" w14:textId="77777777" w:rsidR="000132CF" w:rsidRPr="00956A81" w:rsidRDefault="000132CF" w:rsidP="00F0784D">
            <w:pPr>
              <w:rPr>
                <w:rFonts w:ascii="Arial Narrow" w:hAnsi="Arial Narrow"/>
                <w:b/>
                <w:bCs/>
                <w:sz w:val="20"/>
                <w:szCs w:val="20"/>
              </w:rPr>
            </w:pPr>
            <w:r w:rsidRPr="00956A81">
              <w:rPr>
                <w:rFonts w:ascii="Arial Narrow" w:hAnsi="Arial Narrow"/>
                <w:b/>
                <w:bCs/>
                <w:sz w:val="20"/>
                <w:szCs w:val="20"/>
              </w:rPr>
              <w:t>Clinical criteria:</w:t>
            </w:r>
          </w:p>
        </w:tc>
      </w:tr>
      <w:tr w:rsidR="000132CF" w:rsidRPr="00BC1578" w14:paraId="1A84491C"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32F700AE" w14:textId="07A2AECE" w:rsidR="000132CF" w:rsidRPr="00956A81" w:rsidRDefault="000132CF" w:rsidP="00F0784D">
            <w:pPr>
              <w:jc w:val="center"/>
              <w:rPr>
                <w:rFonts w:ascii="Arial Narrow" w:hAnsi="Arial Narrow"/>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8E1D3B9" w14:textId="77777777" w:rsidR="000132CF" w:rsidRPr="00956A81" w:rsidRDefault="000132CF" w:rsidP="00F0784D">
            <w:pPr>
              <w:rPr>
                <w:rFonts w:ascii="Arial Narrow" w:hAnsi="Arial Narrow"/>
                <w:sz w:val="20"/>
                <w:szCs w:val="20"/>
              </w:rPr>
            </w:pPr>
            <w:r w:rsidRPr="00956A81">
              <w:rPr>
                <w:rFonts w:ascii="Arial Narrow" w:hAnsi="Arial Narrow"/>
                <w:sz w:val="20"/>
                <w:szCs w:val="20"/>
              </w:rPr>
              <w:t>Patient must have experienced a relapsed CD30+ Hodgkin lymphoma following at least two prior treatments for this condition; or</w:t>
            </w:r>
          </w:p>
        </w:tc>
      </w:tr>
      <w:tr w:rsidR="000132CF" w:rsidRPr="00BC1578" w14:paraId="26EAB698"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5FF57609" w14:textId="0718D5F4" w:rsidR="000132CF" w:rsidRPr="00956A81" w:rsidRDefault="000132CF" w:rsidP="00F0784D">
            <w:pPr>
              <w:jc w:val="center"/>
              <w:rPr>
                <w:rFonts w:ascii="Arial Narrow" w:hAnsi="Arial Narrow"/>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66BE2051" w14:textId="77777777" w:rsidR="000132CF" w:rsidRPr="00956A81" w:rsidRDefault="000132CF" w:rsidP="00F0784D">
            <w:pPr>
              <w:rPr>
                <w:rFonts w:ascii="Arial Narrow" w:hAnsi="Arial Narrow"/>
                <w:sz w:val="20"/>
                <w:szCs w:val="20"/>
              </w:rPr>
            </w:pPr>
            <w:r w:rsidRPr="00956A81">
              <w:rPr>
                <w:rFonts w:ascii="Arial Narrow" w:hAnsi="Arial Narrow"/>
                <w:sz w:val="20"/>
                <w:szCs w:val="20"/>
              </w:rPr>
              <w:t>Patient must have experienced a refractory CD30+ Hodgkin lymphoma following at least two prior treatments for this condition</w:t>
            </w:r>
          </w:p>
        </w:tc>
      </w:tr>
      <w:tr w:rsidR="000132CF" w:rsidRPr="00BC1578" w14:paraId="0D6D5277"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156B9FAA" w14:textId="77777777" w:rsidR="000132CF" w:rsidRPr="00956A81" w:rsidRDefault="000132CF" w:rsidP="00F0784D">
            <w:pPr>
              <w:jc w:val="center"/>
              <w:rPr>
                <w:rFonts w:ascii="Arial Narrow" w:hAnsi="Arial Narrow"/>
                <w:sz w:val="20"/>
                <w:szCs w:val="20"/>
              </w:rPr>
            </w:pPr>
          </w:p>
        </w:tc>
        <w:tc>
          <w:tcPr>
            <w:tcW w:w="7796" w:type="dxa"/>
            <w:gridSpan w:val="4"/>
            <w:vAlign w:val="center"/>
          </w:tcPr>
          <w:p w14:paraId="5CD90A4F" w14:textId="77777777" w:rsidR="000132CF" w:rsidRPr="00956A81" w:rsidRDefault="000132CF" w:rsidP="00F0784D">
            <w:pPr>
              <w:rPr>
                <w:rFonts w:ascii="Arial Narrow" w:hAnsi="Arial Narrow"/>
                <w:b/>
                <w:bCs/>
                <w:sz w:val="20"/>
                <w:szCs w:val="20"/>
              </w:rPr>
            </w:pPr>
            <w:r w:rsidRPr="00956A81">
              <w:rPr>
                <w:rFonts w:ascii="Arial Narrow" w:hAnsi="Arial Narrow"/>
                <w:b/>
                <w:bCs/>
                <w:sz w:val="20"/>
                <w:szCs w:val="20"/>
              </w:rPr>
              <w:t>AND</w:t>
            </w:r>
          </w:p>
        </w:tc>
      </w:tr>
      <w:tr w:rsidR="000132CF" w:rsidRPr="00BC1578" w14:paraId="7E3D5817"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360169EF" w14:textId="5ED49F32" w:rsidR="000132CF" w:rsidRPr="00956A81" w:rsidRDefault="000132CF" w:rsidP="00F0784D">
            <w:pPr>
              <w:jc w:val="center"/>
              <w:rPr>
                <w:rFonts w:ascii="Arial Narrow" w:hAnsi="Arial Narrow"/>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6F49D355" w14:textId="77777777" w:rsidR="000132CF" w:rsidRPr="00956A81" w:rsidRDefault="000132CF" w:rsidP="00F0784D">
            <w:pPr>
              <w:rPr>
                <w:rFonts w:ascii="Arial Narrow" w:hAnsi="Arial Narrow"/>
                <w:b/>
                <w:bCs/>
                <w:sz w:val="20"/>
                <w:szCs w:val="20"/>
              </w:rPr>
            </w:pPr>
            <w:r w:rsidRPr="00956A81">
              <w:rPr>
                <w:rFonts w:ascii="Arial Narrow" w:hAnsi="Arial Narrow"/>
                <w:b/>
                <w:bCs/>
                <w:sz w:val="20"/>
                <w:szCs w:val="20"/>
              </w:rPr>
              <w:t>Clinical criteria:</w:t>
            </w:r>
          </w:p>
        </w:tc>
      </w:tr>
      <w:tr w:rsidR="000132CF" w:rsidRPr="00BC1578" w14:paraId="1B76C155"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12696012" w14:textId="1DEC2BCA" w:rsidR="000132CF" w:rsidRPr="00956A81" w:rsidRDefault="000132CF" w:rsidP="00F0784D">
            <w:pPr>
              <w:jc w:val="center"/>
              <w:rPr>
                <w:rFonts w:ascii="Arial Narrow" w:hAnsi="Arial Narrow"/>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6F9753CD" w14:textId="77777777" w:rsidR="000132CF" w:rsidRPr="00956A81" w:rsidRDefault="000132CF" w:rsidP="00F0784D">
            <w:pPr>
              <w:rPr>
                <w:rFonts w:ascii="Arial Narrow" w:hAnsi="Arial Narrow"/>
                <w:sz w:val="20"/>
                <w:szCs w:val="20"/>
              </w:rPr>
            </w:pPr>
            <w:r w:rsidRPr="00956A81">
              <w:rPr>
                <w:rFonts w:ascii="Arial Narrow" w:hAnsi="Arial Narrow"/>
                <w:sz w:val="20"/>
                <w:szCs w:val="20"/>
              </w:rPr>
              <w:t>Patient must not receive more than 4 cycles of treatment under this restriction</w:t>
            </w:r>
          </w:p>
        </w:tc>
      </w:tr>
      <w:tr w:rsidR="000132CF" w:rsidRPr="00BC1578" w14:paraId="5AA7B3A4"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35E3960C" w14:textId="77777777" w:rsidR="000132CF" w:rsidRPr="00956A81" w:rsidRDefault="000132CF" w:rsidP="00F0784D">
            <w:pPr>
              <w:jc w:val="center"/>
              <w:rPr>
                <w:rFonts w:ascii="Arial Narrow" w:hAnsi="Arial Narrow"/>
                <w:sz w:val="20"/>
                <w:szCs w:val="20"/>
              </w:rPr>
            </w:pPr>
          </w:p>
        </w:tc>
        <w:tc>
          <w:tcPr>
            <w:tcW w:w="7796" w:type="dxa"/>
            <w:gridSpan w:val="4"/>
            <w:vAlign w:val="center"/>
          </w:tcPr>
          <w:p w14:paraId="77001EBA" w14:textId="77777777" w:rsidR="000132CF" w:rsidRPr="00956A81" w:rsidRDefault="000132CF" w:rsidP="00F0784D">
            <w:pPr>
              <w:rPr>
                <w:rFonts w:ascii="Arial Narrow" w:hAnsi="Arial Narrow"/>
                <w:b/>
                <w:bCs/>
                <w:sz w:val="20"/>
                <w:szCs w:val="20"/>
              </w:rPr>
            </w:pPr>
            <w:r w:rsidRPr="00956A81">
              <w:rPr>
                <w:rFonts w:ascii="Arial Narrow" w:hAnsi="Arial Narrow"/>
                <w:b/>
                <w:bCs/>
                <w:sz w:val="20"/>
                <w:szCs w:val="20"/>
              </w:rPr>
              <w:t>AND</w:t>
            </w:r>
          </w:p>
        </w:tc>
      </w:tr>
      <w:tr w:rsidR="000132CF" w:rsidRPr="00BC1578" w14:paraId="484B614A"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6EA36DF9" w14:textId="4C81252B" w:rsidR="000132CF" w:rsidRPr="00956A81" w:rsidRDefault="000132CF" w:rsidP="00F0784D">
            <w:pPr>
              <w:jc w:val="center"/>
              <w:rPr>
                <w:rFonts w:ascii="Arial Narrow" w:hAnsi="Arial Narrow"/>
                <w:sz w:val="20"/>
                <w:szCs w:val="20"/>
              </w:rPr>
            </w:pPr>
            <w:r w:rsidRPr="00956A81">
              <w:rPr>
                <w:rFonts w:ascii="Arial Narrow" w:hAnsi="Arial Narrow"/>
                <w:sz w:val="20"/>
                <w:szCs w:val="20"/>
              </w:rPr>
              <w:t xml:space="preserve"> </w:t>
            </w:r>
          </w:p>
        </w:tc>
        <w:tc>
          <w:tcPr>
            <w:tcW w:w="7796" w:type="dxa"/>
            <w:gridSpan w:val="4"/>
            <w:vAlign w:val="center"/>
          </w:tcPr>
          <w:p w14:paraId="0EBEC9AB" w14:textId="77777777" w:rsidR="000132CF" w:rsidRPr="00956A81" w:rsidRDefault="000132CF" w:rsidP="00F0784D">
            <w:pPr>
              <w:rPr>
                <w:rFonts w:ascii="Arial Narrow" w:hAnsi="Arial Narrow"/>
                <w:b/>
                <w:bCs/>
                <w:sz w:val="20"/>
                <w:szCs w:val="20"/>
              </w:rPr>
            </w:pPr>
            <w:r w:rsidRPr="00956A81">
              <w:rPr>
                <w:rFonts w:ascii="Arial Narrow" w:hAnsi="Arial Narrow"/>
                <w:b/>
                <w:bCs/>
                <w:i/>
                <w:iCs/>
                <w:sz w:val="20"/>
                <w:szCs w:val="20"/>
              </w:rPr>
              <w:t>Clinical criteria:</w:t>
            </w:r>
          </w:p>
        </w:tc>
      </w:tr>
      <w:tr w:rsidR="000132CF" w:rsidRPr="00BC1578" w14:paraId="4D8CD61C"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0EE02841" w14:textId="117BB80B" w:rsidR="000132CF" w:rsidRPr="00956A81" w:rsidRDefault="000132CF" w:rsidP="00F0784D">
            <w:pPr>
              <w:jc w:val="center"/>
              <w:rPr>
                <w:rFonts w:ascii="Arial Narrow" w:hAnsi="Arial Narrow"/>
                <w:sz w:val="20"/>
                <w:szCs w:val="20"/>
              </w:rPr>
            </w:pPr>
          </w:p>
        </w:tc>
        <w:tc>
          <w:tcPr>
            <w:tcW w:w="7796" w:type="dxa"/>
            <w:gridSpan w:val="4"/>
            <w:vAlign w:val="center"/>
          </w:tcPr>
          <w:p w14:paraId="48750D52" w14:textId="77777777" w:rsidR="000132CF" w:rsidRPr="00956A81" w:rsidRDefault="000132CF" w:rsidP="00F0784D">
            <w:pPr>
              <w:rPr>
                <w:rFonts w:ascii="Arial Narrow" w:hAnsi="Arial Narrow"/>
                <w:b/>
                <w:bCs/>
                <w:sz w:val="20"/>
                <w:szCs w:val="20"/>
              </w:rPr>
            </w:pPr>
            <w:r w:rsidRPr="00956A81">
              <w:rPr>
                <w:rFonts w:ascii="Arial Narrow" w:hAnsi="Arial Narrow"/>
                <w:i/>
                <w:iCs/>
                <w:sz w:val="20"/>
                <w:szCs w:val="20"/>
              </w:rPr>
              <w:t xml:space="preserve"> Patient must not have received prior treatment with this drug for this condition; or</w:t>
            </w:r>
          </w:p>
        </w:tc>
      </w:tr>
      <w:tr w:rsidR="000132CF" w:rsidRPr="00BC1578" w14:paraId="2C0F111B"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2EFEC96A" w14:textId="5250342B" w:rsidR="000132CF" w:rsidRPr="00956A81" w:rsidRDefault="000132CF" w:rsidP="00F0784D">
            <w:pPr>
              <w:jc w:val="center"/>
              <w:rPr>
                <w:rFonts w:ascii="Arial Narrow" w:hAnsi="Arial Narrow"/>
                <w:sz w:val="20"/>
                <w:szCs w:val="20"/>
              </w:rPr>
            </w:pPr>
          </w:p>
        </w:tc>
        <w:tc>
          <w:tcPr>
            <w:tcW w:w="7796" w:type="dxa"/>
            <w:gridSpan w:val="4"/>
            <w:vAlign w:val="center"/>
          </w:tcPr>
          <w:p w14:paraId="7F81A7CB" w14:textId="77777777" w:rsidR="000132CF" w:rsidRPr="00956A81" w:rsidRDefault="000132CF" w:rsidP="00F0784D">
            <w:pPr>
              <w:rPr>
                <w:rFonts w:ascii="Arial Narrow" w:hAnsi="Arial Narrow"/>
                <w:b/>
                <w:bCs/>
                <w:sz w:val="20"/>
                <w:szCs w:val="20"/>
              </w:rPr>
            </w:pPr>
            <w:r w:rsidRPr="00956A81">
              <w:rPr>
                <w:rFonts w:ascii="Arial Narrow" w:hAnsi="Arial Narrow"/>
                <w:i/>
                <w:iCs/>
                <w:sz w:val="20"/>
                <w:szCs w:val="20"/>
              </w:rPr>
              <w:t xml:space="preserve">Patient must not have failed PBS-subsidised treatment with this drug for this condition in the first-line setting </w:t>
            </w:r>
          </w:p>
        </w:tc>
      </w:tr>
      <w:tr w:rsidR="000132CF" w:rsidRPr="00BC1578" w14:paraId="491B0B80"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567A9511" w14:textId="77777777" w:rsidR="000132CF" w:rsidRPr="00956A81" w:rsidRDefault="000132CF" w:rsidP="0092439A">
            <w:pPr>
              <w:jc w:val="center"/>
              <w:rPr>
                <w:rFonts w:ascii="Arial Narrow" w:hAnsi="Arial Narrow"/>
                <w:strike/>
                <w:sz w:val="20"/>
                <w:szCs w:val="20"/>
              </w:rPr>
            </w:pPr>
          </w:p>
          <w:p w14:paraId="37B5806C" w14:textId="7D8E06A8" w:rsidR="000132CF" w:rsidRPr="00956A81" w:rsidRDefault="000132CF" w:rsidP="00F0784D">
            <w:pPr>
              <w:jc w:val="center"/>
              <w:rPr>
                <w:rFonts w:ascii="Arial Narrow" w:hAnsi="Arial Narrow"/>
                <w:sz w:val="20"/>
                <w:szCs w:val="20"/>
              </w:rPr>
            </w:pPr>
          </w:p>
        </w:tc>
        <w:tc>
          <w:tcPr>
            <w:tcW w:w="7796" w:type="dxa"/>
            <w:gridSpan w:val="4"/>
            <w:vAlign w:val="center"/>
          </w:tcPr>
          <w:p w14:paraId="490C8181" w14:textId="77777777" w:rsidR="000132CF" w:rsidRPr="00956A81" w:rsidRDefault="000132CF" w:rsidP="00F0784D">
            <w:pPr>
              <w:rPr>
                <w:rFonts w:ascii="Arial Narrow" w:hAnsi="Arial Narrow"/>
                <w:b/>
                <w:bCs/>
                <w:strike/>
                <w:sz w:val="20"/>
                <w:szCs w:val="20"/>
              </w:rPr>
            </w:pPr>
            <w:r w:rsidRPr="00956A81">
              <w:rPr>
                <w:rFonts w:ascii="Arial Narrow" w:hAnsi="Arial Narrow"/>
                <w:b/>
                <w:bCs/>
                <w:strike/>
                <w:sz w:val="20"/>
                <w:szCs w:val="20"/>
              </w:rPr>
              <w:t>Prescribing Instructions:</w:t>
            </w:r>
          </w:p>
          <w:p w14:paraId="7FD11CA2" w14:textId="77777777" w:rsidR="000132CF" w:rsidRPr="00956A81" w:rsidRDefault="000132CF" w:rsidP="00F0784D">
            <w:pPr>
              <w:rPr>
                <w:rFonts w:ascii="Arial Narrow" w:hAnsi="Arial Narrow"/>
                <w:strike/>
                <w:sz w:val="20"/>
                <w:szCs w:val="20"/>
              </w:rPr>
            </w:pPr>
            <w:r w:rsidRPr="00956A81">
              <w:rPr>
                <w:rFonts w:ascii="Arial Narrow" w:hAnsi="Arial Narrow"/>
                <w:strike/>
                <w:sz w:val="20"/>
                <w:szCs w:val="20"/>
              </w:rPr>
              <w:t>Applications for authorisation of initial treatment must be made via the Online PBS Authorities System (real time assessment), or in writing via HPOS form upload or mail.</w:t>
            </w:r>
          </w:p>
          <w:p w14:paraId="14446CD6" w14:textId="77777777" w:rsidR="000132CF" w:rsidRPr="00956A81" w:rsidRDefault="000132CF" w:rsidP="00F0784D">
            <w:pPr>
              <w:rPr>
                <w:rFonts w:ascii="Arial Narrow" w:hAnsi="Arial Narrow"/>
                <w:strike/>
                <w:sz w:val="20"/>
                <w:szCs w:val="20"/>
              </w:rPr>
            </w:pPr>
            <w:r w:rsidRPr="00956A81">
              <w:rPr>
                <w:rFonts w:ascii="Arial Narrow" w:hAnsi="Arial Narrow"/>
                <w:strike/>
                <w:sz w:val="20"/>
                <w:szCs w:val="20"/>
              </w:rPr>
              <w:t xml:space="preserve">If the application is submitted through HPOS upload or mail, it must include: </w:t>
            </w:r>
          </w:p>
          <w:p w14:paraId="20101C7E" w14:textId="77777777" w:rsidR="000132CF" w:rsidRPr="00956A81" w:rsidRDefault="000132CF" w:rsidP="00F0784D">
            <w:pPr>
              <w:rPr>
                <w:rFonts w:ascii="Arial Narrow" w:hAnsi="Arial Narrow"/>
                <w:strike/>
                <w:sz w:val="20"/>
                <w:szCs w:val="20"/>
              </w:rPr>
            </w:pPr>
            <w:r w:rsidRPr="00956A81">
              <w:rPr>
                <w:rFonts w:ascii="Arial Narrow" w:hAnsi="Arial Narrow"/>
                <w:strike/>
                <w:sz w:val="20"/>
                <w:szCs w:val="20"/>
              </w:rPr>
              <w:t>(a) a completed authority prescription form; and</w:t>
            </w:r>
          </w:p>
          <w:p w14:paraId="2521E3F1" w14:textId="77777777" w:rsidR="000132CF" w:rsidRPr="00956A81" w:rsidRDefault="000132CF" w:rsidP="00F0784D">
            <w:pPr>
              <w:rPr>
                <w:rFonts w:ascii="Arial Narrow" w:hAnsi="Arial Narrow"/>
                <w:strike/>
                <w:sz w:val="20"/>
                <w:szCs w:val="20"/>
              </w:rPr>
            </w:pPr>
            <w:r w:rsidRPr="00956A81">
              <w:rPr>
                <w:rFonts w:ascii="Arial Narrow" w:hAnsi="Arial Narrow"/>
                <w:strike/>
                <w:sz w:val="20"/>
                <w:szCs w:val="20"/>
              </w:rPr>
              <w:t xml:space="preserve">(b) a completed authority application form relevant to the indication and treatment phase (the latest version is located on the </w:t>
            </w:r>
          </w:p>
          <w:p w14:paraId="20326A0C" w14:textId="77777777" w:rsidR="000132CF" w:rsidRPr="00956A81" w:rsidRDefault="000132CF" w:rsidP="00F0784D">
            <w:pPr>
              <w:rPr>
                <w:rFonts w:ascii="Arial Narrow" w:hAnsi="Arial Narrow"/>
                <w:strike/>
                <w:sz w:val="20"/>
                <w:szCs w:val="20"/>
              </w:rPr>
            </w:pPr>
            <w:r w:rsidRPr="00956A81">
              <w:rPr>
                <w:rFonts w:ascii="Arial Narrow" w:hAnsi="Arial Narrow"/>
                <w:strike/>
                <w:sz w:val="20"/>
                <w:szCs w:val="20"/>
              </w:rPr>
              <w:t>website specified in the Administrative Advice).</w:t>
            </w:r>
          </w:p>
        </w:tc>
      </w:tr>
    </w:tbl>
    <w:p w14:paraId="2D950FBC" w14:textId="77777777" w:rsidR="000132CF" w:rsidRDefault="000132CF" w:rsidP="000132CF">
      <w:pPr>
        <w:rPr>
          <w:i/>
          <w:iCs/>
        </w:rPr>
      </w:pPr>
    </w:p>
    <w:p w14:paraId="4A8957CB" w14:textId="77777777" w:rsidR="000132CF" w:rsidRDefault="000132CF" w:rsidP="000132CF">
      <w:pPr>
        <w:rPr>
          <w:i/>
          <w:iCs/>
        </w:rPr>
      </w:pPr>
    </w:p>
    <w:p w14:paraId="11F9DEF1" w14:textId="3783391C" w:rsidR="000132CF" w:rsidRPr="005C0153" w:rsidRDefault="006800F5" w:rsidP="000132CF">
      <w:pPr>
        <w:keepNext/>
        <w:keepLines/>
        <w:rPr>
          <w:i/>
          <w:iCs/>
        </w:rPr>
      </w:pPr>
      <w:bookmarkStart w:id="69" w:name="_Toc188532433"/>
      <w:bookmarkStart w:id="70" w:name="_Toc192439122"/>
      <w:r w:rsidRPr="006800F5">
        <w:rPr>
          <w:i/>
          <w:iCs/>
        </w:rPr>
        <w:lastRenderedPageBreak/>
        <w:t xml:space="preserve">Patients </w:t>
      </w:r>
      <w:r w:rsidR="000132CF" w:rsidRPr="005C0153">
        <w:rPr>
          <w:i/>
          <w:iCs/>
        </w:rPr>
        <w:t>with relapsed or refractory HL who have not previously undergone ASCT (continuation treatment)</w:t>
      </w:r>
      <w:bookmarkEnd w:id="69"/>
      <w:bookmarkEnd w:id="70"/>
      <w:r w:rsidR="000132CF">
        <w:rPr>
          <w:i/>
          <w:iCs/>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552"/>
        <w:gridCol w:w="1417"/>
        <w:gridCol w:w="1134"/>
        <w:gridCol w:w="2693"/>
      </w:tblGrid>
      <w:tr w:rsidR="000132CF" w:rsidRPr="00BC1578" w14:paraId="451B81F2" w14:textId="77777777" w:rsidTr="00F0784D">
        <w:trPr>
          <w:cantSplit/>
          <w:trHeight w:val="471"/>
        </w:trPr>
        <w:tc>
          <w:tcPr>
            <w:tcW w:w="3823" w:type="dxa"/>
            <w:gridSpan w:val="3"/>
            <w:tcBorders>
              <w:top w:val="single" w:sz="4" w:space="0" w:color="auto"/>
              <w:left w:val="single" w:sz="4" w:space="0" w:color="auto"/>
              <w:bottom w:val="single" w:sz="4" w:space="0" w:color="auto"/>
              <w:right w:val="single" w:sz="4" w:space="0" w:color="auto"/>
            </w:tcBorders>
          </w:tcPr>
          <w:p w14:paraId="39EA6F03" w14:textId="77777777" w:rsidR="000132CF" w:rsidRPr="00BC1578" w:rsidRDefault="000132CF" w:rsidP="00F0784D">
            <w:pPr>
              <w:keepNext/>
              <w:keepLines/>
              <w:ind w:left="-57"/>
              <w:rPr>
                <w:rFonts w:ascii="Arial Narrow" w:hAnsi="Arial Narrow"/>
                <w:b/>
                <w:sz w:val="20"/>
                <w:szCs w:val="20"/>
              </w:rPr>
            </w:pPr>
            <w:r w:rsidRPr="009C0BD7">
              <w:t xml:space="preserve"> </w:t>
            </w:r>
            <w:r w:rsidRPr="00BC1578">
              <w:rPr>
                <w:rFonts w:ascii="Arial Narrow" w:hAnsi="Arial Narrow"/>
                <w:b/>
                <w:sz w:val="20"/>
                <w:szCs w:val="20"/>
              </w:rPr>
              <w:t>MEDICINAL PRODUCT</w:t>
            </w:r>
          </w:p>
          <w:p w14:paraId="71B1870D" w14:textId="77777777" w:rsidR="000132CF" w:rsidRPr="00BC1578" w:rsidRDefault="000132CF" w:rsidP="00F0784D">
            <w:pPr>
              <w:keepNext/>
              <w:keepLines/>
              <w:ind w:left="-57"/>
              <w:rPr>
                <w:rFonts w:ascii="Arial Narrow" w:hAnsi="Arial Narrow"/>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296EA12" w14:textId="77777777" w:rsidR="000132CF" w:rsidRPr="00BC1578" w:rsidRDefault="000132CF" w:rsidP="00F0784D">
            <w:pPr>
              <w:keepNext/>
              <w:keepLines/>
              <w:ind w:left="-57"/>
              <w:jc w:val="center"/>
              <w:rPr>
                <w:rFonts w:ascii="Arial Narrow" w:hAnsi="Arial Narrow"/>
                <w:b/>
                <w:sz w:val="20"/>
                <w:szCs w:val="20"/>
              </w:rPr>
            </w:pPr>
            <w:r w:rsidRPr="00BC1578">
              <w:rPr>
                <w:rFonts w:ascii="Arial Narrow" w:hAnsi="Arial Narrow"/>
                <w:b/>
                <w:sz w:val="20"/>
                <w:szCs w:val="20"/>
              </w:rPr>
              <w:t>PBS item code</w:t>
            </w:r>
          </w:p>
        </w:tc>
        <w:tc>
          <w:tcPr>
            <w:tcW w:w="1134" w:type="dxa"/>
            <w:tcBorders>
              <w:top w:val="single" w:sz="4" w:space="0" w:color="auto"/>
              <w:left w:val="single" w:sz="4" w:space="0" w:color="auto"/>
              <w:bottom w:val="single" w:sz="4" w:space="0" w:color="auto"/>
              <w:right w:val="single" w:sz="4" w:space="0" w:color="auto"/>
            </w:tcBorders>
          </w:tcPr>
          <w:p w14:paraId="329E8131" w14:textId="77777777" w:rsidR="000132CF" w:rsidRPr="00BC1578" w:rsidRDefault="000132CF" w:rsidP="00F0784D">
            <w:pPr>
              <w:keepNext/>
              <w:keepLines/>
              <w:ind w:left="-57"/>
              <w:jc w:val="center"/>
              <w:rPr>
                <w:rFonts w:ascii="Arial Narrow" w:hAnsi="Arial Narrow"/>
                <w:b/>
                <w:sz w:val="20"/>
                <w:szCs w:val="20"/>
              </w:rPr>
            </w:pPr>
            <w:r w:rsidRPr="00BC1578">
              <w:rPr>
                <w:rFonts w:ascii="Arial Narrow" w:hAnsi="Arial Narrow"/>
                <w:b/>
                <w:sz w:val="20"/>
                <w:szCs w:val="20"/>
              </w:rPr>
              <w:t>Max.</w:t>
            </w:r>
          </w:p>
          <w:p w14:paraId="05CF07AD" w14:textId="77777777" w:rsidR="000132CF" w:rsidRPr="00BC1578" w:rsidRDefault="000132CF" w:rsidP="00F0784D">
            <w:pPr>
              <w:keepNext/>
              <w:keepLines/>
              <w:ind w:left="-57"/>
              <w:jc w:val="center"/>
              <w:rPr>
                <w:rFonts w:ascii="Arial Narrow" w:hAnsi="Arial Narrow"/>
                <w:b/>
                <w:sz w:val="20"/>
                <w:szCs w:val="20"/>
              </w:rPr>
            </w:pPr>
            <w:r w:rsidRPr="00BC1578">
              <w:rPr>
                <w:rFonts w:ascii="Arial Narrow" w:hAnsi="Arial Narrow"/>
                <w:b/>
                <w:sz w:val="20"/>
                <w:szCs w:val="20"/>
              </w:rPr>
              <w:t>Amount</w:t>
            </w:r>
          </w:p>
        </w:tc>
        <w:tc>
          <w:tcPr>
            <w:tcW w:w="2693" w:type="dxa"/>
            <w:tcBorders>
              <w:top w:val="single" w:sz="4" w:space="0" w:color="auto"/>
              <w:left w:val="single" w:sz="4" w:space="0" w:color="auto"/>
              <w:bottom w:val="single" w:sz="4" w:space="0" w:color="auto"/>
              <w:right w:val="single" w:sz="4" w:space="0" w:color="auto"/>
            </w:tcBorders>
          </w:tcPr>
          <w:p w14:paraId="72662746" w14:textId="77777777" w:rsidR="000132CF" w:rsidRPr="00BC1578" w:rsidRDefault="000132CF" w:rsidP="00F0784D">
            <w:pPr>
              <w:keepNext/>
              <w:keepLines/>
              <w:ind w:left="-57"/>
              <w:jc w:val="center"/>
              <w:rPr>
                <w:rFonts w:ascii="Arial Narrow" w:hAnsi="Arial Narrow"/>
                <w:b/>
                <w:sz w:val="20"/>
                <w:szCs w:val="20"/>
              </w:rPr>
            </w:pPr>
            <w:r w:rsidRPr="00BC1578">
              <w:rPr>
                <w:rFonts w:ascii="Arial Narrow" w:hAnsi="Arial Narrow"/>
                <w:b/>
                <w:sz w:val="20"/>
                <w:szCs w:val="20"/>
              </w:rPr>
              <w:t>№.of</w:t>
            </w:r>
          </w:p>
          <w:p w14:paraId="53FDA7CF" w14:textId="77777777" w:rsidR="000132CF" w:rsidRPr="00BC1578" w:rsidRDefault="000132CF" w:rsidP="00F0784D">
            <w:pPr>
              <w:keepNext/>
              <w:keepLines/>
              <w:ind w:left="-57"/>
              <w:jc w:val="center"/>
              <w:rPr>
                <w:rFonts w:ascii="Arial Narrow" w:hAnsi="Arial Narrow"/>
                <w:b/>
                <w:sz w:val="20"/>
                <w:szCs w:val="20"/>
              </w:rPr>
            </w:pPr>
            <w:r w:rsidRPr="00BC1578">
              <w:rPr>
                <w:rFonts w:ascii="Arial Narrow" w:hAnsi="Arial Narrow"/>
                <w:b/>
                <w:sz w:val="20"/>
                <w:szCs w:val="20"/>
              </w:rPr>
              <w:t>Rpts</w:t>
            </w:r>
          </w:p>
        </w:tc>
      </w:tr>
      <w:tr w:rsidR="000132CF" w:rsidRPr="00BC1578" w14:paraId="792EA287" w14:textId="77777777" w:rsidTr="00F0784D">
        <w:trPr>
          <w:cantSplit/>
          <w:trHeight w:val="471"/>
        </w:trPr>
        <w:tc>
          <w:tcPr>
            <w:tcW w:w="3823" w:type="dxa"/>
            <w:gridSpan w:val="3"/>
            <w:tcBorders>
              <w:top w:val="single" w:sz="4" w:space="0" w:color="auto"/>
              <w:left w:val="single" w:sz="4" w:space="0" w:color="auto"/>
              <w:bottom w:val="single" w:sz="4" w:space="0" w:color="auto"/>
              <w:right w:val="single" w:sz="4" w:space="0" w:color="auto"/>
            </w:tcBorders>
          </w:tcPr>
          <w:p w14:paraId="4B550145" w14:textId="77777777" w:rsidR="000132CF" w:rsidRPr="00BC1578" w:rsidRDefault="000132CF" w:rsidP="00F0784D">
            <w:pPr>
              <w:keepNext/>
              <w:keepLines/>
              <w:ind w:left="-57"/>
              <w:rPr>
                <w:rFonts w:ascii="Arial Narrow" w:hAnsi="Arial Narrow"/>
                <w:sz w:val="20"/>
                <w:szCs w:val="20"/>
              </w:rPr>
            </w:pPr>
            <w:r w:rsidRPr="00BC1578">
              <w:rPr>
                <w:rFonts w:ascii="Arial Narrow" w:hAnsi="Arial Narrow"/>
                <w:sz w:val="20"/>
                <w:szCs w:val="20"/>
              </w:rPr>
              <w:t xml:space="preserve">BRENTUXIMAB VEDOTIN </w:t>
            </w:r>
          </w:p>
          <w:p w14:paraId="171EA489" w14:textId="37D0BC3E" w:rsidR="000132CF" w:rsidRPr="00BC1578" w:rsidRDefault="000132CF" w:rsidP="00F0784D">
            <w:pPr>
              <w:keepNext/>
              <w:keepLines/>
              <w:ind w:left="-57"/>
              <w:rPr>
                <w:rFonts w:ascii="Arial Narrow" w:hAnsi="Arial Narrow"/>
                <w:b/>
                <w:sz w:val="20"/>
                <w:szCs w:val="20"/>
              </w:rPr>
            </w:pPr>
            <w:r w:rsidRPr="00397BFC">
              <w:rPr>
                <w:rFonts w:ascii="Arial Narrow" w:hAnsi="Arial Narrow"/>
                <w:sz w:val="20"/>
                <w:szCs w:val="20"/>
              </w:rPr>
              <w:t>Injection</w:t>
            </w:r>
            <w:r>
              <w:rPr>
                <w:rFonts w:ascii="Arial Narrow" w:hAnsi="Arial Narrow"/>
                <w:i/>
                <w:iCs/>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0D9AE7E6" w14:textId="77777777" w:rsidR="000132CF" w:rsidRPr="00BC1578" w:rsidRDefault="000132CF" w:rsidP="00F0784D">
            <w:pPr>
              <w:keepNext/>
              <w:keepLines/>
              <w:ind w:left="-57"/>
              <w:jc w:val="center"/>
              <w:rPr>
                <w:rFonts w:ascii="Arial Narrow" w:hAnsi="Arial Narrow"/>
                <w:sz w:val="20"/>
                <w:szCs w:val="20"/>
              </w:rPr>
            </w:pPr>
            <w:r w:rsidRPr="00BC1578">
              <w:rPr>
                <w:rFonts w:ascii="Arial Narrow" w:hAnsi="Arial Narrow"/>
                <w:sz w:val="20"/>
                <w:szCs w:val="20"/>
              </w:rPr>
              <w:t>11086L</w:t>
            </w:r>
            <w:r>
              <w:rPr>
                <w:rFonts w:ascii="Arial Narrow" w:hAnsi="Arial Narrow"/>
                <w:sz w:val="20"/>
                <w:szCs w:val="20"/>
              </w:rPr>
              <w:t xml:space="preserve"> </w:t>
            </w:r>
            <w:r w:rsidRPr="00F82ACD">
              <w:rPr>
                <w:rFonts w:ascii="Arial Narrow" w:hAnsi="Arial Narrow"/>
                <w:i/>
                <w:iCs/>
                <w:sz w:val="20"/>
                <w:szCs w:val="20"/>
              </w:rPr>
              <w:t>(IN)</w:t>
            </w:r>
          </w:p>
          <w:p w14:paraId="0ABF2B04" w14:textId="77777777" w:rsidR="000132CF" w:rsidRPr="00BC1578" w:rsidRDefault="000132CF" w:rsidP="00F0784D">
            <w:pPr>
              <w:keepNext/>
              <w:keepLines/>
              <w:ind w:left="-57"/>
              <w:jc w:val="center"/>
              <w:rPr>
                <w:rFonts w:ascii="Arial Narrow" w:hAnsi="Arial Narrow"/>
                <w:b/>
                <w:sz w:val="20"/>
                <w:szCs w:val="20"/>
              </w:rPr>
            </w:pPr>
            <w:r w:rsidRPr="00BC1578">
              <w:rPr>
                <w:rFonts w:ascii="Arial Narrow" w:hAnsi="Arial Narrow"/>
                <w:sz w:val="20"/>
                <w:szCs w:val="20"/>
              </w:rPr>
              <w:t>11087M</w:t>
            </w:r>
            <w:r>
              <w:rPr>
                <w:rFonts w:ascii="Arial Narrow" w:hAnsi="Arial Narrow"/>
                <w:sz w:val="20"/>
                <w:szCs w:val="20"/>
              </w:rPr>
              <w:t xml:space="preserve"> </w:t>
            </w:r>
            <w:r w:rsidRPr="00F82ACD">
              <w:rPr>
                <w:rFonts w:ascii="Arial Narrow" w:hAnsi="Arial Narrow"/>
                <w:i/>
                <w:iCs/>
                <w:sz w:val="20"/>
                <w:szCs w:val="20"/>
              </w:rPr>
              <w:t>(IP)</w:t>
            </w:r>
          </w:p>
        </w:tc>
        <w:tc>
          <w:tcPr>
            <w:tcW w:w="1134" w:type="dxa"/>
            <w:tcBorders>
              <w:top w:val="single" w:sz="4" w:space="0" w:color="auto"/>
              <w:left w:val="single" w:sz="4" w:space="0" w:color="auto"/>
              <w:bottom w:val="single" w:sz="4" w:space="0" w:color="auto"/>
              <w:right w:val="single" w:sz="4" w:space="0" w:color="auto"/>
            </w:tcBorders>
          </w:tcPr>
          <w:p w14:paraId="62E1DE5D" w14:textId="77777777" w:rsidR="000132CF" w:rsidRPr="00BC1578" w:rsidRDefault="000132CF" w:rsidP="00F0784D">
            <w:pPr>
              <w:keepNext/>
              <w:keepLines/>
              <w:ind w:left="-57"/>
              <w:jc w:val="center"/>
              <w:rPr>
                <w:rFonts w:ascii="Arial Narrow" w:hAnsi="Arial Narrow"/>
                <w:b/>
                <w:sz w:val="20"/>
                <w:szCs w:val="20"/>
              </w:rPr>
            </w:pPr>
            <w:r w:rsidRPr="00BC1578">
              <w:rPr>
                <w:rFonts w:ascii="Arial Narrow" w:hAnsi="Arial Narrow"/>
                <w:iCs/>
                <w:sz w:val="20"/>
                <w:szCs w:val="20"/>
              </w:rPr>
              <w:t>200 mg</w:t>
            </w:r>
          </w:p>
        </w:tc>
        <w:tc>
          <w:tcPr>
            <w:tcW w:w="2693" w:type="dxa"/>
            <w:tcBorders>
              <w:top w:val="single" w:sz="4" w:space="0" w:color="auto"/>
              <w:left w:val="single" w:sz="4" w:space="0" w:color="auto"/>
              <w:bottom w:val="single" w:sz="4" w:space="0" w:color="auto"/>
              <w:right w:val="single" w:sz="4" w:space="0" w:color="auto"/>
            </w:tcBorders>
          </w:tcPr>
          <w:p w14:paraId="0E1C928B" w14:textId="77777777" w:rsidR="000132CF" w:rsidRPr="00BC1578" w:rsidRDefault="000132CF" w:rsidP="00F0784D">
            <w:pPr>
              <w:keepNext/>
              <w:keepLines/>
              <w:ind w:left="-57"/>
              <w:jc w:val="center"/>
              <w:rPr>
                <w:rFonts w:ascii="Arial Narrow" w:hAnsi="Arial Narrow"/>
                <w:b/>
                <w:sz w:val="20"/>
                <w:szCs w:val="20"/>
              </w:rPr>
            </w:pPr>
            <w:r w:rsidRPr="00BC1578">
              <w:rPr>
                <w:rFonts w:ascii="Arial Narrow" w:hAnsi="Arial Narrow"/>
                <w:sz w:val="20"/>
                <w:szCs w:val="20"/>
              </w:rPr>
              <w:t>11</w:t>
            </w:r>
          </w:p>
        </w:tc>
      </w:tr>
      <w:tr w:rsidR="000132CF" w:rsidRPr="00BC1578" w14:paraId="55BA684A" w14:textId="77777777" w:rsidTr="00F0784D">
        <w:trPr>
          <w:cantSplit/>
          <w:trHeight w:val="225"/>
        </w:trPr>
        <w:tc>
          <w:tcPr>
            <w:tcW w:w="9067" w:type="dxa"/>
            <w:gridSpan w:val="6"/>
          </w:tcPr>
          <w:p w14:paraId="0D1E128D" w14:textId="77777777" w:rsidR="000132CF" w:rsidRPr="00BC1578" w:rsidRDefault="000132CF" w:rsidP="00F0784D">
            <w:pPr>
              <w:keepNext/>
              <w:keepLines/>
              <w:ind w:left="-57"/>
              <w:rPr>
                <w:rFonts w:ascii="Arial Narrow" w:hAnsi="Arial Narrow"/>
                <w:b/>
                <w:bCs/>
                <w:sz w:val="20"/>
                <w:szCs w:val="20"/>
              </w:rPr>
            </w:pPr>
            <w:r w:rsidRPr="00BC1578">
              <w:rPr>
                <w:rFonts w:ascii="Arial Narrow" w:hAnsi="Arial Narrow"/>
                <w:b/>
                <w:bCs/>
                <w:sz w:val="20"/>
                <w:szCs w:val="20"/>
              </w:rPr>
              <w:t>Available brands</w:t>
            </w:r>
          </w:p>
        </w:tc>
      </w:tr>
      <w:tr w:rsidR="000132CF" w:rsidRPr="00BC1578" w14:paraId="347E0720" w14:textId="77777777" w:rsidTr="00F0784D">
        <w:trPr>
          <w:cantSplit/>
          <w:trHeight w:val="99"/>
        </w:trPr>
        <w:tc>
          <w:tcPr>
            <w:tcW w:w="9067" w:type="dxa"/>
            <w:gridSpan w:val="6"/>
          </w:tcPr>
          <w:p w14:paraId="6B3FBA25" w14:textId="6081DAA3" w:rsidR="000132CF" w:rsidRPr="00BC1578" w:rsidRDefault="0095594C" w:rsidP="00F0784D">
            <w:pPr>
              <w:keepNext/>
              <w:keepLines/>
              <w:ind w:left="-57"/>
              <w:rPr>
                <w:rFonts w:ascii="Arial Narrow" w:hAnsi="Arial Narrow"/>
                <w:sz w:val="20"/>
                <w:szCs w:val="20"/>
              </w:rPr>
            </w:pPr>
            <w:r w:rsidRPr="00BC1578">
              <w:rPr>
                <w:rFonts w:ascii="Arial Narrow" w:hAnsi="Arial Narrow"/>
                <w:sz w:val="20"/>
                <w:szCs w:val="20"/>
              </w:rPr>
              <w:t>A</w:t>
            </w:r>
            <w:r>
              <w:rPr>
                <w:rFonts w:ascii="Arial Narrow" w:hAnsi="Arial Narrow"/>
                <w:sz w:val="20"/>
                <w:szCs w:val="20"/>
              </w:rPr>
              <w:t>dcetris</w:t>
            </w:r>
          </w:p>
          <w:p w14:paraId="06D5006D" w14:textId="77777777" w:rsidR="000132CF" w:rsidRPr="00BC1578" w:rsidRDefault="000132CF" w:rsidP="00F0784D">
            <w:pPr>
              <w:keepNext/>
              <w:keepLines/>
              <w:ind w:left="-57"/>
              <w:rPr>
                <w:rFonts w:ascii="Arial Narrow" w:hAnsi="Arial Narrow"/>
                <w:sz w:val="20"/>
                <w:szCs w:val="20"/>
              </w:rPr>
            </w:pPr>
            <w:r w:rsidRPr="00BC1578">
              <w:rPr>
                <w:rFonts w:ascii="Arial Narrow" w:hAnsi="Arial Narrow"/>
                <w:sz w:val="20"/>
                <w:szCs w:val="20"/>
              </w:rPr>
              <w:t>(brentuximab vedotin 50 mg injection, 1 vial)</w:t>
            </w:r>
          </w:p>
        </w:tc>
      </w:tr>
      <w:tr w:rsidR="000132CF" w:rsidRPr="00BC1578" w14:paraId="0A82F2A3" w14:textId="77777777" w:rsidTr="00F0784D">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61E432EF"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b/>
                <w:sz w:val="20"/>
                <w:szCs w:val="20"/>
                <w:lang w:val="en-GB"/>
              </w:rPr>
              <w:t xml:space="preserve">Restriction Summary </w:t>
            </w:r>
            <w:r w:rsidRPr="00BC1578">
              <w:rPr>
                <w:rFonts w:ascii="Arial Narrow" w:hAnsi="Arial Narrow"/>
                <w:bCs/>
                <w:sz w:val="20"/>
                <w:szCs w:val="20"/>
                <w:lang w:val="en-GB"/>
              </w:rPr>
              <w:t xml:space="preserve">13232 </w:t>
            </w:r>
            <w:r w:rsidRPr="00BC1578">
              <w:rPr>
                <w:rFonts w:ascii="Arial Narrow" w:hAnsi="Arial Narrow"/>
                <w:b/>
                <w:sz w:val="20"/>
                <w:szCs w:val="20"/>
                <w:lang w:val="en-GB"/>
              </w:rPr>
              <w:t xml:space="preserve">/ Treatment of Concept: </w:t>
            </w:r>
            <w:r w:rsidRPr="00BC1578">
              <w:rPr>
                <w:rFonts w:ascii="Arial Narrow" w:hAnsi="Arial Narrow"/>
                <w:iCs/>
                <w:sz w:val="20"/>
                <w:szCs w:val="20"/>
                <w:lang w:val="en-GB"/>
              </w:rPr>
              <w:t xml:space="preserve">13231: </w:t>
            </w:r>
            <w:r w:rsidRPr="00A57689">
              <w:rPr>
                <w:rFonts w:ascii="Arial Narrow" w:hAnsi="Arial Narrow"/>
                <w:b/>
                <w:sz w:val="20"/>
                <w:szCs w:val="20"/>
                <w:lang w:val="en-GB"/>
              </w:rPr>
              <w:t>Authority Required</w:t>
            </w:r>
            <w:r w:rsidRPr="00BC1578">
              <w:rPr>
                <w:rFonts w:ascii="Arial Narrow" w:hAnsi="Arial Narrow"/>
                <w:b/>
                <w:bCs/>
                <w:iCs/>
                <w:sz w:val="20"/>
                <w:szCs w:val="20"/>
                <w:lang w:val="en-GB"/>
              </w:rPr>
              <w:t xml:space="preserve"> </w:t>
            </w:r>
          </w:p>
        </w:tc>
      </w:tr>
      <w:tr w:rsidR="000132CF" w:rsidRPr="00BC1578" w14:paraId="283B8407" w14:textId="77777777" w:rsidTr="00F0784D">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Pr>
          <w:p w14:paraId="5CA31BB3" w14:textId="77777777" w:rsidR="000132CF" w:rsidRPr="00BC1578" w:rsidRDefault="000132CF" w:rsidP="00F0784D">
            <w:pPr>
              <w:keepNext/>
              <w:keepLines/>
              <w:jc w:val="center"/>
              <w:rPr>
                <w:rFonts w:ascii="Arial Narrow" w:hAnsi="Arial Narrow"/>
                <w:b/>
                <w:sz w:val="20"/>
                <w:szCs w:val="20"/>
              </w:rPr>
            </w:pPr>
            <w:r w:rsidRPr="00BC1578">
              <w:rPr>
                <w:rFonts w:ascii="Arial Narrow" w:hAnsi="Arial Narrow"/>
                <w:b/>
                <w:sz w:val="20"/>
                <w:szCs w:val="20"/>
              </w:rPr>
              <w:t xml:space="preserve">Concept ID </w:t>
            </w:r>
            <w:r w:rsidRPr="00BC1578">
              <w:rPr>
                <w:rFonts w:ascii="Arial Narrow" w:hAnsi="Arial Narrow"/>
                <w:sz w:val="20"/>
                <w:szCs w:val="20"/>
              </w:rPr>
              <w:t>(for internal Dept. use)</w:t>
            </w:r>
          </w:p>
        </w:tc>
        <w:tc>
          <w:tcPr>
            <w:tcW w:w="7796" w:type="dxa"/>
            <w:gridSpan w:val="4"/>
          </w:tcPr>
          <w:p w14:paraId="786A7C9D" w14:textId="77777777" w:rsidR="000132CF" w:rsidRPr="00BC1578" w:rsidRDefault="000132CF" w:rsidP="00F0784D">
            <w:pPr>
              <w:keepNext/>
              <w:keepLines/>
              <w:rPr>
                <w:rFonts w:ascii="Arial Narrow" w:hAnsi="Arial Narrow"/>
                <w:sz w:val="20"/>
                <w:szCs w:val="20"/>
              </w:rPr>
            </w:pPr>
            <w:r w:rsidRPr="00BC1578">
              <w:rPr>
                <w:rFonts w:ascii="Arial Narrow" w:hAnsi="Arial Narrow"/>
                <w:b/>
                <w:sz w:val="20"/>
                <w:szCs w:val="20"/>
              </w:rPr>
              <w:t xml:space="preserve">Category / Program: </w:t>
            </w:r>
            <w:r w:rsidRPr="00BC1578">
              <w:rPr>
                <w:rFonts w:ascii="Arial Narrow" w:hAnsi="Arial Narrow"/>
                <w:sz w:val="20"/>
                <w:szCs w:val="20"/>
              </w:rPr>
              <w:t>Section 100 – Efficient Funding of Chemotherapy Public/Private hospitals</w:t>
            </w:r>
          </w:p>
        </w:tc>
      </w:tr>
      <w:tr w:rsidR="000132CF" w:rsidRPr="00BC1578" w14:paraId="44222AA1" w14:textId="77777777" w:rsidTr="00F0784D">
        <w:tblPrEx>
          <w:tblCellMar>
            <w:top w:w="15" w:type="dxa"/>
            <w:bottom w:w="15" w:type="dxa"/>
          </w:tblCellMar>
          <w:tblLook w:val="04A0" w:firstRow="1" w:lastRow="0" w:firstColumn="1" w:lastColumn="0" w:noHBand="0" w:noVBand="1"/>
        </w:tblPrEx>
        <w:trPr>
          <w:cantSplit/>
          <w:trHeight w:val="20"/>
        </w:trPr>
        <w:tc>
          <w:tcPr>
            <w:tcW w:w="1271" w:type="dxa"/>
            <w:gridSpan w:val="2"/>
            <w:vMerge/>
          </w:tcPr>
          <w:p w14:paraId="0E44D717" w14:textId="77777777" w:rsidR="000132CF" w:rsidRPr="00BC1578" w:rsidRDefault="000132CF" w:rsidP="00F0784D">
            <w:pPr>
              <w:keepNext/>
              <w:keepLines/>
              <w:rPr>
                <w:rFonts w:ascii="Arial Narrow" w:hAnsi="Arial Narrow"/>
                <w:sz w:val="20"/>
                <w:szCs w:val="20"/>
              </w:rPr>
            </w:pPr>
          </w:p>
        </w:tc>
        <w:tc>
          <w:tcPr>
            <w:tcW w:w="7796" w:type="dxa"/>
            <w:gridSpan w:val="4"/>
          </w:tcPr>
          <w:p w14:paraId="01FC38F8" w14:textId="77777777" w:rsidR="000132CF" w:rsidRPr="00BC1578" w:rsidRDefault="000132CF" w:rsidP="00F0784D">
            <w:pPr>
              <w:keepNext/>
              <w:keepLines/>
              <w:rPr>
                <w:rFonts w:ascii="Arial Narrow" w:hAnsi="Arial Narrow"/>
                <w:b/>
                <w:sz w:val="20"/>
                <w:szCs w:val="20"/>
              </w:rPr>
            </w:pPr>
            <w:r w:rsidRPr="00BC1578">
              <w:rPr>
                <w:rFonts w:ascii="Arial Narrow" w:hAnsi="Arial Narrow"/>
                <w:b/>
                <w:sz w:val="20"/>
                <w:szCs w:val="20"/>
              </w:rPr>
              <w:t xml:space="preserve">Prescriber type: </w:t>
            </w:r>
            <w:r w:rsidRPr="00BC1578">
              <w:rPr>
                <w:rFonts w:ascii="Arial Narrow" w:hAnsi="Arial Narrow"/>
                <w:sz w:val="20"/>
                <w:szCs w:val="20"/>
              </w:rPr>
              <w:fldChar w:fldCharType="begin">
                <w:ffData>
                  <w:name w:val=""/>
                  <w:enabled/>
                  <w:calcOnExit w:val="0"/>
                  <w:checkBox>
                    <w:sizeAuto/>
                    <w:default w:val="1"/>
                  </w:checkBox>
                </w:ffData>
              </w:fldChar>
            </w:r>
            <w:r w:rsidRPr="00BC1578">
              <w:rPr>
                <w:rFonts w:ascii="Arial Narrow" w:hAnsi="Arial Narrow"/>
                <w:sz w:val="20"/>
                <w:szCs w:val="20"/>
              </w:rPr>
              <w:instrText xml:space="preserve"> FORMCHECKBOX </w:instrText>
            </w:r>
            <w:r w:rsidRPr="00BC1578">
              <w:rPr>
                <w:rFonts w:ascii="Arial Narrow" w:hAnsi="Arial Narrow"/>
                <w:sz w:val="20"/>
                <w:szCs w:val="20"/>
              </w:rPr>
            </w:r>
            <w:r w:rsidRPr="00BC1578">
              <w:rPr>
                <w:rFonts w:ascii="Arial Narrow" w:hAnsi="Arial Narrow"/>
                <w:sz w:val="20"/>
                <w:szCs w:val="20"/>
              </w:rPr>
              <w:fldChar w:fldCharType="separate"/>
            </w:r>
            <w:r w:rsidRPr="00BC1578">
              <w:rPr>
                <w:rFonts w:ascii="Arial Narrow" w:hAnsi="Arial Narrow"/>
                <w:sz w:val="20"/>
                <w:szCs w:val="20"/>
              </w:rPr>
              <w:fldChar w:fldCharType="end"/>
            </w:r>
            <w:r w:rsidRPr="00BC1578">
              <w:rPr>
                <w:rFonts w:ascii="Arial Narrow" w:hAnsi="Arial Narrow"/>
                <w:sz w:val="20"/>
                <w:szCs w:val="20"/>
              </w:rPr>
              <w:t xml:space="preserve">Medical Practitioners </w:t>
            </w:r>
          </w:p>
        </w:tc>
      </w:tr>
      <w:tr w:rsidR="000132CF" w:rsidRPr="00BC1578" w14:paraId="05F5124C" w14:textId="77777777" w:rsidTr="00F0784D">
        <w:tblPrEx>
          <w:tblCellMar>
            <w:top w:w="15" w:type="dxa"/>
            <w:bottom w:w="15" w:type="dxa"/>
          </w:tblCellMar>
          <w:tblLook w:val="04A0" w:firstRow="1" w:lastRow="0" w:firstColumn="1" w:lastColumn="0" w:noHBand="0" w:noVBand="1"/>
        </w:tblPrEx>
        <w:trPr>
          <w:cantSplit/>
          <w:trHeight w:val="20"/>
        </w:trPr>
        <w:tc>
          <w:tcPr>
            <w:tcW w:w="1271" w:type="dxa"/>
            <w:gridSpan w:val="2"/>
            <w:vMerge/>
          </w:tcPr>
          <w:p w14:paraId="6DCA4698" w14:textId="77777777" w:rsidR="000132CF" w:rsidRPr="00BC1578" w:rsidRDefault="000132CF" w:rsidP="00F0784D">
            <w:pPr>
              <w:keepNext/>
              <w:keepLines/>
              <w:rPr>
                <w:rFonts w:ascii="Arial Narrow" w:hAnsi="Arial Narrow"/>
                <w:sz w:val="20"/>
                <w:szCs w:val="20"/>
              </w:rPr>
            </w:pPr>
          </w:p>
        </w:tc>
        <w:tc>
          <w:tcPr>
            <w:tcW w:w="7796" w:type="dxa"/>
            <w:gridSpan w:val="4"/>
          </w:tcPr>
          <w:p w14:paraId="0403197A" w14:textId="77777777" w:rsidR="000132CF" w:rsidRPr="00BC1578" w:rsidRDefault="000132CF" w:rsidP="00F0784D">
            <w:pPr>
              <w:keepNext/>
              <w:keepLines/>
              <w:rPr>
                <w:rFonts w:ascii="Arial Narrow" w:hAnsi="Arial Narrow"/>
                <w:b/>
                <w:i/>
                <w:iCs/>
                <w:sz w:val="20"/>
                <w:szCs w:val="20"/>
              </w:rPr>
            </w:pPr>
            <w:r w:rsidRPr="00BC1578">
              <w:rPr>
                <w:rFonts w:ascii="Arial Narrow" w:hAnsi="Arial Narrow"/>
                <w:b/>
                <w:sz w:val="20"/>
                <w:szCs w:val="20"/>
              </w:rPr>
              <w:t xml:space="preserve">Restriction type: </w:t>
            </w:r>
            <w:r w:rsidRPr="00A57689">
              <w:rPr>
                <w:rFonts w:ascii="Arial Narrow" w:eastAsia="Calibri" w:hAnsi="Arial Narrow"/>
                <w:sz w:val="20"/>
                <w:szCs w:val="20"/>
              </w:rPr>
              <w:fldChar w:fldCharType="begin">
                <w:ffData>
                  <w:name w:val=""/>
                  <w:enabled/>
                  <w:calcOnExit w:val="0"/>
                  <w:checkBox>
                    <w:sizeAuto/>
                    <w:default w:val="1"/>
                  </w:checkBox>
                </w:ffData>
              </w:fldChar>
            </w:r>
            <w:r w:rsidRPr="00A57689">
              <w:rPr>
                <w:rFonts w:ascii="Arial Narrow" w:eastAsia="Calibri" w:hAnsi="Arial Narrow"/>
                <w:sz w:val="20"/>
                <w:szCs w:val="20"/>
              </w:rPr>
              <w:instrText xml:space="preserve"> FORMCHECKBOX </w:instrText>
            </w:r>
            <w:r w:rsidRPr="00A57689">
              <w:rPr>
                <w:rFonts w:ascii="Arial Narrow" w:eastAsia="Calibri" w:hAnsi="Arial Narrow"/>
                <w:sz w:val="20"/>
                <w:szCs w:val="20"/>
              </w:rPr>
            </w:r>
            <w:r w:rsidRPr="00A57689">
              <w:rPr>
                <w:rFonts w:ascii="Arial Narrow" w:eastAsia="Calibri" w:hAnsi="Arial Narrow"/>
                <w:sz w:val="20"/>
                <w:szCs w:val="20"/>
              </w:rPr>
              <w:fldChar w:fldCharType="separate"/>
            </w:r>
            <w:r w:rsidRPr="00A57689">
              <w:rPr>
                <w:rFonts w:ascii="Arial Narrow" w:eastAsia="Calibri" w:hAnsi="Arial Narrow"/>
                <w:sz w:val="20"/>
                <w:szCs w:val="20"/>
              </w:rPr>
              <w:fldChar w:fldCharType="end"/>
            </w:r>
            <w:r w:rsidRPr="00A57689">
              <w:rPr>
                <w:rFonts w:ascii="Arial Narrow" w:eastAsia="Calibri" w:hAnsi="Arial Narrow"/>
                <w:sz w:val="20"/>
                <w:szCs w:val="20"/>
              </w:rPr>
              <w:t>Authority Required (telephone/online)</w:t>
            </w:r>
            <w:r w:rsidRPr="00BC1578">
              <w:rPr>
                <w:rFonts w:ascii="Arial Narrow" w:eastAsia="Calibri" w:hAnsi="Arial Narrow"/>
                <w:sz w:val="20"/>
                <w:szCs w:val="20"/>
              </w:rPr>
              <w:t xml:space="preserve"> </w:t>
            </w:r>
          </w:p>
        </w:tc>
      </w:tr>
      <w:tr w:rsidR="000132CF" w:rsidRPr="00BC1578" w14:paraId="6673049A" w14:textId="77777777" w:rsidTr="00F0784D">
        <w:tblPrEx>
          <w:tblCellMar>
            <w:top w:w="15" w:type="dxa"/>
            <w:bottom w:w="15" w:type="dxa"/>
          </w:tblCellMar>
          <w:tblLook w:val="04A0" w:firstRow="1" w:lastRow="0" w:firstColumn="1" w:lastColumn="0" w:noHBand="0" w:noVBand="1"/>
        </w:tblPrEx>
        <w:trPr>
          <w:trHeight w:val="683"/>
        </w:trPr>
        <w:tc>
          <w:tcPr>
            <w:tcW w:w="562" w:type="dxa"/>
            <w:vMerge w:val="restart"/>
            <w:textDirection w:val="btLr"/>
            <w:vAlign w:val="center"/>
          </w:tcPr>
          <w:p w14:paraId="25CBB132" w14:textId="77777777" w:rsidR="000132CF" w:rsidRPr="00BC1578" w:rsidRDefault="000132CF" w:rsidP="00F0784D">
            <w:pPr>
              <w:keepNext/>
              <w:keepLines/>
              <w:ind w:right="113"/>
              <w:jc w:val="center"/>
              <w:rPr>
                <w:rFonts w:ascii="Arial Narrow" w:hAnsi="Arial Narrow"/>
                <w:color w:val="333333"/>
                <w:sz w:val="20"/>
                <w:szCs w:val="20"/>
              </w:rPr>
            </w:pPr>
            <w:r w:rsidRPr="00BC1578">
              <w:rPr>
                <w:rFonts w:ascii="Arial Narrow" w:hAnsi="Arial Narrow"/>
                <w:color w:val="333333"/>
                <w:sz w:val="20"/>
                <w:szCs w:val="20"/>
              </w:rPr>
              <w:t>Prescribing rule level</w:t>
            </w:r>
          </w:p>
        </w:tc>
        <w:tc>
          <w:tcPr>
            <w:tcW w:w="709" w:type="dxa"/>
            <w:vAlign w:val="center"/>
          </w:tcPr>
          <w:p w14:paraId="12599EDD" w14:textId="4CA249A0" w:rsidR="000132CF" w:rsidRPr="00A57689" w:rsidRDefault="000132CF" w:rsidP="00F0784D">
            <w:pPr>
              <w:keepNext/>
              <w:keepLines/>
              <w:jc w:val="center"/>
              <w:rPr>
                <w:rFonts w:ascii="Arial Narrow" w:hAnsi="Arial Narrow"/>
                <w:color w:val="333333"/>
                <w:sz w:val="20"/>
                <w:szCs w:val="20"/>
              </w:rPr>
            </w:pPr>
          </w:p>
          <w:p w14:paraId="133033A5" w14:textId="08EF5CDD" w:rsidR="000132CF" w:rsidRPr="00A57689" w:rsidRDefault="000132CF" w:rsidP="00F0784D">
            <w:pPr>
              <w:keepNext/>
              <w:keepLines/>
              <w:ind w:hanging="35"/>
              <w:jc w:val="center"/>
              <w:rPr>
                <w:rFonts w:ascii="Arial Narrow" w:hAnsi="Arial Narrow"/>
                <w:color w:val="333333"/>
                <w:sz w:val="20"/>
                <w:szCs w:val="20"/>
              </w:rPr>
            </w:pPr>
            <w:r w:rsidRPr="00A57689">
              <w:rPr>
                <w:rFonts w:ascii="Arial Narrow" w:hAnsi="Arial Narrow"/>
                <w:color w:val="333333"/>
                <w:sz w:val="20"/>
                <w:szCs w:val="20"/>
              </w:rPr>
              <w:t xml:space="preserve"> </w:t>
            </w:r>
          </w:p>
          <w:p w14:paraId="3B39ECA0" w14:textId="77777777" w:rsidR="000132CF" w:rsidRPr="00A57689" w:rsidRDefault="000132CF" w:rsidP="00F0784D">
            <w:pPr>
              <w:keepNext/>
              <w:keepLines/>
              <w:ind w:hanging="35"/>
              <w:rPr>
                <w:rFonts w:ascii="Arial Narrow" w:hAnsi="Arial Narrow"/>
                <w:color w:val="333333"/>
                <w:sz w:val="20"/>
                <w:szCs w:val="20"/>
              </w:rPr>
            </w:pPr>
          </w:p>
        </w:tc>
        <w:tc>
          <w:tcPr>
            <w:tcW w:w="7796" w:type="dxa"/>
            <w:gridSpan w:val="4"/>
            <w:vAlign w:val="center"/>
          </w:tcPr>
          <w:p w14:paraId="38378BFE" w14:textId="77777777" w:rsidR="000132CF" w:rsidRPr="00A57689" w:rsidRDefault="000132CF" w:rsidP="00F0784D">
            <w:pPr>
              <w:keepNext/>
              <w:keepLines/>
              <w:rPr>
                <w:rFonts w:ascii="Arial Narrow" w:hAnsi="Arial Narrow"/>
                <w:b/>
                <w:bCs/>
                <w:color w:val="333333"/>
                <w:sz w:val="20"/>
                <w:szCs w:val="20"/>
              </w:rPr>
            </w:pPr>
            <w:r w:rsidRPr="00A57689">
              <w:rPr>
                <w:rFonts w:ascii="Arial Narrow" w:hAnsi="Arial Narrow"/>
                <w:b/>
                <w:bCs/>
                <w:color w:val="333333"/>
                <w:sz w:val="20"/>
                <w:szCs w:val="20"/>
              </w:rPr>
              <w:t>Administrative Advice:</w:t>
            </w:r>
          </w:p>
          <w:p w14:paraId="46026F42" w14:textId="77777777" w:rsidR="000132CF" w:rsidRPr="00A57689" w:rsidRDefault="000132CF" w:rsidP="00F0784D">
            <w:pPr>
              <w:keepNext/>
              <w:keepLines/>
              <w:rPr>
                <w:rFonts w:ascii="Arial Narrow" w:hAnsi="Arial Narrow"/>
                <w:color w:val="333333"/>
                <w:sz w:val="20"/>
                <w:szCs w:val="20"/>
              </w:rPr>
            </w:pPr>
            <w:r w:rsidRPr="00A57689">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0132CF" w:rsidRPr="00BC1578" w14:paraId="1C2D68BF" w14:textId="77777777" w:rsidTr="00F0784D">
        <w:tblPrEx>
          <w:tblCellMar>
            <w:top w:w="15" w:type="dxa"/>
            <w:bottom w:w="15" w:type="dxa"/>
          </w:tblCellMar>
          <w:tblLook w:val="04A0" w:firstRow="1" w:lastRow="0" w:firstColumn="1" w:lastColumn="0" w:noHBand="0" w:noVBand="1"/>
        </w:tblPrEx>
        <w:trPr>
          <w:trHeight w:val="20"/>
        </w:trPr>
        <w:tc>
          <w:tcPr>
            <w:tcW w:w="562" w:type="dxa"/>
            <w:vMerge/>
            <w:vAlign w:val="center"/>
          </w:tcPr>
          <w:p w14:paraId="658468AD" w14:textId="77777777" w:rsidR="000132CF" w:rsidRPr="00BC1578" w:rsidRDefault="000132CF" w:rsidP="00F0784D">
            <w:pPr>
              <w:keepNext/>
              <w:keepLines/>
              <w:jc w:val="center"/>
              <w:rPr>
                <w:rFonts w:ascii="Arial Narrow" w:hAnsi="Arial Narrow"/>
                <w:color w:val="333333"/>
                <w:sz w:val="20"/>
                <w:szCs w:val="20"/>
              </w:rPr>
            </w:pPr>
          </w:p>
        </w:tc>
        <w:tc>
          <w:tcPr>
            <w:tcW w:w="709" w:type="dxa"/>
            <w:vAlign w:val="center"/>
          </w:tcPr>
          <w:p w14:paraId="23B0A1CC" w14:textId="61CA46AD" w:rsidR="000132CF" w:rsidRPr="00BC1578" w:rsidRDefault="000132CF" w:rsidP="00F0784D">
            <w:pPr>
              <w:keepNext/>
              <w:keepLines/>
              <w:ind w:hanging="35"/>
              <w:jc w:val="center"/>
              <w:rPr>
                <w:rFonts w:ascii="Arial Narrow" w:hAnsi="Arial Narrow"/>
                <w:color w:val="333333"/>
                <w:sz w:val="20"/>
                <w:szCs w:val="20"/>
              </w:rPr>
            </w:pPr>
          </w:p>
        </w:tc>
        <w:tc>
          <w:tcPr>
            <w:tcW w:w="7796" w:type="dxa"/>
            <w:gridSpan w:val="4"/>
            <w:vAlign w:val="center"/>
          </w:tcPr>
          <w:p w14:paraId="4A3BC6A2" w14:textId="77777777" w:rsidR="000132CF" w:rsidRPr="00BC1578" w:rsidRDefault="000132CF" w:rsidP="00F0784D">
            <w:pPr>
              <w:keepNext/>
              <w:keepLines/>
              <w:rPr>
                <w:rFonts w:ascii="Arial Narrow" w:hAnsi="Arial Narrow"/>
                <w:color w:val="333333"/>
                <w:sz w:val="20"/>
                <w:szCs w:val="20"/>
              </w:rPr>
            </w:pPr>
            <w:r w:rsidRPr="00BC1578">
              <w:rPr>
                <w:rFonts w:ascii="Arial Narrow" w:hAnsi="Arial Narrow"/>
                <w:b/>
                <w:bCs/>
                <w:color w:val="333333"/>
                <w:sz w:val="20"/>
                <w:szCs w:val="20"/>
              </w:rPr>
              <w:t>Administrative Advice:</w:t>
            </w:r>
          </w:p>
          <w:p w14:paraId="723FFF2D"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sz w:val="20"/>
                <w:szCs w:val="20"/>
              </w:rPr>
              <w:t>No increase in the maximum quantity or number of units may be authorised.</w:t>
            </w:r>
          </w:p>
        </w:tc>
      </w:tr>
      <w:tr w:rsidR="000132CF" w:rsidRPr="00BC1578" w14:paraId="0ED2BEEE" w14:textId="77777777" w:rsidTr="00F0784D">
        <w:tblPrEx>
          <w:tblCellMar>
            <w:top w:w="15" w:type="dxa"/>
            <w:bottom w:w="15" w:type="dxa"/>
          </w:tblCellMar>
          <w:tblLook w:val="04A0" w:firstRow="1" w:lastRow="0" w:firstColumn="1" w:lastColumn="0" w:noHBand="0" w:noVBand="1"/>
        </w:tblPrEx>
        <w:trPr>
          <w:trHeight w:val="20"/>
        </w:trPr>
        <w:tc>
          <w:tcPr>
            <w:tcW w:w="562" w:type="dxa"/>
            <w:vMerge/>
            <w:vAlign w:val="center"/>
          </w:tcPr>
          <w:p w14:paraId="1518238F" w14:textId="77777777" w:rsidR="000132CF" w:rsidRPr="00BC1578" w:rsidRDefault="000132CF" w:rsidP="00F0784D">
            <w:pPr>
              <w:keepNext/>
              <w:keepLines/>
              <w:jc w:val="center"/>
              <w:rPr>
                <w:rFonts w:ascii="Arial Narrow" w:hAnsi="Arial Narrow"/>
                <w:color w:val="333333"/>
                <w:sz w:val="20"/>
                <w:szCs w:val="20"/>
              </w:rPr>
            </w:pPr>
          </w:p>
        </w:tc>
        <w:tc>
          <w:tcPr>
            <w:tcW w:w="709" w:type="dxa"/>
            <w:vAlign w:val="center"/>
          </w:tcPr>
          <w:p w14:paraId="5A18D2F4" w14:textId="28064420" w:rsidR="000132CF" w:rsidRPr="00BC1578" w:rsidRDefault="000132CF" w:rsidP="00F0784D">
            <w:pPr>
              <w:keepNext/>
              <w:keepLines/>
              <w:ind w:hanging="35"/>
              <w:jc w:val="center"/>
              <w:rPr>
                <w:rFonts w:ascii="Arial Narrow" w:hAnsi="Arial Narrow"/>
                <w:color w:val="333333"/>
                <w:sz w:val="20"/>
                <w:szCs w:val="20"/>
              </w:rPr>
            </w:pPr>
          </w:p>
        </w:tc>
        <w:tc>
          <w:tcPr>
            <w:tcW w:w="7796" w:type="dxa"/>
            <w:gridSpan w:val="4"/>
            <w:vAlign w:val="center"/>
          </w:tcPr>
          <w:p w14:paraId="0561C8B7"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b/>
                <w:bCs/>
                <w:color w:val="333333"/>
                <w:sz w:val="20"/>
                <w:szCs w:val="20"/>
              </w:rPr>
              <w:t>Administrative Advice:</w:t>
            </w:r>
          </w:p>
          <w:p w14:paraId="135DC171"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color w:val="333333"/>
                <w:sz w:val="20"/>
                <w:szCs w:val="20"/>
              </w:rPr>
              <w:t>No increase in the maximum number of repeats may be authorised</w:t>
            </w:r>
          </w:p>
        </w:tc>
      </w:tr>
      <w:tr w:rsidR="000132CF" w:rsidRPr="00BC1578" w14:paraId="0CAE51BD" w14:textId="77777777" w:rsidTr="00F0784D">
        <w:tblPrEx>
          <w:tblCellMar>
            <w:top w:w="15" w:type="dxa"/>
            <w:bottom w:w="15" w:type="dxa"/>
          </w:tblCellMar>
          <w:tblLook w:val="04A0" w:firstRow="1" w:lastRow="0" w:firstColumn="1" w:lastColumn="0" w:noHBand="0" w:noVBand="1"/>
        </w:tblPrEx>
        <w:trPr>
          <w:trHeight w:val="20"/>
        </w:trPr>
        <w:tc>
          <w:tcPr>
            <w:tcW w:w="562" w:type="dxa"/>
            <w:vMerge/>
            <w:vAlign w:val="center"/>
          </w:tcPr>
          <w:p w14:paraId="45F370C0" w14:textId="77777777" w:rsidR="000132CF" w:rsidRPr="00BC1578" w:rsidRDefault="000132CF" w:rsidP="00F0784D">
            <w:pPr>
              <w:keepNext/>
              <w:keepLines/>
              <w:jc w:val="center"/>
              <w:rPr>
                <w:rFonts w:ascii="Arial Narrow" w:hAnsi="Arial Narrow"/>
                <w:color w:val="333333"/>
                <w:sz w:val="20"/>
                <w:szCs w:val="20"/>
              </w:rPr>
            </w:pPr>
          </w:p>
        </w:tc>
        <w:tc>
          <w:tcPr>
            <w:tcW w:w="709" w:type="dxa"/>
            <w:vAlign w:val="center"/>
          </w:tcPr>
          <w:p w14:paraId="273949BF" w14:textId="13703AF9" w:rsidR="000132CF" w:rsidRPr="00BC1578" w:rsidRDefault="000132CF" w:rsidP="00F0784D">
            <w:pPr>
              <w:keepNext/>
              <w:keepLines/>
              <w:ind w:hanging="35"/>
              <w:jc w:val="center"/>
              <w:rPr>
                <w:rFonts w:ascii="Arial Narrow" w:hAnsi="Arial Narrow"/>
                <w:color w:val="333333"/>
                <w:sz w:val="20"/>
                <w:szCs w:val="20"/>
              </w:rPr>
            </w:pPr>
          </w:p>
        </w:tc>
        <w:tc>
          <w:tcPr>
            <w:tcW w:w="7796" w:type="dxa"/>
            <w:gridSpan w:val="4"/>
            <w:vAlign w:val="center"/>
          </w:tcPr>
          <w:p w14:paraId="5BCEEF9D"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b/>
                <w:bCs/>
                <w:color w:val="333333"/>
                <w:sz w:val="20"/>
                <w:szCs w:val="20"/>
              </w:rPr>
              <w:t>Administrative Advice:</w:t>
            </w:r>
          </w:p>
          <w:p w14:paraId="2CCB41F6"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color w:val="333333"/>
                <w:sz w:val="20"/>
                <w:szCs w:val="20"/>
              </w:rPr>
              <w:t>Special Pricing Arrangements apply</w:t>
            </w:r>
          </w:p>
        </w:tc>
      </w:tr>
      <w:tr w:rsidR="000132CF" w:rsidRPr="00BC1578" w14:paraId="3E36F1F2"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hideMark/>
          </w:tcPr>
          <w:p w14:paraId="16826B32" w14:textId="53931089" w:rsidR="000132CF" w:rsidRPr="00BC1578" w:rsidRDefault="000132CF" w:rsidP="00F0784D">
            <w:pPr>
              <w:keepNext/>
              <w:keepLines/>
              <w:jc w:val="center"/>
              <w:rPr>
                <w:rFonts w:ascii="Arial Narrow" w:hAnsi="Arial Narrow"/>
                <w:color w:val="333333"/>
                <w:sz w:val="20"/>
                <w:szCs w:val="20"/>
              </w:rPr>
            </w:pPr>
          </w:p>
        </w:tc>
        <w:tc>
          <w:tcPr>
            <w:tcW w:w="7796" w:type="dxa"/>
            <w:gridSpan w:val="4"/>
            <w:vAlign w:val="center"/>
            <w:hideMark/>
          </w:tcPr>
          <w:p w14:paraId="24572519" w14:textId="77777777" w:rsidR="000132CF" w:rsidRPr="00BC1578" w:rsidRDefault="000132CF" w:rsidP="00F0784D">
            <w:pPr>
              <w:keepNext/>
              <w:keepLines/>
              <w:rPr>
                <w:rFonts w:ascii="Arial Narrow" w:hAnsi="Arial Narrow"/>
                <w:color w:val="333333"/>
                <w:sz w:val="20"/>
                <w:szCs w:val="20"/>
              </w:rPr>
            </w:pPr>
            <w:r w:rsidRPr="00BC1578">
              <w:rPr>
                <w:rFonts w:ascii="Arial Narrow" w:hAnsi="Arial Narrow"/>
                <w:b/>
                <w:bCs/>
                <w:color w:val="333333"/>
                <w:sz w:val="20"/>
                <w:szCs w:val="20"/>
              </w:rPr>
              <w:t>Indication:</w:t>
            </w:r>
            <w:r w:rsidRPr="00BC1578">
              <w:rPr>
                <w:rFonts w:ascii="Arial Narrow" w:hAnsi="Arial Narrow"/>
                <w:color w:val="333333"/>
                <w:sz w:val="20"/>
                <w:szCs w:val="20"/>
              </w:rPr>
              <w:t xml:space="preserve"> Relapsed or Refractory Hodgkin Lymphoma</w:t>
            </w:r>
          </w:p>
        </w:tc>
      </w:tr>
      <w:tr w:rsidR="000132CF" w:rsidRPr="00BC1578" w14:paraId="2B208C53"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hideMark/>
          </w:tcPr>
          <w:p w14:paraId="5CEC9DCA" w14:textId="77777777" w:rsidR="000132CF" w:rsidRPr="00BC1578" w:rsidRDefault="000132CF" w:rsidP="00F0784D">
            <w:pPr>
              <w:keepNext/>
              <w:keepLines/>
              <w:jc w:val="center"/>
              <w:rPr>
                <w:rFonts w:ascii="Arial Narrow" w:hAnsi="Arial Narrow"/>
                <w:color w:val="333333"/>
                <w:sz w:val="20"/>
                <w:szCs w:val="20"/>
              </w:rPr>
            </w:pPr>
          </w:p>
        </w:tc>
        <w:tc>
          <w:tcPr>
            <w:tcW w:w="7796" w:type="dxa"/>
            <w:gridSpan w:val="4"/>
            <w:vAlign w:val="center"/>
            <w:hideMark/>
          </w:tcPr>
          <w:p w14:paraId="7C6E3628" w14:textId="77777777" w:rsidR="000132CF" w:rsidRPr="00BC1578" w:rsidRDefault="000132CF" w:rsidP="00F0784D">
            <w:pPr>
              <w:keepNext/>
              <w:keepLines/>
              <w:rPr>
                <w:rFonts w:ascii="Arial Narrow" w:hAnsi="Arial Narrow"/>
                <w:color w:val="333333"/>
                <w:sz w:val="20"/>
                <w:szCs w:val="20"/>
              </w:rPr>
            </w:pPr>
            <w:r w:rsidRPr="00BC1578">
              <w:rPr>
                <w:rFonts w:ascii="Arial Narrow" w:hAnsi="Arial Narrow"/>
                <w:b/>
                <w:bCs/>
                <w:color w:val="333333"/>
                <w:sz w:val="20"/>
                <w:szCs w:val="20"/>
              </w:rPr>
              <w:t>Treatment Phase:</w:t>
            </w:r>
            <w:r w:rsidRPr="00BC1578">
              <w:rPr>
                <w:rFonts w:ascii="Arial Narrow" w:hAnsi="Arial Narrow"/>
                <w:color w:val="333333"/>
                <w:sz w:val="20"/>
                <w:szCs w:val="20"/>
              </w:rPr>
              <w:t xml:space="preserve"> Continuing treatment</w:t>
            </w:r>
          </w:p>
        </w:tc>
      </w:tr>
      <w:tr w:rsidR="000132CF" w:rsidRPr="00BC1578" w14:paraId="54EE8EDD"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1AB4264B" w14:textId="4BEE4CCF" w:rsidR="000132CF" w:rsidRPr="00BC1578"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hideMark/>
          </w:tcPr>
          <w:p w14:paraId="0C2DD26E"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b/>
                <w:bCs/>
                <w:color w:val="333333"/>
                <w:sz w:val="20"/>
                <w:szCs w:val="20"/>
              </w:rPr>
              <w:t>Clinical criteria:</w:t>
            </w:r>
          </w:p>
        </w:tc>
      </w:tr>
      <w:tr w:rsidR="000132CF" w:rsidRPr="00BC1578" w14:paraId="5446B4C7"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5EEBAA5F" w14:textId="10057067" w:rsidR="000132CF" w:rsidRPr="00BC1578"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hideMark/>
          </w:tcPr>
          <w:p w14:paraId="11F3E28B" w14:textId="77777777" w:rsidR="000132CF" w:rsidRPr="00BC1578" w:rsidRDefault="000132CF" w:rsidP="00F0784D">
            <w:pPr>
              <w:keepNext/>
              <w:keepLines/>
              <w:rPr>
                <w:rFonts w:ascii="Arial Narrow" w:hAnsi="Arial Narrow"/>
                <w:color w:val="333333"/>
                <w:sz w:val="20"/>
                <w:szCs w:val="20"/>
              </w:rPr>
            </w:pPr>
            <w:r w:rsidRPr="00BC1578">
              <w:rPr>
                <w:rFonts w:ascii="Arial Narrow" w:hAnsi="Arial Narrow"/>
                <w:color w:val="333333"/>
                <w:sz w:val="20"/>
                <w:szCs w:val="20"/>
              </w:rPr>
              <w:t>Patient must not have undergone an autologous stem cell transplant (ASCT) for this condition</w:t>
            </w:r>
          </w:p>
        </w:tc>
      </w:tr>
      <w:tr w:rsidR="000132CF" w:rsidRPr="00BC1578" w14:paraId="1226905C"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14:paraId="37921EAB" w14:textId="77777777" w:rsidR="000132CF" w:rsidRPr="00BC1578" w:rsidRDefault="000132CF" w:rsidP="00F0784D">
            <w:pPr>
              <w:keepNext/>
              <w:keepLines/>
              <w:jc w:val="center"/>
              <w:rPr>
                <w:rFonts w:ascii="Arial Narrow" w:hAnsi="Arial Narrow"/>
                <w:color w:val="333333"/>
                <w:sz w:val="20"/>
                <w:szCs w:val="20"/>
              </w:rPr>
            </w:pPr>
          </w:p>
        </w:tc>
        <w:tc>
          <w:tcPr>
            <w:tcW w:w="7796" w:type="dxa"/>
            <w:gridSpan w:val="4"/>
            <w:vAlign w:val="center"/>
          </w:tcPr>
          <w:p w14:paraId="7BAF60EE"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b/>
                <w:bCs/>
                <w:color w:val="333333"/>
                <w:sz w:val="20"/>
                <w:szCs w:val="20"/>
              </w:rPr>
              <w:t>AND</w:t>
            </w:r>
          </w:p>
        </w:tc>
      </w:tr>
      <w:tr w:rsidR="000132CF" w:rsidRPr="00BC1578" w14:paraId="784EFA5E"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6C7CE3AC" w14:textId="3BB5D2AB" w:rsidR="000132CF" w:rsidRPr="00BC1578"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0E373DEA"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b/>
                <w:bCs/>
                <w:color w:val="333333"/>
                <w:sz w:val="20"/>
                <w:szCs w:val="20"/>
              </w:rPr>
              <w:t>Clinical criteria:</w:t>
            </w:r>
          </w:p>
        </w:tc>
      </w:tr>
      <w:tr w:rsidR="000132CF" w:rsidRPr="00BC1578" w14:paraId="1DC061A4"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08E7E97A" w14:textId="495FCD40" w:rsidR="000132CF" w:rsidRPr="00BC1578"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3F4B494" w14:textId="77777777" w:rsidR="000132CF" w:rsidRPr="00BC1578" w:rsidRDefault="000132CF" w:rsidP="00F0784D">
            <w:pPr>
              <w:keepNext/>
              <w:keepLines/>
              <w:rPr>
                <w:rFonts w:ascii="Arial Narrow" w:hAnsi="Arial Narrow"/>
                <w:color w:val="333333"/>
                <w:sz w:val="20"/>
                <w:szCs w:val="20"/>
              </w:rPr>
            </w:pPr>
            <w:r w:rsidRPr="00BC1578">
              <w:rPr>
                <w:rFonts w:ascii="Arial Narrow" w:hAnsi="Arial Narrow"/>
                <w:color w:val="333333"/>
                <w:sz w:val="20"/>
                <w:szCs w:val="20"/>
              </w:rPr>
              <w:t>Patient must not be suitable for ASCT for this condition; or</w:t>
            </w:r>
          </w:p>
        </w:tc>
      </w:tr>
      <w:tr w:rsidR="000132CF" w:rsidRPr="00BC1578" w14:paraId="7D1BC2A8"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786E9C2D" w14:textId="7B51F600" w:rsidR="000132CF" w:rsidRPr="00BC1578"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66A751D" w14:textId="77777777" w:rsidR="000132CF" w:rsidRPr="00BC1578" w:rsidRDefault="000132CF" w:rsidP="00F0784D">
            <w:pPr>
              <w:keepNext/>
              <w:keepLines/>
              <w:rPr>
                <w:rFonts w:ascii="Arial Narrow" w:hAnsi="Arial Narrow"/>
                <w:color w:val="333333"/>
                <w:sz w:val="20"/>
                <w:szCs w:val="20"/>
              </w:rPr>
            </w:pPr>
            <w:r w:rsidRPr="00BC1578">
              <w:rPr>
                <w:rFonts w:ascii="Arial Narrow" w:hAnsi="Arial Narrow"/>
                <w:color w:val="333333"/>
                <w:sz w:val="20"/>
                <w:szCs w:val="20"/>
              </w:rPr>
              <w:t>Patient must not be suitable for treatment with multi-agent chemotherapy for this condition</w:t>
            </w:r>
          </w:p>
        </w:tc>
      </w:tr>
      <w:tr w:rsidR="000132CF" w:rsidRPr="00BC1578" w14:paraId="64D06594"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2D07A12A" w14:textId="77777777" w:rsidR="000132CF" w:rsidRPr="00BC1578"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18BEA519"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b/>
                <w:bCs/>
                <w:color w:val="333333"/>
                <w:sz w:val="20"/>
                <w:szCs w:val="20"/>
              </w:rPr>
              <w:t>AND</w:t>
            </w:r>
          </w:p>
        </w:tc>
      </w:tr>
      <w:tr w:rsidR="000132CF" w:rsidRPr="00BC1578" w14:paraId="37F05ADE"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29D5D322" w14:textId="12575178" w:rsidR="000132CF" w:rsidRPr="00BC1578"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0B117634"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b/>
                <w:bCs/>
                <w:color w:val="333333"/>
                <w:sz w:val="20"/>
                <w:szCs w:val="20"/>
              </w:rPr>
              <w:t>Clinical criteria:</w:t>
            </w:r>
          </w:p>
        </w:tc>
      </w:tr>
      <w:tr w:rsidR="000132CF" w:rsidRPr="00BC1578" w14:paraId="7D8C3561"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1ADAD669" w14:textId="3ADD18A0" w:rsidR="000132CF" w:rsidRPr="00BC1578"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86032DD" w14:textId="77777777" w:rsidR="000132CF" w:rsidRPr="00BC1578" w:rsidRDefault="000132CF" w:rsidP="00F0784D">
            <w:pPr>
              <w:keepNext/>
              <w:keepLines/>
              <w:rPr>
                <w:rFonts w:ascii="Arial Narrow" w:hAnsi="Arial Narrow"/>
                <w:color w:val="333333"/>
                <w:sz w:val="20"/>
                <w:szCs w:val="20"/>
              </w:rPr>
            </w:pPr>
            <w:r w:rsidRPr="00BC1578">
              <w:rPr>
                <w:rFonts w:ascii="Arial Narrow" w:hAnsi="Arial Narrow"/>
                <w:color w:val="333333"/>
                <w:sz w:val="20"/>
                <w:szCs w:val="20"/>
              </w:rPr>
              <w:t>Patient must have previously received PBS-subsidised treatment with this drug for this condition</w:t>
            </w:r>
          </w:p>
        </w:tc>
      </w:tr>
      <w:tr w:rsidR="000132CF" w:rsidRPr="00BC1578" w14:paraId="34924A35"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06E8B610" w14:textId="77777777" w:rsidR="000132CF" w:rsidRPr="00BC1578"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89D45FA"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b/>
                <w:bCs/>
                <w:color w:val="333333"/>
                <w:sz w:val="20"/>
                <w:szCs w:val="20"/>
              </w:rPr>
              <w:t>AND</w:t>
            </w:r>
          </w:p>
        </w:tc>
      </w:tr>
      <w:tr w:rsidR="000132CF" w:rsidRPr="00BC1578" w14:paraId="1B521C70"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6B35AA8B" w14:textId="4F067629" w:rsidR="000132CF" w:rsidRPr="00BC1578"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04DC87CB"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b/>
                <w:bCs/>
                <w:color w:val="333333"/>
                <w:sz w:val="20"/>
                <w:szCs w:val="20"/>
              </w:rPr>
              <w:t>Clinical criteria:</w:t>
            </w:r>
          </w:p>
        </w:tc>
      </w:tr>
      <w:tr w:rsidR="000132CF" w:rsidRPr="00BC1578" w14:paraId="29E5F168"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3819B62D" w14:textId="45EFDA09" w:rsidR="000132CF" w:rsidRPr="00BC1578"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D6EACBF" w14:textId="77777777" w:rsidR="000132CF" w:rsidRPr="00BC1578" w:rsidRDefault="000132CF" w:rsidP="00F0784D">
            <w:pPr>
              <w:keepNext/>
              <w:keepLines/>
              <w:rPr>
                <w:rFonts w:ascii="Arial Narrow" w:hAnsi="Arial Narrow"/>
                <w:color w:val="333333"/>
                <w:sz w:val="20"/>
                <w:szCs w:val="20"/>
              </w:rPr>
            </w:pPr>
            <w:r w:rsidRPr="00BC1578">
              <w:rPr>
                <w:rFonts w:ascii="Arial Narrow" w:hAnsi="Arial Narrow"/>
                <w:color w:val="333333"/>
                <w:sz w:val="20"/>
                <w:szCs w:val="20"/>
              </w:rPr>
              <w:t>Patient must not have developed disease progression while receiving PBS-subsidised treatment with this drug for this condition</w:t>
            </w:r>
          </w:p>
        </w:tc>
      </w:tr>
      <w:tr w:rsidR="000132CF" w:rsidRPr="00BC1578" w14:paraId="7DDA5B8A"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756AEA56" w14:textId="77777777" w:rsidR="000132CF" w:rsidRPr="00BC1578"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1ACD0FE"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b/>
                <w:bCs/>
                <w:color w:val="333333"/>
                <w:sz w:val="20"/>
                <w:szCs w:val="20"/>
              </w:rPr>
              <w:t>AND</w:t>
            </w:r>
          </w:p>
        </w:tc>
      </w:tr>
      <w:tr w:rsidR="000132CF" w:rsidRPr="00BC1578" w14:paraId="3B25332E"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3CF6B0F9" w14:textId="1D8C6EA0" w:rsidR="000132CF" w:rsidRPr="00BC1578"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EF01367"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b/>
                <w:bCs/>
                <w:color w:val="333333"/>
                <w:sz w:val="20"/>
                <w:szCs w:val="20"/>
              </w:rPr>
              <w:t>Clinical criteria:</w:t>
            </w:r>
          </w:p>
        </w:tc>
      </w:tr>
      <w:tr w:rsidR="000132CF" w:rsidRPr="00BC1578" w14:paraId="6AA0F4CB"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1D29409B" w14:textId="2F7CC46C" w:rsidR="000132CF" w:rsidRPr="00BC1578" w:rsidRDefault="000132CF"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2A04C6E" w14:textId="77777777" w:rsidR="000132CF" w:rsidRPr="00BC1578" w:rsidRDefault="000132CF" w:rsidP="00F0784D">
            <w:pPr>
              <w:keepNext/>
              <w:keepLines/>
              <w:rPr>
                <w:rFonts w:ascii="Arial Narrow" w:hAnsi="Arial Narrow"/>
                <w:color w:val="333333"/>
                <w:sz w:val="20"/>
                <w:szCs w:val="20"/>
              </w:rPr>
            </w:pPr>
            <w:r w:rsidRPr="00BC1578">
              <w:rPr>
                <w:rFonts w:ascii="Arial Narrow" w:hAnsi="Arial Narrow"/>
                <w:color w:val="333333"/>
                <w:sz w:val="20"/>
                <w:szCs w:val="20"/>
              </w:rPr>
              <w:t>Patient must not receive more than 12 cycles of treatment under this restriction</w:t>
            </w:r>
          </w:p>
        </w:tc>
      </w:tr>
      <w:tr w:rsidR="000132CF" w:rsidRPr="00BC1578" w14:paraId="5044D8D2" w14:textId="77777777" w:rsidTr="00F0784D">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14:paraId="11AEB1F0" w14:textId="608823F9" w:rsidR="000132CF" w:rsidRPr="00346802" w:rsidRDefault="000132CF" w:rsidP="00F0784D">
            <w:pPr>
              <w:keepNext/>
              <w:keepLines/>
              <w:jc w:val="center"/>
              <w:rPr>
                <w:rFonts w:ascii="Arial Narrow" w:hAnsi="Arial Narrow"/>
                <w:strike/>
                <w:color w:val="333333"/>
                <w:sz w:val="20"/>
                <w:szCs w:val="20"/>
              </w:rPr>
            </w:pPr>
          </w:p>
          <w:p w14:paraId="3BDC11F9" w14:textId="61D8DEE6" w:rsidR="00346802" w:rsidRPr="00CE2F39" w:rsidRDefault="00346802" w:rsidP="00F0784D">
            <w:pPr>
              <w:keepNext/>
              <w:keepLines/>
              <w:jc w:val="center"/>
              <w:rPr>
                <w:rFonts w:ascii="Arial Narrow" w:hAnsi="Arial Narrow"/>
                <w:color w:val="333333"/>
                <w:sz w:val="20"/>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04AA4B76" w14:textId="77777777" w:rsidR="000132CF" w:rsidRPr="00BC1578" w:rsidRDefault="000132CF" w:rsidP="00F0784D">
            <w:pPr>
              <w:keepNext/>
              <w:keepLines/>
              <w:rPr>
                <w:rFonts w:ascii="Arial Narrow" w:hAnsi="Arial Narrow"/>
                <w:b/>
                <w:bCs/>
                <w:color w:val="333333"/>
                <w:sz w:val="20"/>
                <w:szCs w:val="20"/>
              </w:rPr>
            </w:pPr>
            <w:r w:rsidRPr="00BC1578">
              <w:rPr>
                <w:rFonts w:ascii="Arial Narrow" w:hAnsi="Arial Narrow"/>
                <w:b/>
                <w:bCs/>
                <w:color w:val="333333"/>
                <w:sz w:val="20"/>
                <w:szCs w:val="20"/>
              </w:rPr>
              <w:t>Prescribing Instructions:</w:t>
            </w:r>
          </w:p>
          <w:p w14:paraId="141DA4B8" w14:textId="49646FCB" w:rsidR="000132CF" w:rsidRPr="006B413A" w:rsidRDefault="000132CF" w:rsidP="00F0784D">
            <w:pPr>
              <w:keepNext/>
              <w:keepLines/>
              <w:rPr>
                <w:rFonts w:ascii="Arial Narrow" w:hAnsi="Arial Narrow"/>
                <w:color w:val="333333"/>
                <w:sz w:val="20"/>
                <w:szCs w:val="20"/>
              </w:rPr>
            </w:pPr>
            <w:r w:rsidRPr="00BC1578">
              <w:rPr>
                <w:rFonts w:ascii="Arial Narrow" w:hAnsi="Arial Narrow"/>
                <w:color w:val="333333"/>
                <w:sz w:val="20"/>
                <w:szCs w:val="20"/>
              </w:rPr>
              <w:t xml:space="preserve">The treatment must not exceed a total of 16 cycles </w:t>
            </w:r>
            <w:r w:rsidR="004A729A" w:rsidRPr="00D7093F">
              <w:rPr>
                <w:rFonts w:ascii="Arial Narrow" w:hAnsi="Arial Narrow"/>
                <w:i/>
                <w:iCs/>
                <w:color w:val="333333"/>
                <w:sz w:val="20"/>
                <w:szCs w:val="20"/>
              </w:rPr>
              <w:t>for this condition</w:t>
            </w:r>
            <w:r w:rsidR="004A729A">
              <w:rPr>
                <w:rFonts w:ascii="Arial Narrow" w:hAnsi="Arial Narrow"/>
                <w:color w:val="333333"/>
                <w:sz w:val="20"/>
                <w:szCs w:val="20"/>
              </w:rPr>
              <w:t xml:space="preserve"> </w:t>
            </w:r>
            <w:r w:rsidR="004A729A" w:rsidRPr="00D7093F">
              <w:rPr>
                <w:rFonts w:ascii="Arial Narrow" w:hAnsi="Arial Narrow"/>
                <w:strike/>
                <w:color w:val="333333"/>
                <w:sz w:val="20"/>
                <w:szCs w:val="20"/>
              </w:rPr>
              <w:t>of combined initial and continuing treatment</w:t>
            </w:r>
            <w:r w:rsidR="004A729A" w:rsidRPr="00BC1578">
              <w:rPr>
                <w:rFonts w:ascii="Arial Narrow" w:hAnsi="Arial Narrow"/>
                <w:color w:val="333333"/>
                <w:sz w:val="20"/>
                <w:szCs w:val="20"/>
              </w:rPr>
              <w:t xml:space="preserve"> </w:t>
            </w:r>
            <w:r w:rsidRPr="00BC1578">
              <w:rPr>
                <w:rFonts w:ascii="Arial Narrow" w:hAnsi="Arial Narrow"/>
                <w:color w:val="333333"/>
                <w:sz w:val="20"/>
                <w:szCs w:val="20"/>
              </w:rPr>
              <w:t>in a lifetime</w:t>
            </w:r>
            <w:r>
              <w:rPr>
                <w:rFonts w:ascii="Arial Narrow" w:hAnsi="Arial Narrow"/>
                <w:i/>
                <w:iCs/>
                <w:color w:val="333333"/>
                <w:sz w:val="20"/>
                <w:szCs w:val="20"/>
              </w:rPr>
              <w:t xml:space="preserve">. </w:t>
            </w:r>
          </w:p>
        </w:tc>
      </w:tr>
    </w:tbl>
    <w:p w14:paraId="17DF12A6" w14:textId="77777777" w:rsidR="00F003F4" w:rsidRDefault="00F003F4" w:rsidP="00F003F4"/>
    <w:p w14:paraId="329AC500" w14:textId="356DA15A" w:rsidR="00AF41AE" w:rsidRDefault="00B72EF0" w:rsidP="00B014BB">
      <w:pPr>
        <w:jc w:val="left"/>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799FC544" w14:textId="77777777" w:rsidR="00AF41AE" w:rsidRPr="00AF41AE" w:rsidRDefault="00AF41AE" w:rsidP="00AF41AE">
      <w:pPr>
        <w:keepNext/>
        <w:spacing w:before="240" w:after="120"/>
        <w:ind w:left="720" w:hanging="720"/>
        <w:jc w:val="left"/>
        <w:outlineLvl w:val="0"/>
        <w:rPr>
          <w:rFonts w:asciiTheme="minorHAnsi" w:hAnsiTheme="minorHAnsi"/>
          <w:b/>
          <w:bCs/>
          <w:snapToGrid w:val="0"/>
          <w:sz w:val="32"/>
          <w:szCs w:val="32"/>
          <w:lang w:val="en-GB"/>
        </w:rPr>
      </w:pPr>
      <w:r w:rsidRPr="00AF41AE">
        <w:rPr>
          <w:rFonts w:asciiTheme="minorHAnsi" w:hAnsiTheme="minorHAnsi"/>
          <w:b/>
          <w:snapToGrid w:val="0"/>
          <w:sz w:val="32"/>
          <w:szCs w:val="32"/>
        </w:rPr>
        <w:lastRenderedPageBreak/>
        <w:t>9</w:t>
      </w:r>
      <w:r w:rsidRPr="00AF41AE">
        <w:rPr>
          <w:rFonts w:asciiTheme="minorHAnsi" w:hAnsiTheme="minorHAnsi"/>
          <w:b/>
          <w:snapToGrid w:val="0"/>
          <w:sz w:val="32"/>
          <w:szCs w:val="32"/>
        </w:rPr>
        <w:tab/>
        <w:t>Context for Decision</w:t>
      </w:r>
    </w:p>
    <w:p w14:paraId="015FBE03" w14:textId="77777777" w:rsidR="00AF41AE" w:rsidRPr="00AF41AE" w:rsidRDefault="00AF41AE" w:rsidP="00AF41AE">
      <w:pPr>
        <w:spacing w:after="120"/>
        <w:ind w:left="720"/>
        <w:rPr>
          <w:rFonts w:asciiTheme="minorHAnsi" w:hAnsiTheme="minorHAnsi"/>
          <w:bCs/>
          <w:lang w:val="en-GB"/>
        </w:rPr>
      </w:pPr>
      <w:r w:rsidRPr="00AF41AE">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10939C1" w14:textId="77777777" w:rsidR="00AF41AE" w:rsidRPr="00AF41AE" w:rsidRDefault="00AF41AE" w:rsidP="00AF41AE">
      <w:pPr>
        <w:keepNext/>
        <w:spacing w:before="240" w:after="120"/>
        <w:ind w:left="720" w:hanging="720"/>
        <w:jc w:val="left"/>
        <w:outlineLvl w:val="0"/>
        <w:rPr>
          <w:rFonts w:asciiTheme="minorHAnsi" w:hAnsiTheme="minorHAnsi"/>
          <w:b/>
          <w:snapToGrid w:val="0"/>
          <w:sz w:val="32"/>
          <w:szCs w:val="32"/>
        </w:rPr>
      </w:pPr>
      <w:r w:rsidRPr="00AF41AE">
        <w:rPr>
          <w:rFonts w:asciiTheme="minorHAnsi" w:hAnsiTheme="minorHAnsi"/>
          <w:b/>
          <w:snapToGrid w:val="0"/>
          <w:sz w:val="32"/>
          <w:szCs w:val="32"/>
        </w:rPr>
        <w:t>10</w:t>
      </w:r>
      <w:r w:rsidRPr="00AF41AE">
        <w:rPr>
          <w:rFonts w:asciiTheme="minorHAnsi" w:hAnsiTheme="minorHAnsi"/>
          <w:b/>
          <w:snapToGrid w:val="0"/>
          <w:sz w:val="32"/>
          <w:szCs w:val="32"/>
        </w:rPr>
        <w:tab/>
        <w:t>Sponsor’s Comment</w:t>
      </w:r>
    </w:p>
    <w:p w14:paraId="21876FF2" w14:textId="77777777" w:rsidR="00AF41AE" w:rsidRPr="00AF41AE" w:rsidRDefault="00AF41AE" w:rsidP="00AF41AE">
      <w:pPr>
        <w:spacing w:after="120" w:line="276" w:lineRule="auto"/>
        <w:ind w:left="720"/>
        <w:rPr>
          <w:rFonts w:asciiTheme="minorHAnsi" w:eastAsiaTheme="minorHAnsi" w:hAnsiTheme="minorHAnsi"/>
          <w:bCs/>
          <w:szCs w:val="22"/>
          <w:lang w:eastAsia="en-US"/>
        </w:rPr>
      </w:pPr>
      <w:r w:rsidRPr="00AF41AE">
        <w:rPr>
          <w:rFonts w:asciiTheme="minorHAnsi" w:eastAsiaTheme="minorHAnsi" w:hAnsiTheme="minorHAnsi"/>
          <w:bCs/>
          <w:szCs w:val="22"/>
          <w:lang w:eastAsia="en-US"/>
        </w:rPr>
        <w:t>The sponsor had no comment.</w:t>
      </w:r>
    </w:p>
    <w:p w14:paraId="4A29B1CA" w14:textId="77777777" w:rsidR="00AF41AE" w:rsidRPr="007F66A7" w:rsidRDefault="00AF41AE" w:rsidP="00B014BB">
      <w:pPr>
        <w:jc w:val="left"/>
      </w:pPr>
    </w:p>
    <w:sectPr w:rsidR="00AF41AE" w:rsidRPr="007F66A7" w:rsidSect="00C26459">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FA0F" w14:textId="77777777" w:rsidR="00802771" w:rsidRPr="007F66A7" w:rsidRDefault="00802771" w:rsidP="00124A51">
      <w:r w:rsidRPr="007F66A7">
        <w:separator/>
      </w:r>
    </w:p>
    <w:p w14:paraId="1AD7DD6E" w14:textId="77777777" w:rsidR="00802771" w:rsidRPr="007F66A7" w:rsidRDefault="00802771"/>
    <w:p w14:paraId="66567F7A" w14:textId="77777777" w:rsidR="00802771" w:rsidRPr="007F66A7" w:rsidRDefault="00802771"/>
    <w:p w14:paraId="1F656634" w14:textId="77777777" w:rsidR="00802771" w:rsidRPr="007F66A7" w:rsidRDefault="00802771"/>
  </w:endnote>
  <w:endnote w:type="continuationSeparator" w:id="0">
    <w:p w14:paraId="1E4A88DA" w14:textId="77777777" w:rsidR="00802771" w:rsidRPr="007F66A7" w:rsidRDefault="00802771" w:rsidP="00124A51">
      <w:r w:rsidRPr="007F66A7">
        <w:continuationSeparator/>
      </w:r>
    </w:p>
    <w:p w14:paraId="2C70C6D3" w14:textId="77777777" w:rsidR="00802771" w:rsidRPr="007F66A7" w:rsidRDefault="00802771"/>
    <w:p w14:paraId="7D8845E5" w14:textId="77777777" w:rsidR="00802771" w:rsidRPr="007F66A7" w:rsidRDefault="00802771"/>
    <w:p w14:paraId="6FEE59B3" w14:textId="77777777" w:rsidR="00802771" w:rsidRPr="007F66A7" w:rsidRDefault="00802771"/>
  </w:endnote>
  <w:endnote w:type="continuationNotice" w:id="1">
    <w:p w14:paraId="211A43CE" w14:textId="77777777" w:rsidR="00802771" w:rsidRPr="007F66A7" w:rsidRDefault="00802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E63C" w14:textId="6105D0EB" w:rsidR="00AD1F23" w:rsidRDefault="005F0050">
    <w:pPr>
      <w:pStyle w:val="Footer"/>
    </w:pPr>
    <w:r>
      <w:rPr>
        <w:noProof/>
      </w:rPr>
      <mc:AlternateContent>
        <mc:Choice Requires="wps">
          <w:drawing>
            <wp:anchor distT="0" distB="0" distL="0" distR="0" simplePos="0" relativeHeight="251663365" behindDoc="0" locked="0" layoutInCell="1" allowOverlap="1" wp14:anchorId="372CBCC9" wp14:editId="10563292">
              <wp:simplePos x="635" y="635"/>
              <wp:positionH relativeFrom="page">
                <wp:align>center</wp:align>
              </wp:positionH>
              <wp:positionV relativeFrom="page">
                <wp:align>bottom</wp:align>
              </wp:positionV>
              <wp:extent cx="551815" cy="376555"/>
              <wp:effectExtent l="0" t="0" r="635" b="0"/>
              <wp:wrapNone/>
              <wp:docPr id="14803297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663609" w14:textId="6D33DC45" w:rsidR="005F0050" w:rsidRPr="005F0050" w:rsidRDefault="005F0050" w:rsidP="005F0050">
                          <w:pPr>
                            <w:rPr>
                              <w:rFonts w:eastAsia="Calibri" w:cs="Calibri"/>
                              <w:noProof/>
                              <w:color w:val="FF0000"/>
                            </w:rPr>
                          </w:pPr>
                          <w:r w:rsidRPr="005F005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2CBCC9"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5663609" w14:textId="6D33DC45" w:rsidR="005F0050" w:rsidRPr="005F0050" w:rsidRDefault="005F0050" w:rsidP="005F0050">
                    <w:pPr>
                      <w:rPr>
                        <w:rFonts w:eastAsia="Calibri" w:cs="Calibri"/>
                        <w:noProof/>
                        <w:color w:val="FF0000"/>
                      </w:rPr>
                    </w:pPr>
                    <w:r w:rsidRPr="005F0050">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D106" w14:textId="5C59A9F8" w:rsidR="00636462" w:rsidRDefault="005F0050" w:rsidP="00312240">
    <w:pPr>
      <w:pStyle w:val="Footer"/>
      <w:jc w:val="center"/>
    </w:pPr>
    <w:r>
      <w:rPr>
        <w:noProof/>
      </w:rPr>
      <mc:AlternateContent>
        <mc:Choice Requires="wps">
          <w:drawing>
            <wp:anchor distT="0" distB="0" distL="0" distR="0" simplePos="0" relativeHeight="251664389" behindDoc="0" locked="0" layoutInCell="1" allowOverlap="1" wp14:anchorId="76DA7F42" wp14:editId="0F783ECB">
              <wp:simplePos x="635" y="635"/>
              <wp:positionH relativeFrom="page">
                <wp:align>center</wp:align>
              </wp:positionH>
              <wp:positionV relativeFrom="page">
                <wp:align>bottom</wp:align>
              </wp:positionV>
              <wp:extent cx="551815" cy="376555"/>
              <wp:effectExtent l="0" t="0" r="635" b="0"/>
              <wp:wrapNone/>
              <wp:docPr id="4402740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11A6F2" w14:textId="523E5CB1" w:rsidR="005F0050" w:rsidRPr="005F0050" w:rsidRDefault="005F0050" w:rsidP="005F0050">
                          <w:pPr>
                            <w:rPr>
                              <w:rFonts w:eastAsia="Calibri" w:cs="Calibri"/>
                              <w:noProof/>
                              <w:color w:val="FF0000"/>
                            </w:rPr>
                          </w:pPr>
                          <w:r w:rsidRPr="005F005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A7F42"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A11A6F2" w14:textId="523E5CB1" w:rsidR="005F0050" w:rsidRPr="005F0050" w:rsidRDefault="005F0050" w:rsidP="005F0050">
                    <w:pPr>
                      <w:rPr>
                        <w:rFonts w:eastAsia="Calibri" w:cs="Calibri"/>
                        <w:noProof/>
                        <w:color w:val="FF0000"/>
                      </w:rPr>
                    </w:pPr>
                    <w:r w:rsidRPr="005F0050">
                      <w:rPr>
                        <w:rFonts w:eastAsia="Calibri" w:cs="Calibri"/>
                        <w:noProof/>
                        <w:color w:val="FF0000"/>
                      </w:rPr>
                      <w:t>OFFICIAL</w:t>
                    </w:r>
                  </w:p>
                </w:txbxContent>
              </v:textbox>
              <w10:wrap anchorx="page" anchory="page"/>
            </v:shape>
          </w:pict>
        </mc:Fallback>
      </mc:AlternateContent>
    </w:r>
  </w:p>
  <w:sdt>
    <w:sdtPr>
      <w:id w:val="885530588"/>
      <w:docPartObj>
        <w:docPartGallery w:val="Page Numbers (Bottom of Page)"/>
        <w:docPartUnique/>
      </w:docPartObj>
    </w:sdtPr>
    <w:sdtContent>
      <w:p w14:paraId="5FF3A75B" w14:textId="77777777" w:rsidR="00DF2487" w:rsidRPr="007F66A7" w:rsidRDefault="00DF2487" w:rsidP="00312240">
        <w:pPr>
          <w:pStyle w:val="Footer"/>
          <w:jc w:val="center"/>
        </w:pPr>
      </w:p>
      <w:p w14:paraId="7078BB1E" w14:textId="713CA0B6" w:rsidR="00B9197D" w:rsidRPr="007F66A7" w:rsidRDefault="00312240" w:rsidP="00312240">
        <w:pPr>
          <w:pStyle w:val="Footer"/>
          <w:jc w:val="center"/>
        </w:pPr>
        <w:r w:rsidRPr="007F66A7">
          <w:fldChar w:fldCharType="begin"/>
        </w:r>
        <w:r w:rsidRPr="007F66A7">
          <w:instrText xml:space="preserve"> PAGE   \* MERGEFORMAT </w:instrText>
        </w:r>
        <w:r w:rsidRPr="007F66A7">
          <w:fldChar w:fldCharType="separate"/>
        </w:r>
        <w:r w:rsidRPr="007F66A7">
          <w:t>1</w:t>
        </w:r>
        <w:r w:rsidRPr="007F66A7">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8064" w14:textId="7E63BD8E" w:rsidR="00AD1F23" w:rsidRDefault="005F0050">
    <w:pPr>
      <w:pStyle w:val="Footer"/>
    </w:pPr>
    <w:r>
      <w:rPr>
        <w:noProof/>
      </w:rPr>
      <mc:AlternateContent>
        <mc:Choice Requires="wps">
          <w:drawing>
            <wp:anchor distT="0" distB="0" distL="0" distR="0" simplePos="0" relativeHeight="251662341" behindDoc="0" locked="0" layoutInCell="1" allowOverlap="1" wp14:anchorId="536BF043" wp14:editId="661FC04A">
              <wp:simplePos x="635" y="635"/>
              <wp:positionH relativeFrom="page">
                <wp:align>center</wp:align>
              </wp:positionH>
              <wp:positionV relativeFrom="page">
                <wp:align>bottom</wp:align>
              </wp:positionV>
              <wp:extent cx="551815" cy="376555"/>
              <wp:effectExtent l="0" t="0" r="635" b="0"/>
              <wp:wrapNone/>
              <wp:docPr id="6018630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22D83E" w14:textId="22CE8E47" w:rsidR="005F0050" w:rsidRPr="005F0050" w:rsidRDefault="005F0050" w:rsidP="005F0050">
                          <w:pPr>
                            <w:rPr>
                              <w:rFonts w:eastAsia="Calibri" w:cs="Calibri"/>
                              <w:noProof/>
                              <w:color w:val="FF0000"/>
                            </w:rPr>
                          </w:pPr>
                          <w:r w:rsidRPr="005F005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BF043"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B22D83E" w14:textId="22CE8E47" w:rsidR="005F0050" w:rsidRPr="005F0050" w:rsidRDefault="005F0050" w:rsidP="005F0050">
                    <w:pPr>
                      <w:rPr>
                        <w:rFonts w:eastAsia="Calibri" w:cs="Calibri"/>
                        <w:noProof/>
                        <w:color w:val="FF0000"/>
                      </w:rPr>
                    </w:pPr>
                    <w:r w:rsidRPr="005F0050">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F42D" w14:textId="77777777" w:rsidR="00802771" w:rsidRPr="007F66A7" w:rsidRDefault="00802771" w:rsidP="00124A51">
      <w:r w:rsidRPr="007F66A7">
        <w:separator/>
      </w:r>
    </w:p>
    <w:p w14:paraId="47883AC3" w14:textId="77777777" w:rsidR="00802771" w:rsidRPr="007F66A7" w:rsidRDefault="00802771"/>
    <w:p w14:paraId="50433191" w14:textId="77777777" w:rsidR="00802771" w:rsidRPr="007F66A7" w:rsidRDefault="00802771"/>
    <w:p w14:paraId="3CD162A4" w14:textId="77777777" w:rsidR="00802771" w:rsidRPr="007F66A7" w:rsidRDefault="00802771"/>
  </w:footnote>
  <w:footnote w:type="continuationSeparator" w:id="0">
    <w:p w14:paraId="76D4C5DF" w14:textId="77777777" w:rsidR="00802771" w:rsidRPr="007F66A7" w:rsidRDefault="00802771" w:rsidP="00124A51">
      <w:r w:rsidRPr="007F66A7">
        <w:continuationSeparator/>
      </w:r>
    </w:p>
    <w:p w14:paraId="5BB7F638" w14:textId="77777777" w:rsidR="00802771" w:rsidRPr="007F66A7" w:rsidRDefault="00802771"/>
    <w:p w14:paraId="3B6DA613" w14:textId="77777777" w:rsidR="00802771" w:rsidRPr="007F66A7" w:rsidRDefault="00802771"/>
    <w:p w14:paraId="7888F7AC" w14:textId="77777777" w:rsidR="00802771" w:rsidRPr="007F66A7" w:rsidRDefault="00802771"/>
  </w:footnote>
  <w:footnote w:type="continuationNotice" w:id="1">
    <w:p w14:paraId="436C5B5C" w14:textId="77777777" w:rsidR="00802771" w:rsidRPr="007F66A7" w:rsidRDefault="00802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5B74" w14:textId="66BF1327" w:rsidR="00AD1F23" w:rsidRDefault="005F0050">
    <w:pPr>
      <w:pStyle w:val="Header"/>
    </w:pPr>
    <w:r>
      <w:rPr>
        <w:noProof/>
      </w:rPr>
      <mc:AlternateContent>
        <mc:Choice Requires="wps">
          <w:drawing>
            <wp:anchor distT="0" distB="0" distL="0" distR="0" simplePos="0" relativeHeight="251660293" behindDoc="0" locked="0" layoutInCell="1" allowOverlap="1" wp14:anchorId="4B4EB5A1" wp14:editId="66E95842">
              <wp:simplePos x="635" y="635"/>
              <wp:positionH relativeFrom="page">
                <wp:align>center</wp:align>
              </wp:positionH>
              <wp:positionV relativeFrom="page">
                <wp:align>top</wp:align>
              </wp:positionV>
              <wp:extent cx="551815" cy="376555"/>
              <wp:effectExtent l="0" t="0" r="635" b="4445"/>
              <wp:wrapNone/>
              <wp:docPr id="4098786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112BAE" w14:textId="56C57618" w:rsidR="005F0050" w:rsidRPr="005F0050" w:rsidRDefault="005F0050" w:rsidP="005F0050">
                          <w:pPr>
                            <w:rPr>
                              <w:rFonts w:eastAsia="Calibri" w:cs="Calibri"/>
                              <w:noProof/>
                              <w:color w:val="FF0000"/>
                            </w:rPr>
                          </w:pPr>
                          <w:r w:rsidRPr="005F005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4EB5A1"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3D112BAE" w14:textId="56C57618" w:rsidR="005F0050" w:rsidRPr="005F0050" w:rsidRDefault="005F0050" w:rsidP="005F0050">
                    <w:pPr>
                      <w:rPr>
                        <w:rFonts w:eastAsia="Calibri" w:cs="Calibri"/>
                        <w:noProof/>
                        <w:color w:val="FF0000"/>
                      </w:rPr>
                    </w:pPr>
                    <w:r w:rsidRPr="005F0050">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D280" w14:textId="0FA4CDD7" w:rsidR="00B9197D" w:rsidRPr="007F66A7" w:rsidRDefault="005F0050" w:rsidP="00B9197D">
    <w:pPr>
      <w:pStyle w:val="Header"/>
      <w:rPr>
        <w:i w:val="0"/>
        <w:iCs w:val="0"/>
      </w:rPr>
    </w:pPr>
    <w:r>
      <w:rPr>
        <w:noProof/>
      </w:rPr>
      <mc:AlternateContent>
        <mc:Choice Requires="wps">
          <w:drawing>
            <wp:anchor distT="0" distB="0" distL="0" distR="0" simplePos="0" relativeHeight="251661317" behindDoc="0" locked="0" layoutInCell="1" allowOverlap="1" wp14:anchorId="407967BA" wp14:editId="0E537566">
              <wp:simplePos x="635" y="635"/>
              <wp:positionH relativeFrom="page">
                <wp:align>center</wp:align>
              </wp:positionH>
              <wp:positionV relativeFrom="page">
                <wp:align>top</wp:align>
              </wp:positionV>
              <wp:extent cx="551815" cy="376555"/>
              <wp:effectExtent l="0" t="0" r="635" b="4445"/>
              <wp:wrapNone/>
              <wp:docPr id="2213951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1EE646" w14:textId="5C74C306" w:rsidR="005F0050" w:rsidRPr="005F0050" w:rsidRDefault="005F0050" w:rsidP="005F0050">
                          <w:pPr>
                            <w:rPr>
                              <w:rFonts w:eastAsia="Calibri" w:cs="Calibri"/>
                              <w:noProof/>
                              <w:color w:val="FF0000"/>
                            </w:rPr>
                          </w:pPr>
                          <w:r w:rsidRPr="005F005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7967BA"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201EE646" w14:textId="5C74C306" w:rsidR="005F0050" w:rsidRPr="005F0050" w:rsidRDefault="005F0050" w:rsidP="005F0050">
                    <w:pPr>
                      <w:rPr>
                        <w:rFonts w:eastAsia="Calibri" w:cs="Calibri"/>
                        <w:noProof/>
                        <w:color w:val="FF0000"/>
                      </w:rPr>
                    </w:pPr>
                    <w:r w:rsidRPr="005F0050">
                      <w:rPr>
                        <w:rFonts w:eastAsia="Calibri" w:cs="Calibri"/>
                        <w:noProof/>
                        <w:color w:val="FF0000"/>
                      </w:rPr>
                      <w:t>OFFICIAL</w:t>
                    </w:r>
                  </w:p>
                </w:txbxContent>
              </v:textbox>
              <w10:wrap anchorx="page" anchory="page"/>
            </v:shape>
          </w:pict>
        </mc:Fallback>
      </mc:AlternateContent>
    </w:r>
    <w:r w:rsidR="00636462">
      <w:t>Public Summary Document</w:t>
    </w:r>
    <w:r w:rsidR="007F66A7">
      <w:t xml:space="preserve"> - </w:t>
    </w:r>
    <w:r w:rsidR="009E56FF" w:rsidRPr="007F66A7">
      <w:t>July</w:t>
    </w:r>
    <w:r w:rsidR="00B9197D" w:rsidRPr="007F66A7">
      <w:t xml:space="preserve"> 2025 PBAC meeting </w:t>
    </w:r>
  </w:p>
  <w:p w14:paraId="7A332299" w14:textId="77777777" w:rsidR="00DF2487" w:rsidRPr="007F66A7" w:rsidRDefault="00DF2487" w:rsidP="00B9197D">
    <w:pPr>
      <w:pStyle w:val="Header"/>
      <w:rPr>
        <w:i w:val="0"/>
        <w:i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8F7F" w14:textId="1DE107C6" w:rsidR="00AD1F23" w:rsidRDefault="005F0050">
    <w:pPr>
      <w:pStyle w:val="Header"/>
    </w:pPr>
    <w:r>
      <w:rPr>
        <w:noProof/>
      </w:rPr>
      <mc:AlternateContent>
        <mc:Choice Requires="wps">
          <w:drawing>
            <wp:anchor distT="0" distB="0" distL="0" distR="0" simplePos="0" relativeHeight="251659269" behindDoc="0" locked="0" layoutInCell="1" allowOverlap="1" wp14:anchorId="5CF3F1AC" wp14:editId="03260393">
              <wp:simplePos x="635" y="635"/>
              <wp:positionH relativeFrom="page">
                <wp:align>center</wp:align>
              </wp:positionH>
              <wp:positionV relativeFrom="page">
                <wp:align>top</wp:align>
              </wp:positionV>
              <wp:extent cx="551815" cy="376555"/>
              <wp:effectExtent l="0" t="0" r="635" b="4445"/>
              <wp:wrapNone/>
              <wp:docPr id="52981913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AC7FED" w14:textId="09B4734E" w:rsidR="005F0050" w:rsidRPr="005F0050" w:rsidRDefault="005F0050" w:rsidP="005F0050">
                          <w:pPr>
                            <w:rPr>
                              <w:rFonts w:eastAsia="Calibri" w:cs="Calibri"/>
                              <w:noProof/>
                              <w:color w:val="FF0000"/>
                            </w:rPr>
                          </w:pPr>
                          <w:r w:rsidRPr="005F005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3F1AC"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9AC7FED" w14:textId="09B4734E" w:rsidR="005F0050" w:rsidRPr="005F0050" w:rsidRDefault="005F0050" w:rsidP="005F0050">
                    <w:pPr>
                      <w:rPr>
                        <w:rFonts w:eastAsia="Calibri" w:cs="Calibri"/>
                        <w:noProof/>
                        <w:color w:val="FF0000"/>
                      </w:rPr>
                    </w:pPr>
                    <w:r w:rsidRPr="005F0050">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701794"/>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C779E0"/>
    <w:multiLevelType w:val="hybridMultilevel"/>
    <w:tmpl w:val="AE40401C"/>
    <w:lvl w:ilvl="0" w:tplc="39B08632">
      <w:numFmt w:val="bullet"/>
      <w:lvlText w:val="•"/>
      <w:lvlJc w:val="left"/>
      <w:pPr>
        <w:ind w:left="1440" w:hanging="72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52345AE"/>
    <w:multiLevelType w:val="hybridMultilevel"/>
    <w:tmpl w:val="AD820652"/>
    <w:lvl w:ilvl="0" w:tplc="FFFFFFFF">
      <w:start w:val="1"/>
      <w:numFmt w:val="bullet"/>
      <w:lvlText w:val=""/>
      <w:lvlJc w:val="left"/>
      <w:pPr>
        <w:ind w:left="720" w:hanging="360"/>
      </w:pPr>
      <w:rPr>
        <w:rFonts w:ascii="Symbol" w:hAnsi="Symbol" w:hint="default"/>
      </w:rPr>
    </w:lvl>
    <w:lvl w:ilvl="1" w:tplc="848C7E78">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D050A1"/>
    <w:multiLevelType w:val="hybridMultilevel"/>
    <w:tmpl w:val="ED0EE9D0"/>
    <w:lvl w:ilvl="0" w:tplc="FFFFFFFF">
      <w:start w:val="1"/>
      <w:numFmt w:val="bullet"/>
      <w:lvlText w:val=""/>
      <w:lvlJc w:val="left"/>
      <w:pPr>
        <w:ind w:left="720" w:hanging="360"/>
      </w:pPr>
      <w:rPr>
        <w:rFonts w:ascii="Symbol" w:hAnsi="Symbol" w:hint="default"/>
        <w:color w:val="auto"/>
      </w:rPr>
    </w:lvl>
    <w:lvl w:ilvl="1" w:tplc="839A33AC">
      <w:numFmt w:val="bullet"/>
      <w:lvlText w:val="-"/>
      <w:lvlJc w:val="left"/>
      <w:pPr>
        <w:ind w:left="1440" w:hanging="360"/>
      </w:pPr>
      <w:rPr>
        <w:rFonts w:ascii="Arial Narrow" w:eastAsiaTheme="majorEastAsia" w:hAnsi="Arial Narrow" w:cstheme="maj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B30783"/>
    <w:multiLevelType w:val="hybridMultilevel"/>
    <w:tmpl w:val="A8EE2B5C"/>
    <w:lvl w:ilvl="0" w:tplc="DB526DA6">
      <w:start w:val="1"/>
      <w:numFmt w:val="bullet"/>
      <w:lvlText w:val=""/>
      <w:lvlJc w:val="left"/>
      <w:pPr>
        <w:ind w:left="1160" w:hanging="360"/>
      </w:pPr>
      <w:rPr>
        <w:rFonts w:ascii="Symbol" w:hAnsi="Symbol"/>
      </w:rPr>
    </w:lvl>
    <w:lvl w:ilvl="1" w:tplc="E214DF48">
      <w:start w:val="1"/>
      <w:numFmt w:val="bullet"/>
      <w:lvlText w:val=""/>
      <w:lvlJc w:val="left"/>
      <w:pPr>
        <w:ind w:left="1160" w:hanging="360"/>
      </w:pPr>
      <w:rPr>
        <w:rFonts w:ascii="Symbol" w:hAnsi="Symbol"/>
      </w:rPr>
    </w:lvl>
    <w:lvl w:ilvl="2" w:tplc="5552C71E">
      <w:start w:val="1"/>
      <w:numFmt w:val="bullet"/>
      <w:lvlText w:val=""/>
      <w:lvlJc w:val="left"/>
      <w:pPr>
        <w:ind w:left="1160" w:hanging="360"/>
      </w:pPr>
      <w:rPr>
        <w:rFonts w:ascii="Symbol" w:hAnsi="Symbol"/>
      </w:rPr>
    </w:lvl>
    <w:lvl w:ilvl="3" w:tplc="6FE6494C">
      <w:start w:val="1"/>
      <w:numFmt w:val="bullet"/>
      <w:lvlText w:val=""/>
      <w:lvlJc w:val="left"/>
      <w:pPr>
        <w:ind w:left="1160" w:hanging="360"/>
      </w:pPr>
      <w:rPr>
        <w:rFonts w:ascii="Symbol" w:hAnsi="Symbol"/>
      </w:rPr>
    </w:lvl>
    <w:lvl w:ilvl="4" w:tplc="5254B516">
      <w:start w:val="1"/>
      <w:numFmt w:val="bullet"/>
      <w:lvlText w:val=""/>
      <w:lvlJc w:val="left"/>
      <w:pPr>
        <w:ind w:left="1160" w:hanging="360"/>
      </w:pPr>
      <w:rPr>
        <w:rFonts w:ascii="Symbol" w:hAnsi="Symbol"/>
      </w:rPr>
    </w:lvl>
    <w:lvl w:ilvl="5" w:tplc="9B6AC70E">
      <w:start w:val="1"/>
      <w:numFmt w:val="bullet"/>
      <w:lvlText w:val=""/>
      <w:lvlJc w:val="left"/>
      <w:pPr>
        <w:ind w:left="1160" w:hanging="360"/>
      </w:pPr>
      <w:rPr>
        <w:rFonts w:ascii="Symbol" w:hAnsi="Symbol"/>
      </w:rPr>
    </w:lvl>
    <w:lvl w:ilvl="6" w:tplc="1DA6E60A">
      <w:start w:val="1"/>
      <w:numFmt w:val="bullet"/>
      <w:lvlText w:val=""/>
      <w:lvlJc w:val="left"/>
      <w:pPr>
        <w:ind w:left="1160" w:hanging="360"/>
      </w:pPr>
      <w:rPr>
        <w:rFonts w:ascii="Symbol" w:hAnsi="Symbol"/>
      </w:rPr>
    </w:lvl>
    <w:lvl w:ilvl="7" w:tplc="9640C0F2">
      <w:start w:val="1"/>
      <w:numFmt w:val="bullet"/>
      <w:lvlText w:val=""/>
      <w:lvlJc w:val="left"/>
      <w:pPr>
        <w:ind w:left="1160" w:hanging="360"/>
      </w:pPr>
      <w:rPr>
        <w:rFonts w:ascii="Symbol" w:hAnsi="Symbol"/>
      </w:rPr>
    </w:lvl>
    <w:lvl w:ilvl="8" w:tplc="90BE4A54">
      <w:start w:val="1"/>
      <w:numFmt w:val="bullet"/>
      <w:lvlText w:val=""/>
      <w:lvlJc w:val="left"/>
      <w:pPr>
        <w:ind w:left="1160" w:hanging="360"/>
      </w:pPr>
      <w:rPr>
        <w:rFonts w:ascii="Symbol" w:hAnsi="Symbol"/>
      </w:rPr>
    </w:lvl>
  </w:abstractNum>
  <w:abstractNum w:abstractNumId="8" w15:restartNumberingAfterBreak="0">
    <w:nsid w:val="19BB6203"/>
    <w:multiLevelType w:val="hybridMultilevel"/>
    <w:tmpl w:val="AC943A54"/>
    <w:lvl w:ilvl="0" w:tplc="FFFFFFFF">
      <w:start w:val="1"/>
      <w:numFmt w:val="bullet"/>
      <w:lvlText w:val=""/>
      <w:lvlJc w:val="left"/>
      <w:pPr>
        <w:ind w:left="720" w:hanging="360"/>
      </w:pPr>
      <w:rPr>
        <w:rFonts w:ascii="Symbol" w:hAnsi="Symbol" w:hint="default"/>
      </w:rPr>
    </w:lvl>
    <w:lvl w:ilvl="1" w:tplc="848C7E78">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B219F8"/>
    <w:multiLevelType w:val="hybridMultilevel"/>
    <w:tmpl w:val="430A27AA"/>
    <w:lvl w:ilvl="0" w:tplc="F75ADE42">
      <w:start w:val="1"/>
      <w:numFmt w:val="bullet"/>
      <w:pStyle w:val="COMexecsummmainissuesbullets"/>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4F012F"/>
    <w:multiLevelType w:val="hybridMultilevel"/>
    <w:tmpl w:val="5A5630C0"/>
    <w:lvl w:ilvl="0" w:tplc="0C09000F">
      <w:start w:val="1"/>
      <w:numFmt w:val="decimal"/>
      <w:lvlText w:val="%1."/>
      <w:lvlJc w:val="left"/>
      <w:pPr>
        <w:ind w:left="6" w:hanging="360"/>
      </w:pPr>
      <w:rPr>
        <w:rFonts w:hint="default"/>
      </w:rPr>
    </w:lvl>
    <w:lvl w:ilvl="1" w:tplc="0C090019">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AF60BC"/>
    <w:multiLevelType w:val="hybridMultilevel"/>
    <w:tmpl w:val="8FAC2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551E42"/>
    <w:multiLevelType w:val="hybridMultilevel"/>
    <w:tmpl w:val="EB2C9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FD29BE"/>
    <w:multiLevelType w:val="hybridMultilevel"/>
    <w:tmpl w:val="0BC4B55A"/>
    <w:lvl w:ilvl="0" w:tplc="ED0EF242">
      <w:start w:val="1"/>
      <w:numFmt w:val="bullet"/>
      <w:lvlText w:val=""/>
      <w:lvlJc w:val="left"/>
      <w:pPr>
        <w:ind w:left="1160" w:hanging="360"/>
      </w:pPr>
      <w:rPr>
        <w:rFonts w:ascii="Symbol" w:hAnsi="Symbol"/>
      </w:rPr>
    </w:lvl>
    <w:lvl w:ilvl="1" w:tplc="6A62880E">
      <w:start w:val="1"/>
      <w:numFmt w:val="bullet"/>
      <w:lvlText w:val=""/>
      <w:lvlJc w:val="left"/>
      <w:pPr>
        <w:ind w:left="1160" w:hanging="360"/>
      </w:pPr>
      <w:rPr>
        <w:rFonts w:ascii="Symbol" w:hAnsi="Symbol"/>
      </w:rPr>
    </w:lvl>
    <w:lvl w:ilvl="2" w:tplc="2878F0C4">
      <w:start w:val="1"/>
      <w:numFmt w:val="bullet"/>
      <w:lvlText w:val=""/>
      <w:lvlJc w:val="left"/>
      <w:pPr>
        <w:ind w:left="1160" w:hanging="360"/>
      </w:pPr>
      <w:rPr>
        <w:rFonts w:ascii="Symbol" w:hAnsi="Symbol"/>
      </w:rPr>
    </w:lvl>
    <w:lvl w:ilvl="3" w:tplc="17268E24">
      <w:start w:val="1"/>
      <w:numFmt w:val="bullet"/>
      <w:lvlText w:val=""/>
      <w:lvlJc w:val="left"/>
      <w:pPr>
        <w:ind w:left="1160" w:hanging="360"/>
      </w:pPr>
      <w:rPr>
        <w:rFonts w:ascii="Symbol" w:hAnsi="Symbol"/>
      </w:rPr>
    </w:lvl>
    <w:lvl w:ilvl="4" w:tplc="6C22AD1A">
      <w:start w:val="1"/>
      <w:numFmt w:val="bullet"/>
      <w:lvlText w:val=""/>
      <w:lvlJc w:val="left"/>
      <w:pPr>
        <w:ind w:left="1160" w:hanging="360"/>
      </w:pPr>
      <w:rPr>
        <w:rFonts w:ascii="Symbol" w:hAnsi="Symbol"/>
      </w:rPr>
    </w:lvl>
    <w:lvl w:ilvl="5" w:tplc="6F1C2044">
      <w:start w:val="1"/>
      <w:numFmt w:val="bullet"/>
      <w:lvlText w:val=""/>
      <w:lvlJc w:val="left"/>
      <w:pPr>
        <w:ind w:left="1160" w:hanging="360"/>
      </w:pPr>
      <w:rPr>
        <w:rFonts w:ascii="Symbol" w:hAnsi="Symbol"/>
      </w:rPr>
    </w:lvl>
    <w:lvl w:ilvl="6" w:tplc="444A171A">
      <w:start w:val="1"/>
      <w:numFmt w:val="bullet"/>
      <w:lvlText w:val=""/>
      <w:lvlJc w:val="left"/>
      <w:pPr>
        <w:ind w:left="1160" w:hanging="360"/>
      </w:pPr>
      <w:rPr>
        <w:rFonts w:ascii="Symbol" w:hAnsi="Symbol"/>
      </w:rPr>
    </w:lvl>
    <w:lvl w:ilvl="7" w:tplc="829AC154">
      <w:start w:val="1"/>
      <w:numFmt w:val="bullet"/>
      <w:lvlText w:val=""/>
      <w:lvlJc w:val="left"/>
      <w:pPr>
        <w:ind w:left="1160" w:hanging="360"/>
      </w:pPr>
      <w:rPr>
        <w:rFonts w:ascii="Symbol" w:hAnsi="Symbol"/>
      </w:rPr>
    </w:lvl>
    <w:lvl w:ilvl="8" w:tplc="54E67DC6">
      <w:start w:val="1"/>
      <w:numFmt w:val="bullet"/>
      <w:lvlText w:val=""/>
      <w:lvlJc w:val="left"/>
      <w:pPr>
        <w:ind w:left="1160" w:hanging="360"/>
      </w:pPr>
      <w:rPr>
        <w:rFonts w:ascii="Symbol" w:hAnsi="Symbol"/>
      </w:rPr>
    </w:lvl>
  </w:abstractNum>
  <w:abstractNum w:abstractNumId="17"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02056"/>
    <w:multiLevelType w:val="hybridMultilevel"/>
    <w:tmpl w:val="98C2CB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B9E59B4"/>
    <w:multiLevelType w:val="hybridMultilevel"/>
    <w:tmpl w:val="5088C6D4"/>
    <w:lvl w:ilvl="0" w:tplc="6D7EEA00">
      <w:start w:val="1"/>
      <w:numFmt w:val="bullet"/>
      <w:lvlText w:val=""/>
      <w:lvlJc w:val="left"/>
      <w:pPr>
        <w:ind w:left="720" w:hanging="360"/>
      </w:pPr>
      <w:rPr>
        <w:rFonts w:ascii="Symbol" w:hAnsi="Symbol"/>
      </w:rPr>
    </w:lvl>
    <w:lvl w:ilvl="1" w:tplc="C330A880">
      <w:start w:val="1"/>
      <w:numFmt w:val="bullet"/>
      <w:lvlText w:val=""/>
      <w:lvlJc w:val="left"/>
      <w:pPr>
        <w:ind w:left="720" w:hanging="360"/>
      </w:pPr>
      <w:rPr>
        <w:rFonts w:ascii="Symbol" w:hAnsi="Symbol"/>
      </w:rPr>
    </w:lvl>
    <w:lvl w:ilvl="2" w:tplc="ACA4B892">
      <w:start w:val="1"/>
      <w:numFmt w:val="bullet"/>
      <w:lvlText w:val=""/>
      <w:lvlJc w:val="left"/>
      <w:pPr>
        <w:ind w:left="720" w:hanging="360"/>
      </w:pPr>
      <w:rPr>
        <w:rFonts w:ascii="Symbol" w:hAnsi="Symbol"/>
      </w:rPr>
    </w:lvl>
    <w:lvl w:ilvl="3" w:tplc="6F3A8674">
      <w:start w:val="1"/>
      <w:numFmt w:val="bullet"/>
      <w:lvlText w:val=""/>
      <w:lvlJc w:val="left"/>
      <w:pPr>
        <w:ind w:left="720" w:hanging="360"/>
      </w:pPr>
      <w:rPr>
        <w:rFonts w:ascii="Symbol" w:hAnsi="Symbol"/>
      </w:rPr>
    </w:lvl>
    <w:lvl w:ilvl="4" w:tplc="72A20D00">
      <w:start w:val="1"/>
      <w:numFmt w:val="bullet"/>
      <w:lvlText w:val=""/>
      <w:lvlJc w:val="left"/>
      <w:pPr>
        <w:ind w:left="720" w:hanging="360"/>
      </w:pPr>
      <w:rPr>
        <w:rFonts w:ascii="Symbol" w:hAnsi="Symbol"/>
      </w:rPr>
    </w:lvl>
    <w:lvl w:ilvl="5" w:tplc="2AAC8596">
      <w:start w:val="1"/>
      <w:numFmt w:val="bullet"/>
      <w:lvlText w:val=""/>
      <w:lvlJc w:val="left"/>
      <w:pPr>
        <w:ind w:left="720" w:hanging="360"/>
      </w:pPr>
      <w:rPr>
        <w:rFonts w:ascii="Symbol" w:hAnsi="Symbol"/>
      </w:rPr>
    </w:lvl>
    <w:lvl w:ilvl="6" w:tplc="5BD68F68">
      <w:start w:val="1"/>
      <w:numFmt w:val="bullet"/>
      <w:lvlText w:val=""/>
      <w:lvlJc w:val="left"/>
      <w:pPr>
        <w:ind w:left="720" w:hanging="360"/>
      </w:pPr>
      <w:rPr>
        <w:rFonts w:ascii="Symbol" w:hAnsi="Symbol"/>
      </w:rPr>
    </w:lvl>
    <w:lvl w:ilvl="7" w:tplc="0B1A3C78">
      <w:start w:val="1"/>
      <w:numFmt w:val="bullet"/>
      <w:lvlText w:val=""/>
      <w:lvlJc w:val="left"/>
      <w:pPr>
        <w:ind w:left="720" w:hanging="360"/>
      </w:pPr>
      <w:rPr>
        <w:rFonts w:ascii="Symbol" w:hAnsi="Symbol"/>
      </w:rPr>
    </w:lvl>
    <w:lvl w:ilvl="8" w:tplc="1D7EAA88">
      <w:start w:val="1"/>
      <w:numFmt w:val="bullet"/>
      <w:lvlText w:val=""/>
      <w:lvlJc w:val="left"/>
      <w:pPr>
        <w:ind w:left="720" w:hanging="360"/>
      </w:pPr>
      <w:rPr>
        <w:rFonts w:ascii="Symbol" w:hAnsi="Symbol"/>
      </w:rPr>
    </w:lvl>
  </w:abstractNum>
  <w:abstractNum w:abstractNumId="20" w15:restartNumberingAfterBreak="0">
    <w:nsid w:val="3DAE0A9E"/>
    <w:multiLevelType w:val="hybridMultilevel"/>
    <w:tmpl w:val="F544EC14"/>
    <w:lvl w:ilvl="0" w:tplc="3B4C255A">
      <w:start w:val="1"/>
      <w:numFmt w:val="bullet"/>
      <w:lvlText w:val=""/>
      <w:lvlJc w:val="left"/>
      <w:pPr>
        <w:ind w:left="720" w:hanging="360"/>
      </w:pPr>
      <w:rPr>
        <w:rFonts w:ascii="Symbol" w:hAnsi="Symbol"/>
      </w:rPr>
    </w:lvl>
    <w:lvl w:ilvl="1" w:tplc="53C08572">
      <w:start w:val="1"/>
      <w:numFmt w:val="bullet"/>
      <w:lvlText w:val=""/>
      <w:lvlJc w:val="left"/>
      <w:pPr>
        <w:ind w:left="720" w:hanging="360"/>
      </w:pPr>
      <w:rPr>
        <w:rFonts w:ascii="Symbol" w:hAnsi="Symbol"/>
      </w:rPr>
    </w:lvl>
    <w:lvl w:ilvl="2" w:tplc="F1B686AC">
      <w:start w:val="1"/>
      <w:numFmt w:val="bullet"/>
      <w:lvlText w:val=""/>
      <w:lvlJc w:val="left"/>
      <w:pPr>
        <w:ind w:left="720" w:hanging="360"/>
      </w:pPr>
      <w:rPr>
        <w:rFonts w:ascii="Symbol" w:hAnsi="Symbol"/>
      </w:rPr>
    </w:lvl>
    <w:lvl w:ilvl="3" w:tplc="18CE0E36">
      <w:start w:val="1"/>
      <w:numFmt w:val="bullet"/>
      <w:lvlText w:val=""/>
      <w:lvlJc w:val="left"/>
      <w:pPr>
        <w:ind w:left="720" w:hanging="360"/>
      </w:pPr>
      <w:rPr>
        <w:rFonts w:ascii="Symbol" w:hAnsi="Symbol"/>
      </w:rPr>
    </w:lvl>
    <w:lvl w:ilvl="4" w:tplc="B4769432">
      <w:start w:val="1"/>
      <w:numFmt w:val="bullet"/>
      <w:lvlText w:val=""/>
      <w:lvlJc w:val="left"/>
      <w:pPr>
        <w:ind w:left="720" w:hanging="360"/>
      </w:pPr>
      <w:rPr>
        <w:rFonts w:ascii="Symbol" w:hAnsi="Symbol"/>
      </w:rPr>
    </w:lvl>
    <w:lvl w:ilvl="5" w:tplc="B27CDA5A">
      <w:start w:val="1"/>
      <w:numFmt w:val="bullet"/>
      <w:lvlText w:val=""/>
      <w:lvlJc w:val="left"/>
      <w:pPr>
        <w:ind w:left="720" w:hanging="360"/>
      </w:pPr>
      <w:rPr>
        <w:rFonts w:ascii="Symbol" w:hAnsi="Symbol"/>
      </w:rPr>
    </w:lvl>
    <w:lvl w:ilvl="6" w:tplc="2F24E968">
      <w:start w:val="1"/>
      <w:numFmt w:val="bullet"/>
      <w:lvlText w:val=""/>
      <w:lvlJc w:val="left"/>
      <w:pPr>
        <w:ind w:left="720" w:hanging="360"/>
      </w:pPr>
      <w:rPr>
        <w:rFonts w:ascii="Symbol" w:hAnsi="Symbol"/>
      </w:rPr>
    </w:lvl>
    <w:lvl w:ilvl="7" w:tplc="CDA61614">
      <w:start w:val="1"/>
      <w:numFmt w:val="bullet"/>
      <w:lvlText w:val=""/>
      <w:lvlJc w:val="left"/>
      <w:pPr>
        <w:ind w:left="720" w:hanging="360"/>
      </w:pPr>
      <w:rPr>
        <w:rFonts w:ascii="Symbol" w:hAnsi="Symbol"/>
      </w:rPr>
    </w:lvl>
    <w:lvl w:ilvl="8" w:tplc="6C2C6098">
      <w:start w:val="1"/>
      <w:numFmt w:val="bullet"/>
      <w:lvlText w:val=""/>
      <w:lvlJc w:val="left"/>
      <w:pPr>
        <w:ind w:left="720" w:hanging="360"/>
      </w:pPr>
      <w:rPr>
        <w:rFonts w:ascii="Symbol" w:hAnsi="Symbol"/>
      </w:rPr>
    </w:lvl>
  </w:abstractNum>
  <w:abstractNum w:abstractNumId="21" w15:restartNumberingAfterBreak="0">
    <w:nsid w:val="3E266C93"/>
    <w:multiLevelType w:val="hybridMultilevel"/>
    <w:tmpl w:val="189EB6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1A2767"/>
    <w:multiLevelType w:val="hybridMultilevel"/>
    <w:tmpl w:val="32B481BE"/>
    <w:lvl w:ilvl="0" w:tplc="0C090013">
      <w:start w:val="1"/>
      <w:numFmt w:val="upperRoman"/>
      <w:lvlText w:val="%1."/>
      <w:lvlJc w:val="right"/>
      <w:pPr>
        <w:ind w:left="1080" w:hanging="360"/>
      </w:pPr>
      <w:rPr>
        <w:i/>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58D67A6"/>
    <w:multiLevelType w:val="hybridMultilevel"/>
    <w:tmpl w:val="FAB8EED8"/>
    <w:lvl w:ilvl="0" w:tplc="8708BE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832EB"/>
    <w:multiLevelType w:val="hybridMultilevel"/>
    <w:tmpl w:val="3C700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051F14"/>
    <w:multiLevelType w:val="hybridMultilevel"/>
    <w:tmpl w:val="CB8C2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551AC0"/>
    <w:multiLevelType w:val="hybridMultilevel"/>
    <w:tmpl w:val="DA2C6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FF4353"/>
    <w:multiLevelType w:val="hybridMultilevel"/>
    <w:tmpl w:val="0AB89A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FE12387"/>
    <w:multiLevelType w:val="hybridMultilevel"/>
    <w:tmpl w:val="EE2241CA"/>
    <w:lvl w:ilvl="0" w:tplc="FFFFFFFF">
      <w:start w:val="1"/>
      <w:numFmt w:val="bullet"/>
      <w:lvlText w:val=""/>
      <w:lvlJc w:val="left"/>
      <w:pPr>
        <w:ind w:left="720" w:hanging="360"/>
      </w:pPr>
      <w:rPr>
        <w:rFonts w:ascii="Symbol" w:hAnsi="Symbol" w:hint="default"/>
      </w:rPr>
    </w:lvl>
    <w:lvl w:ilvl="1" w:tplc="848C7E78">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713059"/>
    <w:multiLevelType w:val="hybridMultilevel"/>
    <w:tmpl w:val="F836FB3E"/>
    <w:lvl w:ilvl="0" w:tplc="16725AD6">
      <w:start w:val="1"/>
      <w:numFmt w:val="bullet"/>
      <w:lvlText w:val=""/>
      <w:lvlJc w:val="left"/>
      <w:pPr>
        <w:ind w:left="720" w:hanging="360"/>
      </w:pPr>
      <w:rPr>
        <w:rFonts w:ascii="Symbol" w:hAnsi="Symbol"/>
      </w:rPr>
    </w:lvl>
    <w:lvl w:ilvl="1" w:tplc="2BA49F38">
      <w:start w:val="1"/>
      <w:numFmt w:val="bullet"/>
      <w:lvlText w:val=""/>
      <w:lvlJc w:val="left"/>
      <w:pPr>
        <w:ind w:left="720" w:hanging="360"/>
      </w:pPr>
      <w:rPr>
        <w:rFonts w:ascii="Symbol" w:hAnsi="Symbol"/>
      </w:rPr>
    </w:lvl>
    <w:lvl w:ilvl="2" w:tplc="BEA07006">
      <w:start w:val="1"/>
      <w:numFmt w:val="bullet"/>
      <w:lvlText w:val=""/>
      <w:lvlJc w:val="left"/>
      <w:pPr>
        <w:ind w:left="720" w:hanging="360"/>
      </w:pPr>
      <w:rPr>
        <w:rFonts w:ascii="Symbol" w:hAnsi="Symbol"/>
      </w:rPr>
    </w:lvl>
    <w:lvl w:ilvl="3" w:tplc="08447CD6">
      <w:start w:val="1"/>
      <w:numFmt w:val="bullet"/>
      <w:lvlText w:val=""/>
      <w:lvlJc w:val="left"/>
      <w:pPr>
        <w:ind w:left="720" w:hanging="360"/>
      </w:pPr>
      <w:rPr>
        <w:rFonts w:ascii="Symbol" w:hAnsi="Symbol"/>
      </w:rPr>
    </w:lvl>
    <w:lvl w:ilvl="4" w:tplc="B486F1CA">
      <w:start w:val="1"/>
      <w:numFmt w:val="bullet"/>
      <w:lvlText w:val=""/>
      <w:lvlJc w:val="left"/>
      <w:pPr>
        <w:ind w:left="720" w:hanging="360"/>
      </w:pPr>
      <w:rPr>
        <w:rFonts w:ascii="Symbol" w:hAnsi="Symbol"/>
      </w:rPr>
    </w:lvl>
    <w:lvl w:ilvl="5" w:tplc="7E806B84">
      <w:start w:val="1"/>
      <w:numFmt w:val="bullet"/>
      <w:lvlText w:val=""/>
      <w:lvlJc w:val="left"/>
      <w:pPr>
        <w:ind w:left="720" w:hanging="360"/>
      </w:pPr>
      <w:rPr>
        <w:rFonts w:ascii="Symbol" w:hAnsi="Symbol"/>
      </w:rPr>
    </w:lvl>
    <w:lvl w:ilvl="6" w:tplc="0E541908">
      <w:start w:val="1"/>
      <w:numFmt w:val="bullet"/>
      <w:lvlText w:val=""/>
      <w:lvlJc w:val="left"/>
      <w:pPr>
        <w:ind w:left="720" w:hanging="360"/>
      </w:pPr>
      <w:rPr>
        <w:rFonts w:ascii="Symbol" w:hAnsi="Symbol"/>
      </w:rPr>
    </w:lvl>
    <w:lvl w:ilvl="7" w:tplc="B0BCABB6">
      <w:start w:val="1"/>
      <w:numFmt w:val="bullet"/>
      <w:lvlText w:val=""/>
      <w:lvlJc w:val="left"/>
      <w:pPr>
        <w:ind w:left="720" w:hanging="360"/>
      </w:pPr>
      <w:rPr>
        <w:rFonts w:ascii="Symbol" w:hAnsi="Symbol"/>
      </w:rPr>
    </w:lvl>
    <w:lvl w:ilvl="8" w:tplc="1548B764">
      <w:start w:val="1"/>
      <w:numFmt w:val="bullet"/>
      <w:lvlText w:val=""/>
      <w:lvlJc w:val="left"/>
      <w:pPr>
        <w:ind w:left="720" w:hanging="360"/>
      </w:pPr>
      <w:rPr>
        <w:rFonts w:ascii="Symbol" w:hAnsi="Symbol"/>
      </w:rPr>
    </w:lvl>
  </w:abstractNum>
  <w:abstractNum w:abstractNumId="3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EE53B0"/>
    <w:multiLevelType w:val="hybridMultilevel"/>
    <w:tmpl w:val="8A044C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E0B0939"/>
    <w:multiLevelType w:val="hybridMultilevel"/>
    <w:tmpl w:val="E4E4B430"/>
    <w:lvl w:ilvl="0" w:tplc="2AC405F2">
      <w:start w:val="1"/>
      <w:numFmt w:val="bullet"/>
      <w:lvlText w:val=""/>
      <w:lvlJc w:val="left"/>
      <w:pPr>
        <w:ind w:left="1160" w:hanging="360"/>
      </w:pPr>
      <w:rPr>
        <w:rFonts w:ascii="Symbol" w:hAnsi="Symbol"/>
      </w:rPr>
    </w:lvl>
    <w:lvl w:ilvl="1" w:tplc="6A3636D2">
      <w:start w:val="1"/>
      <w:numFmt w:val="bullet"/>
      <w:lvlText w:val=""/>
      <w:lvlJc w:val="left"/>
      <w:pPr>
        <w:ind w:left="1160" w:hanging="360"/>
      </w:pPr>
      <w:rPr>
        <w:rFonts w:ascii="Symbol" w:hAnsi="Symbol"/>
      </w:rPr>
    </w:lvl>
    <w:lvl w:ilvl="2" w:tplc="A42A6D0A">
      <w:start w:val="1"/>
      <w:numFmt w:val="bullet"/>
      <w:lvlText w:val=""/>
      <w:lvlJc w:val="left"/>
      <w:pPr>
        <w:ind w:left="1160" w:hanging="360"/>
      </w:pPr>
      <w:rPr>
        <w:rFonts w:ascii="Symbol" w:hAnsi="Symbol"/>
      </w:rPr>
    </w:lvl>
    <w:lvl w:ilvl="3" w:tplc="AB68326E">
      <w:start w:val="1"/>
      <w:numFmt w:val="bullet"/>
      <w:lvlText w:val=""/>
      <w:lvlJc w:val="left"/>
      <w:pPr>
        <w:ind w:left="1160" w:hanging="360"/>
      </w:pPr>
      <w:rPr>
        <w:rFonts w:ascii="Symbol" w:hAnsi="Symbol"/>
      </w:rPr>
    </w:lvl>
    <w:lvl w:ilvl="4" w:tplc="32207956">
      <w:start w:val="1"/>
      <w:numFmt w:val="bullet"/>
      <w:lvlText w:val=""/>
      <w:lvlJc w:val="left"/>
      <w:pPr>
        <w:ind w:left="1160" w:hanging="360"/>
      </w:pPr>
      <w:rPr>
        <w:rFonts w:ascii="Symbol" w:hAnsi="Symbol"/>
      </w:rPr>
    </w:lvl>
    <w:lvl w:ilvl="5" w:tplc="55807D30">
      <w:start w:val="1"/>
      <w:numFmt w:val="bullet"/>
      <w:lvlText w:val=""/>
      <w:lvlJc w:val="left"/>
      <w:pPr>
        <w:ind w:left="1160" w:hanging="360"/>
      </w:pPr>
      <w:rPr>
        <w:rFonts w:ascii="Symbol" w:hAnsi="Symbol"/>
      </w:rPr>
    </w:lvl>
    <w:lvl w:ilvl="6" w:tplc="39CC9354">
      <w:start w:val="1"/>
      <w:numFmt w:val="bullet"/>
      <w:lvlText w:val=""/>
      <w:lvlJc w:val="left"/>
      <w:pPr>
        <w:ind w:left="1160" w:hanging="360"/>
      </w:pPr>
      <w:rPr>
        <w:rFonts w:ascii="Symbol" w:hAnsi="Symbol"/>
      </w:rPr>
    </w:lvl>
    <w:lvl w:ilvl="7" w:tplc="79122AF2">
      <w:start w:val="1"/>
      <w:numFmt w:val="bullet"/>
      <w:lvlText w:val=""/>
      <w:lvlJc w:val="left"/>
      <w:pPr>
        <w:ind w:left="1160" w:hanging="360"/>
      </w:pPr>
      <w:rPr>
        <w:rFonts w:ascii="Symbol" w:hAnsi="Symbol"/>
      </w:rPr>
    </w:lvl>
    <w:lvl w:ilvl="8" w:tplc="EDE89AEC">
      <w:start w:val="1"/>
      <w:numFmt w:val="bullet"/>
      <w:lvlText w:val=""/>
      <w:lvlJc w:val="left"/>
      <w:pPr>
        <w:ind w:left="1160" w:hanging="360"/>
      </w:pPr>
      <w:rPr>
        <w:rFonts w:ascii="Symbol" w:hAnsi="Symbol"/>
      </w:rPr>
    </w:lvl>
  </w:abstractNum>
  <w:abstractNum w:abstractNumId="3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6AE603B"/>
    <w:multiLevelType w:val="hybridMultilevel"/>
    <w:tmpl w:val="F21CDB68"/>
    <w:lvl w:ilvl="0" w:tplc="AB72B98E">
      <w:start w:val="1"/>
      <w:numFmt w:val="bullet"/>
      <w:lvlText w:val=""/>
      <w:lvlJc w:val="left"/>
      <w:pPr>
        <w:ind w:left="720" w:hanging="360"/>
      </w:pPr>
      <w:rPr>
        <w:rFonts w:ascii="Symbol" w:hAnsi="Symbol"/>
      </w:rPr>
    </w:lvl>
    <w:lvl w:ilvl="1" w:tplc="F588F5AC">
      <w:start w:val="1"/>
      <w:numFmt w:val="bullet"/>
      <w:lvlText w:val=""/>
      <w:lvlJc w:val="left"/>
      <w:pPr>
        <w:ind w:left="720" w:hanging="360"/>
      </w:pPr>
      <w:rPr>
        <w:rFonts w:ascii="Symbol" w:hAnsi="Symbol"/>
      </w:rPr>
    </w:lvl>
    <w:lvl w:ilvl="2" w:tplc="72A82BE8">
      <w:start w:val="1"/>
      <w:numFmt w:val="bullet"/>
      <w:lvlText w:val=""/>
      <w:lvlJc w:val="left"/>
      <w:pPr>
        <w:ind w:left="720" w:hanging="360"/>
      </w:pPr>
      <w:rPr>
        <w:rFonts w:ascii="Symbol" w:hAnsi="Symbol"/>
      </w:rPr>
    </w:lvl>
    <w:lvl w:ilvl="3" w:tplc="CE6A4494">
      <w:start w:val="1"/>
      <w:numFmt w:val="bullet"/>
      <w:lvlText w:val=""/>
      <w:lvlJc w:val="left"/>
      <w:pPr>
        <w:ind w:left="720" w:hanging="360"/>
      </w:pPr>
      <w:rPr>
        <w:rFonts w:ascii="Symbol" w:hAnsi="Symbol"/>
      </w:rPr>
    </w:lvl>
    <w:lvl w:ilvl="4" w:tplc="64684932">
      <w:start w:val="1"/>
      <w:numFmt w:val="bullet"/>
      <w:lvlText w:val=""/>
      <w:lvlJc w:val="left"/>
      <w:pPr>
        <w:ind w:left="720" w:hanging="360"/>
      </w:pPr>
      <w:rPr>
        <w:rFonts w:ascii="Symbol" w:hAnsi="Symbol"/>
      </w:rPr>
    </w:lvl>
    <w:lvl w:ilvl="5" w:tplc="97CE238E">
      <w:start w:val="1"/>
      <w:numFmt w:val="bullet"/>
      <w:lvlText w:val=""/>
      <w:lvlJc w:val="left"/>
      <w:pPr>
        <w:ind w:left="720" w:hanging="360"/>
      </w:pPr>
      <w:rPr>
        <w:rFonts w:ascii="Symbol" w:hAnsi="Symbol"/>
      </w:rPr>
    </w:lvl>
    <w:lvl w:ilvl="6" w:tplc="85CC7072">
      <w:start w:val="1"/>
      <w:numFmt w:val="bullet"/>
      <w:lvlText w:val=""/>
      <w:lvlJc w:val="left"/>
      <w:pPr>
        <w:ind w:left="720" w:hanging="360"/>
      </w:pPr>
      <w:rPr>
        <w:rFonts w:ascii="Symbol" w:hAnsi="Symbol"/>
      </w:rPr>
    </w:lvl>
    <w:lvl w:ilvl="7" w:tplc="479E0992">
      <w:start w:val="1"/>
      <w:numFmt w:val="bullet"/>
      <w:lvlText w:val=""/>
      <w:lvlJc w:val="left"/>
      <w:pPr>
        <w:ind w:left="720" w:hanging="360"/>
      </w:pPr>
      <w:rPr>
        <w:rFonts w:ascii="Symbol" w:hAnsi="Symbol"/>
      </w:rPr>
    </w:lvl>
    <w:lvl w:ilvl="8" w:tplc="AA4A7C7C">
      <w:start w:val="1"/>
      <w:numFmt w:val="bullet"/>
      <w:lvlText w:val=""/>
      <w:lvlJc w:val="left"/>
      <w:pPr>
        <w:ind w:left="720" w:hanging="360"/>
      </w:pPr>
      <w:rPr>
        <w:rFonts w:ascii="Symbol" w:hAnsi="Symbol"/>
      </w:rPr>
    </w:lvl>
  </w:abstractNum>
  <w:abstractNum w:abstractNumId="37" w15:restartNumberingAfterBreak="0">
    <w:nsid w:val="6AD6619B"/>
    <w:multiLevelType w:val="hybridMultilevel"/>
    <w:tmpl w:val="93DCD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107041"/>
    <w:multiLevelType w:val="hybridMultilevel"/>
    <w:tmpl w:val="7236039E"/>
    <w:lvl w:ilvl="0" w:tplc="013EEA68">
      <w:start w:val="1"/>
      <w:numFmt w:val="bullet"/>
      <w:lvlText w:val=""/>
      <w:lvlJc w:val="left"/>
      <w:pPr>
        <w:ind w:left="720" w:hanging="360"/>
      </w:pPr>
      <w:rPr>
        <w:rFonts w:ascii="Symbol" w:hAnsi="Symbol"/>
      </w:rPr>
    </w:lvl>
    <w:lvl w:ilvl="1" w:tplc="275C4DEE">
      <w:start w:val="1"/>
      <w:numFmt w:val="bullet"/>
      <w:lvlText w:val=""/>
      <w:lvlJc w:val="left"/>
      <w:pPr>
        <w:ind w:left="720" w:hanging="360"/>
      </w:pPr>
      <w:rPr>
        <w:rFonts w:ascii="Symbol" w:hAnsi="Symbol"/>
      </w:rPr>
    </w:lvl>
    <w:lvl w:ilvl="2" w:tplc="0142B14E">
      <w:start w:val="1"/>
      <w:numFmt w:val="bullet"/>
      <w:lvlText w:val=""/>
      <w:lvlJc w:val="left"/>
      <w:pPr>
        <w:ind w:left="720" w:hanging="360"/>
      </w:pPr>
      <w:rPr>
        <w:rFonts w:ascii="Symbol" w:hAnsi="Symbol"/>
      </w:rPr>
    </w:lvl>
    <w:lvl w:ilvl="3" w:tplc="9E827FBE">
      <w:start w:val="1"/>
      <w:numFmt w:val="bullet"/>
      <w:lvlText w:val=""/>
      <w:lvlJc w:val="left"/>
      <w:pPr>
        <w:ind w:left="720" w:hanging="360"/>
      </w:pPr>
      <w:rPr>
        <w:rFonts w:ascii="Symbol" w:hAnsi="Symbol"/>
      </w:rPr>
    </w:lvl>
    <w:lvl w:ilvl="4" w:tplc="2BBACB48">
      <w:start w:val="1"/>
      <w:numFmt w:val="bullet"/>
      <w:lvlText w:val=""/>
      <w:lvlJc w:val="left"/>
      <w:pPr>
        <w:ind w:left="720" w:hanging="360"/>
      </w:pPr>
      <w:rPr>
        <w:rFonts w:ascii="Symbol" w:hAnsi="Symbol"/>
      </w:rPr>
    </w:lvl>
    <w:lvl w:ilvl="5" w:tplc="2BBADC5A">
      <w:start w:val="1"/>
      <w:numFmt w:val="bullet"/>
      <w:lvlText w:val=""/>
      <w:lvlJc w:val="left"/>
      <w:pPr>
        <w:ind w:left="720" w:hanging="360"/>
      </w:pPr>
      <w:rPr>
        <w:rFonts w:ascii="Symbol" w:hAnsi="Symbol"/>
      </w:rPr>
    </w:lvl>
    <w:lvl w:ilvl="6" w:tplc="11F67F24">
      <w:start w:val="1"/>
      <w:numFmt w:val="bullet"/>
      <w:lvlText w:val=""/>
      <w:lvlJc w:val="left"/>
      <w:pPr>
        <w:ind w:left="720" w:hanging="360"/>
      </w:pPr>
      <w:rPr>
        <w:rFonts w:ascii="Symbol" w:hAnsi="Symbol"/>
      </w:rPr>
    </w:lvl>
    <w:lvl w:ilvl="7" w:tplc="E8DA99F2">
      <w:start w:val="1"/>
      <w:numFmt w:val="bullet"/>
      <w:lvlText w:val=""/>
      <w:lvlJc w:val="left"/>
      <w:pPr>
        <w:ind w:left="720" w:hanging="360"/>
      </w:pPr>
      <w:rPr>
        <w:rFonts w:ascii="Symbol" w:hAnsi="Symbol"/>
      </w:rPr>
    </w:lvl>
    <w:lvl w:ilvl="8" w:tplc="60E498C0">
      <w:start w:val="1"/>
      <w:numFmt w:val="bullet"/>
      <w:lvlText w:val=""/>
      <w:lvlJc w:val="left"/>
      <w:pPr>
        <w:ind w:left="720" w:hanging="360"/>
      </w:pPr>
      <w:rPr>
        <w:rFonts w:ascii="Symbol" w:hAnsi="Symbol"/>
      </w:rPr>
    </w:lvl>
  </w:abstractNum>
  <w:abstractNum w:abstractNumId="4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866C28"/>
    <w:multiLevelType w:val="hybridMultilevel"/>
    <w:tmpl w:val="0520FBFC"/>
    <w:lvl w:ilvl="0" w:tplc="9020B5BE">
      <w:start w:val="1"/>
      <w:numFmt w:val="bullet"/>
      <w:lvlText w:val=""/>
      <w:lvlJc w:val="left"/>
      <w:pPr>
        <w:ind w:left="720" w:hanging="360"/>
      </w:pPr>
      <w:rPr>
        <w:rFonts w:ascii="Symbol" w:hAnsi="Symbol"/>
      </w:rPr>
    </w:lvl>
    <w:lvl w:ilvl="1" w:tplc="D18EDC26">
      <w:start w:val="1"/>
      <w:numFmt w:val="bullet"/>
      <w:lvlText w:val=""/>
      <w:lvlJc w:val="left"/>
      <w:pPr>
        <w:ind w:left="720" w:hanging="360"/>
      </w:pPr>
      <w:rPr>
        <w:rFonts w:ascii="Symbol" w:hAnsi="Symbol"/>
      </w:rPr>
    </w:lvl>
    <w:lvl w:ilvl="2" w:tplc="244CBB16">
      <w:start w:val="1"/>
      <w:numFmt w:val="bullet"/>
      <w:lvlText w:val=""/>
      <w:lvlJc w:val="left"/>
      <w:pPr>
        <w:ind w:left="720" w:hanging="360"/>
      </w:pPr>
      <w:rPr>
        <w:rFonts w:ascii="Symbol" w:hAnsi="Symbol"/>
      </w:rPr>
    </w:lvl>
    <w:lvl w:ilvl="3" w:tplc="DFFECCDE">
      <w:start w:val="1"/>
      <w:numFmt w:val="bullet"/>
      <w:lvlText w:val=""/>
      <w:lvlJc w:val="left"/>
      <w:pPr>
        <w:ind w:left="720" w:hanging="360"/>
      </w:pPr>
      <w:rPr>
        <w:rFonts w:ascii="Symbol" w:hAnsi="Symbol"/>
      </w:rPr>
    </w:lvl>
    <w:lvl w:ilvl="4" w:tplc="F8A8E918">
      <w:start w:val="1"/>
      <w:numFmt w:val="bullet"/>
      <w:lvlText w:val=""/>
      <w:lvlJc w:val="left"/>
      <w:pPr>
        <w:ind w:left="720" w:hanging="360"/>
      </w:pPr>
      <w:rPr>
        <w:rFonts w:ascii="Symbol" w:hAnsi="Symbol"/>
      </w:rPr>
    </w:lvl>
    <w:lvl w:ilvl="5" w:tplc="F772848A">
      <w:start w:val="1"/>
      <w:numFmt w:val="bullet"/>
      <w:lvlText w:val=""/>
      <w:lvlJc w:val="left"/>
      <w:pPr>
        <w:ind w:left="720" w:hanging="360"/>
      </w:pPr>
      <w:rPr>
        <w:rFonts w:ascii="Symbol" w:hAnsi="Symbol"/>
      </w:rPr>
    </w:lvl>
    <w:lvl w:ilvl="6" w:tplc="0EA2AE7C">
      <w:start w:val="1"/>
      <w:numFmt w:val="bullet"/>
      <w:lvlText w:val=""/>
      <w:lvlJc w:val="left"/>
      <w:pPr>
        <w:ind w:left="720" w:hanging="360"/>
      </w:pPr>
      <w:rPr>
        <w:rFonts w:ascii="Symbol" w:hAnsi="Symbol"/>
      </w:rPr>
    </w:lvl>
    <w:lvl w:ilvl="7" w:tplc="6BA2A3AC">
      <w:start w:val="1"/>
      <w:numFmt w:val="bullet"/>
      <w:lvlText w:val=""/>
      <w:lvlJc w:val="left"/>
      <w:pPr>
        <w:ind w:left="720" w:hanging="360"/>
      </w:pPr>
      <w:rPr>
        <w:rFonts w:ascii="Symbol" w:hAnsi="Symbol"/>
      </w:rPr>
    </w:lvl>
    <w:lvl w:ilvl="8" w:tplc="7B2E28F6">
      <w:start w:val="1"/>
      <w:numFmt w:val="bullet"/>
      <w:lvlText w:val=""/>
      <w:lvlJc w:val="left"/>
      <w:pPr>
        <w:ind w:left="720" w:hanging="360"/>
      </w:pPr>
      <w:rPr>
        <w:rFonts w:ascii="Symbol" w:hAnsi="Symbol"/>
      </w:rPr>
    </w:lvl>
  </w:abstractNum>
  <w:abstractNum w:abstractNumId="42" w15:restartNumberingAfterBreak="0">
    <w:nsid w:val="76A55C92"/>
    <w:multiLevelType w:val="hybridMultilevel"/>
    <w:tmpl w:val="330CE4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84D033C"/>
    <w:multiLevelType w:val="multilevel"/>
    <w:tmpl w:val="320409CE"/>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BA4C35"/>
    <w:multiLevelType w:val="hybridMultilevel"/>
    <w:tmpl w:val="94702F24"/>
    <w:lvl w:ilvl="0" w:tplc="761A2F44">
      <w:start w:val="65"/>
      <w:numFmt w:val="bullet"/>
      <w:lvlText w:val="-"/>
      <w:lvlJc w:val="left"/>
      <w:pPr>
        <w:ind w:left="720" w:hanging="360"/>
      </w:pPr>
      <w:rPr>
        <w:rFonts w:ascii="Calibri" w:eastAsia="Times New Roman" w:hAnsi="Calibri" w:cs="Calibri" w:hint="default"/>
      </w:rPr>
    </w:lvl>
    <w:lvl w:ilvl="1" w:tplc="761A2F44">
      <w:start w:val="65"/>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6186631">
    <w:abstractNumId w:val="43"/>
  </w:num>
  <w:num w:numId="2" w16cid:durableId="917793048">
    <w:abstractNumId w:val="22"/>
  </w:num>
  <w:num w:numId="3" w16cid:durableId="1048839230">
    <w:abstractNumId w:val="43"/>
  </w:num>
  <w:num w:numId="4" w16cid:durableId="521091235">
    <w:abstractNumId w:val="0"/>
  </w:num>
  <w:num w:numId="5" w16cid:durableId="2123836775">
    <w:abstractNumId w:val="24"/>
  </w:num>
  <w:num w:numId="6" w16cid:durableId="690643893">
    <w:abstractNumId w:val="9"/>
  </w:num>
  <w:num w:numId="7" w16cid:durableId="1358847767">
    <w:abstractNumId w:val="14"/>
  </w:num>
  <w:num w:numId="8" w16cid:durableId="2118793304">
    <w:abstractNumId w:val="18"/>
  </w:num>
  <w:num w:numId="9" w16cid:durableId="1999796578">
    <w:abstractNumId w:val="37"/>
  </w:num>
  <w:num w:numId="10" w16cid:durableId="1444693938">
    <w:abstractNumId w:val="27"/>
  </w:num>
  <w:num w:numId="11" w16cid:durableId="1708949040">
    <w:abstractNumId w:val="8"/>
  </w:num>
  <w:num w:numId="12" w16cid:durableId="931552668">
    <w:abstractNumId w:val="29"/>
  </w:num>
  <w:num w:numId="13" w16cid:durableId="1867407438">
    <w:abstractNumId w:val="3"/>
  </w:num>
  <w:num w:numId="14" w16cid:durableId="1107234605">
    <w:abstractNumId w:val="33"/>
  </w:num>
  <w:num w:numId="15" w16cid:durableId="2091611098">
    <w:abstractNumId w:val="28"/>
  </w:num>
  <w:num w:numId="16" w16cid:durableId="1321617133">
    <w:abstractNumId w:val="21"/>
  </w:num>
  <w:num w:numId="17" w16cid:durableId="468985625">
    <w:abstractNumId w:val="2"/>
  </w:num>
  <w:num w:numId="18" w16cid:durableId="724062601">
    <w:abstractNumId w:val="12"/>
  </w:num>
  <w:num w:numId="19" w16cid:durableId="1463617713">
    <w:abstractNumId w:val="23"/>
  </w:num>
  <w:num w:numId="20" w16cid:durableId="408699874">
    <w:abstractNumId w:val="32"/>
  </w:num>
  <w:num w:numId="21" w16cid:durableId="1569418770">
    <w:abstractNumId w:val="5"/>
  </w:num>
  <w:num w:numId="22" w16cid:durableId="705176722">
    <w:abstractNumId w:val="1"/>
  </w:num>
  <w:num w:numId="23" w16cid:durableId="1926569401">
    <w:abstractNumId w:val="11"/>
  </w:num>
  <w:num w:numId="24" w16cid:durableId="1979457665">
    <w:abstractNumId w:val="13"/>
  </w:num>
  <w:num w:numId="25" w16cid:durableId="2038313566">
    <w:abstractNumId w:val="10"/>
  </w:num>
  <w:num w:numId="26" w16cid:durableId="129744317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1265249">
    <w:abstractNumId w:val="39"/>
  </w:num>
  <w:num w:numId="28" w16cid:durableId="320543630">
    <w:abstractNumId w:val="17"/>
  </w:num>
  <w:num w:numId="29" w16cid:durableId="9892165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1155616">
    <w:abstractNumId w:val="44"/>
  </w:num>
  <w:num w:numId="31" w16cid:durableId="337119036">
    <w:abstractNumId w:val="15"/>
  </w:num>
  <w:num w:numId="32" w16cid:durableId="1344236809">
    <w:abstractNumId w:val="26"/>
  </w:num>
  <w:num w:numId="33" w16cid:durableId="810900406">
    <w:abstractNumId w:val="42"/>
  </w:num>
  <w:num w:numId="34" w16cid:durableId="1788424701">
    <w:abstractNumId w:val="6"/>
  </w:num>
  <w:num w:numId="35" w16cid:durableId="642276201">
    <w:abstractNumId w:val="25"/>
  </w:num>
  <w:num w:numId="36" w16cid:durableId="126240624">
    <w:abstractNumId w:val="38"/>
  </w:num>
  <w:num w:numId="37" w16cid:durableId="1962609773">
    <w:abstractNumId w:val="30"/>
  </w:num>
  <w:num w:numId="38" w16cid:durableId="1755084914">
    <w:abstractNumId w:val="34"/>
  </w:num>
  <w:num w:numId="39" w16cid:durableId="135922881">
    <w:abstractNumId w:val="7"/>
  </w:num>
  <w:num w:numId="40" w16cid:durableId="1052734572">
    <w:abstractNumId w:val="16"/>
  </w:num>
  <w:num w:numId="41" w16cid:durableId="1213929375">
    <w:abstractNumId w:val="19"/>
  </w:num>
  <w:num w:numId="42" w16cid:durableId="1594589174">
    <w:abstractNumId w:val="41"/>
  </w:num>
  <w:num w:numId="43" w16cid:durableId="393160035">
    <w:abstractNumId w:val="36"/>
  </w:num>
  <w:num w:numId="44" w16cid:durableId="403995318">
    <w:abstractNumId w:val="20"/>
  </w:num>
  <w:num w:numId="45" w16cid:durableId="1573005167">
    <w:abstractNumId w:val="31"/>
  </w:num>
  <w:num w:numId="46" w16cid:durableId="209997201">
    <w:abstractNumId w:val="40"/>
  </w:num>
  <w:num w:numId="47" w16cid:durableId="1660116426">
    <w:abstractNumId w:val="4"/>
  </w:num>
  <w:num w:numId="48" w16cid:durableId="1583368958">
    <w:abstractNumId w:val="43"/>
  </w:num>
  <w:num w:numId="49" w16cid:durableId="1316253428">
    <w:abstractNumId w:val="9"/>
  </w:num>
  <w:num w:numId="50" w16cid:durableId="1140417836">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58"/>
    <w:rsid w:val="00000752"/>
    <w:rsid w:val="00000790"/>
    <w:rsid w:val="000007EB"/>
    <w:rsid w:val="00000AE5"/>
    <w:rsid w:val="00000DE9"/>
    <w:rsid w:val="00000E31"/>
    <w:rsid w:val="0000110B"/>
    <w:rsid w:val="00001274"/>
    <w:rsid w:val="0000195D"/>
    <w:rsid w:val="00001D5B"/>
    <w:rsid w:val="00002165"/>
    <w:rsid w:val="000023DB"/>
    <w:rsid w:val="00002569"/>
    <w:rsid w:val="000025F7"/>
    <w:rsid w:val="00002899"/>
    <w:rsid w:val="00002A98"/>
    <w:rsid w:val="00002B27"/>
    <w:rsid w:val="00003499"/>
    <w:rsid w:val="00003667"/>
    <w:rsid w:val="000038DA"/>
    <w:rsid w:val="000039B7"/>
    <w:rsid w:val="00003BE4"/>
    <w:rsid w:val="00004224"/>
    <w:rsid w:val="0000439C"/>
    <w:rsid w:val="00005328"/>
    <w:rsid w:val="000056B9"/>
    <w:rsid w:val="000058E9"/>
    <w:rsid w:val="00005B63"/>
    <w:rsid w:val="00006163"/>
    <w:rsid w:val="0000639A"/>
    <w:rsid w:val="000066B3"/>
    <w:rsid w:val="00006745"/>
    <w:rsid w:val="00006B84"/>
    <w:rsid w:val="000070DF"/>
    <w:rsid w:val="00007775"/>
    <w:rsid w:val="00007C46"/>
    <w:rsid w:val="00007ED5"/>
    <w:rsid w:val="00010051"/>
    <w:rsid w:val="000103CE"/>
    <w:rsid w:val="00010450"/>
    <w:rsid w:val="00010517"/>
    <w:rsid w:val="00010603"/>
    <w:rsid w:val="00010C4A"/>
    <w:rsid w:val="00010D0E"/>
    <w:rsid w:val="0001101B"/>
    <w:rsid w:val="00011261"/>
    <w:rsid w:val="0001136C"/>
    <w:rsid w:val="00011AA7"/>
    <w:rsid w:val="00011AB4"/>
    <w:rsid w:val="00011FED"/>
    <w:rsid w:val="0001214C"/>
    <w:rsid w:val="00012245"/>
    <w:rsid w:val="00012AF3"/>
    <w:rsid w:val="00012DD5"/>
    <w:rsid w:val="000130D9"/>
    <w:rsid w:val="00013247"/>
    <w:rsid w:val="000132CF"/>
    <w:rsid w:val="00013AD8"/>
    <w:rsid w:val="00013BA9"/>
    <w:rsid w:val="00013C67"/>
    <w:rsid w:val="00014623"/>
    <w:rsid w:val="00014668"/>
    <w:rsid w:val="00014C5F"/>
    <w:rsid w:val="00014FC7"/>
    <w:rsid w:val="000153D4"/>
    <w:rsid w:val="00015886"/>
    <w:rsid w:val="000162EF"/>
    <w:rsid w:val="00016887"/>
    <w:rsid w:val="00016B57"/>
    <w:rsid w:val="00016BF6"/>
    <w:rsid w:val="00017039"/>
    <w:rsid w:val="00017286"/>
    <w:rsid w:val="000176F1"/>
    <w:rsid w:val="0001771A"/>
    <w:rsid w:val="00017D6E"/>
    <w:rsid w:val="00017DD0"/>
    <w:rsid w:val="000203F5"/>
    <w:rsid w:val="000207C9"/>
    <w:rsid w:val="000207D2"/>
    <w:rsid w:val="0002084F"/>
    <w:rsid w:val="000209FA"/>
    <w:rsid w:val="00020B6D"/>
    <w:rsid w:val="00020BD2"/>
    <w:rsid w:val="00020C07"/>
    <w:rsid w:val="00020E56"/>
    <w:rsid w:val="00020F1C"/>
    <w:rsid w:val="00021907"/>
    <w:rsid w:val="00021D72"/>
    <w:rsid w:val="00021DF4"/>
    <w:rsid w:val="0002225F"/>
    <w:rsid w:val="000226B1"/>
    <w:rsid w:val="00022B71"/>
    <w:rsid w:val="00022BE8"/>
    <w:rsid w:val="00023763"/>
    <w:rsid w:val="00023A00"/>
    <w:rsid w:val="00023A67"/>
    <w:rsid w:val="00023DCB"/>
    <w:rsid w:val="00023FC3"/>
    <w:rsid w:val="00024137"/>
    <w:rsid w:val="000243D0"/>
    <w:rsid w:val="000244FA"/>
    <w:rsid w:val="00024E9D"/>
    <w:rsid w:val="00024EB5"/>
    <w:rsid w:val="00025692"/>
    <w:rsid w:val="00025694"/>
    <w:rsid w:val="0002580C"/>
    <w:rsid w:val="00025871"/>
    <w:rsid w:val="00025A5F"/>
    <w:rsid w:val="00025E7B"/>
    <w:rsid w:val="00026060"/>
    <w:rsid w:val="000265B4"/>
    <w:rsid w:val="0002682D"/>
    <w:rsid w:val="0002699D"/>
    <w:rsid w:val="00026DE4"/>
    <w:rsid w:val="000274B8"/>
    <w:rsid w:val="000303BD"/>
    <w:rsid w:val="00030414"/>
    <w:rsid w:val="000305D7"/>
    <w:rsid w:val="000307FC"/>
    <w:rsid w:val="00030D14"/>
    <w:rsid w:val="0003139D"/>
    <w:rsid w:val="000313CA"/>
    <w:rsid w:val="00031C87"/>
    <w:rsid w:val="000325D1"/>
    <w:rsid w:val="00032C5A"/>
    <w:rsid w:val="00032C82"/>
    <w:rsid w:val="00032E7B"/>
    <w:rsid w:val="00032EA4"/>
    <w:rsid w:val="00032FC1"/>
    <w:rsid w:val="00033863"/>
    <w:rsid w:val="000339F6"/>
    <w:rsid w:val="00033E22"/>
    <w:rsid w:val="000348FE"/>
    <w:rsid w:val="00034AF1"/>
    <w:rsid w:val="00035462"/>
    <w:rsid w:val="0003576F"/>
    <w:rsid w:val="00035DC0"/>
    <w:rsid w:val="00036325"/>
    <w:rsid w:val="00036452"/>
    <w:rsid w:val="00036476"/>
    <w:rsid w:val="000364A3"/>
    <w:rsid w:val="000365E7"/>
    <w:rsid w:val="000367F5"/>
    <w:rsid w:val="00036829"/>
    <w:rsid w:val="00036A2C"/>
    <w:rsid w:val="000370B8"/>
    <w:rsid w:val="0003714C"/>
    <w:rsid w:val="0003724F"/>
    <w:rsid w:val="00037369"/>
    <w:rsid w:val="0003750D"/>
    <w:rsid w:val="00037538"/>
    <w:rsid w:val="000379A3"/>
    <w:rsid w:val="000402A0"/>
    <w:rsid w:val="00040895"/>
    <w:rsid w:val="00040972"/>
    <w:rsid w:val="00040C0A"/>
    <w:rsid w:val="00040C4C"/>
    <w:rsid w:val="00040CF9"/>
    <w:rsid w:val="00040E3E"/>
    <w:rsid w:val="000410A0"/>
    <w:rsid w:val="000412A9"/>
    <w:rsid w:val="0004138B"/>
    <w:rsid w:val="00041B92"/>
    <w:rsid w:val="00041EB3"/>
    <w:rsid w:val="00041ED2"/>
    <w:rsid w:val="000421A7"/>
    <w:rsid w:val="00042419"/>
    <w:rsid w:val="0004338E"/>
    <w:rsid w:val="00043429"/>
    <w:rsid w:val="000435EE"/>
    <w:rsid w:val="00043AF8"/>
    <w:rsid w:val="00043BA9"/>
    <w:rsid w:val="00043C37"/>
    <w:rsid w:val="00044083"/>
    <w:rsid w:val="000443AC"/>
    <w:rsid w:val="000447FF"/>
    <w:rsid w:val="00044B60"/>
    <w:rsid w:val="00044C0C"/>
    <w:rsid w:val="00045017"/>
    <w:rsid w:val="0004599D"/>
    <w:rsid w:val="00045A2B"/>
    <w:rsid w:val="00045B0A"/>
    <w:rsid w:val="00045B37"/>
    <w:rsid w:val="00045C63"/>
    <w:rsid w:val="00045E9C"/>
    <w:rsid w:val="00046796"/>
    <w:rsid w:val="0004698F"/>
    <w:rsid w:val="00046B2D"/>
    <w:rsid w:val="00046BFF"/>
    <w:rsid w:val="00046D64"/>
    <w:rsid w:val="00047598"/>
    <w:rsid w:val="00047909"/>
    <w:rsid w:val="000479BE"/>
    <w:rsid w:val="00047D4B"/>
    <w:rsid w:val="00050398"/>
    <w:rsid w:val="0005066C"/>
    <w:rsid w:val="000508C2"/>
    <w:rsid w:val="00050B9B"/>
    <w:rsid w:val="00050EAA"/>
    <w:rsid w:val="00051247"/>
    <w:rsid w:val="0005142B"/>
    <w:rsid w:val="000514E4"/>
    <w:rsid w:val="00051C9C"/>
    <w:rsid w:val="000522D8"/>
    <w:rsid w:val="000524E8"/>
    <w:rsid w:val="000527E7"/>
    <w:rsid w:val="00052851"/>
    <w:rsid w:val="00052A48"/>
    <w:rsid w:val="00052EDC"/>
    <w:rsid w:val="00053243"/>
    <w:rsid w:val="0005347D"/>
    <w:rsid w:val="000535F1"/>
    <w:rsid w:val="000539D0"/>
    <w:rsid w:val="00053A88"/>
    <w:rsid w:val="00053F75"/>
    <w:rsid w:val="00054330"/>
    <w:rsid w:val="000543A8"/>
    <w:rsid w:val="00054621"/>
    <w:rsid w:val="000546D7"/>
    <w:rsid w:val="00054A8D"/>
    <w:rsid w:val="00054AB3"/>
    <w:rsid w:val="00054FAB"/>
    <w:rsid w:val="000551D8"/>
    <w:rsid w:val="00055264"/>
    <w:rsid w:val="00055D94"/>
    <w:rsid w:val="00055F61"/>
    <w:rsid w:val="00056673"/>
    <w:rsid w:val="0005687B"/>
    <w:rsid w:val="00056D7B"/>
    <w:rsid w:val="00056ECF"/>
    <w:rsid w:val="00056FA7"/>
    <w:rsid w:val="00057400"/>
    <w:rsid w:val="0005744A"/>
    <w:rsid w:val="0005745B"/>
    <w:rsid w:val="00057708"/>
    <w:rsid w:val="000578BE"/>
    <w:rsid w:val="0005798A"/>
    <w:rsid w:val="00057B24"/>
    <w:rsid w:val="000602FF"/>
    <w:rsid w:val="000604DF"/>
    <w:rsid w:val="000605A3"/>
    <w:rsid w:val="00060715"/>
    <w:rsid w:val="00060B52"/>
    <w:rsid w:val="00060BAB"/>
    <w:rsid w:val="00060CF1"/>
    <w:rsid w:val="000612E6"/>
    <w:rsid w:val="000615B7"/>
    <w:rsid w:val="0006189B"/>
    <w:rsid w:val="00061BE7"/>
    <w:rsid w:val="00061E24"/>
    <w:rsid w:val="00061EF4"/>
    <w:rsid w:val="00061F7B"/>
    <w:rsid w:val="00062324"/>
    <w:rsid w:val="00062AE1"/>
    <w:rsid w:val="000636F5"/>
    <w:rsid w:val="00063CA3"/>
    <w:rsid w:val="00063D6C"/>
    <w:rsid w:val="00064150"/>
    <w:rsid w:val="000649D1"/>
    <w:rsid w:val="00064C4B"/>
    <w:rsid w:val="00064EC5"/>
    <w:rsid w:val="00065048"/>
    <w:rsid w:val="000651F7"/>
    <w:rsid w:val="0006538E"/>
    <w:rsid w:val="000653AD"/>
    <w:rsid w:val="000653B5"/>
    <w:rsid w:val="000659F1"/>
    <w:rsid w:val="00065BC4"/>
    <w:rsid w:val="00065C43"/>
    <w:rsid w:val="00065E4D"/>
    <w:rsid w:val="00066360"/>
    <w:rsid w:val="000665F7"/>
    <w:rsid w:val="00066AF8"/>
    <w:rsid w:val="00066D70"/>
    <w:rsid w:val="00066FA2"/>
    <w:rsid w:val="00067330"/>
    <w:rsid w:val="000675FF"/>
    <w:rsid w:val="00067862"/>
    <w:rsid w:val="000679F7"/>
    <w:rsid w:val="00067D5A"/>
    <w:rsid w:val="00067DC9"/>
    <w:rsid w:val="00070D4F"/>
    <w:rsid w:val="00070D74"/>
    <w:rsid w:val="00070F7A"/>
    <w:rsid w:val="00070FBC"/>
    <w:rsid w:val="00071248"/>
    <w:rsid w:val="000716B7"/>
    <w:rsid w:val="0007190D"/>
    <w:rsid w:val="00071ED6"/>
    <w:rsid w:val="000720B9"/>
    <w:rsid w:val="00072BE5"/>
    <w:rsid w:val="00073355"/>
    <w:rsid w:val="0007340B"/>
    <w:rsid w:val="0007362C"/>
    <w:rsid w:val="000737F7"/>
    <w:rsid w:val="00074463"/>
    <w:rsid w:val="000747B4"/>
    <w:rsid w:val="00074813"/>
    <w:rsid w:val="00074947"/>
    <w:rsid w:val="00074A89"/>
    <w:rsid w:val="00074D2B"/>
    <w:rsid w:val="00074E1E"/>
    <w:rsid w:val="00074E3F"/>
    <w:rsid w:val="0007519D"/>
    <w:rsid w:val="00075207"/>
    <w:rsid w:val="00075E5D"/>
    <w:rsid w:val="000764C4"/>
    <w:rsid w:val="00076630"/>
    <w:rsid w:val="0007672F"/>
    <w:rsid w:val="00076830"/>
    <w:rsid w:val="00076B54"/>
    <w:rsid w:val="00076D3D"/>
    <w:rsid w:val="00076EFB"/>
    <w:rsid w:val="00077415"/>
    <w:rsid w:val="000774F0"/>
    <w:rsid w:val="0007757F"/>
    <w:rsid w:val="000800DC"/>
    <w:rsid w:val="00080138"/>
    <w:rsid w:val="00080251"/>
    <w:rsid w:val="0008034A"/>
    <w:rsid w:val="0008049A"/>
    <w:rsid w:val="00080909"/>
    <w:rsid w:val="00080A4A"/>
    <w:rsid w:val="00080BF7"/>
    <w:rsid w:val="000812CA"/>
    <w:rsid w:val="00081DF4"/>
    <w:rsid w:val="00081E63"/>
    <w:rsid w:val="00082200"/>
    <w:rsid w:val="0008258D"/>
    <w:rsid w:val="0008277F"/>
    <w:rsid w:val="00082A74"/>
    <w:rsid w:val="0008327B"/>
    <w:rsid w:val="000834A4"/>
    <w:rsid w:val="000834C5"/>
    <w:rsid w:val="000834E1"/>
    <w:rsid w:val="00083E99"/>
    <w:rsid w:val="00084873"/>
    <w:rsid w:val="00084ABB"/>
    <w:rsid w:val="00084FA8"/>
    <w:rsid w:val="000853C1"/>
    <w:rsid w:val="000856C5"/>
    <w:rsid w:val="00085808"/>
    <w:rsid w:val="00085AFC"/>
    <w:rsid w:val="00085C31"/>
    <w:rsid w:val="00085D28"/>
    <w:rsid w:val="00085EBF"/>
    <w:rsid w:val="00085FDF"/>
    <w:rsid w:val="00086D42"/>
    <w:rsid w:val="00087143"/>
    <w:rsid w:val="000876FA"/>
    <w:rsid w:val="0008779B"/>
    <w:rsid w:val="00087860"/>
    <w:rsid w:val="000879E6"/>
    <w:rsid w:val="000902D9"/>
    <w:rsid w:val="00090555"/>
    <w:rsid w:val="000906C9"/>
    <w:rsid w:val="00090759"/>
    <w:rsid w:val="00090C7E"/>
    <w:rsid w:val="00090F5C"/>
    <w:rsid w:val="00091124"/>
    <w:rsid w:val="000911AC"/>
    <w:rsid w:val="00091BEF"/>
    <w:rsid w:val="000924F9"/>
    <w:rsid w:val="00092600"/>
    <w:rsid w:val="0009262B"/>
    <w:rsid w:val="00092A75"/>
    <w:rsid w:val="00092CCA"/>
    <w:rsid w:val="00093089"/>
    <w:rsid w:val="0009317E"/>
    <w:rsid w:val="00093310"/>
    <w:rsid w:val="00093838"/>
    <w:rsid w:val="0009384E"/>
    <w:rsid w:val="0009385E"/>
    <w:rsid w:val="00093BCE"/>
    <w:rsid w:val="00093C54"/>
    <w:rsid w:val="00094262"/>
    <w:rsid w:val="00094354"/>
    <w:rsid w:val="0009445C"/>
    <w:rsid w:val="00094778"/>
    <w:rsid w:val="0009478C"/>
    <w:rsid w:val="000947B0"/>
    <w:rsid w:val="00094D19"/>
    <w:rsid w:val="00094DB3"/>
    <w:rsid w:val="00094DDD"/>
    <w:rsid w:val="00095200"/>
    <w:rsid w:val="00095583"/>
    <w:rsid w:val="00095FE5"/>
    <w:rsid w:val="00096068"/>
    <w:rsid w:val="00096284"/>
    <w:rsid w:val="00096825"/>
    <w:rsid w:val="00096865"/>
    <w:rsid w:val="00096884"/>
    <w:rsid w:val="00096A04"/>
    <w:rsid w:val="00096BB7"/>
    <w:rsid w:val="00096C76"/>
    <w:rsid w:val="00096E76"/>
    <w:rsid w:val="00097160"/>
    <w:rsid w:val="00097529"/>
    <w:rsid w:val="0009778D"/>
    <w:rsid w:val="0009785A"/>
    <w:rsid w:val="00097D6C"/>
    <w:rsid w:val="000A0014"/>
    <w:rsid w:val="000A0283"/>
    <w:rsid w:val="000A02FD"/>
    <w:rsid w:val="000A0381"/>
    <w:rsid w:val="000A0603"/>
    <w:rsid w:val="000A0924"/>
    <w:rsid w:val="000A0C1C"/>
    <w:rsid w:val="000A1145"/>
    <w:rsid w:val="000A1617"/>
    <w:rsid w:val="000A1881"/>
    <w:rsid w:val="000A1A0E"/>
    <w:rsid w:val="000A1A8F"/>
    <w:rsid w:val="000A1BC0"/>
    <w:rsid w:val="000A1C60"/>
    <w:rsid w:val="000A1C7A"/>
    <w:rsid w:val="000A1F54"/>
    <w:rsid w:val="000A23CE"/>
    <w:rsid w:val="000A288E"/>
    <w:rsid w:val="000A29D1"/>
    <w:rsid w:val="000A29F0"/>
    <w:rsid w:val="000A2E5B"/>
    <w:rsid w:val="000A2F9E"/>
    <w:rsid w:val="000A3098"/>
    <w:rsid w:val="000A34BC"/>
    <w:rsid w:val="000A3901"/>
    <w:rsid w:val="000A3957"/>
    <w:rsid w:val="000A3E47"/>
    <w:rsid w:val="000A3EA7"/>
    <w:rsid w:val="000A3ECC"/>
    <w:rsid w:val="000A41CE"/>
    <w:rsid w:val="000A49E5"/>
    <w:rsid w:val="000A5176"/>
    <w:rsid w:val="000A522B"/>
    <w:rsid w:val="000A52B5"/>
    <w:rsid w:val="000A53C8"/>
    <w:rsid w:val="000A5612"/>
    <w:rsid w:val="000A583B"/>
    <w:rsid w:val="000A59D6"/>
    <w:rsid w:val="000A6039"/>
    <w:rsid w:val="000A64EB"/>
    <w:rsid w:val="000A6525"/>
    <w:rsid w:val="000A6A6C"/>
    <w:rsid w:val="000A6C20"/>
    <w:rsid w:val="000A6D06"/>
    <w:rsid w:val="000A6D6C"/>
    <w:rsid w:val="000A7453"/>
    <w:rsid w:val="000A75B2"/>
    <w:rsid w:val="000A7729"/>
    <w:rsid w:val="000A78CD"/>
    <w:rsid w:val="000A7D08"/>
    <w:rsid w:val="000A7DBE"/>
    <w:rsid w:val="000B0121"/>
    <w:rsid w:val="000B0314"/>
    <w:rsid w:val="000B0670"/>
    <w:rsid w:val="000B0917"/>
    <w:rsid w:val="000B0E75"/>
    <w:rsid w:val="000B1205"/>
    <w:rsid w:val="000B120B"/>
    <w:rsid w:val="000B1C85"/>
    <w:rsid w:val="000B1E56"/>
    <w:rsid w:val="000B200B"/>
    <w:rsid w:val="000B218F"/>
    <w:rsid w:val="000B2429"/>
    <w:rsid w:val="000B28A5"/>
    <w:rsid w:val="000B2A81"/>
    <w:rsid w:val="000B2B63"/>
    <w:rsid w:val="000B2DCB"/>
    <w:rsid w:val="000B2E15"/>
    <w:rsid w:val="000B2E4F"/>
    <w:rsid w:val="000B3328"/>
    <w:rsid w:val="000B3511"/>
    <w:rsid w:val="000B3731"/>
    <w:rsid w:val="000B3768"/>
    <w:rsid w:val="000B3A4E"/>
    <w:rsid w:val="000B3C91"/>
    <w:rsid w:val="000B4051"/>
    <w:rsid w:val="000B45EC"/>
    <w:rsid w:val="000B4823"/>
    <w:rsid w:val="000B48D4"/>
    <w:rsid w:val="000B48DA"/>
    <w:rsid w:val="000B4988"/>
    <w:rsid w:val="000B49B7"/>
    <w:rsid w:val="000B5061"/>
    <w:rsid w:val="000B5606"/>
    <w:rsid w:val="000B5CE0"/>
    <w:rsid w:val="000B5F08"/>
    <w:rsid w:val="000B612A"/>
    <w:rsid w:val="000B6539"/>
    <w:rsid w:val="000B681D"/>
    <w:rsid w:val="000B6CAC"/>
    <w:rsid w:val="000B6E2F"/>
    <w:rsid w:val="000B73DB"/>
    <w:rsid w:val="000B7612"/>
    <w:rsid w:val="000B76E5"/>
    <w:rsid w:val="000B78AE"/>
    <w:rsid w:val="000B7FB5"/>
    <w:rsid w:val="000C0066"/>
    <w:rsid w:val="000C04FC"/>
    <w:rsid w:val="000C092A"/>
    <w:rsid w:val="000C0DF5"/>
    <w:rsid w:val="000C0F9F"/>
    <w:rsid w:val="000C10C0"/>
    <w:rsid w:val="000C1131"/>
    <w:rsid w:val="000C148F"/>
    <w:rsid w:val="000C14FA"/>
    <w:rsid w:val="000C170D"/>
    <w:rsid w:val="000C1829"/>
    <w:rsid w:val="000C1CC1"/>
    <w:rsid w:val="000C2BEE"/>
    <w:rsid w:val="000C2DE8"/>
    <w:rsid w:val="000C320D"/>
    <w:rsid w:val="000C3D8F"/>
    <w:rsid w:val="000C3DF9"/>
    <w:rsid w:val="000C4145"/>
    <w:rsid w:val="000C414C"/>
    <w:rsid w:val="000C4C18"/>
    <w:rsid w:val="000C4CF2"/>
    <w:rsid w:val="000C4DA4"/>
    <w:rsid w:val="000C5129"/>
    <w:rsid w:val="000C518D"/>
    <w:rsid w:val="000C5428"/>
    <w:rsid w:val="000C54E2"/>
    <w:rsid w:val="000C5757"/>
    <w:rsid w:val="000C58F4"/>
    <w:rsid w:val="000C60DE"/>
    <w:rsid w:val="000C623C"/>
    <w:rsid w:val="000C6594"/>
    <w:rsid w:val="000C668F"/>
    <w:rsid w:val="000C66E9"/>
    <w:rsid w:val="000C6713"/>
    <w:rsid w:val="000C672B"/>
    <w:rsid w:val="000C69FC"/>
    <w:rsid w:val="000C6B05"/>
    <w:rsid w:val="000C6BAA"/>
    <w:rsid w:val="000C6D86"/>
    <w:rsid w:val="000C7131"/>
    <w:rsid w:val="000D0107"/>
    <w:rsid w:val="000D1720"/>
    <w:rsid w:val="000D1B98"/>
    <w:rsid w:val="000D1BFC"/>
    <w:rsid w:val="000D1D09"/>
    <w:rsid w:val="000D1D5D"/>
    <w:rsid w:val="000D1EF6"/>
    <w:rsid w:val="000D20F1"/>
    <w:rsid w:val="000D212B"/>
    <w:rsid w:val="000D21B5"/>
    <w:rsid w:val="000D22DB"/>
    <w:rsid w:val="000D241B"/>
    <w:rsid w:val="000D2521"/>
    <w:rsid w:val="000D281A"/>
    <w:rsid w:val="000D2848"/>
    <w:rsid w:val="000D2C7F"/>
    <w:rsid w:val="000D326A"/>
    <w:rsid w:val="000D3660"/>
    <w:rsid w:val="000D3BF4"/>
    <w:rsid w:val="000D3C5E"/>
    <w:rsid w:val="000D3D61"/>
    <w:rsid w:val="000D417E"/>
    <w:rsid w:val="000D4181"/>
    <w:rsid w:val="000D4538"/>
    <w:rsid w:val="000D49B1"/>
    <w:rsid w:val="000D4C79"/>
    <w:rsid w:val="000D4C9A"/>
    <w:rsid w:val="000D4D2A"/>
    <w:rsid w:val="000D4D69"/>
    <w:rsid w:val="000D4E25"/>
    <w:rsid w:val="000D500A"/>
    <w:rsid w:val="000D51FB"/>
    <w:rsid w:val="000D548C"/>
    <w:rsid w:val="000D56A6"/>
    <w:rsid w:val="000D5896"/>
    <w:rsid w:val="000D5D18"/>
    <w:rsid w:val="000D622A"/>
    <w:rsid w:val="000D6511"/>
    <w:rsid w:val="000D6734"/>
    <w:rsid w:val="000D6C48"/>
    <w:rsid w:val="000D6C8D"/>
    <w:rsid w:val="000D6EE5"/>
    <w:rsid w:val="000D6F23"/>
    <w:rsid w:val="000D76A4"/>
    <w:rsid w:val="000D7A55"/>
    <w:rsid w:val="000D7B45"/>
    <w:rsid w:val="000E0039"/>
    <w:rsid w:val="000E00CC"/>
    <w:rsid w:val="000E00D2"/>
    <w:rsid w:val="000E0149"/>
    <w:rsid w:val="000E042A"/>
    <w:rsid w:val="000E0640"/>
    <w:rsid w:val="000E0759"/>
    <w:rsid w:val="000E0821"/>
    <w:rsid w:val="000E0A7A"/>
    <w:rsid w:val="000E0CD1"/>
    <w:rsid w:val="000E1358"/>
    <w:rsid w:val="000E135D"/>
    <w:rsid w:val="000E146A"/>
    <w:rsid w:val="000E149A"/>
    <w:rsid w:val="000E1669"/>
    <w:rsid w:val="000E1B48"/>
    <w:rsid w:val="000E1F48"/>
    <w:rsid w:val="000E2115"/>
    <w:rsid w:val="000E2672"/>
    <w:rsid w:val="000E2E38"/>
    <w:rsid w:val="000E31F1"/>
    <w:rsid w:val="000E32C8"/>
    <w:rsid w:val="000E363E"/>
    <w:rsid w:val="000E3A74"/>
    <w:rsid w:val="000E3BBC"/>
    <w:rsid w:val="000E3C6A"/>
    <w:rsid w:val="000E4241"/>
    <w:rsid w:val="000E4567"/>
    <w:rsid w:val="000E48B2"/>
    <w:rsid w:val="000E4BFB"/>
    <w:rsid w:val="000E4DB6"/>
    <w:rsid w:val="000E4EC4"/>
    <w:rsid w:val="000E4EDF"/>
    <w:rsid w:val="000E4FBD"/>
    <w:rsid w:val="000E5BCB"/>
    <w:rsid w:val="000E63F2"/>
    <w:rsid w:val="000E643F"/>
    <w:rsid w:val="000E66C1"/>
    <w:rsid w:val="000E6F3E"/>
    <w:rsid w:val="000E76D8"/>
    <w:rsid w:val="000E77B3"/>
    <w:rsid w:val="000E79CE"/>
    <w:rsid w:val="000E79F9"/>
    <w:rsid w:val="000F00BA"/>
    <w:rsid w:val="000F043B"/>
    <w:rsid w:val="000F04AC"/>
    <w:rsid w:val="000F070B"/>
    <w:rsid w:val="000F0FE0"/>
    <w:rsid w:val="000F124B"/>
    <w:rsid w:val="000F14E1"/>
    <w:rsid w:val="000F16B5"/>
    <w:rsid w:val="000F1AAA"/>
    <w:rsid w:val="000F22CA"/>
    <w:rsid w:val="000F2EC4"/>
    <w:rsid w:val="000F2F41"/>
    <w:rsid w:val="000F2FFA"/>
    <w:rsid w:val="000F316A"/>
    <w:rsid w:val="000F3242"/>
    <w:rsid w:val="000F3C74"/>
    <w:rsid w:val="000F40D1"/>
    <w:rsid w:val="000F47C2"/>
    <w:rsid w:val="000F4864"/>
    <w:rsid w:val="000F4BB8"/>
    <w:rsid w:val="000F4F65"/>
    <w:rsid w:val="000F4FA9"/>
    <w:rsid w:val="000F5146"/>
    <w:rsid w:val="000F5375"/>
    <w:rsid w:val="000F53FB"/>
    <w:rsid w:val="000F5A44"/>
    <w:rsid w:val="000F6120"/>
    <w:rsid w:val="000F6207"/>
    <w:rsid w:val="000F6420"/>
    <w:rsid w:val="000F6EBF"/>
    <w:rsid w:val="000F7022"/>
    <w:rsid w:val="000F7127"/>
    <w:rsid w:val="000F7257"/>
    <w:rsid w:val="000F78DE"/>
    <w:rsid w:val="000F7B54"/>
    <w:rsid w:val="000F7C98"/>
    <w:rsid w:val="000F7D7D"/>
    <w:rsid w:val="000F7E9B"/>
    <w:rsid w:val="001000B3"/>
    <w:rsid w:val="0010012F"/>
    <w:rsid w:val="00100359"/>
    <w:rsid w:val="001003E3"/>
    <w:rsid w:val="00100417"/>
    <w:rsid w:val="00100F8A"/>
    <w:rsid w:val="001019E1"/>
    <w:rsid w:val="00101A84"/>
    <w:rsid w:val="001021EE"/>
    <w:rsid w:val="00102231"/>
    <w:rsid w:val="001022A1"/>
    <w:rsid w:val="00102B15"/>
    <w:rsid w:val="00103103"/>
    <w:rsid w:val="0010311B"/>
    <w:rsid w:val="001033AB"/>
    <w:rsid w:val="00103A2A"/>
    <w:rsid w:val="00103C6A"/>
    <w:rsid w:val="00103E2B"/>
    <w:rsid w:val="00104027"/>
    <w:rsid w:val="0010417E"/>
    <w:rsid w:val="0010452E"/>
    <w:rsid w:val="001047F0"/>
    <w:rsid w:val="00104999"/>
    <w:rsid w:val="00104C0F"/>
    <w:rsid w:val="00104D1A"/>
    <w:rsid w:val="00105277"/>
    <w:rsid w:val="00105291"/>
    <w:rsid w:val="001053F8"/>
    <w:rsid w:val="0010560D"/>
    <w:rsid w:val="001058D0"/>
    <w:rsid w:val="00105AE2"/>
    <w:rsid w:val="001060C6"/>
    <w:rsid w:val="00106381"/>
    <w:rsid w:val="001065C8"/>
    <w:rsid w:val="001069E6"/>
    <w:rsid w:val="00106B80"/>
    <w:rsid w:val="001074EB"/>
    <w:rsid w:val="00107569"/>
    <w:rsid w:val="001075BC"/>
    <w:rsid w:val="00107A5B"/>
    <w:rsid w:val="00107AF5"/>
    <w:rsid w:val="00107BA2"/>
    <w:rsid w:val="001102B1"/>
    <w:rsid w:val="0011032E"/>
    <w:rsid w:val="001107D4"/>
    <w:rsid w:val="00110910"/>
    <w:rsid w:val="00110C0F"/>
    <w:rsid w:val="0011180B"/>
    <w:rsid w:val="00111981"/>
    <w:rsid w:val="0011198D"/>
    <w:rsid w:val="00111B26"/>
    <w:rsid w:val="00111B88"/>
    <w:rsid w:val="001126C5"/>
    <w:rsid w:val="001128EF"/>
    <w:rsid w:val="00112A8C"/>
    <w:rsid w:val="0011348B"/>
    <w:rsid w:val="001138DA"/>
    <w:rsid w:val="00114158"/>
    <w:rsid w:val="00114A1E"/>
    <w:rsid w:val="00114F02"/>
    <w:rsid w:val="00115665"/>
    <w:rsid w:val="0011576F"/>
    <w:rsid w:val="00115982"/>
    <w:rsid w:val="00115994"/>
    <w:rsid w:val="00115B9D"/>
    <w:rsid w:val="00115C04"/>
    <w:rsid w:val="00115C0F"/>
    <w:rsid w:val="00115C99"/>
    <w:rsid w:val="00115FFC"/>
    <w:rsid w:val="001160C5"/>
    <w:rsid w:val="00116278"/>
    <w:rsid w:val="00116C53"/>
    <w:rsid w:val="00116EDA"/>
    <w:rsid w:val="0011707F"/>
    <w:rsid w:val="001171F7"/>
    <w:rsid w:val="00117848"/>
    <w:rsid w:val="00117DBA"/>
    <w:rsid w:val="0012031C"/>
    <w:rsid w:val="00120479"/>
    <w:rsid w:val="00120A68"/>
    <w:rsid w:val="00120B89"/>
    <w:rsid w:val="00120DDC"/>
    <w:rsid w:val="00120DF7"/>
    <w:rsid w:val="00121380"/>
    <w:rsid w:val="00121422"/>
    <w:rsid w:val="00121540"/>
    <w:rsid w:val="0012160B"/>
    <w:rsid w:val="00121657"/>
    <w:rsid w:val="00121799"/>
    <w:rsid w:val="00121954"/>
    <w:rsid w:val="001219DA"/>
    <w:rsid w:val="00121A19"/>
    <w:rsid w:val="00121B46"/>
    <w:rsid w:val="001222FC"/>
    <w:rsid w:val="00122DAD"/>
    <w:rsid w:val="00122E47"/>
    <w:rsid w:val="00122E72"/>
    <w:rsid w:val="00123209"/>
    <w:rsid w:val="0012389E"/>
    <w:rsid w:val="00123902"/>
    <w:rsid w:val="00123CC9"/>
    <w:rsid w:val="00123D47"/>
    <w:rsid w:val="00124748"/>
    <w:rsid w:val="00124A51"/>
    <w:rsid w:val="00124BC2"/>
    <w:rsid w:val="00124ECE"/>
    <w:rsid w:val="0012548E"/>
    <w:rsid w:val="00126621"/>
    <w:rsid w:val="001269B1"/>
    <w:rsid w:val="00126B1D"/>
    <w:rsid w:val="00126CC6"/>
    <w:rsid w:val="00127590"/>
    <w:rsid w:val="00127591"/>
    <w:rsid w:val="00127D7F"/>
    <w:rsid w:val="00127F2C"/>
    <w:rsid w:val="001301E9"/>
    <w:rsid w:val="00130281"/>
    <w:rsid w:val="00130A33"/>
    <w:rsid w:val="00130AC1"/>
    <w:rsid w:val="00130BC4"/>
    <w:rsid w:val="00130C61"/>
    <w:rsid w:val="00130EDB"/>
    <w:rsid w:val="0013128F"/>
    <w:rsid w:val="0013134D"/>
    <w:rsid w:val="00131465"/>
    <w:rsid w:val="001315EC"/>
    <w:rsid w:val="00131617"/>
    <w:rsid w:val="00131B92"/>
    <w:rsid w:val="00131D82"/>
    <w:rsid w:val="00132427"/>
    <w:rsid w:val="0013274F"/>
    <w:rsid w:val="00132B22"/>
    <w:rsid w:val="001333D9"/>
    <w:rsid w:val="001334B5"/>
    <w:rsid w:val="00133D36"/>
    <w:rsid w:val="0013471F"/>
    <w:rsid w:val="00134B96"/>
    <w:rsid w:val="00134C08"/>
    <w:rsid w:val="00134CE8"/>
    <w:rsid w:val="001350D6"/>
    <w:rsid w:val="001350D9"/>
    <w:rsid w:val="00135103"/>
    <w:rsid w:val="001352BF"/>
    <w:rsid w:val="00135361"/>
    <w:rsid w:val="001353EE"/>
    <w:rsid w:val="00135662"/>
    <w:rsid w:val="001357E8"/>
    <w:rsid w:val="00135A7E"/>
    <w:rsid w:val="00135B88"/>
    <w:rsid w:val="00135EA4"/>
    <w:rsid w:val="00135EA5"/>
    <w:rsid w:val="00135F9E"/>
    <w:rsid w:val="00136000"/>
    <w:rsid w:val="001362AB"/>
    <w:rsid w:val="001362E7"/>
    <w:rsid w:val="001366DE"/>
    <w:rsid w:val="00136A09"/>
    <w:rsid w:val="00137645"/>
    <w:rsid w:val="00137F29"/>
    <w:rsid w:val="001400A9"/>
    <w:rsid w:val="0014015A"/>
    <w:rsid w:val="00140161"/>
    <w:rsid w:val="001407B1"/>
    <w:rsid w:val="001408E3"/>
    <w:rsid w:val="001409B5"/>
    <w:rsid w:val="00140DE5"/>
    <w:rsid w:val="00140E38"/>
    <w:rsid w:val="00140E99"/>
    <w:rsid w:val="00141038"/>
    <w:rsid w:val="001412BF"/>
    <w:rsid w:val="00141619"/>
    <w:rsid w:val="00141D00"/>
    <w:rsid w:val="00142453"/>
    <w:rsid w:val="001426BC"/>
    <w:rsid w:val="001429EC"/>
    <w:rsid w:val="00143005"/>
    <w:rsid w:val="00143243"/>
    <w:rsid w:val="001435A4"/>
    <w:rsid w:val="0014370E"/>
    <w:rsid w:val="001437CE"/>
    <w:rsid w:val="00143C00"/>
    <w:rsid w:val="00143DAD"/>
    <w:rsid w:val="00143E80"/>
    <w:rsid w:val="00143F67"/>
    <w:rsid w:val="001440A9"/>
    <w:rsid w:val="0014417A"/>
    <w:rsid w:val="001441C3"/>
    <w:rsid w:val="00144605"/>
    <w:rsid w:val="001447E5"/>
    <w:rsid w:val="00144D28"/>
    <w:rsid w:val="00144DF0"/>
    <w:rsid w:val="00145234"/>
    <w:rsid w:val="00145540"/>
    <w:rsid w:val="001456B0"/>
    <w:rsid w:val="0014574E"/>
    <w:rsid w:val="00145CA9"/>
    <w:rsid w:val="00145D1E"/>
    <w:rsid w:val="00145D64"/>
    <w:rsid w:val="00146722"/>
    <w:rsid w:val="00146989"/>
    <w:rsid w:val="00146CFB"/>
    <w:rsid w:val="00146E45"/>
    <w:rsid w:val="00146F0B"/>
    <w:rsid w:val="00146F2E"/>
    <w:rsid w:val="00146FFD"/>
    <w:rsid w:val="00147410"/>
    <w:rsid w:val="001475C5"/>
    <w:rsid w:val="0014766C"/>
    <w:rsid w:val="00147786"/>
    <w:rsid w:val="00147E7B"/>
    <w:rsid w:val="0015043B"/>
    <w:rsid w:val="00150AB2"/>
    <w:rsid w:val="001510F5"/>
    <w:rsid w:val="00151136"/>
    <w:rsid w:val="0015158A"/>
    <w:rsid w:val="00151772"/>
    <w:rsid w:val="0015188D"/>
    <w:rsid w:val="00152176"/>
    <w:rsid w:val="001523BA"/>
    <w:rsid w:val="001524A7"/>
    <w:rsid w:val="001524F4"/>
    <w:rsid w:val="001525AD"/>
    <w:rsid w:val="00152641"/>
    <w:rsid w:val="001527F2"/>
    <w:rsid w:val="001529A0"/>
    <w:rsid w:val="00153038"/>
    <w:rsid w:val="00153174"/>
    <w:rsid w:val="001533A7"/>
    <w:rsid w:val="001536DF"/>
    <w:rsid w:val="001544B7"/>
    <w:rsid w:val="001547AB"/>
    <w:rsid w:val="00154894"/>
    <w:rsid w:val="001548C7"/>
    <w:rsid w:val="0015491B"/>
    <w:rsid w:val="00154A78"/>
    <w:rsid w:val="00154AD8"/>
    <w:rsid w:val="00154BD3"/>
    <w:rsid w:val="001550D5"/>
    <w:rsid w:val="00155501"/>
    <w:rsid w:val="001555A0"/>
    <w:rsid w:val="00155A3A"/>
    <w:rsid w:val="00155ABD"/>
    <w:rsid w:val="00155B49"/>
    <w:rsid w:val="00155B70"/>
    <w:rsid w:val="00155CA8"/>
    <w:rsid w:val="00155D82"/>
    <w:rsid w:val="0015615D"/>
    <w:rsid w:val="001564DD"/>
    <w:rsid w:val="00156D59"/>
    <w:rsid w:val="00156F8F"/>
    <w:rsid w:val="00157130"/>
    <w:rsid w:val="00157371"/>
    <w:rsid w:val="001573EA"/>
    <w:rsid w:val="00157598"/>
    <w:rsid w:val="0015760B"/>
    <w:rsid w:val="001576B1"/>
    <w:rsid w:val="0015789D"/>
    <w:rsid w:val="0016047B"/>
    <w:rsid w:val="001608DD"/>
    <w:rsid w:val="001609C4"/>
    <w:rsid w:val="00160A4C"/>
    <w:rsid w:val="00160C22"/>
    <w:rsid w:val="00161323"/>
    <w:rsid w:val="00161B66"/>
    <w:rsid w:val="001627ED"/>
    <w:rsid w:val="001628CC"/>
    <w:rsid w:val="00162913"/>
    <w:rsid w:val="00162E0A"/>
    <w:rsid w:val="00162E2E"/>
    <w:rsid w:val="00162EA4"/>
    <w:rsid w:val="00162F81"/>
    <w:rsid w:val="0016305D"/>
    <w:rsid w:val="00163232"/>
    <w:rsid w:val="001639D7"/>
    <w:rsid w:val="00163E53"/>
    <w:rsid w:val="00163EFE"/>
    <w:rsid w:val="00163EFF"/>
    <w:rsid w:val="00163F66"/>
    <w:rsid w:val="0016408C"/>
    <w:rsid w:val="001640AF"/>
    <w:rsid w:val="00164599"/>
    <w:rsid w:val="001646F7"/>
    <w:rsid w:val="0016478E"/>
    <w:rsid w:val="00164F2E"/>
    <w:rsid w:val="00164FE8"/>
    <w:rsid w:val="00165103"/>
    <w:rsid w:val="0016573E"/>
    <w:rsid w:val="001658B9"/>
    <w:rsid w:val="0016590A"/>
    <w:rsid w:val="00165A3E"/>
    <w:rsid w:val="00165C18"/>
    <w:rsid w:val="00165EC4"/>
    <w:rsid w:val="001661FB"/>
    <w:rsid w:val="00166209"/>
    <w:rsid w:val="0016677B"/>
    <w:rsid w:val="001671A0"/>
    <w:rsid w:val="0016767F"/>
    <w:rsid w:val="00167D80"/>
    <w:rsid w:val="00167E7B"/>
    <w:rsid w:val="00167EC3"/>
    <w:rsid w:val="001706DC"/>
    <w:rsid w:val="00170851"/>
    <w:rsid w:val="001708BB"/>
    <w:rsid w:val="00170908"/>
    <w:rsid w:val="0017091D"/>
    <w:rsid w:val="00170BB4"/>
    <w:rsid w:val="00171398"/>
    <w:rsid w:val="00171931"/>
    <w:rsid w:val="00171C05"/>
    <w:rsid w:val="0017203B"/>
    <w:rsid w:val="0017244A"/>
    <w:rsid w:val="0017253D"/>
    <w:rsid w:val="0017290D"/>
    <w:rsid w:val="00172959"/>
    <w:rsid w:val="00172A46"/>
    <w:rsid w:val="00172DC9"/>
    <w:rsid w:val="00173070"/>
    <w:rsid w:val="001733BA"/>
    <w:rsid w:val="00173565"/>
    <w:rsid w:val="001738C4"/>
    <w:rsid w:val="00173B07"/>
    <w:rsid w:val="001742AC"/>
    <w:rsid w:val="0017438B"/>
    <w:rsid w:val="001743A4"/>
    <w:rsid w:val="0017479B"/>
    <w:rsid w:val="00174AA2"/>
    <w:rsid w:val="00174D83"/>
    <w:rsid w:val="00174F12"/>
    <w:rsid w:val="001751FA"/>
    <w:rsid w:val="001754C5"/>
    <w:rsid w:val="00175703"/>
    <w:rsid w:val="001759B8"/>
    <w:rsid w:val="00175B80"/>
    <w:rsid w:val="00175D85"/>
    <w:rsid w:val="0017608F"/>
    <w:rsid w:val="00176316"/>
    <w:rsid w:val="001766D5"/>
    <w:rsid w:val="00176AB1"/>
    <w:rsid w:val="00176D80"/>
    <w:rsid w:val="00177266"/>
    <w:rsid w:val="00177A32"/>
    <w:rsid w:val="00177B53"/>
    <w:rsid w:val="0018004D"/>
    <w:rsid w:val="001801F0"/>
    <w:rsid w:val="0018080A"/>
    <w:rsid w:val="001809EA"/>
    <w:rsid w:val="00180C52"/>
    <w:rsid w:val="00180EC6"/>
    <w:rsid w:val="001810EE"/>
    <w:rsid w:val="001812E0"/>
    <w:rsid w:val="00181C10"/>
    <w:rsid w:val="00181D9C"/>
    <w:rsid w:val="00181F5C"/>
    <w:rsid w:val="00182262"/>
    <w:rsid w:val="00182646"/>
    <w:rsid w:val="001828B6"/>
    <w:rsid w:val="00182A29"/>
    <w:rsid w:val="00182AF1"/>
    <w:rsid w:val="00182C61"/>
    <w:rsid w:val="00182D22"/>
    <w:rsid w:val="00182F87"/>
    <w:rsid w:val="00183083"/>
    <w:rsid w:val="0018372E"/>
    <w:rsid w:val="001837FF"/>
    <w:rsid w:val="00183807"/>
    <w:rsid w:val="0018428E"/>
    <w:rsid w:val="001847B8"/>
    <w:rsid w:val="00184B0E"/>
    <w:rsid w:val="00184C44"/>
    <w:rsid w:val="00184FC5"/>
    <w:rsid w:val="001850C7"/>
    <w:rsid w:val="001855BB"/>
    <w:rsid w:val="00185B73"/>
    <w:rsid w:val="001864D0"/>
    <w:rsid w:val="00186B4E"/>
    <w:rsid w:val="00186CA8"/>
    <w:rsid w:val="00186DE2"/>
    <w:rsid w:val="00186FC1"/>
    <w:rsid w:val="001873B6"/>
    <w:rsid w:val="00187521"/>
    <w:rsid w:val="0018752F"/>
    <w:rsid w:val="00187E29"/>
    <w:rsid w:val="00187E6E"/>
    <w:rsid w:val="001909D7"/>
    <w:rsid w:val="00190C27"/>
    <w:rsid w:val="00190C95"/>
    <w:rsid w:val="00190D50"/>
    <w:rsid w:val="001911A8"/>
    <w:rsid w:val="00191CED"/>
    <w:rsid w:val="00191F88"/>
    <w:rsid w:val="001922A1"/>
    <w:rsid w:val="0019230B"/>
    <w:rsid w:val="001924D0"/>
    <w:rsid w:val="001925D4"/>
    <w:rsid w:val="00192B54"/>
    <w:rsid w:val="00192F0D"/>
    <w:rsid w:val="00193838"/>
    <w:rsid w:val="001942D0"/>
    <w:rsid w:val="001943B1"/>
    <w:rsid w:val="00194466"/>
    <w:rsid w:val="00194565"/>
    <w:rsid w:val="00194A36"/>
    <w:rsid w:val="00194AD8"/>
    <w:rsid w:val="00194FEA"/>
    <w:rsid w:val="00195121"/>
    <w:rsid w:val="00195222"/>
    <w:rsid w:val="00195260"/>
    <w:rsid w:val="00195452"/>
    <w:rsid w:val="00195460"/>
    <w:rsid w:val="00195545"/>
    <w:rsid w:val="00195C8F"/>
    <w:rsid w:val="001960FF"/>
    <w:rsid w:val="00196ED0"/>
    <w:rsid w:val="0019732A"/>
    <w:rsid w:val="001975D8"/>
    <w:rsid w:val="001977E0"/>
    <w:rsid w:val="00197899"/>
    <w:rsid w:val="00197C7A"/>
    <w:rsid w:val="00197E40"/>
    <w:rsid w:val="00197E71"/>
    <w:rsid w:val="001A04D9"/>
    <w:rsid w:val="001A05F3"/>
    <w:rsid w:val="001A0A71"/>
    <w:rsid w:val="001A0B39"/>
    <w:rsid w:val="001A1439"/>
    <w:rsid w:val="001A1746"/>
    <w:rsid w:val="001A178E"/>
    <w:rsid w:val="001A17D9"/>
    <w:rsid w:val="001A1DB6"/>
    <w:rsid w:val="001A1FB8"/>
    <w:rsid w:val="001A208D"/>
    <w:rsid w:val="001A24D1"/>
    <w:rsid w:val="001A2FFB"/>
    <w:rsid w:val="001A31BD"/>
    <w:rsid w:val="001A3307"/>
    <w:rsid w:val="001A3308"/>
    <w:rsid w:val="001A3324"/>
    <w:rsid w:val="001A3755"/>
    <w:rsid w:val="001A3D6F"/>
    <w:rsid w:val="001A43FA"/>
    <w:rsid w:val="001A4511"/>
    <w:rsid w:val="001A47C5"/>
    <w:rsid w:val="001A48CB"/>
    <w:rsid w:val="001A4928"/>
    <w:rsid w:val="001A49AE"/>
    <w:rsid w:val="001A49D5"/>
    <w:rsid w:val="001A4C1B"/>
    <w:rsid w:val="001A4C7D"/>
    <w:rsid w:val="001A5119"/>
    <w:rsid w:val="001A54A4"/>
    <w:rsid w:val="001A54EB"/>
    <w:rsid w:val="001A5771"/>
    <w:rsid w:val="001A59FB"/>
    <w:rsid w:val="001A5B7A"/>
    <w:rsid w:val="001A5C19"/>
    <w:rsid w:val="001A5CCE"/>
    <w:rsid w:val="001A5E41"/>
    <w:rsid w:val="001A5E9E"/>
    <w:rsid w:val="001A6164"/>
    <w:rsid w:val="001A632D"/>
    <w:rsid w:val="001A6354"/>
    <w:rsid w:val="001A6366"/>
    <w:rsid w:val="001A63E5"/>
    <w:rsid w:val="001A6784"/>
    <w:rsid w:val="001A694A"/>
    <w:rsid w:val="001A7AE8"/>
    <w:rsid w:val="001A7DF9"/>
    <w:rsid w:val="001B0544"/>
    <w:rsid w:val="001B068D"/>
    <w:rsid w:val="001B0D52"/>
    <w:rsid w:val="001B0F60"/>
    <w:rsid w:val="001B0FF2"/>
    <w:rsid w:val="001B1331"/>
    <w:rsid w:val="001B1670"/>
    <w:rsid w:val="001B1990"/>
    <w:rsid w:val="001B1DE4"/>
    <w:rsid w:val="001B204E"/>
    <w:rsid w:val="001B20F6"/>
    <w:rsid w:val="001B21EF"/>
    <w:rsid w:val="001B2372"/>
    <w:rsid w:val="001B2396"/>
    <w:rsid w:val="001B2D28"/>
    <w:rsid w:val="001B2DA4"/>
    <w:rsid w:val="001B2F52"/>
    <w:rsid w:val="001B33E3"/>
    <w:rsid w:val="001B3443"/>
    <w:rsid w:val="001B35D3"/>
    <w:rsid w:val="001B3A52"/>
    <w:rsid w:val="001B3E84"/>
    <w:rsid w:val="001B4194"/>
    <w:rsid w:val="001B4896"/>
    <w:rsid w:val="001B4D20"/>
    <w:rsid w:val="001B4D7E"/>
    <w:rsid w:val="001B5636"/>
    <w:rsid w:val="001B57E3"/>
    <w:rsid w:val="001B58E4"/>
    <w:rsid w:val="001B616E"/>
    <w:rsid w:val="001B6636"/>
    <w:rsid w:val="001B674B"/>
    <w:rsid w:val="001B68F9"/>
    <w:rsid w:val="001B6A18"/>
    <w:rsid w:val="001B6B89"/>
    <w:rsid w:val="001B77FA"/>
    <w:rsid w:val="001B7D60"/>
    <w:rsid w:val="001B7F84"/>
    <w:rsid w:val="001C002E"/>
    <w:rsid w:val="001C1588"/>
    <w:rsid w:val="001C161A"/>
    <w:rsid w:val="001C1771"/>
    <w:rsid w:val="001C1AAF"/>
    <w:rsid w:val="001C273A"/>
    <w:rsid w:val="001C27AE"/>
    <w:rsid w:val="001C2833"/>
    <w:rsid w:val="001C28B9"/>
    <w:rsid w:val="001C2A9B"/>
    <w:rsid w:val="001C2E02"/>
    <w:rsid w:val="001C2EF1"/>
    <w:rsid w:val="001C308A"/>
    <w:rsid w:val="001C3CB1"/>
    <w:rsid w:val="001C3CC4"/>
    <w:rsid w:val="001C3DD6"/>
    <w:rsid w:val="001C4299"/>
    <w:rsid w:val="001C45F6"/>
    <w:rsid w:val="001C4874"/>
    <w:rsid w:val="001C4D38"/>
    <w:rsid w:val="001C515C"/>
    <w:rsid w:val="001C5254"/>
    <w:rsid w:val="001C58C6"/>
    <w:rsid w:val="001C5A6A"/>
    <w:rsid w:val="001C5CA0"/>
    <w:rsid w:val="001C5F94"/>
    <w:rsid w:val="001C61C2"/>
    <w:rsid w:val="001C6678"/>
    <w:rsid w:val="001C6689"/>
    <w:rsid w:val="001C6D17"/>
    <w:rsid w:val="001C6E66"/>
    <w:rsid w:val="001C6F6B"/>
    <w:rsid w:val="001C7005"/>
    <w:rsid w:val="001C7043"/>
    <w:rsid w:val="001C7223"/>
    <w:rsid w:val="001C755F"/>
    <w:rsid w:val="001C76EA"/>
    <w:rsid w:val="001C7752"/>
    <w:rsid w:val="001C7B90"/>
    <w:rsid w:val="001C7F57"/>
    <w:rsid w:val="001D0028"/>
    <w:rsid w:val="001D00A2"/>
    <w:rsid w:val="001D0178"/>
    <w:rsid w:val="001D05A6"/>
    <w:rsid w:val="001D05FB"/>
    <w:rsid w:val="001D07DD"/>
    <w:rsid w:val="001D0A0F"/>
    <w:rsid w:val="001D0A8F"/>
    <w:rsid w:val="001D0D89"/>
    <w:rsid w:val="001D1084"/>
    <w:rsid w:val="001D1100"/>
    <w:rsid w:val="001D1391"/>
    <w:rsid w:val="001D1AC5"/>
    <w:rsid w:val="001D25D7"/>
    <w:rsid w:val="001D290B"/>
    <w:rsid w:val="001D2BA8"/>
    <w:rsid w:val="001D2E60"/>
    <w:rsid w:val="001D3878"/>
    <w:rsid w:val="001D3D17"/>
    <w:rsid w:val="001D44A8"/>
    <w:rsid w:val="001D4847"/>
    <w:rsid w:val="001D4939"/>
    <w:rsid w:val="001D4A31"/>
    <w:rsid w:val="001D4DAE"/>
    <w:rsid w:val="001D4F1F"/>
    <w:rsid w:val="001D50B2"/>
    <w:rsid w:val="001D526B"/>
    <w:rsid w:val="001D541D"/>
    <w:rsid w:val="001D580A"/>
    <w:rsid w:val="001D5E6E"/>
    <w:rsid w:val="001D5F83"/>
    <w:rsid w:val="001D60D7"/>
    <w:rsid w:val="001D639F"/>
    <w:rsid w:val="001D6C9D"/>
    <w:rsid w:val="001D6D85"/>
    <w:rsid w:val="001D7077"/>
    <w:rsid w:val="001D71F4"/>
    <w:rsid w:val="001D7645"/>
    <w:rsid w:val="001D7D61"/>
    <w:rsid w:val="001D7EC6"/>
    <w:rsid w:val="001D7F3E"/>
    <w:rsid w:val="001E0349"/>
    <w:rsid w:val="001E0356"/>
    <w:rsid w:val="001E0423"/>
    <w:rsid w:val="001E0E42"/>
    <w:rsid w:val="001E0F1F"/>
    <w:rsid w:val="001E10C2"/>
    <w:rsid w:val="001E113B"/>
    <w:rsid w:val="001E12AE"/>
    <w:rsid w:val="001E133D"/>
    <w:rsid w:val="001E1381"/>
    <w:rsid w:val="001E1BD2"/>
    <w:rsid w:val="001E1E86"/>
    <w:rsid w:val="001E238E"/>
    <w:rsid w:val="001E2483"/>
    <w:rsid w:val="001E248A"/>
    <w:rsid w:val="001E2629"/>
    <w:rsid w:val="001E28D0"/>
    <w:rsid w:val="001E2B1E"/>
    <w:rsid w:val="001E2CFF"/>
    <w:rsid w:val="001E2DA2"/>
    <w:rsid w:val="001E2F24"/>
    <w:rsid w:val="001E30D4"/>
    <w:rsid w:val="001E34DF"/>
    <w:rsid w:val="001E351D"/>
    <w:rsid w:val="001E3966"/>
    <w:rsid w:val="001E3B02"/>
    <w:rsid w:val="001E406D"/>
    <w:rsid w:val="001E416F"/>
    <w:rsid w:val="001E49B9"/>
    <w:rsid w:val="001E4A3B"/>
    <w:rsid w:val="001E4B01"/>
    <w:rsid w:val="001E4D77"/>
    <w:rsid w:val="001E4EF6"/>
    <w:rsid w:val="001E4F66"/>
    <w:rsid w:val="001E501C"/>
    <w:rsid w:val="001E5264"/>
    <w:rsid w:val="001E52EB"/>
    <w:rsid w:val="001E5668"/>
    <w:rsid w:val="001E58A6"/>
    <w:rsid w:val="001E61D2"/>
    <w:rsid w:val="001E6206"/>
    <w:rsid w:val="001E62FA"/>
    <w:rsid w:val="001E6717"/>
    <w:rsid w:val="001E6863"/>
    <w:rsid w:val="001E6D75"/>
    <w:rsid w:val="001E7217"/>
    <w:rsid w:val="001E7262"/>
    <w:rsid w:val="001E740C"/>
    <w:rsid w:val="001E7A2C"/>
    <w:rsid w:val="001E7DAB"/>
    <w:rsid w:val="001E7E14"/>
    <w:rsid w:val="001F04E5"/>
    <w:rsid w:val="001F0644"/>
    <w:rsid w:val="001F07EA"/>
    <w:rsid w:val="001F0823"/>
    <w:rsid w:val="001F0C9B"/>
    <w:rsid w:val="001F0D6C"/>
    <w:rsid w:val="001F0E31"/>
    <w:rsid w:val="001F0E6D"/>
    <w:rsid w:val="001F0FA0"/>
    <w:rsid w:val="001F1235"/>
    <w:rsid w:val="001F124C"/>
    <w:rsid w:val="001F14FC"/>
    <w:rsid w:val="001F1CB3"/>
    <w:rsid w:val="001F1EFA"/>
    <w:rsid w:val="001F1F71"/>
    <w:rsid w:val="001F21B0"/>
    <w:rsid w:val="001F24E5"/>
    <w:rsid w:val="001F2600"/>
    <w:rsid w:val="001F2C48"/>
    <w:rsid w:val="001F2F59"/>
    <w:rsid w:val="001F2F9A"/>
    <w:rsid w:val="001F3042"/>
    <w:rsid w:val="001F37F6"/>
    <w:rsid w:val="001F38B5"/>
    <w:rsid w:val="001F4081"/>
    <w:rsid w:val="001F41D6"/>
    <w:rsid w:val="001F4D93"/>
    <w:rsid w:val="001F4F5A"/>
    <w:rsid w:val="001F5410"/>
    <w:rsid w:val="001F5873"/>
    <w:rsid w:val="001F5B5A"/>
    <w:rsid w:val="001F6072"/>
    <w:rsid w:val="001F6471"/>
    <w:rsid w:val="001F6740"/>
    <w:rsid w:val="001F69BB"/>
    <w:rsid w:val="001F72E0"/>
    <w:rsid w:val="001F7361"/>
    <w:rsid w:val="001F75B7"/>
    <w:rsid w:val="001F75BA"/>
    <w:rsid w:val="001F7945"/>
    <w:rsid w:val="001F7B3C"/>
    <w:rsid w:val="002004C1"/>
    <w:rsid w:val="0020052A"/>
    <w:rsid w:val="00200573"/>
    <w:rsid w:val="00200CD8"/>
    <w:rsid w:val="002011B0"/>
    <w:rsid w:val="00201373"/>
    <w:rsid w:val="0020149E"/>
    <w:rsid w:val="0020162F"/>
    <w:rsid w:val="0020199A"/>
    <w:rsid w:val="00201D4F"/>
    <w:rsid w:val="002022A3"/>
    <w:rsid w:val="002024A4"/>
    <w:rsid w:val="00202B31"/>
    <w:rsid w:val="00202D28"/>
    <w:rsid w:val="00202D69"/>
    <w:rsid w:val="00203017"/>
    <w:rsid w:val="00203169"/>
    <w:rsid w:val="00203181"/>
    <w:rsid w:val="0020341E"/>
    <w:rsid w:val="0020371C"/>
    <w:rsid w:val="0020374E"/>
    <w:rsid w:val="00203783"/>
    <w:rsid w:val="0020385F"/>
    <w:rsid w:val="00203BE4"/>
    <w:rsid w:val="002041B5"/>
    <w:rsid w:val="002041B6"/>
    <w:rsid w:val="002047A1"/>
    <w:rsid w:val="0020541B"/>
    <w:rsid w:val="002055FD"/>
    <w:rsid w:val="00205880"/>
    <w:rsid w:val="00205B56"/>
    <w:rsid w:val="00205C62"/>
    <w:rsid w:val="00205D61"/>
    <w:rsid w:val="0020662D"/>
    <w:rsid w:val="002067D1"/>
    <w:rsid w:val="002068A0"/>
    <w:rsid w:val="00207021"/>
    <w:rsid w:val="00207255"/>
    <w:rsid w:val="0020732F"/>
    <w:rsid w:val="002076D7"/>
    <w:rsid w:val="00207B46"/>
    <w:rsid w:val="00207D00"/>
    <w:rsid w:val="002102E2"/>
    <w:rsid w:val="002105C1"/>
    <w:rsid w:val="0021089A"/>
    <w:rsid w:val="00210A75"/>
    <w:rsid w:val="00210CC5"/>
    <w:rsid w:val="00210FE8"/>
    <w:rsid w:val="00211054"/>
    <w:rsid w:val="002112F1"/>
    <w:rsid w:val="00211622"/>
    <w:rsid w:val="002116FD"/>
    <w:rsid w:val="00211C97"/>
    <w:rsid w:val="00211FFB"/>
    <w:rsid w:val="0021256F"/>
    <w:rsid w:val="00212726"/>
    <w:rsid w:val="00212BFE"/>
    <w:rsid w:val="00213025"/>
    <w:rsid w:val="002132E5"/>
    <w:rsid w:val="00213EF1"/>
    <w:rsid w:val="00213EF5"/>
    <w:rsid w:val="00213FB1"/>
    <w:rsid w:val="0021441A"/>
    <w:rsid w:val="002144D1"/>
    <w:rsid w:val="00214B8F"/>
    <w:rsid w:val="00214FE1"/>
    <w:rsid w:val="00215160"/>
    <w:rsid w:val="0021565F"/>
    <w:rsid w:val="00215696"/>
    <w:rsid w:val="00215751"/>
    <w:rsid w:val="00215C50"/>
    <w:rsid w:val="002160AD"/>
    <w:rsid w:val="00216273"/>
    <w:rsid w:val="002162BF"/>
    <w:rsid w:val="00216398"/>
    <w:rsid w:val="00216994"/>
    <w:rsid w:val="00216BE1"/>
    <w:rsid w:val="00216BF5"/>
    <w:rsid w:val="00217017"/>
    <w:rsid w:val="00217068"/>
    <w:rsid w:val="00217133"/>
    <w:rsid w:val="0021770A"/>
    <w:rsid w:val="00217C9F"/>
    <w:rsid w:val="00217FC3"/>
    <w:rsid w:val="00220049"/>
    <w:rsid w:val="0022034C"/>
    <w:rsid w:val="00220512"/>
    <w:rsid w:val="00221008"/>
    <w:rsid w:val="00221247"/>
    <w:rsid w:val="002212FF"/>
    <w:rsid w:val="00221A6B"/>
    <w:rsid w:val="00221B09"/>
    <w:rsid w:val="00221FAA"/>
    <w:rsid w:val="002220F1"/>
    <w:rsid w:val="002225BC"/>
    <w:rsid w:val="00223181"/>
    <w:rsid w:val="00223754"/>
    <w:rsid w:val="00223B49"/>
    <w:rsid w:val="00223D5A"/>
    <w:rsid w:val="00224107"/>
    <w:rsid w:val="0022436A"/>
    <w:rsid w:val="0022461F"/>
    <w:rsid w:val="00224AAF"/>
    <w:rsid w:val="00224DD4"/>
    <w:rsid w:val="00224FDB"/>
    <w:rsid w:val="00225518"/>
    <w:rsid w:val="002256F2"/>
    <w:rsid w:val="00225A34"/>
    <w:rsid w:val="002260C3"/>
    <w:rsid w:val="00226AFC"/>
    <w:rsid w:val="00226FB4"/>
    <w:rsid w:val="00227665"/>
    <w:rsid w:val="002278A0"/>
    <w:rsid w:val="00227C56"/>
    <w:rsid w:val="00227E49"/>
    <w:rsid w:val="00227EFD"/>
    <w:rsid w:val="002304DE"/>
    <w:rsid w:val="002307A3"/>
    <w:rsid w:val="002308D1"/>
    <w:rsid w:val="002309CC"/>
    <w:rsid w:val="00230B66"/>
    <w:rsid w:val="00230D06"/>
    <w:rsid w:val="00230D78"/>
    <w:rsid w:val="00230F62"/>
    <w:rsid w:val="002312F6"/>
    <w:rsid w:val="0023138F"/>
    <w:rsid w:val="00231681"/>
    <w:rsid w:val="00231BA9"/>
    <w:rsid w:val="00231D98"/>
    <w:rsid w:val="0023207D"/>
    <w:rsid w:val="0023209F"/>
    <w:rsid w:val="002326AC"/>
    <w:rsid w:val="00232898"/>
    <w:rsid w:val="002329A5"/>
    <w:rsid w:val="00232B89"/>
    <w:rsid w:val="00232D34"/>
    <w:rsid w:val="00232E7E"/>
    <w:rsid w:val="00232ED9"/>
    <w:rsid w:val="00233202"/>
    <w:rsid w:val="002332DF"/>
    <w:rsid w:val="0023362C"/>
    <w:rsid w:val="00233761"/>
    <w:rsid w:val="00233B6E"/>
    <w:rsid w:val="00233C01"/>
    <w:rsid w:val="00233E40"/>
    <w:rsid w:val="0023413C"/>
    <w:rsid w:val="002346F0"/>
    <w:rsid w:val="00234720"/>
    <w:rsid w:val="00234A25"/>
    <w:rsid w:val="00234D67"/>
    <w:rsid w:val="002351F4"/>
    <w:rsid w:val="0023538A"/>
    <w:rsid w:val="00235A5F"/>
    <w:rsid w:val="00235F1D"/>
    <w:rsid w:val="0023629D"/>
    <w:rsid w:val="002365C3"/>
    <w:rsid w:val="00236C6F"/>
    <w:rsid w:val="00236D33"/>
    <w:rsid w:val="00237089"/>
    <w:rsid w:val="00237255"/>
    <w:rsid w:val="00237B85"/>
    <w:rsid w:val="00237E36"/>
    <w:rsid w:val="002400E7"/>
    <w:rsid w:val="0024029C"/>
    <w:rsid w:val="0024045B"/>
    <w:rsid w:val="002405C4"/>
    <w:rsid w:val="00240605"/>
    <w:rsid w:val="002406C7"/>
    <w:rsid w:val="002406D2"/>
    <w:rsid w:val="002406D9"/>
    <w:rsid w:val="00240A57"/>
    <w:rsid w:val="00240C7B"/>
    <w:rsid w:val="00240D0B"/>
    <w:rsid w:val="00241721"/>
    <w:rsid w:val="00241911"/>
    <w:rsid w:val="00241BA2"/>
    <w:rsid w:val="00241DDC"/>
    <w:rsid w:val="00241F54"/>
    <w:rsid w:val="002421FB"/>
    <w:rsid w:val="0024243E"/>
    <w:rsid w:val="002424AF"/>
    <w:rsid w:val="00242593"/>
    <w:rsid w:val="00242CB0"/>
    <w:rsid w:val="00242CED"/>
    <w:rsid w:val="00243590"/>
    <w:rsid w:val="002438B8"/>
    <w:rsid w:val="002439DC"/>
    <w:rsid w:val="00243E38"/>
    <w:rsid w:val="00243E44"/>
    <w:rsid w:val="00243E4B"/>
    <w:rsid w:val="002441D2"/>
    <w:rsid w:val="002443A7"/>
    <w:rsid w:val="0024473F"/>
    <w:rsid w:val="00244CC8"/>
    <w:rsid w:val="00244DC8"/>
    <w:rsid w:val="00244F4F"/>
    <w:rsid w:val="00244FDA"/>
    <w:rsid w:val="00245005"/>
    <w:rsid w:val="0024510F"/>
    <w:rsid w:val="00245305"/>
    <w:rsid w:val="002453A3"/>
    <w:rsid w:val="00245601"/>
    <w:rsid w:val="002458BA"/>
    <w:rsid w:val="00245CE9"/>
    <w:rsid w:val="00245DAE"/>
    <w:rsid w:val="0024636C"/>
    <w:rsid w:val="00246518"/>
    <w:rsid w:val="002466B3"/>
    <w:rsid w:val="002466CB"/>
    <w:rsid w:val="00246DA2"/>
    <w:rsid w:val="00246EA8"/>
    <w:rsid w:val="00247239"/>
    <w:rsid w:val="002472C1"/>
    <w:rsid w:val="0024763D"/>
    <w:rsid w:val="00247925"/>
    <w:rsid w:val="0025006F"/>
    <w:rsid w:val="00250266"/>
    <w:rsid w:val="00250283"/>
    <w:rsid w:val="00251006"/>
    <w:rsid w:val="002510A7"/>
    <w:rsid w:val="00251156"/>
    <w:rsid w:val="002512CE"/>
    <w:rsid w:val="00251342"/>
    <w:rsid w:val="00251497"/>
    <w:rsid w:val="00251511"/>
    <w:rsid w:val="00251D9D"/>
    <w:rsid w:val="00252373"/>
    <w:rsid w:val="002524D5"/>
    <w:rsid w:val="00252CD9"/>
    <w:rsid w:val="00252E0D"/>
    <w:rsid w:val="00252E46"/>
    <w:rsid w:val="00252F3D"/>
    <w:rsid w:val="00252FD4"/>
    <w:rsid w:val="00253038"/>
    <w:rsid w:val="00253047"/>
    <w:rsid w:val="002535D4"/>
    <w:rsid w:val="002537AB"/>
    <w:rsid w:val="002538A8"/>
    <w:rsid w:val="00253999"/>
    <w:rsid w:val="00253B1D"/>
    <w:rsid w:val="00253D0E"/>
    <w:rsid w:val="00253E1E"/>
    <w:rsid w:val="00253E9B"/>
    <w:rsid w:val="00254507"/>
    <w:rsid w:val="00254DCF"/>
    <w:rsid w:val="00255110"/>
    <w:rsid w:val="0025534B"/>
    <w:rsid w:val="00255BB7"/>
    <w:rsid w:val="00256058"/>
    <w:rsid w:val="002564D9"/>
    <w:rsid w:val="00256B9C"/>
    <w:rsid w:val="002574A2"/>
    <w:rsid w:val="00257541"/>
    <w:rsid w:val="002576D8"/>
    <w:rsid w:val="00257700"/>
    <w:rsid w:val="002577E0"/>
    <w:rsid w:val="002578AD"/>
    <w:rsid w:val="00257A39"/>
    <w:rsid w:val="00257AC4"/>
    <w:rsid w:val="00257BBE"/>
    <w:rsid w:val="00260019"/>
    <w:rsid w:val="0026064A"/>
    <w:rsid w:val="00260732"/>
    <w:rsid w:val="00260826"/>
    <w:rsid w:val="00260BEC"/>
    <w:rsid w:val="00261220"/>
    <w:rsid w:val="0026143D"/>
    <w:rsid w:val="00261D58"/>
    <w:rsid w:val="00261D93"/>
    <w:rsid w:val="00261EEF"/>
    <w:rsid w:val="00261F90"/>
    <w:rsid w:val="00262062"/>
    <w:rsid w:val="00262572"/>
    <w:rsid w:val="00262793"/>
    <w:rsid w:val="00262A1A"/>
    <w:rsid w:val="00262A87"/>
    <w:rsid w:val="002632EB"/>
    <w:rsid w:val="0026345A"/>
    <w:rsid w:val="00263714"/>
    <w:rsid w:val="00263E20"/>
    <w:rsid w:val="00263E30"/>
    <w:rsid w:val="00263E63"/>
    <w:rsid w:val="00264058"/>
    <w:rsid w:val="00264091"/>
    <w:rsid w:val="002640B3"/>
    <w:rsid w:val="002641DE"/>
    <w:rsid w:val="0026440E"/>
    <w:rsid w:val="00264607"/>
    <w:rsid w:val="0026461D"/>
    <w:rsid w:val="00264831"/>
    <w:rsid w:val="00264886"/>
    <w:rsid w:val="00264D26"/>
    <w:rsid w:val="002654B3"/>
    <w:rsid w:val="00265E2E"/>
    <w:rsid w:val="00266171"/>
    <w:rsid w:val="0026627E"/>
    <w:rsid w:val="002666C0"/>
    <w:rsid w:val="002667DA"/>
    <w:rsid w:val="00266BC9"/>
    <w:rsid w:val="00266DBB"/>
    <w:rsid w:val="00267174"/>
    <w:rsid w:val="002671EE"/>
    <w:rsid w:val="002672F5"/>
    <w:rsid w:val="00267642"/>
    <w:rsid w:val="00267AEA"/>
    <w:rsid w:val="002700E6"/>
    <w:rsid w:val="00270150"/>
    <w:rsid w:val="0027063E"/>
    <w:rsid w:val="002707FC"/>
    <w:rsid w:val="002708E3"/>
    <w:rsid w:val="00271099"/>
    <w:rsid w:val="00271180"/>
    <w:rsid w:val="0027153A"/>
    <w:rsid w:val="002716AD"/>
    <w:rsid w:val="00271B59"/>
    <w:rsid w:val="00272032"/>
    <w:rsid w:val="0027216C"/>
    <w:rsid w:val="0027247B"/>
    <w:rsid w:val="002724E6"/>
    <w:rsid w:val="0027263A"/>
    <w:rsid w:val="0027294B"/>
    <w:rsid w:val="00272A1E"/>
    <w:rsid w:val="0027335F"/>
    <w:rsid w:val="00273ABB"/>
    <w:rsid w:val="00273E7B"/>
    <w:rsid w:val="00273EB4"/>
    <w:rsid w:val="002740D6"/>
    <w:rsid w:val="00274304"/>
    <w:rsid w:val="00274682"/>
    <w:rsid w:val="0027485C"/>
    <w:rsid w:val="00274931"/>
    <w:rsid w:val="00274CE5"/>
    <w:rsid w:val="00275158"/>
    <w:rsid w:val="00275984"/>
    <w:rsid w:val="00275B67"/>
    <w:rsid w:val="00275C5A"/>
    <w:rsid w:val="00275DDC"/>
    <w:rsid w:val="00275E89"/>
    <w:rsid w:val="00276011"/>
    <w:rsid w:val="002763F1"/>
    <w:rsid w:val="002768DA"/>
    <w:rsid w:val="00276F00"/>
    <w:rsid w:val="00276F78"/>
    <w:rsid w:val="00277521"/>
    <w:rsid w:val="00277915"/>
    <w:rsid w:val="00277A4F"/>
    <w:rsid w:val="00280072"/>
    <w:rsid w:val="0028019B"/>
    <w:rsid w:val="00280760"/>
    <w:rsid w:val="0028096D"/>
    <w:rsid w:val="002809C4"/>
    <w:rsid w:val="00280ACF"/>
    <w:rsid w:val="00280F28"/>
    <w:rsid w:val="00281014"/>
    <w:rsid w:val="002810D3"/>
    <w:rsid w:val="0028127E"/>
    <w:rsid w:val="002812CE"/>
    <w:rsid w:val="00281896"/>
    <w:rsid w:val="00281BA0"/>
    <w:rsid w:val="00281EEB"/>
    <w:rsid w:val="002823C7"/>
    <w:rsid w:val="0028294C"/>
    <w:rsid w:val="00282C46"/>
    <w:rsid w:val="00283506"/>
    <w:rsid w:val="002837B1"/>
    <w:rsid w:val="00283A38"/>
    <w:rsid w:val="00283B75"/>
    <w:rsid w:val="00284222"/>
    <w:rsid w:val="00284B13"/>
    <w:rsid w:val="00285142"/>
    <w:rsid w:val="002851C8"/>
    <w:rsid w:val="0028532E"/>
    <w:rsid w:val="0028561E"/>
    <w:rsid w:val="00285AEC"/>
    <w:rsid w:val="00285BCE"/>
    <w:rsid w:val="00286289"/>
    <w:rsid w:val="002862D8"/>
    <w:rsid w:val="0028665D"/>
    <w:rsid w:val="00286937"/>
    <w:rsid w:val="00286DE1"/>
    <w:rsid w:val="00286E22"/>
    <w:rsid w:val="002873D3"/>
    <w:rsid w:val="002876C6"/>
    <w:rsid w:val="0028780F"/>
    <w:rsid w:val="00287E15"/>
    <w:rsid w:val="00290236"/>
    <w:rsid w:val="0029042F"/>
    <w:rsid w:val="00290482"/>
    <w:rsid w:val="00290C2A"/>
    <w:rsid w:val="00290DAC"/>
    <w:rsid w:val="00290FFB"/>
    <w:rsid w:val="002916AE"/>
    <w:rsid w:val="002916EB"/>
    <w:rsid w:val="00292028"/>
    <w:rsid w:val="00292105"/>
    <w:rsid w:val="00292192"/>
    <w:rsid w:val="00292405"/>
    <w:rsid w:val="002925A1"/>
    <w:rsid w:val="00292801"/>
    <w:rsid w:val="002928E4"/>
    <w:rsid w:val="0029293E"/>
    <w:rsid w:val="00292D2E"/>
    <w:rsid w:val="002930A8"/>
    <w:rsid w:val="002935AB"/>
    <w:rsid w:val="002935F8"/>
    <w:rsid w:val="0029378A"/>
    <w:rsid w:val="00293888"/>
    <w:rsid w:val="00293B06"/>
    <w:rsid w:val="0029424C"/>
    <w:rsid w:val="002943C4"/>
    <w:rsid w:val="002946C4"/>
    <w:rsid w:val="00294975"/>
    <w:rsid w:val="00294C02"/>
    <w:rsid w:val="00294C23"/>
    <w:rsid w:val="00294D54"/>
    <w:rsid w:val="002952D6"/>
    <w:rsid w:val="00296279"/>
    <w:rsid w:val="002965AF"/>
    <w:rsid w:val="00296649"/>
    <w:rsid w:val="002966FE"/>
    <w:rsid w:val="00296711"/>
    <w:rsid w:val="00296992"/>
    <w:rsid w:val="0029734E"/>
    <w:rsid w:val="002974B9"/>
    <w:rsid w:val="002974D9"/>
    <w:rsid w:val="00297500"/>
    <w:rsid w:val="0029771E"/>
    <w:rsid w:val="002977CF"/>
    <w:rsid w:val="00297FE0"/>
    <w:rsid w:val="002A04AA"/>
    <w:rsid w:val="002A06AD"/>
    <w:rsid w:val="002A07A9"/>
    <w:rsid w:val="002A07BF"/>
    <w:rsid w:val="002A0927"/>
    <w:rsid w:val="002A0B6F"/>
    <w:rsid w:val="002A14AB"/>
    <w:rsid w:val="002A16A4"/>
    <w:rsid w:val="002A18CF"/>
    <w:rsid w:val="002A2ADE"/>
    <w:rsid w:val="002A2F50"/>
    <w:rsid w:val="002A317A"/>
    <w:rsid w:val="002A34B2"/>
    <w:rsid w:val="002A37F4"/>
    <w:rsid w:val="002A38A9"/>
    <w:rsid w:val="002A3E46"/>
    <w:rsid w:val="002A4054"/>
    <w:rsid w:val="002A4701"/>
    <w:rsid w:val="002A4DFD"/>
    <w:rsid w:val="002A5148"/>
    <w:rsid w:val="002A5608"/>
    <w:rsid w:val="002A5812"/>
    <w:rsid w:val="002A5839"/>
    <w:rsid w:val="002A5C4D"/>
    <w:rsid w:val="002A6095"/>
    <w:rsid w:val="002A60CB"/>
    <w:rsid w:val="002A634A"/>
    <w:rsid w:val="002A656D"/>
    <w:rsid w:val="002A6778"/>
    <w:rsid w:val="002A6A38"/>
    <w:rsid w:val="002A6A80"/>
    <w:rsid w:val="002A72F3"/>
    <w:rsid w:val="002A7361"/>
    <w:rsid w:val="002A7824"/>
    <w:rsid w:val="002A7835"/>
    <w:rsid w:val="002A788A"/>
    <w:rsid w:val="002A7943"/>
    <w:rsid w:val="002A7981"/>
    <w:rsid w:val="002A7D91"/>
    <w:rsid w:val="002A7E9B"/>
    <w:rsid w:val="002A7F1F"/>
    <w:rsid w:val="002A7F63"/>
    <w:rsid w:val="002B02A5"/>
    <w:rsid w:val="002B05A1"/>
    <w:rsid w:val="002B0710"/>
    <w:rsid w:val="002B09A4"/>
    <w:rsid w:val="002B0B29"/>
    <w:rsid w:val="002B0C15"/>
    <w:rsid w:val="002B0F47"/>
    <w:rsid w:val="002B14C3"/>
    <w:rsid w:val="002B1988"/>
    <w:rsid w:val="002B1A59"/>
    <w:rsid w:val="002B1BD8"/>
    <w:rsid w:val="002B1C18"/>
    <w:rsid w:val="002B1C1F"/>
    <w:rsid w:val="002B1F6F"/>
    <w:rsid w:val="002B2818"/>
    <w:rsid w:val="002B302E"/>
    <w:rsid w:val="002B394B"/>
    <w:rsid w:val="002B3A75"/>
    <w:rsid w:val="002B4089"/>
    <w:rsid w:val="002B432F"/>
    <w:rsid w:val="002B44EF"/>
    <w:rsid w:val="002B482E"/>
    <w:rsid w:val="002B4C2A"/>
    <w:rsid w:val="002B4E19"/>
    <w:rsid w:val="002B4F84"/>
    <w:rsid w:val="002B5234"/>
    <w:rsid w:val="002B5389"/>
    <w:rsid w:val="002B5984"/>
    <w:rsid w:val="002B5CC2"/>
    <w:rsid w:val="002B5D49"/>
    <w:rsid w:val="002B5FBF"/>
    <w:rsid w:val="002B603F"/>
    <w:rsid w:val="002B62B3"/>
    <w:rsid w:val="002B63F1"/>
    <w:rsid w:val="002B6754"/>
    <w:rsid w:val="002B6B62"/>
    <w:rsid w:val="002B6CCE"/>
    <w:rsid w:val="002B7221"/>
    <w:rsid w:val="002B79BA"/>
    <w:rsid w:val="002B7ABB"/>
    <w:rsid w:val="002C0EEB"/>
    <w:rsid w:val="002C0F4D"/>
    <w:rsid w:val="002C1390"/>
    <w:rsid w:val="002C1E9F"/>
    <w:rsid w:val="002C2057"/>
    <w:rsid w:val="002C2510"/>
    <w:rsid w:val="002C26F0"/>
    <w:rsid w:val="002C2736"/>
    <w:rsid w:val="002C2775"/>
    <w:rsid w:val="002C27C1"/>
    <w:rsid w:val="002C2A09"/>
    <w:rsid w:val="002C2C12"/>
    <w:rsid w:val="002C2C32"/>
    <w:rsid w:val="002C32C1"/>
    <w:rsid w:val="002C36E3"/>
    <w:rsid w:val="002C3BE3"/>
    <w:rsid w:val="002C44C0"/>
    <w:rsid w:val="002C4608"/>
    <w:rsid w:val="002C4677"/>
    <w:rsid w:val="002C46A5"/>
    <w:rsid w:val="002C477C"/>
    <w:rsid w:val="002C4A99"/>
    <w:rsid w:val="002C4B6A"/>
    <w:rsid w:val="002C4F75"/>
    <w:rsid w:val="002C5099"/>
    <w:rsid w:val="002C54B2"/>
    <w:rsid w:val="002C561C"/>
    <w:rsid w:val="002C5889"/>
    <w:rsid w:val="002C6610"/>
    <w:rsid w:val="002C68BB"/>
    <w:rsid w:val="002C70CE"/>
    <w:rsid w:val="002C71C2"/>
    <w:rsid w:val="002C71CE"/>
    <w:rsid w:val="002D0041"/>
    <w:rsid w:val="002D08F8"/>
    <w:rsid w:val="002D0D19"/>
    <w:rsid w:val="002D0E50"/>
    <w:rsid w:val="002D113C"/>
    <w:rsid w:val="002D11CE"/>
    <w:rsid w:val="002D1979"/>
    <w:rsid w:val="002D1DFB"/>
    <w:rsid w:val="002D292A"/>
    <w:rsid w:val="002D297B"/>
    <w:rsid w:val="002D2C74"/>
    <w:rsid w:val="002D2FA7"/>
    <w:rsid w:val="002D318E"/>
    <w:rsid w:val="002D3279"/>
    <w:rsid w:val="002D43A7"/>
    <w:rsid w:val="002D4609"/>
    <w:rsid w:val="002D4732"/>
    <w:rsid w:val="002D4929"/>
    <w:rsid w:val="002D4C45"/>
    <w:rsid w:val="002D4FB6"/>
    <w:rsid w:val="002D5284"/>
    <w:rsid w:val="002D577C"/>
    <w:rsid w:val="002D584B"/>
    <w:rsid w:val="002D5FAB"/>
    <w:rsid w:val="002D62F8"/>
    <w:rsid w:val="002D6854"/>
    <w:rsid w:val="002D6C1E"/>
    <w:rsid w:val="002D6E94"/>
    <w:rsid w:val="002D75F7"/>
    <w:rsid w:val="002D7832"/>
    <w:rsid w:val="002D7A37"/>
    <w:rsid w:val="002E00B0"/>
    <w:rsid w:val="002E017E"/>
    <w:rsid w:val="002E035F"/>
    <w:rsid w:val="002E0495"/>
    <w:rsid w:val="002E06EC"/>
    <w:rsid w:val="002E0730"/>
    <w:rsid w:val="002E09D4"/>
    <w:rsid w:val="002E0C95"/>
    <w:rsid w:val="002E0E68"/>
    <w:rsid w:val="002E0ED2"/>
    <w:rsid w:val="002E1071"/>
    <w:rsid w:val="002E109A"/>
    <w:rsid w:val="002E118C"/>
    <w:rsid w:val="002E123F"/>
    <w:rsid w:val="002E15B9"/>
    <w:rsid w:val="002E16B1"/>
    <w:rsid w:val="002E1ED9"/>
    <w:rsid w:val="002E2028"/>
    <w:rsid w:val="002E2095"/>
    <w:rsid w:val="002E2158"/>
    <w:rsid w:val="002E225E"/>
    <w:rsid w:val="002E2273"/>
    <w:rsid w:val="002E2363"/>
    <w:rsid w:val="002E2458"/>
    <w:rsid w:val="002E2673"/>
    <w:rsid w:val="002E2A3C"/>
    <w:rsid w:val="002E2DE5"/>
    <w:rsid w:val="002E2E92"/>
    <w:rsid w:val="002E2ED1"/>
    <w:rsid w:val="002E3066"/>
    <w:rsid w:val="002E3BFA"/>
    <w:rsid w:val="002E4215"/>
    <w:rsid w:val="002E45D1"/>
    <w:rsid w:val="002E497B"/>
    <w:rsid w:val="002E4B82"/>
    <w:rsid w:val="002E4F02"/>
    <w:rsid w:val="002E58E2"/>
    <w:rsid w:val="002E5977"/>
    <w:rsid w:val="002E5B87"/>
    <w:rsid w:val="002E652C"/>
    <w:rsid w:val="002E6690"/>
    <w:rsid w:val="002E67B2"/>
    <w:rsid w:val="002E689B"/>
    <w:rsid w:val="002E6BB5"/>
    <w:rsid w:val="002E6E04"/>
    <w:rsid w:val="002E703F"/>
    <w:rsid w:val="002E711F"/>
    <w:rsid w:val="002E75F3"/>
    <w:rsid w:val="002E7660"/>
    <w:rsid w:val="002E7722"/>
    <w:rsid w:val="002E78C0"/>
    <w:rsid w:val="002E7BB4"/>
    <w:rsid w:val="002F025E"/>
    <w:rsid w:val="002F048E"/>
    <w:rsid w:val="002F050F"/>
    <w:rsid w:val="002F0612"/>
    <w:rsid w:val="002F0703"/>
    <w:rsid w:val="002F07BA"/>
    <w:rsid w:val="002F0840"/>
    <w:rsid w:val="002F08EB"/>
    <w:rsid w:val="002F08ED"/>
    <w:rsid w:val="002F0A60"/>
    <w:rsid w:val="002F0DA9"/>
    <w:rsid w:val="002F1014"/>
    <w:rsid w:val="002F10F1"/>
    <w:rsid w:val="002F1258"/>
    <w:rsid w:val="002F13E8"/>
    <w:rsid w:val="002F1E3B"/>
    <w:rsid w:val="002F1EAB"/>
    <w:rsid w:val="002F1F74"/>
    <w:rsid w:val="002F220E"/>
    <w:rsid w:val="002F231D"/>
    <w:rsid w:val="002F2404"/>
    <w:rsid w:val="002F2546"/>
    <w:rsid w:val="002F29E1"/>
    <w:rsid w:val="002F2B3F"/>
    <w:rsid w:val="002F3080"/>
    <w:rsid w:val="002F396E"/>
    <w:rsid w:val="002F3B1E"/>
    <w:rsid w:val="002F3D6E"/>
    <w:rsid w:val="002F3EC7"/>
    <w:rsid w:val="002F4DC1"/>
    <w:rsid w:val="002F4FF1"/>
    <w:rsid w:val="002F50E3"/>
    <w:rsid w:val="002F5112"/>
    <w:rsid w:val="002F5304"/>
    <w:rsid w:val="002F53B9"/>
    <w:rsid w:val="002F5803"/>
    <w:rsid w:val="002F582D"/>
    <w:rsid w:val="002F58C0"/>
    <w:rsid w:val="002F63D6"/>
    <w:rsid w:val="002F643C"/>
    <w:rsid w:val="002F6465"/>
    <w:rsid w:val="002F67B4"/>
    <w:rsid w:val="002F691C"/>
    <w:rsid w:val="002F6A4F"/>
    <w:rsid w:val="002F6A8C"/>
    <w:rsid w:val="002F6C27"/>
    <w:rsid w:val="002F6CD6"/>
    <w:rsid w:val="002F711D"/>
    <w:rsid w:val="002F71C0"/>
    <w:rsid w:val="002F74F1"/>
    <w:rsid w:val="002F75DB"/>
    <w:rsid w:val="002F7989"/>
    <w:rsid w:val="002F79B7"/>
    <w:rsid w:val="002F7B59"/>
    <w:rsid w:val="003003DA"/>
    <w:rsid w:val="00300A5E"/>
    <w:rsid w:val="00300AC4"/>
    <w:rsid w:val="00300CBD"/>
    <w:rsid w:val="00301017"/>
    <w:rsid w:val="003010A7"/>
    <w:rsid w:val="00301130"/>
    <w:rsid w:val="003013B9"/>
    <w:rsid w:val="0030146B"/>
    <w:rsid w:val="0030155F"/>
    <w:rsid w:val="00301E7F"/>
    <w:rsid w:val="00301F36"/>
    <w:rsid w:val="00302301"/>
    <w:rsid w:val="00302544"/>
    <w:rsid w:val="003027AB"/>
    <w:rsid w:val="00302FF9"/>
    <w:rsid w:val="00303367"/>
    <w:rsid w:val="003039B4"/>
    <w:rsid w:val="00303A54"/>
    <w:rsid w:val="00303AE1"/>
    <w:rsid w:val="00303E18"/>
    <w:rsid w:val="00303EC1"/>
    <w:rsid w:val="00304159"/>
    <w:rsid w:val="00304186"/>
    <w:rsid w:val="0030419A"/>
    <w:rsid w:val="003047D2"/>
    <w:rsid w:val="00304A50"/>
    <w:rsid w:val="00304A72"/>
    <w:rsid w:val="00304ACE"/>
    <w:rsid w:val="00304D14"/>
    <w:rsid w:val="00304D19"/>
    <w:rsid w:val="00304DF3"/>
    <w:rsid w:val="0030518F"/>
    <w:rsid w:val="00305478"/>
    <w:rsid w:val="003054AC"/>
    <w:rsid w:val="003056DF"/>
    <w:rsid w:val="00305762"/>
    <w:rsid w:val="0030587B"/>
    <w:rsid w:val="00305940"/>
    <w:rsid w:val="00306268"/>
    <w:rsid w:val="003062A7"/>
    <w:rsid w:val="00306503"/>
    <w:rsid w:val="00306B77"/>
    <w:rsid w:val="00306D98"/>
    <w:rsid w:val="00307415"/>
    <w:rsid w:val="00307481"/>
    <w:rsid w:val="00307737"/>
    <w:rsid w:val="0030786C"/>
    <w:rsid w:val="0031000C"/>
    <w:rsid w:val="0031025A"/>
    <w:rsid w:val="0031025F"/>
    <w:rsid w:val="0031031A"/>
    <w:rsid w:val="00310981"/>
    <w:rsid w:val="0031150B"/>
    <w:rsid w:val="00311D4C"/>
    <w:rsid w:val="00311D9B"/>
    <w:rsid w:val="00312240"/>
    <w:rsid w:val="00312496"/>
    <w:rsid w:val="003124D9"/>
    <w:rsid w:val="00312594"/>
    <w:rsid w:val="00312990"/>
    <w:rsid w:val="003129DF"/>
    <w:rsid w:val="003131EF"/>
    <w:rsid w:val="003134FD"/>
    <w:rsid w:val="00313D08"/>
    <w:rsid w:val="00313D62"/>
    <w:rsid w:val="00313E5D"/>
    <w:rsid w:val="00313E78"/>
    <w:rsid w:val="00314213"/>
    <w:rsid w:val="00314371"/>
    <w:rsid w:val="0031478C"/>
    <w:rsid w:val="003149D1"/>
    <w:rsid w:val="00314C40"/>
    <w:rsid w:val="00314CC1"/>
    <w:rsid w:val="00315498"/>
    <w:rsid w:val="003154D0"/>
    <w:rsid w:val="00316474"/>
    <w:rsid w:val="0031677B"/>
    <w:rsid w:val="00316797"/>
    <w:rsid w:val="003167A1"/>
    <w:rsid w:val="00316950"/>
    <w:rsid w:val="003169D1"/>
    <w:rsid w:val="00316C8E"/>
    <w:rsid w:val="00316C9B"/>
    <w:rsid w:val="0031762E"/>
    <w:rsid w:val="00317719"/>
    <w:rsid w:val="003179EE"/>
    <w:rsid w:val="00320246"/>
    <w:rsid w:val="0032034F"/>
    <w:rsid w:val="00320621"/>
    <w:rsid w:val="00320675"/>
    <w:rsid w:val="00320692"/>
    <w:rsid w:val="00320862"/>
    <w:rsid w:val="00320A7D"/>
    <w:rsid w:val="00320EDC"/>
    <w:rsid w:val="00320F3E"/>
    <w:rsid w:val="00321B0F"/>
    <w:rsid w:val="00321E7F"/>
    <w:rsid w:val="00321FBD"/>
    <w:rsid w:val="003220A8"/>
    <w:rsid w:val="00322107"/>
    <w:rsid w:val="0032211D"/>
    <w:rsid w:val="00322355"/>
    <w:rsid w:val="00322526"/>
    <w:rsid w:val="00322846"/>
    <w:rsid w:val="00322C1E"/>
    <w:rsid w:val="00322E40"/>
    <w:rsid w:val="0032344A"/>
    <w:rsid w:val="003238F0"/>
    <w:rsid w:val="00323A49"/>
    <w:rsid w:val="00323A88"/>
    <w:rsid w:val="00323B4E"/>
    <w:rsid w:val="00323E18"/>
    <w:rsid w:val="003244E1"/>
    <w:rsid w:val="00324BB3"/>
    <w:rsid w:val="00324D8F"/>
    <w:rsid w:val="00325E7A"/>
    <w:rsid w:val="00325F5D"/>
    <w:rsid w:val="0032621A"/>
    <w:rsid w:val="00326298"/>
    <w:rsid w:val="003266A0"/>
    <w:rsid w:val="00326DA7"/>
    <w:rsid w:val="00326EBD"/>
    <w:rsid w:val="00326FC5"/>
    <w:rsid w:val="003270E4"/>
    <w:rsid w:val="003277CB"/>
    <w:rsid w:val="00327E09"/>
    <w:rsid w:val="00330481"/>
    <w:rsid w:val="00330A15"/>
    <w:rsid w:val="00330BA5"/>
    <w:rsid w:val="00330C04"/>
    <w:rsid w:val="00330CED"/>
    <w:rsid w:val="00330DAA"/>
    <w:rsid w:val="00330DDF"/>
    <w:rsid w:val="00330F5C"/>
    <w:rsid w:val="00330F67"/>
    <w:rsid w:val="00330FE9"/>
    <w:rsid w:val="00331184"/>
    <w:rsid w:val="00331197"/>
    <w:rsid w:val="00331711"/>
    <w:rsid w:val="0033203E"/>
    <w:rsid w:val="0033218A"/>
    <w:rsid w:val="00332213"/>
    <w:rsid w:val="0033242C"/>
    <w:rsid w:val="0033259D"/>
    <w:rsid w:val="00332860"/>
    <w:rsid w:val="00332E5B"/>
    <w:rsid w:val="00332EBA"/>
    <w:rsid w:val="0033343C"/>
    <w:rsid w:val="003335E8"/>
    <w:rsid w:val="0033367E"/>
    <w:rsid w:val="00333781"/>
    <w:rsid w:val="00333B33"/>
    <w:rsid w:val="00333F9F"/>
    <w:rsid w:val="0033405E"/>
    <w:rsid w:val="003340DA"/>
    <w:rsid w:val="0033417B"/>
    <w:rsid w:val="0033450F"/>
    <w:rsid w:val="00334A56"/>
    <w:rsid w:val="00334B1C"/>
    <w:rsid w:val="00334D41"/>
    <w:rsid w:val="003353FC"/>
    <w:rsid w:val="003355FB"/>
    <w:rsid w:val="00335708"/>
    <w:rsid w:val="00335FB8"/>
    <w:rsid w:val="0033611B"/>
    <w:rsid w:val="003364C6"/>
    <w:rsid w:val="00336510"/>
    <w:rsid w:val="00336667"/>
    <w:rsid w:val="003366C9"/>
    <w:rsid w:val="003367DD"/>
    <w:rsid w:val="00336F0C"/>
    <w:rsid w:val="003371B0"/>
    <w:rsid w:val="003375A5"/>
    <w:rsid w:val="0033788A"/>
    <w:rsid w:val="00337CCD"/>
    <w:rsid w:val="00337E64"/>
    <w:rsid w:val="00337F31"/>
    <w:rsid w:val="00337FFE"/>
    <w:rsid w:val="003409B1"/>
    <w:rsid w:val="003409E3"/>
    <w:rsid w:val="00340DF1"/>
    <w:rsid w:val="00341215"/>
    <w:rsid w:val="003413BA"/>
    <w:rsid w:val="00341612"/>
    <w:rsid w:val="00341929"/>
    <w:rsid w:val="00341B70"/>
    <w:rsid w:val="00341DD3"/>
    <w:rsid w:val="00341DF0"/>
    <w:rsid w:val="00342493"/>
    <w:rsid w:val="003426E5"/>
    <w:rsid w:val="0034276B"/>
    <w:rsid w:val="003429A3"/>
    <w:rsid w:val="0034332F"/>
    <w:rsid w:val="0034336F"/>
    <w:rsid w:val="003433D5"/>
    <w:rsid w:val="003433E1"/>
    <w:rsid w:val="003436A5"/>
    <w:rsid w:val="00343CDE"/>
    <w:rsid w:val="00343E5E"/>
    <w:rsid w:val="0034401C"/>
    <w:rsid w:val="003441AB"/>
    <w:rsid w:val="0034438E"/>
    <w:rsid w:val="003452FB"/>
    <w:rsid w:val="00346073"/>
    <w:rsid w:val="00346505"/>
    <w:rsid w:val="00346802"/>
    <w:rsid w:val="00346918"/>
    <w:rsid w:val="00346ABA"/>
    <w:rsid w:val="00347453"/>
    <w:rsid w:val="003478D7"/>
    <w:rsid w:val="00347958"/>
    <w:rsid w:val="00347FB7"/>
    <w:rsid w:val="003500A2"/>
    <w:rsid w:val="003501D9"/>
    <w:rsid w:val="003504E2"/>
    <w:rsid w:val="0035060A"/>
    <w:rsid w:val="0035061A"/>
    <w:rsid w:val="0035078C"/>
    <w:rsid w:val="00350E17"/>
    <w:rsid w:val="00350FE5"/>
    <w:rsid w:val="003517AA"/>
    <w:rsid w:val="003517F9"/>
    <w:rsid w:val="00351BA9"/>
    <w:rsid w:val="00351F27"/>
    <w:rsid w:val="00351F6F"/>
    <w:rsid w:val="00352442"/>
    <w:rsid w:val="0035254D"/>
    <w:rsid w:val="00352579"/>
    <w:rsid w:val="003526E8"/>
    <w:rsid w:val="00352D82"/>
    <w:rsid w:val="00352F04"/>
    <w:rsid w:val="0035342C"/>
    <w:rsid w:val="00353794"/>
    <w:rsid w:val="003537EE"/>
    <w:rsid w:val="00353830"/>
    <w:rsid w:val="00353C58"/>
    <w:rsid w:val="00353E80"/>
    <w:rsid w:val="00353E87"/>
    <w:rsid w:val="00354064"/>
    <w:rsid w:val="00354303"/>
    <w:rsid w:val="0035477B"/>
    <w:rsid w:val="00354DD9"/>
    <w:rsid w:val="00354E3A"/>
    <w:rsid w:val="00354F64"/>
    <w:rsid w:val="00354F83"/>
    <w:rsid w:val="003553BC"/>
    <w:rsid w:val="003559E8"/>
    <w:rsid w:val="00355A0F"/>
    <w:rsid w:val="00355B83"/>
    <w:rsid w:val="00355CFF"/>
    <w:rsid w:val="00355F39"/>
    <w:rsid w:val="0035620E"/>
    <w:rsid w:val="00356371"/>
    <w:rsid w:val="00356A32"/>
    <w:rsid w:val="00356BB6"/>
    <w:rsid w:val="00356D16"/>
    <w:rsid w:val="00357070"/>
    <w:rsid w:val="00357397"/>
    <w:rsid w:val="003575BE"/>
    <w:rsid w:val="003577E8"/>
    <w:rsid w:val="003579C1"/>
    <w:rsid w:val="00357BA1"/>
    <w:rsid w:val="00357C47"/>
    <w:rsid w:val="0036007C"/>
    <w:rsid w:val="003601CD"/>
    <w:rsid w:val="00360345"/>
    <w:rsid w:val="00360549"/>
    <w:rsid w:val="00360BCB"/>
    <w:rsid w:val="00360D4C"/>
    <w:rsid w:val="00360D5A"/>
    <w:rsid w:val="00361167"/>
    <w:rsid w:val="00361338"/>
    <w:rsid w:val="00361352"/>
    <w:rsid w:val="00361A05"/>
    <w:rsid w:val="00361A25"/>
    <w:rsid w:val="00361BFB"/>
    <w:rsid w:val="00361E93"/>
    <w:rsid w:val="00361FA6"/>
    <w:rsid w:val="003620D5"/>
    <w:rsid w:val="00362302"/>
    <w:rsid w:val="003624C4"/>
    <w:rsid w:val="003625C6"/>
    <w:rsid w:val="0036382F"/>
    <w:rsid w:val="00363899"/>
    <w:rsid w:val="00363957"/>
    <w:rsid w:val="00363B00"/>
    <w:rsid w:val="00363CB1"/>
    <w:rsid w:val="00364F3A"/>
    <w:rsid w:val="00365147"/>
    <w:rsid w:val="00365172"/>
    <w:rsid w:val="00365251"/>
    <w:rsid w:val="003654AC"/>
    <w:rsid w:val="003654B5"/>
    <w:rsid w:val="0036593B"/>
    <w:rsid w:val="00365CCF"/>
    <w:rsid w:val="0036620E"/>
    <w:rsid w:val="003666B8"/>
    <w:rsid w:val="00366C68"/>
    <w:rsid w:val="003670C4"/>
    <w:rsid w:val="003677A0"/>
    <w:rsid w:val="00367B5C"/>
    <w:rsid w:val="00367BCA"/>
    <w:rsid w:val="0037022D"/>
    <w:rsid w:val="00370D38"/>
    <w:rsid w:val="00371048"/>
    <w:rsid w:val="003710CF"/>
    <w:rsid w:val="0037117A"/>
    <w:rsid w:val="00371A46"/>
    <w:rsid w:val="00371D52"/>
    <w:rsid w:val="003724FF"/>
    <w:rsid w:val="0037267D"/>
    <w:rsid w:val="00372AD3"/>
    <w:rsid w:val="0037347B"/>
    <w:rsid w:val="00373480"/>
    <w:rsid w:val="00373507"/>
    <w:rsid w:val="0037358A"/>
    <w:rsid w:val="00373836"/>
    <w:rsid w:val="00373A19"/>
    <w:rsid w:val="00373E9E"/>
    <w:rsid w:val="00373FBB"/>
    <w:rsid w:val="00374181"/>
    <w:rsid w:val="003741C5"/>
    <w:rsid w:val="00374528"/>
    <w:rsid w:val="0037465D"/>
    <w:rsid w:val="003748F6"/>
    <w:rsid w:val="00374A9C"/>
    <w:rsid w:val="00374D52"/>
    <w:rsid w:val="00374FD2"/>
    <w:rsid w:val="00374FE2"/>
    <w:rsid w:val="003750F6"/>
    <w:rsid w:val="0037590A"/>
    <w:rsid w:val="00375AF4"/>
    <w:rsid w:val="00375CD2"/>
    <w:rsid w:val="00375FAD"/>
    <w:rsid w:val="003760FC"/>
    <w:rsid w:val="00376772"/>
    <w:rsid w:val="00376DFD"/>
    <w:rsid w:val="00377058"/>
    <w:rsid w:val="003770E0"/>
    <w:rsid w:val="00377108"/>
    <w:rsid w:val="00377303"/>
    <w:rsid w:val="0037747D"/>
    <w:rsid w:val="00377B7D"/>
    <w:rsid w:val="00377CA1"/>
    <w:rsid w:val="00377F4B"/>
    <w:rsid w:val="00380043"/>
    <w:rsid w:val="0038095F"/>
    <w:rsid w:val="00380C8E"/>
    <w:rsid w:val="003812AC"/>
    <w:rsid w:val="0038142F"/>
    <w:rsid w:val="003814B7"/>
    <w:rsid w:val="003816C7"/>
    <w:rsid w:val="00381B8C"/>
    <w:rsid w:val="00381C2B"/>
    <w:rsid w:val="00382180"/>
    <w:rsid w:val="003823BF"/>
    <w:rsid w:val="0038259E"/>
    <w:rsid w:val="0038284F"/>
    <w:rsid w:val="00382A04"/>
    <w:rsid w:val="00382A84"/>
    <w:rsid w:val="00382B8F"/>
    <w:rsid w:val="00382F4B"/>
    <w:rsid w:val="0038365C"/>
    <w:rsid w:val="0038369B"/>
    <w:rsid w:val="00383770"/>
    <w:rsid w:val="00383AF9"/>
    <w:rsid w:val="00383B78"/>
    <w:rsid w:val="00383EAC"/>
    <w:rsid w:val="00384D10"/>
    <w:rsid w:val="00384E24"/>
    <w:rsid w:val="00384F7F"/>
    <w:rsid w:val="00385745"/>
    <w:rsid w:val="00385A9D"/>
    <w:rsid w:val="003862C4"/>
    <w:rsid w:val="003865AB"/>
    <w:rsid w:val="003867A0"/>
    <w:rsid w:val="0038683C"/>
    <w:rsid w:val="00386845"/>
    <w:rsid w:val="00387121"/>
    <w:rsid w:val="003871AD"/>
    <w:rsid w:val="00387490"/>
    <w:rsid w:val="00387560"/>
    <w:rsid w:val="00387907"/>
    <w:rsid w:val="00387ABA"/>
    <w:rsid w:val="00387B1C"/>
    <w:rsid w:val="00387C98"/>
    <w:rsid w:val="003902B1"/>
    <w:rsid w:val="0039142F"/>
    <w:rsid w:val="0039154C"/>
    <w:rsid w:val="0039172D"/>
    <w:rsid w:val="0039179C"/>
    <w:rsid w:val="00391941"/>
    <w:rsid w:val="00391ACA"/>
    <w:rsid w:val="00391DCD"/>
    <w:rsid w:val="00391E75"/>
    <w:rsid w:val="003920B3"/>
    <w:rsid w:val="00392405"/>
    <w:rsid w:val="00392492"/>
    <w:rsid w:val="00392864"/>
    <w:rsid w:val="00392AD6"/>
    <w:rsid w:val="00392E5B"/>
    <w:rsid w:val="00392FEB"/>
    <w:rsid w:val="00393651"/>
    <w:rsid w:val="003936E9"/>
    <w:rsid w:val="00393A41"/>
    <w:rsid w:val="00393DE2"/>
    <w:rsid w:val="00393E0E"/>
    <w:rsid w:val="00393EAE"/>
    <w:rsid w:val="00393F1F"/>
    <w:rsid w:val="003941EC"/>
    <w:rsid w:val="0039431B"/>
    <w:rsid w:val="00395741"/>
    <w:rsid w:val="003958A7"/>
    <w:rsid w:val="00395A9D"/>
    <w:rsid w:val="00395DF2"/>
    <w:rsid w:val="00396896"/>
    <w:rsid w:val="00396A8E"/>
    <w:rsid w:val="00396BD1"/>
    <w:rsid w:val="00396FD0"/>
    <w:rsid w:val="0039748B"/>
    <w:rsid w:val="003974AF"/>
    <w:rsid w:val="00397589"/>
    <w:rsid w:val="00397946"/>
    <w:rsid w:val="00397955"/>
    <w:rsid w:val="00397B85"/>
    <w:rsid w:val="00397BFC"/>
    <w:rsid w:val="00397DBF"/>
    <w:rsid w:val="00397E24"/>
    <w:rsid w:val="00397F03"/>
    <w:rsid w:val="003A0057"/>
    <w:rsid w:val="003A0B0A"/>
    <w:rsid w:val="003A0B8D"/>
    <w:rsid w:val="003A1115"/>
    <w:rsid w:val="003A11C6"/>
    <w:rsid w:val="003A1264"/>
    <w:rsid w:val="003A127C"/>
    <w:rsid w:val="003A1854"/>
    <w:rsid w:val="003A1A7A"/>
    <w:rsid w:val="003A1AC1"/>
    <w:rsid w:val="003A1D13"/>
    <w:rsid w:val="003A214E"/>
    <w:rsid w:val="003A2168"/>
    <w:rsid w:val="003A2392"/>
    <w:rsid w:val="003A280B"/>
    <w:rsid w:val="003A2831"/>
    <w:rsid w:val="003A2F64"/>
    <w:rsid w:val="003A3912"/>
    <w:rsid w:val="003A3A84"/>
    <w:rsid w:val="003A3AE0"/>
    <w:rsid w:val="003A3B7F"/>
    <w:rsid w:val="003A3CB6"/>
    <w:rsid w:val="003A3ED1"/>
    <w:rsid w:val="003A40C4"/>
    <w:rsid w:val="003A4126"/>
    <w:rsid w:val="003A44DB"/>
    <w:rsid w:val="003A4A96"/>
    <w:rsid w:val="003A4C14"/>
    <w:rsid w:val="003A509F"/>
    <w:rsid w:val="003A50C6"/>
    <w:rsid w:val="003A5A21"/>
    <w:rsid w:val="003A607A"/>
    <w:rsid w:val="003A66CE"/>
    <w:rsid w:val="003A6ADE"/>
    <w:rsid w:val="003A74A9"/>
    <w:rsid w:val="003A7656"/>
    <w:rsid w:val="003A7833"/>
    <w:rsid w:val="003A7B6F"/>
    <w:rsid w:val="003B03C3"/>
    <w:rsid w:val="003B08CC"/>
    <w:rsid w:val="003B0AE1"/>
    <w:rsid w:val="003B0BA3"/>
    <w:rsid w:val="003B11C2"/>
    <w:rsid w:val="003B1233"/>
    <w:rsid w:val="003B1679"/>
    <w:rsid w:val="003B16C9"/>
    <w:rsid w:val="003B1A1F"/>
    <w:rsid w:val="003B1D32"/>
    <w:rsid w:val="003B1E4F"/>
    <w:rsid w:val="003B1F3E"/>
    <w:rsid w:val="003B2769"/>
    <w:rsid w:val="003B2797"/>
    <w:rsid w:val="003B2D9A"/>
    <w:rsid w:val="003B2EC0"/>
    <w:rsid w:val="003B2EC1"/>
    <w:rsid w:val="003B310C"/>
    <w:rsid w:val="003B3971"/>
    <w:rsid w:val="003B3D60"/>
    <w:rsid w:val="003B4054"/>
    <w:rsid w:val="003B40F9"/>
    <w:rsid w:val="003B4C52"/>
    <w:rsid w:val="003B4F39"/>
    <w:rsid w:val="003B4FB4"/>
    <w:rsid w:val="003B4FC0"/>
    <w:rsid w:val="003B4FCE"/>
    <w:rsid w:val="003B4FF6"/>
    <w:rsid w:val="003B521A"/>
    <w:rsid w:val="003B54DC"/>
    <w:rsid w:val="003B55D1"/>
    <w:rsid w:val="003B5805"/>
    <w:rsid w:val="003B595E"/>
    <w:rsid w:val="003B5B61"/>
    <w:rsid w:val="003B5BFE"/>
    <w:rsid w:val="003B6383"/>
    <w:rsid w:val="003B6850"/>
    <w:rsid w:val="003B6854"/>
    <w:rsid w:val="003B706F"/>
    <w:rsid w:val="003B7629"/>
    <w:rsid w:val="003B773C"/>
    <w:rsid w:val="003B78F7"/>
    <w:rsid w:val="003B79AA"/>
    <w:rsid w:val="003B7E48"/>
    <w:rsid w:val="003B7EB7"/>
    <w:rsid w:val="003C03C6"/>
    <w:rsid w:val="003C0698"/>
    <w:rsid w:val="003C07E4"/>
    <w:rsid w:val="003C0988"/>
    <w:rsid w:val="003C1071"/>
    <w:rsid w:val="003C1312"/>
    <w:rsid w:val="003C1357"/>
    <w:rsid w:val="003C14AB"/>
    <w:rsid w:val="003C1654"/>
    <w:rsid w:val="003C1721"/>
    <w:rsid w:val="003C1CCB"/>
    <w:rsid w:val="003C21A2"/>
    <w:rsid w:val="003C21AE"/>
    <w:rsid w:val="003C22CD"/>
    <w:rsid w:val="003C23E1"/>
    <w:rsid w:val="003C2662"/>
    <w:rsid w:val="003C2737"/>
    <w:rsid w:val="003C2F50"/>
    <w:rsid w:val="003C3199"/>
    <w:rsid w:val="003C31C8"/>
    <w:rsid w:val="003C37E9"/>
    <w:rsid w:val="003C3A90"/>
    <w:rsid w:val="003C3CD3"/>
    <w:rsid w:val="003C3ECD"/>
    <w:rsid w:val="003C447B"/>
    <w:rsid w:val="003C4797"/>
    <w:rsid w:val="003C47DA"/>
    <w:rsid w:val="003C48C6"/>
    <w:rsid w:val="003C4D5C"/>
    <w:rsid w:val="003C4EF8"/>
    <w:rsid w:val="003C5072"/>
    <w:rsid w:val="003C51C2"/>
    <w:rsid w:val="003C5230"/>
    <w:rsid w:val="003C5542"/>
    <w:rsid w:val="003C5EDC"/>
    <w:rsid w:val="003C6053"/>
    <w:rsid w:val="003C68FA"/>
    <w:rsid w:val="003C69AB"/>
    <w:rsid w:val="003C6A56"/>
    <w:rsid w:val="003C6D52"/>
    <w:rsid w:val="003C6E6A"/>
    <w:rsid w:val="003C705A"/>
    <w:rsid w:val="003C724D"/>
    <w:rsid w:val="003C78FC"/>
    <w:rsid w:val="003C7900"/>
    <w:rsid w:val="003C7C15"/>
    <w:rsid w:val="003C7D19"/>
    <w:rsid w:val="003C7D2F"/>
    <w:rsid w:val="003D0053"/>
    <w:rsid w:val="003D02A9"/>
    <w:rsid w:val="003D0396"/>
    <w:rsid w:val="003D0497"/>
    <w:rsid w:val="003D05FA"/>
    <w:rsid w:val="003D0727"/>
    <w:rsid w:val="003D078E"/>
    <w:rsid w:val="003D096F"/>
    <w:rsid w:val="003D0C5A"/>
    <w:rsid w:val="003D0FA3"/>
    <w:rsid w:val="003D1828"/>
    <w:rsid w:val="003D18B9"/>
    <w:rsid w:val="003D1DE4"/>
    <w:rsid w:val="003D1E9A"/>
    <w:rsid w:val="003D2102"/>
    <w:rsid w:val="003D2422"/>
    <w:rsid w:val="003D29CD"/>
    <w:rsid w:val="003D2CEF"/>
    <w:rsid w:val="003D3600"/>
    <w:rsid w:val="003D39A1"/>
    <w:rsid w:val="003D3FBF"/>
    <w:rsid w:val="003D4056"/>
    <w:rsid w:val="003D44BA"/>
    <w:rsid w:val="003D4629"/>
    <w:rsid w:val="003D4650"/>
    <w:rsid w:val="003D47F9"/>
    <w:rsid w:val="003D4800"/>
    <w:rsid w:val="003D496D"/>
    <w:rsid w:val="003D4A30"/>
    <w:rsid w:val="003D51F5"/>
    <w:rsid w:val="003D562C"/>
    <w:rsid w:val="003D570C"/>
    <w:rsid w:val="003D570E"/>
    <w:rsid w:val="003D57B4"/>
    <w:rsid w:val="003D5DE7"/>
    <w:rsid w:val="003D5E84"/>
    <w:rsid w:val="003D67D7"/>
    <w:rsid w:val="003D7452"/>
    <w:rsid w:val="003D79BB"/>
    <w:rsid w:val="003D7C98"/>
    <w:rsid w:val="003D7D9D"/>
    <w:rsid w:val="003E0126"/>
    <w:rsid w:val="003E0543"/>
    <w:rsid w:val="003E06D5"/>
    <w:rsid w:val="003E07F8"/>
    <w:rsid w:val="003E110D"/>
    <w:rsid w:val="003E1187"/>
    <w:rsid w:val="003E11BB"/>
    <w:rsid w:val="003E1261"/>
    <w:rsid w:val="003E12A4"/>
    <w:rsid w:val="003E12B1"/>
    <w:rsid w:val="003E153F"/>
    <w:rsid w:val="003E1A6A"/>
    <w:rsid w:val="003E1F91"/>
    <w:rsid w:val="003E1FD5"/>
    <w:rsid w:val="003E220B"/>
    <w:rsid w:val="003E28B6"/>
    <w:rsid w:val="003E2968"/>
    <w:rsid w:val="003E2FC9"/>
    <w:rsid w:val="003E321F"/>
    <w:rsid w:val="003E356E"/>
    <w:rsid w:val="003E36B9"/>
    <w:rsid w:val="003E3F4D"/>
    <w:rsid w:val="003E4464"/>
    <w:rsid w:val="003E453C"/>
    <w:rsid w:val="003E4CFF"/>
    <w:rsid w:val="003E4F29"/>
    <w:rsid w:val="003E4F92"/>
    <w:rsid w:val="003E5315"/>
    <w:rsid w:val="003E537E"/>
    <w:rsid w:val="003E5603"/>
    <w:rsid w:val="003E5C28"/>
    <w:rsid w:val="003E5FA2"/>
    <w:rsid w:val="003E6010"/>
    <w:rsid w:val="003E6670"/>
    <w:rsid w:val="003E676A"/>
    <w:rsid w:val="003E6952"/>
    <w:rsid w:val="003E6E3A"/>
    <w:rsid w:val="003E7216"/>
    <w:rsid w:val="003E749E"/>
    <w:rsid w:val="003E7672"/>
    <w:rsid w:val="003E7FD6"/>
    <w:rsid w:val="003F03E3"/>
    <w:rsid w:val="003F0575"/>
    <w:rsid w:val="003F0F5D"/>
    <w:rsid w:val="003F1172"/>
    <w:rsid w:val="003F1264"/>
    <w:rsid w:val="003F1C89"/>
    <w:rsid w:val="003F1CE9"/>
    <w:rsid w:val="003F24B0"/>
    <w:rsid w:val="003F29A1"/>
    <w:rsid w:val="003F2B06"/>
    <w:rsid w:val="003F304F"/>
    <w:rsid w:val="003F3133"/>
    <w:rsid w:val="003F345E"/>
    <w:rsid w:val="003F3949"/>
    <w:rsid w:val="003F39EE"/>
    <w:rsid w:val="003F3C04"/>
    <w:rsid w:val="003F3D6B"/>
    <w:rsid w:val="003F3EF9"/>
    <w:rsid w:val="003F4156"/>
    <w:rsid w:val="003F4773"/>
    <w:rsid w:val="003F4B03"/>
    <w:rsid w:val="003F4C59"/>
    <w:rsid w:val="003F4D9E"/>
    <w:rsid w:val="003F53F6"/>
    <w:rsid w:val="003F5A77"/>
    <w:rsid w:val="003F5ADF"/>
    <w:rsid w:val="003F5B10"/>
    <w:rsid w:val="003F5EB7"/>
    <w:rsid w:val="003F5FFE"/>
    <w:rsid w:val="003F6476"/>
    <w:rsid w:val="003F673C"/>
    <w:rsid w:val="003F685B"/>
    <w:rsid w:val="003F6C27"/>
    <w:rsid w:val="003F6F13"/>
    <w:rsid w:val="003F711A"/>
    <w:rsid w:val="003F72E6"/>
    <w:rsid w:val="003F7555"/>
    <w:rsid w:val="003F78DD"/>
    <w:rsid w:val="003F7B7F"/>
    <w:rsid w:val="003F7BCF"/>
    <w:rsid w:val="00400552"/>
    <w:rsid w:val="004006DF"/>
    <w:rsid w:val="004008EC"/>
    <w:rsid w:val="00400A6F"/>
    <w:rsid w:val="00400B29"/>
    <w:rsid w:val="00400B2E"/>
    <w:rsid w:val="00400CDA"/>
    <w:rsid w:val="00401185"/>
    <w:rsid w:val="00401C76"/>
    <w:rsid w:val="00401D95"/>
    <w:rsid w:val="00401F52"/>
    <w:rsid w:val="004020B6"/>
    <w:rsid w:val="00402812"/>
    <w:rsid w:val="00402E4C"/>
    <w:rsid w:val="004032F7"/>
    <w:rsid w:val="0040347B"/>
    <w:rsid w:val="004038F0"/>
    <w:rsid w:val="00403BC8"/>
    <w:rsid w:val="00403EDA"/>
    <w:rsid w:val="004041EA"/>
    <w:rsid w:val="004043AE"/>
    <w:rsid w:val="0040455E"/>
    <w:rsid w:val="00404765"/>
    <w:rsid w:val="004047AF"/>
    <w:rsid w:val="004047F0"/>
    <w:rsid w:val="0040504B"/>
    <w:rsid w:val="0040539D"/>
    <w:rsid w:val="0040576E"/>
    <w:rsid w:val="004059F4"/>
    <w:rsid w:val="00406345"/>
    <w:rsid w:val="00406EF5"/>
    <w:rsid w:val="004071ED"/>
    <w:rsid w:val="0040776B"/>
    <w:rsid w:val="004078DD"/>
    <w:rsid w:val="00407E25"/>
    <w:rsid w:val="00407FE5"/>
    <w:rsid w:val="00410045"/>
    <w:rsid w:val="004101B0"/>
    <w:rsid w:val="00410326"/>
    <w:rsid w:val="00410708"/>
    <w:rsid w:val="00410C0D"/>
    <w:rsid w:val="00410C33"/>
    <w:rsid w:val="00410EC7"/>
    <w:rsid w:val="00411030"/>
    <w:rsid w:val="00411B39"/>
    <w:rsid w:val="00411C14"/>
    <w:rsid w:val="00412563"/>
    <w:rsid w:val="004127A7"/>
    <w:rsid w:val="00412939"/>
    <w:rsid w:val="004129D2"/>
    <w:rsid w:val="00412DC6"/>
    <w:rsid w:val="00412FA7"/>
    <w:rsid w:val="0041388A"/>
    <w:rsid w:val="00413898"/>
    <w:rsid w:val="00413A1E"/>
    <w:rsid w:val="00413B17"/>
    <w:rsid w:val="00413CE0"/>
    <w:rsid w:val="00413E67"/>
    <w:rsid w:val="00414476"/>
    <w:rsid w:val="004149D6"/>
    <w:rsid w:val="00414C2E"/>
    <w:rsid w:val="00414EB9"/>
    <w:rsid w:val="004151CF"/>
    <w:rsid w:val="0041528C"/>
    <w:rsid w:val="004153AF"/>
    <w:rsid w:val="00415975"/>
    <w:rsid w:val="00415C13"/>
    <w:rsid w:val="00415DB3"/>
    <w:rsid w:val="00416364"/>
    <w:rsid w:val="00416554"/>
    <w:rsid w:val="00416584"/>
    <w:rsid w:val="004168A6"/>
    <w:rsid w:val="00416C94"/>
    <w:rsid w:val="0041717A"/>
    <w:rsid w:val="0041739E"/>
    <w:rsid w:val="0041753A"/>
    <w:rsid w:val="00417D3F"/>
    <w:rsid w:val="00417F69"/>
    <w:rsid w:val="004200DA"/>
    <w:rsid w:val="00420454"/>
    <w:rsid w:val="0042047F"/>
    <w:rsid w:val="00420AA6"/>
    <w:rsid w:val="00420B9F"/>
    <w:rsid w:val="00420BC1"/>
    <w:rsid w:val="00420DAF"/>
    <w:rsid w:val="00421027"/>
    <w:rsid w:val="00421343"/>
    <w:rsid w:val="00421563"/>
    <w:rsid w:val="004216C1"/>
    <w:rsid w:val="0042192C"/>
    <w:rsid w:val="00421EE2"/>
    <w:rsid w:val="00422178"/>
    <w:rsid w:val="00422260"/>
    <w:rsid w:val="00422538"/>
    <w:rsid w:val="00422598"/>
    <w:rsid w:val="00422D58"/>
    <w:rsid w:val="004232B5"/>
    <w:rsid w:val="0042390D"/>
    <w:rsid w:val="00423C27"/>
    <w:rsid w:val="0042413F"/>
    <w:rsid w:val="0042438E"/>
    <w:rsid w:val="00424662"/>
    <w:rsid w:val="00424DFF"/>
    <w:rsid w:val="00424F2B"/>
    <w:rsid w:val="004254D7"/>
    <w:rsid w:val="00425682"/>
    <w:rsid w:val="00425A14"/>
    <w:rsid w:val="00425CB4"/>
    <w:rsid w:val="00425E7B"/>
    <w:rsid w:val="00425F66"/>
    <w:rsid w:val="0042618A"/>
    <w:rsid w:val="00426EB6"/>
    <w:rsid w:val="0042795C"/>
    <w:rsid w:val="00427BA3"/>
    <w:rsid w:val="0043030F"/>
    <w:rsid w:val="00430D63"/>
    <w:rsid w:val="0043152A"/>
    <w:rsid w:val="004319F8"/>
    <w:rsid w:val="00431E55"/>
    <w:rsid w:val="0043205F"/>
    <w:rsid w:val="0043208A"/>
    <w:rsid w:val="004321F6"/>
    <w:rsid w:val="0043263B"/>
    <w:rsid w:val="00432749"/>
    <w:rsid w:val="004328AE"/>
    <w:rsid w:val="00432949"/>
    <w:rsid w:val="00432A7D"/>
    <w:rsid w:val="00433044"/>
    <w:rsid w:val="004334CF"/>
    <w:rsid w:val="00433764"/>
    <w:rsid w:val="00433EEF"/>
    <w:rsid w:val="00434088"/>
    <w:rsid w:val="00434440"/>
    <w:rsid w:val="004349DE"/>
    <w:rsid w:val="00434AF1"/>
    <w:rsid w:val="00434DB4"/>
    <w:rsid w:val="0043535B"/>
    <w:rsid w:val="0043538D"/>
    <w:rsid w:val="004353AE"/>
    <w:rsid w:val="004357B5"/>
    <w:rsid w:val="00435D2F"/>
    <w:rsid w:val="00435D9A"/>
    <w:rsid w:val="004365B9"/>
    <w:rsid w:val="00436C01"/>
    <w:rsid w:val="00436CFF"/>
    <w:rsid w:val="00436D03"/>
    <w:rsid w:val="00436FC5"/>
    <w:rsid w:val="004375B9"/>
    <w:rsid w:val="00437832"/>
    <w:rsid w:val="00437AA8"/>
    <w:rsid w:val="0044034E"/>
    <w:rsid w:val="00440602"/>
    <w:rsid w:val="00440687"/>
    <w:rsid w:val="00440A02"/>
    <w:rsid w:val="00440D3D"/>
    <w:rsid w:val="00440F9C"/>
    <w:rsid w:val="004410C7"/>
    <w:rsid w:val="00441233"/>
    <w:rsid w:val="0044129B"/>
    <w:rsid w:val="00441803"/>
    <w:rsid w:val="00441873"/>
    <w:rsid w:val="004425FD"/>
    <w:rsid w:val="0044260E"/>
    <w:rsid w:val="00442730"/>
    <w:rsid w:val="004428D0"/>
    <w:rsid w:val="00442B0A"/>
    <w:rsid w:val="00443112"/>
    <w:rsid w:val="00443587"/>
    <w:rsid w:val="0044379C"/>
    <w:rsid w:val="00443850"/>
    <w:rsid w:val="00443929"/>
    <w:rsid w:val="00443C14"/>
    <w:rsid w:val="00443D4D"/>
    <w:rsid w:val="00443DF5"/>
    <w:rsid w:val="00443E03"/>
    <w:rsid w:val="00444185"/>
    <w:rsid w:val="004443A7"/>
    <w:rsid w:val="0044442C"/>
    <w:rsid w:val="00444498"/>
    <w:rsid w:val="00444CF3"/>
    <w:rsid w:val="00444F79"/>
    <w:rsid w:val="004451A4"/>
    <w:rsid w:val="004454F2"/>
    <w:rsid w:val="004458FD"/>
    <w:rsid w:val="00445941"/>
    <w:rsid w:val="004462D2"/>
    <w:rsid w:val="004463CF"/>
    <w:rsid w:val="004464EB"/>
    <w:rsid w:val="0044651A"/>
    <w:rsid w:val="00446D6B"/>
    <w:rsid w:val="00446E1E"/>
    <w:rsid w:val="00446EEC"/>
    <w:rsid w:val="00446F6B"/>
    <w:rsid w:val="00447226"/>
    <w:rsid w:val="0044755E"/>
    <w:rsid w:val="00447C74"/>
    <w:rsid w:val="00447D26"/>
    <w:rsid w:val="00447DD7"/>
    <w:rsid w:val="00447DFC"/>
    <w:rsid w:val="00447F4E"/>
    <w:rsid w:val="00447FF7"/>
    <w:rsid w:val="004504A9"/>
    <w:rsid w:val="0045087A"/>
    <w:rsid w:val="004509CF"/>
    <w:rsid w:val="00450BC4"/>
    <w:rsid w:val="00451EAC"/>
    <w:rsid w:val="004523A4"/>
    <w:rsid w:val="004525F0"/>
    <w:rsid w:val="00452A3F"/>
    <w:rsid w:val="0045316F"/>
    <w:rsid w:val="00453B6B"/>
    <w:rsid w:val="00453E47"/>
    <w:rsid w:val="00454436"/>
    <w:rsid w:val="00454B45"/>
    <w:rsid w:val="00454FE1"/>
    <w:rsid w:val="004551C9"/>
    <w:rsid w:val="0045520C"/>
    <w:rsid w:val="004552F9"/>
    <w:rsid w:val="0045547B"/>
    <w:rsid w:val="004556DA"/>
    <w:rsid w:val="00455D45"/>
    <w:rsid w:val="00455DE5"/>
    <w:rsid w:val="00455F00"/>
    <w:rsid w:val="00456522"/>
    <w:rsid w:val="00456529"/>
    <w:rsid w:val="00456C6D"/>
    <w:rsid w:val="0045705F"/>
    <w:rsid w:val="004570EC"/>
    <w:rsid w:val="00457290"/>
    <w:rsid w:val="004576D6"/>
    <w:rsid w:val="00457FF2"/>
    <w:rsid w:val="004610C0"/>
    <w:rsid w:val="00461133"/>
    <w:rsid w:val="0046130D"/>
    <w:rsid w:val="0046159A"/>
    <w:rsid w:val="00461789"/>
    <w:rsid w:val="00461D91"/>
    <w:rsid w:val="004626CA"/>
    <w:rsid w:val="00462924"/>
    <w:rsid w:val="00462A89"/>
    <w:rsid w:val="00462DFD"/>
    <w:rsid w:val="00462F8D"/>
    <w:rsid w:val="00463B24"/>
    <w:rsid w:val="0046402B"/>
    <w:rsid w:val="00464595"/>
    <w:rsid w:val="00464663"/>
    <w:rsid w:val="004647BD"/>
    <w:rsid w:val="00464A26"/>
    <w:rsid w:val="00464AFA"/>
    <w:rsid w:val="00464E74"/>
    <w:rsid w:val="00464E9E"/>
    <w:rsid w:val="004653F3"/>
    <w:rsid w:val="0046544F"/>
    <w:rsid w:val="0046589A"/>
    <w:rsid w:val="004658B5"/>
    <w:rsid w:val="00465B71"/>
    <w:rsid w:val="00465F65"/>
    <w:rsid w:val="00466119"/>
    <w:rsid w:val="00466AC3"/>
    <w:rsid w:val="00466D1D"/>
    <w:rsid w:val="00466E5A"/>
    <w:rsid w:val="00466E62"/>
    <w:rsid w:val="004672F4"/>
    <w:rsid w:val="004675AB"/>
    <w:rsid w:val="00467ABC"/>
    <w:rsid w:val="00467CAE"/>
    <w:rsid w:val="00467E83"/>
    <w:rsid w:val="00470053"/>
    <w:rsid w:val="00470157"/>
    <w:rsid w:val="00470BA2"/>
    <w:rsid w:val="00470D35"/>
    <w:rsid w:val="0047116F"/>
    <w:rsid w:val="00471702"/>
    <w:rsid w:val="004719A9"/>
    <w:rsid w:val="00471D84"/>
    <w:rsid w:val="00471EA5"/>
    <w:rsid w:val="004728E3"/>
    <w:rsid w:val="00472957"/>
    <w:rsid w:val="00472960"/>
    <w:rsid w:val="00472A79"/>
    <w:rsid w:val="00472B48"/>
    <w:rsid w:val="00472CEC"/>
    <w:rsid w:val="0047306A"/>
    <w:rsid w:val="00473267"/>
    <w:rsid w:val="00473C73"/>
    <w:rsid w:val="00473D5B"/>
    <w:rsid w:val="00473D75"/>
    <w:rsid w:val="00473F19"/>
    <w:rsid w:val="00474647"/>
    <w:rsid w:val="00474A7F"/>
    <w:rsid w:val="00474E15"/>
    <w:rsid w:val="004750A8"/>
    <w:rsid w:val="00475248"/>
    <w:rsid w:val="00475458"/>
    <w:rsid w:val="004755B6"/>
    <w:rsid w:val="00475838"/>
    <w:rsid w:val="0047592E"/>
    <w:rsid w:val="00475B4F"/>
    <w:rsid w:val="00475D4A"/>
    <w:rsid w:val="00475E22"/>
    <w:rsid w:val="004760ED"/>
    <w:rsid w:val="00476551"/>
    <w:rsid w:val="00476AB6"/>
    <w:rsid w:val="00476E14"/>
    <w:rsid w:val="00476F84"/>
    <w:rsid w:val="00476FB8"/>
    <w:rsid w:val="004776BE"/>
    <w:rsid w:val="0047770F"/>
    <w:rsid w:val="0047793D"/>
    <w:rsid w:val="00477C6A"/>
    <w:rsid w:val="00480057"/>
    <w:rsid w:val="00480232"/>
    <w:rsid w:val="0048088E"/>
    <w:rsid w:val="00480A79"/>
    <w:rsid w:val="00480AAB"/>
    <w:rsid w:val="00480EF2"/>
    <w:rsid w:val="00480F2B"/>
    <w:rsid w:val="00481191"/>
    <w:rsid w:val="00481505"/>
    <w:rsid w:val="00481F95"/>
    <w:rsid w:val="004821F0"/>
    <w:rsid w:val="00482720"/>
    <w:rsid w:val="004828B3"/>
    <w:rsid w:val="00482CDC"/>
    <w:rsid w:val="00482F37"/>
    <w:rsid w:val="0048308E"/>
    <w:rsid w:val="0048346E"/>
    <w:rsid w:val="004834AF"/>
    <w:rsid w:val="004835E7"/>
    <w:rsid w:val="00483887"/>
    <w:rsid w:val="00483EC2"/>
    <w:rsid w:val="004844E7"/>
    <w:rsid w:val="00484CA8"/>
    <w:rsid w:val="00484CAF"/>
    <w:rsid w:val="00484EE4"/>
    <w:rsid w:val="004854E9"/>
    <w:rsid w:val="0048568D"/>
    <w:rsid w:val="004859E1"/>
    <w:rsid w:val="00485B1B"/>
    <w:rsid w:val="00485D0E"/>
    <w:rsid w:val="00485DAA"/>
    <w:rsid w:val="00486676"/>
    <w:rsid w:val="004867E2"/>
    <w:rsid w:val="00486B23"/>
    <w:rsid w:val="00486C90"/>
    <w:rsid w:val="00486FC8"/>
    <w:rsid w:val="00487093"/>
    <w:rsid w:val="00487493"/>
    <w:rsid w:val="004877F5"/>
    <w:rsid w:val="00487A3A"/>
    <w:rsid w:val="00487AD8"/>
    <w:rsid w:val="00487F5C"/>
    <w:rsid w:val="0049004A"/>
    <w:rsid w:val="00490208"/>
    <w:rsid w:val="004906B8"/>
    <w:rsid w:val="004906C6"/>
    <w:rsid w:val="0049097E"/>
    <w:rsid w:val="00490A33"/>
    <w:rsid w:val="00490B17"/>
    <w:rsid w:val="00490DF0"/>
    <w:rsid w:val="00490F58"/>
    <w:rsid w:val="00491231"/>
    <w:rsid w:val="004917AD"/>
    <w:rsid w:val="004917DF"/>
    <w:rsid w:val="0049196C"/>
    <w:rsid w:val="00491B3A"/>
    <w:rsid w:val="00491C0A"/>
    <w:rsid w:val="00491FEE"/>
    <w:rsid w:val="00492342"/>
    <w:rsid w:val="0049292C"/>
    <w:rsid w:val="00492CFD"/>
    <w:rsid w:val="00493054"/>
    <w:rsid w:val="00493138"/>
    <w:rsid w:val="0049364A"/>
    <w:rsid w:val="00493858"/>
    <w:rsid w:val="0049397D"/>
    <w:rsid w:val="00494207"/>
    <w:rsid w:val="0049441A"/>
    <w:rsid w:val="00494DD5"/>
    <w:rsid w:val="00494E12"/>
    <w:rsid w:val="00494FFC"/>
    <w:rsid w:val="0049547F"/>
    <w:rsid w:val="00495760"/>
    <w:rsid w:val="00495AB3"/>
    <w:rsid w:val="00495B35"/>
    <w:rsid w:val="00495CDF"/>
    <w:rsid w:val="00495E14"/>
    <w:rsid w:val="00495FE9"/>
    <w:rsid w:val="00496167"/>
    <w:rsid w:val="0049625F"/>
    <w:rsid w:val="004962D2"/>
    <w:rsid w:val="00496480"/>
    <w:rsid w:val="004964EC"/>
    <w:rsid w:val="004967A4"/>
    <w:rsid w:val="004969D8"/>
    <w:rsid w:val="00496A03"/>
    <w:rsid w:val="00496C42"/>
    <w:rsid w:val="00496D52"/>
    <w:rsid w:val="00496DE3"/>
    <w:rsid w:val="00496F8F"/>
    <w:rsid w:val="004971BE"/>
    <w:rsid w:val="0049757E"/>
    <w:rsid w:val="004975E7"/>
    <w:rsid w:val="00497710"/>
    <w:rsid w:val="00497712"/>
    <w:rsid w:val="0049780E"/>
    <w:rsid w:val="00497B7C"/>
    <w:rsid w:val="00497E96"/>
    <w:rsid w:val="004A09CF"/>
    <w:rsid w:val="004A0DA1"/>
    <w:rsid w:val="004A13D6"/>
    <w:rsid w:val="004A1E12"/>
    <w:rsid w:val="004A2041"/>
    <w:rsid w:val="004A26DB"/>
    <w:rsid w:val="004A2748"/>
    <w:rsid w:val="004A296F"/>
    <w:rsid w:val="004A2DFF"/>
    <w:rsid w:val="004A2E83"/>
    <w:rsid w:val="004A334B"/>
    <w:rsid w:val="004A34F2"/>
    <w:rsid w:val="004A3669"/>
    <w:rsid w:val="004A3AB1"/>
    <w:rsid w:val="004A3B4D"/>
    <w:rsid w:val="004A3C12"/>
    <w:rsid w:val="004A3E2F"/>
    <w:rsid w:val="004A4072"/>
    <w:rsid w:val="004A407D"/>
    <w:rsid w:val="004A44B7"/>
    <w:rsid w:val="004A468D"/>
    <w:rsid w:val="004A4762"/>
    <w:rsid w:val="004A476D"/>
    <w:rsid w:val="004A4B8B"/>
    <w:rsid w:val="004A4FA7"/>
    <w:rsid w:val="004A516E"/>
    <w:rsid w:val="004A52E9"/>
    <w:rsid w:val="004A55B0"/>
    <w:rsid w:val="004A5B2B"/>
    <w:rsid w:val="004A6040"/>
    <w:rsid w:val="004A619B"/>
    <w:rsid w:val="004A64C9"/>
    <w:rsid w:val="004A6597"/>
    <w:rsid w:val="004A66BC"/>
    <w:rsid w:val="004A6851"/>
    <w:rsid w:val="004A6D64"/>
    <w:rsid w:val="004A729A"/>
    <w:rsid w:val="004A75E2"/>
    <w:rsid w:val="004A7848"/>
    <w:rsid w:val="004A793B"/>
    <w:rsid w:val="004A7A4E"/>
    <w:rsid w:val="004A7F8D"/>
    <w:rsid w:val="004B0199"/>
    <w:rsid w:val="004B0964"/>
    <w:rsid w:val="004B1285"/>
    <w:rsid w:val="004B16CA"/>
    <w:rsid w:val="004B16EA"/>
    <w:rsid w:val="004B181C"/>
    <w:rsid w:val="004B1C2F"/>
    <w:rsid w:val="004B1CB4"/>
    <w:rsid w:val="004B2619"/>
    <w:rsid w:val="004B281E"/>
    <w:rsid w:val="004B2F18"/>
    <w:rsid w:val="004B351F"/>
    <w:rsid w:val="004B3DDB"/>
    <w:rsid w:val="004B4108"/>
    <w:rsid w:val="004B4220"/>
    <w:rsid w:val="004B4229"/>
    <w:rsid w:val="004B44FD"/>
    <w:rsid w:val="004B5078"/>
    <w:rsid w:val="004B5257"/>
    <w:rsid w:val="004B5808"/>
    <w:rsid w:val="004B5964"/>
    <w:rsid w:val="004B5CFC"/>
    <w:rsid w:val="004B5E61"/>
    <w:rsid w:val="004B5E9D"/>
    <w:rsid w:val="004B5F64"/>
    <w:rsid w:val="004B6131"/>
    <w:rsid w:val="004B6804"/>
    <w:rsid w:val="004B6F79"/>
    <w:rsid w:val="004B6FD0"/>
    <w:rsid w:val="004B773B"/>
    <w:rsid w:val="004B774D"/>
    <w:rsid w:val="004B7817"/>
    <w:rsid w:val="004B7B37"/>
    <w:rsid w:val="004B7C15"/>
    <w:rsid w:val="004B7CEB"/>
    <w:rsid w:val="004C0194"/>
    <w:rsid w:val="004C071E"/>
    <w:rsid w:val="004C0C97"/>
    <w:rsid w:val="004C0CAD"/>
    <w:rsid w:val="004C14F5"/>
    <w:rsid w:val="004C1843"/>
    <w:rsid w:val="004C21A2"/>
    <w:rsid w:val="004C2491"/>
    <w:rsid w:val="004C273B"/>
    <w:rsid w:val="004C2AC2"/>
    <w:rsid w:val="004C2F1B"/>
    <w:rsid w:val="004C3537"/>
    <w:rsid w:val="004C38F0"/>
    <w:rsid w:val="004C3939"/>
    <w:rsid w:val="004C3B02"/>
    <w:rsid w:val="004C40BD"/>
    <w:rsid w:val="004C42C1"/>
    <w:rsid w:val="004C4397"/>
    <w:rsid w:val="004C4429"/>
    <w:rsid w:val="004C4AED"/>
    <w:rsid w:val="004C4EA7"/>
    <w:rsid w:val="004C5464"/>
    <w:rsid w:val="004C57DB"/>
    <w:rsid w:val="004C5FE2"/>
    <w:rsid w:val="004C638A"/>
    <w:rsid w:val="004C678D"/>
    <w:rsid w:val="004C6EB9"/>
    <w:rsid w:val="004C7352"/>
    <w:rsid w:val="004C73CD"/>
    <w:rsid w:val="004C73E2"/>
    <w:rsid w:val="004C76B1"/>
    <w:rsid w:val="004C77F5"/>
    <w:rsid w:val="004C7882"/>
    <w:rsid w:val="004C7B57"/>
    <w:rsid w:val="004C7D07"/>
    <w:rsid w:val="004C7D51"/>
    <w:rsid w:val="004C7F2E"/>
    <w:rsid w:val="004D0EA7"/>
    <w:rsid w:val="004D1754"/>
    <w:rsid w:val="004D1EC7"/>
    <w:rsid w:val="004D2296"/>
    <w:rsid w:val="004D22CE"/>
    <w:rsid w:val="004D2531"/>
    <w:rsid w:val="004D2C2D"/>
    <w:rsid w:val="004D2CEB"/>
    <w:rsid w:val="004D2E27"/>
    <w:rsid w:val="004D38A2"/>
    <w:rsid w:val="004D3C8E"/>
    <w:rsid w:val="004D3E81"/>
    <w:rsid w:val="004D3F28"/>
    <w:rsid w:val="004D4698"/>
    <w:rsid w:val="004D4B36"/>
    <w:rsid w:val="004D4CFE"/>
    <w:rsid w:val="004D4D5E"/>
    <w:rsid w:val="004D4F64"/>
    <w:rsid w:val="004D50E0"/>
    <w:rsid w:val="004D56F3"/>
    <w:rsid w:val="004D57E8"/>
    <w:rsid w:val="004D5CA4"/>
    <w:rsid w:val="004D6521"/>
    <w:rsid w:val="004D69B5"/>
    <w:rsid w:val="004D7069"/>
    <w:rsid w:val="004D7227"/>
    <w:rsid w:val="004D7297"/>
    <w:rsid w:val="004D74EF"/>
    <w:rsid w:val="004D7945"/>
    <w:rsid w:val="004D7B5E"/>
    <w:rsid w:val="004D7CBB"/>
    <w:rsid w:val="004D7F81"/>
    <w:rsid w:val="004E00B4"/>
    <w:rsid w:val="004E0B58"/>
    <w:rsid w:val="004E0E7F"/>
    <w:rsid w:val="004E0EB8"/>
    <w:rsid w:val="004E1265"/>
    <w:rsid w:val="004E18E9"/>
    <w:rsid w:val="004E219B"/>
    <w:rsid w:val="004E227C"/>
    <w:rsid w:val="004E2ADC"/>
    <w:rsid w:val="004E376B"/>
    <w:rsid w:val="004E384A"/>
    <w:rsid w:val="004E3A88"/>
    <w:rsid w:val="004E3BEA"/>
    <w:rsid w:val="004E4026"/>
    <w:rsid w:val="004E43B2"/>
    <w:rsid w:val="004E49BD"/>
    <w:rsid w:val="004E4AF0"/>
    <w:rsid w:val="004E4C35"/>
    <w:rsid w:val="004E4EE1"/>
    <w:rsid w:val="004E515F"/>
    <w:rsid w:val="004E5377"/>
    <w:rsid w:val="004E583D"/>
    <w:rsid w:val="004E5AC5"/>
    <w:rsid w:val="004E5B00"/>
    <w:rsid w:val="004E5B1B"/>
    <w:rsid w:val="004E5C70"/>
    <w:rsid w:val="004E5DE0"/>
    <w:rsid w:val="004E6050"/>
    <w:rsid w:val="004E67AC"/>
    <w:rsid w:val="004E68DA"/>
    <w:rsid w:val="004E69EA"/>
    <w:rsid w:val="004E6BCB"/>
    <w:rsid w:val="004E6E2F"/>
    <w:rsid w:val="004E7187"/>
    <w:rsid w:val="004E7CB9"/>
    <w:rsid w:val="004E7EFC"/>
    <w:rsid w:val="004F01E2"/>
    <w:rsid w:val="004F0531"/>
    <w:rsid w:val="004F057E"/>
    <w:rsid w:val="004F0767"/>
    <w:rsid w:val="004F08BD"/>
    <w:rsid w:val="004F0A2B"/>
    <w:rsid w:val="004F0C1E"/>
    <w:rsid w:val="004F0CD2"/>
    <w:rsid w:val="004F0E18"/>
    <w:rsid w:val="004F0EF0"/>
    <w:rsid w:val="004F106A"/>
    <w:rsid w:val="004F129D"/>
    <w:rsid w:val="004F1400"/>
    <w:rsid w:val="004F14A1"/>
    <w:rsid w:val="004F1736"/>
    <w:rsid w:val="004F1764"/>
    <w:rsid w:val="004F1D02"/>
    <w:rsid w:val="004F1D12"/>
    <w:rsid w:val="004F2679"/>
    <w:rsid w:val="004F2F21"/>
    <w:rsid w:val="004F2F4E"/>
    <w:rsid w:val="004F3305"/>
    <w:rsid w:val="004F3443"/>
    <w:rsid w:val="004F3712"/>
    <w:rsid w:val="004F3DE5"/>
    <w:rsid w:val="004F3E7B"/>
    <w:rsid w:val="004F4247"/>
    <w:rsid w:val="004F4719"/>
    <w:rsid w:val="004F4B9B"/>
    <w:rsid w:val="004F4D2D"/>
    <w:rsid w:val="004F4D56"/>
    <w:rsid w:val="004F53FF"/>
    <w:rsid w:val="004F5D36"/>
    <w:rsid w:val="004F5F9A"/>
    <w:rsid w:val="004F61C8"/>
    <w:rsid w:val="004F6409"/>
    <w:rsid w:val="004F6913"/>
    <w:rsid w:val="004F6F69"/>
    <w:rsid w:val="004F6FAF"/>
    <w:rsid w:val="004F7189"/>
    <w:rsid w:val="004F760C"/>
    <w:rsid w:val="004F7622"/>
    <w:rsid w:val="004F7865"/>
    <w:rsid w:val="004F7E6F"/>
    <w:rsid w:val="004F7E8B"/>
    <w:rsid w:val="004F7F4E"/>
    <w:rsid w:val="005005D3"/>
    <w:rsid w:val="0050174E"/>
    <w:rsid w:val="00501784"/>
    <w:rsid w:val="00501854"/>
    <w:rsid w:val="00501B5B"/>
    <w:rsid w:val="0050219B"/>
    <w:rsid w:val="00502537"/>
    <w:rsid w:val="005028A2"/>
    <w:rsid w:val="00502E67"/>
    <w:rsid w:val="005030F0"/>
    <w:rsid w:val="0050391D"/>
    <w:rsid w:val="00503B86"/>
    <w:rsid w:val="00503EEE"/>
    <w:rsid w:val="00503F17"/>
    <w:rsid w:val="00503F3A"/>
    <w:rsid w:val="00504132"/>
    <w:rsid w:val="00504401"/>
    <w:rsid w:val="005044BA"/>
    <w:rsid w:val="005047A1"/>
    <w:rsid w:val="00504C32"/>
    <w:rsid w:val="00505203"/>
    <w:rsid w:val="00505929"/>
    <w:rsid w:val="00505ED0"/>
    <w:rsid w:val="005061F6"/>
    <w:rsid w:val="00506263"/>
    <w:rsid w:val="00506928"/>
    <w:rsid w:val="00506CB8"/>
    <w:rsid w:val="005070B9"/>
    <w:rsid w:val="00507189"/>
    <w:rsid w:val="0050740E"/>
    <w:rsid w:val="00507665"/>
    <w:rsid w:val="00507754"/>
    <w:rsid w:val="005077EF"/>
    <w:rsid w:val="00507800"/>
    <w:rsid w:val="005078D9"/>
    <w:rsid w:val="005100CF"/>
    <w:rsid w:val="00510123"/>
    <w:rsid w:val="00510258"/>
    <w:rsid w:val="00510A80"/>
    <w:rsid w:val="00510A88"/>
    <w:rsid w:val="00510EC8"/>
    <w:rsid w:val="00511564"/>
    <w:rsid w:val="00511610"/>
    <w:rsid w:val="005118B3"/>
    <w:rsid w:val="00511AD5"/>
    <w:rsid w:val="00511B51"/>
    <w:rsid w:val="00511DC7"/>
    <w:rsid w:val="00512089"/>
    <w:rsid w:val="005121DF"/>
    <w:rsid w:val="005122E1"/>
    <w:rsid w:val="0051248C"/>
    <w:rsid w:val="0051299A"/>
    <w:rsid w:val="005129A7"/>
    <w:rsid w:val="00512BB2"/>
    <w:rsid w:val="00512CEF"/>
    <w:rsid w:val="00512F33"/>
    <w:rsid w:val="00512FEE"/>
    <w:rsid w:val="00512FF8"/>
    <w:rsid w:val="0051322C"/>
    <w:rsid w:val="0051363C"/>
    <w:rsid w:val="00513AE1"/>
    <w:rsid w:val="00513BE3"/>
    <w:rsid w:val="005142C5"/>
    <w:rsid w:val="005145D1"/>
    <w:rsid w:val="00514691"/>
    <w:rsid w:val="005147EA"/>
    <w:rsid w:val="0051482C"/>
    <w:rsid w:val="0051501B"/>
    <w:rsid w:val="005152B5"/>
    <w:rsid w:val="00515886"/>
    <w:rsid w:val="00515B4E"/>
    <w:rsid w:val="005163D4"/>
    <w:rsid w:val="005166FF"/>
    <w:rsid w:val="0051677E"/>
    <w:rsid w:val="005167BC"/>
    <w:rsid w:val="00516E42"/>
    <w:rsid w:val="00516FCF"/>
    <w:rsid w:val="0051714B"/>
    <w:rsid w:val="005173B3"/>
    <w:rsid w:val="00517A4C"/>
    <w:rsid w:val="00517ACF"/>
    <w:rsid w:val="00517CB1"/>
    <w:rsid w:val="00520159"/>
    <w:rsid w:val="0052022F"/>
    <w:rsid w:val="00520BA0"/>
    <w:rsid w:val="00520C68"/>
    <w:rsid w:val="00520D21"/>
    <w:rsid w:val="00521143"/>
    <w:rsid w:val="0052123C"/>
    <w:rsid w:val="00521290"/>
    <w:rsid w:val="00521319"/>
    <w:rsid w:val="00521330"/>
    <w:rsid w:val="00521767"/>
    <w:rsid w:val="00521B25"/>
    <w:rsid w:val="00521EFF"/>
    <w:rsid w:val="00522699"/>
    <w:rsid w:val="005228AF"/>
    <w:rsid w:val="00522904"/>
    <w:rsid w:val="00522BC8"/>
    <w:rsid w:val="00522EFF"/>
    <w:rsid w:val="00523201"/>
    <w:rsid w:val="00523368"/>
    <w:rsid w:val="00523C28"/>
    <w:rsid w:val="00524293"/>
    <w:rsid w:val="0052442A"/>
    <w:rsid w:val="00524B47"/>
    <w:rsid w:val="005257C8"/>
    <w:rsid w:val="00525A90"/>
    <w:rsid w:val="00525F34"/>
    <w:rsid w:val="00525F4C"/>
    <w:rsid w:val="00526057"/>
    <w:rsid w:val="0052644A"/>
    <w:rsid w:val="0052669A"/>
    <w:rsid w:val="00526F9F"/>
    <w:rsid w:val="0052740B"/>
    <w:rsid w:val="00527570"/>
    <w:rsid w:val="0052763F"/>
    <w:rsid w:val="00527E0A"/>
    <w:rsid w:val="00527EE2"/>
    <w:rsid w:val="005304DB"/>
    <w:rsid w:val="0053069D"/>
    <w:rsid w:val="0053070D"/>
    <w:rsid w:val="005307BA"/>
    <w:rsid w:val="00530967"/>
    <w:rsid w:val="00530C4B"/>
    <w:rsid w:val="005312B5"/>
    <w:rsid w:val="005312BD"/>
    <w:rsid w:val="00531404"/>
    <w:rsid w:val="00531509"/>
    <w:rsid w:val="00531755"/>
    <w:rsid w:val="0053176B"/>
    <w:rsid w:val="0053197F"/>
    <w:rsid w:val="00531AB6"/>
    <w:rsid w:val="00531F4B"/>
    <w:rsid w:val="00532951"/>
    <w:rsid w:val="005329AB"/>
    <w:rsid w:val="00532B48"/>
    <w:rsid w:val="00532B81"/>
    <w:rsid w:val="00532E1B"/>
    <w:rsid w:val="00532F08"/>
    <w:rsid w:val="00532F20"/>
    <w:rsid w:val="005333D9"/>
    <w:rsid w:val="00533EE2"/>
    <w:rsid w:val="005341B3"/>
    <w:rsid w:val="005342CD"/>
    <w:rsid w:val="005349E5"/>
    <w:rsid w:val="00534AE3"/>
    <w:rsid w:val="00534BDE"/>
    <w:rsid w:val="00534DF3"/>
    <w:rsid w:val="00534F79"/>
    <w:rsid w:val="00535079"/>
    <w:rsid w:val="005350F1"/>
    <w:rsid w:val="00535230"/>
    <w:rsid w:val="005352A6"/>
    <w:rsid w:val="005354D7"/>
    <w:rsid w:val="005355A3"/>
    <w:rsid w:val="00535827"/>
    <w:rsid w:val="00535CF9"/>
    <w:rsid w:val="0053609C"/>
    <w:rsid w:val="005363A8"/>
    <w:rsid w:val="005366AC"/>
    <w:rsid w:val="0053681C"/>
    <w:rsid w:val="0053688A"/>
    <w:rsid w:val="00536B03"/>
    <w:rsid w:val="00536D6F"/>
    <w:rsid w:val="00536F1A"/>
    <w:rsid w:val="00536F42"/>
    <w:rsid w:val="00537182"/>
    <w:rsid w:val="00540781"/>
    <w:rsid w:val="00540DB4"/>
    <w:rsid w:val="005412F8"/>
    <w:rsid w:val="00541353"/>
    <w:rsid w:val="005415B0"/>
    <w:rsid w:val="005419C4"/>
    <w:rsid w:val="00541B19"/>
    <w:rsid w:val="00541EDD"/>
    <w:rsid w:val="00541FAA"/>
    <w:rsid w:val="00542436"/>
    <w:rsid w:val="005425B7"/>
    <w:rsid w:val="0054261C"/>
    <w:rsid w:val="00542679"/>
    <w:rsid w:val="00542743"/>
    <w:rsid w:val="005427A0"/>
    <w:rsid w:val="00542919"/>
    <w:rsid w:val="005429A0"/>
    <w:rsid w:val="00542A0F"/>
    <w:rsid w:val="00542C2D"/>
    <w:rsid w:val="00542D3D"/>
    <w:rsid w:val="00542FF4"/>
    <w:rsid w:val="00543310"/>
    <w:rsid w:val="0054335D"/>
    <w:rsid w:val="00544430"/>
    <w:rsid w:val="0054453A"/>
    <w:rsid w:val="005445B6"/>
    <w:rsid w:val="0054474D"/>
    <w:rsid w:val="0054478F"/>
    <w:rsid w:val="00544812"/>
    <w:rsid w:val="00544B94"/>
    <w:rsid w:val="00544D7E"/>
    <w:rsid w:val="0054596E"/>
    <w:rsid w:val="00545CBB"/>
    <w:rsid w:val="00545D5A"/>
    <w:rsid w:val="00545FB8"/>
    <w:rsid w:val="0054630A"/>
    <w:rsid w:val="00546711"/>
    <w:rsid w:val="005467D1"/>
    <w:rsid w:val="00546AD2"/>
    <w:rsid w:val="00546DD2"/>
    <w:rsid w:val="00547010"/>
    <w:rsid w:val="00547028"/>
    <w:rsid w:val="00547695"/>
    <w:rsid w:val="0054778F"/>
    <w:rsid w:val="005478BD"/>
    <w:rsid w:val="005479E3"/>
    <w:rsid w:val="00547B03"/>
    <w:rsid w:val="005507A2"/>
    <w:rsid w:val="005508A1"/>
    <w:rsid w:val="005514AE"/>
    <w:rsid w:val="00551659"/>
    <w:rsid w:val="00551764"/>
    <w:rsid w:val="00551985"/>
    <w:rsid w:val="00551E1C"/>
    <w:rsid w:val="00551FF2"/>
    <w:rsid w:val="00552970"/>
    <w:rsid w:val="00552BD3"/>
    <w:rsid w:val="00552FD5"/>
    <w:rsid w:val="005531E6"/>
    <w:rsid w:val="00553277"/>
    <w:rsid w:val="005532A0"/>
    <w:rsid w:val="0055362D"/>
    <w:rsid w:val="005538BC"/>
    <w:rsid w:val="00553971"/>
    <w:rsid w:val="005542E9"/>
    <w:rsid w:val="00554526"/>
    <w:rsid w:val="005547CF"/>
    <w:rsid w:val="005549C6"/>
    <w:rsid w:val="00554AB5"/>
    <w:rsid w:val="00554B2F"/>
    <w:rsid w:val="00554E88"/>
    <w:rsid w:val="00555109"/>
    <w:rsid w:val="005552F5"/>
    <w:rsid w:val="00555619"/>
    <w:rsid w:val="00555634"/>
    <w:rsid w:val="00555AEE"/>
    <w:rsid w:val="00555B50"/>
    <w:rsid w:val="005564B5"/>
    <w:rsid w:val="00556706"/>
    <w:rsid w:val="005568C4"/>
    <w:rsid w:val="00556B35"/>
    <w:rsid w:val="005572EE"/>
    <w:rsid w:val="005573E6"/>
    <w:rsid w:val="0055741A"/>
    <w:rsid w:val="00557578"/>
    <w:rsid w:val="00557748"/>
    <w:rsid w:val="005579B6"/>
    <w:rsid w:val="00557E29"/>
    <w:rsid w:val="00557F60"/>
    <w:rsid w:val="005600D4"/>
    <w:rsid w:val="00560147"/>
    <w:rsid w:val="005608B2"/>
    <w:rsid w:val="005611B7"/>
    <w:rsid w:val="005612B9"/>
    <w:rsid w:val="005618D4"/>
    <w:rsid w:val="0056199A"/>
    <w:rsid w:val="00561AD0"/>
    <w:rsid w:val="005620FB"/>
    <w:rsid w:val="00562224"/>
    <w:rsid w:val="005625BF"/>
    <w:rsid w:val="00562681"/>
    <w:rsid w:val="00562964"/>
    <w:rsid w:val="0056311A"/>
    <w:rsid w:val="005632D1"/>
    <w:rsid w:val="00563335"/>
    <w:rsid w:val="0056350E"/>
    <w:rsid w:val="005635FA"/>
    <w:rsid w:val="00563D9D"/>
    <w:rsid w:val="005640AE"/>
    <w:rsid w:val="0056458E"/>
    <w:rsid w:val="00564867"/>
    <w:rsid w:val="00564B1E"/>
    <w:rsid w:val="00564FF2"/>
    <w:rsid w:val="00565336"/>
    <w:rsid w:val="00565C79"/>
    <w:rsid w:val="00565DF0"/>
    <w:rsid w:val="00565E5A"/>
    <w:rsid w:val="0056605F"/>
    <w:rsid w:val="00566219"/>
    <w:rsid w:val="00566462"/>
    <w:rsid w:val="00566684"/>
    <w:rsid w:val="005666C0"/>
    <w:rsid w:val="005668D3"/>
    <w:rsid w:val="0056696F"/>
    <w:rsid w:val="00566E1C"/>
    <w:rsid w:val="00567279"/>
    <w:rsid w:val="00567622"/>
    <w:rsid w:val="00567FCC"/>
    <w:rsid w:val="005701F4"/>
    <w:rsid w:val="0057022C"/>
    <w:rsid w:val="00570536"/>
    <w:rsid w:val="0057085A"/>
    <w:rsid w:val="00570A54"/>
    <w:rsid w:val="00570ADD"/>
    <w:rsid w:val="00570BF7"/>
    <w:rsid w:val="00570F0C"/>
    <w:rsid w:val="005721BD"/>
    <w:rsid w:val="00572269"/>
    <w:rsid w:val="0057244A"/>
    <w:rsid w:val="00572723"/>
    <w:rsid w:val="00572763"/>
    <w:rsid w:val="00572C69"/>
    <w:rsid w:val="00572F26"/>
    <w:rsid w:val="00573192"/>
    <w:rsid w:val="00573238"/>
    <w:rsid w:val="00573406"/>
    <w:rsid w:val="005739E3"/>
    <w:rsid w:val="00573C39"/>
    <w:rsid w:val="005740E2"/>
    <w:rsid w:val="00574399"/>
    <w:rsid w:val="0057450B"/>
    <w:rsid w:val="00574B66"/>
    <w:rsid w:val="005750C5"/>
    <w:rsid w:val="005751A4"/>
    <w:rsid w:val="005751F1"/>
    <w:rsid w:val="005752DE"/>
    <w:rsid w:val="0057594D"/>
    <w:rsid w:val="00575A4B"/>
    <w:rsid w:val="00575B8D"/>
    <w:rsid w:val="00575D60"/>
    <w:rsid w:val="00575D8D"/>
    <w:rsid w:val="00576176"/>
    <w:rsid w:val="00576485"/>
    <w:rsid w:val="0057682A"/>
    <w:rsid w:val="00576972"/>
    <w:rsid w:val="00577248"/>
    <w:rsid w:val="0057732F"/>
    <w:rsid w:val="0057747D"/>
    <w:rsid w:val="00577716"/>
    <w:rsid w:val="00577CC5"/>
    <w:rsid w:val="00577D60"/>
    <w:rsid w:val="005802ED"/>
    <w:rsid w:val="005804ED"/>
    <w:rsid w:val="0058074B"/>
    <w:rsid w:val="00580A11"/>
    <w:rsid w:val="00580DFD"/>
    <w:rsid w:val="00580E44"/>
    <w:rsid w:val="00581404"/>
    <w:rsid w:val="0058147B"/>
    <w:rsid w:val="00581663"/>
    <w:rsid w:val="005820DC"/>
    <w:rsid w:val="00582636"/>
    <w:rsid w:val="0058271C"/>
    <w:rsid w:val="00582AE5"/>
    <w:rsid w:val="00582C1B"/>
    <w:rsid w:val="00582D3C"/>
    <w:rsid w:val="00582EBB"/>
    <w:rsid w:val="00583380"/>
    <w:rsid w:val="00583699"/>
    <w:rsid w:val="00583A22"/>
    <w:rsid w:val="00583B6F"/>
    <w:rsid w:val="00583DEB"/>
    <w:rsid w:val="00583EBA"/>
    <w:rsid w:val="00583ED6"/>
    <w:rsid w:val="00584338"/>
    <w:rsid w:val="0058479E"/>
    <w:rsid w:val="00584AB8"/>
    <w:rsid w:val="00584B4E"/>
    <w:rsid w:val="00584F0D"/>
    <w:rsid w:val="00585049"/>
    <w:rsid w:val="00585CDD"/>
    <w:rsid w:val="00585FC4"/>
    <w:rsid w:val="00586492"/>
    <w:rsid w:val="0058666A"/>
    <w:rsid w:val="00586755"/>
    <w:rsid w:val="00586894"/>
    <w:rsid w:val="00586BD0"/>
    <w:rsid w:val="00586D8E"/>
    <w:rsid w:val="00586F48"/>
    <w:rsid w:val="00586FBC"/>
    <w:rsid w:val="00587058"/>
    <w:rsid w:val="005871B7"/>
    <w:rsid w:val="005876FB"/>
    <w:rsid w:val="00587F43"/>
    <w:rsid w:val="00587FF3"/>
    <w:rsid w:val="0059025F"/>
    <w:rsid w:val="00590A09"/>
    <w:rsid w:val="00590D13"/>
    <w:rsid w:val="00591957"/>
    <w:rsid w:val="00591E70"/>
    <w:rsid w:val="005920D2"/>
    <w:rsid w:val="00592319"/>
    <w:rsid w:val="005923B3"/>
    <w:rsid w:val="0059313D"/>
    <w:rsid w:val="00593292"/>
    <w:rsid w:val="0059421B"/>
    <w:rsid w:val="00594691"/>
    <w:rsid w:val="00594976"/>
    <w:rsid w:val="00594E9D"/>
    <w:rsid w:val="0059502E"/>
    <w:rsid w:val="005952AA"/>
    <w:rsid w:val="005954C1"/>
    <w:rsid w:val="0059582D"/>
    <w:rsid w:val="005959FB"/>
    <w:rsid w:val="00595D5F"/>
    <w:rsid w:val="005960FF"/>
    <w:rsid w:val="00596786"/>
    <w:rsid w:val="005968E0"/>
    <w:rsid w:val="00596A8D"/>
    <w:rsid w:val="00596BEE"/>
    <w:rsid w:val="00596C67"/>
    <w:rsid w:val="00597664"/>
    <w:rsid w:val="005976BB"/>
    <w:rsid w:val="005976D5"/>
    <w:rsid w:val="00597B83"/>
    <w:rsid w:val="00597BF9"/>
    <w:rsid w:val="00597E30"/>
    <w:rsid w:val="00597E43"/>
    <w:rsid w:val="005A0013"/>
    <w:rsid w:val="005A0284"/>
    <w:rsid w:val="005A097C"/>
    <w:rsid w:val="005A0C11"/>
    <w:rsid w:val="005A0F2F"/>
    <w:rsid w:val="005A15E4"/>
    <w:rsid w:val="005A17F7"/>
    <w:rsid w:val="005A1CE3"/>
    <w:rsid w:val="005A222E"/>
    <w:rsid w:val="005A289E"/>
    <w:rsid w:val="005A28CC"/>
    <w:rsid w:val="005A2D52"/>
    <w:rsid w:val="005A2DAE"/>
    <w:rsid w:val="005A2F74"/>
    <w:rsid w:val="005A3030"/>
    <w:rsid w:val="005A309A"/>
    <w:rsid w:val="005A366E"/>
    <w:rsid w:val="005A373D"/>
    <w:rsid w:val="005A39F3"/>
    <w:rsid w:val="005A3C67"/>
    <w:rsid w:val="005A40C3"/>
    <w:rsid w:val="005A4A55"/>
    <w:rsid w:val="005A5673"/>
    <w:rsid w:val="005A589B"/>
    <w:rsid w:val="005A5A5F"/>
    <w:rsid w:val="005A5A8F"/>
    <w:rsid w:val="005A5B41"/>
    <w:rsid w:val="005A5EDD"/>
    <w:rsid w:val="005A5FE1"/>
    <w:rsid w:val="005A66BB"/>
    <w:rsid w:val="005A715F"/>
    <w:rsid w:val="005A72C5"/>
    <w:rsid w:val="005A75A9"/>
    <w:rsid w:val="005A7648"/>
    <w:rsid w:val="005A786D"/>
    <w:rsid w:val="005B018C"/>
    <w:rsid w:val="005B0773"/>
    <w:rsid w:val="005B0B58"/>
    <w:rsid w:val="005B0D9E"/>
    <w:rsid w:val="005B0FEA"/>
    <w:rsid w:val="005B1179"/>
    <w:rsid w:val="005B15F2"/>
    <w:rsid w:val="005B1614"/>
    <w:rsid w:val="005B1792"/>
    <w:rsid w:val="005B1B8E"/>
    <w:rsid w:val="005B1C19"/>
    <w:rsid w:val="005B1CF1"/>
    <w:rsid w:val="005B1EA5"/>
    <w:rsid w:val="005B1ED9"/>
    <w:rsid w:val="005B1F11"/>
    <w:rsid w:val="005B1F3A"/>
    <w:rsid w:val="005B250B"/>
    <w:rsid w:val="005B253A"/>
    <w:rsid w:val="005B2B8B"/>
    <w:rsid w:val="005B2F40"/>
    <w:rsid w:val="005B33CC"/>
    <w:rsid w:val="005B351A"/>
    <w:rsid w:val="005B3696"/>
    <w:rsid w:val="005B39F2"/>
    <w:rsid w:val="005B3CBF"/>
    <w:rsid w:val="005B3D23"/>
    <w:rsid w:val="005B40D5"/>
    <w:rsid w:val="005B419C"/>
    <w:rsid w:val="005B427B"/>
    <w:rsid w:val="005B42BB"/>
    <w:rsid w:val="005B4527"/>
    <w:rsid w:val="005B467A"/>
    <w:rsid w:val="005B467B"/>
    <w:rsid w:val="005B4E53"/>
    <w:rsid w:val="005B4EF1"/>
    <w:rsid w:val="005B4F09"/>
    <w:rsid w:val="005B52AF"/>
    <w:rsid w:val="005B537F"/>
    <w:rsid w:val="005B5857"/>
    <w:rsid w:val="005B58C2"/>
    <w:rsid w:val="005B61C5"/>
    <w:rsid w:val="005B63B8"/>
    <w:rsid w:val="005B64CA"/>
    <w:rsid w:val="005B6648"/>
    <w:rsid w:val="005B6D0E"/>
    <w:rsid w:val="005B6DBC"/>
    <w:rsid w:val="005B7089"/>
    <w:rsid w:val="005B7408"/>
    <w:rsid w:val="005B781D"/>
    <w:rsid w:val="005B7A3C"/>
    <w:rsid w:val="005C008A"/>
    <w:rsid w:val="005C0153"/>
    <w:rsid w:val="005C0429"/>
    <w:rsid w:val="005C0A19"/>
    <w:rsid w:val="005C0DB4"/>
    <w:rsid w:val="005C1694"/>
    <w:rsid w:val="005C19C4"/>
    <w:rsid w:val="005C1B83"/>
    <w:rsid w:val="005C1BCA"/>
    <w:rsid w:val="005C1E79"/>
    <w:rsid w:val="005C25FF"/>
    <w:rsid w:val="005C27F3"/>
    <w:rsid w:val="005C2A6C"/>
    <w:rsid w:val="005C2C1D"/>
    <w:rsid w:val="005C2D55"/>
    <w:rsid w:val="005C2E3E"/>
    <w:rsid w:val="005C3083"/>
    <w:rsid w:val="005C30D4"/>
    <w:rsid w:val="005C3391"/>
    <w:rsid w:val="005C346B"/>
    <w:rsid w:val="005C36DD"/>
    <w:rsid w:val="005C4175"/>
    <w:rsid w:val="005C4194"/>
    <w:rsid w:val="005C4202"/>
    <w:rsid w:val="005C4295"/>
    <w:rsid w:val="005C4381"/>
    <w:rsid w:val="005C4B68"/>
    <w:rsid w:val="005C4BC2"/>
    <w:rsid w:val="005C4C8B"/>
    <w:rsid w:val="005C5027"/>
    <w:rsid w:val="005C5123"/>
    <w:rsid w:val="005C52C1"/>
    <w:rsid w:val="005C5679"/>
    <w:rsid w:val="005C5ABC"/>
    <w:rsid w:val="005C5B2F"/>
    <w:rsid w:val="005C5D04"/>
    <w:rsid w:val="005C5E4D"/>
    <w:rsid w:val="005C6137"/>
    <w:rsid w:val="005C62DB"/>
    <w:rsid w:val="005C66E1"/>
    <w:rsid w:val="005C67C5"/>
    <w:rsid w:val="005C680F"/>
    <w:rsid w:val="005C6980"/>
    <w:rsid w:val="005C69E3"/>
    <w:rsid w:val="005C6A7E"/>
    <w:rsid w:val="005C6B52"/>
    <w:rsid w:val="005C6CA5"/>
    <w:rsid w:val="005C73EF"/>
    <w:rsid w:val="005C745D"/>
    <w:rsid w:val="005C7A85"/>
    <w:rsid w:val="005C7CEB"/>
    <w:rsid w:val="005C7E5D"/>
    <w:rsid w:val="005D044D"/>
    <w:rsid w:val="005D04D4"/>
    <w:rsid w:val="005D079E"/>
    <w:rsid w:val="005D0A2F"/>
    <w:rsid w:val="005D0ABD"/>
    <w:rsid w:val="005D0B2B"/>
    <w:rsid w:val="005D0ECD"/>
    <w:rsid w:val="005D1070"/>
    <w:rsid w:val="005D1809"/>
    <w:rsid w:val="005D18AD"/>
    <w:rsid w:val="005D1AB0"/>
    <w:rsid w:val="005D2340"/>
    <w:rsid w:val="005D26A6"/>
    <w:rsid w:val="005D26B4"/>
    <w:rsid w:val="005D2867"/>
    <w:rsid w:val="005D2975"/>
    <w:rsid w:val="005D2A48"/>
    <w:rsid w:val="005D2AEA"/>
    <w:rsid w:val="005D2B8A"/>
    <w:rsid w:val="005D304D"/>
    <w:rsid w:val="005D3065"/>
    <w:rsid w:val="005D3377"/>
    <w:rsid w:val="005D362B"/>
    <w:rsid w:val="005D37F9"/>
    <w:rsid w:val="005D3A99"/>
    <w:rsid w:val="005D3E0F"/>
    <w:rsid w:val="005D3E39"/>
    <w:rsid w:val="005D400D"/>
    <w:rsid w:val="005D45F2"/>
    <w:rsid w:val="005D4C6E"/>
    <w:rsid w:val="005D4CBE"/>
    <w:rsid w:val="005D4DA8"/>
    <w:rsid w:val="005D528C"/>
    <w:rsid w:val="005D55EB"/>
    <w:rsid w:val="005D569A"/>
    <w:rsid w:val="005D57F3"/>
    <w:rsid w:val="005D603A"/>
    <w:rsid w:val="005D629C"/>
    <w:rsid w:val="005D6430"/>
    <w:rsid w:val="005D65C5"/>
    <w:rsid w:val="005D6950"/>
    <w:rsid w:val="005D6B12"/>
    <w:rsid w:val="005D716C"/>
    <w:rsid w:val="005D72D8"/>
    <w:rsid w:val="005D73B6"/>
    <w:rsid w:val="005D7AB4"/>
    <w:rsid w:val="005D7C5C"/>
    <w:rsid w:val="005D7E35"/>
    <w:rsid w:val="005D7F61"/>
    <w:rsid w:val="005D7F73"/>
    <w:rsid w:val="005E0220"/>
    <w:rsid w:val="005E0F31"/>
    <w:rsid w:val="005E0F88"/>
    <w:rsid w:val="005E11F9"/>
    <w:rsid w:val="005E1995"/>
    <w:rsid w:val="005E19B7"/>
    <w:rsid w:val="005E1F38"/>
    <w:rsid w:val="005E2606"/>
    <w:rsid w:val="005E28D8"/>
    <w:rsid w:val="005E2BC7"/>
    <w:rsid w:val="005E31C9"/>
    <w:rsid w:val="005E38B2"/>
    <w:rsid w:val="005E38EE"/>
    <w:rsid w:val="005E3B05"/>
    <w:rsid w:val="005E3B5C"/>
    <w:rsid w:val="005E3E61"/>
    <w:rsid w:val="005E3E8A"/>
    <w:rsid w:val="005E430B"/>
    <w:rsid w:val="005E48C1"/>
    <w:rsid w:val="005E4C39"/>
    <w:rsid w:val="005E4C79"/>
    <w:rsid w:val="005E5939"/>
    <w:rsid w:val="005E5993"/>
    <w:rsid w:val="005E5AD7"/>
    <w:rsid w:val="005E5AEB"/>
    <w:rsid w:val="005E5D75"/>
    <w:rsid w:val="005E5F6E"/>
    <w:rsid w:val="005E6763"/>
    <w:rsid w:val="005E69DB"/>
    <w:rsid w:val="005E6BE1"/>
    <w:rsid w:val="005E6CBC"/>
    <w:rsid w:val="005E6DF5"/>
    <w:rsid w:val="005E6F93"/>
    <w:rsid w:val="005E70FD"/>
    <w:rsid w:val="005E72FF"/>
    <w:rsid w:val="005E73C0"/>
    <w:rsid w:val="005E74D4"/>
    <w:rsid w:val="005E772C"/>
    <w:rsid w:val="005E7790"/>
    <w:rsid w:val="005E7842"/>
    <w:rsid w:val="005E787C"/>
    <w:rsid w:val="005E7A4F"/>
    <w:rsid w:val="005E7BB6"/>
    <w:rsid w:val="005E7F0D"/>
    <w:rsid w:val="005F0050"/>
    <w:rsid w:val="005F008C"/>
    <w:rsid w:val="005F042E"/>
    <w:rsid w:val="005F07ED"/>
    <w:rsid w:val="005F0CB1"/>
    <w:rsid w:val="005F170F"/>
    <w:rsid w:val="005F1780"/>
    <w:rsid w:val="005F18F0"/>
    <w:rsid w:val="005F1980"/>
    <w:rsid w:val="005F1B4D"/>
    <w:rsid w:val="005F1F04"/>
    <w:rsid w:val="005F1FF6"/>
    <w:rsid w:val="005F2407"/>
    <w:rsid w:val="005F2706"/>
    <w:rsid w:val="005F2897"/>
    <w:rsid w:val="005F311F"/>
    <w:rsid w:val="005F356F"/>
    <w:rsid w:val="005F40CE"/>
    <w:rsid w:val="005F40DC"/>
    <w:rsid w:val="005F4401"/>
    <w:rsid w:val="005F4474"/>
    <w:rsid w:val="005F451C"/>
    <w:rsid w:val="005F4717"/>
    <w:rsid w:val="005F4721"/>
    <w:rsid w:val="005F49AC"/>
    <w:rsid w:val="005F51DF"/>
    <w:rsid w:val="005F55F8"/>
    <w:rsid w:val="005F5815"/>
    <w:rsid w:val="005F5AA9"/>
    <w:rsid w:val="005F65AB"/>
    <w:rsid w:val="005F6A8F"/>
    <w:rsid w:val="005F6BB7"/>
    <w:rsid w:val="005F6F0B"/>
    <w:rsid w:val="005F7588"/>
    <w:rsid w:val="005F79E4"/>
    <w:rsid w:val="005F7AE1"/>
    <w:rsid w:val="005F7B17"/>
    <w:rsid w:val="005F7C5E"/>
    <w:rsid w:val="00600040"/>
    <w:rsid w:val="00600099"/>
    <w:rsid w:val="0060023B"/>
    <w:rsid w:val="0060051A"/>
    <w:rsid w:val="006006CD"/>
    <w:rsid w:val="0060077F"/>
    <w:rsid w:val="006008C7"/>
    <w:rsid w:val="006019F1"/>
    <w:rsid w:val="00601B72"/>
    <w:rsid w:val="00601E3D"/>
    <w:rsid w:val="0060212E"/>
    <w:rsid w:val="006025E4"/>
    <w:rsid w:val="006028D3"/>
    <w:rsid w:val="006029B6"/>
    <w:rsid w:val="006030F8"/>
    <w:rsid w:val="006035C7"/>
    <w:rsid w:val="006035FC"/>
    <w:rsid w:val="00603DB9"/>
    <w:rsid w:val="00603EBE"/>
    <w:rsid w:val="0060408C"/>
    <w:rsid w:val="00604A2E"/>
    <w:rsid w:val="00604E4B"/>
    <w:rsid w:val="006056FE"/>
    <w:rsid w:val="00605A45"/>
    <w:rsid w:val="00605C0F"/>
    <w:rsid w:val="00605CE7"/>
    <w:rsid w:val="00605E4A"/>
    <w:rsid w:val="00605F48"/>
    <w:rsid w:val="00606377"/>
    <w:rsid w:val="0060680B"/>
    <w:rsid w:val="006069AE"/>
    <w:rsid w:val="006069E9"/>
    <w:rsid w:val="00606B86"/>
    <w:rsid w:val="00606F2C"/>
    <w:rsid w:val="00606FBA"/>
    <w:rsid w:val="00607153"/>
    <w:rsid w:val="0060740B"/>
    <w:rsid w:val="00607669"/>
    <w:rsid w:val="006076F4"/>
    <w:rsid w:val="00607AF3"/>
    <w:rsid w:val="00607AFD"/>
    <w:rsid w:val="00607E00"/>
    <w:rsid w:val="00607FC9"/>
    <w:rsid w:val="00607FCF"/>
    <w:rsid w:val="00607FE8"/>
    <w:rsid w:val="006101D8"/>
    <w:rsid w:val="00610687"/>
    <w:rsid w:val="00611330"/>
    <w:rsid w:val="00611977"/>
    <w:rsid w:val="00611A9A"/>
    <w:rsid w:val="00611B12"/>
    <w:rsid w:val="00612507"/>
    <w:rsid w:val="00612C3A"/>
    <w:rsid w:val="00612EAB"/>
    <w:rsid w:val="00612F97"/>
    <w:rsid w:val="00613208"/>
    <w:rsid w:val="00613434"/>
    <w:rsid w:val="0061345D"/>
    <w:rsid w:val="0061380A"/>
    <w:rsid w:val="00613BA4"/>
    <w:rsid w:val="00613F63"/>
    <w:rsid w:val="00614202"/>
    <w:rsid w:val="006142B8"/>
    <w:rsid w:val="006144A4"/>
    <w:rsid w:val="00614796"/>
    <w:rsid w:val="00614830"/>
    <w:rsid w:val="00614B90"/>
    <w:rsid w:val="00614EC8"/>
    <w:rsid w:val="006151DC"/>
    <w:rsid w:val="0061549B"/>
    <w:rsid w:val="0061560C"/>
    <w:rsid w:val="0061599E"/>
    <w:rsid w:val="00616458"/>
    <w:rsid w:val="00616802"/>
    <w:rsid w:val="00616B83"/>
    <w:rsid w:val="00616BB0"/>
    <w:rsid w:val="00616F89"/>
    <w:rsid w:val="00617655"/>
    <w:rsid w:val="00617698"/>
    <w:rsid w:val="006179F9"/>
    <w:rsid w:val="00617A1B"/>
    <w:rsid w:val="00617E12"/>
    <w:rsid w:val="00617E42"/>
    <w:rsid w:val="00617ECC"/>
    <w:rsid w:val="006206E7"/>
    <w:rsid w:val="00620C25"/>
    <w:rsid w:val="00621125"/>
    <w:rsid w:val="00621477"/>
    <w:rsid w:val="006215B0"/>
    <w:rsid w:val="006219B3"/>
    <w:rsid w:val="00621ADA"/>
    <w:rsid w:val="00622343"/>
    <w:rsid w:val="006226FC"/>
    <w:rsid w:val="00622878"/>
    <w:rsid w:val="00622942"/>
    <w:rsid w:val="00622955"/>
    <w:rsid w:val="00623195"/>
    <w:rsid w:val="006231F4"/>
    <w:rsid w:val="0062325A"/>
    <w:rsid w:val="00623347"/>
    <w:rsid w:val="00623967"/>
    <w:rsid w:val="00623979"/>
    <w:rsid w:val="00623AA4"/>
    <w:rsid w:val="00623C74"/>
    <w:rsid w:val="00623DE2"/>
    <w:rsid w:val="00623DFC"/>
    <w:rsid w:val="00623F7B"/>
    <w:rsid w:val="00624181"/>
    <w:rsid w:val="006244EB"/>
    <w:rsid w:val="00624520"/>
    <w:rsid w:val="00624799"/>
    <w:rsid w:val="006249DF"/>
    <w:rsid w:val="00624B00"/>
    <w:rsid w:val="00624B68"/>
    <w:rsid w:val="00624BD4"/>
    <w:rsid w:val="00624C93"/>
    <w:rsid w:val="00624D28"/>
    <w:rsid w:val="00624FC1"/>
    <w:rsid w:val="0062531E"/>
    <w:rsid w:val="006254D5"/>
    <w:rsid w:val="00625918"/>
    <w:rsid w:val="00625D4E"/>
    <w:rsid w:val="00625F38"/>
    <w:rsid w:val="00625FBC"/>
    <w:rsid w:val="0062618A"/>
    <w:rsid w:val="0062689C"/>
    <w:rsid w:val="00627BFC"/>
    <w:rsid w:val="00627C36"/>
    <w:rsid w:val="00627CC4"/>
    <w:rsid w:val="006300AE"/>
    <w:rsid w:val="00630B81"/>
    <w:rsid w:val="0063158F"/>
    <w:rsid w:val="0063159D"/>
    <w:rsid w:val="00631D6B"/>
    <w:rsid w:val="00632029"/>
    <w:rsid w:val="00632183"/>
    <w:rsid w:val="0063218C"/>
    <w:rsid w:val="0063225C"/>
    <w:rsid w:val="0063248D"/>
    <w:rsid w:val="00632725"/>
    <w:rsid w:val="00632B82"/>
    <w:rsid w:val="00632C52"/>
    <w:rsid w:val="006330A1"/>
    <w:rsid w:val="006330D9"/>
    <w:rsid w:val="00633153"/>
    <w:rsid w:val="006333CD"/>
    <w:rsid w:val="0063360E"/>
    <w:rsid w:val="00633D30"/>
    <w:rsid w:val="00633D81"/>
    <w:rsid w:val="00633E89"/>
    <w:rsid w:val="00634768"/>
    <w:rsid w:val="0063479F"/>
    <w:rsid w:val="00634844"/>
    <w:rsid w:val="00635352"/>
    <w:rsid w:val="006353F0"/>
    <w:rsid w:val="0063551E"/>
    <w:rsid w:val="00635532"/>
    <w:rsid w:val="006355B8"/>
    <w:rsid w:val="00635773"/>
    <w:rsid w:val="006357B5"/>
    <w:rsid w:val="00635B04"/>
    <w:rsid w:val="00636069"/>
    <w:rsid w:val="00636462"/>
    <w:rsid w:val="006364A1"/>
    <w:rsid w:val="0063678E"/>
    <w:rsid w:val="0063720C"/>
    <w:rsid w:val="00637329"/>
    <w:rsid w:val="006373CE"/>
    <w:rsid w:val="00637719"/>
    <w:rsid w:val="00637781"/>
    <w:rsid w:val="00637953"/>
    <w:rsid w:val="00637AFA"/>
    <w:rsid w:val="00637BFD"/>
    <w:rsid w:val="00637C34"/>
    <w:rsid w:val="00637C5C"/>
    <w:rsid w:val="00637D60"/>
    <w:rsid w:val="00637E94"/>
    <w:rsid w:val="006404E7"/>
    <w:rsid w:val="006409D8"/>
    <w:rsid w:val="00640AF9"/>
    <w:rsid w:val="00640C32"/>
    <w:rsid w:val="006412CE"/>
    <w:rsid w:val="006415AB"/>
    <w:rsid w:val="006415AE"/>
    <w:rsid w:val="00641C4E"/>
    <w:rsid w:val="00641EBF"/>
    <w:rsid w:val="00641F52"/>
    <w:rsid w:val="00641FB3"/>
    <w:rsid w:val="006426E6"/>
    <w:rsid w:val="00642745"/>
    <w:rsid w:val="00642BE2"/>
    <w:rsid w:val="00642C2C"/>
    <w:rsid w:val="00643122"/>
    <w:rsid w:val="00643632"/>
    <w:rsid w:val="0064384F"/>
    <w:rsid w:val="00643BCF"/>
    <w:rsid w:val="006440EA"/>
    <w:rsid w:val="0064434C"/>
    <w:rsid w:val="00644664"/>
    <w:rsid w:val="0064479A"/>
    <w:rsid w:val="00644955"/>
    <w:rsid w:val="00644A94"/>
    <w:rsid w:val="00644ED5"/>
    <w:rsid w:val="00645126"/>
    <w:rsid w:val="00645174"/>
    <w:rsid w:val="006458D2"/>
    <w:rsid w:val="00645B94"/>
    <w:rsid w:val="00645FC1"/>
    <w:rsid w:val="00646221"/>
    <w:rsid w:val="00646556"/>
    <w:rsid w:val="0064660A"/>
    <w:rsid w:val="00646DF4"/>
    <w:rsid w:val="006471CC"/>
    <w:rsid w:val="006472FE"/>
    <w:rsid w:val="00647A07"/>
    <w:rsid w:val="00647A29"/>
    <w:rsid w:val="00647E68"/>
    <w:rsid w:val="00647E7B"/>
    <w:rsid w:val="00647ED2"/>
    <w:rsid w:val="0065079F"/>
    <w:rsid w:val="0065090A"/>
    <w:rsid w:val="00650975"/>
    <w:rsid w:val="00650A6E"/>
    <w:rsid w:val="00650B38"/>
    <w:rsid w:val="006519CA"/>
    <w:rsid w:val="00651DA2"/>
    <w:rsid w:val="00651E61"/>
    <w:rsid w:val="00652004"/>
    <w:rsid w:val="006522A4"/>
    <w:rsid w:val="006522D4"/>
    <w:rsid w:val="00652A28"/>
    <w:rsid w:val="00652BE8"/>
    <w:rsid w:val="006532DA"/>
    <w:rsid w:val="00653602"/>
    <w:rsid w:val="0065379F"/>
    <w:rsid w:val="00653E7B"/>
    <w:rsid w:val="00653ED7"/>
    <w:rsid w:val="00653EDD"/>
    <w:rsid w:val="006541DF"/>
    <w:rsid w:val="006543B5"/>
    <w:rsid w:val="006545BD"/>
    <w:rsid w:val="0065464E"/>
    <w:rsid w:val="00654D67"/>
    <w:rsid w:val="00654E60"/>
    <w:rsid w:val="00654F74"/>
    <w:rsid w:val="0065600F"/>
    <w:rsid w:val="00656188"/>
    <w:rsid w:val="00657148"/>
    <w:rsid w:val="0065715A"/>
    <w:rsid w:val="0065752C"/>
    <w:rsid w:val="006576A7"/>
    <w:rsid w:val="006602FA"/>
    <w:rsid w:val="0066056D"/>
    <w:rsid w:val="006605B2"/>
    <w:rsid w:val="00660B75"/>
    <w:rsid w:val="00660E02"/>
    <w:rsid w:val="006610F1"/>
    <w:rsid w:val="0066131F"/>
    <w:rsid w:val="00661C18"/>
    <w:rsid w:val="00661C6B"/>
    <w:rsid w:val="0066232F"/>
    <w:rsid w:val="006625C2"/>
    <w:rsid w:val="00662C06"/>
    <w:rsid w:val="00662D3E"/>
    <w:rsid w:val="006630FA"/>
    <w:rsid w:val="0066340D"/>
    <w:rsid w:val="006638FA"/>
    <w:rsid w:val="006639BF"/>
    <w:rsid w:val="006639F3"/>
    <w:rsid w:val="00663EE8"/>
    <w:rsid w:val="00663FCC"/>
    <w:rsid w:val="00664440"/>
    <w:rsid w:val="00664657"/>
    <w:rsid w:val="00664778"/>
    <w:rsid w:val="00664799"/>
    <w:rsid w:val="006647F5"/>
    <w:rsid w:val="00664FBB"/>
    <w:rsid w:val="00665573"/>
    <w:rsid w:val="00665A72"/>
    <w:rsid w:val="00666555"/>
    <w:rsid w:val="00667010"/>
    <w:rsid w:val="0066705A"/>
    <w:rsid w:val="006671E6"/>
    <w:rsid w:val="006679A7"/>
    <w:rsid w:val="00667ABF"/>
    <w:rsid w:val="00667BE3"/>
    <w:rsid w:val="00667FEE"/>
    <w:rsid w:val="0067034D"/>
    <w:rsid w:val="00670712"/>
    <w:rsid w:val="0067073C"/>
    <w:rsid w:val="00670D2A"/>
    <w:rsid w:val="00670DBB"/>
    <w:rsid w:val="00670F97"/>
    <w:rsid w:val="00671004"/>
    <w:rsid w:val="00671331"/>
    <w:rsid w:val="00671ED5"/>
    <w:rsid w:val="00671FDF"/>
    <w:rsid w:val="00672251"/>
    <w:rsid w:val="006722B9"/>
    <w:rsid w:val="00672646"/>
    <w:rsid w:val="0067274C"/>
    <w:rsid w:val="00672804"/>
    <w:rsid w:val="00672976"/>
    <w:rsid w:val="00672AB4"/>
    <w:rsid w:val="00672D93"/>
    <w:rsid w:val="00672E41"/>
    <w:rsid w:val="00672F83"/>
    <w:rsid w:val="00673001"/>
    <w:rsid w:val="00673040"/>
    <w:rsid w:val="006730D9"/>
    <w:rsid w:val="00673587"/>
    <w:rsid w:val="006736C8"/>
    <w:rsid w:val="00673793"/>
    <w:rsid w:val="0067379E"/>
    <w:rsid w:val="00673C4A"/>
    <w:rsid w:val="00673D04"/>
    <w:rsid w:val="00674124"/>
    <w:rsid w:val="006743EB"/>
    <w:rsid w:val="00674460"/>
    <w:rsid w:val="0067476B"/>
    <w:rsid w:val="006747C3"/>
    <w:rsid w:val="00674CF1"/>
    <w:rsid w:val="00674E42"/>
    <w:rsid w:val="0067548F"/>
    <w:rsid w:val="00675A68"/>
    <w:rsid w:val="00675AB7"/>
    <w:rsid w:val="00676459"/>
    <w:rsid w:val="00676563"/>
    <w:rsid w:val="006769C9"/>
    <w:rsid w:val="00676A33"/>
    <w:rsid w:val="00676EEA"/>
    <w:rsid w:val="00677189"/>
    <w:rsid w:val="006773E7"/>
    <w:rsid w:val="006776DF"/>
    <w:rsid w:val="00677714"/>
    <w:rsid w:val="006777AA"/>
    <w:rsid w:val="00677B13"/>
    <w:rsid w:val="006800F5"/>
    <w:rsid w:val="00680E92"/>
    <w:rsid w:val="006810EB"/>
    <w:rsid w:val="006813F8"/>
    <w:rsid w:val="00681720"/>
    <w:rsid w:val="006818E9"/>
    <w:rsid w:val="00681A80"/>
    <w:rsid w:val="00681E3E"/>
    <w:rsid w:val="00681ECA"/>
    <w:rsid w:val="00682112"/>
    <w:rsid w:val="00682332"/>
    <w:rsid w:val="0068236A"/>
    <w:rsid w:val="0068261A"/>
    <w:rsid w:val="006829A1"/>
    <w:rsid w:val="00682BA6"/>
    <w:rsid w:val="00682BB7"/>
    <w:rsid w:val="00682D4C"/>
    <w:rsid w:val="00682EC4"/>
    <w:rsid w:val="00682ED9"/>
    <w:rsid w:val="0068346E"/>
    <w:rsid w:val="0068349B"/>
    <w:rsid w:val="00683586"/>
    <w:rsid w:val="00683999"/>
    <w:rsid w:val="00683B7E"/>
    <w:rsid w:val="00683BCE"/>
    <w:rsid w:val="00684100"/>
    <w:rsid w:val="00684172"/>
    <w:rsid w:val="006843EC"/>
    <w:rsid w:val="00684CC3"/>
    <w:rsid w:val="00684D4C"/>
    <w:rsid w:val="006852DE"/>
    <w:rsid w:val="00685451"/>
    <w:rsid w:val="006857E0"/>
    <w:rsid w:val="00685EC9"/>
    <w:rsid w:val="00686563"/>
    <w:rsid w:val="006868E3"/>
    <w:rsid w:val="00686957"/>
    <w:rsid w:val="00686FBE"/>
    <w:rsid w:val="006872BA"/>
    <w:rsid w:val="006873F7"/>
    <w:rsid w:val="00687860"/>
    <w:rsid w:val="00690167"/>
    <w:rsid w:val="006902B8"/>
    <w:rsid w:val="006902C3"/>
    <w:rsid w:val="0069065C"/>
    <w:rsid w:val="00690795"/>
    <w:rsid w:val="0069094D"/>
    <w:rsid w:val="00690B92"/>
    <w:rsid w:val="00690BC0"/>
    <w:rsid w:val="00691156"/>
    <w:rsid w:val="00691645"/>
    <w:rsid w:val="00691648"/>
    <w:rsid w:val="006917D7"/>
    <w:rsid w:val="0069182B"/>
    <w:rsid w:val="0069196E"/>
    <w:rsid w:val="006924FD"/>
    <w:rsid w:val="00692752"/>
    <w:rsid w:val="0069301C"/>
    <w:rsid w:val="0069325B"/>
    <w:rsid w:val="006932ED"/>
    <w:rsid w:val="0069375C"/>
    <w:rsid w:val="006938AA"/>
    <w:rsid w:val="00693B8D"/>
    <w:rsid w:val="00693CA8"/>
    <w:rsid w:val="00694198"/>
    <w:rsid w:val="0069434C"/>
    <w:rsid w:val="00694370"/>
    <w:rsid w:val="00694431"/>
    <w:rsid w:val="0069447E"/>
    <w:rsid w:val="006945C7"/>
    <w:rsid w:val="00694F44"/>
    <w:rsid w:val="00695435"/>
    <w:rsid w:val="0069559B"/>
    <w:rsid w:val="00695758"/>
    <w:rsid w:val="006957C8"/>
    <w:rsid w:val="00695BFB"/>
    <w:rsid w:val="00695D45"/>
    <w:rsid w:val="00696EF9"/>
    <w:rsid w:val="00696F51"/>
    <w:rsid w:val="006979A5"/>
    <w:rsid w:val="006A016F"/>
    <w:rsid w:val="006A02F2"/>
    <w:rsid w:val="006A032B"/>
    <w:rsid w:val="006A074E"/>
    <w:rsid w:val="006A07C8"/>
    <w:rsid w:val="006A0AE9"/>
    <w:rsid w:val="006A0B85"/>
    <w:rsid w:val="006A0DF7"/>
    <w:rsid w:val="006A0F55"/>
    <w:rsid w:val="006A1237"/>
    <w:rsid w:val="006A1264"/>
    <w:rsid w:val="006A1FBE"/>
    <w:rsid w:val="006A25C4"/>
    <w:rsid w:val="006A2781"/>
    <w:rsid w:val="006A2920"/>
    <w:rsid w:val="006A29FC"/>
    <w:rsid w:val="006A2ED9"/>
    <w:rsid w:val="006A3621"/>
    <w:rsid w:val="006A3650"/>
    <w:rsid w:val="006A4321"/>
    <w:rsid w:val="006A43D9"/>
    <w:rsid w:val="006A4666"/>
    <w:rsid w:val="006A4A77"/>
    <w:rsid w:val="006A4BA7"/>
    <w:rsid w:val="006A4DAD"/>
    <w:rsid w:val="006A4DD7"/>
    <w:rsid w:val="006A60DC"/>
    <w:rsid w:val="006A617B"/>
    <w:rsid w:val="006A6198"/>
    <w:rsid w:val="006A62BD"/>
    <w:rsid w:val="006A6563"/>
    <w:rsid w:val="006A66A7"/>
    <w:rsid w:val="006A6B99"/>
    <w:rsid w:val="006A702A"/>
    <w:rsid w:val="006A7109"/>
    <w:rsid w:val="006A716C"/>
    <w:rsid w:val="006A74C8"/>
    <w:rsid w:val="006A7654"/>
    <w:rsid w:val="006A7689"/>
    <w:rsid w:val="006A779A"/>
    <w:rsid w:val="006A7915"/>
    <w:rsid w:val="006A7E5F"/>
    <w:rsid w:val="006B0350"/>
    <w:rsid w:val="006B04E3"/>
    <w:rsid w:val="006B0C78"/>
    <w:rsid w:val="006B1259"/>
    <w:rsid w:val="006B1815"/>
    <w:rsid w:val="006B18A0"/>
    <w:rsid w:val="006B1C8D"/>
    <w:rsid w:val="006B1E46"/>
    <w:rsid w:val="006B2038"/>
    <w:rsid w:val="006B20A4"/>
    <w:rsid w:val="006B2265"/>
    <w:rsid w:val="006B2503"/>
    <w:rsid w:val="006B256E"/>
    <w:rsid w:val="006B261B"/>
    <w:rsid w:val="006B2876"/>
    <w:rsid w:val="006B2902"/>
    <w:rsid w:val="006B290F"/>
    <w:rsid w:val="006B2AC4"/>
    <w:rsid w:val="006B2C90"/>
    <w:rsid w:val="006B32E3"/>
    <w:rsid w:val="006B3459"/>
    <w:rsid w:val="006B35E6"/>
    <w:rsid w:val="006B371F"/>
    <w:rsid w:val="006B38FE"/>
    <w:rsid w:val="006B3AC2"/>
    <w:rsid w:val="006B3D8F"/>
    <w:rsid w:val="006B3F08"/>
    <w:rsid w:val="006B408F"/>
    <w:rsid w:val="006B43F8"/>
    <w:rsid w:val="006B465A"/>
    <w:rsid w:val="006B493F"/>
    <w:rsid w:val="006B5BD3"/>
    <w:rsid w:val="006B5F1A"/>
    <w:rsid w:val="006B63DF"/>
    <w:rsid w:val="006B6B17"/>
    <w:rsid w:val="006B6B57"/>
    <w:rsid w:val="006B6BE7"/>
    <w:rsid w:val="006B6D00"/>
    <w:rsid w:val="006B6DD0"/>
    <w:rsid w:val="006B6FA6"/>
    <w:rsid w:val="006C0037"/>
    <w:rsid w:val="006C014A"/>
    <w:rsid w:val="006C01E3"/>
    <w:rsid w:val="006C01F8"/>
    <w:rsid w:val="006C022A"/>
    <w:rsid w:val="006C0399"/>
    <w:rsid w:val="006C076B"/>
    <w:rsid w:val="006C07B8"/>
    <w:rsid w:val="006C08DB"/>
    <w:rsid w:val="006C0A0A"/>
    <w:rsid w:val="006C0BDE"/>
    <w:rsid w:val="006C0CC5"/>
    <w:rsid w:val="006C1410"/>
    <w:rsid w:val="006C155D"/>
    <w:rsid w:val="006C15C5"/>
    <w:rsid w:val="006C1C23"/>
    <w:rsid w:val="006C1FC6"/>
    <w:rsid w:val="006C227B"/>
    <w:rsid w:val="006C22F9"/>
    <w:rsid w:val="006C2A8E"/>
    <w:rsid w:val="006C2B88"/>
    <w:rsid w:val="006C3102"/>
    <w:rsid w:val="006C3255"/>
    <w:rsid w:val="006C3344"/>
    <w:rsid w:val="006C34BC"/>
    <w:rsid w:val="006C36C6"/>
    <w:rsid w:val="006C39FD"/>
    <w:rsid w:val="006C3BB5"/>
    <w:rsid w:val="006C3E13"/>
    <w:rsid w:val="006C3F26"/>
    <w:rsid w:val="006C4AB5"/>
    <w:rsid w:val="006C4B54"/>
    <w:rsid w:val="006C4DBE"/>
    <w:rsid w:val="006C5071"/>
    <w:rsid w:val="006C52A6"/>
    <w:rsid w:val="006C52B6"/>
    <w:rsid w:val="006C5388"/>
    <w:rsid w:val="006C57C5"/>
    <w:rsid w:val="006C63CC"/>
    <w:rsid w:val="006C63EE"/>
    <w:rsid w:val="006C6479"/>
    <w:rsid w:val="006C6DCB"/>
    <w:rsid w:val="006C73B3"/>
    <w:rsid w:val="006C750E"/>
    <w:rsid w:val="006C7B3F"/>
    <w:rsid w:val="006C7E70"/>
    <w:rsid w:val="006D066B"/>
    <w:rsid w:val="006D06A6"/>
    <w:rsid w:val="006D0BAD"/>
    <w:rsid w:val="006D0D17"/>
    <w:rsid w:val="006D0F35"/>
    <w:rsid w:val="006D1343"/>
    <w:rsid w:val="006D1527"/>
    <w:rsid w:val="006D19F7"/>
    <w:rsid w:val="006D1C26"/>
    <w:rsid w:val="006D1E9F"/>
    <w:rsid w:val="006D2478"/>
    <w:rsid w:val="006D27B8"/>
    <w:rsid w:val="006D287A"/>
    <w:rsid w:val="006D29C4"/>
    <w:rsid w:val="006D396C"/>
    <w:rsid w:val="006D3C7D"/>
    <w:rsid w:val="006D3DE1"/>
    <w:rsid w:val="006D4659"/>
    <w:rsid w:val="006D4B11"/>
    <w:rsid w:val="006D4B33"/>
    <w:rsid w:val="006D4CE5"/>
    <w:rsid w:val="006D4E95"/>
    <w:rsid w:val="006D4F71"/>
    <w:rsid w:val="006D533A"/>
    <w:rsid w:val="006D5BB2"/>
    <w:rsid w:val="006D5D00"/>
    <w:rsid w:val="006D5D5F"/>
    <w:rsid w:val="006D5F34"/>
    <w:rsid w:val="006D5F35"/>
    <w:rsid w:val="006D6218"/>
    <w:rsid w:val="006D6477"/>
    <w:rsid w:val="006D6720"/>
    <w:rsid w:val="006D68FB"/>
    <w:rsid w:val="006D6C52"/>
    <w:rsid w:val="006D6DDB"/>
    <w:rsid w:val="006D6F88"/>
    <w:rsid w:val="006D7848"/>
    <w:rsid w:val="006D7EF3"/>
    <w:rsid w:val="006D7F9F"/>
    <w:rsid w:val="006E0059"/>
    <w:rsid w:val="006E0217"/>
    <w:rsid w:val="006E023D"/>
    <w:rsid w:val="006E0295"/>
    <w:rsid w:val="006E0416"/>
    <w:rsid w:val="006E045B"/>
    <w:rsid w:val="006E0AD7"/>
    <w:rsid w:val="006E0AF9"/>
    <w:rsid w:val="006E1236"/>
    <w:rsid w:val="006E17A1"/>
    <w:rsid w:val="006E1B29"/>
    <w:rsid w:val="006E21EE"/>
    <w:rsid w:val="006E2346"/>
    <w:rsid w:val="006E2397"/>
    <w:rsid w:val="006E2525"/>
    <w:rsid w:val="006E2823"/>
    <w:rsid w:val="006E2868"/>
    <w:rsid w:val="006E2B7D"/>
    <w:rsid w:val="006E2C0E"/>
    <w:rsid w:val="006E3062"/>
    <w:rsid w:val="006E30D5"/>
    <w:rsid w:val="006E32AA"/>
    <w:rsid w:val="006E32B6"/>
    <w:rsid w:val="006E33A1"/>
    <w:rsid w:val="006E34E9"/>
    <w:rsid w:val="006E38B9"/>
    <w:rsid w:val="006E39A6"/>
    <w:rsid w:val="006E3A20"/>
    <w:rsid w:val="006E3D66"/>
    <w:rsid w:val="006E40BD"/>
    <w:rsid w:val="006E4582"/>
    <w:rsid w:val="006E4857"/>
    <w:rsid w:val="006E4FD7"/>
    <w:rsid w:val="006E5239"/>
    <w:rsid w:val="006E601D"/>
    <w:rsid w:val="006E620C"/>
    <w:rsid w:val="006E6262"/>
    <w:rsid w:val="006E62E7"/>
    <w:rsid w:val="006E6858"/>
    <w:rsid w:val="006E69B0"/>
    <w:rsid w:val="006E6C91"/>
    <w:rsid w:val="006E6D3B"/>
    <w:rsid w:val="006E7BFC"/>
    <w:rsid w:val="006F0CCD"/>
    <w:rsid w:val="006F0D1C"/>
    <w:rsid w:val="006F0E6D"/>
    <w:rsid w:val="006F0EC1"/>
    <w:rsid w:val="006F121D"/>
    <w:rsid w:val="006F126C"/>
    <w:rsid w:val="006F163B"/>
    <w:rsid w:val="006F16F2"/>
    <w:rsid w:val="006F1724"/>
    <w:rsid w:val="006F23DF"/>
    <w:rsid w:val="006F2470"/>
    <w:rsid w:val="006F28ED"/>
    <w:rsid w:val="006F2A88"/>
    <w:rsid w:val="006F306C"/>
    <w:rsid w:val="006F364E"/>
    <w:rsid w:val="006F37AE"/>
    <w:rsid w:val="006F42A2"/>
    <w:rsid w:val="006F4425"/>
    <w:rsid w:val="006F4588"/>
    <w:rsid w:val="006F4AA1"/>
    <w:rsid w:val="006F4ADF"/>
    <w:rsid w:val="006F4C6A"/>
    <w:rsid w:val="006F52AE"/>
    <w:rsid w:val="006F52C3"/>
    <w:rsid w:val="006F531B"/>
    <w:rsid w:val="006F5A0C"/>
    <w:rsid w:val="006F6180"/>
    <w:rsid w:val="006F63A5"/>
    <w:rsid w:val="006F65A6"/>
    <w:rsid w:val="006F699A"/>
    <w:rsid w:val="006F6A8B"/>
    <w:rsid w:val="006F70E6"/>
    <w:rsid w:val="006F7100"/>
    <w:rsid w:val="006F7153"/>
    <w:rsid w:val="006F758A"/>
    <w:rsid w:val="006F7AC4"/>
    <w:rsid w:val="006F7CBF"/>
    <w:rsid w:val="00700864"/>
    <w:rsid w:val="007012A1"/>
    <w:rsid w:val="0070142B"/>
    <w:rsid w:val="00701CB3"/>
    <w:rsid w:val="00701CB4"/>
    <w:rsid w:val="0070217E"/>
    <w:rsid w:val="00702660"/>
    <w:rsid w:val="0070276E"/>
    <w:rsid w:val="007027D0"/>
    <w:rsid w:val="00702C44"/>
    <w:rsid w:val="00702F8F"/>
    <w:rsid w:val="00703602"/>
    <w:rsid w:val="00703B7B"/>
    <w:rsid w:val="00703BB0"/>
    <w:rsid w:val="00703D08"/>
    <w:rsid w:val="00703F15"/>
    <w:rsid w:val="00704047"/>
    <w:rsid w:val="007042A5"/>
    <w:rsid w:val="0070450C"/>
    <w:rsid w:val="00705487"/>
    <w:rsid w:val="00705CD8"/>
    <w:rsid w:val="00705CFC"/>
    <w:rsid w:val="00705D70"/>
    <w:rsid w:val="00705E95"/>
    <w:rsid w:val="0070657F"/>
    <w:rsid w:val="007066D1"/>
    <w:rsid w:val="00706932"/>
    <w:rsid w:val="00706987"/>
    <w:rsid w:val="00706D7B"/>
    <w:rsid w:val="00706EEE"/>
    <w:rsid w:val="00706F9A"/>
    <w:rsid w:val="007075E8"/>
    <w:rsid w:val="007077DF"/>
    <w:rsid w:val="007079FC"/>
    <w:rsid w:val="00707D00"/>
    <w:rsid w:val="00710360"/>
    <w:rsid w:val="007109C6"/>
    <w:rsid w:val="00710BEB"/>
    <w:rsid w:val="00710E52"/>
    <w:rsid w:val="00710FA4"/>
    <w:rsid w:val="00711960"/>
    <w:rsid w:val="00711A25"/>
    <w:rsid w:val="00711A36"/>
    <w:rsid w:val="00711AF3"/>
    <w:rsid w:val="00711FAB"/>
    <w:rsid w:val="007124BC"/>
    <w:rsid w:val="0071258E"/>
    <w:rsid w:val="007125D3"/>
    <w:rsid w:val="00712DEF"/>
    <w:rsid w:val="007130CD"/>
    <w:rsid w:val="0071345E"/>
    <w:rsid w:val="007137D8"/>
    <w:rsid w:val="00713F77"/>
    <w:rsid w:val="00714363"/>
    <w:rsid w:val="0071458A"/>
    <w:rsid w:val="00714C26"/>
    <w:rsid w:val="00714C2C"/>
    <w:rsid w:val="00714D97"/>
    <w:rsid w:val="00714F13"/>
    <w:rsid w:val="0071529C"/>
    <w:rsid w:val="007154A4"/>
    <w:rsid w:val="0071574E"/>
    <w:rsid w:val="007157D3"/>
    <w:rsid w:val="00715E3A"/>
    <w:rsid w:val="007161AC"/>
    <w:rsid w:val="00716229"/>
    <w:rsid w:val="007165A1"/>
    <w:rsid w:val="007165E5"/>
    <w:rsid w:val="00716A90"/>
    <w:rsid w:val="00717043"/>
    <w:rsid w:val="007170DA"/>
    <w:rsid w:val="007172AD"/>
    <w:rsid w:val="00717546"/>
    <w:rsid w:val="00717FD0"/>
    <w:rsid w:val="00720327"/>
    <w:rsid w:val="007203AD"/>
    <w:rsid w:val="00720801"/>
    <w:rsid w:val="007208BE"/>
    <w:rsid w:val="00720F91"/>
    <w:rsid w:val="00720FDE"/>
    <w:rsid w:val="007210CC"/>
    <w:rsid w:val="007214B8"/>
    <w:rsid w:val="00721AC0"/>
    <w:rsid w:val="00721FEC"/>
    <w:rsid w:val="007220D2"/>
    <w:rsid w:val="007222EF"/>
    <w:rsid w:val="0072280E"/>
    <w:rsid w:val="007229A0"/>
    <w:rsid w:val="00722A4F"/>
    <w:rsid w:val="00722B1B"/>
    <w:rsid w:val="00722E05"/>
    <w:rsid w:val="0072304C"/>
    <w:rsid w:val="00723453"/>
    <w:rsid w:val="0072360C"/>
    <w:rsid w:val="00723CDB"/>
    <w:rsid w:val="00723E8F"/>
    <w:rsid w:val="0072411E"/>
    <w:rsid w:val="0072416F"/>
    <w:rsid w:val="007246AF"/>
    <w:rsid w:val="007249E6"/>
    <w:rsid w:val="00724F9D"/>
    <w:rsid w:val="0072509F"/>
    <w:rsid w:val="00725344"/>
    <w:rsid w:val="007254DE"/>
    <w:rsid w:val="007265BC"/>
    <w:rsid w:val="00726897"/>
    <w:rsid w:val="00726A0B"/>
    <w:rsid w:val="00726BEA"/>
    <w:rsid w:val="00726D59"/>
    <w:rsid w:val="00726D5F"/>
    <w:rsid w:val="00727942"/>
    <w:rsid w:val="00727A96"/>
    <w:rsid w:val="00727AAA"/>
    <w:rsid w:val="00727C27"/>
    <w:rsid w:val="00727C94"/>
    <w:rsid w:val="00727CE6"/>
    <w:rsid w:val="00730372"/>
    <w:rsid w:val="007305E3"/>
    <w:rsid w:val="007308EB"/>
    <w:rsid w:val="00730AF1"/>
    <w:rsid w:val="00730F25"/>
    <w:rsid w:val="0073113E"/>
    <w:rsid w:val="00731203"/>
    <w:rsid w:val="0073143E"/>
    <w:rsid w:val="007314EF"/>
    <w:rsid w:val="00731B0A"/>
    <w:rsid w:val="00731B9B"/>
    <w:rsid w:val="00731EAE"/>
    <w:rsid w:val="00732221"/>
    <w:rsid w:val="00732261"/>
    <w:rsid w:val="00732963"/>
    <w:rsid w:val="00732A34"/>
    <w:rsid w:val="00732FD4"/>
    <w:rsid w:val="0073302E"/>
    <w:rsid w:val="00733073"/>
    <w:rsid w:val="00733159"/>
    <w:rsid w:val="00733B6B"/>
    <w:rsid w:val="007346C5"/>
    <w:rsid w:val="00734A43"/>
    <w:rsid w:val="00735033"/>
    <w:rsid w:val="00735328"/>
    <w:rsid w:val="00735343"/>
    <w:rsid w:val="00735573"/>
    <w:rsid w:val="00735AC1"/>
    <w:rsid w:val="00735F23"/>
    <w:rsid w:val="0073613C"/>
    <w:rsid w:val="007364AF"/>
    <w:rsid w:val="0073685B"/>
    <w:rsid w:val="00736E70"/>
    <w:rsid w:val="00737171"/>
    <w:rsid w:val="007372E5"/>
    <w:rsid w:val="00737384"/>
    <w:rsid w:val="007373A0"/>
    <w:rsid w:val="007377A5"/>
    <w:rsid w:val="00737EAF"/>
    <w:rsid w:val="007402BD"/>
    <w:rsid w:val="0074044D"/>
    <w:rsid w:val="00740573"/>
    <w:rsid w:val="00740B62"/>
    <w:rsid w:val="00740E23"/>
    <w:rsid w:val="007414D9"/>
    <w:rsid w:val="00741609"/>
    <w:rsid w:val="00741780"/>
    <w:rsid w:val="00741D45"/>
    <w:rsid w:val="00741DC5"/>
    <w:rsid w:val="00741FD1"/>
    <w:rsid w:val="00741FD3"/>
    <w:rsid w:val="007420A6"/>
    <w:rsid w:val="007421D1"/>
    <w:rsid w:val="007424FF"/>
    <w:rsid w:val="007427CD"/>
    <w:rsid w:val="00742D32"/>
    <w:rsid w:val="0074388E"/>
    <w:rsid w:val="00744663"/>
    <w:rsid w:val="00744861"/>
    <w:rsid w:val="007449BF"/>
    <w:rsid w:val="00745964"/>
    <w:rsid w:val="007460B1"/>
    <w:rsid w:val="00746385"/>
    <w:rsid w:val="0074639B"/>
    <w:rsid w:val="007463FE"/>
    <w:rsid w:val="00746759"/>
    <w:rsid w:val="007469B0"/>
    <w:rsid w:val="00746B31"/>
    <w:rsid w:val="00746BC0"/>
    <w:rsid w:val="00746BD8"/>
    <w:rsid w:val="00746C98"/>
    <w:rsid w:val="00746CAA"/>
    <w:rsid w:val="00746FCE"/>
    <w:rsid w:val="00747288"/>
    <w:rsid w:val="00747A11"/>
    <w:rsid w:val="0075075A"/>
    <w:rsid w:val="00750765"/>
    <w:rsid w:val="007510B4"/>
    <w:rsid w:val="007517C5"/>
    <w:rsid w:val="00751DB8"/>
    <w:rsid w:val="00751ED6"/>
    <w:rsid w:val="0075211E"/>
    <w:rsid w:val="00752142"/>
    <w:rsid w:val="007523F9"/>
    <w:rsid w:val="0075276C"/>
    <w:rsid w:val="00753059"/>
    <w:rsid w:val="0075357E"/>
    <w:rsid w:val="007538C8"/>
    <w:rsid w:val="00753B29"/>
    <w:rsid w:val="00753E32"/>
    <w:rsid w:val="00755115"/>
    <w:rsid w:val="007552A9"/>
    <w:rsid w:val="00755316"/>
    <w:rsid w:val="00755773"/>
    <w:rsid w:val="00755E0B"/>
    <w:rsid w:val="00756078"/>
    <w:rsid w:val="00756314"/>
    <w:rsid w:val="0075637A"/>
    <w:rsid w:val="0075645D"/>
    <w:rsid w:val="007564BF"/>
    <w:rsid w:val="007567BA"/>
    <w:rsid w:val="007573E8"/>
    <w:rsid w:val="007573E9"/>
    <w:rsid w:val="007573F5"/>
    <w:rsid w:val="007579B8"/>
    <w:rsid w:val="00757F3E"/>
    <w:rsid w:val="007600DB"/>
    <w:rsid w:val="0076020D"/>
    <w:rsid w:val="007602F3"/>
    <w:rsid w:val="00760824"/>
    <w:rsid w:val="00760C4E"/>
    <w:rsid w:val="00760D37"/>
    <w:rsid w:val="00760F9E"/>
    <w:rsid w:val="00761299"/>
    <w:rsid w:val="00761415"/>
    <w:rsid w:val="007616E6"/>
    <w:rsid w:val="00761AC9"/>
    <w:rsid w:val="00761BE7"/>
    <w:rsid w:val="00761D8F"/>
    <w:rsid w:val="00762122"/>
    <w:rsid w:val="0076217F"/>
    <w:rsid w:val="00762783"/>
    <w:rsid w:val="007627BE"/>
    <w:rsid w:val="00762B9D"/>
    <w:rsid w:val="00763418"/>
    <w:rsid w:val="0076380E"/>
    <w:rsid w:val="00763837"/>
    <w:rsid w:val="0076389E"/>
    <w:rsid w:val="00764069"/>
    <w:rsid w:val="007640DE"/>
    <w:rsid w:val="00764918"/>
    <w:rsid w:val="00764F03"/>
    <w:rsid w:val="00764F0D"/>
    <w:rsid w:val="0076523E"/>
    <w:rsid w:val="00765260"/>
    <w:rsid w:val="0076526E"/>
    <w:rsid w:val="00765812"/>
    <w:rsid w:val="00765B1A"/>
    <w:rsid w:val="00765C47"/>
    <w:rsid w:val="00765CE8"/>
    <w:rsid w:val="00765D28"/>
    <w:rsid w:val="00765DC1"/>
    <w:rsid w:val="007662E1"/>
    <w:rsid w:val="00766367"/>
    <w:rsid w:val="007667CC"/>
    <w:rsid w:val="00766A3E"/>
    <w:rsid w:val="00766BAD"/>
    <w:rsid w:val="00766E21"/>
    <w:rsid w:val="00766F21"/>
    <w:rsid w:val="007674A9"/>
    <w:rsid w:val="007701F0"/>
    <w:rsid w:val="0077023A"/>
    <w:rsid w:val="00770476"/>
    <w:rsid w:val="00770589"/>
    <w:rsid w:val="007707AC"/>
    <w:rsid w:val="007708B6"/>
    <w:rsid w:val="00770A08"/>
    <w:rsid w:val="00770BB3"/>
    <w:rsid w:val="00770DDF"/>
    <w:rsid w:val="00771049"/>
    <w:rsid w:val="007718A5"/>
    <w:rsid w:val="00772319"/>
    <w:rsid w:val="00772366"/>
    <w:rsid w:val="007729E7"/>
    <w:rsid w:val="00772B97"/>
    <w:rsid w:val="0077366B"/>
    <w:rsid w:val="00773680"/>
    <w:rsid w:val="0077376B"/>
    <w:rsid w:val="0077392D"/>
    <w:rsid w:val="00773F97"/>
    <w:rsid w:val="007740B3"/>
    <w:rsid w:val="00774211"/>
    <w:rsid w:val="0077425E"/>
    <w:rsid w:val="00774281"/>
    <w:rsid w:val="00774307"/>
    <w:rsid w:val="007746AC"/>
    <w:rsid w:val="0077498A"/>
    <w:rsid w:val="00774EFA"/>
    <w:rsid w:val="00774FA3"/>
    <w:rsid w:val="007752EF"/>
    <w:rsid w:val="007753CE"/>
    <w:rsid w:val="00775783"/>
    <w:rsid w:val="00775A0A"/>
    <w:rsid w:val="00775A65"/>
    <w:rsid w:val="00775F6F"/>
    <w:rsid w:val="00776461"/>
    <w:rsid w:val="00776759"/>
    <w:rsid w:val="00776A29"/>
    <w:rsid w:val="00776AE8"/>
    <w:rsid w:val="00777194"/>
    <w:rsid w:val="00777335"/>
    <w:rsid w:val="00777989"/>
    <w:rsid w:val="00780171"/>
    <w:rsid w:val="00780986"/>
    <w:rsid w:val="00780B70"/>
    <w:rsid w:val="00780B93"/>
    <w:rsid w:val="007817E6"/>
    <w:rsid w:val="0078186A"/>
    <w:rsid w:val="00781DF3"/>
    <w:rsid w:val="007820EE"/>
    <w:rsid w:val="007821EB"/>
    <w:rsid w:val="007822F7"/>
    <w:rsid w:val="00782C8C"/>
    <w:rsid w:val="00782F28"/>
    <w:rsid w:val="00783133"/>
    <w:rsid w:val="00783DBD"/>
    <w:rsid w:val="00784128"/>
    <w:rsid w:val="007842A7"/>
    <w:rsid w:val="007843F2"/>
    <w:rsid w:val="007844EE"/>
    <w:rsid w:val="00784557"/>
    <w:rsid w:val="007846FA"/>
    <w:rsid w:val="00784852"/>
    <w:rsid w:val="00784974"/>
    <w:rsid w:val="00784B55"/>
    <w:rsid w:val="00784C02"/>
    <w:rsid w:val="00784C07"/>
    <w:rsid w:val="00784CB4"/>
    <w:rsid w:val="007852B1"/>
    <w:rsid w:val="007855F8"/>
    <w:rsid w:val="00785A8D"/>
    <w:rsid w:val="00785A9F"/>
    <w:rsid w:val="00785ACE"/>
    <w:rsid w:val="00786175"/>
    <w:rsid w:val="007867F2"/>
    <w:rsid w:val="00787277"/>
    <w:rsid w:val="007873D3"/>
    <w:rsid w:val="00787AB0"/>
    <w:rsid w:val="00787F93"/>
    <w:rsid w:val="00790437"/>
    <w:rsid w:val="0079172B"/>
    <w:rsid w:val="00791AD4"/>
    <w:rsid w:val="00791D70"/>
    <w:rsid w:val="0079247B"/>
    <w:rsid w:val="007925DF"/>
    <w:rsid w:val="00792759"/>
    <w:rsid w:val="007927DA"/>
    <w:rsid w:val="00792A50"/>
    <w:rsid w:val="007931BD"/>
    <w:rsid w:val="007932BB"/>
    <w:rsid w:val="0079339B"/>
    <w:rsid w:val="0079363B"/>
    <w:rsid w:val="00793869"/>
    <w:rsid w:val="007938CC"/>
    <w:rsid w:val="007940BF"/>
    <w:rsid w:val="00794101"/>
    <w:rsid w:val="0079431A"/>
    <w:rsid w:val="0079438C"/>
    <w:rsid w:val="00794630"/>
    <w:rsid w:val="00794B20"/>
    <w:rsid w:val="00794B74"/>
    <w:rsid w:val="00795249"/>
    <w:rsid w:val="00795308"/>
    <w:rsid w:val="007962E0"/>
    <w:rsid w:val="007967EA"/>
    <w:rsid w:val="00796C80"/>
    <w:rsid w:val="00796DF9"/>
    <w:rsid w:val="007972D0"/>
    <w:rsid w:val="00797755"/>
    <w:rsid w:val="00797976"/>
    <w:rsid w:val="007979DB"/>
    <w:rsid w:val="007A053A"/>
    <w:rsid w:val="007A08AA"/>
    <w:rsid w:val="007A095A"/>
    <w:rsid w:val="007A0A04"/>
    <w:rsid w:val="007A0A12"/>
    <w:rsid w:val="007A0A31"/>
    <w:rsid w:val="007A0AB8"/>
    <w:rsid w:val="007A132D"/>
    <w:rsid w:val="007A1345"/>
    <w:rsid w:val="007A1353"/>
    <w:rsid w:val="007A19F8"/>
    <w:rsid w:val="007A2C33"/>
    <w:rsid w:val="007A2DDB"/>
    <w:rsid w:val="007A2EF6"/>
    <w:rsid w:val="007A31D5"/>
    <w:rsid w:val="007A357E"/>
    <w:rsid w:val="007A35CE"/>
    <w:rsid w:val="007A4D78"/>
    <w:rsid w:val="007A530D"/>
    <w:rsid w:val="007A56BF"/>
    <w:rsid w:val="007A5A3F"/>
    <w:rsid w:val="007A61C6"/>
    <w:rsid w:val="007A688B"/>
    <w:rsid w:val="007A6E18"/>
    <w:rsid w:val="007A70BA"/>
    <w:rsid w:val="007A74B1"/>
    <w:rsid w:val="007A7C06"/>
    <w:rsid w:val="007B00F1"/>
    <w:rsid w:val="007B0287"/>
    <w:rsid w:val="007B05DB"/>
    <w:rsid w:val="007B0860"/>
    <w:rsid w:val="007B0A74"/>
    <w:rsid w:val="007B0B21"/>
    <w:rsid w:val="007B0D68"/>
    <w:rsid w:val="007B10B8"/>
    <w:rsid w:val="007B1617"/>
    <w:rsid w:val="007B1CF0"/>
    <w:rsid w:val="007B22DF"/>
    <w:rsid w:val="007B251D"/>
    <w:rsid w:val="007B2548"/>
    <w:rsid w:val="007B2648"/>
    <w:rsid w:val="007B2933"/>
    <w:rsid w:val="007B2B45"/>
    <w:rsid w:val="007B2D78"/>
    <w:rsid w:val="007B31CC"/>
    <w:rsid w:val="007B3533"/>
    <w:rsid w:val="007B3B2A"/>
    <w:rsid w:val="007B3BB9"/>
    <w:rsid w:val="007B3EE8"/>
    <w:rsid w:val="007B46D2"/>
    <w:rsid w:val="007B4E56"/>
    <w:rsid w:val="007B4F58"/>
    <w:rsid w:val="007B528D"/>
    <w:rsid w:val="007B584C"/>
    <w:rsid w:val="007B5AEC"/>
    <w:rsid w:val="007B627C"/>
    <w:rsid w:val="007B63CA"/>
    <w:rsid w:val="007B65A4"/>
    <w:rsid w:val="007B6990"/>
    <w:rsid w:val="007B7055"/>
    <w:rsid w:val="007B7263"/>
    <w:rsid w:val="007B758B"/>
    <w:rsid w:val="007B768F"/>
    <w:rsid w:val="007B77D1"/>
    <w:rsid w:val="007B7A77"/>
    <w:rsid w:val="007B7C6E"/>
    <w:rsid w:val="007B7FF3"/>
    <w:rsid w:val="007C00A8"/>
    <w:rsid w:val="007C0590"/>
    <w:rsid w:val="007C07C7"/>
    <w:rsid w:val="007C086F"/>
    <w:rsid w:val="007C0C23"/>
    <w:rsid w:val="007C0F14"/>
    <w:rsid w:val="007C0F94"/>
    <w:rsid w:val="007C15E1"/>
    <w:rsid w:val="007C1CD9"/>
    <w:rsid w:val="007C1E00"/>
    <w:rsid w:val="007C1F01"/>
    <w:rsid w:val="007C20F2"/>
    <w:rsid w:val="007C280A"/>
    <w:rsid w:val="007C2816"/>
    <w:rsid w:val="007C2A38"/>
    <w:rsid w:val="007C2B83"/>
    <w:rsid w:val="007C2EDA"/>
    <w:rsid w:val="007C32EF"/>
    <w:rsid w:val="007C361D"/>
    <w:rsid w:val="007C3BE7"/>
    <w:rsid w:val="007C3F19"/>
    <w:rsid w:val="007C436C"/>
    <w:rsid w:val="007C44C2"/>
    <w:rsid w:val="007C4629"/>
    <w:rsid w:val="007C46B0"/>
    <w:rsid w:val="007C4B84"/>
    <w:rsid w:val="007C4BBD"/>
    <w:rsid w:val="007C4D76"/>
    <w:rsid w:val="007C4E27"/>
    <w:rsid w:val="007C589F"/>
    <w:rsid w:val="007C59E1"/>
    <w:rsid w:val="007C6A5C"/>
    <w:rsid w:val="007C6C74"/>
    <w:rsid w:val="007C6EC4"/>
    <w:rsid w:val="007C70FF"/>
    <w:rsid w:val="007C76A2"/>
    <w:rsid w:val="007C77E9"/>
    <w:rsid w:val="007C7C25"/>
    <w:rsid w:val="007C7CCA"/>
    <w:rsid w:val="007C7D87"/>
    <w:rsid w:val="007D004F"/>
    <w:rsid w:val="007D00F4"/>
    <w:rsid w:val="007D02D6"/>
    <w:rsid w:val="007D035F"/>
    <w:rsid w:val="007D050E"/>
    <w:rsid w:val="007D06B2"/>
    <w:rsid w:val="007D0918"/>
    <w:rsid w:val="007D0975"/>
    <w:rsid w:val="007D0B38"/>
    <w:rsid w:val="007D0CA3"/>
    <w:rsid w:val="007D0E35"/>
    <w:rsid w:val="007D10CC"/>
    <w:rsid w:val="007D16DC"/>
    <w:rsid w:val="007D1983"/>
    <w:rsid w:val="007D1CA3"/>
    <w:rsid w:val="007D1CDF"/>
    <w:rsid w:val="007D215E"/>
    <w:rsid w:val="007D2362"/>
    <w:rsid w:val="007D2404"/>
    <w:rsid w:val="007D2973"/>
    <w:rsid w:val="007D305B"/>
    <w:rsid w:val="007D309C"/>
    <w:rsid w:val="007D3223"/>
    <w:rsid w:val="007D348D"/>
    <w:rsid w:val="007D361D"/>
    <w:rsid w:val="007D4553"/>
    <w:rsid w:val="007D4DBC"/>
    <w:rsid w:val="007D5205"/>
    <w:rsid w:val="007D5440"/>
    <w:rsid w:val="007D560D"/>
    <w:rsid w:val="007D577F"/>
    <w:rsid w:val="007D5C7A"/>
    <w:rsid w:val="007D6228"/>
    <w:rsid w:val="007D6277"/>
    <w:rsid w:val="007D6363"/>
    <w:rsid w:val="007D6370"/>
    <w:rsid w:val="007D6419"/>
    <w:rsid w:val="007D649B"/>
    <w:rsid w:val="007D6796"/>
    <w:rsid w:val="007D68C4"/>
    <w:rsid w:val="007D69EB"/>
    <w:rsid w:val="007D6DE6"/>
    <w:rsid w:val="007D6E38"/>
    <w:rsid w:val="007D718E"/>
    <w:rsid w:val="007D725B"/>
    <w:rsid w:val="007D7333"/>
    <w:rsid w:val="007D7532"/>
    <w:rsid w:val="007D783B"/>
    <w:rsid w:val="007D7C05"/>
    <w:rsid w:val="007D7D20"/>
    <w:rsid w:val="007E0049"/>
    <w:rsid w:val="007E015C"/>
    <w:rsid w:val="007E03C4"/>
    <w:rsid w:val="007E06C1"/>
    <w:rsid w:val="007E128F"/>
    <w:rsid w:val="007E2550"/>
    <w:rsid w:val="007E2688"/>
    <w:rsid w:val="007E2A46"/>
    <w:rsid w:val="007E3190"/>
    <w:rsid w:val="007E3F22"/>
    <w:rsid w:val="007E4476"/>
    <w:rsid w:val="007E51D5"/>
    <w:rsid w:val="007E5C50"/>
    <w:rsid w:val="007E5CA4"/>
    <w:rsid w:val="007E5D15"/>
    <w:rsid w:val="007E5E90"/>
    <w:rsid w:val="007E656D"/>
    <w:rsid w:val="007E683E"/>
    <w:rsid w:val="007E6A00"/>
    <w:rsid w:val="007E73E0"/>
    <w:rsid w:val="007E75A5"/>
    <w:rsid w:val="007E7908"/>
    <w:rsid w:val="007F0058"/>
    <w:rsid w:val="007F01A8"/>
    <w:rsid w:val="007F0238"/>
    <w:rsid w:val="007F05A1"/>
    <w:rsid w:val="007F068C"/>
    <w:rsid w:val="007F0953"/>
    <w:rsid w:val="007F0A35"/>
    <w:rsid w:val="007F0C06"/>
    <w:rsid w:val="007F0C71"/>
    <w:rsid w:val="007F1017"/>
    <w:rsid w:val="007F184F"/>
    <w:rsid w:val="007F187D"/>
    <w:rsid w:val="007F1B40"/>
    <w:rsid w:val="007F1C43"/>
    <w:rsid w:val="007F1DF7"/>
    <w:rsid w:val="007F1EFC"/>
    <w:rsid w:val="007F257E"/>
    <w:rsid w:val="007F271F"/>
    <w:rsid w:val="007F29BA"/>
    <w:rsid w:val="007F29D0"/>
    <w:rsid w:val="007F2A16"/>
    <w:rsid w:val="007F2EF9"/>
    <w:rsid w:val="007F3914"/>
    <w:rsid w:val="007F399D"/>
    <w:rsid w:val="007F3FB6"/>
    <w:rsid w:val="007F406A"/>
    <w:rsid w:val="007F4357"/>
    <w:rsid w:val="007F43F6"/>
    <w:rsid w:val="007F46BE"/>
    <w:rsid w:val="007F48AB"/>
    <w:rsid w:val="007F49F2"/>
    <w:rsid w:val="007F4A3F"/>
    <w:rsid w:val="007F4A61"/>
    <w:rsid w:val="007F5255"/>
    <w:rsid w:val="007F56CC"/>
    <w:rsid w:val="007F570B"/>
    <w:rsid w:val="007F5EFA"/>
    <w:rsid w:val="007F619C"/>
    <w:rsid w:val="007F61C2"/>
    <w:rsid w:val="007F62C1"/>
    <w:rsid w:val="007F6437"/>
    <w:rsid w:val="007F66A7"/>
    <w:rsid w:val="007F6888"/>
    <w:rsid w:val="007F6AA6"/>
    <w:rsid w:val="007F6E9F"/>
    <w:rsid w:val="007F6EFF"/>
    <w:rsid w:val="007F74E9"/>
    <w:rsid w:val="007F7666"/>
    <w:rsid w:val="007F7902"/>
    <w:rsid w:val="007F7991"/>
    <w:rsid w:val="007F7B5E"/>
    <w:rsid w:val="0080087E"/>
    <w:rsid w:val="00800A15"/>
    <w:rsid w:val="00801185"/>
    <w:rsid w:val="008016E9"/>
    <w:rsid w:val="008016EE"/>
    <w:rsid w:val="008019B7"/>
    <w:rsid w:val="0080201A"/>
    <w:rsid w:val="008020D6"/>
    <w:rsid w:val="008020E7"/>
    <w:rsid w:val="00802771"/>
    <w:rsid w:val="00802832"/>
    <w:rsid w:val="0080283F"/>
    <w:rsid w:val="008028FF"/>
    <w:rsid w:val="0080292A"/>
    <w:rsid w:val="00802DA8"/>
    <w:rsid w:val="00802E58"/>
    <w:rsid w:val="00802F90"/>
    <w:rsid w:val="00803E8F"/>
    <w:rsid w:val="00804237"/>
    <w:rsid w:val="00804501"/>
    <w:rsid w:val="00804CC1"/>
    <w:rsid w:val="00804D3D"/>
    <w:rsid w:val="00804DE2"/>
    <w:rsid w:val="00804DF3"/>
    <w:rsid w:val="00804FD2"/>
    <w:rsid w:val="00805142"/>
    <w:rsid w:val="008051A6"/>
    <w:rsid w:val="008055A0"/>
    <w:rsid w:val="0080566B"/>
    <w:rsid w:val="0080594C"/>
    <w:rsid w:val="00805AA8"/>
    <w:rsid w:val="00805B4A"/>
    <w:rsid w:val="00805C88"/>
    <w:rsid w:val="00805C90"/>
    <w:rsid w:val="00805E09"/>
    <w:rsid w:val="00805FCE"/>
    <w:rsid w:val="008060EB"/>
    <w:rsid w:val="008068F8"/>
    <w:rsid w:val="00806C69"/>
    <w:rsid w:val="00806DBF"/>
    <w:rsid w:val="00807040"/>
    <w:rsid w:val="00807152"/>
    <w:rsid w:val="008071E6"/>
    <w:rsid w:val="00807365"/>
    <w:rsid w:val="0080752E"/>
    <w:rsid w:val="00807A69"/>
    <w:rsid w:val="00807A8B"/>
    <w:rsid w:val="00807B77"/>
    <w:rsid w:val="00807BBC"/>
    <w:rsid w:val="00807C45"/>
    <w:rsid w:val="00807CA3"/>
    <w:rsid w:val="00807F18"/>
    <w:rsid w:val="00810261"/>
    <w:rsid w:val="008106BD"/>
    <w:rsid w:val="0081081B"/>
    <w:rsid w:val="00810BE5"/>
    <w:rsid w:val="00810D3D"/>
    <w:rsid w:val="00811007"/>
    <w:rsid w:val="00811358"/>
    <w:rsid w:val="00811383"/>
    <w:rsid w:val="00811A77"/>
    <w:rsid w:val="00811C0E"/>
    <w:rsid w:val="00811C8D"/>
    <w:rsid w:val="00811FDE"/>
    <w:rsid w:val="008120A2"/>
    <w:rsid w:val="00812149"/>
    <w:rsid w:val="0081293B"/>
    <w:rsid w:val="00812942"/>
    <w:rsid w:val="00812CAC"/>
    <w:rsid w:val="00813E3F"/>
    <w:rsid w:val="00814128"/>
    <w:rsid w:val="008143EB"/>
    <w:rsid w:val="00814871"/>
    <w:rsid w:val="00814BF0"/>
    <w:rsid w:val="00814CE4"/>
    <w:rsid w:val="008152BE"/>
    <w:rsid w:val="00815CE3"/>
    <w:rsid w:val="00815E1E"/>
    <w:rsid w:val="0081605F"/>
    <w:rsid w:val="0081632A"/>
    <w:rsid w:val="00816361"/>
    <w:rsid w:val="00816617"/>
    <w:rsid w:val="008166EF"/>
    <w:rsid w:val="00816ABF"/>
    <w:rsid w:val="00816F5C"/>
    <w:rsid w:val="00816FEF"/>
    <w:rsid w:val="00817336"/>
    <w:rsid w:val="00817D50"/>
    <w:rsid w:val="00820A8C"/>
    <w:rsid w:val="00820ABF"/>
    <w:rsid w:val="00820EEC"/>
    <w:rsid w:val="00821234"/>
    <w:rsid w:val="00821498"/>
    <w:rsid w:val="008215FB"/>
    <w:rsid w:val="00821882"/>
    <w:rsid w:val="008219B3"/>
    <w:rsid w:val="00821EEE"/>
    <w:rsid w:val="008220CC"/>
    <w:rsid w:val="0082295D"/>
    <w:rsid w:val="00822C4A"/>
    <w:rsid w:val="00823174"/>
    <w:rsid w:val="0082352C"/>
    <w:rsid w:val="008237A1"/>
    <w:rsid w:val="00823CA9"/>
    <w:rsid w:val="00824054"/>
    <w:rsid w:val="008241DB"/>
    <w:rsid w:val="00824519"/>
    <w:rsid w:val="0082491F"/>
    <w:rsid w:val="00824A51"/>
    <w:rsid w:val="00824B5C"/>
    <w:rsid w:val="00824BEC"/>
    <w:rsid w:val="00824E9D"/>
    <w:rsid w:val="00824EC7"/>
    <w:rsid w:val="00825751"/>
    <w:rsid w:val="00825B09"/>
    <w:rsid w:val="00825B95"/>
    <w:rsid w:val="00825C37"/>
    <w:rsid w:val="00825D6F"/>
    <w:rsid w:val="00825DFC"/>
    <w:rsid w:val="00825EA4"/>
    <w:rsid w:val="008264EB"/>
    <w:rsid w:val="008268CE"/>
    <w:rsid w:val="00826C59"/>
    <w:rsid w:val="00826EB3"/>
    <w:rsid w:val="00827C23"/>
    <w:rsid w:val="00827D08"/>
    <w:rsid w:val="00827E7E"/>
    <w:rsid w:val="00830273"/>
    <w:rsid w:val="008302C9"/>
    <w:rsid w:val="0083136F"/>
    <w:rsid w:val="0083185C"/>
    <w:rsid w:val="00831FB5"/>
    <w:rsid w:val="008325CA"/>
    <w:rsid w:val="00832AA1"/>
    <w:rsid w:val="00832C18"/>
    <w:rsid w:val="00833058"/>
    <w:rsid w:val="008335B6"/>
    <w:rsid w:val="00833916"/>
    <w:rsid w:val="00833AF6"/>
    <w:rsid w:val="00833B05"/>
    <w:rsid w:val="00833B25"/>
    <w:rsid w:val="008340C9"/>
    <w:rsid w:val="008347AA"/>
    <w:rsid w:val="008347F2"/>
    <w:rsid w:val="00834A29"/>
    <w:rsid w:val="00834AA9"/>
    <w:rsid w:val="00834C91"/>
    <w:rsid w:val="00835564"/>
    <w:rsid w:val="00835689"/>
    <w:rsid w:val="00835904"/>
    <w:rsid w:val="00835C30"/>
    <w:rsid w:val="00835EC6"/>
    <w:rsid w:val="008362B4"/>
    <w:rsid w:val="00836516"/>
    <w:rsid w:val="008365DC"/>
    <w:rsid w:val="0083660A"/>
    <w:rsid w:val="00836A0A"/>
    <w:rsid w:val="00837258"/>
    <w:rsid w:val="008372F0"/>
    <w:rsid w:val="008373C3"/>
    <w:rsid w:val="00837B4F"/>
    <w:rsid w:val="00837DB6"/>
    <w:rsid w:val="00837E73"/>
    <w:rsid w:val="0084021A"/>
    <w:rsid w:val="008404B3"/>
    <w:rsid w:val="0084054C"/>
    <w:rsid w:val="0084075B"/>
    <w:rsid w:val="00840B44"/>
    <w:rsid w:val="00840BAA"/>
    <w:rsid w:val="00840CA2"/>
    <w:rsid w:val="00841556"/>
    <w:rsid w:val="00841A71"/>
    <w:rsid w:val="00842181"/>
    <w:rsid w:val="008422B3"/>
    <w:rsid w:val="00842336"/>
    <w:rsid w:val="0084237D"/>
    <w:rsid w:val="008424E0"/>
    <w:rsid w:val="0084282B"/>
    <w:rsid w:val="00842B50"/>
    <w:rsid w:val="00842CA3"/>
    <w:rsid w:val="00842CDA"/>
    <w:rsid w:val="0084374F"/>
    <w:rsid w:val="00843B7F"/>
    <w:rsid w:val="00843C8A"/>
    <w:rsid w:val="00844015"/>
    <w:rsid w:val="00844A22"/>
    <w:rsid w:val="00844C80"/>
    <w:rsid w:val="00844FEF"/>
    <w:rsid w:val="00845153"/>
    <w:rsid w:val="00845BEC"/>
    <w:rsid w:val="00846154"/>
    <w:rsid w:val="00846394"/>
    <w:rsid w:val="00846520"/>
    <w:rsid w:val="00846782"/>
    <w:rsid w:val="00847175"/>
    <w:rsid w:val="0084760E"/>
    <w:rsid w:val="008476D2"/>
    <w:rsid w:val="00847703"/>
    <w:rsid w:val="00847D9F"/>
    <w:rsid w:val="00847DF5"/>
    <w:rsid w:val="008503F7"/>
    <w:rsid w:val="00850D65"/>
    <w:rsid w:val="00850E26"/>
    <w:rsid w:val="00850FDF"/>
    <w:rsid w:val="00851517"/>
    <w:rsid w:val="00851528"/>
    <w:rsid w:val="00851739"/>
    <w:rsid w:val="00851A14"/>
    <w:rsid w:val="00851F3F"/>
    <w:rsid w:val="008524A6"/>
    <w:rsid w:val="00852679"/>
    <w:rsid w:val="008527E4"/>
    <w:rsid w:val="00852996"/>
    <w:rsid w:val="00852D3E"/>
    <w:rsid w:val="00852E23"/>
    <w:rsid w:val="0085309D"/>
    <w:rsid w:val="00853152"/>
    <w:rsid w:val="0085336C"/>
    <w:rsid w:val="0085339C"/>
    <w:rsid w:val="008534AE"/>
    <w:rsid w:val="00853C3E"/>
    <w:rsid w:val="00853D7F"/>
    <w:rsid w:val="00853DF1"/>
    <w:rsid w:val="0085462C"/>
    <w:rsid w:val="00854827"/>
    <w:rsid w:val="00854834"/>
    <w:rsid w:val="008548F8"/>
    <w:rsid w:val="008549FE"/>
    <w:rsid w:val="00854AA7"/>
    <w:rsid w:val="00854C30"/>
    <w:rsid w:val="0085522F"/>
    <w:rsid w:val="008552B7"/>
    <w:rsid w:val="008553DF"/>
    <w:rsid w:val="008556C7"/>
    <w:rsid w:val="008558AF"/>
    <w:rsid w:val="00855C26"/>
    <w:rsid w:val="00856136"/>
    <w:rsid w:val="00856242"/>
    <w:rsid w:val="00856897"/>
    <w:rsid w:val="00856CB3"/>
    <w:rsid w:val="00856D2D"/>
    <w:rsid w:val="00856E9A"/>
    <w:rsid w:val="0085716C"/>
    <w:rsid w:val="00857384"/>
    <w:rsid w:val="00857D2E"/>
    <w:rsid w:val="00857DB5"/>
    <w:rsid w:val="00857E32"/>
    <w:rsid w:val="0086039E"/>
    <w:rsid w:val="00860494"/>
    <w:rsid w:val="0086058B"/>
    <w:rsid w:val="008605BC"/>
    <w:rsid w:val="0086075D"/>
    <w:rsid w:val="008609DE"/>
    <w:rsid w:val="008612F9"/>
    <w:rsid w:val="008614AC"/>
    <w:rsid w:val="00862502"/>
    <w:rsid w:val="008627A7"/>
    <w:rsid w:val="00862B27"/>
    <w:rsid w:val="00862C81"/>
    <w:rsid w:val="00862CC1"/>
    <w:rsid w:val="00862CE9"/>
    <w:rsid w:val="008630A6"/>
    <w:rsid w:val="00863127"/>
    <w:rsid w:val="008631FE"/>
    <w:rsid w:val="008631FF"/>
    <w:rsid w:val="00863EB9"/>
    <w:rsid w:val="00863FFF"/>
    <w:rsid w:val="008642A7"/>
    <w:rsid w:val="00864539"/>
    <w:rsid w:val="00864A23"/>
    <w:rsid w:val="00864E4E"/>
    <w:rsid w:val="00864EF6"/>
    <w:rsid w:val="008654DE"/>
    <w:rsid w:val="00865D51"/>
    <w:rsid w:val="008660D4"/>
    <w:rsid w:val="00866366"/>
    <w:rsid w:val="00866451"/>
    <w:rsid w:val="0086690A"/>
    <w:rsid w:val="00866B49"/>
    <w:rsid w:val="00866F28"/>
    <w:rsid w:val="0086705C"/>
    <w:rsid w:val="008673F2"/>
    <w:rsid w:val="0086776F"/>
    <w:rsid w:val="008678B5"/>
    <w:rsid w:val="00867CF9"/>
    <w:rsid w:val="00867E41"/>
    <w:rsid w:val="008707F4"/>
    <w:rsid w:val="0087096B"/>
    <w:rsid w:val="00870A8C"/>
    <w:rsid w:val="00870B22"/>
    <w:rsid w:val="00871311"/>
    <w:rsid w:val="008716D9"/>
    <w:rsid w:val="008719B6"/>
    <w:rsid w:val="00871A00"/>
    <w:rsid w:val="00871FA9"/>
    <w:rsid w:val="0087207F"/>
    <w:rsid w:val="008728E9"/>
    <w:rsid w:val="008729A4"/>
    <w:rsid w:val="00872D74"/>
    <w:rsid w:val="00873488"/>
    <w:rsid w:val="00873D48"/>
    <w:rsid w:val="00873F37"/>
    <w:rsid w:val="0087405D"/>
    <w:rsid w:val="008741DE"/>
    <w:rsid w:val="008748A4"/>
    <w:rsid w:val="008748CE"/>
    <w:rsid w:val="00874C56"/>
    <w:rsid w:val="00874C5B"/>
    <w:rsid w:val="008750F1"/>
    <w:rsid w:val="00875274"/>
    <w:rsid w:val="008752EE"/>
    <w:rsid w:val="00875399"/>
    <w:rsid w:val="00875D26"/>
    <w:rsid w:val="008767D4"/>
    <w:rsid w:val="00876A62"/>
    <w:rsid w:val="00877164"/>
    <w:rsid w:val="00877715"/>
    <w:rsid w:val="00877823"/>
    <w:rsid w:val="00877BB1"/>
    <w:rsid w:val="0088014E"/>
    <w:rsid w:val="00880410"/>
    <w:rsid w:val="0088046D"/>
    <w:rsid w:val="008806D2"/>
    <w:rsid w:val="008809AA"/>
    <w:rsid w:val="00880A0F"/>
    <w:rsid w:val="00880D41"/>
    <w:rsid w:val="00880D84"/>
    <w:rsid w:val="00881315"/>
    <w:rsid w:val="008818BD"/>
    <w:rsid w:val="00881943"/>
    <w:rsid w:val="008820F0"/>
    <w:rsid w:val="00882874"/>
    <w:rsid w:val="00882D4D"/>
    <w:rsid w:val="00882DE2"/>
    <w:rsid w:val="00882DF3"/>
    <w:rsid w:val="00882E3C"/>
    <w:rsid w:val="0088308A"/>
    <w:rsid w:val="00883787"/>
    <w:rsid w:val="00883E6B"/>
    <w:rsid w:val="00883FDD"/>
    <w:rsid w:val="0088438A"/>
    <w:rsid w:val="008849FC"/>
    <w:rsid w:val="00884D6F"/>
    <w:rsid w:val="00884DC0"/>
    <w:rsid w:val="00885245"/>
    <w:rsid w:val="008855E4"/>
    <w:rsid w:val="00885A7C"/>
    <w:rsid w:val="008860EA"/>
    <w:rsid w:val="008861A9"/>
    <w:rsid w:val="0088668D"/>
    <w:rsid w:val="0088684A"/>
    <w:rsid w:val="008868CD"/>
    <w:rsid w:val="00886CD2"/>
    <w:rsid w:val="00886D1B"/>
    <w:rsid w:val="00887059"/>
    <w:rsid w:val="008872D4"/>
    <w:rsid w:val="00887401"/>
    <w:rsid w:val="00887544"/>
    <w:rsid w:val="00887C96"/>
    <w:rsid w:val="0089045B"/>
    <w:rsid w:val="00890CDD"/>
    <w:rsid w:val="00890E7C"/>
    <w:rsid w:val="008911FF"/>
    <w:rsid w:val="008914A0"/>
    <w:rsid w:val="00891B40"/>
    <w:rsid w:val="00891B80"/>
    <w:rsid w:val="00891E6F"/>
    <w:rsid w:val="00891F5E"/>
    <w:rsid w:val="00891FFA"/>
    <w:rsid w:val="0089275D"/>
    <w:rsid w:val="00892A36"/>
    <w:rsid w:val="00892D93"/>
    <w:rsid w:val="008930B5"/>
    <w:rsid w:val="008931F0"/>
    <w:rsid w:val="00893239"/>
    <w:rsid w:val="00893970"/>
    <w:rsid w:val="00893993"/>
    <w:rsid w:val="00893A68"/>
    <w:rsid w:val="0089420E"/>
    <w:rsid w:val="008942F5"/>
    <w:rsid w:val="00894489"/>
    <w:rsid w:val="008949AF"/>
    <w:rsid w:val="00894AA7"/>
    <w:rsid w:val="00894C08"/>
    <w:rsid w:val="00894CD6"/>
    <w:rsid w:val="00894FF7"/>
    <w:rsid w:val="008951A3"/>
    <w:rsid w:val="00895268"/>
    <w:rsid w:val="008953FC"/>
    <w:rsid w:val="00895B49"/>
    <w:rsid w:val="00896009"/>
    <w:rsid w:val="0089606C"/>
    <w:rsid w:val="008961C1"/>
    <w:rsid w:val="008963A5"/>
    <w:rsid w:val="008963EC"/>
    <w:rsid w:val="0089646C"/>
    <w:rsid w:val="008964AA"/>
    <w:rsid w:val="00896592"/>
    <w:rsid w:val="0089687C"/>
    <w:rsid w:val="0089699B"/>
    <w:rsid w:val="00896A82"/>
    <w:rsid w:val="00896D17"/>
    <w:rsid w:val="00896D5D"/>
    <w:rsid w:val="00897108"/>
    <w:rsid w:val="008971B1"/>
    <w:rsid w:val="008975AD"/>
    <w:rsid w:val="00897601"/>
    <w:rsid w:val="00897BB0"/>
    <w:rsid w:val="008A06C0"/>
    <w:rsid w:val="008A1126"/>
    <w:rsid w:val="008A1515"/>
    <w:rsid w:val="008A19C8"/>
    <w:rsid w:val="008A2846"/>
    <w:rsid w:val="008A2D73"/>
    <w:rsid w:val="008A3158"/>
    <w:rsid w:val="008A3363"/>
    <w:rsid w:val="008A3371"/>
    <w:rsid w:val="008A33B9"/>
    <w:rsid w:val="008A3944"/>
    <w:rsid w:val="008A395C"/>
    <w:rsid w:val="008A3C3E"/>
    <w:rsid w:val="008A4359"/>
    <w:rsid w:val="008A4477"/>
    <w:rsid w:val="008A47F2"/>
    <w:rsid w:val="008A4976"/>
    <w:rsid w:val="008A4C70"/>
    <w:rsid w:val="008A4ED1"/>
    <w:rsid w:val="008A508A"/>
    <w:rsid w:val="008A5358"/>
    <w:rsid w:val="008A59D1"/>
    <w:rsid w:val="008A5A09"/>
    <w:rsid w:val="008A6489"/>
    <w:rsid w:val="008A6CCF"/>
    <w:rsid w:val="008A70B8"/>
    <w:rsid w:val="008A7273"/>
    <w:rsid w:val="008A73E3"/>
    <w:rsid w:val="008A77AE"/>
    <w:rsid w:val="008A799A"/>
    <w:rsid w:val="008A79DE"/>
    <w:rsid w:val="008B093A"/>
    <w:rsid w:val="008B0B22"/>
    <w:rsid w:val="008B0E37"/>
    <w:rsid w:val="008B11A1"/>
    <w:rsid w:val="008B159D"/>
    <w:rsid w:val="008B16CF"/>
    <w:rsid w:val="008B1757"/>
    <w:rsid w:val="008B1BEB"/>
    <w:rsid w:val="008B1C33"/>
    <w:rsid w:val="008B1C95"/>
    <w:rsid w:val="008B1E68"/>
    <w:rsid w:val="008B20B0"/>
    <w:rsid w:val="008B289F"/>
    <w:rsid w:val="008B2DC2"/>
    <w:rsid w:val="008B2FCF"/>
    <w:rsid w:val="008B3507"/>
    <w:rsid w:val="008B362B"/>
    <w:rsid w:val="008B3ADC"/>
    <w:rsid w:val="008B3DD1"/>
    <w:rsid w:val="008B407B"/>
    <w:rsid w:val="008B42EF"/>
    <w:rsid w:val="008B4B07"/>
    <w:rsid w:val="008B4B6F"/>
    <w:rsid w:val="008B4C68"/>
    <w:rsid w:val="008B4D2C"/>
    <w:rsid w:val="008B518A"/>
    <w:rsid w:val="008B5ADB"/>
    <w:rsid w:val="008B5D1E"/>
    <w:rsid w:val="008B5E8A"/>
    <w:rsid w:val="008B63FA"/>
    <w:rsid w:val="008B70B3"/>
    <w:rsid w:val="008B72F8"/>
    <w:rsid w:val="008B73F4"/>
    <w:rsid w:val="008B7791"/>
    <w:rsid w:val="008B7893"/>
    <w:rsid w:val="008B7992"/>
    <w:rsid w:val="008B7D7E"/>
    <w:rsid w:val="008B7DCF"/>
    <w:rsid w:val="008C0024"/>
    <w:rsid w:val="008C0334"/>
    <w:rsid w:val="008C0ACD"/>
    <w:rsid w:val="008C1164"/>
    <w:rsid w:val="008C1429"/>
    <w:rsid w:val="008C1460"/>
    <w:rsid w:val="008C1642"/>
    <w:rsid w:val="008C17A5"/>
    <w:rsid w:val="008C216F"/>
    <w:rsid w:val="008C2A9A"/>
    <w:rsid w:val="008C2AF9"/>
    <w:rsid w:val="008C2B7C"/>
    <w:rsid w:val="008C2EA9"/>
    <w:rsid w:val="008C30A2"/>
    <w:rsid w:val="008C392B"/>
    <w:rsid w:val="008C3AA3"/>
    <w:rsid w:val="008C3F9E"/>
    <w:rsid w:val="008C405B"/>
    <w:rsid w:val="008C4520"/>
    <w:rsid w:val="008C4747"/>
    <w:rsid w:val="008C4A76"/>
    <w:rsid w:val="008C4CE3"/>
    <w:rsid w:val="008C5610"/>
    <w:rsid w:val="008C5739"/>
    <w:rsid w:val="008C5C00"/>
    <w:rsid w:val="008C5D53"/>
    <w:rsid w:val="008C603A"/>
    <w:rsid w:val="008C609F"/>
    <w:rsid w:val="008C6579"/>
    <w:rsid w:val="008C69D9"/>
    <w:rsid w:val="008C6B4A"/>
    <w:rsid w:val="008C6F2B"/>
    <w:rsid w:val="008C7282"/>
    <w:rsid w:val="008C7933"/>
    <w:rsid w:val="008C7A98"/>
    <w:rsid w:val="008C7CCE"/>
    <w:rsid w:val="008C7CDC"/>
    <w:rsid w:val="008C7DEA"/>
    <w:rsid w:val="008C7E77"/>
    <w:rsid w:val="008C7ECB"/>
    <w:rsid w:val="008D0561"/>
    <w:rsid w:val="008D090D"/>
    <w:rsid w:val="008D0B64"/>
    <w:rsid w:val="008D0D29"/>
    <w:rsid w:val="008D13E9"/>
    <w:rsid w:val="008D1449"/>
    <w:rsid w:val="008D1611"/>
    <w:rsid w:val="008D17E2"/>
    <w:rsid w:val="008D183A"/>
    <w:rsid w:val="008D185F"/>
    <w:rsid w:val="008D19DC"/>
    <w:rsid w:val="008D1A9B"/>
    <w:rsid w:val="008D1F16"/>
    <w:rsid w:val="008D1F48"/>
    <w:rsid w:val="008D2878"/>
    <w:rsid w:val="008D3208"/>
    <w:rsid w:val="008D32C1"/>
    <w:rsid w:val="008D390E"/>
    <w:rsid w:val="008D3977"/>
    <w:rsid w:val="008D3AA6"/>
    <w:rsid w:val="008D3B86"/>
    <w:rsid w:val="008D43FD"/>
    <w:rsid w:val="008D4755"/>
    <w:rsid w:val="008D4B78"/>
    <w:rsid w:val="008D4C3D"/>
    <w:rsid w:val="008D4F72"/>
    <w:rsid w:val="008D5655"/>
    <w:rsid w:val="008D5AC4"/>
    <w:rsid w:val="008D5AD4"/>
    <w:rsid w:val="008D6368"/>
    <w:rsid w:val="008D6A32"/>
    <w:rsid w:val="008D6BE9"/>
    <w:rsid w:val="008D6C8F"/>
    <w:rsid w:val="008D743C"/>
    <w:rsid w:val="008D76A0"/>
    <w:rsid w:val="008D7782"/>
    <w:rsid w:val="008D7A5F"/>
    <w:rsid w:val="008D7F23"/>
    <w:rsid w:val="008D7F81"/>
    <w:rsid w:val="008E0021"/>
    <w:rsid w:val="008E071C"/>
    <w:rsid w:val="008E0D3C"/>
    <w:rsid w:val="008E0EBB"/>
    <w:rsid w:val="008E10A8"/>
    <w:rsid w:val="008E15E1"/>
    <w:rsid w:val="008E1626"/>
    <w:rsid w:val="008E1A18"/>
    <w:rsid w:val="008E1A27"/>
    <w:rsid w:val="008E1B9E"/>
    <w:rsid w:val="008E1C08"/>
    <w:rsid w:val="008E2566"/>
    <w:rsid w:val="008E2674"/>
    <w:rsid w:val="008E2715"/>
    <w:rsid w:val="008E2A65"/>
    <w:rsid w:val="008E2D0B"/>
    <w:rsid w:val="008E2D7F"/>
    <w:rsid w:val="008E2E57"/>
    <w:rsid w:val="008E2FA9"/>
    <w:rsid w:val="008E3400"/>
    <w:rsid w:val="008E3408"/>
    <w:rsid w:val="008E34D1"/>
    <w:rsid w:val="008E37CE"/>
    <w:rsid w:val="008E387D"/>
    <w:rsid w:val="008E3B62"/>
    <w:rsid w:val="008E3FA8"/>
    <w:rsid w:val="008E4035"/>
    <w:rsid w:val="008E423B"/>
    <w:rsid w:val="008E451E"/>
    <w:rsid w:val="008E4657"/>
    <w:rsid w:val="008E487A"/>
    <w:rsid w:val="008E5323"/>
    <w:rsid w:val="008E5562"/>
    <w:rsid w:val="008E55AB"/>
    <w:rsid w:val="008E560B"/>
    <w:rsid w:val="008E5FB9"/>
    <w:rsid w:val="008E6667"/>
    <w:rsid w:val="008E692B"/>
    <w:rsid w:val="008E6B4C"/>
    <w:rsid w:val="008E6B99"/>
    <w:rsid w:val="008E73D2"/>
    <w:rsid w:val="008E79C3"/>
    <w:rsid w:val="008E7B67"/>
    <w:rsid w:val="008E7BA4"/>
    <w:rsid w:val="008E7DAA"/>
    <w:rsid w:val="008E7F82"/>
    <w:rsid w:val="008F00B6"/>
    <w:rsid w:val="008F120A"/>
    <w:rsid w:val="008F122B"/>
    <w:rsid w:val="008F136C"/>
    <w:rsid w:val="008F13AA"/>
    <w:rsid w:val="008F1515"/>
    <w:rsid w:val="008F1649"/>
    <w:rsid w:val="008F1961"/>
    <w:rsid w:val="008F1D21"/>
    <w:rsid w:val="008F1E0E"/>
    <w:rsid w:val="008F1E91"/>
    <w:rsid w:val="008F1ED8"/>
    <w:rsid w:val="008F1FE4"/>
    <w:rsid w:val="008F212D"/>
    <w:rsid w:val="008F240C"/>
    <w:rsid w:val="008F24EE"/>
    <w:rsid w:val="008F27E0"/>
    <w:rsid w:val="008F2947"/>
    <w:rsid w:val="008F2A1E"/>
    <w:rsid w:val="008F2A43"/>
    <w:rsid w:val="008F2B9C"/>
    <w:rsid w:val="008F320B"/>
    <w:rsid w:val="008F340E"/>
    <w:rsid w:val="008F48EB"/>
    <w:rsid w:val="008F4E14"/>
    <w:rsid w:val="008F4F0B"/>
    <w:rsid w:val="008F60AD"/>
    <w:rsid w:val="008F618D"/>
    <w:rsid w:val="008F6A35"/>
    <w:rsid w:val="008F6C21"/>
    <w:rsid w:val="008F6DF8"/>
    <w:rsid w:val="008F77B3"/>
    <w:rsid w:val="008F7C37"/>
    <w:rsid w:val="008F7E96"/>
    <w:rsid w:val="008F7FDE"/>
    <w:rsid w:val="0090011C"/>
    <w:rsid w:val="00900204"/>
    <w:rsid w:val="00900B75"/>
    <w:rsid w:val="00900E28"/>
    <w:rsid w:val="00900F0F"/>
    <w:rsid w:val="00901358"/>
    <w:rsid w:val="0090146A"/>
    <w:rsid w:val="00902395"/>
    <w:rsid w:val="0090266C"/>
    <w:rsid w:val="00902AC7"/>
    <w:rsid w:val="00902E9F"/>
    <w:rsid w:val="0090311E"/>
    <w:rsid w:val="00903192"/>
    <w:rsid w:val="0090375C"/>
    <w:rsid w:val="009037F5"/>
    <w:rsid w:val="00903803"/>
    <w:rsid w:val="0090426D"/>
    <w:rsid w:val="009046C4"/>
    <w:rsid w:val="00904F75"/>
    <w:rsid w:val="00905185"/>
    <w:rsid w:val="0090529B"/>
    <w:rsid w:val="009052FD"/>
    <w:rsid w:val="00905E5F"/>
    <w:rsid w:val="009062A5"/>
    <w:rsid w:val="00906E49"/>
    <w:rsid w:val="00906EF8"/>
    <w:rsid w:val="009070E3"/>
    <w:rsid w:val="00907699"/>
    <w:rsid w:val="009076E1"/>
    <w:rsid w:val="00907940"/>
    <w:rsid w:val="00907993"/>
    <w:rsid w:val="00907B0F"/>
    <w:rsid w:val="00907D9A"/>
    <w:rsid w:val="00907EC3"/>
    <w:rsid w:val="00907F90"/>
    <w:rsid w:val="0091012F"/>
    <w:rsid w:val="009102B7"/>
    <w:rsid w:val="0091080B"/>
    <w:rsid w:val="009108AC"/>
    <w:rsid w:val="00910A6D"/>
    <w:rsid w:val="00910B1C"/>
    <w:rsid w:val="00910B40"/>
    <w:rsid w:val="00910FA7"/>
    <w:rsid w:val="00911272"/>
    <w:rsid w:val="00911339"/>
    <w:rsid w:val="00911B6F"/>
    <w:rsid w:val="009125A5"/>
    <w:rsid w:val="00912890"/>
    <w:rsid w:val="00912E7B"/>
    <w:rsid w:val="00912F0D"/>
    <w:rsid w:val="009130BE"/>
    <w:rsid w:val="00913445"/>
    <w:rsid w:val="009134ED"/>
    <w:rsid w:val="009135D6"/>
    <w:rsid w:val="0091363F"/>
    <w:rsid w:val="00914139"/>
    <w:rsid w:val="00914443"/>
    <w:rsid w:val="0091459D"/>
    <w:rsid w:val="0091489D"/>
    <w:rsid w:val="00914B02"/>
    <w:rsid w:val="00914C77"/>
    <w:rsid w:val="00914C82"/>
    <w:rsid w:val="00914CB1"/>
    <w:rsid w:val="00914E54"/>
    <w:rsid w:val="00914FA9"/>
    <w:rsid w:val="009150D7"/>
    <w:rsid w:val="00915474"/>
    <w:rsid w:val="0091552F"/>
    <w:rsid w:val="0091562A"/>
    <w:rsid w:val="00915863"/>
    <w:rsid w:val="009159B7"/>
    <w:rsid w:val="00915F60"/>
    <w:rsid w:val="009165E2"/>
    <w:rsid w:val="00916B6D"/>
    <w:rsid w:val="0091735A"/>
    <w:rsid w:val="009173D0"/>
    <w:rsid w:val="00917D07"/>
    <w:rsid w:val="00920544"/>
    <w:rsid w:val="00920C21"/>
    <w:rsid w:val="00921450"/>
    <w:rsid w:val="00921513"/>
    <w:rsid w:val="0092178D"/>
    <w:rsid w:val="00921919"/>
    <w:rsid w:val="00921ACB"/>
    <w:rsid w:val="0092214C"/>
    <w:rsid w:val="0092249C"/>
    <w:rsid w:val="00922FFB"/>
    <w:rsid w:val="00923070"/>
    <w:rsid w:val="009234A7"/>
    <w:rsid w:val="0092369B"/>
    <w:rsid w:val="009237F2"/>
    <w:rsid w:val="0092401D"/>
    <w:rsid w:val="00924095"/>
    <w:rsid w:val="00924141"/>
    <w:rsid w:val="0092439A"/>
    <w:rsid w:val="009243DA"/>
    <w:rsid w:val="00924755"/>
    <w:rsid w:val="00924852"/>
    <w:rsid w:val="009249F7"/>
    <w:rsid w:val="00924D16"/>
    <w:rsid w:val="00925217"/>
    <w:rsid w:val="009254E8"/>
    <w:rsid w:val="00925697"/>
    <w:rsid w:val="0092617B"/>
    <w:rsid w:val="009265F0"/>
    <w:rsid w:val="00926611"/>
    <w:rsid w:val="00926899"/>
    <w:rsid w:val="00926941"/>
    <w:rsid w:val="009272EE"/>
    <w:rsid w:val="009274A9"/>
    <w:rsid w:val="00927914"/>
    <w:rsid w:val="009279D4"/>
    <w:rsid w:val="00927D81"/>
    <w:rsid w:val="00927E18"/>
    <w:rsid w:val="00927E60"/>
    <w:rsid w:val="00930071"/>
    <w:rsid w:val="009306F6"/>
    <w:rsid w:val="0093098E"/>
    <w:rsid w:val="00930C49"/>
    <w:rsid w:val="00930CA9"/>
    <w:rsid w:val="00930F0B"/>
    <w:rsid w:val="00930FDD"/>
    <w:rsid w:val="00931344"/>
    <w:rsid w:val="00931972"/>
    <w:rsid w:val="00931B07"/>
    <w:rsid w:val="00931B77"/>
    <w:rsid w:val="00931D26"/>
    <w:rsid w:val="00932DF5"/>
    <w:rsid w:val="009334B6"/>
    <w:rsid w:val="0093398B"/>
    <w:rsid w:val="00933B85"/>
    <w:rsid w:val="0093406E"/>
    <w:rsid w:val="0093418A"/>
    <w:rsid w:val="00934918"/>
    <w:rsid w:val="00934988"/>
    <w:rsid w:val="00935510"/>
    <w:rsid w:val="00935C11"/>
    <w:rsid w:val="00935C1E"/>
    <w:rsid w:val="00935E10"/>
    <w:rsid w:val="009360B5"/>
    <w:rsid w:val="009363FE"/>
    <w:rsid w:val="009365E0"/>
    <w:rsid w:val="00936897"/>
    <w:rsid w:val="00936C94"/>
    <w:rsid w:val="00936CAC"/>
    <w:rsid w:val="00936CAF"/>
    <w:rsid w:val="00936D8A"/>
    <w:rsid w:val="00936DE5"/>
    <w:rsid w:val="00936F82"/>
    <w:rsid w:val="00937089"/>
    <w:rsid w:val="00937637"/>
    <w:rsid w:val="00937687"/>
    <w:rsid w:val="00937796"/>
    <w:rsid w:val="00937CD5"/>
    <w:rsid w:val="0094048B"/>
    <w:rsid w:val="009407E4"/>
    <w:rsid w:val="00940D0F"/>
    <w:rsid w:val="00940E5A"/>
    <w:rsid w:val="009416A0"/>
    <w:rsid w:val="00941971"/>
    <w:rsid w:val="00941C1F"/>
    <w:rsid w:val="0094207B"/>
    <w:rsid w:val="009420FE"/>
    <w:rsid w:val="00942206"/>
    <w:rsid w:val="00942480"/>
    <w:rsid w:val="00942559"/>
    <w:rsid w:val="00942795"/>
    <w:rsid w:val="00942A5E"/>
    <w:rsid w:val="00942EEC"/>
    <w:rsid w:val="00943964"/>
    <w:rsid w:val="00943E8C"/>
    <w:rsid w:val="00943EA9"/>
    <w:rsid w:val="00944084"/>
    <w:rsid w:val="009441A6"/>
    <w:rsid w:val="009441F7"/>
    <w:rsid w:val="00944DC2"/>
    <w:rsid w:val="00944DDA"/>
    <w:rsid w:val="00944F8A"/>
    <w:rsid w:val="0094518A"/>
    <w:rsid w:val="0094524E"/>
    <w:rsid w:val="00945294"/>
    <w:rsid w:val="00945700"/>
    <w:rsid w:val="0094586F"/>
    <w:rsid w:val="00945A14"/>
    <w:rsid w:val="00945AB9"/>
    <w:rsid w:val="00945E79"/>
    <w:rsid w:val="0094634C"/>
    <w:rsid w:val="0094735F"/>
    <w:rsid w:val="0094774D"/>
    <w:rsid w:val="00947879"/>
    <w:rsid w:val="00947A54"/>
    <w:rsid w:val="00947F0D"/>
    <w:rsid w:val="0095005A"/>
    <w:rsid w:val="00950241"/>
    <w:rsid w:val="009506BE"/>
    <w:rsid w:val="009507EC"/>
    <w:rsid w:val="00950F2F"/>
    <w:rsid w:val="009510A2"/>
    <w:rsid w:val="009513D2"/>
    <w:rsid w:val="00951553"/>
    <w:rsid w:val="00951675"/>
    <w:rsid w:val="0095172D"/>
    <w:rsid w:val="0095176C"/>
    <w:rsid w:val="00951A01"/>
    <w:rsid w:val="00951E17"/>
    <w:rsid w:val="009528B0"/>
    <w:rsid w:val="00953257"/>
    <w:rsid w:val="009533DE"/>
    <w:rsid w:val="00953523"/>
    <w:rsid w:val="009535B9"/>
    <w:rsid w:val="00953ECE"/>
    <w:rsid w:val="0095474C"/>
    <w:rsid w:val="00954AAF"/>
    <w:rsid w:val="00954BCC"/>
    <w:rsid w:val="00954C03"/>
    <w:rsid w:val="00954D29"/>
    <w:rsid w:val="0095519B"/>
    <w:rsid w:val="009553E2"/>
    <w:rsid w:val="0095543E"/>
    <w:rsid w:val="0095545E"/>
    <w:rsid w:val="0095594C"/>
    <w:rsid w:val="00955BF8"/>
    <w:rsid w:val="00956247"/>
    <w:rsid w:val="0095654A"/>
    <w:rsid w:val="00956A01"/>
    <w:rsid w:val="00956A81"/>
    <w:rsid w:val="00956F62"/>
    <w:rsid w:val="00956FC2"/>
    <w:rsid w:val="009571CF"/>
    <w:rsid w:val="00957D09"/>
    <w:rsid w:val="00957D92"/>
    <w:rsid w:val="00957DE8"/>
    <w:rsid w:val="00957E96"/>
    <w:rsid w:val="009601FF"/>
    <w:rsid w:val="00960317"/>
    <w:rsid w:val="0096080B"/>
    <w:rsid w:val="00961A47"/>
    <w:rsid w:val="009628CD"/>
    <w:rsid w:val="00962CB9"/>
    <w:rsid w:val="00962EE4"/>
    <w:rsid w:val="0096328A"/>
    <w:rsid w:val="00963845"/>
    <w:rsid w:val="00964056"/>
    <w:rsid w:val="00964312"/>
    <w:rsid w:val="00964450"/>
    <w:rsid w:val="009644F8"/>
    <w:rsid w:val="00964C90"/>
    <w:rsid w:val="00965189"/>
    <w:rsid w:val="009651CF"/>
    <w:rsid w:val="00965386"/>
    <w:rsid w:val="0096563A"/>
    <w:rsid w:val="0096570F"/>
    <w:rsid w:val="00965AF0"/>
    <w:rsid w:val="00965B8A"/>
    <w:rsid w:val="00965D3D"/>
    <w:rsid w:val="00965F36"/>
    <w:rsid w:val="00966418"/>
    <w:rsid w:val="00966743"/>
    <w:rsid w:val="00966A6B"/>
    <w:rsid w:val="00966CBD"/>
    <w:rsid w:val="00966D93"/>
    <w:rsid w:val="00966F35"/>
    <w:rsid w:val="00966FFF"/>
    <w:rsid w:val="009673A1"/>
    <w:rsid w:val="009677DB"/>
    <w:rsid w:val="009678A6"/>
    <w:rsid w:val="00967910"/>
    <w:rsid w:val="00967A89"/>
    <w:rsid w:val="009702C7"/>
    <w:rsid w:val="00970535"/>
    <w:rsid w:val="0097071F"/>
    <w:rsid w:val="00970B79"/>
    <w:rsid w:val="00970C54"/>
    <w:rsid w:val="0097144D"/>
    <w:rsid w:val="0097169F"/>
    <w:rsid w:val="009717AC"/>
    <w:rsid w:val="00971847"/>
    <w:rsid w:val="00971B06"/>
    <w:rsid w:val="00971CAD"/>
    <w:rsid w:val="00972194"/>
    <w:rsid w:val="00972B59"/>
    <w:rsid w:val="00972E13"/>
    <w:rsid w:val="0097331E"/>
    <w:rsid w:val="009733D5"/>
    <w:rsid w:val="0097343C"/>
    <w:rsid w:val="009734B3"/>
    <w:rsid w:val="00973526"/>
    <w:rsid w:val="0097363A"/>
    <w:rsid w:val="009742C5"/>
    <w:rsid w:val="009743D9"/>
    <w:rsid w:val="009744C8"/>
    <w:rsid w:val="0097510A"/>
    <w:rsid w:val="009751C1"/>
    <w:rsid w:val="00975A5D"/>
    <w:rsid w:val="00975EBC"/>
    <w:rsid w:val="00975EF4"/>
    <w:rsid w:val="00976299"/>
    <w:rsid w:val="0097640F"/>
    <w:rsid w:val="009766C7"/>
    <w:rsid w:val="009766F8"/>
    <w:rsid w:val="009769E1"/>
    <w:rsid w:val="00976D15"/>
    <w:rsid w:val="00976D54"/>
    <w:rsid w:val="0097713F"/>
    <w:rsid w:val="00977275"/>
    <w:rsid w:val="00977314"/>
    <w:rsid w:val="009773A2"/>
    <w:rsid w:val="00977809"/>
    <w:rsid w:val="00977850"/>
    <w:rsid w:val="00977C05"/>
    <w:rsid w:val="00977C62"/>
    <w:rsid w:val="009809F9"/>
    <w:rsid w:val="00980E5C"/>
    <w:rsid w:val="009811F1"/>
    <w:rsid w:val="009812F2"/>
    <w:rsid w:val="009814EA"/>
    <w:rsid w:val="009817CE"/>
    <w:rsid w:val="00981FD0"/>
    <w:rsid w:val="0098244A"/>
    <w:rsid w:val="009824C6"/>
    <w:rsid w:val="0098262F"/>
    <w:rsid w:val="00982BDF"/>
    <w:rsid w:val="00982CA4"/>
    <w:rsid w:val="00982F29"/>
    <w:rsid w:val="009830D9"/>
    <w:rsid w:val="00983164"/>
    <w:rsid w:val="00983414"/>
    <w:rsid w:val="00983560"/>
    <w:rsid w:val="00983A30"/>
    <w:rsid w:val="00983B6E"/>
    <w:rsid w:val="00983E57"/>
    <w:rsid w:val="00983F43"/>
    <w:rsid w:val="00983FA2"/>
    <w:rsid w:val="009844C2"/>
    <w:rsid w:val="00984B01"/>
    <w:rsid w:val="00984F1B"/>
    <w:rsid w:val="00985118"/>
    <w:rsid w:val="009851A7"/>
    <w:rsid w:val="009856BC"/>
    <w:rsid w:val="00985820"/>
    <w:rsid w:val="00985998"/>
    <w:rsid w:val="00985B94"/>
    <w:rsid w:val="00985C20"/>
    <w:rsid w:val="00985D54"/>
    <w:rsid w:val="00985DE2"/>
    <w:rsid w:val="00985EA8"/>
    <w:rsid w:val="0098675D"/>
    <w:rsid w:val="009867BE"/>
    <w:rsid w:val="00986B1A"/>
    <w:rsid w:val="00986B2E"/>
    <w:rsid w:val="00986C80"/>
    <w:rsid w:val="00986E1F"/>
    <w:rsid w:val="00986EF1"/>
    <w:rsid w:val="00987497"/>
    <w:rsid w:val="009874C8"/>
    <w:rsid w:val="00987651"/>
    <w:rsid w:val="00987ACA"/>
    <w:rsid w:val="00987BA4"/>
    <w:rsid w:val="00987DBE"/>
    <w:rsid w:val="00990018"/>
    <w:rsid w:val="009900E5"/>
    <w:rsid w:val="00990157"/>
    <w:rsid w:val="0099051B"/>
    <w:rsid w:val="00990CB4"/>
    <w:rsid w:val="00990F6D"/>
    <w:rsid w:val="009915A0"/>
    <w:rsid w:val="00991773"/>
    <w:rsid w:val="009917AB"/>
    <w:rsid w:val="009921C4"/>
    <w:rsid w:val="009921D5"/>
    <w:rsid w:val="0099220E"/>
    <w:rsid w:val="009925E9"/>
    <w:rsid w:val="009926E0"/>
    <w:rsid w:val="00992C70"/>
    <w:rsid w:val="00992D0B"/>
    <w:rsid w:val="00992E85"/>
    <w:rsid w:val="0099394A"/>
    <w:rsid w:val="00993A84"/>
    <w:rsid w:val="00994065"/>
    <w:rsid w:val="009942D3"/>
    <w:rsid w:val="00994415"/>
    <w:rsid w:val="0099451E"/>
    <w:rsid w:val="009949DA"/>
    <w:rsid w:val="00994C51"/>
    <w:rsid w:val="009953ED"/>
    <w:rsid w:val="00995829"/>
    <w:rsid w:val="00995A46"/>
    <w:rsid w:val="009967A9"/>
    <w:rsid w:val="009967FD"/>
    <w:rsid w:val="00996B15"/>
    <w:rsid w:val="00996B1A"/>
    <w:rsid w:val="00996B9C"/>
    <w:rsid w:val="00996D16"/>
    <w:rsid w:val="0099766D"/>
    <w:rsid w:val="00997F8F"/>
    <w:rsid w:val="009A0000"/>
    <w:rsid w:val="009A005F"/>
    <w:rsid w:val="009A0877"/>
    <w:rsid w:val="009A08B2"/>
    <w:rsid w:val="009A0D72"/>
    <w:rsid w:val="009A0FD6"/>
    <w:rsid w:val="009A13C4"/>
    <w:rsid w:val="009A16F0"/>
    <w:rsid w:val="009A17EE"/>
    <w:rsid w:val="009A1801"/>
    <w:rsid w:val="009A18F6"/>
    <w:rsid w:val="009A2427"/>
    <w:rsid w:val="009A27E8"/>
    <w:rsid w:val="009A2923"/>
    <w:rsid w:val="009A2DCC"/>
    <w:rsid w:val="009A3E53"/>
    <w:rsid w:val="009A3FE4"/>
    <w:rsid w:val="009A4313"/>
    <w:rsid w:val="009A4635"/>
    <w:rsid w:val="009A469B"/>
    <w:rsid w:val="009A4C47"/>
    <w:rsid w:val="009A5096"/>
    <w:rsid w:val="009A5490"/>
    <w:rsid w:val="009A567E"/>
    <w:rsid w:val="009A5ABC"/>
    <w:rsid w:val="009A5BBF"/>
    <w:rsid w:val="009A5DA2"/>
    <w:rsid w:val="009A61EB"/>
    <w:rsid w:val="009A62B4"/>
    <w:rsid w:val="009A6309"/>
    <w:rsid w:val="009A6C20"/>
    <w:rsid w:val="009A7251"/>
    <w:rsid w:val="009A72AC"/>
    <w:rsid w:val="009A7666"/>
    <w:rsid w:val="009A7721"/>
    <w:rsid w:val="009A79C9"/>
    <w:rsid w:val="009A7B84"/>
    <w:rsid w:val="009A7D2B"/>
    <w:rsid w:val="009A7E69"/>
    <w:rsid w:val="009A7F10"/>
    <w:rsid w:val="009B0496"/>
    <w:rsid w:val="009B057C"/>
    <w:rsid w:val="009B089D"/>
    <w:rsid w:val="009B0B65"/>
    <w:rsid w:val="009B0ED1"/>
    <w:rsid w:val="009B1166"/>
    <w:rsid w:val="009B1327"/>
    <w:rsid w:val="009B1372"/>
    <w:rsid w:val="009B14B1"/>
    <w:rsid w:val="009B14F7"/>
    <w:rsid w:val="009B191F"/>
    <w:rsid w:val="009B1A2C"/>
    <w:rsid w:val="009B1E43"/>
    <w:rsid w:val="009B22AA"/>
    <w:rsid w:val="009B252B"/>
    <w:rsid w:val="009B284F"/>
    <w:rsid w:val="009B28F4"/>
    <w:rsid w:val="009B2C55"/>
    <w:rsid w:val="009B2F5B"/>
    <w:rsid w:val="009B34ED"/>
    <w:rsid w:val="009B3E26"/>
    <w:rsid w:val="009B401A"/>
    <w:rsid w:val="009B40ED"/>
    <w:rsid w:val="009B4269"/>
    <w:rsid w:val="009B42EB"/>
    <w:rsid w:val="009B43DB"/>
    <w:rsid w:val="009B4439"/>
    <w:rsid w:val="009B4504"/>
    <w:rsid w:val="009B4633"/>
    <w:rsid w:val="009B4947"/>
    <w:rsid w:val="009B4B8C"/>
    <w:rsid w:val="009B4C41"/>
    <w:rsid w:val="009B53CC"/>
    <w:rsid w:val="009B5431"/>
    <w:rsid w:val="009B5673"/>
    <w:rsid w:val="009B663B"/>
    <w:rsid w:val="009B6A4E"/>
    <w:rsid w:val="009B6C05"/>
    <w:rsid w:val="009B6D86"/>
    <w:rsid w:val="009B6F15"/>
    <w:rsid w:val="009B6FE7"/>
    <w:rsid w:val="009B76F0"/>
    <w:rsid w:val="009B786C"/>
    <w:rsid w:val="009B7C1F"/>
    <w:rsid w:val="009B7F2C"/>
    <w:rsid w:val="009C0018"/>
    <w:rsid w:val="009C030B"/>
    <w:rsid w:val="009C0E6B"/>
    <w:rsid w:val="009C1190"/>
    <w:rsid w:val="009C121A"/>
    <w:rsid w:val="009C1271"/>
    <w:rsid w:val="009C15F3"/>
    <w:rsid w:val="009C1EED"/>
    <w:rsid w:val="009C27E6"/>
    <w:rsid w:val="009C2845"/>
    <w:rsid w:val="009C298B"/>
    <w:rsid w:val="009C2A88"/>
    <w:rsid w:val="009C2DEE"/>
    <w:rsid w:val="009C2E8C"/>
    <w:rsid w:val="009C308A"/>
    <w:rsid w:val="009C3277"/>
    <w:rsid w:val="009C3706"/>
    <w:rsid w:val="009C37A4"/>
    <w:rsid w:val="009C3876"/>
    <w:rsid w:val="009C3A3A"/>
    <w:rsid w:val="009C3B8C"/>
    <w:rsid w:val="009C3BCB"/>
    <w:rsid w:val="009C3D0F"/>
    <w:rsid w:val="009C4250"/>
    <w:rsid w:val="009C426B"/>
    <w:rsid w:val="009C479C"/>
    <w:rsid w:val="009C5019"/>
    <w:rsid w:val="009C5377"/>
    <w:rsid w:val="009C558A"/>
    <w:rsid w:val="009C646E"/>
    <w:rsid w:val="009C68A8"/>
    <w:rsid w:val="009C69A7"/>
    <w:rsid w:val="009C6AA3"/>
    <w:rsid w:val="009C6CEA"/>
    <w:rsid w:val="009C7621"/>
    <w:rsid w:val="009C7771"/>
    <w:rsid w:val="009C779C"/>
    <w:rsid w:val="009C7862"/>
    <w:rsid w:val="009C7B85"/>
    <w:rsid w:val="009C7C92"/>
    <w:rsid w:val="009D0215"/>
    <w:rsid w:val="009D0254"/>
    <w:rsid w:val="009D0308"/>
    <w:rsid w:val="009D0469"/>
    <w:rsid w:val="009D0568"/>
    <w:rsid w:val="009D05F0"/>
    <w:rsid w:val="009D06CA"/>
    <w:rsid w:val="009D0B71"/>
    <w:rsid w:val="009D0C0E"/>
    <w:rsid w:val="009D173C"/>
    <w:rsid w:val="009D1A64"/>
    <w:rsid w:val="009D1D9D"/>
    <w:rsid w:val="009D2038"/>
    <w:rsid w:val="009D28B7"/>
    <w:rsid w:val="009D34C8"/>
    <w:rsid w:val="009D35DF"/>
    <w:rsid w:val="009D39BF"/>
    <w:rsid w:val="009D3B23"/>
    <w:rsid w:val="009D3DCF"/>
    <w:rsid w:val="009D3FCE"/>
    <w:rsid w:val="009D4658"/>
    <w:rsid w:val="009D4E16"/>
    <w:rsid w:val="009D4F3C"/>
    <w:rsid w:val="009D5149"/>
    <w:rsid w:val="009D51A9"/>
    <w:rsid w:val="009D51E9"/>
    <w:rsid w:val="009D5820"/>
    <w:rsid w:val="009D58B1"/>
    <w:rsid w:val="009D5B91"/>
    <w:rsid w:val="009D63BD"/>
    <w:rsid w:val="009D6695"/>
    <w:rsid w:val="009D66EC"/>
    <w:rsid w:val="009D6819"/>
    <w:rsid w:val="009D6942"/>
    <w:rsid w:val="009D6EA1"/>
    <w:rsid w:val="009D7232"/>
    <w:rsid w:val="009D73EA"/>
    <w:rsid w:val="009D792E"/>
    <w:rsid w:val="009D7CBD"/>
    <w:rsid w:val="009D7DC9"/>
    <w:rsid w:val="009D7E21"/>
    <w:rsid w:val="009E0070"/>
    <w:rsid w:val="009E0096"/>
    <w:rsid w:val="009E09D8"/>
    <w:rsid w:val="009E0A3A"/>
    <w:rsid w:val="009E0DFE"/>
    <w:rsid w:val="009E107B"/>
    <w:rsid w:val="009E1377"/>
    <w:rsid w:val="009E1379"/>
    <w:rsid w:val="009E1768"/>
    <w:rsid w:val="009E1865"/>
    <w:rsid w:val="009E1C4C"/>
    <w:rsid w:val="009E1C6B"/>
    <w:rsid w:val="009E2A6A"/>
    <w:rsid w:val="009E31F6"/>
    <w:rsid w:val="009E3323"/>
    <w:rsid w:val="009E334A"/>
    <w:rsid w:val="009E36D9"/>
    <w:rsid w:val="009E3D74"/>
    <w:rsid w:val="009E3EBF"/>
    <w:rsid w:val="009E3EC2"/>
    <w:rsid w:val="009E473A"/>
    <w:rsid w:val="009E4C07"/>
    <w:rsid w:val="009E4DE4"/>
    <w:rsid w:val="009E4F81"/>
    <w:rsid w:val="009E50CD"/>
    <w:rsid w:val="009E51F4"/>
    <w:rsid w:val="009E536A"/>
    <w:rsid w:val="009E56A6"/>
    <w:rsid w:val="009E56FF"/>
    <w:rsid w:val="009E59BB"/>
    <w:rsid w:val="009E5B6F"/>
    <w:rsid w:val="009E5BE6"/>
    <w:rsid w:val="009E600B"/>
    <w:rsid w:val="009E628F"/>
    <w:rsid w:val="009E6914"/>
    <w:rsid w:val="009E6EC0"/>
    <w:rsid w:val="009E7283"/>
    <w:rsid w:val="009E777F"/>
    <w:rsid w:val="009E7C33"/>
    <w:rsid w:val="009E7F85"/>
    <w:rsid w:val="009F06EA"/>
    <w:rsid w:val="009F08EF"/>
    <w:rsid w:val="009F0C86"/>
    <w:rsid w:val="009F0EDF"/>
    <w:rsid w:val="009F10B3"/>
    <w:rsid w:val="009F2667"/>
    <w:rsid w:val="009F292B"/>
    <w:rsid w:val="009F2A75"/>
    <w:rsid w:val="009F2B97"/>
    <w:rsid w:val="009F2D42"/>
    <w:rsid w:val="009F2E26"/>
    <w:rsid w:val="009F3396"/>
    <w:rsid w:val="009F34BC"/>
    <w:rsid w:val="009F35BA"/>
    <w:rsid w:val="009F3C30"/>
    <w:rsid w:val="009F410A"/>
    <w:rsid w:val="009F4B80"/>
    <w:rsid w:val="009F4BAD"/>
    <w:rsid w:val="009F4CA5"/>
    <w:rsid w:val="009F4E08"/>
    <w:rsid w:val="009F5AAA"/>
    <w:rsid w:val="009F5AB9"/>
    <w:rsid w:val="009F5AE5"/>
    <w:rsid w:val="009F5C71"/>
    <w:rsid w:val="009F6120"/>
    <w:rsid w:val="009F6207"/>
    <w:rsid w:val="009F657B"/>
    <w:rsid w:val="009F6852"/>
    <w:rsid w:val="009F7C8B"/>
    <w:rsid w:val="00A00376"/>
    <w:rsid w:val="00A0050F"/>
    <w:rsid w:val="00A00C3E"/>
    <w:rsid w:val="00A00D76"/>
    <w:rsid w:val="00A010B5"/>
    <w:rsid w:val="00A01184"/>
    <w:rsid w:val="00A01217"/>
    <w:rsid w:val="00A01449"/>
    <w:rsid w:val="00A01979"/>
    <w:rsid w:val="00A01B60"/>
    <w:rsid w:val="00A0264B"/>
    <w:rsid w:val="00A03507"/>
    <w:rsid w:val="00A037C2"/>
    <w:rsid w:val="00A03B8D"/>
    <w:rsid w:val="00A03D25"/>
    <w:rsid w:val="00A03D43"/>
    <w:rsid w:val="00A03D4A"/>
    <w:rsid w:val="00A03DD6"/>
    <w:rsid w:val="00A03FF3"/>
    <w:rsid w:val="00A0416C"/>
    <w:rsid w:val="00A04332"/>
    <w:rsid w:val="00A04380"/>
    <w:rsid w:val="00A04786"/>
    <w:rsid w:val="00A04B85"/>
    <w:rsid w:val="00A05472"/>
    <w:rsid w:val="00A05C32"/>
    <w:rsid w:val="00A0653F"/>
    <w:rsid w:val="00A067F6"/>
    <w:rsid w:val="00A06A68"/>
    <w:rsid w:val="00A070C2"/>
    <w:rsid w:val="00A0747D"/>
    <w:rsid w:val="00A07771"/>
    <w:rsid w:val="00A07891"/>
    <w:rsid w:val="00A078E8"/>
    <w:rsid w:val="00A1019A"/>
    <w:rsid w:val="00A10B34"/>
    <w:rsid w:val="00A10B9D"/>
    <w:rsid w:val="00A10E47"/>
    <w:rsid w:val="00A11021"/>
    <w:rsid w:val="00A11038"/>
    <w:rsid w:val="00A11467"/>
    <w:rsid w:val="00A11520"/>
    <w:rsid w:val="00A11A07"/>
    <w:rsid w:val="00A11BE9"/>
    <w:rsid w:val="00A11CD0"/>
    <w:rsid w:val="00A11D89"/>
    <w:rsid w:val="00A11D9F"/>
    <w:rsid w:val="00A12A4C"/>
    <w:rsid w:val="00A12CC6"/>
    <w:rsid w:val="00A1304E"/>
    <w:rsid w:val="00A13945"/>
    <w:rsid w:val="00A13948"/>
    <w:rsid w:val="00A13F95"/>
    <w:rsid w:val="00A1452B"/>
    <w:rsid w:val="00A14B4D"/>
    <w:rsid w:val="00A14E54"/>
    <w:rsid w:val="00A15220"/>
    <w:rsid w:val="00A152F7"/>
    <w:rsid w:val="00A1555B"/>
    <w:rsid w:val="00A155C5"/>
    <w:rsid w:val="00A159C7"/>
    <w:rsid w:val="00A15A55"/>
    <w:rsid w:val="00A15D31"/>
    <w:rsid w:val="00A162A7"/>
    <w:rsid w:val="00A16550"/>
    <w:rsid w:val="00A166DB"/>
    <w:rsid w:val="00A16AD8"/>
    <w:rsid w:val="00A17037"/>
    <w:rsid w:val="00A17072"/>
    <w:rsid w:val="00A170BF"/>
    <w:rsid w:val="00A17136"/>
    <w:rsid w:val="00A1741E"/>
    <w:rsid w:val="00A17774"/>
    <w:rsid w:val="00A17BD9"/>
    <w:rsid w:val="00A17E9F"/>
    <w:rsid w:val="00A20013"/>
    <w:rsid w:val="00A2004B"/>
    <w:rsid w:val="00A200D6"/>
    <w:rsid w:val="00A2021E"/>
    <w:rsid w:val="00A203DD"/>
    <w:rsid w:val="00A20ED4"/>
    <w:rsid w:val="00A21888"/>
    <w:rsid w:val="00A219E6"/>
    <w:rsid w:val="00A21C95"/>
    <w:rsid w:val="00A21CF3"/>
    <w:rsid w:val="00A22273"/>
    <w:rsid w:val="00A226E7"/>
    <w:rsid w:val="00A229D4"/>
    <w:rsid w:val="00A2350D"/>
    <w:rsid w:val="00A23DD2"/>
    <w:rsid w:val="00A24813"/>
    <w:rsid w:val="00A24C34"/>
    <w:rsid w:val="00A24DBB"/>
    <w:rsid w:val="00A24E05"/>
    <w:rsid w:val="00A24ECC"/>
    <w:rsid w:val="00A254F9"/>
    <w:rsid w:val="00A259AF"/>
    <w:rsid w:val="00A25C65"/>
    <w:rsid w:val="00A2672F"/>
    <w:rsid w:val="00A267B4"/>
    <w:rsid w:val="00A26EE1"/>
    <w:rsid w:val="00A26FA1"/>
    <w:rsid w:val="00A2701D"/>
    <w:rsid w:val="00A2734C"/>
    <w:rsid w:val="00A2739C"/>
    <w:rsid w:val="00A273DF"/>
    <w:rsid w:val="00A27902"/>
    <w:rsid w:val="00A27AEC"/>
    <w:rsid w:val="00A27E3B"/>
    <w:rsid w:val="00A30043"/>
    <w:rsid w:val="00A3057A"/>
    <w:rsid w:val="00A31402"/>
    <w:rsid w:val="00A317A4"/>
    <w:rsid w:val="00A3183D"/>
    <w:rsid w:val="00A31881"/>
    <w:rsid w:val="00A31AB7"/>
    <w:rsid w:val="00A31C46"/>
    <w:rsid w:val="00A31CAD"/>
    <w:rsid w:val="00A31FD0"/>
    <w:rsid w:val="00A320DB"/>
    <w:rsid w:val="00A32163"/>
    <w:rsid w:val="00A32AB0"/>
    <w:rsid w:val="00A32BC2"/>
    <w:rsid w:val="00A32C32"/>
    <w:rsid w:val="00A32D2C"/>
    <w:rsid w:val="00A33447"/>
    <w:rsid w:val="00A33B7E"/>
    <w:rsid w:val="00A33F9E"/>
    <w:rsid w:val="00A340E1"/>
    <w:rsid w:val="00A348BC"/>
    <w:rsid w:val="00A34BAB"/>
    <w:rsid w:val="00A353DC"/>
    <w:rsid w:val="00A35D16"/>
    <w:rsid w:val="00A35E91"/>
    <w:rsid w:val="00A35F0B"/>
    <w:rsid w:val="00A35F67"/>
    <w:rsid w:val="00A36490"/>
    <w:rsid w:val="00A3677A"/>
    <w:rsid w:val="00A36A17"/>
    <w:rsid w:val="00A36D9E"/>
    <w:rsid w:val="00A36FB4"/>
    <w:rsid w:val="00A3714F"/>
    <w:rsid w:val="00A376C8"/>
    <w:rsid w:val="00A37736"/>
    <w:rsid w:val="00A377B9"/>
    <w:rsid w:val="00A37BCD"/>
    <w:rsid w:val="00A37F61"/>
    <w:rsid w:val="00A400D3"/>
    <w:rsid w:val="00A40697"/>
    <w:rsid w:val="00A40AD3"/>
    <w:rsid w:val="00A41689"/>
    <w:rsid w:val="00A4175C"/>
    <w:rsid w:val="00A418E4"/>
    <w:rsid w:val="00A41D0F"/>
    <w:rsid w:val="00A41E77"/>
    <w:rsid w:val="00A42123"/>
    <w:rsid w:val="00A42592"/>
    <w:rsid w:val="00A4271E"/>
    <w:rsid w:val="00A42772"/>
    <w:rsid w:val="00A42AE8"/>
    <w:rsid w:val="00A42C6E"/>
    <w:rsid w:val="00A42CB2"/>
    <w:rsid w:val="00A42D4D"/>
    <w:rsid w:val="00A42E1E"/>
    <w:rsid w:val="00A42E87"/>
    <w:rsid w:val="00A43169"/>
    <w:rsid w:val="00A433F0"/>
    <w:rsid w:val="00A434C3"/>
    <w:rsid w:val="00A43646"/>
    <w:rsid w:val="00A43C23"/>
    <w:rsid w:val="00A43C54"/>
    <w:rsid w:val="00A43C59"/>
    <w:rsid w:val="00A43C80"/>
    <w:rsid w:val="00A43E7C"/>
    <w:rsid w:val="00A443A5"/>
    <w:rsid w:val="00A444D6"/>
    <w:rsid w:val="00A449C4"/>
    <w:rsid w:val="00A44C60"/>
    <w:rsid w:val="00A44EC8"/>
    <w:rsid w:val="00A45812"/>
    <w:rsid w:val="00A459FB"/>
    <w:rsid w:val="00A459FE"/>
    <w:rsid w:val="00A45A4D"/>
    <w:rsid w:val="00A45DD4"/>
    <w:rsid w:val="00A46262"/>
    <w:rsid w:val="00A464B8"/>
    <w:rsid w:val="00A4650F"/>
    <w:rsid w:val="00A46827"/>
    <w:rsid w:val="00A46918"/>
    <w:rsid w:val="00A469FD"/>
    <w:rsid w:val="00A46B41"/>
    <w:rsid w:val="00A46FB6"/>
    <w:rsid w:val="00A4768A"/>
    <w:rsid w:val="00A47809"/>
    <w:rsid w:val="00A478BA"/>
    <w:rsid w:val="00A47E16"/>
    <w:rsid w:val="00A47ECC"/>
    <w:rsid w:val="00A504A9"/>
    <w:rsid w:val="00A50703"/>
    <w:rsid w:val="00A508D7"/>
    <w:rsid w:val="00A509A3"/>
    <w:rsid w:val="00A50CEC"/>
    <w:rsid w:val="00A50ECD"/>
    <w:rsid w:val="00A5135A"/>
    <w:rsid w:val="00A518F3"/>
    <w:rsid w:val="00A51A26"/>
    <w:rsid w:val="00A51BA8"/>
    <w:rsid w:val="00A51C91"/>
    <w:rsid w:val="00A520F1"/>
    <w:rsid w:val="00A5234B"/>
    <w:rsid w:val="00A525EF"/>
    <w:rsid w:val="00A52729"/>
    <w:rsid w:val="00A52D9D"/>
    <w:rsid w:val="00A52E2A"/>
    <w:rsid w:val="00A5316E"/>
    <w:rsid w:val="00A5354A"/>
    <w:rsid w:val="00A53555"/>
    <w:rsid w:val="00A535CD"/>
    <w:rsid w:val="00A53675"/>
    <w:rsid w:val="00A537DE"/>
    <w:rsid w:val="00A53C12"/>
    <w:rsid w:val="00A53D9F"/>
    <w:rsid w:val="00A540BA"/>
    <w:rsid w:val="00A540E2"/>
    <w:rsid w:val="00A54416"/>
    <w:rsid w:val="00A54C91"/>
    <w:rsid w:val="00A5519E"/>
    <w:rsid w:val="00A554FE"/>
    <w:rsid w:val="00A55DED"/>
    <w:rsid w:val="00A562E7"/>
    <w:rsid w:val="00A5630C"/>
    <w:rsid w:val="00A564D7"/>
    <w:rsid w:val="00A56AAC"/>
    <w:rsid w:val="00A56B6A"/>
    <w:rsid w:val="00A56D47"/>
    <w:rsid w:val="00A56D91"/>
    <w:rsid w:val="00A56FE9"/>
    <w:rsid w:val="00A57881"/>
    <w:rsid w:val="00A578DC"/>
    <w:rsid w:val="00A57B82"/>
    <w:rsid w:val="00A57E21"/>
    <w:rsid w:val="00A57EA7"/>
    <w:rsid w:val="00A57F7B"/>
    <w:rsid w:val="00A600AB"/>
    <w:rsid w:val="00A60202"/>
    <w:rsid w:val="00A6023C"/>
    <w:rsid w:val="00A60363"/>
    <w:rsid w:val="00A60729"/>
    <w:rsid w:val="00A60EA6"/>
    <w:rsid w:val="00A61074"/>
    <w:rsid w:val="00A6162D"/>
    <w:rsid w:val="00A61932"/>
    <w:rsid w:val="00A619C0"/>
    <w:rsid w:val="00A6228B"/>
    <w:rsid w:val="00A6230F"/>
    <w:rsid w:val="00A6267B"/>
    <w:rsid w:val="00A6282F"/>
    <w:rsid w:val="00A62A0F"/>
    <w:rsid w:val="00A62D83"/>
    <w:rsid w:val="00A633E9"/>
    <w:rsid w:val="00A63A5D"/>
    <w:rsid w:val="00A63AE8"/>
    <w:rsid w:val="00A63FBA"/>
    <w:rsid w:val="00A640E2"/>
    <w:rsid w:val="00A6425C"/>
    <w:rsid w:val="00A64436"/>
    <w:rsid w:val="00A6449D"/>
    <w:rsid w:val="00A6456E"/>
    <w:rsid w:val="00A647CA"/>
    <w:rsid w:val="00A64CEB"/>
    <w:rsid w:val="00A64D65"/>
    <w:rsid w:val="00A64DB3"/>
    <w:rsid w:val="00A6509F"/>
    <w:rsid w:val="00A65152"/>
    <w:rsid w:val="00A652AC"/>
    <w:rsid w:val="00A65BF2"/>
    <w:rsid w:val="00A65F5D"/>
    <w:rsid w:val="00A660F8"/>
    <w:rsid w:val="00A6623B"/>
    <w:rsid w:val="00A6664A"/>
    <w:rsid w:val="00A667D9"/>
    <w:rsid w:val="00A66ECF"/>
    <w:rsid w:val="00A6725B"/>
    <w:rsid w:val="00A67533"/>
    <w:rsid w:val="00A6758B"/>
    <w:rsid w:val="00A67931"/>
    <w:rsid w:val="00A70046"/>
    <w:rsid w:val="00A70496"/>
    <w:rsid w:val="00A70499"/>
    <w:rsid w:val="00A704AD"/>
    <w:rsid w:val="00A70519"/>
    <w:rsid w:val="00A705D7"/>
    <w:rsid w:val="00A70605"/>
    <w:rsid w:val="00A70826"/>
    <w:rsid w:val="00A70835"/>
    <w:rsid w:val="00A70A0C"/>
    <w:rsid w:val="00A70DD8"/>
    <w:rsid w:val="00A70E1D"/>
    <w:rsid w:val="00A70EF9"/>
    <w:rsid w:val="00A70F26"/>
    <w:rsid w:val="00A71219"/>
    <w:rsid w:val="00A71670"/>
    <w:rsid w:val="00A71AFB"/>
    <w:rsid w:val="00A726C2"/>
    <w:rsid w:val="00A72783"/>
    <w:rsid w:val="00A72FBA"/>
    <w:rsid w:val="00A73134"/>
    <w:rsid w:val="00A7365A"/>
    <w:rsid w:val="00A7369C"/>
    <w:rsid w:val="00A7371E"/>
    <w:rsid w:val="00A73A5B"/>
    <w:rsid w:val="00A73B41"/>
    <w:rsid w:val="00A73C0E"/>
    <w:rsid w:val="00A73EA4"/>
    <w:rsid w:val="00A73F65"/>
    <w:rsid w:val="00A7404F"/>
    <w:rsid w:val="00A74269"/>
    <w:rsid w:val="00A74361"/>
    <w:rsid w:val="00A74B7D"/>
    <w:rsid w:val="00A75581"/>
    <w:rsid w:val="00A76001"/>
    <w:rsid w:val="00A76199"/>
    <w:rsid w:val="00A761A0"/>
    <w:rsid w:val="00A76586"/>
    <w:rsid w:val="00A77324"/>
    <w:rsid w:val="00A773B0"/>
    <w:rsid w:val="00A77457"/>
    <w:rsid w:val="00A7776C"/>
    <w:rsid w:val="00A777B2"/>
    <w:rsid w:val="00A77ABC"/>
    <w:rsid w:val="00A80343"/>
    <w:rsid w:val="00A803F4"/>
    <w:rsid w:val="00A804A0"/>
    <w:rsid w:val="00A805A5"/>
    <w:rsid w:val="00A806FF"/>
    <w:rsid w:val="00A80792"/>
    <w:rsid w:val="00A807F9"/>
    <w:rsid w:val="00A80BD4"/>
    <w:rsid w:val="00A80C39"/>
    <w:rsid w:val="00A80FFA"/>
    <w:rsid w:val="00A810A3"/>
    <w:rsid w:val="00A8131B"/>
    <w:rsid w:val="00A81358"/>
    <w:rsid w:val="00A81505"/>
    <w:rsid w:val="00A819B8"/>
    <w:rsid w:val="00A81D96"/>
    <w:rsid w:val="00A81FC2"/>
    <w:rsid w:val="00A825D4"/>
    <w:rsid w:val="00A827AA"/>
    <w:rsid w:val="00A827CE"/>
    <w:rsid w:val="00A82875"/>
    <w:rsid w:val="00A828F6"/>
    <w:rsid w:val="00A82B73"/>
    <w:rsid w:val="00A82ECF"/>
    <w:rsid w:val="00A8352D"/>
    <w:rsid w:val="00A837D2"/>
    <w:rsid w:val="00A83D62"/>
    <w:rsid w:val="00A83DD0"/>
    <w:rsid w:val="00A84048"/>
    <w:rsid w:val="00A8466F"/>
    <w:rsid w:val="00A84AB7"/>
    <w:rsid w:val="00A84C30"/>
    <w:rsid w:val="00A84F4B"/>
    <w:rsid w:val="00A85274"/>
    <w:rsid w:val="00A85B3D"/>
    <w:rsid w:val="00A85C1F"/>
    <w:rsid w:val="00A860FC"/>
    <w:rsid w:val="00A863C1"/>
    <w:rsid w:val="00A869EA"/>
    <w:rsid w:val="00A86AF0"/>
    <w:rsid w:val="00A86E8B"/>
    <w:rsid w:val="00A87164"/>
    <w:rsid w:val="00A871A9"/>
    <w:rsid w:val="00A87382"/>
    <w:rsid w:val="00A8771A"/>
    <w:rsid w:val="00A90EA3"/>
    <w:rsid w:val="00A90EB9"/>
    <w:rsid w:val="00A9101A"/>
    <w:rsid w:val="00A91149"/>
    <w:rsid w:val="00A91439"/>
    <w:rsid w:val="00A9153A"/>
    <w:rsid w:val="00A922F1"/>
    <w:rsid w:val="00A925EF"/>
    <w:rsid w:val="00A93072"/>
    <w:rsid w:val="00A93346"/>
    <w:rsid w:val="00A9349F"/>
    <w:rsid w:val="00A935F9"/>
    <w:rsid w:val="00A938BD"/>
    <w:rsid w:val="00A938DD"/>
    <w:rsid w:val="00A93953"/>
    <w:rsid w:val="00A93ACA"/>
    <w:rsid w:val="00A93B0C"/>
    <w:rsid w:val="00A93B8A"/>
    <w:rsid w:val="00A93BEB"/>
    <w:rsid w:val="00A94064"/>
    <w:rsid w:val="00A9424F"/>
    <w:rsid w:val="00A94764"/>
    <w:rsid w:val="00A947A2"/>
    <w:rsid w:val="00A94B8E"/>
    <w:rsid w:val="00A95522"/>
    <w:rsid w:val="00A956B8"/>
    <w:rsid w:val="00A959BC"/>
    <w:rsid w:val="00A959D8"/>
    <w:rsid w:val="00A95AB8"/>
    <w:rsid w:val="00A96118"/>
    <w:rsid w:val="00A962B4"/>
    <w:rsid w:val="00A965E4"/>
    <w:rsid w:val="00A96615"/>
    <w:rsid w:val="00A96806"/>
    <w:rsid w:val="00A96B93"/>
    <w:rsid w:val="00A972AD"/>
    <w:rsid w:val="00A972C4"/>
    <w:rsid w:val="00A973A2"/>
    <w:rsid w:val="00A9742F"/>
    <w:rsid w:val="00A975C6"/>
    <w:rsid w:val="00A97AB2"/>
    <w:rsid w:val="00AA0952"/>
    <w:rsid w:val="00AA0EAD"/>
    <w:rsid w:val="00AA0F44"/>
    <w:rsid w:val="00AA100B"/>
    <w:rsid w:val="00AA113D"/>
    <w:rsid w:val="00AA1667"/>
    <w:rsid w:val="00AA1EAD"/>
    <w:rsid w:val="00AA23C8"/>
    <w:rsid w:val="00AA2498"/>
    <w:rsid w:val="00AA24E5"/>
    <w:rsid w:val="00AA2615"/>
    <w:rsid w:val="00AA2C0D"/>
    <w:rsid w:val="00AA2D87"/>
    <w:rsid w:val="00AA319C"/>
    <w:rsid w:val="00AA3700"/>
    <w:rsid w:val="00AA38ED"/>
    <w:rsid w:val="00AA3A61"/>
    <w:rsid w:val="00AA4550"/>
    <w:rsid w:val="00AA4B5E"/>
    <w:rsid w:val="00AA4CCB"/>
    <w:rsid w:val="00AA6411"/>
    <w:rsid w:val="00AA6BD5"/>
    <w:rsid w:val="00AA6BD8"/>
    <w:rsid w:val="00AA6BD9"/>
    <w:rsid w:val="00AA6C7D"/>
    <w:rsid w:val="00AA6FBC"/>
    <w:rsid w:val="00AA6FDB"/>
    <w:rsid w:val="00AA74FA"/>
    <w:rsid w:val="00AA76AA"/>
    <w:rsid w:val="00AA7FD6"/>
    <w:rsid w:val="00AB0052"/>
    <w:rsid w:val="00AB01BD"/>
    <w:rsid w:val="00AB0359"/>
    <w:rsid w:val="00AB042A"/>
    <w:rsid w:val="00AB0642"/>
    <w:rsid w:val="00AB0CE8"/>
    <w:rsid w:val="00AB11AD"/>
    <w:rsid w:val="00AB1999"/>
    <w:rsid w:val="00AB19EF"/>
    <w:rsid w:val="00AB1A3B"/>
    <w:rsid w:val="00AB1D1F"/>
    <w:rsid w:val="00AB1F36"/>
    <w:rsid w:val="00AB2495"/>
    <w:rsid w:val="00AB25F0"/>
    <w:rsid w:val="00AB27A5"/>
    <w:rsid w:val="00AB2D34"/>
    <w:rsid w:val="00AB2FB0"/>
    <w:rsid w:val="00AB309D"/>
    <w:rsid w:val="00AB30C5"/>
    <w:rsid w:val="00AB3211"/>
    <w:rsid w:val="00AB3430"/>
    <w:rsid w:val="00AB37B9"/>
    <w:rsid w:val="00AB39D3"/>
    <w:rsid w:val="00AB3B69"/>
    <w:rsid w:val="00AB3DB3"/>
    <w:rsid w:val="00AB41C2"/>
    <w:rsid w:val="00AB4314"/>
    <w:rsid w:val="00AB49CF"/>
    <w:rsid w:val="00AB4AD1"/>
    <w:rsid w:val="00AB4C5B"/>
    <w:rsid w:val="00AB4F5B"/>
    <w:rsid w:val="00AB5410"/>
    <w:rsid w:val="00AB5A2E"/>
    <w:rsid w:val="00AB5D2C"/>
    <w:rsid w:val="00AB5E07"/>
    <w:rsid w:val="00AB5F32"/>
    <w:rsid w:val="00AB6C3D"/>
    <w:rsid w:val="00AB6E5A"/>
    <w:rsid w:val="00AB6FC6"/>
    <w:rsid w:val="00AB722C"/>
    <w:rsid w:val="00AB72A0"/>
    <w:rsid w:val="00AB774E"/>
    <w:rsid w:val="00AB77C4"/>
    <w:rsid w:val="00AB77D2"/>
    <w:rsid w:val="00AB7CFA"/>
    <w:rsid w:val="00AB7D54"/>
    <w:rsid w:val="00AB7EC2"/>
    <w:rsid w:val="00AC0B5A"/>
    <w:rsid w:val="00AC154A"/>
    <w:rsid w:val="00AC19D7"/>
    <w:rsid w:val="00AC1C90"/>
    <w:rsid w:val="00AC2041"/>
    <w:rsid w:val="00AC2BBA"/>
    <w:rsid w:val="00AC2C55"/>
    <w:rsid w:val="00AC32EB"/>
    <w:rsid w:val="00AC3452"/>
    <w:rsid w:val="00AC3ED2"/>
    <w:rsid w:val="00AC3FA6"/>
    <w:rsid w:val="00AC3FFE"/>
    <w:rsid w:val="00AC403E"/>
    <w:rsid w:val="00AC46EB"/>
    <w:rsid w:val="00AC475C"/>
    <w:rsid w:val="00AC4AFB"/>
    <w:rsid w:val="00AC4CAE"/>
    <w:rsid w:val="00AC4F40"/>
    <w:rsid w:val="00AC518F"/>
    <w:rsid w:val="00AC5642"/>
    <w:rsid w:val="00AC5815"/>
    <w:rsid w:val="00AC5B42"/>
    <w:rsid w:val="00AC5B48"/>
    <w:rsid w:val="00AC5BAE"/>
    <w:rsid w:val="00AC5F41"/>
    <w:rsid w:val="00AC6440"/>
    <w:rsid w:val="00AC6575"/>
    <w:rsid w:val="00AC6804"/>
    <w:rsid w:val="00AC6D83"/>
    <w:rsid w:val="00AC6E12"/>
    <w:rsid w:val="00AC72FE"/>
    <w:rsid w:val="00AC76AA"/>
    <w:rsid w:val="00AC792D"/>
    <w:rsid w:val="00AC7948"/>
    <w:rsid w:val="00AC79AE"/>
    <w:rsid w:val="00AC7BC8"/>
    <w:rsid w:val="00AD010F"/>
    <w:rsid w:val="00AD02DD"/>
    <w:rsid w:val="00AD03F3"/>
    <w:rsid w:val="00AD04C4"/>
    <w:rsid w:val="00AD06FF"/>
    <w:rsid w:val="00AD0856"/>
    <w:rsid w:val="00AD132B"/>
    <w:rsid w:val="00AD1450"/>
    <w:rsid w:val="00AD1497"/>
    <w:rsid w:val="00AD1523"/>
    <w:rsid w:val="00AD15E8"/>
    <w:rsid w:val="00AD1711"/>
    <w:rsid w:val="00AD172D"/>
    <w:rsid w:val="00AD179D"/>
    <w:rsid w:val="00AD1A6D"/>
    <w:rsid w:val="00AD1D47"/>
    <w:rsid w:val="00AD1F23"/>
    <w:rsid w:val="00AD2085"/>
    <w:rsid w:val="00AD219F"/>
    <w:rsid w:val="00AD22F2"/>
    <w:rsid w:val="00AD24E2"/>
    <w:rsid w:val="00AD283D"/>
    <w:rsid w:val="00AD2C32"/>
    <w:rsid w:val="00AD2F18"/>
    <w:rsid w:val="00AD3101"/>
    <w:rsid w:val="00AD32BD"/>
    <w:rsid w:val="00AD334D"/>
    <w:rsid w:val="00AD33AC"/>
    <w:rsid w:val="00AD356D"/>
    <w:rsid w:val="00AD35FA"/>
    <w:rsid w:val="00AD3CFF"/>
    <w:rsid w:val="00AD40CB"/>
    <w:rsid w:val="00AD417F"/>
    <w:rsid w:val="00AD4228"/>
    <w:rsid w:val="00AD4E93"/>
    <w:rsid w:val="00AD54B1"/>
    <w:rsid w:val="00AD5747"/>
    <w:rsid w:val="00AD5880"/>
    <w:rsid w:val="00AD643D"/>
    <w:rsid w:val="00AD6502"/>
    <w:rsid w:val="00AD73B8"/>
    <w:rsid w:val="00AD74E0"/>
    <w:rsid w:val="00AD751B"/>
    <w:rsid w:val="00AD783F"/>
    <w:rsid w:val="00AE03E2"/>
    <w:rsid w:val="00AE0457"/>
    <w:rsid w:val="00AE0695"/>
    <w:rsid w:val="00AE0E1E"/>
    <w:rsid w:val="00AE0EEA"/>
    <w:rsid w:val="00AE1094"/>
    <w:rsid w:val="00AE14A9"/>
    <w:rsid w:val="00AE17DE"/>
    <w:rsid w:val="00AE1815"/>
    <w:rsid w:val="00AE1E9B"/>
    <w:rsid w:val="00AE1F7E"/>
    <w:rsid w:val="00AE255D"/>
    <w:rsid w:val="00AE2A2C"/>
    <w:rsid w:val="00AE2D64"/>
    <w:rsid w:val="00AE3040"/>
    <w:rsid w:val="00AE352E"/>
    <w:rsid w:val="00AE3766"/>
    <w:rsid w:val="00AE3E7E"/>
    <w:rsid w:val="00AE3F6F"/>
    <w:rsid w:val="00AE43F9"/>
    <w:rsid w:val="00AE43FA"/>
    <w:rsid w:val="00AE46F0"/>
    <w:rsid w:val="00AE4B2C"/>
    <w:rsid w:val="00AE5119"/>
    <w:rsid w:val="00AE5C8B"/>
    <w:rsid w:val="00AE62F4"/>
    <w:rsid w:val="00AE63BA"/>
    <w:rsid w:val="00AE6887"/>
    <w:rsid w:val="00AE68DC"/>
    <w:rsid w:val="00AE6AB6"/>
    <w:rsid w:val="00AE6EA3"/>
    <w:rsid w:val="00AE7783"/>
    <w:rsid w:val="00AE7900"/>
    <w:rsid w:val="00AE7E53"/>
    <w:rsid w:val="00AF0134"/>
    <w:rsid w:val="00AF0145"/>
    <w:rsid w:val="00AF06D8"/>
    <w:rsid w:val="00AF0872"/>
    <w:rsid w:val="00AF0AC1"/>
    <w:rsid w:val="00AF0DF7"/>
    <w:rsid w:val="00AF0E02"/>
    <w:rsid w:val="00AF0EFB"/>
    <w:rsid w:val="00AF0FAA"/>
    <w:rsid w:val="00AF10BA"/>
    <w:rsid w:val="00AF10EF"/>
    <w:rsid w:val="00AF1297"/>
    <w:rsid w:val="00AF1315"/>
    <w:rsid w:val="00AF14C8"/>
    <w:rsid w:val="00AF19A4"/>
    <w:rsid w:val="00AF19BF"/>
    <w:rsid w:val="00AF1D28"/>
    <w:rsid w:val="00AF1EA3"/>
    <w:rsid w:val="00AF2002"/>
    <w:rsid w:val="00AF21DA"/>
    <w:rsid w:val="00AF258A"/>
    <w:rsid w:val="00AF2D40"/>
    <w:rsid w:val="00AF2DA6"/>
    <w:rsid w:val="00AF2DC3"/>
    <w:rsid w:val="00AF2F80"/>
    <w:rsid w:val="00AF3012"/>
    <w:rsid w:val="00AF318D"/>
    <w:rsid w:val="00AF3D3E"/>
    <w:rsid w:val="00AF3E0B"/>
    <w:rsid w:val="00AF4027"/>
    <w:rsid w:val="00AF4190"/>
    <w:rsid w:val="00AF4191"/>
    <w:rsid w:val="00AF41AE"/>
    <w:rsid w:val="00AF458B"/>
    <w:rsid w:val="00AF4EDA"/>
    <w:rsid w:val="00AF552F"/>
    <w:rsid w:val="00AF557B"/>
    <w:rsid w:val="00AF5D27"/>
    <w:rsid w:val="00AF6463"/>
    <w:rsid w:val="00AF6E0F"/>
    <w:rsid w:val="00AF6E93"/>
    <w:rsid w:val="00AF6EEE"/>
    <w:rsid w:val="00AF6F17"/>
    <w:rsid w:val="00AF7534"/>
    <w:rsid w:val="00AF77B6"/>
    <w:rsid w:val="00AF77CD"/>
    <w:rsid w:val="00AF78BF"/>
    <w:rsid w:val="00AF792A"/>
    <w:rsid w:val="00AF7BC1"/>
    <w:rsid w:val="00AF7F6F"/>
    <w:rsid w:val="00AF7FEE"/>
    <w:rsid w:val="00B000B6"/>
    <w:rsid w:val="00B00730"/>
    <w:rsid w:val="00B00736"/>
    <w:rsid w:val="00B00B2D"/>
    <w:rsid w:val="00B00F29"/>
    <w:rsid w:val="00B0106F"/>
    <w:rsid w:val="00B01127"/>
    <w:rsid w:val="00B01433"/>
    <w:rsid w:val="00B014BB"/>
    <w:rsid w:val="00B015FF"/>
    <w:rsid w:val="00B02051"/>
    <w:rsid w:val="00B02106"/>
    <w:rsid w:val="00B023E5"/>
    <w:rsid w:val="00B02568"/>
    <w:rsid w:val="00B02CAC"/>
    <w:rsid w:val="00B02CB7"/>
    <w:rsid w:val="00B02E42"/>
    <w:rsid w:val="00B02E48"/>
    <w:rsid w:val="00B02F36"/>
    <w:rsid w:val="00B02FD1"/>
    <w:rsid w:val="00B0335B"/>
    <w:rsid w:val="00B033E5"/>
    <w:rsid w:val="00B0341C"/>
    <w:rsid w:val="00B03A63"/>
    <w:rsid w:val="00B03D04"/>
    <w:rsid w:val="00B04965"/>
    <w:rsid w:val="00B05058"/>
    <w:rsid w:val="00B052E7"/>
    <w:rsid w:val="00B0551E"/>
    <w:rsid w:val="00B05E80"/>
    <w:rsid w:val="00B0622B"/>
    <w:rsid w:val="00B06AE7"/>
    <w:rsid w:val="00B0708B"/>
    <w:rsid w:val="00B070B7"/>
    <w:rsid w:val="00B072E1"/>
    <w:rsid w:val="00B0734D"/>
    <w:rsid w:val="00B07706"/>
    <w:rsid w:val="00B078EE"/>
    <w:rsid w:val="00B07973"/>
    <w:rsid w:val="00B07A3F"/>
    <w:rsid w:val="00B07F62"/>
    <w:rsid w:val="00B10116"/>
    <w:rsid w:val="00B1070F"/>
    <w:rsid w:val="00B10738"/>
    <w:rsid w:val="00B10EB0"/>
    <w:rsid w:val="00B11144"/>
    <w:rsid w:val="00B1127E"/>
    <w:rsid w:val="00B11B45"/>
    <w:rsid w:val="00B11BAC"/>
    <w:rsid w:val="00B11D48"/>
    <w:rsid w:val="00B12099"/>
    <w:rsid w:val="00B122F5"/>
    <w:rsid w:val="00B1235E"/>
    <w:rsid w:val="00B12481"/>
    <w:rsid w:val="00B129A4"/>
    <w:rsid w:val="00B12EEA"/>
    <w:rsid w:val="00B12F04"/>
    <w:rsid w:val="00B139DA"/>
    <w:rsid w:val="00B13BA1"/>
    <w:rsid w:val="00B14152"/>
    <w:rsid w:val="00B141F2"/>
    <w:rsid w:val="00B14CAF"/>
    <w:rsid w:val="00B14E76"/>
    <w:rsid w:val="00B14E94"/>
    <w:rsid w:val="00B14F39"/>
    <w:rsid w:val="00B15185"/>
    <w:rsid w:val="00B15828"/>
    <w:rsid w:val="00B15CCF"/>
    <w:rsid w:val="00B15FD0"/>
    <w:rsid w:val="00B160A4"/>
    <w:rsid w:val="00B16763"/>
    <w:rsid w:val="00B175F9"/>
    <w:rsid w:val="00B17808"/>
    <w:rsid w:val="00B17991"/>
    <w:rsid w:val="00B17ABA"/>
    <w:rsid w:val="00B17D0B"/>
    <w:rsid w:val="00B201A4"/>
    <w:rsid w:val="00B201D1"/>
    <w:rsid w:val="00B20BE9"/>
    <w:rsid w:val="00B213A6"/>
    <w:rsid w:val="00B213FE"/>
    <w:rsid w:val="00B2143D"/>
    <w:rsid w:val="00B21649"/>
    <w:rsid w:val="00B217B8"/>
    <w:rsid w:val="00B218C9"/>
    <w:rsid w:val="00B2222B"/>
    <w:rsid w:val="00B2288F"/>
    <w:rsid w:val="00B22DEF"/>
    <w:rsid w:val="00B235B0"/>
    <w:rsid w:val="00B23730"/>
    <w:rsid w:val="00B23B3E"/>
    <w:rsid w:val="00B23D59"/>
    <w:rsid w:val="00B23EC2"/>
    <w:rsid w:val="00B240A7"/>
    <w:rsid w:val="00B2429E"/>
    <w:rsid w:val="00B24514"/>
    <w:rsid w:val="00B2472A"/>
    <w:rsid w:val="00B24A74"/>
    <w:rsid w:val="00B24B59"/>
    <w:rsid w:val="00B24CF1"/>
    <w:rsid w:val="00B24DCB"/>
    <w:rsid w:val="00B24DF6"/>
    <w:rsid w:val="00B250FF"/>
    <w:rsid w:val="00B2511C"/>
    <w:rsid w:val="00B25C1D"/>
    <w:rsid w:val="00B261B9"/>
    <w:rsid w:val="00B261EE"/>
    <w:rsid w:val="00B268F1"/>
    <w:rsid w:val="00B26E47"/>
    <w:rsid w:val="00B2705C"/>
    <w:rsid w:val="00B2759D"/>
    <w:rsid w:val="00B2772F"/>
    <w:rsid w:val="00B27A61"/>
    <w:rsid w:val="00B27BF7"/>
    <w:rsid w:val="00B27BFB"/>
    <w:rsid w:val="00B27CF0"/>
    <w:rsid w:val="00B300C1"/>
    <w:rsid w:val="00B3065E"/>
    <w:rsid w:val="00B31312"/>
    <w:rsid w:val="00B31AF9"/>
    <w:rsid w:val="00B31E0C"/>
    <w:rsid w:val="00B322B2"/>
    <w:rsid w:val="00B32625"/>
    <w:rsid w:val="00B3262C"/>
    <w:rsid w:val="00B332D1"/>
    <w:rsid w:val="00B33640"/>
    <w:rsid w:val="00B337A2"/>
    <w:rsid w:val="00B338C7"/>
    <w:rsid w:val="00B33A5F"/>
    <w:rsid w:val="00B33B96"/>
    <w:rsid w:val="00B33D8B"/>
    <w:rsid w:val="00B343BD"/>
    <w:rsid w:val="00B34596"/>
    <w:rsid w:val="00B3475A"/>
    <w:rsid w:val="00B349E8"/>
    <w:rsid w:val="00B34A44"/>
    <w:rsid w:val="00B34BA1"/>
    <w:rsid w:val="00B34FE2"/>
    <w:rsid w:val="00B35166"/>
    <w:rsid w:val="00B352B5"/>
    <w:rsid w:val="00B35371"/>
    <w:rsid w:val="00B357D8"/>
    <w:rsid w:val="00B360F4"/>
    <w:rsid w:val="00B36131"/>
    <w:rsid w:val="00B362C8"/>
    <w:rsid w:val="00B3643C"/>
    <w:rsid w:val="00B3696E"/>
    <w:rsid w:val="00B36A00"/>
    <w:rsid w:val="00B37132"/>
    <w:rsid w:val="00B374D3"/>
    <w:rsid w:val="00B3792B"/>
    <w:rsid w:val="00B37AAE"/>
    <w:rsid w:val="00B37BFC"/>
    <w:rsid w:val="00B37C95"/>
    <w:rsid w:val="00B37F14"/>
    <w:rsid w:val="00B401F8"/>
    <w:rsid w:val="00B40358"/>
    <w:rsid w:val="00B40923"/>
    <w:rsid w:val="00B40CFD"/>
    <w:rsid w:val="00B40DA8"/>
    <w:rsid w:val="00B40F22"/>
    <w:rsid w:val="00B411D3"/>
    <w:rsid w:val="00B41614"/>
    <w:rsid w:val="00B41640"/>
    <w:rsid w:val="00B4164E"/>
    <w:rsid w:val="00B4176F"/>
    <w:rsid w:val="00B417D0"/>
    <w:rsid w:val="00B41836"/>
    <w:rsid w:val="00B41F85"/>
    <w:rsid w:val="00B4244F"/>
    <w:rsid w:val="00B4248A"/>
    <w:rsid w:val="00B42851"/>
    <w:rsid w:val="00B42963"/>
    <w:rsid w:val="00B42A81"/>
    <w:rsid w:val="00B42F80"/>
    <w:rsid w:val="00B43128"/>
    <w:rsid w:val="00B433BC"/>
    <w:rsid w:val="00B435CB"/>
    <w:rsid w:val="00B43807"/>
    <w:rsid w:val="00B438C5"/>
    <w:rsid w:val="00B43EA6"/>
    <w:rsid w:val="00B44103"/>
    <w:rsid w:val="00B441C1"/>
    <w:rsid w:val="00B445EC"/>
    <w:rsid w:val="00B44A85"/>
    <w:rsid w:val="00B4537D"/>
    <w:rsid w:val="00B45B09"/>
    <w:rsid w:val="00B45C23"/>
    <w:rsid w:val="00B46075"/>
    <w:rsid w:val="00B46503"/>
    <w:rsid w:val="00B465EC"/>
    <w:rsid w:val="00B4670D"/>
    <w:rsid w:val="00B46906"/>
    <w:rsid w:val="00B46CCB"/>
    <w:rsid w:val="00B4722E"/>
    <w:rsid w:val="00B47FA3"/>
    <w:rsid w:val="00B503F6"/>
    <w:rsid w:val="00B50404"/>
    <w:rsid w:val="00B50418"/>
    <w:rsid w:val="00B505C8"/>
    <w:rsid w:val="00B50654"/>
    <w:rsid w:val="00B50DB8"/>
    <w:rsid w:val="00B50F7F"/>
    <w:rsid w:val="00B5142A"/>
    <w:rsid w:val="00B519EC"/>
    <w:rsid w:val="00B51FE2"/>
    <w:rsid w:val="00B52260"/>
    <w:rsid w:val="00B52729"/>
    <w:rsid w:val="00B527DD"/>
    <w:rsid w:val="00B52B6C"/>
    <w:rsid w:val="00B52F5A"/>
    <w:rsid w:val="00B52FD4"/>
    <w:rsid w:val="00B53257"/>
    <w:rsid w:val="00B5351E"/>
    <w:rsid w:val="00B53654"/>
    <w:rsid w:val="00B5370A"/>
    <w:rsid w:val="00B53905"/>
    <w:rsid w:val="00B53A1F"/>
    <w:rsid w:val="00B53ED4"/>
    <w:rsid w:val="00B53F6C"/>
    <w:rsid w:val="00B54625"/>
    <w:rsid w:val="00B546DB"/>
    <w:rsid w:val="00B548DB"/>
    <w:rsid w:val="00B549F8"/>
    <w:rsid w:val="00B54B5B"/>
    <w:rsid w:val="00B54BAD"/>
    <w:rsid w:val="00B550AF"/>
    <w:rsid w:val="00B55112"/>
    <w:rsid w:val="00B5531A"/>
    <w:rsid w:val="00B5562E"/>
    <w:rsid w:val="00B557E7"/>
    <w:rsid w:val="00B55840"/>
    <w:rsid w:val="00B55862"/>
    <w:rsid w:val="00B55996"/>
    <w:rsid w:val="00B55C2B"/>
    <w:rsid w:val="00B55C60"/>
    <w:rsid w:val="00B55D65"/>
    <w:rsid w:val="00B56194"/>
    <w:rsid w:val="00B56305"/>
    <w:rsid w:val="00B56506"/>
    <w:rsid w:val="00B565CA"/>
    <w:rsid w:val="00B566FD"/>
    <w:rsid w:val="00B57000"/>
    <w:rsid w:val="00B57786"/>
    <w:rsid w:val="00B57AC4"/>
    <w:rsid w:val="00B57EB4"/>
    <w:rsid w:val="00B6052D"/>
    <w:rsid w:val="00B6060B"/>
    <w:rsid w:val="00B60939"/>
    <w:rsid w:val="00B60979"/>
    <w:rsid w:val="00B60AFD"/>
    <w:rsid w:val="00B60CAE"/>
    <w:rsid w:val="00B61A88"/>
    <w:rsid w:val="00B61B35"/>
    <w:rsid w:val="00B6215A"/>
    <w:rsid w:val="00B6247E"/>
    <w:rsid w:val="00B625AD"/>
    <w:rsid w:val="00B62715"/>
    <w:rsid w:val="00B62A4E"/>
    <w:rsid w:val="00B62A9F"/>
    <w:rsid w:val="00B62D71"/>
    <w:rsid w:val="00B62F38"/>
    <w:rsid w:val="00B632D5"/>
    <w:rsid w:val="00B6375C"/>
    <w:rsid w:val="00B63BB4"/>
    <w:rsid w:val="00B63BBD"/>
    <w:rsid w:val="00B64530"/>
    <w:rsid w:val="00B6477F"/>
    <w:rsid w:val="00B6496D"/>
    <w:rsid w:val="00B64B4D"/>
    <w:rsid w:val="00B64F8A"/>
    <w:rsid w:val="00B65038"/>
    <w:rsid w:val="00B65470"/>
    <w:rsid w:val="00B65611"/>
    <w:rsid w:val="00B6568B"/>
    <w:rsid w:val="00B659D3"/>
    <w:rsid w:val="00B659E2"/>
    <w:rsid w:val="00B65E36"/>
    <w:rsid w:val="00B661EB"/>
    <w:rsid w:val="00B66277"/>
    <w:rsid w:val="00B664BC"/>
    <w:rsid w:val="00B666EE"/>
    <w:rsid w:val="00B669BA"/>
    <w:rsid w:val="00B66B71"/>
    <w:rsid w:val="00B66BD5"/>
    <w:rsid w:val="00B66CFE"/>
    <w:rsid w:val="00B66D35"/>
    <w:rsid w:val="00B66FDA"/>
    <w:rsid w:val="00B676AA"/>
    <w:rsid w:val="00B67971"/>
    <w:rsid w:val="00B67C49"/>
    <w:rsid w:val="00B67D4D"/>
    <w:rsid w:val="00B67D53"/>
    <w:rsid w:val="00B70A56"/>
    <w:rsid w:val="00B70E8E"/>
    <w:rsid w:val="00B71265"/>
    <w:rsid w:val="00B71DAE"/>
    <w:rsid w:val="00B724CD"/>
    <w:rsid w:val="00B7266C"/>
    <w:rsid w:val="00B727DC"/>
    <w:rsid w:val="00B72EF0"/>
    <w:rsid w:val="00B736F8"/>
    <w:rsid w:val="00B739F9"/>
    <w:rsid w:val="00B73B27"/>
    <w:rsid w:val="00B74B90"/>
    <w:rsid w:val="00B75049"/>
    <w:rsid w:val="00B75420"/>
    <w:rsid w:val="00B7546F"/>
    <w:rsid w:val="00B754D7"/>
    <w:rsid w:val="00B75A2A"/>
    <w:rsid w:val="00B75B1C"/>
    <w:rsid w:val="00B76546"/>
    <w:rsid w:val="00B76615"/>
    <w:rsid w:val="00B76683"/>
    <w:rsid w:val="00B769B1"/>
    <w:rsid w:val="00B76AE3"/>
    <w:rsid w:val="00B76C92"/>
    <w:rsid w:val="00B76CD6"/>
    <w:rsid w:val="00B76E24"/>
    <w:rsid w:val="00B76E39"/>
    <w:rsid w:val="00B77576"/>
    <w:rsid w:val="00B775B2"/>
    <w:rsid w:val="00B7768D"/>
    <w:rsid w:val="00B77F14"/>
    <w:rsid w:val="00B80074"/>
    <w:rsid w:val="00B803AA"/>
    <w:rsid w:val="00B803E8"/>
    <w:rsid w:val="00B80416"/>
    <w:rsid w:val="00B80800"/>
    <w:rsid w:val="00B808EF"/>
    <w:rsid w:val="00B80C8B"/>
    <w:rsid w:val="00B80EFD"/>
    <w:rsid w:val="00B813CB"/>
    <w:rsid w:val="00B81615"/>
    <w:rsid w:val="00B818A4"/>
    <w:rsid w:val="00B81C5E"/>
    <w:rsid w:val="00B81DE9"/>
    <w:rsid w:val="00B8220D"/>
    <w:rsid w:val="00B82370"/>
    <w:rsid w:val="00B82933"/>
    <w:rsid w:val="00B82E2D"/>
    <w:rsid w:val="00B83013"/>
    <w:rsid w:val="00B83207"/>
    <w:rsid w:val="00B83739"/>
    <w:rsid w:val="00B8384D"/>
    <w:rsid w:val="00B8392C"/>
    <w:rsid w:val="00B83C2D"/>
    <w:rsid w:val="00B84117"/>
    <w:rsid w:val="00B8419C"/>
    <w:rsid w:val="00B84F17"/>
    <w:rsid w:val="00B84FC2"/>
    <w:rsid w:val="00B851F7"/>
    <w:rsid w:val="00B85478"/>
    <w:rsid w:val="00B85834"/>
    <w:rsid w:val="00B858F0"/>
    <w:rsid w:val="00B85A7F"/>
    <w:rsid w:val="00B85AA2"/>
    <w:rsid w:val="00B85CBB"/>
    <w:rsid w:val="00B85E3C"/>
    <w:rsid w:val="00B8649C"/>
    <w:rsid w:val="00B8695D"/>
    <w:rsid w:val="00B869DF"/>
    <w:rsid w:val="00B86F70"/>
    <w:rsid w:val="00B870EC"/>
    <w:rsid w:val="00B8766B"/>
    <w:rsid w:val="00B87768"/>
    <w:rsid w:val="00B879D8"/>
    <w:rsid w:val="00B879F9"/>
    <w:rsid w:val="00B87BD4"/>
    <w:rsid w:val="00B87D22"/>
    <w:rsid w:val="00B87D67"/>
    <w:rsid w:val="00B87F0A"/>
    <w:rsid w:val="00B90B44"/>
    <w:rsid w:val="00B90D97"/>
    <w:rsid w:val="00B91081"/>
    <w:rsid w:val="00B910AB"/>
    <w:rsid w:val="00B9117C"/>
    <w:rsid w:val="00B914FA"/>
    <w:rsid w:val="00B9197D"/>
    <w:rsid w:val="00B91FA0"/>
    <w:rsid w:val="00B92022"/>
    <w:rsid w:val="00B9229C"/>
    <w:rsid w:val="00B9268E"/>
    <w:rsid w:val="00B926EF"/>
    <w:rsid w:val="00B9280D"/>
    <w:rsid w:val="00B92950"/>
    <w:rsid w:val="00B92AAF"/>
    <w:rsid w:val="00B92C0D"/>
    <w:rsid w:val="00B92D0B"/>
    <w:rsid w:val="00B9324B"/>
    <w:rsid w:val="00B93E30"/>
    <w:rsid w:val="00B9406F"/>
    <w:rsid w:val="00B940A4"/>
    <w:rsid w:val="00B94146"/>
    <w:rsid w:val="00B943BD"/>
    <w:rsid w:val="00B944D9"/>
    <w:rsid w:val="00B94584"/>
    <w:rsid w:val="00B9466E"/>
    <w:rsid w:val="00B94733"/>
    <w:rsid w:val="00B94945"/>
    <w:rsid w:val="00B94A04"/>
    <w:rsid w:val="00B94D80"/>
    <w:rsid w:val="00B94DD6"/>
    <w:rsid w:val="00B951C1"/>
    <w:rsid w:val="00B95DA8"/>
    <w:rsid w:val="00B96552"/>
    <w:rsid w:val="00B965E8"/>
    <w:rsid w:val="00B97594"/>
    <w:rsid w:val="00B977EC"/>
    <w:rsid w:val="00B97C13"/>
    <w:rsid w:val="00BA04C7"/>
    <w:rsid w:val="00BA0C71"/>
    <w:rsid w:val="00BA139F"/>
    <w:rsid w:val="00BA1778"/>
    <w:rsid w:val="00BA19C7"/>
    <w:rsid w:val="00BA1E55"/>
    <w:rsid w:val="00BA2093"/>
    <w:rsid w:val="00BA2175"/>
    <w:rsid w:val="00BA280A"/>
    <w:rsid w:val="00BA2AC9"/>
    <w:rsid w:val="00BA2CB8"/>
    <w:rsid w:val="00BA30CA"/>
    <w:rsid w:val="00BA311C"/>
    <w:rsid w:val="00BA322D"/>
    <w:rsid w:val="00BA3230"/>
    <w:rsid w:val="00BA393F"/>
    <w:rsid w:val="00BA3BF7"/>
    <w:rsid w:val="00BA3D5C"/>
    <w:rsid w:val="00BA3DA5"/>
    <w:rsid w:val="00BA462E"/>
    <w:rsid w:val="00BA4CCD"/>
    <w:rsid w:val="00BA5009"/>
    <w:rsid w:val="00BA5469"/>
    <w:rsid w:val="00BA57CB"/>
    <w:rsid w:val="00BA5CEA"/>
    <w:rsid w:val="00BA63FA"/>
    <w:rsid w:val="00BA643A"/>
    <w:rsid w:val="00BA71FB"/>
    <w:rsid w:val="00BA7801"/>
    <w:rsid w:val="00BA7D2C"/>
    <w:rsid w:val="00BA7E69"/>
    <w:rsid w:val="00BA7EA0"/>
    <w:rsid w:val="00BB00B3"/>
    <w:rsid w:val="00BB0463"/>
    <w:rsid w:val="00BB0497"/>
    <w:rsid w:val="00BB05B4"/>
    <w:rsid w:val="00BB0BDD"/>
    <w:rsid w:val="00BB10EC"/>
    <w:rsid w:val="00BB11F5"/>
    <w:rsid w:val="00BB1463"/>
    <w:rsid w:val="00BB14AE"/>
    <w:rsid w:val="00BB14FC"/>
    <w:rsid w:val="00BB176C"/>
    <w:rsid w:val="00BB1C24"/>
    <w:rsid w:val="00BB23D6"/>
    <w:rsid w:val="00BB25CB"/>
    <w:rsid w:val="00BB2A73"/>
    <w:rsid w:val="00BB30C1"/>
    <w:rsid w:val="00BB3155"/>
    <w:rsid w:val="00BB3517"/>
    <w:rsid w:val="00BB3A45"/>
    <w:rsid w:val="00BB3C7D"/>
    <w:rsid w:val="00BB3D16"/>
    <w:rsid w:val="00BB43C6"/>
    <w:rsid w:val="00BB47BA"/>
    <w:rsid w:val="00BB4993"/>
    <w:rsid w:val="00BB4ACC"/>
    <w:rsid w:val="00BB4FFA"/>
    <w:rsid w:val="00BB54ED"/>
    <w:rsid w:val="00BB5609"/>
    <w:rsid w:val="00BB57B4"/>
    <w:rsid w:val="00BB59FF"/>
    <w:rsid w:val="00BB5C91"/>
    <w:rsid w:val="00BB6786"/>
    <w:rsid w:val="00BB6980"/>
    <w:rsid w:val="00BB6B18"/>
    <w:rsid w:val="00BB703E"/>
    <w:rsid w:val="00BB732D"/>
    <w:rsid w:val="00BB7405"/>
    <w:rsid w:val="00BC037B"/>
    <w:rsid w:val="00BC0433"/>
    <w:rsid w:val="00BC0628"/>
    <w:rsid w:val="00BC0A26"/>
    <w:rsid w:val="00BC0ACC"/>
    <w:rsid w:val="00BC0C08"/>
    <w:rsid w:val="00BC10BA"/>
    <w:rsid w:val="00BC1836"/>
    <w:rsid w:val="00BC1CEB"/>
    <w:rsid w:val="00BC1F4E"/>
    <w:rsid w:val="00BC24C5"/>
    <w:rsid w:val="00BC26BD"/>
    <w:rsid w:val="00BC2701"/>
    <w:rsid w:val="00BC2897"/>
    <w:rsid w:val="00BC3630"/>
    <w:rsid w:val="00BC3631"/>
    <w:rsid w:val="00BC3806"/>
    <w:rsid w:val="00BC3809"/>
    <w:rsid w:val="00BC3883"/>
    <w:rsid w:val="00BC3D97"/>
    <w:rsid w:val="00BC3FDF"/>
    <w:rsid w:val="00BC4B13"/>
    <w:rsid w:val="00BC4BBB"/>
    <w:rsid w:val="00BC4C2C"/>
    <w:rsid w:val="00BC4CEA"/>
    <w:rsid w:val="00BC50F2"/>
    <w:rsid w:val="00BC576E"/>
    <w:rsid w:val="00BC5835"/>
    <w:rsid w:val="00BC591F"/>
    <w:rsid w:val="00BC59A0"/>
    <w:rsid w:val="00BC5BC4"/>
    <w:rsid w:val="00BC66BE"/>
    <w:rsid w:val="00BC6725"/>
    <w:rsid w:val="00BC7077"/>
    <w:rsid w:val="00BC707B"/>
    <w:rsid w:val="00BC739E"/>
    <w:rsid w:val="00BC7810"/>
    <w:rsid w:val="00BC7918"/>
    <w:rsid w:val="00BC7D6D"/>
    <w:rsid w:val="00BD01D0"/>
    <w:rsid w:val="00BD0548"/>
    <w:rsid w:val="00BD0DA2"/>
    <w:rsid w:val="00BD1163"/>
    <w:rsid w:val="00BD1708"/>
    <w:rsid w:val="00BD1F17"/>
    <w:rsid w:val="00BD1F36"/>
    <w:rsid w:val="00BD20AF"/>
    <w:rsid w:val="00BD2108"/>
    <w:rsid w:val="00BD26C5"/>
    <w:rsid w:val="00BD2A54"/>
    <w:rsid w:val="00BD33EE"/>
    <w:rsid w:val="00BD3890"/>
    <w:rsid w:val="00BD3B0B"/>
    <w:rsid w:val="00BD3C4E"/>
    <w:rsid w:val="00BD3F71"/>
    <w:rsid w:val="00BD4039"/>
    <w:rsid w:val="00BD4A62"/>
    <w:rsid w:val="00BD4CFF"/>
    <w:rsid w:val="00BD4E04"/>
    <w:rsid w:val="00BD51C2"/>
    <w:rsid w:val="00BD536F"/>
    <w:rsid w:val="00BD5429"/>
    <w:rsid w:val="00BD556C"/>
    <w:rsid w:val="00BD5A22"/>
    <w:rsid w:val="00BD5C49"/>
    <w:rsid w:val="00BD5FC0"/>
    <w:rsid w:val="00BD6136"/>
    <w:rsid w:val="00BD616A"/>
    <w:rsid w:val="00BD630E"/>
    <w:rsid w:val="00BD6761"/>
    <w:rsid w:val="00BD67CA"/>
    <w:rsid w:val="00BD68A3"/>
    <w:rsid w:val="00BD6938"/>
    <w:rsid w:val="00BD6BC9"/>
    <w:rsid w:val="00BD6C8F"/>
    <w:rsid w:val="00BD6CF3"/>
    <w:rsid w:val="00BD6FD4"/>
    <w:rsid w:val="00BD70D9"/>
    <w:rsid w:val="00BD71C3"/>
    <w:rsid w:val="00BD72CE"/>
    <w:rsid w:val="00BD7775"/>
    <w:rsid w:val="00BD7EA6"/>
    <w:rsid w:val="00BD7F72"/>
    <w:rsid w:val="00BE004F"/>
    <w:rsid w:val="00BE097F"/>
    <w:rsid w:val="00BE0B8B"/>
    <w:rsid w:val="00BE0ECA"/>
    <w:rsid w:val="00BE0FB9"/>
    <w:rsid w:val="00BE11FB"/>
    <w:rsid w:val="00BE14BB"/>
    <w:rsid w:val="00BE15D1"/>
    <w:rsid w:val="00BE1C12"/>
    <w:rsid w:val="00BE1E36"/>
    <w:rsid w:val="00BE2180"/>
    <w:rsid w:val="00BE21CC"/>
    <w:rsid w:val="00BE21F2"/>
    <w:rsid w:val="00BE23E8"/>
    <w:rsid w:val="00BE24C5"/>
    <w:rsid w:val="00BE28C9"/>
    <w:rsid w:val="00BE28F2"/>
    <w:rsid w:val="00BE2ADB"/>
    <w:rsid w:val="00BE31A9"/>
    <w:rsid w:val="00BE31D9"/>
    <w:rsid w:val="00BE3E4F"/>
    <w:rsid w:val="00BE4275"/>
    <w:rsid w:val="00BE493C"/>
    <w:rsid w:val="00BE5243"/>
    <w:rsid w:val="00BE56FD"/>
    <w:rsid w:val="00BE5740"/>
    <w:rsid w:val="00BE5C40"/>
    <w:rsid w:val="00BE5F45"/>
    <w:rsid w:val="00BE5F93"/>
    <w:rsid w:val="00BE607E"/>
    <w:rsid w:val="00BE6CF8"/>
    <w:rsid w:val="00BE6E06"/>
    <w:rsid w:val="00BE72F8"/>
    <w:rsid w:val="00BE7485"/>
    <w:rsid w:val="00BE7B33"/>
    <w:rsid w:val="00BF026C"/>
    <w:rsid w:val="00BF06AE"/>
    <w:rsid w:val="00BF0876"/>
    <w:rsid w:val="00BF0918"/>
    <w:rsid w:val="00BF096F"/>
    <w:rsid w:val="00BF0F95"/>
    <w:rsid w:val="00BF1217"/>
    <w:rsid w:val="00BF1436"/>
    <w:rsid w:val="00BF14D8"/>
    <w:rsid w:val="00BF2433"/>
    <w:rsid w:val="00BF264D"/>
    <w:rsid w:val="00BF29B9"/>
    <w:rsid w:val="00BF29F6"/>
    <w:rsid w:val="00BF2ADC"/>
    <w:rsid w:val="00BF2C0A"/>
    <w:rsid w:val="00BF2E6E"/>
    <w:rsid w:val="00BF2F48"/>
    <w:rsid w:val="00BF33FB"/>
    <w:rsid w:val="00BF351E"/>
    <w:rsid w:val="00BF35B9"/>
    <w:rsid w:val="00BF380C"/>
    <w:rsid w:val="00BF39A6"/>
    <w:rsid w:val="00BF3F59"/>
    <w:rsid w:val="00BF3F68"/>
    <w:rsid w:val="00BF414D"/>
    <w:rsid w:val="00BF49C0"/>
    <w:rsid w:val="00BF49E9"/>
    <w:rsid w:val="00BF49FB"/>
    <w:rsid w:val="00BF4DF5"/>
    <w:rsid w:val="00BF4F4B"/>
    <w:rsid w:val="00BF574B"/>
    <w:rsid w:val="00BF5826"/>
    <w:rsid w:val="00BF5A26"/>
    <w:rsid w:val="00BF5E71"/>
    <w:rsid w:val="00BF61C9"/>
    <w:rsid w:val="00BF6931"/>
    <w:rsid w:val="00BF6A26"/>
    <w:rsid w:val="00BF6C94"/>
    <w:rsid w:val="00BF6F86"/>
    <w:rsid w:val="00BF7028"/>
    <w:rsid w:val="00BF702B"/>
    <w:rsid w:val="00BF7BA4"/>
    <w:rsid w:val="00C001D7"/>
    <w:rsid w:val="00C00424"/>
    <w:rsid w:val="00C00473"/>
    <w:rsid w:val="00C004FF"/>
    <w:rsid w:val="00C00904"/>
    <w:rsid w:val="00C00BB0"/>
    <w:rsid w:val="00C010D3"/>
    <w:rsid w:val="00C01109"/>
    <w:rsid w:val="00C011D2"/>
    <w:rsid w:val="00C011FF"/>
    <w:rsid w:val="00C014EB"/>
    <w:rsid w:val="00C01537"/>
    <w:rsid w:val="00C018F0"/>
    <w:rsid w:val="00C01A84"/>
    <w:rsid w:val="00C025E5"/>
    <w:rsid w:val="00C02746"/>
    <w:rsid w:val="00C02F02"/>
    <w:rsid w:val="00C0359A"/>
    <w:rsid w:val="00C03721"/>
    <w:rsid w:val="00C03A99"/>
    <w:rsid w:val="00C03AF8"/>
    <w:rsid w:val="00C03FB3"/>
    <w:rsid w:val="00C04004"/>
    <w:rsid w:val="00C042E1"/>
    <w:rsid w:val="00C04319"/>
    <w:rsid w:val="00C0486B"/>
    <w:rsid w:val="00C0499A"/>
    <w:rsid w:val="00C050DD"/>
    <w:rsid w:val="00C05164"/>
    <w:rsid w:val="00C0559D"/>
    <w:rsid w:val="00C057F5"/>
    <w:rsid w:val="00C058C2"/>
    <w:rsid w:val="00C05A2B"/>
    <w:rsid w:val="00C06289"/>
    <w:rsid w:val="00C066EB"/>
    <w:rsid w:val="00C06B23"/>
    <w:rsid w:val="00C06EBA"/>
    <w:rsid w:val="00C07437"/>
    <w:rsid w:val="00C07528"/>
    <w:rsid w:val="00C07566"/>
    <w:rsid w:val="00C076A0"/>
    <w:rsid w:val="00C0774D"/>
    <w:rsid w:val="00C079C0"/>
    <w:rsid w:val="00C07B74"/>
    <w:rsid w:val="00C07D00"/>
    <w:rsid w:val="00C07D55"/>
    <w:rsid w:val="00C1025E"/>
    <w:rsid w:val="00C1050B"/>
    <w:rsid w:val="00C107AF"/>
    <w:rsid w:val="00C1081C"/>
    <w:rsid w:val="00C10F5D"/>
    <w:rsid w:val="00C110AE"/>
    <w:rsid w:val="00C11520"/>
    <w:rsid w:val="00C1165F"/>
    <w:rsid w:val="00C1179F"/>
    <w:rsid w:val="00C11E53"/>
    <w:rsid w:val="00C123DD"/>
    <w:rsid w:val="00C12741"/>
    <w:rsid w:val="00C127B9"/>
    <w:rsid w:val="00C128FA"/>
    <w:rsid w:val="00C12C14"/>
    <w:rsid w:val="00C12F05"/>
    <w:rsid w:val="00C12F75"/>
    <w:rsid w:val="00C1320A"/>
    <w:rsid w:val="00C13519"/>
    <w:rsid w:val="00C1399B"/>
    <w:rsid w:val="00C13A81"/>
    <w:rsid w:val="00C13B91"/>
    <w:rsid w:val="00C13C9A"/>
    <w:rsid w:val="00C14150"/>
    <w:rsid w:val="00C14253"/>
    <w:rsid w:val="00C14346"/>
    <w:rsid w:val="00C14435"/>
    <w:rsid w:val="00C1489E"/>
    <w:rsid w:val="00C1545A"/>
    <w:rsid w:val="00C1559D"/>
    <w:rsid w:val="00C15889"/>
    <w:rsid w:val="00C15C00"/>
    <w:rsid w:val="00C15EC3"/>
    <w:rsid w:val="00C15F04"/>
    <w:rsid w:val="00C163C2"/>
    <w:rsid w:val="00C165FB"/>
    <w:rsid w:val="00C16710"/>
    <w:rsid w:val="00C16A9B"/>
    <w:rsid w:val="00C1727A"/>
    <w:rsid w:val="00C175E0"/>
    <w:rsid w:val="00C17715"/>
    <w:rsid w:val="00C179B3"/>
    <w:rsid w:val="00C179E1"/>
    <w:rsid w:val="00C17AD6"/>
    <w:rsid w:val="00C17E3F"/>
    <w:rsid w:val="00C200AA"/>
    <w:rsid w:val="00C200CB"/>
    <w:rsid w:val="00C202FA"/>
    <w:rsid w:val="00C204C4"/>
    <w:rsid w:val="00C2120E"/>
    <w:rsid w:val="00C21CA6"/>
    <w:rsid w:val="00C21EF1"/>
    <w:rsid w:val="00C22150"/>
    <w:rsid w:val="00C2274A"/>
    <w:rsid w:val="00C229B8"/>
    <w:rsid w:val="00C22BC0"/>
    <w:rsid w:val="00C22DEC"/>
    <w:rsid w:val="00C2320C"/>
    <w:rsid w:val="00C233A7"/>
    <w:rsid w:val="00C2356F"/>
    <w:rsid w:val="00C237ED"/>
    <w:rsid w:val="00C2458B"/>
    <w:rsid w:val="00C24632"/>
    <w:rsid w:val="00C24A50"/>
    <w:rsid w:val="00C24D60"/>
    <w:rsid w:val="00C252BB"/>
    <w:rsid w:val="00C252DA"/>
    <w:rsid w:val="00C253A8"/>
    <w:rsid w:val="00C25418"/>
    <w:rsid w:val="00C25AB7"/>
    <w:rsid w:val="00C25AC8"/>
    <w:rsid w:val="00C25D9C"/>
    <w:rsid w:val="00C26459"/>
    <w:rsid w:val="00C269B0"/>
    <w:rsid w:val="00C269DE"/>
    <w:rsid w:val="00C26C36"/>
    <w:rsid w:val="00C26C6F"/>
    <w:rsid w:val="00C27117"/>
    <w:rsid w:val="00C27446"/>
    <w:rsid w:val="00C2778B"/>
    <w:rsid w:val="00C27912"/>
    <w:rsid w:val="00C30647"/>
    <w:rsid w:val="00C30B91"/>
    <w:rsid w:val="00C30CA5"/>
    <w:rsid w:val="00C30CAB"/>
    <w:rsid w:val="00C311F4"/>
    <w:rsid w:val="00C312BB"/>
    <w:rsid w:val="00C31649"/>
    <w:rsid w:val="00C31802"/>
    <w:rsid w:val="00C31EEB"/>
    <w:rsid w:val="00C322C2"/>
    <w:rsid w:val="00C32BC6"/>
    <w:rsid w:val="00C32C59"/>
    <w:rsid w:val="00C332E0"/>
    <w:rsid w:val="00C3403E"/>
    <w:rsid w:val="00C3434C"/>
    <w:rsid w:val="00C3449C"/>
    <w:rsid w:val="00C34C82"/>
    <w:rsid w:val="00C35659"/>
    <w:rsid w:val="00C357BD"/>
    <w:rsid w:val="00C35F7D"/>
    <w:rsid w:val="00C36567"/>
    <w:rsid w:val="00C3691A"/>
    <w:rsid w:val="00C372E9"/>
    <w:rsid w:val="00C37736"/>
    <w:rsid w:val="00C37B3A"/>
    <w:rsid w:val="00C37BC3"/>
    <w:rsid w:val="00C40385"/>
    <w:rsid w:val="00C403E5"/>
    <w:rsid w:val="00C40805"/>
    <w:rsid w:val="00C40BDC"/>
    <w:rsid w:val="00C41021"/>
    <w:rsid w:val="00C41143"/>
    <w:rsid w:val="00C41768"/>
    <w:rsid w:val="00C419B7"/>
    <w:rsid w:val="00C4209B"/>
    <w:rsid w:val="00C42483"/>
    <w:rsid w:val="00C424FB"/>
    <w:rsid w:val="00C428DC"/>
    <w:rsid w:val="00C42E01"/>
    <w:rsid w:val="00C43433"/>
    <w:rsid w:val="00C434A3"/>
    <w:rsid w:val="00C4488A"/>
    <w:rsid w:val="00C4488E"/>
    <w:rsid w:val="00C44964"/>
    <w:rsid w:val="00C44BAA"/>
    <w:rsid w:val="00C44E00"/>
    <w:rsid w:val="00C45E7A"/>
    <w:rsid w:val="00C45E91"/>
    <w:rsid w:val="00C45FA7"/>
    <w:rsid w:val="00C45FBC"/>
    <w:rsid w:val="00C461BA"/>
    <w:rsid w:val="00C463FF"/>
    <w:rsid w:val="00C46B81"/>
    <w:rsid w:val="00C46DD5"/>
    <w:rsid w:val="00C46DE8"/>
    <w:rsid w:val="00C4716D"/>
    <w:rsid w:val="00C475AA"/>
    <w:rsid w:val="00C47AD1"/>
    <w:rsid w:val="00C47B01"/>
    <w:rsid w:val="00C47DA9"/>
    <w:rsid w:val="00C501F2"/>
    <w:rsid w:val="00C5054A"/>
    <w:rsid w:val="00C505C4"/>
    <w:rsid w:val="00C506D5"/>
    <w:rsid w:val="00C50787"/>
    <w:rsid w:val="00C514F4"/>
    <w:rsid w:val="00C5191E"/>
    <w:rsid w:val="00C51DA0"/>
    <w:rsid w:val="00C521C6"/>
    <w:rsid w:val="00C521CA"/>
    <w:rsid w:val="00C521EA"/>
    <w:rsid w:val="00C523BE"/>
    <w:rsid w:val="00C525C1"/>
    <w:rsid w:val="00C527C7"/>
    <w:rsid w:val="00C52D23"/>
    <w:rsid w:val="00C531C1"/>
    <w:rsid w:val="00C53C98"/>
    <w:rsid w:val="00C53D81"/>
    <w:rsid w:val="00C543ED"/>
    <w:rsid w:val="00C545B2"/>
    <w:rsid w:val="00C54666"/>
    <w:rsid w:val="00C54B39"/>
    <w:rsid w:val="00C55181"/>
    <w:rsid w:val="00C55CC9"/>
    <w:rsid w:val="00C562E7"/>
    <w:rsid w:val="00C56AB1"/>
    <w:rsid w:val="00C56E8B"/>
    <w:rsid w:val="00C56FCF"/>
    <w:rsid w:val="00C572EF"/>
    <w:rsid w:val="00C572F6"/>
    <w:rsid w:val="00C57336"/>
    <w:rsid w:val="00C573EA"/>
    <w:rsid w:val="00C5750D"/>
    <w:rsid w:val="00C5785E"/>
    <w:rsid w:val="00C57B6C"/>
    <w:rsid w:val="00C57C96"/>
    <w:rsid w:val="00C60676"/>
    <w:rsid w:val="00C608DC"/>
    <w:rsid w:val="00C60A39"/>
    <w:rsid w:val="00C61306"/>
    <w:rsid w:val="00C6158B"/>
    <w:rsid w:val="00C616E6"/>
    <w:rsid w:val="00C61734"/>
    <w:rsid w:val="00C61988"/>
    <w:rsid w:val="00C61A59"/>
    <w:rsid w:val="00C61C81"/>
    <w:rsid w:val="00C61E0F"/>
    <w:rsid w:val="00C61E95"/>
    <w:rsid w:val="00C62100"/>
    <w:rsid w:val="00C62501"/>
    <w:rsid w:val="00C62582"/>
    <w:rsid w:val="00C627B3"/>
    <w:rsid w:val="00C628A6"/>
    <w:rsid w:val="00C629E0"/>
    <w:rsid w:val="00C62EB8"/>
    <w:rsid w:val="00C63307"/>
    <w:rsid w:val="00C638AA"/>
    <w:rsid w:val="00C64079"/>
    <w:rsid w:val="00C640FE"/>
    <w:rsid w:val="00C64344"/>
    <w:rsid w:val="00C6489B"/>
    <w:rsid w:val="00C64968"/>
    <w:rsid w:val="00C6503A"/>
    <w:rsid w:val="00C65108"/>
    <w:rsid w:val="00C653CC"/>
    <w:rsid w:val="00C65576"/>
    <w:rsid w:val="00C65BC5"/>
    <w:rsid w:val="00C65C7C"/>
    <w:rsid w:val="00C65CE2"/>
    <w:rsid w:val="00C66165"/>
    <w:rsid w:val="00C66ACB"/>
    <w:rsid w:val="00C66C55"/>
    <w:rsid w:val="00C66CB1"/>
    <w:rsid w:val="00C66CC8"/>
    <w:rsid w:val="00C677A7"/>
    <w:rsid w:val="00C679C6"/>
    <w:rsid w:val="00C70003"/>
    <w:rsid w:val="00C70029"/>
    <w:rsid w:val="00C700B0"/>
    <w:rsid w:val="00C702DA"/>
    <w:rsid w:val="00C70301"/>
    <w:rsid w:val="00C7060A"/>
    <w:rsid w:val="00C70C2E"/>
    <w:rsid w:val="00C7151A"/>
    <w:rsid w:val="00C7171C"/>
    <w:rsid w:val="00C717E3"/>
    <w:rsid w:val="00C71AC5"/>
    <w:rsid w:val="00C71D2E"/>
    <w:rsid w:val="00C71F60"/>
    <w:rsid w:val="00C72058"/>
    <w:rsid w:val="00C72241"/>
    <w:rsid w:val="00C73CBA"/>
    <w:rsid w:val="00C73FB7"/>
    <w:rsid w:val="00C744E4"/>
    <w:rsid w:val="00C7455A"/>
    <w:rsid w:val="00C74892"/>
    <w:rsid w:val="00C748B5"/>
    <w:rsid w:val="00C74F3D"/>
    <w:rsid w:val="00C750AA"/>
    <w:rsid w:val="00C750C8"/>
    <w:rsid w:val="00C75126"/>
    <w:rsid w:val="00C75570"/>
    <w:rsid w:val="00C755F9"/>
    <w:rsid w:val="00C7560F"/>
    <w:rsid w:val="00C757F0"/>
    <w:rsid w:val="00C7597F"/>
    <w:rsid w:val="00C75A07"/>
    <w:rsid w:val="00C75F98"/>
    <w:rsid w:val="00C76036"/>
    <w:rsid w:val="00C76191"/>
    <w:rsid w:val="00C7644C"/>
    <w:rsid w:val="00C76649"/>
    <w:rsid w:val="00C76CD6"/>
    <w:rsid w:val="00C76DF7"/>
    <w:rsid w:val="00C76E03"/>
    <w:rsid w:val="00C771CA"/>
    <w:rsid w:val="00C77864"/>
    <w:rsid w:val="00C801CD"/>
    <w:rsid w:val="00C8027C"/>
    <w:rsid w:val="00C804BD"/>
    <w:rsid w:val="00C80A0E"/>
    <w:rsid w:val="00C80BCC"/>
    <w:rsid w:val="00C81093"/>
    <w:rsid w:val="00C81DCB"/>
    <w:rsid w:val="00C81FEE"/>
    <w:rsid w:val="00C8208E"/>
    <w:rsid w:val="00C8213D"/>
    <w:rsid w:val="00C8213F"/>
    <w:rsid w:val="00C821A6"/>
    <w:rsid w:val="00C823D2"/>
    <w:rsid w:val="00C825F4"/>
    <w:rsid w:val="00C82816"/>
    <w:rsid w:val="00C82908"/>
    <w:rsid w:val="00C82CCF"/>
    <w:rsid w:val="00C8303F"/>
    <w:rsid w:val="00C830A4"/>
    <w:rsid w:val="00C8338D"/>
    <w:rsid w:val="00C833B8"/>
    <w:rsid w:val="00C836E4"/>
    <w:rsid w:val="00C83A2C"/>
    <w:rsid w:val="00C83FB1"/>
    <w:rsid w:val="00C841F9"/>
    <w:rsid w:val="00C84361"/>
    <w:rsid w:val="00C8442D"/>
    <w:rsid w:val="00C849E4"/>
    <w:rsid w:val="00C84ACB"/>
    <w:rsid w:val="00C850BA"/>
    <w:rsid w:val="00C85154"/>
    <w:rsid w:val="00C852E7"/>
    <w:rsid w:val="00C85379"/>
    <w:rsid w:val="00C85A70"/>
    <w:rsid w:val="00C85DBF"/>
    <w:rsid w:val="00C85E0A"/>
    <w:rsid w:val="00C867AA"/>
    <w:rsid w:val="00C86E69"/>
    <w:rsid w:val="00C87204"/>
    <w:rsid w:val="00C8797A"/>
    <w:rsid w:val="00C87C7E"/>
    <w:rsid w:val="00C87CDE"/>
    <w:rsid w:val="00C87DB2"/>
    <w:rsid w:val="00C900B8"/>
    <w:rsid w:val="00C90197"/>
    <w:rsid w:val="00C9020B"/>
    <w:rsid w:val="00C9069F"/>
    <w:rsid w:val="00C90A8D"/>
    <w:rsid w:val="00C90C71"/>
    <w:rsid w:val="00C9104C"/>
    <w:rsid w:val="00C91103"/>
    <w:rsid w:val="00C91603"/>
    <w:rsid w:val="00C91644"/>
    <w:rsid w:val="00C91991"/>
    <w:rsid w:val="00C91F31"/>
    <w:rsid w:val="00C91FD1"/>
    <w:rsid w:val="00C920ED"/>
    <w:rsid w:val="00C921A5"/>
    <w:rsid w:val="00C92326"/>
    <w:rsid w:val="00C931CC"/>
    <w:rsid w:val="00C931CF"/>
    <w:rsid w:val="00C938CF"/>
    <w:rsid w:val="00C93DE7"/>
    <w:rsid w:val="00C94053"/>
    <w:rsid w:val="00C94604"/>
    <w:rsid w:val="00C946D1"/>
    <w:rsid w:val="00C94D80"/>
    <w:rsid w:val="00C9518B"/>
    <w:rsid w:val="00C951ED"/>
    <w:rsid w:val="00C952B9"/>
    <w:rsid w:val="00C95921"/>
    <w:rsid w:val="00C95A0F"/>
    <w:rsid w:val="00C95C09"/>
    <w:rsid w:val="00C961A3"/>
    <w:rsid w:val="00C9624D"/>
    <w:rsid w:val="00C965C7"/>
    <w:rsid w:val="00C969DA"/>
    <w:rsid w:val="00C96AFD"/>
    <w:rsid w:val="00C96C1B"/>
    <w:rsid w:val="00C96DF8"/>
    <w:rsid w:val="00C96E31"/>
    <w:rsid w:val="00C96E74"/>
    <w:rsid w:val="00C96FC2"/>
    <w:rsid w:val="00C971F7"/>
    <w:rsid w:val="00C97254"/>
    <w:rsid w:val="00C97631"/>
    <w:rsid w:val="00C97FB3"/>
    <w:rsid w:val="00CA02D0"/>
    <w:rsid w:val="00CA0948"/>
    <w:rsid w:val="00CA0A85"/>
    <w:rsid w:val="00CA0E65"/>
    <w:rsid w:val="00CA0F73"/>
    <w:rsid w:val="00CA147F"/>
    <w:rsid w:val="00CA1C6A"/>
    <w:rsid w:val="00CA2591"/>
    <w:rsid w:val="00CA2A25"/>
    <w:rsid w:val="00CA2C77"/>
    <w:rsid w:val="00CA2DDF"/>
    <w:rsid w:val="00CA36CD"/>
    <w:rsid w:val="00CA3E3C"/>
    <w:rsid w:val="00CA3FEF"/>
    <w:rsid w:val="00CA444F"/>
    <w:rsid w:val="00CA469D"/>
    <w:rsid w:val="00CA5245"/>
    <w:rsid w:val="00CA5378"/>
    <w:rsid w:val="00CA5927"/>
    <w:rsid w:val="00CA59B4"/>
    <w:rsid w:val="00CA5B49"/>
    <w:rsid w:val="00CA5C23"/>
    <w:rsid w:val="00CA6656"/>
    <w:rsid w:val="00CA66E1"/>
    <w:rsid w:val="00CA68F5"/>
    <w:rsid w:val="00CA6ACB"/>
    <w:rsid w:val="00CA6BE4"/>
    <w:rsid w:val="00CA6FFB"/>
    <w:rsid w:val="00CA71F4"/>
    <w:rsid w:val="00CA764C"/>
    <w:rsid w:val="00CA76D3"/>
    <w:rsid w:val="00CA76F6"/>
    <w:rsid w:val="00CA7B09"/>
    <w:rsid w:val="00CA7D7A"/>
    <w:rsid w:val="00CB00E1"/>
    <w:rsid w:val="00CB036D"/>
    <w:rsid w:val="00CB03EA"/>
    <w:rsid w:val="00CB0548"/>
    <w:rsid w:val="00CB0A61"/>
    <w:rsid w:val="00CB12A5"/>
    <w:rsid w:val="00CB12F4"/>
    <w:rsid w:val="00CB1805"/>
    <w:rsid w:val="00CB1A2A"/>
    <w:rsid w:val="00CB1CAC"/>
    <w:rsid w:val="00CB1DED"/>
    <w:rsid w:val="00CB201D"/>
    <w:rsid w:val="00CB22B7"/>
    <w:rsid w:val="00CB2345"/>
    <w:rsid w:val="00CB2541"/>
    <w:rsid w:val="00CB2694"/>
    <w:rsid w:val="00CB291E"/>
    <w:rsid w:val="00CB2F2A"/>
    <w:rsid w:val="00CB35B1"/>
    <w:rsid w:val="00CB35C4"/>
    <w:rsid w:val="00CB386A"/>
    <w:rsid w:val="00CB3F2F"/>
    <w:rsid w:val="00CB3F53"/>
    <w:rsid w:val="00CB42A3"/>
    <w:rsid w:val="00CB4DA1"/>
    <w:rsid w:val="00CB502E"/>
    <w:rsid w:val="00CB5137"/>
    <w:rsid w:val="00CB51EB"/>
    <w:rsid w:val="00CB5917"/>
    <w:rsid w:val="00CB5A02"/>
    <w:rsid w:val="00CB5B1A"/>
    <w:rsid w:val="00CB5DD2"/>
    <w:rsid w:val="00CB63F6"/>
    <w:rsid w:val="00CB653C"/>
    <w:rsid w:val="00CB6885"/>
    <w:rsid w:val="00CB6AC0"/>
    <w:rsid w:val="00CB6B22"/>
    <w:rsid w:val="00CB6DF1"/>
    <w:rsid w:val="00CB75EB"/>
    <w:rsid w:val="00CB7788"/>
    <w:rsid w:val="00CB7A92"/>
    <w:rsid w:val="00CB7F5F"/>
    <w:rsid w:val="00CC008B"/>
    <w:rsid w:val="00CC0325"/>
    <w:rsid w:val="00CC0327"/>
    <w:rsid w:val="00CC0924"/>
    <w:rsid w:val="00CC09E2"/>
    <w:rsid w:val="00CC0A7C"/>
    <w:rsid w:val="00CC0B98"/>
    <w:rsid w:val="00CC127F"/>
    <w:rsid w:val="00CC13ED"/>
    <w:rsid w:val="00CC1B39"/>
    <w:rsid w:val="00CC1BFA"/>
    <w:rsid w:val="00CC1EAD"/>
    <w:rsid w:val="00CC1F9B"/>
    <w:rsid w:val="00CC1F9F"/>
    <w:rsid w:val="00CC2095"/>
    <w:rsid w:val="00CC23FD"/>
    <w:rsid w:val="00CC2E9F"/>
    <w:rsid w:val="00CC326C"/>
    <w:rsid w:val="00CC33CC"/>
    <w:rsid w:val="00CC344D"/>
    <w:rsid w:val="00CC35EA"/>
    <w:rsid w:val="00CC370B"/>
    <w:rsid w:val="00CC3848"/>
    <w:rsid w:val="00CC3A25"/>
    <w:rsid w:val="00CC3A41"/>
    <w:rsid w:val="00CC3BDC"/>
    <w:rsid w:val="00CC3F11"/>
    <w:rsid w:val="00CC445D"/>
    <w:rsid w:val="00CC458B"/>
    <w:rsid w:val="00CC4618"/>
    <w:rsid w:val="00CC4F96"/>
    <w:rsid w:val="00CC519E"/>
    <w:rsid w:val="00CC521F"/>
    <w:rsid w:val="00CC5FB4"/>
    <w:rsid w:val="00CC6164"/>
    <w:rsid w:val="00CC62AA"/>
    <w:rsid w:val="00CC668B"/>
    <w:rsid w:val="00CC6AFA"/>
    <w:rsid w:val="00CC6D5E"/>
    <w:rsid w:val="00CC6DE8"/>
    <w:rsid w:val="00CC6E9D"/>
    <w:rsid w:val="00CC6F56"/>
    <w:rsid w:val="00CC70F3"/>
    <w:rsid w:val="00CC7131"/>
    <w:rsid w:val="00CC725C"/>
    <w:rsid w:val="00CC7A7B"/>
    <w:rsid w:val="00CC7ED8"/>
    <w:rsid w:val="00CD0200"/>
    <w:rsid w:val="00CD064F"/>
    <w:rsid w:val="00CD0CB3"/>
    <w:rsid w:val="00CD0E39"/>
    <w:rsid w:val="00CD0F2E"/>
    <w:rsid w:val="00CD0F56"/>
    <w:rsid w:val="00CD12DF"/>
    <w:rsid w:val="00CD1373"/>
    <w:rsid w:val="00CD1888"/>
    <w:rsid w:val="00CD1E68"/>
    <w:rsid w:val="00CD1F9B"/>
    <w:rsid w:val="00CD238F"/>
    <w:rsid w:val="00CD23D8"/>
    <w:rsid w:val="00CD251E"/>
    <w:rsid w:val="00CD2A0C"/>
    <w:rsid w:val="00CD2E8B"/>
    <w:rsid w:val="00CD3634"/>
    <w:rsid w:val="00CD37C8"/>
    <w:rsid w:val="00CD3F33"/>
    <w:rsid w:val="00CD3F77"/>
    <w:rsid w:val="00CD42CB"/>
    <w:rsid w:val="00CD42D3"/>
    <w:rsid w:val="00CD475D"/>
    <w:rsid w:val="00CD480F"/>
    <w:rsid w:val="00CD4FC6"/>
    <w:rsid w:val="00CD51FB"/>
    <w:rsid w:val="00CD52E2"/>
    <w:rsid w:val="00CD560C"/>
    <w:rsid w:val="00CD564F"/>
    <w:rsid w:val="00CD6831"/>
    <w:rsid w:val="00CD6997"/>
    <w:rsid w:val="00CD69BB"/>
    <w:rsid w:val="00CD6ADC"/>
    <w:rsid w:val="00CD6B28"/>
    <w:rsid w:val="00CD7193"/>
    <w:rsid w:val="00CD73E0"/>
    <w:rsid w:val="00CD77C5"/>
    <w:rsid w:val="00CD7A5D"/>
    <w:rsid w:val="00CD7E46"/>
    <w:rsid w:val="00CE082F"/>
    <w:rsid w:val="00CE08FE"/>
    <w:rsid w:val="00CE0939"/>
    <w:rsid w:val="00CE09B5"/>
    <w:rsid w:val="00CE0A43"/>
    <w:rsid w:val="00CE151F"/>
    <w:rsid w:val="00CE17C4"/>
    <w:rsid w:val="00CE19D9"/>
    <w:rsid w:val="00CE1D77"/>
    <w:rsid w:val="00CE2467"/>
    <w:rsid w:val="00CE27B4"/>
    <w:rsid w:val="00CE2B5F"/>
    <w:rsid w:val="00CE2C1E"/>
    <w:rsid w:val="00CE2F5C"/>
    <w:rsid w:val="00CE2F95"/>
    <w:rsid w:val="00CE3214"/>
    <w:rsid w:val="00CE3276"/>
    <w:rsid w:val="00CE3606"/>
    <w:rsid w:val="00CE38C8"/>
    <w:rsid w:val="00CE3D37"/>
    <w:rsid w:val="00CE3FFC"/>
    <w:rsid w:val="00CE40AA"/>
    <w:rsid w:val="00CE4322"/>
    <w:rsid w:val="00CE44C7"/>
    <w:rsid w:val="00CE4854"/>
    <w:rsid w:val="00CE48ED"/>
    <w:rsid w:val="00CE4AB4"/>
    <w:rsid w:val="00CE4C09"/>
    <w:rsid w:val="00CE4C42"/>
    <w:rsid w:val="00CE4FEA"/>
    <w:rsid w:val="00CE51C0"/>
    <w:rsid w:val="00CE524F"/>
    <w:rsid w:val="00CE54AF"/>
    <w:rsid w:val="00CE58CC"/>
    <w:rsid w:val="00CE5A6B"/>
    <w:rsid w:val="00CE5C4B"/>
    <w:rsid w:val="00CE5E18"/>
    <w:rsid w:val="00CE5E3E"/>
    <w:rsid w:val="00CE5FA7"/>
    <w:rsid w:val="00CE5FCE"/>
    <w:rsid w:val="00CE6274"/>
    <w:rsid w:val="00CE643C"/>
    <w:rsid w:val="00CE660B"/>
    <w:rsid w:val="00CE66A5"/>
    <w:rsid w:val="00CE6EA7"/>
    <w:rsid w:val="00CE7105"/>
    <w:rsid w:val="00CE7446"/>
    <w:rsid w:val="00CE773C"/>
    <w:rsid w:val="00CE77B6"/>
    <w:rsid w:val="00CE7824"/>
    <w:rsid w:val="00CE78C8"/>
    <w:rsid w:val="00CE7B54"/>
    <w:rsid w:val="00CF009A"/>
    <w:rsid w:val="00CF05DC"/>
    <w:rsid w:val="00CF06CB"/>
    <w:rsid w:val="00CF0AF2"/>
    <w:rsid w:val="00CF0BAF"/>
    <w:rsid w:val="00CF0F8C"/>
    <w:rsid w:val="00CF1170"/>
    <w:rsid w:val="00CF16A1"/>
    <w:rsid w:val="00CF1785"/>
    <w:rsid w:val="00CF1BB8"/>
    <w:rsid w:val="00CF1C18"/>
    <w:rsid w:val="00CF2311"/>
    <w:rsid w:val="00CF2A14"/>
    <w:rsid w:val="00CF2AB5"/>
    <w:rsid w:val="00CF2B6A"/>
    <w:rsid w:val="00CF2B8D"/>
    <w:rsid w:val="00CF2F42"/>
    <w:rsid w:val="00CF2F69"/>
    <w:rsid w:val="00CF2FEB"/>
    <w:rsid w:val="00CF3290"/>
    <w:rsid w:val="00CF39F0"/>
    <w:rsid w:val="00CF3A1B"/>
    <w:rsid w:val="00CF3CE7"/>
    <w:rsid w:val="00CF456B"/>
    <w:rsid w:val="00CF47E5"/>
    <w:rsid w:val="00CF575B"/>
    <w:rsid w:val="00CF59F4"/>
    <w:rsid w:val="00CF5A22"/>
    <w:rsid w:val="00CF5CF0"/>
    <w:rsid w:val="00CF61D1"/>
    <w:rsid w:val="00CF64A2"/>
    <w:rsid w:val="00CF67FA"/>
    <w:rsid w:val="00CF6D0E"/>
    <w:rsid w:val="00CF6DEA"/>
    <w:rsid w:val="00CF6E13"/>
    <w:rsid w:val="00CF71AD"/>
    <w:rsid w:val="00CF71F6"/>
    <w:rsid w:val="00CF72BB"/>
    <w:rsid w:val="00CF7D9A"/>
    <w:rsid w:val="00D001D2"/>
    <w:rsid w:val="00D0081F"/>
    <w:rsid w:val="00D00A4B"/>
    <w:rsid w:val="00D00D65"/>
    <w:rsid w:val="00D0124E"/>
    <w:rsid w:val="00D0130E"/>
    <w:rsid w:val="00D01E6D"/>
    <w:rsid w:val="00D01E74"/>
    <w:rsid w:val="00D0262E"/>
    <w:rsid w:val="00D02BAA"/>
    <w:rsid w:val="00D02E17"/>
    <w:rsid w:val="00D02FA2"/>
    <w:rsid w:val="00D0361C"/>
    <w:rsid w:val="00D03621"/>
    <w:rsid w:val="00D03679"/>
    <w:rsid w:val="00D037F8"/>
    <w:rsid w:val="00D038D0"/>
    <w:rsid w:val="00D04164"/>
    <w:rsid w:val="00D04B8F"/>
    <w:rsid w:val="00D051DE"/>
    <w:rsid w:val="00D05603"/>
    <w:rsid w:val="00D058B5"/>
    <w:rsid w:val="00D058B7"/>
    <w:rsid w:val="00D05DC0"/>
    <w:rsid w:val="00D05E3D"/>
    <w:rsid w:val="00D06139"/>
    <w:rsid w:val="00D063DE"/>
    <w:rsid w:val="00D06854"/>
    <w:rsid w:val="00D068ED"/>
    <w:rsid w:val="00D06A0E"/>
    <w:rsid w:val="00D06C74"/>
    <w:rsid w:val="00D06F43"/>
    <w:rsid w:val="00D070A9"/>
    <w:rsid w:val="00D072DE"/>
    <w:rsid w:val="00D07B2F"/>
    <w:rsid w:val="00D07B34"/>
    <w:rsid w:val="00D07C7F"/>
    <w:rsid w:val="00D100CD"/>
    <w:rsid w:val="00D101DD"/>
    <w:rsid w:val="00D10292"/>
    <w:rsid w:val="00D1041B"/>
    <w:rsid w:val="00D10524"/>
    <w:rsid w:val="00D10866"/>
    <w:rsid w:val="00D108EA"/>
    <w:rsid w:val="00D10C0F"/>
    <w:rsid w:val="00D10D91"/>
    <w:rsid w:val="00D10F23"/>
    <w:rsid w:val="00D10F3D"/>
    <w:rsid w:val="00D110BD"/>
    <w:rsid w:val="00D1156B"/>
    <w:rsid w:val="00D11AA7"/>
    <w:rsid w:val="00D128FE"/>
    <w:rsid w:val="00D129B5"/>
    <w:rsid w:val="00D12AC7"/>
    <w:rsid w:val="00D1300E"/>
    <w:rsid w:val="00D1319D"/>
    <w:rsid w:val="00D13298"/>
    <w:rsid w:val="00D133C8"/>
    <w:rsid w:val="00D134D4"/>
    <w:rsid w:val="00D13620"/>
    <w:rsid w:val="00D13675"/>
    <w:rsid w:val="00D141E1"/>
    <w:rsid w:val="00D143E1"/>
    <w:rsid w:val="00D14B72"/>
    <w:rsid w:val="00D15134"/>
    <w:rsid w:val="00D15314"/>
    <w:rsid w:val="00D15479"/>
    <w:rsid w:val="00D1566A"/>
    <w:rsid w:val="00D15869"/>
    <w:rsid w:val="00D158E3"/>
    <w:rsid w:val="00D15B48"/>
    <w:rsid w:val="00D15F65"/>
    <w:rsid w:val="00D1607B"/>
    <w:rsid w:val="00D169EB"/>
    <w:rsid w:val="00D16AB0"/>
    <w:rsid w:val="00D16B8D"/>
    <w:rsid w:val="00D17181"/>
    <w:rsid w:val="00D1753C"/>
    <w:rsid w:val="00D17546"/>
    <w:rsid w:val="00D178B2"/>
    <w:rsid w:val="00D17B2B"/>
    <w:rsid w:val="00D17D6C"/>
    <w:rsid w:val="00D17E6A"/>
    <w:rsid w:val="00D200FB"/>
    <w:rsid w:val="00D20655"/>
    <w:rsid w:val="00D207E3"/>
    <w:rsid w:val="00D20A56"/>
    <w:rsid w:val="00D21491"/>
    <w:rsid w:val="00D2155B"/>
    <w:rsid w:val="00D220BE"/>
    <w:rsid w:val="00D226E4"/>
    <w:rsid w:val="00D22BD5"/>
    <w:rsid w:val="00D22BDE"/>
    <w:rsid w:val="00D22D17"/>
    <w:rsid w:val="00D23269"/>
    <w:rsid w:val="00D2329D"/>
    <w:rsid w:val="00D23680"/>
    <w:rsid w:val="00D238DA"/>
    <w:rsid w:val="00D23B73"/>
    <w:rsid w:val="00D23D11"/>
    <w:rsid w:val="00D24053"/>
    <w:rsid w:val="00D24088"/>
    <w:rsid w:val="00D240C8"/>
    <w:rsid w:val="00D24145"/>
    <w:rsid w:val="00D2423F"/>
    <w:rsid w:val="00D244B6"/>
    <w:rsid w:val="00D244E2"/>
    <w:rsid w:val="00D24588"/>
    <w:rsid w:val="00D246C9"/>
    <w:rsid w:val="00D24740"/>
    <w:rsid w:val="00D252EE"/>
    <w:rsid w:val="00D253E0"/>
    <w:rsid w:val="00D25BFC"/>
    <w:rsid w:val="00D25C50"/>
    <w:rsid w:val="00D26079"/>
    <w:rsid w:val="00D26153"/>
    <w:rsid w:val="00D2620D"/>
    <w:rsid w:val="00D26427"/>
    <w:rsid w:val="00D269A1"/>
    <w:rsid w:val="00D271E5"/>
    <w:rsid w:val="00D2750F"/>
    <w:rsid w:val="00D2754D"/>
    <w:rsid w:val="00D27565"/>
    <w:rsid w:val="00D27B27"/>
    <w:rsid w:val="00D27B43"/>
    <w:rsid w:val="00D27C3D"/>
    <w:rsid w:val="00D27E90"/>
    <w:rsid w:val="00D30570"/>
    <w:rsid w:val="00D30B0B"/>
    <w:rsid w:val="00D30D5B"/>
    <w:rsid w:val="00D30EFB"/>
    <w:rsid w:val="00D311EC"/>
    <w:rsid w:val="00D312C3"/>
    <w:rsid w:val="00D317FE"/>
    <w:rsid w:val="00D31830"/>
    <w:rsid w:val="00D319AC"/>
    <w:rsid w:val="00D31B6E"/>
    <w:rsid w:val="00D31C20"/>
    <w:rsid w:val="00D31F8F"/>
    <w:rsid w:val="00D3204D"/>
    <w:rsid w:val="00D326AF"/>
    <w:rsid w:val="00D3278B"/>
    <w:rsid w:val="00D32844"/>
    <w:rsid w:val="00D329A9"/>
    <w:rsid w:val="00D33338"/>
    <w:rsid w:val="00D3377D"/>
    <w:rsid w:val="00D33792"/>
    <w:rsid w:val="00D33865"/>
    <w:rsid w:val="00D33BE9"/>
    <w:rsid w:val="00D33D81"/>
    <w:rsid w:val="00D33F93"/>
    <w:rsid w:val="00D342B1"/>
    <w:rsid w:val="00D3487C"/>
    <w:rsid w:val="00D349A0"/>
    <w:rsid w:val="00D349CC"/>
    <w:rsid w:val="00D34D97"/>
    <w:rsid w:val="00D35240"/>
    <w:rsid w:val="00D356BA"/>
    <w:rsid w:val="00D357FF"/>
    <w:rsid w:val="00D3580D"/>
    <w:rsid w:val="00D35BDF"/>
    <w:rsid w:val="00D35D6A"/>
    <w:rsid w:val="00D35E82"/>
    <w:rsid w:val="00D3610C"/>
    <w:rsid w:val="00D36440"/>
    <w:rsid w:val="00D3653B"/>
    <w:rsid w:val="00D369AB"/>
    <w:rsid w:val="00D3709E"/>
    <w:rsid w:val="00D37156"/>
    <w:rsid w:val="00D374F7"/>
    <w:rsid w:val="00D37758"/>
    <w:rsid w:val="00D37851"/>
    <w:rsid w:val="00D37C78"/>
    <w:rsid w:val="00D400E3"/>
    <w:rsid w:val="00D400FF"/>
    <w:rsid w:val="00D40850"/>
    <w:rsid w:val="00D40BAA"/>
    <w:rsid w:val="00D40C26"/>
    <w:rsid w:val="00D4112D"/>
    <w:rsid w:val="00D41187"/>
    <w:rsid w:val="00D414B8"/>
    <w:rsid w:val="00D4151D"/>
    <w:rsid w:val="00D41D20"/>
    <w:rsid w:val="00D424C7"/>
    <w:rsid w:val="00D4265F"/>
    <w:rsid w:val="00D42A6E"/>
    <w:rsid w:val="00D42C80"/>
    <w:rsid w:val="00D42DD2"/>
    <w:rsid w:val="00D433AA"/>
    <w:rsid w:val="00D43937"/>
    <w:rsid w:val="00D439FA"/>
    <w:rsid w:val="00D43B2A"/>
    <w:rsid w:val="00D43BB3"/>
    <w:rsid w:val="00D43C88"/>
    <w:rsid w:val="00D43C98"/>
    <w:rsid w:val="00D43CF1"/>
    <w:rsid w:val="00D43D83"/>
    <w:rsid w:val="00D43E8A"/>
    <w:rsid w:val="00D44012"/>
    <w:rsid w:val="00D440F1"/>
    <w:rsid w:val="00D442F0"/>
    <w:rsid w:val="00D451BE"/>
    <w:rsid w:val="00D456BC"/>
    <w:rsid w:val="00D45B28"/>
    <w:rsid w:val="00D46197"/>
    <w:rsid w:val="00D461E3"/>
    <w:rsid w:val="00D4631D"/>
    <w:rsid w:val="00D46508"/>
    <w:rsid w:val="00D4657A"/>
    <w:rsid w:val="00D468AC"/>
    <w:rsid w:val="00D46F12"/>
    <w:rsid w:val="00D4700D"/>
    <w:rsid w:val="00D47575"/>
    <w:rsid w:val="00D47580"/>
    <w:rsid w:val="00D475B4"/>
    <w:rsid w:val="00D501B2"/>
    <w:rsid w:val="00D5063E"/>
    <w:rsid w:val="00D50B6F"/>
    <w:rsid w:val="00D50E19"/>
    <w:rsid w:val="00D51022"/>
    <w:rsid w:val="00D5143F"/>
    <w:rsid w:val="00D51BFB"/>
    <w:rsid w:val="00D5211F"/>
    <w:rsid w:val="00D5243B"/>
    <w:rsid w:val="00D52922"/>
    <w:rsid w:val="00D52AC0"/>
    <w:rsid w:val="00D52AE3"/>
    <w:rsid w:val="00D52AF6"/>
    <w:rsid w:val="00D52E20"/>
    <w:rsid w:val="00D5335F"/>
    <w:rsid w:val="00D533EC"/>
    <w:rsid w:val="00D5364F"/>
    <w:rsid w:val="00D5380D"/>
    <w:rsid w:val="00D5407D"/>
    <w:rsid w:val="00D54498"/>
    <w:rsid w:val="00D54575"/>
    <w:rsid w:val="00D54885"/>
    <w:rsid w:val="00D5493C"/>
    <w:rsid w:val="00D54D42"/>
    <w:rsid w:val="00D54E36"/>
    <w:rsid w:val="00D55216"/>
    <w:rsid w:val="00D55F24"/>
    <w:rsid w:val="00D5609C"/>
    <w:rsid w:val="00D56162"/>
    <w:rsid w:val="00D561E4"/>
    <w:rsid w:val="00D562D9"/>
    <w:rsid w:val="00D563E7"/>
    <w:rsid w:val="00D568D7"/>
    <w:rsid w:val="00D56A95"/>
    <w:rsid w:val="00D56D15"/>
    <w:rsid w:val="00D56D9F"/>
    <w:rsid w:val="00D57588"/>
    <w:rsid w:val="00D57BAE"/>
    <w:rsid w:val="00D57CBE"/>
    <w:rsid w:val="00D60586"/>
    <w:rsid w:val="00D6076E"/>
    <w:rsid w:val="00D60891"/>
    <w:rsid w:val="00D6097B"/>
    <w:rsid w:val="00D60F1C"/>
    <w:rsid w:val="00D616CB"/>
    <w:rsid w:val="00D61C63"/>
    <w:rsid w:val="00D623A5"/>
    <w:rsid w:val="00D624E3"/>
    <w:rsid w:val="00D62523"/>
    <w:rsid w:val="00D6279B"/>
    <w:rsid w:val="00D62AE1"/>
    <w:rsid w:val="00D62BCA"/>
    <w:rsid w:val="00D62FB3"/>
    <w:rsid w:val="00D62FB7"/>
    <w:rsid w:val="00D6300B"/>
    <w:rsid w:val="00D631EA"/>
    <w:rsid w:val="00D63223"/>
    <w:rsid w:val="00D63279"/>
    <w:rsid w:val="00D63872"/>
    <w:rsid w:val="00D63D47"/>
    <w:rsid w:val="00D6401B"/>
    <w:rsid w:val="00D64451"/>
    <w:rsid w:val="00D64ED9"/>
    <w:rsid w:val="00D64F90"/>
    <w:rsid w:val="00D650FB"/>
    <w:rsid w:val="00D651B8"/>
    <w:rsid w:val="00D660AD"/>
    <w:rsid w:val="00D6631D"/>
    <w:rsid w:val="00D665FA"/>
    <w:rsid w:val="00D6666E"/>
    <w:rsid w:val="00D66ED6"/>
    <w:rsid w:val="00D67047"/>
    <w:rsid w:val="00D671A6"/>
    <w:rsid w:val="00D674FD"/>
    <w:rsid w:val="00D70072"/>
    <w:rsid w:val="00D701B1"/>
    <w:rsid w:val="00D7069C"/>
    <w:rsid w:val="00D70741"/>
    <w:rsid w:val="00D7076C"/>
    <w:rsid w:val="00D7093F"/>
    <w:rsid w:val="00D70E86"/>
    <w:rsid w:val="00D70F16"/>
    <w:rsid w:val="00D710D2"/>
    <w:rsid w:val="00D7186E"/>
    <w:rsid w:val="00D71E5A"/>
    <w:rsid w:val="00D72055"/>
    <w:rsid w:val="00D7217C"/>
    <w:rsid w:val="00D722CB"/>
    <w:rsid w:val="00D724CF"/>
    <w:rsid w:val="00D7251D"/>
    <w:rsid w:val="00D72617"/>
    <w:rsid w:val="00D72AEC"/>
    <w:rsid w:val="00D72B56"/>
    <w:rsid w:val="00D72CBD"/>
    <w:rsid w:val="00D72F57"/>
    <w:rsid w:val="00D72FA1"/>
    <w:rsid w:val="00D72FA8"/>
    <w:rsid w:val="00D72FCC"/>
    <w:rsid w:val="00D7327D"/>
    <w:rsid w:val="00D735D4"/>
    <w:rsid w:val="00D74012"/>
    <w:rsid w:val="00D741FF"/>
    <w:rsid w:val="00D7454F"/>
    <w:rsid w:val="00D74643"/>
    <w:rsid w:val="00D74895"/>
    <w:rsid w:val="00D749F7"/>
    <w:rsid w:val="00D7548E"/>
    <w:rsid w:val="00D7576A"/>
    <w:rsid w:val="00D757C2"/>
    <w:rsid w:val="00D75F8F"/>
    <w:rsid w:val="00D760BD"/>
    <w:rsid w:val="00D76211"/>
    <w:rsid w:val="00D76854"/>
    <w:rsid w:val="00D76A44"/>
    <w:rsid w:val="00D76FEE"/>
    <w:rsid w:val="00D77172"/>
    <w:rsid w:val="00D77309"/>
    <w:rsid w:val="00D779FE"/>
    <w:rsid w:val="00D801EE"/>
    <w:rsid w:val="00D804AF"/>
    <w:rsid w:val="00D80E93"/>
    <w:rsid w:val="00D80E94"/>
    <w:rsid w:val="00D81076"/>
    <w:rsid w:val="00D811EE"/>
    <w:rsid w:val="00D812D6"/>
    <w:rsid w:val="00D81374"/>
    <w:rsid w:val="00D815EF"/>
    <w:rsid w:val="00D818F2"/>
    <w:rsid w:val="00D81949"/>
    <w:rsid w:val="00D81EEC"/>
    <w:rsid w:val="00D81F26"/>
    <w:rsid w:val="00D81F5E"/>
    <w:rsid w:val="00D81FAC"/>
    <w:rsid w:val="00D82115"/>
    <w:rsid w:val="00D821B4"/>
    <w:rsid w:val="00D822E2"/>
    <w:rsid w:val="00D82410"/>
    <w:rsid w:val="00D826A9"/>
    <w:rsid w:val="00D82926"/>
    <w:rsid w:val="00D82AD2"/>
    <w:rsid w:val="00D82BCB"/>
    <w:rsid w:val="00D836A2"/>
    <w:rsid w:val="00D83F29"/>
    <w:rsid w:val="00D84116"/>
    <w:rsid w:val="00D842AB"/>
    <w:rsid w:val="00D843C2"/>
    <w:rsid w:val="00D843F2"/>
    <w:rsid w:val="00D84411"/>
    <w:rsid w:val="00D849AF"/>
    <w:rsid w:val="00D849C1"/>
    <w:rsid w:val="00D84DBC"/>
    <w:rsid w:val="00D85312"/>
    <w:rsid w:val="00D85475"/>
    <w:rsid w:val="00D85D25"/>
    <w:rsid w:val="00D85FC9"/>
    <w:rsid w:val="00D86231"/>
    <w:rsid w:val="00D8630E"/>
    <w:rsid w:val="00D863DB"/>
    <w:rsid w:val="00D8643F"/>
    <w:rsid w:val="00D86568"/>
    <w:rsid w:val="00D86613"/>
    <w:rsid w:val="00D866A4"/>
    <w:rsid w:val="00D86934"/>
    <w:rsid w:val="00D86CB9"/>
    <w:rsid w:val="00D86D6E"/>
    <w:rsid w:val="00D86E1F"/>
    <w:rsid w:val="00D87188"/>
    <w:rsid w:val="00D87372"/>
    <w:rsid w:val="00D8778B"/>
    <w:rsid w:val="00D878B4"/>
    <w:rsid w:val="00D87CA6"/>
    <w:rsid w:val="00D903D1"/>
    <w:rsid w:val="00D907BC"/>
    <w:rsid w:val="00D907EB"/>
    <w:rsid w:val="00D90817"/>
    <w:rsid w:val="00D90DA1"/>
    <w:rsid w:val="00D912AB"/>
    <w:rsid w:val="00D91662"/>
    <w:rsid w:val="00D918C2"/>
    <w:rsid w:val="00D91923"/>
    <w:rsid w:val="00D91C48"/>
    <w:rsid w:val="00D920A9"/>
    <w:rsid w:val="00D920D1"/>
    <w:rsid w:val="00D9261B"/>
    <w:rsid w:val="00D928F4"/>
    <w:rsid w:val="00D9291A"/>
    <w:rsid w:val="00D92D9D"/>
    <w:rsid w:val="00D92F50"/>
    <w:rsid w:val="00D93000"/>
    <w:rsid w:val="00D933AC"/>
    <w:rsid w:val="00D93753"/>
    <w:rsid w:val="00D9387A"/>
    <w:rsid w:val="00D93B80"/>
    <w:rsid w:val="00D93CED"/>
    <w:rsid w:val="00D9423C"/>
    <w:rsid w:val="00D948F0"/>
    <w:rsid w:val="00D952B6"/>
    <w:rsid w:val="00D95656"/>
    <w:rsid w:val="00D9576C"/>
    <w:rsid w:val="00D95A7F"/>
    <w:rsid w:val="00D95D0A"/>
    <w:rsid w:val="00D96543"/>
    <w:rsid w:val="00D96665"/>
    <w:rsid w:val="00D966CE"/>
    <w:rsid w:val="00D968A9"/>
    <w:rsid w:val="00D96ABF"/>
    <w:rsid w:val="00D97957"/>
    <w:rsid w:val="00D97B47"/>
    <w:rsid w:val="00D97DB4"/>
    <w:rsid w:val="00D97DD4"/>
    <w:rsid w:val="00DA070B"/>
    <w:rsid w:val="00DA0849"/>
    <w:rsid w:val="00DA0DB8"/>
    <w:rsid w:val="00DA0E01"/>
    <w:rsid w:val="00DA0ECA"/>
    <w:rsid w:val="00DA12C1"/>
    <w:rsid w:val="00DA164F"/>
    <w:rsid w:val="00DA18D7"/>
    <w:rsid w:val="00DA1D34"/>
    <w:rsid w:val="00DA21D2"/>
    <w:rsid w:val="00DA243C"/>
    <w:rsid w:val="00DA25A8"/>
    <w:rsid w:val="00DA27DB"/>
    <w:rsid w:val="00DA2B66"/>
    <w:rsid w:val="00DA2E9E"/>
    <w:rsid w:val="00DA3167"/>
    <w:rsid w:val="00DA342E"/>
    <w:rsid w:val="00DA349C"/>
    <w:rsid w:val="00DA383E"/>
    <w:rsid w:val="00DA3C45"/>
    <w:rsid w:val="00DA3C72"/>
    <w:rsid w:val="00DA4020"/>
    <w:rsid w:val="00DA41F2"/>
    <w:rsid w:val="00DA439F"/>
    <w:rsid w:val="00DA4555"/>
    <w:rsid w:val="00DA4596"/>
    <w:rsid w:val="00DA4733"/>
    <w:rsid w:val="00DA4B00"/>
    <w:rsid w:val="00DA4C7C"/>
    <w:rsid w:val="00DA4DC3"/>
    <w:rsid w:val="00DA4F87"/>
    <w:rsid w:val="00DA4FB5"/>
    <w:rsid w:val="00DA510C"/>
    <w:rsid w:val="00DA51C9"/>
    <w:rsid w:val="00DA5CE8"/>
    <w:rsid w:val="00DA60C3"/>
    <w:rsid w:val="00DA61BE"/>
    <w:rsid w:val="00DA656F"/>
    <w:rsid w:val="00DA66BA"/>
    <w:rsid w:val="00DA67E2"/>
    <w:rsid w:val="00DA6B78"/>
    <w:rsid w:val="00DA6BE5"/>
    <w:rsid w:val="00DA6D85"/>
    <w:rsid w:val="00DA6E89"/>
    <w:rsid w:val="00DA71C8"/>
    <w:rsid w:val="00DA72D6"/>
    <w:rsid w:val="00DA77A5"/>
    <w:rsid w:val="00DA7F3C"/>
    <w:rsid w:val="00DB09F0"/>
    <w:rsid w:val="00DB0E36"/>
    <w:rsid w:val="00DB0E6E"/>
    <w:rsid w:val="00DB1AC6"/>
    <w:rsid w:val="00DB1CD8"/>
    <w:rsid w:val="00DB2008"/>
    <w:rsid w:val="00DB20A8"/>
    <w:rsid w:val="00DB229C"/>
    <w:rsid w:val="00DB2723"/>
    <w:rsid w:val="00DB2A06"/>
    <w:rsid w:val="00DB2E61"/>
    <w:rsid w:val="00DB32E7"/>
    <w:rsid w:val="00DB3389"/>
    <w:rsid w:val="00DB37D9"/>
    <w:rsid w:val="00DB381E"/>
    <w:rsid w:val="00DB3DBF"/>
    <w:rsid w:val="00DB4062"/>
    <w:rsid w:val="00DB4453"/>
    <w:rsid w:val="00DB45E8"/>
    <w:rsid w:val="00DB484F"/>
    <w:rsid w:val="00DB4BB1"/>
    <w:rsid w:val="00DB4CAA"/>
    <w:rsid w:val="00DB516A"/>
    <w:rsid w:val="00DB522A"/>
    <w:rsid w:val="00DB54D2"/>
    <w:rsid w:val="00DB56C8"/>
    <w:rsid w:val="00DB5A47"/>
    <w:rsid w:val="00DB5B90"/>
    <w:rsid w:val="00DB611F"/>
    <w:rsid w:val="00DB64F2"/>
    <w:rsid w:val="00DB6AF1"/>
    <w:rsid w:val="00DB7087"/>
    <w:rsid w:val="00DB73D1"/>
    <w:rsid w:val="00DB74BA"/>
    <w:rsid w:val="00DB75C3"/>
    <w:rsid w:val="00DB77F4"/>
    <w:rsid w:val="00DB79E3"/>
    <w:rsid w:val="00DB7B07"/>
    <w:rsid w:val="00DB7B9E"/>
    <w:rsid w:val="00DB7F35"/>
    <w:rsid w:val="00DB7F41"/>
    <w:rsid w:val="00DC0434"/>
    <w:rsid w:val="00DC04F6"/>
    <w:rsid w:val="00DC0666"/>
    <w:rsid w:val="00DC0690"/>
    <w:rsid w:val="00DC07A6"/>
    <w:rsid w:val="00DC0A31"/>
    <w:rsid w:val="00DC0ACE"/>
    <w:rsid w:val="00DC0F46"/>
    <w:rsid w:val="00DC0FC7"/>
    <w:rsid w:val="00DC10E8"/>
    <w:rsid w:val="00DC13E1"/>
    <w:rsid w:val="00DC1A96"/>
    <w:rsid w:val="00DC1D65"/>
    <w:rsid w:val="00DC270C"/>
    <w:rsid w:val="00DC29B2"/>
    <w:rsid w:val="00DC2B3E"/>
    <w:rsid w:val="00DC2E72"/>
    <w:rsid w:val="00DC3286"/>
    <w:rsid w:val="00DC33E4"/>
    <w:rsid w:val="00DC341E"/>
    <w:rsid w:val="00DC3543"/>
    <w:rsid w:val="00DC3574"/>
    <w:rsid w:val="00DC3637"/>
    <w:rsid w:val="00DC3C57"/>
    <w:rsid w:val="00DC41BF"/>
    <w:rsid w:val="00DC453F"/>
    <w:rsid w:val="00DC45BE"/>
    <w:rsid w:val="00DC4D59"/>
    <w:rsid w:val="00DC5100"/>
    <w:rsid w:val="00DC5501"/>
    <w:rsid w:val="00DC559D"/>
    <w:rsid w:val="00DC5B16"/>
    <w:rsid w:val="00DC5D5E"/>
    <w:rsid w:val="00DC5DE4"/>
    <w:rsid w:val="00DC5EDC"/>
    <w:rsid w:val="00DC5EE4"/>
    <w:rsid w:val="00DC6436"/>
    <w:rsid w:val="00DC665C"/>
    <w:rsid w:val="00DC670A"/>
    <w:rsid w:val="00DC6747"/>
    <w:rsid w:val="00DC6EFD"/>
    <w:rsid w:val="00DC7154"/>
    <w:rsid w:val="00DC72F1"/>
    <w:rsid w:val="00DC7611"/>
    <w:rsid w:val="00DC7636"/>
    <w:rsid w:val="00DC7791"/>
    <w:rsid w:val="00DC7D48"/>
    <w:rsid w:val="00DC7E8A"/>
    <w:rsid w:val="00DD020E"/>
    <w:rsid w:val="00DD022D"/>
    <w:rsid w:val="00DD0417"/>
    <w:rsid w:val="00DD05AE"/>
    <w:rsid w:val="00DD065E"/>
    <w:rsid w:val="00DD0819"/>
    <w:rsid w:val="00DD0C12"/>
    <w:rsid w:val="00DD0CA9"/>
    <w:rsid w:val="00DD0F36"/>
    <w:rsid w:val="00DD0F78"/>
    <w:rsid w:val="00DD12F0"/>
    <w:rsid w:val="00DD13D1"/>
    <w:rsid w:val="00DD1B8B"/>
    <w:rsid w:val="00DD20D8"/>
    <w:rsid w:val="00DD21BB"/>
    <w:rsid w:val="00DD26A8"/>
    <w:rsid w:val="00DD273C"/>
    <w:rsid w:val="00DD2935"/>
    <w:rsid w:val="00DD313F"/>
    <w:rsid w:val="00DD3162"/>
    <w:rsid w:val="00DD3665"/>
    <w:rsid w:val="00DD3817"/>
    <w:rsid w:val="00DD39B6"/>
    <w:rsid w:val="00DD3EAD"/>
    <w:rsid w:val="00DD3F28"/>
    <w:rsid w:val="00DD4033"/>
    <w:rsid w:val="00DD40F4"/>
    <w:rsid w:val="00DD435B"/>
    <w:rsid w:val="00DD4446"/>
    <w:rsid w:val="00DD4496"/>
    <w:rsid w:val="00DD4537"/>
    <w:rsid w:val="00DD48C8"/>
    <w:rsid w:val="00DD498B"/>
    <w:rsid w:val="00DD4DB9"/>
    <w:rsid w:val="00DD4E15"/>
    <w:rsid w:val="00DD4F06"/>
    <w:rsid w:val="00DD50D7"/>
    <w:rsid w:val="00DD5960"/>
    <w:rsid w:val="00DD5E5D"/>
    <w:rsid w:val="00DD6176"/>
    <w:rsid w:val="00DD6409"/>
    <w:rsid w:val="00DD695A"/>
    <w:rsid w:val="00DD6D48"/>
    <w:rsid w:val="00DD6EAA"/>
    <w:rsid w:val="00DD6F93"/>
    <w:rsid w:val="00DD78F1"/>
    <w:rsid w:val="00DD7F13"/>
    <w:rsid w:val="00DE000F"/>
    <w:rsid w:val="00DE00ED"/>
    <w:rsid w:val="00DE02BE"/>
    <w:rsid w:val="00DE064D"/>
    <w:rsid w:val="00DE0A56"/>
    <w:rsid w:val="00DE0DC9"/>
    <w:rsid w:val="00DE12AD"/>
    <w:rsid w:val="00DE14DE"/>
    <w:rsid w:val="00DE1D6E"/>
    <w:rsid w:val="00DE22A9"/>
    <w:rsid w:val="00DE2304"/>
    <w:rsid w:val="00DE2467"/>
    <w:rsid w:val="00DE24ED"/>
    <w:rsid w:val="00DE268A"/>
    <w:rsid w:val="00DE27CF"/>
    <w:rsid w:val="00DE2921"/>
    <w:rsid w:val="00DE3138"/>
    <w:rsid w:val="00DE343F"/>
    <w:rsid w:val="00DE34D3"/>
    <w:rsid w:val="00DE37E3"/>
    <w:rsid w:val="00DE37F8"/>
    <w:rsid w:val="00DE3B45"/>
    <w:rsid w:val="00DE3BBA"/>
    <w:rsid w:val="00DE3D92"/>
    <w:rsid w:val="00DE3EDB"/>
    <w:rsid w:val="00DE4273"/>
    <w:rsid w:val="00DE478C"/>
    <w:rsid w:val="00DE4A85"/>
    <w:rsid w:val="00DE4ADF"/>
    <w:rsid w:val="00DE4C65"/>
    <w:rsid w:val="00DE4E44"/>
    <w:rsid w:val="00DE4ED9"/>
    <w:rsid w:val="00DE4FCB"/>
    <w:rsid w:val="00DE5518"/>
    <w:rsid w:val="00DE5695"/>
    <w:rsid w:val="00DE5D07"/>
    <w:rsid w:val="00DE641A"/>
    <w:rsid w:val="00DE664A"/>
    <w:rsid w:val="00DE6C02"/>
    <w:rsid w:val="00DE6CB1"/>
    <w:rsid w:val="00DE6EE5"/>
    <w:rsid w:val="00DE72A7"/>
    <w:rsid w:val="00DE7832"/>
    <w:rsid w:val="00DE7AB7"/>
    <w:rsid w:val="00DE7F5A"/>
    <w:rsid w:val="00DF060F"/>
    <w:rsid w:val="00DF08DE"/>
    <w:rsid w:val="00DF0A4B"/>
    <w:rsid w:val="00DF0AAA"/>
    <w:rsid w:val="00DF0CEF"/>
    <w:rsid w:val="00DF12AD"/>
    <w:rsid w:val="00DF1312"/>
    <w:rsid w:val="00DF18FC"/>
    <w:rsid w:val="00DF1A5F"/>
    <w:rsid w:val="00DF2394"/>
    <w:rsid w:val="00DF2487"/>
    <w:rsid w:val="00DF29F1"/>
    <w:rsid w:val="00DF3326"/>
    <w:rsid w:val="00DF333D"/>
    <w:rsid w:val="00DF338C"/>
    <w:rsid w:val="00DF3412"/>
    <w:rsid w:val="00DF34B6"/>
    <w:rsid w:val="00DF3936"/>
    <w:rsid w:val="00DF39BD"/>
    <w:rsid w:val="00DF3A09"/>
    <w:rsid w:val="00DF4644"/>
    <w:rsid w:val="00DF4B99"/>
    <w:rsid w:val="00DF4D35"/>
    <w:rsid w:val="00DF51E2"/>
    <w:rsid w:val="00DF5638"/>
    <w:rsid w:val="00DF564D"/>
    <w:rsid w:val="00DF5B4E"/>
    <w:rsid w:val="00DF5D2B"/>
    <w:rsid w:val="00DF60D6"/>
    <w:rsid w:val="00DF62B6"/>
    <w:rsid w:val="00DF6341"/>
    <w:rsid w:val="00DF65FC"/>
    <w:rsid w:val="00DF6DB5"/>
    <w:rsid w:val="00DF6F03"/>
    <w:rsid w:val="00DF710C"/>
    <w:rsid w:val="00DF72D3"/>
    <w:rsid w:val="00DF73F7"/>
    <w:rsid w:val="00DF7EEE"/>
    <w:rsid w:val="00E006F2"/>
    <w:rsid w:val="00E00876"/>
    <w:rsid w:val="00E00DAB"/>
    <w:rsid w:val="00E00E8E"/>
    <w:rsid w:val="00E0138E"/>
    <w:rsid w:val="00E01A2D"/>
    <w:rsid w:val="00E01B16"/>
    <w:rsid w:val="00E02167"/>
    <w:rsid w:val="00E022E7"/>
    <w:rsid w:val="00E0280D"/>
    <w:rsid w:val="00E02B6E"/>
    <w:rsid w:val="00E02CE3"/>
    <w:rsid w:val="00E030E7"/>
    <w:rsid w:val="00E0361A"/>
    <w:rsid w:val="00E03D11"/>
    <w:rsid w:val="00E03D22"/>
    <w:rsid w:val="00E0460C"/>
    <w:rsid w:val="00E04851"/>
    <w:rsid w:val="00E051B9"/>
    <w:rsid w:val="00E05284"/>
    <w:rsid w:val="00E0535F"/>
    <w:rsid w:val="00E053CE"/>
    <w:rsid w:val="00E05481"/>
    <w:rsid w:val="00E054B4"/>
    <w:rsid w:val="00E05630"/>
    <w:rsid w:val="00E058FF"/>
    <w:rsid w:val="00E0610F"/>
    <w:rsid w:val="00E06399"/>
    <w:rsid w:val="00E06483"/>
    <w:rsid w:val="00E06576"/>
    <w:rsid w:val="00E06A9A"/>
    <w:rsid w:val="00E06DBB"/>
    <w:rsid w:val="00E06DDA"/>
    <w:rsid w:val="00E06E36"/>
    <w:rsid w:val="00E07132"/>
    <w:rsid w:val="00E073D4"/>
    <w:rsid w:val="00E074E1"/>
    <w:rsid w:val="00E076C2"/>
    <w:rsid w:val="00E07C82"/>
    <w:rsid w:val="00E10149"/>
    <w:rsid w:val="00E10308"/>
    <w:rsid w:val="00E10399"/>
    <w:rsid w:val="00E10877"/>
    <w:rsid w:val="00E10F14"/>
    <w:rsid w:val="00E112CC"/>
    <w:rsid w:val="00E11340"/>
    <w:rsid w:val="00E11C24"/>
    <w:rsid w:val="00E11F57"/>
    <w:rsid w:val="00E122A1"/>
    <w:rsid w:val="00E12432"/>
    <w:rsid w:val="00E12472"/>
    <w:rsid w:val="00E12575"/>
    <w:rsid w:val="00E1272E"/>
    <w:rsid w:val="00E12B6C"/>
    <w:rsid w:val="00E12BF9"/>
    <w:rsid w:val="00E12DDD"/>
    <w:rsid w:val="00E12E79"/>
    <w:rsid w:val="00E136C4"/>
    <w:rsid w:val="00E14A12"/>
    <w:rsid w:val="00E14FD1"/>
    <w:rsid w:val="00E15038"/>
    <w:rsid w:val="00E151FD"/>
    <w:rsid w:val="00E156F5"/>
    <w:rsid w:val="00E15D95"/>
    <w:rsid w:val="00E15DA4"/>
    <w:rsid w:val="00E15E0D"/>
    <w:rsid w:val="00E16372"/>
    <w:rsid w:val="00E1642E"/>
    <w:rsid w:val="00E1656F"/>
    <w:rsid w:val="00E16846"/>
    <w:rsid w:val="00E1687A"/>
    <w:rsid w:val="00E16AD8"/>
    <w:rsid w:val="00E16DF4"/>
    <w:rsid w:val="00E17194"/>
    <w:rsid w:val="00E1789A"/>
    <w:rsid w:val="00E17FFA"/>
    <w:rsid w:val="00E20496"/>
    <w:rsid w:val="00E20569"/>
    <w:rsid w:val="00E20A35"/>
    <w:rsid w:val="00E20BB7"/>
    <w:rsid w:val="00E20E4D"/>
    <w:rsid w:val="00E20ED6"/>
    <w:rsid w:val="00E210B7"/>
    <w:rsid w:val="00E2122B"/>
    <w:rsid w:val="00E21358"/>
    <w:rsid w:val="00E21BFD"/>
    <w:rsid w:val="00E22398"/>
    <w:rsid w:val="00E2249B"/>
    <w:rsid w:val="00E2252D"/>
    <w:rsid w:val="00E2283A"/>
    <w:rsid w:val="00E22A0D"/>
    <w:rsid w:val="00E22D18"/>
    <w:rsid w:val="00E2325B"/>
    <w:rsid w:val="00E23EB4"/>
    <w:rsid w:val="00E240E5"/>
    <w:rsid w:val="00E243DB"/>
    <w:rsid w:val="00E244F6"/>
    <w:rsid w:val="00E246AE"/>
    <w:rsid w:val="00E24D46"/>
    <w:rsid w:val="00E24DD7"/>
    <w:rsid w:val="00E24F5D"/>
    <w:rsid w:val="00E250BE"/>
    <w:rsid w:val="00E254C8"/>
    <w:rsid w:val="00E254E6"/>
    <w:rsid w:val="00E257E7"/>
    <w:rsid w:val="00E258DB"/>
    <w:rsid w:val="00E263EF"/>
    <w:rsid w:val="00E26C13"/>
    <w:rsid w:val="00E26D03"/>
    <w:rsid w:val="00E26D9C"/>
    <w:rsid w:val="00E26D9F"/>
    <w:rsid w:val="00E272C6"/>
    <w:rsid w:val="00E2771E"/>
    <w:rsid w:val="00E27FDE"/>
    <w:rsid w:val="00E30012"/>
    <w:rsid w:val="00E3014C"/>
    <w:rsid w:val="00E3047F"/>
    <w:rsid w:val="00E30B57"/>
    <w:rsid w:val="00E30FA0"/>
    <w:rsid w:val="00E311EF"/>
    <w:rsid w:val="00E3143D"/>
    <w:rsid w:val="00E31777"/>
    <w:rsid w:val="00E31D7E"/>
    <w:rsid w:val="00E320F5"/>
    <w:rsid w:val="00E32177"/>
    <w:rsid w:val="00E32180"/>
    <w:rsid w:val="00E32191"/>
    <w:rsid w:val="00E32542"/>
    <w:rsid w:val="00E327C5"/>
    <w:rsid w:val="00E328FE"/>
    <w:rsid w:val="00E32A1B"/>
    <w:rsid w:val="00E32B5A"/>
    <w:rsid w:val="00E32EB9"/>
    <w:rsid w:val="00E3307C"/>
    <w:rsid w:val="00E33643"/>
    <w:rsid w:val="00E337CF"/>
    <w:rsid w:val="00E33A92"/>
    <w:rsid w:val="00E33B55"/>
    <w:rsid w:val="00E33B96"/>
    <w:rsid w:val="00E33E45"/>
    <w:rsid w:val="00E340B9"/>
    <w:rsid w:val="00E3419A"/>
    <w:rsid w:val="00E3442A"/>
    <w:rsid w:val="00E3451D"/>
    <w:rsid w:val="00E34581"/>
    <w:rsid w:val="00E345AD"/>
    <w:rsid w:val="00E34667"/>
    <w:rsid w:val="00E346FC"/>
    <w:rsid w:val="00E3493E"/>
    <w:rsid w:val="00E34948"/>
    <w:rsid w:val="00E34B60"/>
    <w:rsid w:val="00E356AF"/>
    <w:rsid w:val="00E358EB"/>
    <w:rsid w:val="00E35BE7"/>
    <w:rsid w:val="00E35D94"/>
    <w:rsid w:val="00E36068"/>
    <w:rsid w:val="00E360C6"/>
    <w:rsid w:val="00E36144"/>
    <w:rsid w:val="00E3629E"/>
    <w:rsid w:val="00E363C9"/>
    <w:rsid w:val="00E36456"/>
    <w:rsid w:val="00E36499"/>
    <w:rsid w:val="00E365FC"/>
    <w:rsid w:val="00E36ECD"/>
    <w:rsid w:val="00E37012"/>
    <w:rsid w:val="00E370AB"/>
    <w:rsid w:val="00E372F6"/>
    <w:rsid w:val="00E373FD"/>
    <w:rsid w:val="00E37569"/>
    <w:rsid w:val="00E37768"/>
    <w:rsid w:val="00E377C6"/>
    <w:rsid w:val="00E377E4"/>
    <w:rsid w:val="00E37D87"/>
    <w:rsid w:val="00E401B2"/>
    <w:rsid w:val="00E4055F"/>
    <w:rsid w:val="00E407C8"/>
    <w:rsid w:val="00E40836"/>
    <w:rsid w:val="00E40B39"/>
    <w:rsid w:val="00E40F50"/>
    <w:rsid w:val="00E415CF"/>
    <w:rsid w:val="00E41B32"/>
    <w:rsid w:val="00E41E30"/>
    <w:rsid w:val="00E4237B"/>
    <w:rsid w:val="00E42F73"/>
    <w:rsid w:val="00E43133"/>
    <w:rsid w:val="00E433B4"/>
    <w:rsid w:val="00E43661"/>
    <w:rsid w:val="00E43D6A"/>
    <w:rsid w:val="00E43D70"/>
    <w:rsid w:val="00E43E4F"/>
    <w:rsid w:val="00E43E7E"/>
    <w:rsid w:val="00E44BC0"/>
    <w:rsid w:val="00E44CA5"/>
    <w:rsid w:val="00E45412"/>
    <w:rsid w:val="00E45728"/>
    <w:rsid w:val="00E4585A"/>
    <w:rsid w:val="00E45B75"/>
    <w:rsid w:val="00E45DA5"/>
    <w:rsid w:val="00E462A9"/>
    <w:rsid w:val="00E463CF"/>
    <w:rsid w:val="00E46581"/>
    <w:rsid w:val="00E465C2"/>
    <w:rsid w:val="00E466F3"/>
    <w:rsid w:val="00E467D6"/>
    <w:rsid w:val="00E4690A"/>
    <w:rsid w:val="00E46B6D"/>
    <w:rsid w:val="00E47B2C"/>
    <w:rsid w:val="00E47F13"/>
    <w:rsid w:val="00E505F3"/>
    <w:rsid w:val="00E50C77"/>
    <w:rsid w:val="00E50DFE"/>
    <w:rsid w:val="00E5128E"/>
    <w:rsid w:val="00E5129A"/>
    <w:rsid w:val="00E514B2"/>
    <w:rsid w:val="00E51560"/>
    <w:rsid w:val="00E51807"/>
    <w:rsid w:val="00E51821"/>
    <w:rsid w:val="00E51CCF"/>
    <w:rsid w:val="00E51E98"/>
    <w:rsid w:val="00E520EC"/>
    <w:rsid w:val="00E528DB"/>
    <w:rsid w:val="00E52B87"/>
    <w:rsid w:val="00E53064"/>
    <w:rsid w:val="00E538DA"/>
    <w:rsid w:val="00E53B0D"/>
    <w:rsid w:val="00E53FC8"/>
    <w:rsid w:val="00E54347"/>
    <w:rsid w:val="00E54668"/>
    <w:rsid w:val="00E547B2"/>
    <w:rsid w:val="00E549EC"/>
    <w:rsid w:val="00E54A31"/>
    <w:rsid w:val="00E54CA4"/>
    <w:rsid w:val="00E551BE"/>
    <w:rsid w:val="00E552BF"/>
    <w:rsid w:val="00E5534A"/>
    <w:rsid w:val="00E55424"/>
    <w:rsid w:val="00E55547"/>
    <w:rsid w:val="00E555B7"/>
    <w:rsid w:val="00E55621"/>
    <w:rsid w:val="00E5563B"/>
    <w:rsid w:val="00E55915"/>
    <w:rsid w:val="00E55AD3"/>
    <w:rsid w:val="00E55BB5"/>
    <w:rsid w:val="00E55C65"/>
    <w:rsid w:val="00E55D0A"/>
    <w:rsid w:val="00E56050"/>
    <w:rsid w:val="00E560A1"/>
    <w:rsid w:val="00E56CA7"/>
    <w:rsid w:val="00E57012"/>
    <w:rsid w:val="00E57101"/>
    <w:rsid w:val="00E5795F"/>
    <w:rsid w:val="00E57B3B"/>
    <w:rsid w:val="00E57D82"/>
    <w:rsid w:val="00E57E35"/>
    <w:rsid w:val="00E57E95"/>
    <w:rsid w:val="00E6005D"/>
    <w:rsid w:val="00E607EC"/>
    <w:rsid w:val="00E608F0"/>
    <w:rsid w:val="00E609ED"/>
    <w:rsid w:val="00E60B89"/>
    <w:rsid w:val="00E60BF6"/>
    <w:rsid w:val="00E60CAB"/>
    <w:rsid w:val="00E611DF"/>
    <w:rsid w:val="00E614C1"/>
    <w:rsid w:val="00E615D3"/>
    <w:rsid w:val="00E6195F"/>
    <w:rsid w:val="00E62115"/>
    <w:rsid w:val="00E62142"/>
    <w:rsid w:val="00E6223F"/>
    <w:rsid w:val="00E62282"/>
    <w:rsid w:val="00E62301"/>
    <w:rsid w:val="00E62354"/>
    <w:rsid w:val="00E625B5"/>
    <w:rsid w:val="00E62691"/>
    <w:rsid w:val="00E6287C"/>
    <w:rsid w:val="00E62EE7"/>
    <w:rsid w:val="00E6387E"/>
    <w:rsid w:val="00E63914"/>
    <w:rsid w:val="00E63CCD"/>
    <w:rsid w:val="00E63E31"/>
    <w:rsid w:val="00E63E4D"/>
    <w:rsid w:val="00E642EB"/>
    <w:rsid w:val="00E65210"/>
    <w:rsid w:val="00E65714"/>
    <w:rsid w:val="00E65E79"/>
    <w:rsid w:val="00E66435"/>
    <w:rsid w:val="00E669BE"/>
    <w:rsid w:val="00E66B33"/>
    <w:rsid w:val="00E66BA2"/>
    <w:rsid w:val="00E66BE5"/>
    <w:rsid w:val="00E67001"/>
    <w:rsid w:val="00E67110"/>
    <w:rsid w:val="00E67416"/>
    <w:rsid w:val="00E67930"/>
    <w:rsid w:val="00E67AD3"/>
    <w:rsid w:val="00E67E9B"/>
    <w:rsid w:val="00E703A3"/>
    <w:rsid w:val="00E708C0"/>
    <w:rsid w:val="00E7123B"/>
    <w:rsid w:val="00E712A3"/>
    <w:rsid w:val="00E71626"/>
    <w:rsid w:val="00E718B6"/>
    <w:rsid w:val="00E718C8"/>
    <w:rsid w:val="00E71B2A"/>
    <w:rsid w:val="00E71C39"/>
    <w:rsid w:val="00E721A2"/>
    <w:rsid w:val="00E723BA"/>
    <w:rsid w:val="00E723C5"/>
    <w:rsid w:val="00E72458"/>
    <w:rsid w:val="00E72563"/>
    <w:rsid w:val="00E73581"/>
    <w:rsid w:val="00E73A92"/>
    <w:rsid w:val="00E74180"/>
    <w:rsid w:val="00E7428F"/>
    <w:rsid w:val="00E74495"/>
    <w:rsid w:val="00E744A5"/>
    <w:rsid w:val="00E7490A"/>
    <w:rsid w:val="00E74988"/>
    <w:rsid w:val="00E74E9D"/>
    <w:rsid w:val="00E752D9"/>
    <w:rsid w:val="00E7535D"/>
    <w:rsid w:val="00E7551F"/>
    <w:rsid w:val="00E75869"/>
    <w:rsid w:val="00E75D0A"/>
    <w:rsid w:val="00E75E42"/>
    <w:rsid w:val="00E766D8"/>
    <w:rsid w:val="00E76847"/>
    <w:rsid w:val="00E76C64"/>
    <w:rsid w:val="00E76F6E"/>
    <w:rsid w:val="00E76FB0"/>
    <w:rsid w:val="00E771D7"/>
    <w:rsid w:val="00E773A1"/>
    <w:rsid w:val="00E77CB1"/>
    <w:rsid w:val="00E80027"/>
    <w:rsid w:val="00E80134"/>
    <w:rsid w:val="00E80831"/>
    <w:rsid w:val="00E80F8A"/>
    <w:rsid w:val="00E81273"/>
    <w:rsid w:val="00E81398"/>
    <w:rsid w:val="00E814F3"/>
    <w:rsid w:val="00E8196C"/>
    <w:rsid w:val="00E81C66"/>
    <w:rsid w:val="00E81DBB"/>
    <w:rsid w:val="00E8204A"/>
    <w:rsid w:val="00E820C2"/>
    <w:rsid w:val="00E823CA"/>
    <w:rsid w:val="00E825B9"/>
    <w:rsid w:val="00E8263D"/>
    <w:rsid w:val="00E82E65"/>
    <w:rsid w:val="00E833F7"/>
    <w:rsid w:val="00E83BDF"/>
    <w:rsid w:val="00E83DB2"/>
    <w:rsid w:val="00E84061"/>
    <w:rsid w:val="00E8415C"/>
    <w:rsid w:val="00E843A1"/>
    <w:rsid w:val="00E84BDD"/>
    <w:rsid w:val="00E85609"/>
    <w:rsid w:val="00E85624"/>
    <w:rsid w:val="00E857BE"/>
    <w:rsid w:val="00E85C51"/>
    <w:rsid w:val="00E85D16"/>
    <w:rsid w:val="00E86058"/>
    <w:rsid w:val="00E860EB"/>
    <w:rsid w:val="00E86157"/>
    <w:rsid w:val="00E863E0"/>
    <w:rsid w:val="00E8650D"/>
    <w:rsid w:val="00E86B27"/>
    <w:rsid w:val="00E86FCC"/>
    <w:rsid w:val="00E87096"/>
    <w:rsid w:val="00E87179"/>
    <w:rsid w:val="00E8718C"/>
    <w:rsid w:val="00E8753A"/>
    <w:rsid w:val="00E87A1D"/>
    <w:rsid w:val="00E87A4C"/>
    <w:rsid w:val="00E901BF"/>
    <w:rsid w:val="00E9020F"/>
    <w:rsid w:val="00E903DD"/>
    <w:rsid w:val="00E9094A"/>
    <w:rsid w:val="00E90EFE"/>
    <w:rsid w:val="00E9102B"/>
    <w:rsid w:val="00E9115E"/>
    <w:rsid w:val="00E911FE"/>
    <w:rsid w:val="00E918CF"/>
    <w:rsid w:val="00E91A89"/>
    <w:rsid w:val="00E91AE9"/>
    <w:rsid w:val="00E91D35"/>
    <w:rsid w:val="00E9201C"/>
    <w:rsid w:val="00E926A5"/>
    <w:rsid w:val="00E926D7"/>
    <w:rsid w:val="00E92736"/>
    <w:rsid w:val="00E930F7"/>
    <w:rsid w:val="00E93AB4"/>
    <w:rsid w:val="00E93FA5"/>
    <w:rsid w:val="00E94055"/>
    <w:rsid w:val="00E944BE"/>
    <w:rsid w:val="00E9468E"/>
    <w:rsid w:val="00E947ED"/>
    <w:rsid w:val="00E94972"/>
    <w:rsid w:val="00E94C66"/>
    <w:rsid w:val="00E94DE5"/>
    <w:rsid w:val="00E94E1D"/>
    <w:rsid w:val="00E94E6B"/>
    <w:rsid w:val="00E950C2"/>
    <w:rsid w:val="00E95480"/>
    <w:rsid w:val="00E95B31"/>
    <w:rsid w:val="00E95D60"/>
    <w:rsid w:val="00E962CC"/>
    <w:rsid w:val="00E964A8"/>
    <w:rsid w:val="00E96B21"/>
    <w:rsid w:val="00E96F1A"/>
    <w:rsid w:val="00E97679"/>
    <w:rsid w:val="00E97730"/>
    <w:rsid w:val="00E97D0A"/>
    <w:rsid w:val="00E97F1E"/>
    <w:rsid w:val="00E97F22"/>
    <w:rsid w:val="00E97FBD"/>
    <w:rsid w:val="00EA0045"/>
    <w:rsid w:val="00EA07D3"/>
    <w:rsid w:val="00EA0A17"/>
    <w:rsid w:val="00EA0BE3"/>
    <w:rsid w:val="00EA0C3A"/>
    <w:rsid w:val="00EA0D59"/>
    <w:rsid w:val="00EA0EC0"/>
    <w:rsid w:val="00EA17C3"/>
    <w:rsid w:val="00EA1848"/>
    <w:rsid w:val="00EA1AC6"/>
    <w:rsid w:val="00EA1CBB"/>
    <w:rsid w:val="00EA1FDE"/>
    <w:rsid w:val="00EA22C5"/>
    <w:rsid w:val="00EA2494"/>
    <w:rsid w:val="00EA26EA"/>
    <w:rsid w:val="00EA2AF6"/>
    <w:rsid w:val="00EA2CAA"/>
    <w:rsid w:val="00EA2D6F"/>
    <w:rsid w:val="00EA3864"/>
    <w:rsid w:val="00EA3AC6"/>
    <w:rsid w:val="00EA3F7A"/>
    <w:rsid w:val="00EA4129"/>
    <w:rsid w:val="00EA4646"/>
    <w:rsid w:val="00EA4842"/>
    <w:rsid w:val="00EA494C"/>
    <w:rsid w:val="00EA4F4A"/>
    <w:rsid w:val="00EA550E"/>
    <w:rsid w:val="00EA5867"/>
    <w:rsid w:val="00EA58AA"/>
    <w:rsid w:val="00EA5D61"/>
    <w:rsid w:val="00EA5E60"/>
    <w:rsid w:val="00EA61F2"/>
    <w:rsid w:val="00EA6581"/>
    <w:rsid w:val="00EA6DCB"/>
    <w:rsid w:val="00EA73AD"/>
    <w:rsid w:val="00EA7809"/>
    <w:rsid w:val="00EA79C7"/>
    <w:rsid w:val="00EA7C16"/>
    <w:rsid w:val="00EA7F1C"/>
    <w:rsid w:val="00EB02A5"/>
    <w:rsid w:val="00EB07CB"/>
    <w:rsid w:val="00EB08E3"/>
    <w:rsid w:val="00EB0A38"/>
    <w:rsid w:val="00EB0F1C"/>
    <w:rsid w:val="00EB15B6"/>
    <w:rsid w:val="00EB17BC"/>
    <w:rsid w:val="00EB249B"/>
    <w:rsid w:val="00EB2520"/>
    <w:rsid w:val="00EB2990"/>
    <w:rsid w:val="00EB30C3"/>
    <w:rsid w:val="00EB30FF"/>
    <w:rsid w:val="00EB3310"/>
    <w:rsid w:val="00EB3ACF"/>
    <w:rsid w:val="00EB3D06"/>
    <w:rsid w:val="00EB42EC"/>
    <w:rsid w:val="00EB4414"/>
    <w:rsid w:val="00EB441F"/>
    <w:rsid w:val="00EB46F5"/>
    <w:rsid w:val="00EB4916"/>
    <w:rsid w:val="00EB4C21"/>
    <w:rsid w:val="00EB4E17"/>
    <w:rsid w:val="00EB4FF3"/>
    <w:rsid w:val="00EB4FFB"/>
    <w:rsid w:val="00EB5A54"/>
    <w:rsid w:val="00EB5B81"/>
    <w:rsid w:val="00EB5BE7"/>
    <w:rsid w:val="00EB5D6D"/>
    <w:rsid w:val="00EB5D83"/>
    <w:rsid w:val="00EB62A5"/>
    <w:rsid w:val="00EB63BC"/>
    <w:rsid w:val="00EB6974"/>
    <w:rsid w:val="00EB6A55"/>
    <w:rsid w:val="00EB7F00"/>
    <w:rsid w:val="00EC0017"/>
    <w:rsid w:val="00EC00C9"/>
    <w:rsid w:val="00EC047A"/>
    <w:rsid w:val="00EC0860"/>
    <w:rsid w:val="00EC08CC"/>
    <w:rsid w:val="00EC0DD9"/>
    <w:rsid w:val="00EC18EF"/>
    <w:rsid w:val="00EC1A65"/>
    <w:rsid w:val="00EC1F22"/>
    <w:rsid w:val="00EC237D"/>
    <w:rsid w:val="00EC2649"/>
    <w:rsid w:val="00EC2735"/>
    <w:rsid w:val="00EC31ED"/>
    <w:rsid w:val="00EC34CF"/>
    <w:rsid w:val="00EC37CA"/>
    <w:rsid w:val="00EC39AF"/>
    <w:rsid w:val="00EC43B1"/>
    <w:rsid w:val="00EC4604"/>
    <w:rsid w:val="00EC47CC"/>
    <w:rsid w:val="00EC4921"/>
    <w:rsid w:val="00EC4C89"/>
    <w:rsid w:val="00EC51F2"/>
    <w:rsid w:val="00EC5640"/>
    <w:rsid w:val="00EC56D4"/>
    <w:rsid w:val="00EC5836"/>
    <w:rsid w:val="00EC6061"/>
    <w:rsid w:val="00EC6282"/>
    <w:rsid w:val="00EC6484"/>
    <w:rsid w:val="00EC64EF"/>
    <w:rsid w:val="00EC6629"/>
    <w:rsid w:val="00EC688C"/>
    <w:rsid w:val="00EC73EC"/>
    <w:rsid w:val="00EC7E0E"/>
    <w:rsid w:val="00ED054F"/>
    <w:rsid w:val="00ED0769"/>
    <w:rsid w:val="00ED0BA2"/>
    <w:rsid w:val="00ED0CBB"/>
    <w:rsid w:val="00ED12E3"/>
    <w:rsid w:val="00ED1AC3"/>
    <w:rsid w:val="00ED1D63"/>
    <w:rsid w:val="00ED22DE"/>
    <w:rsid w:val="00ED2384"/>
    <w:rsid w:val="00ED2612"/>
    <w:rsid w:val="00ED30BE"/>
    <w:rsid w:val="00ED3228"/>
    <w:rsid w:val="00ED33E9"/>
    <w:rsid w:val="00ED3BF8"/>
    <w:rsid w:val="00ED428D"/>
    <w:rsid w:val="00ED4681"/>
    <w:rsid w:val="00ED46A0"/>
    <w:rsid w:val="00ED48A2"/>
    <w:rsid w:val="00ED499A"/>
    <w:rsid w:val="00ED4B04"/>
    <w:rsid w:val="00ED4B49"/>
    <w:rsid w:val="00ED4C44"/>
    <w:rsid w:val="00ED4DC0"/>
    <w:rsid w:val="00ED4E0A"/>
    <w:rsid w:val="00ED5043"/>
    <w:rsid w:val="00ED5307"/>
    <w:rsid w:val="00ED57EA"/>
    <w:rsid w:val="00ED5A18"/>
    <w:rsid w:val="00ED5BD4"/>
    <w:rsid w:val="00ED5E6D"/>
    <w:rsid w:val="00ED6323"/>
    <w:rsid w:val="00ED635A"/>
    <w:rsid w:val="00ED6388"/>
    <w:rsid w:val="00ED6ABB"/>
    <w:rsid w:val="00ED6BA9"/>
    <w:rsid w:val="00ED71C8"/>
    <w:rsid w:val="00ED771C"/>
    <w:rsid w:val="00ED7D98"/>
    <w:rsid w:val="00ED7F1F"/>
    <w:rsid w:val="00EE0030"/>
    <w:rsid w:val="00EE0119"/>
    <w:rsid w:val="00EE023E"/>
    <w:rsid w:val="00EE04B8"/>
    <w:rsid w:val="00EE055A"/>
    <w:rsid w:val="00EE07D3"/>
    <w:rsid w:val="00EE0945"/>
    <w:rsid w:val="00EE0FD6"/>
    <w:rsid w:val="00EE14D4"/>
    <w:rsid w:val="00EE1629"/>
    <w:rsid w:val="00EE1933"/>
    <w:rsid w:val="00EE1996"/>
    <w:rsid w:val="00EE1A71"/>
    <w:rsid w:val="00EE1C01"/>
    <w:rsid w:val="00EE1D2F"/>
    <w:rsid w:val="00EE2089"/>
    <w:rsid w:val="00EE22AF"/>
    <w:rsid w:val="00EE2BFA"/>
    <w:rsid w:val="00EE2CBB"/>
    <w:rsid w:val="00EE3248"/>
    <w:rsid w:val="00EE3324"/>
    <w:rsid w:val="00EE33AB"/>
    <w:rsid w:val="00EE3F50"/>
    <w:rsid w:val="00EE440B"/>
    <w:rsid w:val="00EE470B"/>
    <w:rsid w:val="00EE53E0"/>
    <w:rsid w:val="00EE5688"/>
    <w:rsid w:val="00EE57D6"/>
    <w:rsid w:val="00EE5B90"/>
    <w:rsid w:val="00EE6F01"/>
    <w:rsid w:val="00EE7927"/>
    <w:rsid w:val="00EE7DC6"/>
    <w:rsid w:val="00EF0093"/>
    <w:rsid w:val="00EF0171"/>
    <w:rsid w:val="00EF0C53"/>
    <w:rsid w:val="00EF0CFE"/>
    <w:rsid w:val="00EF0F0E"/>
    <w:rsid w:val="00EF13F7"/>
    <w:rsid w:val="00EF17BF"/>
    <w:rsid w:val="00EF1B25"/>
    <w:rsid w:val="00EF1B5D"/>
    <w:rsid w:val="00EF1DA0"/>
    <w:rsid w:val="00EF2941"/>
    <w:rsid w:val="00EF2BCE"/>
    <w:rsid w:val="00EF3227"/>
    <w:rsid w:val="00EF3572"/>
    <w:rsid w:val="00EF3770"/>
    <w:rsid w:val="00EF3D84"/>
    <w:rsid w:val="00EF3F64"/>
    <w:rsid w:val="00EF4623"/>
    <w:rsid w:val="00EF468F"/>
    <w:rsid w:val="00EF4747"/>
    <w:rsid w:val="00EF4A61"/>
    <w:rsid w:val="00EF4BE5"/>
    <w:rsid w:val="00EF4BF8"/>
    <w:rsid w:val="00EF4F27"/>
    <w:rsid w:val="00EF4F5F"/>
    <w:rsid w:val="00EF519C"/>
    <w:rsid w:val="00EF521F"/>
    <w:rsid w:val="00EF59AD"/>
    <w:rsid w:val="00EF5D39"/>
    <w:rsid w:val="00EF5E72"/>
    <w:rsid w:val="00EF5F4C"/>
    <w:rsid w:val="00EF5FB2"/>
    <w:rsid w:val="00EF6029"/>
    <w:rsid w:val="00EF61AC"/>
    <w:rsid w:val="00EF68F2"/>
    <w:rsid w:val="00EF6E9E"/>
    <w:rsid w:val="00EF71C2"/>
    <w:rsid w:val="00EF74C3"/>
    <w:rsid w:val="00EF774D"/>
    <w:rsid w:val="00EF7B2E"/>
    <w:rsid w:val="00F003F4"/>
    <w:rsid w:val="00F00694"/>
    <w:rsid w:val="00F00EFF"/>
    <w:rsid w:val="00F00F2A"/>
    <w:rsid w:val="00F01E1C"/>
    <w:rsid w:val="00F020E6"/>
    <w:rsid w:val="00F02253"/>
    <w:rsid w:val="00F0262D"/>
    <w:rsid w:val="00F027B0"/>
    <w:rsid w:val="00F02910"/>
    <w:rsid w:val="00F03C2E"/>
    <w:rsid w:val="00F03DD3"/>
    <w:rsid w:val="00F04955"/>
    <w:rsid w:val="00F04A66"/>
    <w:rsid w:val="00F04B4B"/>
    <w:rsid w:val="00F0516C"/>
    <w:rsid w:val="00F0526E"/>
    <w:rsid w:val="00F05481"/>
    <w:rsid w:val="00F05700"/>
    <w:rsid w:val="00F05798"/>
    <w:rsid w:val="00F05935"/>
    <w:rsid w:val="00F063E5"/>
    <w:rsid w:val="00F065F9"/>
    <w:rsid w:val="00F067A2"/>
    <w:rsid w:val="00F06D1A"/>
    <w:rsid w:val="00F06F8C"/>
    <w:rsid w:val="00F07593"/>
    <w:rsid w:val="00F075A0"/>
    <w:rsid w:val="00F0784D"/>
    <w:rsid w:val="00F07B9E"/>
    <w:rsid w:val="00F07D2F"/>
    <w:rsid w:val="00F07EAD"/>
    <w:rsid w:val="00F10130"/>
    <w:rsid w:val="00F107DA"/>
    <w:rsid w:val="00F10B3A"/>
    <w:rsid w:val="00F10F37"/>
    <w:rsid w:val="00F11136"/>
    <w:rsid w:val="00F1116F"/>
    <w:rsid w:val="00F113EC"/>
    <w:rsid w:val="00F1179C"/>
    <w:rsid w:val="00F11948"/>
    <w:rsid w:val="00F11960"/>
    <w:rsid w:val="00F12365"/>
    <w:rsid w:val="00F1263A"/>
    <w:rsid w:val="00F1268A"/>
    <w:rsid w:val="00F128F0"/>
    <w:rsid w:val="00F129BD"/>
    <w:rsid w:val="00F12FC1"/>
    <w:rsid w:val="00F13081"/>
    <w:rsid w:val="00F13492"/>
    <w:rsid w:val="00F1376B"/>
    <w:rsid w:val="00F137E1"/>
    <w:rsid w:val="00F139C5"/>
    <w:rsid w:val="00F14627"/>
    <w:rsid w:val="00F14673"/>
    <w:rsid w:val="00F1467A"/>
    <w:rsid w:val="00F14729"/>
    <w:rsid w:val="00F15524"/>
    <w:rsid w:val="00F15765"/>
    <w:rsid w:val="00F158DE"/>
    <w:rsid w:val="00F158F1"/>
    <w:rsid w:val="00F15B77"/>
    <w:rsid w:val="00F15F0C"/>
    <w:rsid w:val="00F16237"/>
    <w:rsid w:val="00F16696"/>
    <w:rsid w:val="00F16EF5"/>
    <w:rsid w:val="00F16FB1"/>
    <w:rsid w:val="00F1757E"/>
    <w:rsid w:val="00F175AD"/>
    <w:rsid w:val="00F17C96"/>
    <w:rsid w:val="00F207C2"/>
    <w:rsid w:val="00F21236"/>
    <w:rsid w:val="00F215C7"/>
    <w:rsid w:val="00F216F5"/>
    <w:rsid w:val="00F21F0B"/>
    <w:rsid w:val="00F222AC"/>
    <w:rsid w:val="00F22698"/>
    <w:rsid w:val="00F226EB"/>
    <w:rsid w:val="00F2299A"/>
    <w:rsid w:val="00F23260"/>
    <w:rsid w:val="00F239B0"/>
    <w:rsid w:val="00F239DF"/>
    <w:rsid w:val="00F23D62"/>
    <w:rsid w:val="00F23DEA"/>
    <w:rsid w:val="00F23E08"/>
    <w:rsid w:val="00F24274"/>
    <w:rsid w:val="00F24713"/>
    <w:rsid w:val="00F24837"/>
    <w:rsid w:val="00F24C14"/>
    <w:rsid w:val="00F2502D"/>
    <w:rsid w:val="00F25715"/>
    <w:rsid w:val="00F2575F"/>
    <w:rsid w:val="00F25777"/>
    <w:rsid w:val="00F25DCF"/>
    <w:rsid w:val="00F25DD2"/>
    <w:rsid w:val="00F260A0"/>
    <w:rsid w:val="00F2619E"/>
    <w:rsid w:val="00F2629E"/>
    <w:rsid w:val="00F263DE"/>
    <w:rsid w:val="00F26D3D"/>
    <w:rsid w:val="00F26EA4"/>
    <w:rsid w:val="00F2719B"/>
    <w:rsid w:val="00F273D9"/>
    <w:rsid w:val="00F27565"/>
    <w:rsid w:val="00F277AF"/>
    <w:rsid w:val="00F27BAC"/>
    <w:rsid w:val="00F27D43"/>
    <w:rsid w:val="00F301B2"/>
    <w:rsid w:val="00F3076E"/>
    <w:rsid w:val="00F3087E"/>
    <w:rsid w:val="00F30AE6"/>
    <w:rsid w:val="00F310D4"/>
    <w:rsid w:val="00F3113E"/>
    <w:rsid w:val="00F311B4"/>
    <w:rsid w:val="00F31277"/>
    <w:rsid w:val="00F317A0"/>
    <w:rsid w:val="00F31A3C"/>
    <w:rsid w:val="00F31CD2"/>
    <w:rsid w:val="00F31D5A"/>
    <w:rsid w:val="00F31EA6"/>
    <w:rsid w:val="00F32110"/>
    <w:rsid w:val="00F3230D"/>
    <w:rsid w:val="00F325F1"/>
    <w:rsid w:val="00F32714"/>
    <w:rsid w:val="00F32855"/>
    <w:rsid w:val="00F329AE"/>
    <w:rsid w:val="00F33975"/>
    <w:rsid w:val="00F33DE9"/>
    <w:rsid w:val="00F33EB0"/>
    <w:rsid w:val="00F33F01"/>
    <w:rsid w:val="00F342D9"/>
    <w:rsid w:val="00F34AB3"/>
    <w:rsid w:val="00F34D01"/>
    <w:rsid w:val="00F355C3"/>
    <w:rsid w:val="00F3582E"/>
    <w:rsid w:val="00F3585C"/>
    <w:rsid w:val="00F35A90"/>
    <w:rsid w:val="00F35BE6"/>
    <w:rsid w:val="00F35E6D"/>
    <w:rsid w:val="00F35EB5"/>
    <w:rsid w:val="00F360D6"/>
    <w:rsid w:val="00F36168"/>
    <w:rsid w:val="00F3619A"/>
    <w:rsid w:val="00F36207"/>
    <w:rsid w:val="00F363FC"/>
    <w:rsid w:val="00F366B5"/>
    <w:rsid w:val="00F369F3"/>
    <w:rsid w:val="00F36E07"/>
    <w:rsid w:val="00F36E97"/>
    <w:rsid w:val="00F3728B"/>
    <w:rsid w:val="00F37308"/>
    <w:rsid w:val="00F37362"/>
    <w:rsid w:val="00F37821"/>
    <w:rsid w:val="00F37DF1"/>
    <w:rsid w:val="00F37E52"/>
    <w:rsid w:val="00F4093B"/>
    <w:rsid w:val="00F40A1A"/>
    <w:rsid w:val="00F40AAA"/>
    <w:rsid w:val="00F40BA7"/>
    <w:rsid w:val="00F40BF1"/>
    <w:rsid w:val="00F40F9D"/>
    <w:rsid w:val="00F41558"/>
    <w:rsid w:val="00F415D0"/>
    <w:rsid w:val="00F4184D"/>
    <w:rsid w:val="00F41ACC"/>
    <w:rsid w:val="00F41ACD"/>
    <w:rsid w:val="00F42065"/>
    <w:rsid w:val="00F422A7"/>
    <w:rsid w:val="00F4233D"/>
    <w:rsid w:val="00F42572"/>
    <w:rsid w:val="00F42992"/>
    <w:rsid w:val="00F42A82"/>
    <w:rsid w:val="00F42DD3"/>
    <w:rsid w:val="00F43513"/>
    <w:rsid w:val="00F43E92"/>
    <w:rsid w:val="00F43EC2"/>
    <w:rsid w:val="00F43ECE"/>
    <w:rsid w:val="00F43FC0"/>
    <w:rsid w:val="00F44C28"/>
    <w:rsid w:val="00F450A7"/>
    <w:rsid w:val="00F453D2"/>
    <w:rsid w:val="00F45943"/>
    <w:rsid w:val="00F45D63"/>
    <w:rsid w:val="00F4619B"/>
    <w:rsid w:val="00F4694C"/>
    <w:rsid w:val="00F46A05"/>
    <w:rsid w:val="00F46AF7"/>
    <w:rsid w:val="00F46CB6"/>
    <w:rsid w:val="00F4756D"/>
    <w:rsid w:val="00F475C1"/>
    <w:rsid w:val="00F47665"/>
    <w:rsid w:val="00F47956"/>
    <w:rsid w:val="00F47ACC"/>
    <w:rsid w:val="00F47CD2"/>
    <w:rsid w:val="00F47DE8"/>
    <w:rsid w:val="00F5041B"/>
    <w:rsid w:val="00F511AC"/>
    <w:rsid w:val="00F51395"/>
    <w:rsid w:val="00F51721"/>
    <w:rsid w:val="00F51965"/>
    <w:rsid w:val="00F51F93"/>
    <w:rsid w:val="00F51FD2"/>
    <w:rsid w:val="00F52901"/>
    <w:rsid w:val="00F529F2"/>
    <w:rsid w:val="00F52AD6"/>
    <w:rsid w:val="00F5320D"/>
    <w:rsid w:val="00F537A0"/>
    <w:rsid w:val="00F542C1"/>
    <w:rsid w:val="00F5443E"/>
    <w:rsid w:val="00F544B8"/>
    <w:rsid w:val="00F545BC"/>
    <w:rsid w:val="00F545C0"/>
    <w:rsid w:val="00F54680"/>
    <w:rsid w:val="00F54B1D"/>
    <w:rsid w:val="00F54B84"/>
    <w:rsid w:val="00F54C47"/>
    <w:rsid w:val="00F550E3"/>
    <w:rsid w:val="00F552D5"/>
    <w:rsid w:val="00F5539A"/>
    <w:rsid w:val="00F55C4C"/>
    <w:rsid w:val="00F55E73"/>
    <w:rsid w:val="00F55EDA"/>
    <w:rsid w:val="00F55EF5"/>
    <w:rsid w:val="00F5600D"/>
    <w:rsid w:val="00F562B3"/>
    <w:rsid w:val="00F56311"/>
    <w:rsid w:val="00F56A88"/>
    <w:rsid w:val="00F56B5C"/>
    <w:rsid w:val="00F56C80"/>
    <w:rsid w:val="00F56DA7"/>
    <w:rsid w:val="00F56E84"/>
    <w:rsid w:val="00F56FF4"/>
    <w:rsid w:val="00F57331"/>
    <w:rsid w:val="00F57869"/>
    <w:rsid w:val="00F6003B"/>
    <w:rsid w:val="00F60092"/>
    <w:rsid w:val="00F601FA"/>
    <w:rsid w:val="00F6108C"/>
    <w:rsid w:val="00F61274"/>
    <w:rsid w:val="00F6178E"/>
    <w:rsid w:val="00F61C18"/>
    <w:rsid w:val="00F621A6"/>
    <w:rsid w:val="00F6222C"/>
    <w:rsid w:val="00F62495"/>
    <w:rsid w:val="00F625A0"/>
    <w:rsid w:val="00F62895"/>
    <w:rsid w:val="00F62916"/>
    <w:rsid w:val="00F62C82"/>
    <w:rsid w:val="00F62CF7"/>
    <w:rsid w:val="00F62E06"/>
    <w:rsid w:val="00F6343F"/>
    <w:rsid w:val="00F63529"/>
    <w:rsid w:val="00F63F17"/>
    <w:rsid w:val="00F642C9"/>
    <w:rsid w:val="00F64741"/>
    <w:rsid w:val="00F64828"/>
    <w:rsid w:val="00F64BC7"/>
    <w:rsid w:val="00F653D2"/>
    <w:rsid w:val="00F653E5"/>
    <w:rsid w:val="00F65556"/>
    <w:rsid w:val="00F65826"/>
    <w:rsid w:val="00F65999"/>
    <w:rsid w:val="00F65C07"/>
    <w:rsid w:val="00F65C79"/>
    <w:rsid w:val="00F65F4B"/>
    <w:rsid w:val="00F66867"/>
    <w:rsid w:val="00F66909"/>
    <w:rsid w:val="00F66ED0"/>
    <w:rsid w:val="00F67427"/>
    <w:rsid w:val="00F6753C"/>
    <w:rsid w:val="00F677C1"/>
    <w:rsid w:val="00F67836"/>
    <w:rsid w:val="00F67A69"/>
    <w:rsid w:val="00F67B66"/>
    <w:rsid w:val="00F70702"/>
    <w:rsid w:val="00F707F5"/>
    <w:rsid w:val="00F70893"/>
    <w:rsid w:val="00F7098E"/>
    <w:rsid w:val="00F70BFF"/>
    <w:rsid w:val="00F70C9D"/>
    <w:rsid w:val="00F71322"/>
    <w:rsid w:val="00F71ACD"/>
    <w:rsid w:val="00F726F5"/>
    <w:rsid w:val="00F72864"/>
    <w:rsid w:val="00F728AC"/>
    <w:rsid w:val="00F7292E"/>
    <w:rsid w:val="00F72B06"/>
    <w:rsid w:val="00F72DD7"/>
    <w:rsid w:val="00F72FF7"/>
    <w:rsid w:val="00F73020"/>
    <w:rsid w:val="00F73239"/>
    <w:rsid w:val="00F737B0"/>
    <w:rsid w:val="00F737D5"/>
    <w:rsid w:val="00F73BE1"/>
    <w:rsid w:val="00F73C54"/>
    <w:rsid w:val="00F73E08"/>
    <w:rsid w:val="00F7427A"/>
    <w:rsid w:val="00F74670"/>
    <w:rsid w:val="00F74676"/>
    <w:rsid w:val="00F746DA"/>
    <w:rsid w:val="00F74847"/>
    <w:rsid w:val="00F74CD9"/>
    <w:rsid w:val="00F74FA9"/>
    <w:rsid w:val="00F754BA"/>
    <w:rsid w:val="00F763A9"/>
    <w:rsid w:val="00F76D34"/>
    <w:rsid w:val="00F76E2D"/>
    <w:rsid w:val="00F777FC"/>
    <w:rsid w:val="00F77B96"/>
    <w:rsid w:val="00F80028"/>
    <w:rsid w:val="00F800FE"/>
    <w:rsid w:val="00F80A7B"/>
    <w:rsid w:val="00F80C2D"/>
    <w:rsid w:val="00F80E5D"/>
    <w:rsid w:val="00F81011"/>
    <w:rsid w:val="00F816E9"/>
    <w:rsid w:val="00F81A92"/>
    <w:rsid w:val="00F81BD7"/>
    <w:rsid w:val="00F81E58"/>
    <w:rsid w:val="00F81E78"/>
    <w:rsid w:val="00F81EE1"/>
    <w:rsid w:val="00F8201F"/>
    <w:rsid w:val="00F82334"/>
    <w:rsid w:val="00F82915"/>
    <w:rsid w:val="00F82923"/>
    <w:rsid w:val="00F82BD9"/>
    <w:rsid w:val="00F82C1D"/>
    <w:rsid w:val="00F83604"/>
    <w:rsid w:val="00F837E3"/>
    <w:rsid w:val="00F83916"/>
    <w:rsid w:val="00F83BB0"/>
    <w:rsid w:val="00F83E4D"/>
    <w:rsid w:val="00F84018"/>
    <w:rsid w:val="00F842B7"/>
    <w:rsid w:val="00F8465E"/>
    <w:rsid w:val="00F8466C"/>
    <w:rsid w:val="00F84A6A"/>
    <w:rsid w:val="00F84FA7"/>
    <w:rsid w:val="00F851CE"/>
    <w:rsid w:val="00F85BC0"/>
    <w:rsid w:val="00F86192"/>
    <w:rsid w:val="00F86B9A"/>
    <w:rsid w:val="00F871B5"/>
    <w:rsid w:val="00F871FB"/>
    <w:rsid w:val="00F872E3"/>
    <w:rsid w:val="00F8735B"/>
    <w:rsid w:val="00F8745C"/>
    <w:rsid w:val="00F87CBB"/>
    <w:rsid w:val="00F87EC8"/>
    <w:rsid w:val="00F90562"/>
    <w:rsid w:val="00F905B0"/>
    <w:rsid w:val="00F91219"/>
    <w:rsid w:val="00F91224"/>
    <w:rsid w:val="00F918F1"/>
    <w:rsid w:val="00F9190C"/>
    <w:rsid w:val="00F91AA3"/>
    <w:rsid w:val="00F91BBC"/>
    <w:rsid w:val="00F91D36"/>
    <w:rsid w:val="00F91EA4"/>
    <w:rsid w:val="00F91FB9"/>
    <w:rsid w:val="00F9225C"/>
    <w:rsid w:val="00F92444"/>
    <w:rsid w:val="00F926D8"/>
    <w:rsid w:val="00F9277C"/>
    <w:rsid w:val="00F92E79"/>
    <w:rsid w:val="00F92FE5"/>
    <w:rsid w:val="00F93063"/>
    <w:rsid w:val="00F932AE"/>
    <w:rsid w:val="00F933DB"/>
    <w:rsid w:val="00F93906"/>
    <w:rsid w:val="00F9393E"/>
    <w:rsid w:val="00F93BB1"/>
    <w:rsid w:val="00F93EDC"/>
    <w:rsid w:val="00F93F2B"/>
    <w:rsid w:val="00F94025"/>
    <w:rsid w:val="00F94723"/>
    <w:rsid w:val="00F947AC"/>
    <w:rsid w:val="00F94927"/>
    <w:rsid w:val="00F94AB4"/>
    <w:rsid w:val="00F95274"/>
    <w:rsid w:val="00F9570A"/>
    <w:rsid w:val="00F959B2"/>
    <w:rsid w:val="00F959F5"/>
    <w:rsid w:val="00F96FD0"/>
    <w:rsid w:val="00F974CC"/>
    <w:rsid w:val="00F977B2"/>
    <w:rsid w:val="00F97A78"/>
    <w:rsid w:val="00FA05D6"/>
    <w:rsid w:val="00FA073C"/>
    <w:rsid w:val="00FA0B20"/>
    <w:rsid w:val="00FA107E"/>
    <w:rsid w:val="00FA12A0"/>
    <w:rsid w:val="00FA1391"/>
    <w:rsid w:val="00FA16B8"/>
    <w:rsid w:val="00FA1DD1"/>
    <w:rsid w:val="00FA231B"/>
    <w:rsid w:val="00FA23E2"/>
    <w:rsid w:val="00FA2458"/>
    <w:rsid w:val="00FA24E7"/>
    <w:rsid w:val="00FA26F1"/>
    <w:rsid w:val="00FA296A"/>
    <w:rsid w:val="00FA2B1D"/>
    <w:rsid w:val="00FA3230"/>
    <w:rsid w:val="00FA33B4"/>
    <w:rsid w:val="00FA395A"/>
    <w:rsid w:val="00FA3C42"/>
    <w:rsid w:val="00FA3DDF"/>
    <w:rsid w:val="00FA4265"/>
    <w:rsid w:val="00FA43C0"/>
    <w:rsid w:val="00FA4764"/>
    <w:rsid w:val="00FA4810"/>
    <w:rsid w:val="00FA4C1C"/>
    <w:rsid w:val="00FA4F46"/>
    <w:rsid w:val="00FA5514"/>
    <w:rsid w:val="00FA579C"/>
    <w:rsid w:val="00FA5AA1"/>
    <w:rsid w:val="00FA5EE6"/>
    <w:rsid w:val="00FA5FA6"/>
    <w:rsid w:val="00FA6064"/>
    <w:rsid w:val="00FA6417"/>
    <w:rsid w:val="00FA668D"/>
    <w:rsid w:val="00FA6B3F"/>
    <w:rsid w:val="00FA6BDD"/>
    <w:rsid w:val="00FA6DE9"/>
    <w:rsid w:val="00FA740B"/>
    <w:rsid w:val="00FA753A"/>
    <w:rsid w:val="00FA7699"/>
    <w:rsid w:val="00FA7893"/>
    <w:rsid w:val="00FA7956"/>
    <w:rsid w:val="00FA7B7B"/>
    <w:rsid w:val="00FA7C87"/>
    <w:rsid w:val="00FB0824"/>
    <w:rsid w:val="00FB0F38"/>
    <w:rsid w:val="00FB1714"/>
    <w:rsid w:val="00FB1A4F"/>
    <w:rsid w:val="00FB1B1C"/>
    <w:rsid w:val="00FB217A"/>
    <w:rsid w:val="00FB231E"/>
    <w:rsid w:val="00FB240A"/>
    <w:rsid w:val="00FB294A"/>
    <w:rsid w:val="00FB2FCB"/>
    <w:rsid w:val="00FB305A"/>
    <w:rsid w:val="00FB3401"/>
    <w:rsid w:val="00FB340D"/>
    <w:rsid w:val="00FB3FDE"/>
    <w:rsid w:val="00FB46E3"/>
    <w:rsid w:val="00FB4913"/>
    <w:rsid w:val="00FB494D"/>
    <w:rsid w:val="00FB49AD"/>
    <w:rsid w:val="00FB4B65"/>
    <w:rsid w:val="00FB4C9C"/>
    <w:rsid w:val="00FB4DE7"/>
    <w:rsid w:val="00FB50AE"/>
    <w:rsid w:val="00FB518E"/>
    <w:rsid w:val="00FB5313"/>
    <w:rsid w:val="00FB53E1"/>
    <w:rsid w:val="00FB5790"/>
    <w:rsid w:val="00FB5C16"/>
    <w:rsid w:val="00FB5D6A"/>
    <w:rsid w:val="00FB61FD"/>
    <w:rsid w:val="00FB630E"/>
    <w:rsid w:val="00FB646A"/>
    <w:rsid w:val="00FB668D"/>
    <w:rsid w:val="00FB687B"/>
    <w:rsid w:val="00FB69EF"/>
    <w:rsid w:val="00FB7365"/>
    <w:rsid w:val="00FB73DE"/>
    <w:rsid w:val="00FB74BE"/>
    <w:rsid w:val="00FB750C"/>
    <w:rsid w:val="00FB7C55"/>
    <w:rsid w:val="00FB7E3A"/>
    <w:rsid w:val="00FC033C"/>
    <w:rsid w:val="00FC0647"/>
    <w:rsid w:val="00FC078F"/>
    <w:rsid w:val="00FC0E7A"/>
    <w:rsid w:val="00FC1074"/>
    <w:rsid w:val="00FC1490"/>
    <w:rsid w:val="00FC1593"/>
    <w:rsid w:val="00FC1701"/>
    <w:rsid w:val="00FC1844"/>
    <w:rsid w:val="00FC1884"/>
    <w:rsid w:val="00FC21AE"/>
    <w:rsid w:val="00FC2474"/>
    <w:rsid w:val="00FC2605"/>
    <w:rsid w:val="00FC2784"/>
    <w:rsid w:val="00FC283F"/>
    <w:rsid w:val="00FC28D8"/>
    <w:rsid w:val="00FC29B9"/>
    <w:rsid w:val="00FC2B75"/>
    <w:rsid w:val="00FC371D"/>
    <w:rsid w:val="00FC37D4"/>
    <w:rsid w:val="00FC3899"/>
    <w:rsid w:val="00FC3DBD"/>
    <w:rsid w:val="00FC3EFC"/>
    <w:rsid w:val="00FC3EFF"/>
    <w:rsid w:val="00FC3FA8"/>
    <w:rsid w:val="00FC3FFF"/>
    <w:rsid w:val="00FC4102"/>
    <w:rsid w:val="00FC426D"/>
    <w:rsid w:val="00FC4C04"/>
    <w:rsid w:val="00FC4F63"/>
    <w:rsid w:val="00FC530E"/>
    <w:rsid w:val="00FC5A43"/>
    <w:rsid w:val="00FC5F0B"/>
    <w:rsid w:val="00FC64EC"/>
    <w:rsid w:val="00FC682E"/>
    <w:rsid w:val="00FC6A6A"/>
    <w:rsid w:val="00FC6CEC"/>
    <w:rsid w:val="00FC7E26"/>
    <w:rsid w:val="00FC7E52"/>
    <w:rsid w:val="00FD01B3"/>
    <w:rsid w:val="00FD02B8"/>
    <w:rsid w:val="00FD05C6"/>
    <w:rsid w:val="00FD06AA"/>
    <w:rsid w:val="00FD0BFF"/>
    <w:rsid w:val="00FD121B"/>
    <w:rsid w:val="00FD12C5"/>
    <w:rsid w:val="00FD164B"/>
    <w:rsid w:val="00FD1658"/>
    <w:rsid w:val="00FD19AE"/>
    <w:rsid w:val="00FD1BD0"/>
    <w:rsid w:val="00FD1C84"/>
    <w:rsid w:val="00FD2100"/>
    <w:rsid w:val="00FD2496"/>
    <w:rsid w:val="00FD2557"/>
    <w:rsid w:val="00FD26C5"/>
    <w:rsid w:val="00FD26EA"/>
    <w:rsid w:val="00FD2EA8"/>
    <w:rsid w:val="00FD33EC"/>
    <w:rsid w:val="00FD34D9"/>
    <w:rsid w:val="00FD3746"/>
    <w:rsid w:val="00FD3ACC"/>
    <w:rsid w:val="00FD3F55"/>
    <w:rsid w:val="00FD4128"/>
    <w:rsid w:val="00FD412D"/>
    <w:rsid w:val="00FD4253"/>
    <w:rsid w:val="00FD436C"/>
    <w:rsid w:val="00FD446D"/>
    <w:rsid w:val="00FD4ACD"/>
    <w:rsid w:val="00FD4C34"/>
    <w:rsid w:val="00FD4F2C"/>
    <w:rsid w:val="00FD5008"/>
    <w:rsid w:val="00FD54AB"/>
    <w:rsid w:val="00FD558B"/>
    <w:rsid w:val="00FD5661"/>
    <w:rsid w:val="00FD5856"/>
    <w:rsid w:val="00FD58CC"/>
    <w:rsid w:val="00FD5A0F"/>
    <w:rsid w:val="00FD5BA5"/>
    <w:rsid w:val="00FD5C9C"/>
    <w:rsid w:val="00FD6150"/>
    <w:rsid w:val="00FD62D8"/>
    <w:rsid w:val="00FD6394"/>
    <w:rsid w:val="00FD65E8"/>
    <w:rsid w:val="00FD69C0"/>
    <w:rsid w:val="00FD6CD8"/>
    <w:rsid w:val="00FD768A"/>
    <w:rsid w:val="00FD769E"/>
    <w:rsid w:val="00FD79D2"/>
    <w:rsid w:val="00FD79D8"/>
    <w:rsid w:val="00FD7B2C"/>
    <w:rsid w:val="00FD7DC5"/>
    <w:rsid w:val="00FE02F7"/>
    <w:rsid w:val="00FE08A5"/>
    <w:rsid w:val="00FE0C11"/>
    <w:rsid w:val="00FE0D4A"/>
    <w:rsid w:val="00FE0E6C"/>
    <w:rsid w:val="00FE1400"/>
    <w:rsid w:val="00FE1C19"/>
    <w:rsid w:val="00FE1CDC"/>
    <w:rsid w:val="00FE20E6"/>
    <w:rsid w:val="00FE29A4"/>
    <w:rsid w:val="00FE2D77"/>
    <w:rsid w:val="00FE3417"/>
    <w:rsid w:val="00FE3524"/>
    <w:rsid w:val="00FE3775"/>
    <w:rsid w:val="00FE378C"/>
    <w:rsid w:val="00FE408C"/>
    <w:rsid w:val="00FE4122"/>
    <w:rsid w:val="00FE41D4"/>
    <w:rsid w:val="00FE46E9"/>
    <w:rsid w:val="00FE4BD0"/>
    <w:rsid w:val="00FE4CA5"/>
    <w:rsid w:val="00FE4D71"/>
    <w:rsid w:val="00FE4F1A"/>
    <w:rsid w:val="00FE5380"/>
    <w:rsid w:val="00FE5611"/>
    <w:rsid w:val="00FE5636"/>
    <w:rsid w:val="00FE5725"/>
    <w:rsid w:val="00FE5D0E"/>
    <w:rsid w:val="00FE61F6"/>
    <w:rsid w:val="00FE620C"/>
    <w:rsid w:val="00FE634D"/>
    <w:rsid w:val="00FE6472"/>
    <w:rsid w:val="00FE67A4"/>
    <w:rsid w:val="00FE6A16"/>
    <w:rsid w:val="00FE6CCE"/>
    <w:rsid w:val="00FE6F44"/>
    <w:rsid w:val="00FE70C3"/>
    <w:rsid w:val="00FE76A9"/>
    <w:rsid w:val="00FE797A"/>
    <w:rsid w:val="00FE7C6B"/>
    <w:rsid w:val="00FE7D08"/>
    <w:rsid w:val="00FF018D"/>
    <w:rsid w:val="00FF01A7"/>
    <w:rsid w:val="00FF02AC"/>
    <w:rsid w:val="00FF065F"/>
    <w:rsid w:val="00FF132B"/>
    <w:rsid w:val="00FF14B3"/>
    <w:rsid w:val="00FF14FF"/>
    <w:rsid w:val="00FF17D9"/>
    <w:rsid w:val="00FF1972"/>
    <w:rsid w:val="00FF1A8B"/>
    <w:rsid w:val="00FF202C"/>
    <w:rsid w:val="00FF2312"/>
    <w:rsid w:val="00FF29AE"/>
    <w:rsid w:val="00FF2AD9"/>
    <w:rsid w:val="00FF2EC3"/>
    <w:rsid w:val="00FF2ECC"/>
    <w:rsid w:val="00FF3046"/>
    <w:rsid w:val="00FF313A"/>
    <w:rsid w:val="00FF359F"/>
    <w:rsid w:val="00FF3687"/>
    <w:rsid w:val="00FF3BF2"/>
    <w:rsid w:val="00FF3DCF"/>
    <w:rsid w:val="00FF3ECD"/>
    <w:rsid w:val="00FF479B"/>
    <w:rsid w:val="00FF492C"/>
    <w:rsid w:val="00FF4A21"/>
    <w:rsid w:val="00FF4ECC"/>
    <w:rsid w:val="00FF50F5"/>
    <w:rsid w:val="00FF53C5"/>
    <w:rsid w:val="00FF541C"/>
    <w:rsid w:val="00FF563A"/>
    <w:rsid w:val="00FF57D6"/>
    <w:rsid w:val="00FF5AA3"/>
    <w:rsid w:val="00FF5AD8"/>
    <w:rsid w:val="00FF5CA0"/>
    <w:rsid w:val="00FF5E4E"/>
    <w:rsid w:val="00FF5E71"/>
    <w:rsid w:val="00FF5EDA"/>
    <w:rsid w:val="00FF637B"/>
    <w:rsid w:val="00FF6573"/>
    <w:rsid w:val="00FF67A2"/>
    <w:rsid w:val="00FF6B46"/>
    <w:rsid w:val="00FF6C65"/>
    <w:rsid w:val="00FF75AF"/>
    <w:rsid w:val="00FF777A"/>
    <w:rsid w:val="00FF7BA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2D4"/>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aliases w:val="Page Header,Header title,he=header,cntr/bld"/>
    <w:basedOn w:val="Normal"/>
    <w:link w:val="HeaderChar"/>
    <w:uiPriority w:val="99"/>
    <w:qFormat/>
    <w:rsid w:val="00A51C91"/>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link w:val="COMH2-numberedChar"/>
    <w:qFormat/>
    <w:rsid w:val="001C002E"/>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autoRedefine/>
    <w:qFormat/>
    <w:rsid w:val="00433EEF"/>
    <w:pPr>
      <w:widowControl w:val="0"/>
      <w:spacing w:after="120"/>
    </w:pPr>
    <w:rPr>
      <w:rFonts w:ascii="Arial Narrow" w:eastAsiaTheme="majorEastAsia" w:hAnsi="Arial Narrow" w:cstheme="majorBidi"/>
      <w:b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3"/>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4C3B02"/>
    <w:pPr>
      <w:numPr>
        <w:ilvl w:val="1"/>
        <w:numId w:val="3"/>
      </w:numPr>
      <w:spacing w:before="60" w:after="6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07519D"/>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433EEF"/>
    <w:rPr>
      <w:rFonts w:ascii="Arial Narrow" w:eastAsiaTheme="majorEastAsia" w:hAnsi="Arial Narrow" w:cstheme="majorBidi"/>
      <w:b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4"/>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spacing w:after="120"/>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6"/>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382A04"/>
    <w:pPr>
      <w:keepNext/>
      <w:spacing w:after="120"/>
      <w:outlineLvl w:val="2"/>
    </w:pPr>
    <w:rPr>
      <w:b/>
      <w:iCs/>
      <w:sz w:val="28"/>
    </w:rPr>
  </w:style>
  <w:style w:type="character" w:customStyle="1" w:styleId="COMH3Char">
    <w:name w:val="COM H3 Char"/>
    <w:basedOn w:val="DefaultParagraphFont"/>
    <w:link w:val="COMH3"/>
    <w:rsid w:val="00382A04"/>
    <w:rPr>
      <w:rFonts w:ascii="Calibri" w:hAnsi="Calibri" w:cs="Arial"/>
      <w:b/>
      <w:iCs/>
      <w:sz w:val="28"/>
      <w:szCs w:val="24"/>
    </w:rPr>
  </w:style>
  <w:style w:type="paragraph" w:customStyle="1" w:styleId="COMH4">
    <w:name w:val="COM H4"/>
    <w:basedOn w:val="Normal"/>
    <w:link w:val="COMH4Char"/>
    <w:qFormat/>
    <w:rsid w:val="002B79BA"/>
    <w:pPr>
      <w:keepNext/>
      <w:spacing w:after="120"/>
      <w:outlineLvl w:val="3"/>
    </w:pPr>
    <w:rPr>
      <w:b/>
      <w:i/>
    </w:rPr>
  </w:style>
  <w:style w:type="character" w:customStyle="1" w:styleId="COMH4Char">
    <w:name w:val="COM H4 Char"/>
    <w:basedOn w:val="DefaultParagraphFont"/>
    <w:link w:val="COMH4"/>
    <w:rsid w:val="002B79BA"/>
    <w:rPr>
      <w:rFonts w:ascii="Calibri" w:hAnsi="Calibri" w:cs="Arial"/>
      <w:b/>
      <w:i/>
      <w:sz w:val="24"/>
      <w:szCs w:val="24"/>
    </w:rPr>
  </w:style>
  <w:style w:type="paragraph" w:customStyle="1" w:styleId="COMTablefooter">
    <w:name w:val="COM Table footer"/>
    <w:basedOn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character" w:styleId="CommentReference">
    <w:name w:val="annotation reference"/>
    <w:aliases w:val="Table Title"/>
    <w:basedOn w:val="DefaultParagraphFont"/>
    <w:uiPriority w:val="99"/>
    <w:unhideWhenUsed/>
    <w:qFormat/>
    <w:rsid w:val="000303BD"/>
    <w:rPr>
      <w:sz w:val="16"/>
      <w:szCs w:val="16"/>
    </w:rPr>
  </w:style>
  <w:style w:type="paragraph" w:styleId="CommentText">
    <w:name w:val="annotation text"/>
    <w:basedOn w:val="Normal"/>
    <w:link w:val="CommentTextChar"/>
    <w:uiPriority w:val="99"/>
    <w:unhideWhenUsed/>
    <w:rsid w:val="000303BD"/>
    <w:rPr>
      <w:sz w:val="20"/>
      <w:szCs w:val="20"/>
    </w:rPr>
  </w:style>
  <w:style w:type="character" w:customStyle="1" w:styleId="CommentTextChar">
    <w:name w:val="Comment Text Char"/>
    <w:basedOn w:val="DefaultParagraphFont"/>
    <w:link w:val="CommentText"/>
    <w:uiPriority w:val="99"/>
    <w:rsid w:val="000303BD"/>
    <w:rPr>
      <w:rFonts w:ascii="Calibri" w:hAnsi="Calibri" w:cs="Arial"/>
    </w:rPr>
  </w:style>
  <w:style w:type="paragraph" w:styleId="CommentSubject">
    <w:name w:val="annotation subject"/>
    <w:basedOn w:val="CommentText"/>
    <w:next w:val="CommentText"/>
    <w:link w:val="CommentSubjectChar"/>
    <w:semiHidden/>
    <w:unhideWhenUsed/>
    <w:rsid w:val="000303BD"/>
    <w:rPr>
      <w:b/>
      <w:bCs/>
    </w:rPr>
  </w:style>
  <w:style w:type="character" w:customStyle="1" w:styleId="CommentSubjectChar">
    <w:name w:val="Comment Subject Char"/>
    <w:basedOn w:val="CommentTextChar"/>
    <w:link w:val="CommentSubject"/>
    <w:semiHidden/>
    <w:rsid w:val="000303BD"/>
    <w:rPr>
      <w:rFonts w:ascii="Calibri" w:hAnsi="Calibri" w:cs="Arial"/>
      <w:b/>
      <w:bCs/>
    </w:rPr>
  </w:style>
  <w:style w:type="paragraph" w:styleId="ListParagraph">
    <w:name w:val="List Paragraph"/>
    <w:aliases w:val="Bullet List,Table Legend,Bullet1,Bullet 1,Section 5,Numbered para,BulletPoints,Styl moj,Akapit z listą11,List Paragraph1,Bullet point,List Paragraph11,Recommendation,L,Bullet Point,Bulletr List Paragraph,Content descriptions,FooterText"/>
    <w:next w:val="ListBullet"/>
    <w:link w:val="ListParagraphChar"/>
    <w:uiPriority w:val="34"/>
    <w:qFormat/>
    <w:rsid w:val="0026064A"/>
    <w:pPr>
      <w:spacing w:after="120"/>
      <w:ind w:left="720" w:hanging="360"/>
      <w:jc w:val="both"/>
    </w:pPr>
    <w:rPr>
      <w:rFonts w:asciiTheme="minorHAnsi" w:hAnsiTheme="minorHAnsi" w:cs="Arial"/>
      <w:snapToGrid w:val="0"/>
      <w:sz w:val="24"/>
      <w:szCs w:val="24"/>
    </w:rPr>
  </w:style>
  <w:style w:type="paragraph" w:styleId="ListBullet">
    <w:name w:val="List Bullet"/>
    <w:aliases w:val="zz List Bullet"/>
    <w:basedOn w:val="Normal"/>
    <w:unhideWhenUsed/>
    <w:rsid w:val="0026064A"/>
    <w:pPr>
      <w:tabs>
        <w:tab w:val="num" w:pos="360"/>
      </w:tabs>
      <w:ind w:left="360" w:hanging="360"/>
      <w:contextualSpacing/>
    </w:pPr>
  </w:style>
  <w:style w:type="character" w:customStyle="1" w:styleId="ListParagraphChar">
    <w:name w:val="List Paragraph Char"/>
    <w:aliases w:val="Bullet List Char,Table Legend Char,Bullet1 Char,Bullet 1 Char,Section 5 Char,Numbered para Char,BulletPoints Char,Styl moj Char,Akapit z listą11 Char,List Paragraph1 Char,Bullet point Char,List Paragraph11 Char,Recommendation Char"/>
    <w:basedOn w:val="DefaultParagraphFont"/>
    <w:link w:val="ListParagraph"/>
    <w:uiPriority w:val="34"/>
    <w:qFormat/>
    <w:locked/>
    <w:rsid w:val="0026064A"/>
    <w:rPr>
      <w:rFonts w:asciiTheme="minorHAnsi" w:hAnsiTheme="minorHAnsi" w:cs="Arial"/>
      <w:snapToGrid w:val="0"/>
      <w:sz w:val="24"/>
      <w:szCs w:val="24"/>
    </w:rPr>
  </w:style>
  <w:style w:type="paragraph" w:styleId="Footer">
    <w:name w:val="footer"/>
    <w:basedOn w:val="Normal"/>
    <w:link w:val="FooterChar"/>
    <w:uiPriority w:val="99"/>
    <w:unhideWhenUsed/>
    <w:rsid w:val="005C745D"/>
    <w:pPr>
      <w:tabs>
        <w:tab w:val="center" w:pos="4513"/>
        <w:tab w:val="right" w:pos="9026"/>
      </w:tabs>
    </w:pPr>
  </w:style>
  <w:style w:type="character" w:customStyle="1" w:styleId="FooterChar">
    <w:name w:val="Footer Char"/>
    <w:basedOn w:val="DefaultParagraphFont"/>
    <w:link w:val="Footer"/>
    <w:uiPriority w:val="99"/>
    <w:rsid w:val="005C745D"/>
    <w:rPr>
      <w:rFonts w:ascii="Calibri" w:hAnsi="Calibri" w:cs="Arial"/>
      <w:sz w:val="24"/>
      <w:szCs w:val="24"/>
    </w:rPr>
  </w:style>
  <w:style w:type="paragraph" w:styleId="TOC6">
    <w:name w:val="toc 6"/>
    <w:basedOn w:val="Normal"/>
    <w:next w:val="Normal"/>
    <w:autoRedefine/>
    <w:semiHidden/>
    <w:unhideWhenUsed/>
    <w:rsid w:val="00CD0CB3"/>
    <w:pPr>
      <w:spacing w:after="100"/>
      <w:ind w:left="1200"/>
    </w:pPr>
  </w:style>
  <w:style w:type="character" w:customStyle="1" w:styleId="COMH2-numberedChar">
    <w:name w:val="COM H2 - numbered Char"/>
    <w:basedOn w:val="Heading2Char"/>
    <w:link w:val="COMH2-numbered"/>
    <w:rsid w:val="00EF3572"/>
    <w:rPr>
      <w:rFonts w:ascii="Calibri" w:hAnsi="Calibri" w:cs="Arial"/>
      <w:b/>
      <w:i/>
      <w:sz w:val="28"/>
      <w:szCs w:val="24"/>
    </w:rPr>
  </w:style>
  <w:style w:type="table" w:customStyle="1" w:styleId="RTIAMCPTable1">
    <w:name w:val="RTI AMCP Table1"/>
    <w:basedOn w:val="TableNormal"/>
    <w:next w:val="TableGrid"/>
    <w:uiPriority w:val="59"/>
    <w:rsid w:val="003B11C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1numbered">
    <w:name w:val="COM H1 numbered"/>
    <w:next w:val="Normal"/>
    <w:qFormat/>
    <w:rsid w:val="00EE57D6"/>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EE57D6"/>
    <w:pPr>
      <w:ind w:hanging="720"/>
    </w:pPr>
  </w:style>
  <w:style w:type="character" w:customStyle="1" w:styleId="COMexecsumnumberedparaChar">
    <w:name w:val="COM exec sum numbered para Char"/>
    <w:basedOn w:val="ListParagraphChar"/>
    <w:link w:val="COMexecsumnumberedpara"/>
    <w:rsid w:val="00EE57D6"/>
    <w:rPr>
      <w:rFonts w:asciiTheme="minorHAnsi" w:hAnsiTheme="minorHAnsi" w:cs="Arial"/>
      <w:snapToGrid w:val="0"/>
      <w:sz w:val="24"/>
      <w:szCs w:val="24"/>
    </w:rPr>
  </w:style>
  <w:style w:type="table" w:customStyle="1" w:styleId="RTIAMCPTable2">
    <w:name w:val="RTI AMCP Table2"/>
    <w:basedOn w:val="TableNormal"/>
    <w:next w:val="TableGrid"/>
    <w:uiPriority w:val="59"/>
    <w:rsid w:val="00B1415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iPriority w:val="35"/>
    <w:unhideWhenUsed/>
    <w:qFormat/>
    <w:rsid w:val="00032C5A"/>
    <w:pPr>
      <w:spacing w:after="200"/>
    </w:pPr>
    <w:rPr>
      <w:i/>
      <w:iCs/>
      <w:color w:val="1F497D" w:themeColor="text2"/>
      <w:sz w:val="18"/>
      <w:szCs w:val="18"/>
    </w:rPr>
  </w:style>
  <w:style w:type="character" w:styleId="Mention">
    <w:name w:val="Mention"/>
    <w:basedOn w:val="DefaultParagraphFont"/>
    <w:uiPriority w:val="99"/>
    <w:unhideWhenUsed/>
    <w:rsid w:val="0076020D"/>
    <w:rPr>
      <w:color w:val="2B579A"/>
      <w:shd w:val="clear" w:color="auto" w:fill="E1DFDD"/>
    </w:rPr>
  </w:style>
  <w:style w:type="paragraph" w:styleId="NormalWeb">
    <w:name w:val="Normal (Web)"/>
    <w:basedOn w:val="Normal"/>
    <w:unhideWhenUsed/>
    <w:rsid w:val="00F003F4"/>
    <w:pPr>
      <w:spacing w:before="100" w:beforeAutospacing="1" w:after="100" w:afterAutospacing="1"/>
      <w:jc w:val="left"/>
    </w:pPr>
    <w:rPr>
      <w:rFonts w:ascii="Times New Roman" w:hAnsi="Times New Roman" w:cs="Times New Roman"/>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basedOn w:val="DefaultParagraphFont"/>
    <w:link w:val="Caption"/>
    <w:uiPriority w:val="35"/>
    <w:rsid w:val="00F003F4"/>
    <w:rPr>
      <w:rFonts w:ascii="Calibri" w:hAnsi="Calibri" w:cs="Arial"/>
      <w:i/>
      <w:iCs/>
      <w:color w:val="1F497D" w:themeColor="text2"/>
      <w:sz w:val="18"/>
      <w:szCs w:val="18"/>
    </w:rPr>
  </w:style>
  <w:style w:type="paragraph" w:customStyle="1" w:styleId="1-MainHeading">
    <w:name w:val="1-Main Heading"/>
    <w:next w:val="Normal"/>
    <w:link w:val="1-MainHeadingChar"/>
    <w:qFormat/>
    <w:rsid w:val="008D5AD4"/>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8D5AD4"/>
    <w:rPr>
      <w:rFonts w:asciiTheme="minorHAnsi" w:eastAsiaTheme="majorEastAsia" w:hAnsiTheme="minorHAnsi" w:cstheme="majorBidi"/>
      <w:b/>
      <w:spacing w:val="5"/>
      <w:kern w:val="28"/>
      <w:sz w:val="36"/>
      <w:szCs w:val="36"/>
    </w:rPr>
  </w:style>
  <w:style w:type="paragraph" w:customStyle="1" w:styleId="PBACHeading1">
    <w:name w:val="PBAC Heading 1"/>
    <w:qFormat/>
    <w:rsid w:val="0008327B"/>
    <w:pPr>
      <w:ind w:left="720" w:hanging="720"/>
      <w:outlineLvl w:val="0"/>
    </w:pPr>
    <w:rPr>
      <w:rFonts w:ascii="Calibri" w:hAnsi="Calibri" w:cs="Calibri"/>
      <w:b/>
      <w:snapToGrid w:val="0"/>
      <w:sz w:val="32"/>
      <w:szCs w:val="32"/>
      <w:lang w:eastAsia="en-US"/>
    </w:rPr>
  </w:style>
  <w:style w:type="paragraph" w:styleId="NoSpacing">
    <w:name w:val="No Spacing"/>
    <w:uiPriority w:val="1"/>
    <w:qFormat/>
    <w:rsid w:val="00005328"/>
    <w:rPr>
      <w:sz w:val="24"/>
      <w:szCs w:val="24"/>
      <w:lang w:eastAsia="en-US"/>
    </w:rPr>
  </w:style>
  <w:style w:type="paragraph" w:customStyle="1" w:styleId="2-SectionHeading">
    <w:name w:val="2-Section Heading"/>
    <w:qFormat/>
    <w:rsid w:val="00005328"/>
    <w:pPr>
      <w:keepNext/>
      <w:spacing w:before="240" w:after="120"/>
      <w:outlineLvl w:val="1"/>
    </w:pPr>
    <w:rPr>
      <w:rFonts w:asciiTheme="minorHAnsi" w:hAnsiTheme="minorHAnsi" w:cs="Arial"/>
      <w:b/>
      <w:snapToGrid w:val="0"/>
      <w:sz w:val="32"/>
      <w:szCs w:val="32"/>
    </w:rPr>
  </w:style>
  <w:style w:type="paragraph" w:customStyle="1" w:styleId="3-SubsectionHeading">
    <w:name w:val="3-Subsection Heading"/>
    <w:basedOn w:val="Heading2"/>
    <w:next w:val="Normal"/>
    <w:link w:val="3-SubsectionHeadingChar"/>
    <w:qFormat/>
    <w:rsid w:val="00B3643C"/>
    <w:pPr>
      <w:spacing w:before="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3643C"/>
    <w:rPr>
      <w:rFonts w:asciiTheme="minorHAnsi" w:eastAsiaTheme="majorEastAsia" w:hAnsiTheme="minorHAnsi" w:cstheme="majorBidi"/>
      <w:b/>
      <w:i/>
      <w:spacing w:val="5"/>
      <w:kern w:val="28"/>
      <w:sz w:val="28"/>
      <w:szCs w:val="36"/>
      <w:lang w:eastAsia="en-US"/>
    </w:rPr>
  </w:style>
  <w:style w:type="paragraph" w:customStyle="1" w:styleId="PBACESHeading1">
    <w:name w:val="PBAC ES Heading 1"/>
    <w:basedOn w:val="Normal"/>
    <w:next w:val="ListParagraph"/>
    <w:uiPriority w:val="1"/>
    <w:qFormat/>
    <w:rsid w:val="00F7098E"/>
    <w:pPr>
      <w:keepNext/>
      <w:spacing w:before="240" w:after="120"/>
      <w:ind w:left="720" w:hanging="720"/>
      <w:jc w:val="left"/>
      <w:outlineLvl w:val="0"/>
    </w:pPr>
    <w:rPr>
      <w:rFonts w:asciiTheme="minorHAnsi" w:hAnsiTheme="minorHAnsi"/>
      <w:b/>
      <w:snapToGrid w:val="0"/>
      <w:sz w:val="32"/>
      <w:szCs w:val="32"/>
    </w:rPr>
  </w:style>
  <w:style w:type="character" w:customStyle="1" w:styleId="cf01">
    <w:name w:val="cf01"/>
    <w:basedOn w:val="DefaultParagraphFont"/>
    <w:rsid w:val="00C014EB"/>
    <w:rPr>
      <w:rFonts w:ascii="Segoe UI" w:hAnsi="Segoe UI" w:cs="Segoe UI" w:hint="default"/>
      <w:sz w:val="18"/>
      <w:szCs w:val="18"/>
    </w:rPr>
  </w:style>
  <w:style w:type="character" w:customStyle="1" w:styleId="cf11">
    <w:name w:val="cf11"/>
    <w:basedOn w:val="DefaultParagraphFont"/>
    <w:rsid w:val="00C014EB"/>
    <w:rPr>
      <w:rFonts w:ascii="Segoe UI" w:hAnsi="Segoe UI" w:cs="Segoe UI" w:hint="default"/>
      <w:i/>
      <w:iCs/>
      <w:sz w:val="18"/>
      <w:szCs w:val="18"/>
    </w:rPr>
  </w:style>
  <w:style w:type="character" w:customStyle="1" w:styleId="cf21">
    <w:name w:val="cf21"/>
    <w:basedOn w:val="DefaultParagraphFont"/>
    <w:rsid w:val="00C014EB"/>
    <w:rPr>
      <w:rFonts w:ascii="Segoe UI" w:hAnsi="Segoe UI" w:cs="Segoe UI" w:hint="default"/>
      <w:i/>
      <w:i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169822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2466817">
      <w:bodyDiv w:val="1"/>
      <w:marLeft w:val="0"/>
      <w:marRight w:val="0"/>
      <w:marTop w:val="0"/>
      <w:marBottom w:val="0"/>
      <w:divBdr>
        <w:top w:val="none" w:sz="0" w:space="0" w:color="auto"/>
        <w:left w:val="none" w:sz="0" w:space="0" w:color="auto"/>
        <w:bottom w:val="none" w:sz="0" w:space="0" w:color="auto"/>
        <w:right w:val="none" w:sz="0" w:space="0" w:color="auto"/>
      </w:divBdr>
    </w:div>
    <w:div w:id="40444941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763143284">
      <w:bodyDiv w:val="1"/>
      <w:marLeft w:val="0"/>
      <w:marRight w:val="0"/>
      <w:marTop w:val="0"/>
      <w:marBottom w:val="0"/>
      <w:divBdr>
        <w:top w:val="none" w:sz="0" w:space="0" w:color="auto"/>
        <w:left w:val="none" w:sz="0" w:space="0" w:color="auto"/>
        <w:bottom w:val="none" w:sz="0" w:space="0" w:color="auto"/>
        <w:right w:val="none" w:sz="0" w:space="0" w:color="auto"/>
      </w:divBdr>
    </w:div>
    <w:div w:id="177459514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0680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rvicesaustral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vicesaustrali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ervicesaustrali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e51428b0228e67eced309ab2eb588d0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38a8809e295465d0786272f204bf62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EBD99-D547-474E-8DC7-114582C8B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FC4F1-DA46-4D92-AC46-E6402EF432A8}">
  <ds:schemaRefs>
    <ds:schemaRef ds:uri="http://schemas.microsoft.com/sharepoint/v3/contenttype/forms"/>
  </ds:schemaRefs>
</ds:datastoreItem>
</file>

<file path=customXml/itemProps3.xml><?xml version="1.0" encoding="utf-8"?>
<ds:datastoreItem xmlns:ds="http://schemas.openxmlformats.org/officeDocument/2006/customXml" ds:itemID="{2E59A871-D959-4E8C-989A-1011209BDA8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19746</Words>
  <Characters>112558</Characters>
  <Application>Microsoft Office Word</Application>
  <DocSecurity>0</DocSecurity>
  <Lines>937</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132040</CharactersWithSpaces>
  <SharedDoc>false</SharedDoc>
  <HLinks>
    <vt:vector size="36" baseType="variant">
      <vt:variant>
        <vt:i4>4915290</vt:i4>
      </vt:variant>
      <vt:variant>
        <vt:i4>168</vt:i4>
      </vt:variant>
      <vt:variant>
        <vt:i4>0</vt:i4>
      </vt:variant>
      <vt:variant>
        <vt:i4>5</vt:i4>
      </vt:variant>
      <vt:variant>
        <vt:lpwstr>http://www.servicesaustralia/</vt:lpwstr>
      </vt:variant>
      <vt:variant>
        <vt:lpwstr/>
      </vt:variant>
      <vt:variant>
        <vt:i4>4915290</vt:i4>
      </vt:variant>
      <vt:variant>
        <vt:i4>150</vt:i4>
      </vt:variant>
      <vt:variant>
        <vt:i4>0</vt:i4>
      </vt:variant>
      <vt:variant>
        <vt:i4>5</vt:i4>
      </vt:variant>
      <vt:variant>
        <vt:lpwstr>http://www.servicesaustralia/</vt:lpwstr>
      </vt:variant>
      <vt:variant>
        <vt:lpwstr/>
      </vt:variant>
      <vt:variant>
        <vt:i4>4915290</vt:i4>
      </vt:variant>
      <vt:variant>
        <vt:i4>15</vt:i4>
      </vt:variant>
      <vt:variant>
        <vt:i4>0</vt:i4>
      </vt:variant>
      <vt:variant>
        <vt:i4>5</vt:i4>
      </vt:variant>
      <vt:variant>
        <vt:lpwstr>http://www.servicesaustralia/</vt:lpwstr>
      </vt:variant>
      <vt:variant>
        <vt:lpwstr/>
      </vt:variant>
      <vt:variant>
        <vt:i4>3538973</vt:i4>
      </vt:variant>
      <vt:variant>
        <vt:i4>6</vt:i4>
      </vt:variant>
      <vt:variant>
        <vt:i4>0</vt:i4>
      </vt:variant>
      <vt:variant>
        <vt:i4>5</vt:i4>
      </vt:variant>
      <vt:variant>
        <vt:lpwstr>mailto:Sofia.DIMITRELIS@Health.gov.au</vt:lpwstr>
      </vt:variant>
      <vt:variant>
        <vt:lpwstr/>
      </vt:variant>
      <vt:variant>
        <vt:i4>3538973</vt:i4>
      </vt:variant>
      <vt:variant>
        <vt:i4>3</vt:i4>
      </vt:variant>
      <vt:variant>
        <vt:i4>0</vt:i4>
      </vt:variant>
      <vt:variant>
        <vt:i4>5</vt:i4>
      </vt:variant>
      <vt:variant>
        <vt:lpwstr>mailto:Sofia.DIMITRELIS@Health.gov.au</vt:lpwstr>
      </vt:variant>
      <vt:variant>
        <vt:lpwstr/>
      </vt:variant>
      <vt:variant>
        <vt:i4>3538973</vt:i4>
      </vt:variant>
      <vt:variant>
        <vt:i4>0</vt:i4>
      </vt:variant>
      <vt:variant>
        <vt:i4>0</vt:i4>
      </vt:variant>
      <vt:variant>
        <vt:i4>5</vt:i4>
      </vt:variant>
      <vt:variant>
        <vt:lpwstr>mailto:Sofia.DIMITRELIS@Health.gov.au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2025-10-24T00:57:00Z</dcterms:created>
  <dcterms:modified xsi:type="dcterms:W3CDTF">2025-10-30T03:30:00Z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1f9465fe,186e4088,d3238d2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23dfb387,583c0a0d,1a3e0c71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2025-10-24T00:58:03Z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8f35fa0f-06ff-4321-b2ab-ef41b8d2dd72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MSIP_Label_7cd3e8b9-ffed-43a8-b7f4-cc2fa0382d36_Extended_MSFT_Method">
    <vt:lpwstr>Standard</vt:lpwstr>
  </property>
  <property fmtid="{D5CDD505-2E9C-101B-9397-08002B2CF9AE}" pid="20" name="Sensitivity">
    <vt:lpwstr>OFFICIAL</vt:lpwstr>
  </property>
  <property fmtid="{D5CDD505-2E9C-101B-9397-08002B2CF9AE}" pid="21" name="docLang">
    <vt:lpwstr>en</vt:lpwstr>
  </property>
</Properties>
</file>